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1952" w14:textId="77777777" w:rsidR="0095293C" w:rsidRPr="002E0D8A" w:rsidRDefault="0095293C" w:rsidP="0095293C">
      <w:pPr>
        <w:ind w:firstLine="7290"/>
        <w:rPr>
          <w:lang w:val="en-AU"/>
        </w:rPr>
      </w:pPr>
      <w:bookmarkStart w:id="0" w:name="_Toc58993210"/>
      <w:bookmarkStart w:id="1" w:name="_Toc58993300"/>
      <w:bookmarkStart w:id="2" w:name="_Toc58993761"/>
      <w:bookmarkStart w:id="3" w:name="_Toc58998883"/>
      <w:bookmarkStart w:id="4" w:name="_Toc59157849"/>
      <w:bookmarkStart w:id="5" w:name="_GoBack"/>
      <w:bookmarkEnd w:id="5"/>
    </w:p>
    <w:p w14:paraId="3CA23DE3" w14:textId="77777777" w:rsidR="00E40FA4" w:rsidRPr="006B455F" w:rsidRDefault="00E40FA4" w:rsidP="00E40FA4">
      <w:pPr>
        <w:jc w:val="center"/>
        <w:rPr>
          <w:rFonts w:asciiTheme="minorHAnsi" w:hAnsiTheme="minorHAnsi" w:cstheme="minorHAnsi"/>
          <w:b/>
          <w:sz w:val="36"/>
          <w:szCs w:val="36"/>
          <w:lang w:val="en-AU"/>
        </w:rPr>
      </w:pPr>
      <w:bookmarkStart w:id="6" w:name="_Toc71531226"/>
      <w:bookmarkStart w:id="7" w:name="_Toc73332283"/>
      <w:bookmarkStart w:id="8" w:name="_Toc93807940"/>
      <w:bookmarkStart w:id="9" w:name="_Toc93807982"/>
      <w:bookmarkEnd w:id="0"/>
      <w:bookmarkEnd w:id="1"/>
      <w:bookmarkEnd w:id="2"/>
      <w:bookmarkEnd w:id="3"/>
      <w:bookmarkEnd w:id="4"/>
    </w:p>
    <w:p w14:paraId="372D1431" w14:textId="77777777" w:rsidR="00E40FA4" w:rsidRPr="006B455F" w:rsidRDefault="00E40FA4" w:rsidP="00E40FA4">
      <w:pPr>
        <w:pStyle w:val="Title"/>
        <w:spacing w:before="360"/>
        <w:rPr>
          <w:rFonts w:asciiTheme="minorHAnsi" w:hAnsiTheme="minorHAnsi" w:cstheme="minorHAnsi"/>
          <w:noProof/>
          <w:color w:val="4F6228" w:themeColor="accent3" w:themeShade="80"/>
          <w:sz w:val="40"/>
          <w:szCs w:val="40"/>
          <w:lang w:val="en-AU" w:eastAsia="en-CA"/>
        </w:rPr>
      </w:pPr>
    </w:p>
    <w:p w14:paraId="0B6D5114" w14:textId="5711BA1C" w:rsidR="00CC700D" w:rsidRPr="006B455F" w:rsidRDefault="00CC700D" w:rsidP="00E40FA4">
      <w:pPr>
        <w:jc w:val="center"/>
        <w:rPr>
          <w:rFonts w:asciiTheme="minorHAnsi" w:hAnsiTheme="minorHAnsi" w:cstheme="minorHAnsi"/>
          <w:b/>
          <w:sz w:val="40"/>
          <w:szCs w:val="56"/>
          <w:lang w:val="en-AU"/>
        </w:rPr>
      </w:pPr>
    </w:p>
    <w:p w14:paraId="2F92C05E" w14:textId="10EF2D6D" w:rsidR="00CA2E97" w:rsidRDefault="00CC700D" w:rsidP="00CA2E97">
      <w:pPr>
        <w:jc w:val="center"/>
        <w:rPr>
          <w:rFonts w:asciiTheme="minorHAnsi" w:hAnsiTheme="minorHAnsi" w:cstheme="minorHAnsi"/>
          <w:b/>
          <w:sz w:val="36"/>
          <w:szCs w:val="56"/>
          <w:lang w:val="en-AU"/>
        </w:rPr>
      </w:pPr>
      <w:r w:rsidRPr="006B455F">
        <w:rPr>
          <w:rFonts w:asciiTheme="minorHAnsi" w:hAnsiTheme="minorHAnsi" w:cstheme="minorHAnsi"/>
          <w:b/>
          <w:sz w:val="36"/>
          <w:szCs w:val="56"/>
          <w:lang w:val="en-AU"/>
        </w:rPr>
        <w:t>EVALUATIVE STUDY</w:t>
      </w:r>
    </w:p>
    <w:p w14:paraId="576C76C3" w14:textId="38BCC36E" w:rsidR="00E40FA4" w:rsidRPr="00CA2E97" w:rsidRDefault="00CA2E97" w:rsidP="00CA2E97">
      <w:pPr>
        <w:jc w:val="center"/>
        <w:rPr>
          <w:rFonts w:asciiTheme="minorHAnsi" w:hAnsiTheme="minorHAnsi" w:cstheme="minorHAnsi"/>
          <w:b/>
          <w:sz w:val="44"/>
          <w:szCs w:val="56"/>
          <w:lang w:val="en-AU"/>
        </w:rPr>
      </w:pPr>
      <w:r>
        <w:rPr>
          <w:rFonts w:asciiTheme="minorHAnsi" w:hAnsiTheme="minorHAnsi" w:cstheme="minorHAnsi"/>
          <w:b/>
          <w:caps/>
          <w:sz w:val="36"/>
          <w:szCs w:val="56"/>
          <w:lang w:val="en-AU"/>
        </w:rPr>
        <w:t>DFAT</w:t>
      </w:r>
      <w:r w:rsidR="00CC700D" w:rsidRPr="00CA2E97">
        <w:rPr>
          <w:rFonts w:asciiTheme="minorHAnsi" w:hAnsiTheme="minorHAnsi" w:cstheme="minorHAnsi"/>
          <w:b/>
          <w:caps/>
          <w:sz w:val="36"/>
          <w:szCs w:val="56"/>
          <w:lang w:val="en-AU"/>
        </w:rPr>
        <w:t xml:space="preserve"> Greater Mekong Water Resources Program</w:t>
      </w:r>
      <w:r>
        <w:rPr>
          <w:rFonts w:asciiTheme="minorHAnsi" w:hAnsiTheme="minorHAnsi" w:cstheme="minorHAnsi"/>
          <w:b/>
          <w:caps/>
          <w:sz w:val="36"/>
          <w:szCs w:val="56"/>
          <w:lang w:val="en-AU"/>
        </w:rPr>
        <w:t>’s approach to policy dialogue</w:t>
      </w:r>
    </w:p>
    <w:p w14:paraId="7715044F" w14:textId="77777777" w:rsidR="00E40FA4" w:rsidRPr="006B455F" w:rsidRDefault="00E40FA4" w:rsidP="00E40FA4">
      <w:pPr>
        <w:pStyle w:val="Title"/>
        <w:spacing w:before="360"/>
        <w:rPr>
          <w:rFonts w:asciiTheme="minorHAnsi" w:hAnsiTheme="minorHAnsi"/>
          <w:noProof/>
          <w:color w:val="4F6228" w:themeColor="accent3" w:themeShade="80"/>
          <w:sz w:val="40"/>
          <w:szCs w:val="40"/>
          <w:lang w:val="en-AU" w:eastAsia="en-CA"/>
        </w:rPr>
      </w:pPr>
    </w:p>
    <w:p w14:paraId="7C5332FF" w14:textId="77777777" w:rsidR="00E40FA4" w:rsidRPr="006B455F" w:rsidRDefault="00E40FA4" w:rsidP="00E40FA4">
      <w:pPr>
        <w:pStyle w:val="Title"/>
        <w:spacing w:before="360"/>
        <w:rPr>
          <w:rFonts w:asciiTheme="minorHAnsi" w:hAnsiTheme="minorHAnsi"/>
          <w:color w:val="4F6228" w:themeColor="accent3" w:themeShade="80"/>
          <w:sz w:val="40"/>
          <w:szCs w:val="40"/>
          <w:lang w:val="en-AU"/>
        </w:rPr>
      </w:pPr>
    </w:p>
    <w:p w14:paraId="1ED85AD9" w14:textId="0566E111" w:rsidR="00E40FA4" w:rsidRPr="006B455F" w:rsidRDefault="006B455F" w:rsidP="00E40FA4">
      <w:pPr>
        <w:pStyle w:val="AddressLine"/>
        <w:spacing w:after="120"/>
        <w:rPr>
          <w:rFonts w:asciiTheme="minorHAnsi" w:hAnsiTheme="minorHAnsi" w:cstheme="minorHAnsi"/>
          <w:b/>
          <w:noProof/>
          <w:color w:val="auto"/>
          <w:sz w:val="24"/>
          <w:szCs w:val="32"/>
          <w:lang w:val="en-AU"/>
        </w:rPr>
      </w:pPr>
      <w:r>
        <w:rPr>
          <w:rFonts w:asciiTheme="minorHAnsi" w:hAnsiTheme="minorHAnsi" w:cstheme="minorHAnsi"/>
          <w:b/>
          <w:color w:val="auto"/>
          <w:sz w:val="24"/>
          <w:szCs w:val="32"/>
          <w:lang w:val="en-AU"/>
        </w:rPr>
        <w:t>Commissioned by</w:t>
      </w:r>
      <w:r w:rsidR="00E40FA4" w:rsidRPr="006B455F">
        <w:rPr>
          <w:rFonts w:asciiTheme="minorHAnsi" w:hAnsiTheme="minorHAnsi" w:cstheme="minorHAnsi"/>
          <w:b/>
          <w:color w:val="auto"/>
          <w:sz w:val="24"/>
          <w:szCs w:val="32"/>
          <w:lang w:val="en-AU"/>
        </w:rPr>
        <w:t>:</w:t>
      </w:r>
    </w:p>
    <w:p w14:paraId="6D21F432" w14:textId="60DFB69B" w:rsidR="00E40FA4" w:rsidRPr="006B455F" w:rsidRDefault="00E40FA4" w:rsidP="00E40FA4">
      <w:pPr>
        <w:pStyle w:val="BodyText1"/>
        <w:spacing w:after="0" w:line="240" w:lineRule="exact"/>
        <w:jc w:val="center"/>
        <w:rPr>
          <w:rFonts w:asciiTheme="minorHAnsi" w:hAnsiTheme="minorHAnsi" w:cstheme="minorHAnsi"/>
          <w:sz w:val="24"/>
          <w:lang w:val="en-AU"/>
        </w:rPr>
      </w:pPr>
      <w:r w:rsidRPr="006B455F">
        <w:rPr>
          <w:rFonts w:asciiTheme="minorHAnsi" w:hAnsiTheme="minorHAnsi" w:cstheme="minorHAnsi"/>
          <w:sz w:val="24"/>
          <w:lang w:val="en-AU"/>
        </w:rPr>
        <w:t>Department of F</w:t>
      </w:r>
      <w:r w:rsidR="006B455F">
        <w:rPr>
          <w:rFonts w:asciiTheme="minorHAnsi" w:hAnsiTheme="minorHAnsi" w:cstheme="minorHAnsi"/>
          <w:sz w:val="24"/>
          <w:lang w:val="en-AU"/>
        </w:rPr>
        <w:t>oreign Affairs and Trade (DFAT)</w:t>
      </w:r>
    </w:p>
    <w:p w14:paraId="6026F620" w14:textId="1945EF78" w:rsidR="00CC700D" w:rsidRPr="006B455F" w:rsidRDefault="00E40FA4" w:rsidP="006B455F">
      <w:pPr>
        <w:pStyle w:val="Indent2"/>
        <w:spacing w:after="120"/>
        <w:ind w:left="851"/>
        <w:jc w:val="center"/>
        <w:rPr>
          <w:rFonts w:asciiTheme="minorHAnsi" w:hAnsiTheme="minorHAnsi" w:cstheme="minorHAnsi"/>
          <w:sz w:val="24"/>
          <w:szCs w:val="24"/>
        </w:rPr>
      </w:pPr>
      <w:r w:rsidRPr="006B455F">
        <w:rPr>
          <w:rFonts w:asciiTheme="minorHAnsi" w:hAnsiTheme="minorHAnsi" w:cstheme="minorHAnsi"/>
          <w:sz w:val="24"/>
          <w:szCs w:val="24"/>
        </w:rPr>
        <w:t xml:space="preserve">Australian Embassy, </w:t>
      </w:r>
      <w:r w:rsidR="006B455F" w:rsidRPr="006B455F">
        <w:rPr>
          <w:rFonts w:asciiTheme="minorHAnsi" w:hAnsiTheme="minorHAnsi" w:cstheme="minorHAnsi"/>
          <w:sz w:val="24"/>
          <w:szCs w:val="24"/>
        </w:rPr>
        <w:t xml:space="preserve">Vientiane, </w:t>
      </w:r>
      <w:r w:rsidRPr="006B455F">
        <w:rPr>
          <w:rFonts w:asciiTheme="minorHAnsi" w:hAnsiTheme="minorHAnsi" w:cstheme="minorHAnsi"/>
          <w:sz w:val="24"/>
          <w:szCs w:val="24"/>
        </w:rPr>
        <w:t>Lao PDR</w:t>
      </w:r>
    </w:p>
    <w:p w14:paraId="0A4270CB" w14:textId="77777777" w:rsidR="006B455F" w:rsidRPr="006B455F" w:rsidRDefault="006B455F" w:rsidP="006B455F">
      <w:pPr>
        <w:pStyle w:val="BodyText"/>
        <w:jc w:val="center"/>
      </w:pPr>
    </w:p>
    <w:p w14:paraId="47B1719E" w14:textId="67A45410" w:rsidR="00E40FA4" w:rsidRPr="006B455F" w:rsidRDefault="0010662B" w:rsidP="00E40FA4">
      <w:pPr>
        <w:pStyle w:val="Indent2"/>
        <w:spacing w:after="120"/>
        <w:ind w:left="851"/>
        <w:jc w:val="center"/>
        <w:rPr>
          <w:rFonts w:asciiTheme="minorHAnsi" w:hAnsiTheme="minorHAnsi" w:cstheme="minorHAnsi"/>
          <w:sz w:val="24"/>
          <w:szCs w:val="24"/>
        </w:rPr>
      </w:pPr>
      <w:r>
        <w:rPr>
          <w:rFonts w:asciiTheme="minorHAnsi" w:hAnsiTheme="minorHAnsi" w:cstheme="minorHAnsi"/>
          <w:sz w:val="24"/>
          <w:szCs w:val="24"/>
        </w:rPr>
        <w:t xml:space="preserve"> </w:t>
      </w:r>
    </w:p>
    <w:p w14:paraId="7F2642AE" w14:textId="77777777" w:rsidR="00E40FA4" w:rsidRPr="006B455F" w:rsidRDefault="00E40FA4" w:rsidP="00E40FA4">
      <w:pPr>
        <w:spacing w:after="0"/>
        <w:jc w:val="center"/>
        <w:rPr>
          <w:rFonts w:asciiTheme="minorHAnsi" w:hAnsiTheme="minorHAnsi"/>
          <w:b/>
          <w:bCs/>
          <w:caps/>
          <w:lang w:val="en-AU"/>
        </w:rPr>
      </w:pPr>
    </w:p>
    <w:p w14:paraId="79D90445" w14:textId="77777777" w:rsidR="00E40FA4" w:rsidRPr="006B455F" w:rsidRDefault="00E40FA4" w:rsidP="00E40FA4">
      <w:pPr>
        <w:spacing w:after="0"/>
        <w:jc w:val="center"/>
        <w:rPr>
          <w:rFonts w:asciiTheme="minorHAnsi" w:hAnsiTheme="minorHAnsi"/>
          <w:b/>
          <w:bCs/>
          <w:caps/>
          <w:lang w:val="en-AU"/>
        </w:rPr>
      </w:pPr>
    </w:p>
    <w:p w14:paraId="1585BD09" w14:textId="77777777" w:rsidR="00E40FA4" w:rsidRPr="006B455F" w:rsidRDefault="00E40FA4" w:rsidP="00E40FA4">
      <w:pPr>
        <w:spacing w:after="0"/>
        <w:jc w:val="center"/>
        <w:rPr>
          <w:rFonts w:asciiTheme="minorHAnsi" w:hAnsiTheme="minorHAnsi"/>
          <w:b/>
          <w:bCs/>
          <w:caps/>
          <w:lang w:val="en-AU"/>
        </w:rPr>
      </w:pPr>
    </w:p>
    <w:p w14:paraId="46B1C063" w14:textId="034852EF" w:rsidR="00E40FA4" w:rsidRPr="006B455F" w:rsidRDefault="006B455F" w:rsidP="00E40FA4">
      <w:pPr>
        <w:pStyle w:val="AddressLine"/>
        <w:spacing w:after="120"/>
        <w:rPr>
          <w:rFonts w:asciiTheme="minorHAnsi" w:hAnsiTheme="minorHAnsi" w:cstheme="minorHAnsi"/>
          <w:b/>
          <w:color w:val="auto"/>
          <w:sz w:val="24"/>
          <w:szCs w:val="32"/>
          <w:lang w:val="en-AU"/>
        </w:rPr>
      </w:pPr>
      <w:r>
        <w:rPr>
          <w:rFonts w:asciiTheme="minorHAnsi" w:hAnsiTheme="minorHAnsi" w:cstheme="minorHAnsi"/>
          <w:b/>
          <w:color w:val="auto"/>
          <w:sz w:val="24"/>
          <w:szCs w:val="32"/>
          <w:lang w:val="en-AU"/>
        </w:rPr>
        <w:t>Authors</w:t>
      </w:r>
      <w:r w:rsidR="00E40FA4" w:rsidRPr="006B455F">
        <w:rPr>
          <w:rFonts w:asciiTheme="minorHAnsi" w:hAnsiTheme="minorHAnsi" w:cstheme="minorHAnsi"/>
          <w:b/>
          <w:color w:val="auto"/>
          <w:sz w:val="24"/>
          <w:szCs w:val="32"/>
          <w:lang w:val="en-AU"/>
        </w:rPr>
        <w:t>:</w:t>
      </w:r>
    </w:p>
    <w:p w14:paraId="2C2E5FB2" w14:textId="68533A1E" w:rsidR="00E40FA4" w:rsidRPr="006B455F" w:rsidRDefault="006B455F" w:rsidP="00E40FA4">
      <w:pPr>
        <w:pStyle w:val="AddressLine"/>
        <w:spacing w:line="240" w:lineRule="auto"/>
        <w:rPr>
          <w:rFonts w:asciiTheme="minorHAnsi" w:hAnsiTheme="minorHAnsi" w:cstheme="minorHAnsi"/>
          <w:color w:val="auto"/>
          <w:sz w:val="22"/>
          <w:lang w:val="en-AU"/>
        </w:rPr>
      </w:pPr>
      <w:r>
        <w:rPr>
          <w:rFonts w:asciiTheme="minorHAnsi" w:hAnsiTheme="minorHAnsi" w:cstheme="minorHAnsi"/>
          <w:color w:val="auto"/>
          <w:sz w:val="22"/>
          <w:lang w:val="en-AU"/>
        </w:rPr>
        <w:t>Dr Sokhem Pech and Dr</w:t>
      </w:r>
      <w:r w:rsidR="00E40FA4" w:rsidRPr="006B455F">
        <w:rPr>
          <w:rFonts w:asciiTheme="minorHAnsi" w:hAnsiTheme="minorHAnsi" w:cstheme="minorHAnsi"/>
          <w:color w:val="auto"/>
          <w:sz w:val="22"/>
          <w:lang w:val="en-AU"/>
        </w:rPr>
        <w:t xml:space="preserve"> Robert Mather</w:t>
      </w:r>
    </w:p>
    <w:p w14:paraId="0A19FF51" w14:textId="5BE97D3E" w:rsidR="00E40FA4" w:rsidRPr="006B455F" w:rsidRDefault="00E40FA4" w:rsidP="00E40FA4">
      <w:pPr>
        <w:pStyle w:val="AddressLine"/>
        <w:spacing w:line="240" w:lineRule="auto"/>
        <w:rPr>
          <w:rFonts w:asciiTheme="minorHAnsi" w:hAnsiTheme="minorHAnsi" w:cstheme="minorHAnsi"/>
          <w:noProof/>
          <w:color w:val="auto"/>
          <w:sz w:val="22"/>
          <w:lang w:val="en-AU"/>
        </w:rPr>
      </w:pPr>
      <w:r w:rsidRPr="006B455F">
        <w:rPr>
          <w:rFonts w:asciiTheme="minorHAnsi" w:hAnsiTheme="minorHAnsi" w:cstheme="minorHAnsi"/>
          <w:color w:val="auto"/>
          <w:sz w:val="22"/>
          <w:lang w:val="en-AU"/>
        </w:rPr>
        <w:t>Independent Evaluation Specialists</w:t>
      </w:r>
    </w:p>
    <w:p w14:paraId="22647D20" w14:textId="77777777" w:rsidR="00E40FA4" w:rsidRPr="006B455F" w:rsidRDefault="00E40FA4" w:rsidP="00E40FA4">
      <w:pPr>
        <w:spacing w:after="0"/>
        <w:jc w:val="center"/>
        <w:rPr>
          <w:rFonts w:asciiTheme="minorHAnsi" w:hAnsiTheme="minorHAnsi"/>
          <w:b/>
          <w:bCs/>
          <w:caps/>
          <w:lang w:val="en-AU"/>
        </w:rPr>
      </w:pPr>
    </w:p>
    <w:p w14:paraId="0420FF08" w14:textId="77777777" w:rsidR="00E40FA4" w:rsidRPr="006B455F" w:rsidRDefault="00E40FA4" w:rsidP="00E40FA4">
      <w:pPr>
        <w:spacing w:after="0"/>
        <w:jc w:val="center"/>
        <w:rPr>
          <w:rFonts w:asciiTheme="minorHAnsi" w:hAnsiTheme="minorHAnsi"/>
          <w:b/>
          <w:bCs/>
          <w:caps/>
          <w:lang w:val="en-AU"/>
        </w:rPr>
      </w:pPr>
    </w:p>
    <w:p w14:paraId="00E4978C" w14:textId="77777777" w:rsidR="00E40FA4" w:rsidRPr="006B455F" w:rsidRDefault="00E40FA4" w:rsidP="00E40FA4">
      <w:pPr>
        <w:spacing w:after="0"/>
        <w:jc w:val="center"/>
        <w:rPr>
          <w:rFonts w:asciiTheme="minorHAnsi" w:hAnsiTheme="minorHAnsi"/>
          <w:b/>
          <w:bCs/>
          <w:caps/>
          <w:lang w:val="en-AU"/>
        </w:rPr>
      </w:pPr>
    </w:p>
    <w:p w14:paraId="5C968DD4" w14:textId="77777777" w:rsidR="00E40FA4" w:rsidRPr="006B455F" w:rsidRDefault="00E40FA4" w:rsidP="00E40FA4">
      <w:pPr>
        <w:spacing w:after="0"/>
        <w:jc w:val="center"/>
        <w:rPr>
          <w:rFonts w:asciiTheme="minorHAnsi" w:hAnsiTheme="minorHAnsi"/>
          <w:b/>
          <w:bCs/>
          <w:caps/>
          <w:lang w:val="en-AU"/>
        </w:rPr>
      </w:pPr>
    </w:p>
    <w:p w14:paraId="16CBF229" w14:textId="77777777" w:rsidR="00E40FA4" w:rsidRPr="006B455F" w:rsidRDefault="00E40FA4" w:rsidP="00E40FA4">
      <w:pPr>
        <w:spacing w:after="0"/>
        <w:jc w:val="center"/>
        <w:rPr>
          <w:rFonts w:asciiTheme="minorHAnsi" w:hAnsiTheme="minorHAnsi"/>
          <w:b/>
          <w:bCs/>
          <w:caps/>
          <w:lang w:val="en-AU"/>
        </w:rPr>
      </w:pPr>
    </w:p>
    <w:p w14:paraId="2915BC4E" w14:textId="77777777" w:rsidR="00E40FA4" w:rsidRPr="006B455F" w:rsidRDefault="00E40FA4" w:rsidP="00E40FA4">
      <w:pPr>
        <w:spacing w:after="0"/>
        <w:jc w:val="center"/>
        <w:rPr>
          <w:rFonts w:asciiTheme="minorHAnsi" w:hAnsiTheme="minorHAnsi"/>
          <w:b/>
          <w:bCs/>
          <w:caps/>
          <w:lang w:val="en-AU"/>
        </w:rPr>
      </w:pPr>
    </w:p>
    <w:p w14:paraId="41E5B2A9" w14:textId="77777777" w:rsidR="00E40FA4" w:rsidRPr="006B455F" w:rsidRDefault="00E40FA4" w:rsidP="00E40FA4">
      <w:pPr>
        <w:spacing w:after="0"/>
        <w:jc w:val="center"/>
        <w:rPr>
          <w:rFonts w:asciiTheme="minorHAnsi" w:hAnsiTheme="minorHAnsi"/>
          <w:b/>
          <w:bCs/>
          <w:caps/>
          <w:lang w:val="en-AU"/>
        </w:rPr>
      </w:pPr>
    </w:p>
    <w:p w14:paraId="409BDF08" w14:textId="77777777" w:rsidR="00E40FA4" w:rsidRPr="006B455F" w:rsidRDefault="00E40FA4" w:rsidP="002D2A0F">
      <w:pPr>
        <w:spacing w:after="0"/>
        <w:rPr>
          <w:rFonts w:asciiTheme="minorHAnsi" w:hAnsiTheme="minorHAnsi"/>
          <w:b/>
          <w:bCs/>
          <w:caps/>
          <w:lang w:val="en-AU"/>
        </w:rPr>
      </w:pPr>
    </w:p>
    <w:p w14:paraId="36C8125E" w14:textId="77777777" w:rsidR="00E40FA4" w:rsidRPr="006B455F" w:rsidRDefault="00E40FA4" w:rsidP="00E40FA4">
      <w:pPr>
        <w:spacing w:after="0"/>
        <w:jc w:val="center"/>
        <w:rPr>
          <w:rFonts w:asciiTheme="minorHAnsi" w:hAnsiTheme="minorHAnsi"/>
          <w:b/>
          <w:bCs/>
          <w:caps/>
          <w:sz w:val="18"/>
          <w:szCs w:val="18"/>
          <w:lang w:val="en-AU"/>
        </w:rPr>
      </w:pPr>
    </w:p>
    <w:p w14:paraId="054FA8FC" w14:textId="5D19CDE4" w:rsidR="00C30373" w:rsidRPr="006B455F" w:rsidRDefault="00C30373" w:rsidP="00C30373">
      <w:pPr>
        <w:jc w:val="center"/>
        <w:rPr>
          <w:rFonts w:asciiTheme="minorHAnsi" w:hAnsiTheme="minorHAnsi"/>
          <w:b/>
          <w:sz w:val="24"/>
          <w:lang w:val="en-AU"/>
        </w:rPr>
      </w:pPr>
      <w:r w:rsidRPr="006B455F">
        <w:rPr>
          <w:rFonts w:asciiTheme="minorHAnsi" w:hAnsiTheme="minorHAnsi"/>
          <w:b/>
          <w:sz w:val="24"/>
          <w:lang w:val="en-AU"/>
        </w:rPr>
        <w:t>20 February 2017</w:t>
      </w:r>
    </w:p>
    <w:p w14:paraId="6FEF2610" w14:textId="77777777" w:rsidR="00340706" w:rsidRDefault="00340706" w:rsidP="00E40FA4">
      <w:pPr>
        <w:spacing w:after="0"/>
        <w:jc w:val="center"/>
        <w:rPr>
          <w:b/>
          <w:bCs/>
          <w:caps/>
          <w:sz w:val="18"/>
          <w:szCs w:val="18"/>
          <w:lang w:val="en-AU"/>
        </w:rPr>
      </w:pPr>
    </w:p>
    <w:p w14:paraId="60380B31" w14:textId="77777777" w:rsidR="00F21CFC" w:rsidRDefault="00F21CFC" w:rsidP="00A57658">
      <w:pPr>
        <w:pStyle w:val="BodyText1"/>
        <w:ind w:firstLine="4730"/>
        <w:rPr>
          <w:b/>
          <w:sz w:val="16"/>
          <w:szCs w:val="16"/>
          <w:lang w:val="en-AU"/>
        </w:rPr>
      </w:pPr>
    </w:p>
    <w:p w14:paraId="4494366A" w14:textId="77777777" w:rsidR="00340706" w:rsidRPr="002E0D8A" w:rsidRDefault="00340706" w:rsidP="00A57658">
      <w:pPr>
        <w:pStyle w:val="BodyText1"/>
        <w:ind w:firstLine="4730"/>
        <w:rPr>
          <w:b/>
          <w:sz w:val="16"/>
          <w:szCs w:val="16"/>
          <w:lang w:val="en-AU"/>
        </w:rPr>
        <w:sectPr w:rsidR="00340706" w:rsidRPr="002E0D8A" w:rsidSect="00D518E8">
          <w:headerReference w:type="even" r:id="rId8"/>
          <w:headerReference w:type="default" r:id="rId9"/>
          <w:footerReference w:type="even" r:id="rId10"/>
          <w:footerReference w:type="default" r:id="rId11"/>
          <w:headerReference w:type="first" r:id="rId12"/>
          <w:footerReference w:type="first" r:id="rId13"/>
          <w:pgSz w:w="11909" w:h="16834" w:code="9"/>
          <w:pgMar w:top="450" w:right="1584" w:bottom="1296" w:left="1584" w:header="720" w:footer="720" w:gutter="0"/>
          <w:pgNumType w:fmt="lowerRoman" w:start="1"/>
          <w:cols w:space="720"/>
        </w:sectPr>
      </w:pPr>
    </w:p>
    <w:bookmarkEnd w:id="6"/>
    <w:bookmarkEnd w:id="7"/>
    <w:bookmarkEnd w:id="8"/>
    <w:bookmarkEnd w:id="9"/>
    <w:p w14:paraId="611250EF" w14:textId="62F8A6D2" w:rsidR="00751794" w:rsidRPr="006B455F" w:rsidRDefault="008414CE" w:rsidP="008414CE">
      <w:pPr>
        <w:jc w:val="center"/>
        <w:rPr>
          <w:rFonts w:asciiTheme="minorHAnsi" w:hAnsiTheme="minorHAnsi"/>
          <w:b/>
          <w:sz w:val="24"/>
          <w:lang w:val="en-AU"/>
        </w:rPr>
      </w:pPr>
      <w:r w:rsidRPr="006B455F">
        <w:rPr>
          <w:rFonts w:asciiTheme="minorHAnsi" w:hAnsiTheme="minorHAnsi"/>
          <w:b/>
          <w:sz w:val="24"/>
          <w:lang w:val="en-AU"/>
        </w:rPr>
        <w:lastRenderedPageBreak/>
        <w:t>Contents</w:t>
      </w:r>
    </w:p>
    <w:p w14:paraId="6918257A" w14:textId="560D4B70" w:rsidR="00A00095" w:rsidRDefault="00A00095">
      <w:pPr>
        <w:pStyle w:val="TOC1"/>
        <w:tabs>
          <w:tab w:val="right" w:leader="dot" w:pos="9469"/>
        </w:tabs>
        <w:rPr>
          <w:rFonts w:eastAsiaTheme="minorEastAsia" w:cstheme="minorBidi"/>
          <w:b w:val="0"/>
          <w:bCs w:val="0"/>
          <w:caps w:val="0"/>
          <w:noProof/>
          <w:kern w:val="0"/>
          <w:sz w:val="22"/>
          <w:szCs w:val="22"/>
          <w:lang w:val="en-AU" w:eastAsia="en-AU"/>
        </w:rPr>
      </w:pPr>
      <w:r>
        <w:rPr>
          <w:caps w:val="0"/>
          <w:noProof/>
          <w:sz w:val="26"/>
          <w:szCs w:val="28"/>
          <w:lang w:val="en-AU"/>
        </w:rPr>
        <w:fldChar w:fldCharType="begin"/>
      </w:r>
      <w:r>
        <w:rPr>
          <w:caps w:val="0"/>
          <w:noProof/>
          <w:sz w:val="26"/>
          <w:szCs w:val="28"/>
          <w:lang w:val="en-AU"/>
        </w:rPr>
        <w:instrText xml:space="preserve"> TOC \o "1-3" \h \z \u </w:instrText>
      </w:r>
      <w:r>
        <w:rPr>
          <w:caps w:val="0"/>
          <w:noProof/>
          <w:sz w:val="26"/>
          <w:szCs w:val="28"/>
          <w:lang w:val="en-AU"/>
        </w:rPr>
        <w:fldChar w:fldCharType="separate"/>
      </w:r>
      <w:hyperlink w:anchor="_Toc475358462" w:history="1">
        <w:r w:rsidRPr="007D2174">
          <w:rPr>
            <w:rStyle w:val="Hyperlink"/>
            <w:noProof/>
            <w:lang w:val="en-AU"/>
          </w:rPr>
          <w:t>Executive Summary</w:t>
        </w:r>
        <w:r>
          <w:rPr>
            <w:noProof/>
            <w:webHidden/>
          </w:rPr>
          <w:tab/>
        </w:r>
        <w:r>
          <w:rPr>
            <w:noProof/>
            <w:webHidden/>
          </w:rPr>
          <w:fldChar w:fldCharType="begin"/>
        </w:r>
        <w:r>
          <w:rPr>
            <w:noProof/>
            <w:webHidden/>
          </w:rPr>
          <w:instrText xml:space="preserve"> PAGEREF _Toc475358462 \h </w:instrText>
        </w:r>
        <w:r>
          <w:rPr>
            <w:noProof/>
            <w:webHidden/>
          </w:rPr>
        </w:r>
        <w:r>
          <w:rPr>
            <w:noProof/>
            <w:webHidden/>
          </w:rPr>
          <w:fldChar w:fldCharType="separate"/>
        </w:r>
        <w:r w:rsidR="00E703DB">
          <w:rPr>
            <w:noProof/>
            <w:webHidden/>
          </w:rPr>
          <w:t>i</w:t>
        </w:r>
        <w:r>
          <w:rPr>
            <w:noProof/>
            <w:webHidden/>
          </w:rPr>
          <w:fldChar w:fldCharType="end"/>
        </w:r>
      </w:hyperlink>
    </w:p>
    <w:p w14:paraId="5E62A3B8" w14:textId="31315D68" w:rsidR="00A00095" w:rsidRDefault="00E703DB">
      <w:pPr>
        <w:pStyle w:val="TOC1"/>
        <w:tabs>
          <w:tab w:val="left" w:pos="660"/>
          <w:tab w:val="right" w:leader="dot" w:pos="9469"/>
        </w:tabs>
        <w:rPr>
          <w:rFonts w:eastAsiaTheme="minorEastAsia" w:cstheme="minorBidi"/>
          <w:b w:val="0"/>
          <w:bCs w:val="0"/>
          <w:caps w:val="0"/>
          <w:noProof/>
          <w:kern w:val="0"/>
          <w:sz w:val="22"/>
          <w:szCs w:val="22"/>
          <w:lang w:val="en-AU" w:eastAsia="en-AU"/>
        </w:rPr>
      </w:pPr>
      <w:hyperlink w:anchor="_Toc475358463" w:history="1">
        <w:r w:rsidR="00A00095" w:rsidRPr="007D2174">
          <w:rPr>
            <w:rStyle w:val="Hyperlink"/>
            <w:rFonts w:ascii="Arial" w:hAnsi="Arial"/>
            <w:noProof/>
            <w:lang w:val="en-AU"/>
          </w:rPr>
          <w:t>1.0</w:t>
        </w:r>
        <w:r w:rsidR="00A00095">
          <w:rPr>
            <w:rFonts w:eastAsiaTheme="minorEastAsia" w:cstheme="minorBidi"/>
            <w:b w:val="0"/>
            <w:bCs w:val="0"/>
            <w:caps w:val="0"/>
            <w:noProof/>
            <w:kern w:val="0"/>
            <w:sz w:val="22"/>
            <w:szCs w:val="22"/>
            <w:lang w:val="en-AU" w:eastAsia="en-AU"/>
          </w:rPr>
          <w:tab/>
        </w:r>
        <w:r w:rsidR="00A00095" w:rsidRPr="007D2174">
          <w:rPr>
            <w:rStyle w:val="Hyperlink"/>
            <w:noProof/>
            <w:lang w:val="en-AU"/>
          </w:rPr>
          <w:t>Introduction</w:t>
        </w:r>
        <w:r w:rsidR="00A00095">
          <w:rPr>
            <w:noProof/>
            <w:webHidden/>
          </w:rPr>
          <w:tab/>
        </w:r>
        <w:r w:rsidR="00A00095">
          <w:rPr>
            <w:noProof/>
            <w:webHidden/>
          </w:rPr>
          <w:fldChar w:fldCharType="begin"/>
        </w:r>
        <w:r w:rsidR="00A00095">
          <w:rPr>
            <w:noProof/>
            <w:webHidden/>
          </w:rPr>
          <w:instrText xml:space="preserve"> PAGEREF _Toc475358463 \h </w:instrText>
        </w:r>
        <w:r w:rsidR="00A00095">
          <w:rPr>
            <w:noProof/>
            <w:webHidden/>
          </w:rPr>
        </w:r>
        <w:r w:rsidR="00A00095">
          <w:rPr>
            <w:noProof/>
            <w:webHidden/>
          </w:rPr>
          <w:fldChar w:fldCharType="separate"/>
        </w:r>
        <w:r>
          <w:rPr>
            <w:noProof/>
            <w:webHidden/>
          </w:rPr>
          <w:t>1</w:t>
        </w:r>
        <w:r w:rsidR="00A00095">
          <w:rPr>
            <w:noProof/>
            <w:webHidden/>
          </w:rPr>
          <w:fldChar w:fldCharType="end"/>
        </w:r>
      </w:hyperlink>
    </w:p>
    <w:p w14:paraId="092FA0FD" w14:textId="20278B67" w:rsidR="00A00095" w:rsidRDefault="00E703DB">
      <w:pPr>
        <w:pStyle w:val="TOC1"/>
        <w:tabs>
          <w:tab w:val="left" w:pos="660"/>
          <w:tab w:val="right" w:leader="dot" w:pos="9469"/>
        </w:tabs>
        <w:rPr>
          <w:rFonts w:eastAsiaTheme="minorEastAsia" w:cstheme="minorBidi"/>
          <w:b w:val="0"/>
          <w:bCs w:val="0"/>
          <w:caps w:val="0"/>
          <w:noProof/>
          <w:kern w:val="0"/>
          <w:sz w:val="22"/>
          <w:szCs w:val="22"/>
          <w:lang w:val="en-AU" w:eastAsia="en-AU"/>
        </w:rPr>
      </w:pPr>
      <w:hyperlink w:anchor="_Toc475358464" w:history="1">
        <w:r w:rsidR="00A00095" w:rsidRPr="007D2174">
          <w:rPr>
            <w:rStyle w:val="Hyperlink"/>
            <w:rFonts w:ascii="Arial" w:hAnsi="Arial"/>
            <w:noProof/>
            <w:lang w:val="en-AU"/>
          </w:rPr>
          <w:t>2.0</w:t>
        </w:r>
        <w:r w:rsidR="00A00095">
          <w:rPr>
            <w:rFonts w:eastAsiaTheme="minorEastAsia" w:cstheme="minorBidi"/>
            <w:b w:val="0"/>
            <w:bCs w:val="0"/>
            <w:caps w:val="0"/>
            <w:noProof/>
            <w:kern w:val="0"/>
            <w:sz w:val="22"/>
            <w:szCs w:val="22"/>
            <w:lang w:val="en-AU" w:eastAsia="en-AU"/>
          </w:rPr>
          <w:tab/>
        </w:r>
        <w:r w:rsidR="00A00095" w:rsidRPr="007D2174">
          <w:rPr>
            <w:rStyle w:val="Hyperlink"/>
            <w:noProof/>
            <w:lang w:val="en-AU"/>
          </w:rPr>
          <w:t>Evaluative Study</w:t>
        </w:r>
        <w:r w:rsidR="00A00095">
          <w:rPr>
            <w:noProof/>
            <w:webHidden/>
          </w:rPr>
          <w:tab/>
        </w:r>
        <w:r w:rsidR="00A00095">
          <w:rPr>
            <w:noProof/>
            <w:webHidden/>
          </w:rPr>
          <w:fldChar w:fldCharType="begin"/>
        </w:r>
        <w:r w:rsidR="00A00095">
          <w:rPr>
            <w:noProof/>
            <w:webHidden/>
          </w:rPr>
          <w:instrText xml:space="preserve"> PAGEREF _Toc475358464 \h </w:instrText>
        </w:r>
        <w:r w:rsidR="00A00095">
          <w:rPr>
            <w:noProof/>
            <w:webHidden/>
          </w:rPr>
        </w:r>
        <w:r w:rsidR="00A00095">
          <w:rPr>
            <w:noProof/>
            <w:webHidden/>
          </w:rPr>
          <w:fldChar w:fldCharType="separate"/>
        </w:r>
        <w:r>
          <w:rPr>
            <w:noProof/>
            <w:webHidden/>
          </w:rPr>
          <w:t>2</w:t>
        </w:r>
        <w:r w:rsidR="00A00095">
          <w:rPr>
            <w:noProof/>
            <w:webHidden/>
          </w:rPr>
          <w:fldChar w:fldCharType="end"/>
        </w:r>
      </w:hyperlink>
    </w:p>
    <w:p w14:paraId="033FC6E8" w14:textId="4A82B8CE"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65" w:history="1">
        <w:r w:rsidR="00A00095" w:rsidRPr="007D2174">
          <w:rPr>
            <w:rStyle w:val="Hyperlink"/>
            <w:rFonts w:ascii="Arial" w:eastAsia="Arial" w:hAnsi="Arial"/>
            <w:noProof/>
            <w:lang w:val="en-AU"/>
          </w:rPr>
          <w:t>2.1</w:t>
        </w:r>
        <w:r w:rsidR="00A00095">
          <w:rPr>
            <w:rFonts w:eastAsiaTheme="minorEastAsia" w:cstheme="minorBidi"/>
            <w:smallCaps w:val="0"/>
            <w:noProof/>
            <w:kern w:val="0"/>
            <w:sz w:val="22"/>
            <w:szCs w:val="22"/>
            <w:lang w:val="en-AU" w:eastAsia="en-AU"/>
          </w:rPr>
          <w:tab/>
        </w:r>
        <w:r w:rsidR="00A00095" w:rsidRPr="007D2174">
          <w:rPr>
            <w:rStyle w:val="Hyperlink"/>
            <w:rFonts w:eastAsia="Arial"/>
            <w:noProof/>
            <w:lang w:val="en-AU"/>
          </w:rPr>
          <w:t>Objectives</w:t>
        </w:r>
        <w:r w:rsidR="00A00095">
          <w:rPr>
            <w:noProof/>
            <w:webHidden/>
          </w:rPr>
          <w:tab/>
        </w:r>
        <w:r w:rsidR="00A00095">
          <w:rPr>
            <w:noProof/>
            <w:webHidden/>
          </w:rPr>
          <w:fldChar w:fldCharType="begin"/>
        </w:r>
        <w:r w:rsidR="00A00095">
          <w:rPr>
            <w:noProof/>
            <w:webHidden/>
          </w:rPr>
          <w:instrText xml:space="preserve"> PAGEREF _Toc475358465 \h </w:instrText>
        </w:r>
        <w:r w:rsidR="00A00095">
          <w:rPr>
            <w:noProof/>
            <w:webHidden/>
          </w:rPr>
        </w:r>
        <w:r w:rsidR="00A00095">
          <w:rPr>
            <w:noProof/>
            <w:webHidden/>
          </w:rPr>
          <w:fldChar w:fldCharType="separate"/>
        </w:r>
        <w:r>
          <w:rPr>
            <w:noProof/>
            <w:webHidden/>
          </w:rPr>
          <w:t>2</w:t>
        </w:r>
        <w:r w:rsidR="00A00095">
          <w:rPr>
            <w:noProof/>
            <w:webHidden/>
          </w:rPr>
          <w:fldChar w:fldCharType="end"/>
        </w:r>
      </w:hyperlink>
    </w:p>
    <w:p w14:paraId="40BE6036" w14:textId="44F7EA4F"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66" w:history="1">
        <w:r w:rsidR="00A00095" w:rsidRPr="007D2174">
          <w:rPr>
            <w:rStyle w:val="Hyperlink"/>
            <w:rFonts w:ascii="Arial" w:hAnsi="Arial"/>
            <w:noProof/>
            <w:lang w:val="en-AU"/>
          </w:rPr>
          <w:t>2.2</w:t>
        </w:r>
        <w:r w:rsidR="00A00095">
          <w:rPr>
            <w:rFonts w:eastAsiaTheme="minorEastAsia" w:cstheme="minorBidi"/>
            <w:smallCaps w:val="0"/>
            <w:noProof/>
            <w:kern w:val="0"/>
            <w:sz w:val="22"/>
            <w:szCs w:val="22"/>
            <w:lang w:val="en-AU" w:eastAsia="en-AU"/>
          </w:rPr>
          <w:tab/>
        </w:r>
        <w:r w:rsidR="00A00095" w:rsidRPr="007D2174">
          <w:rPr>
            <w:rStyle w:val="Hyperlink"/>
            <w:noProof/>
            <w:lang w:val="en-AU"/>
          </w:rPr>
          <w:t>Approach</w:t>
        </w:r>
        <w:r w:rsidR="00A00095">
          <w:rPr>
            <w:noProof/>
            <w:webHidden/>
          </w:rPr>
          <w:tab/>
        </w:r>
        <w:r w:rsidR="00A00095">
          <w:rPr>
            <w:noProof/>
            <w:webHidden/>
          </w:rPr>
          <w:fldChar w:fldCharType="begin"/>
        </w:r>
        <w:r w:rsidR="00A00095">
          <w:rPr>
            <w:noProof/>
            <w:webHidden/>
          </w:rPr>
          <w:instrText xml:space="preserve"> PAGEREF _Toc475358466 \h </w:instrText>
        </w:r>
        <w:r w:rsidR="00A00095">
          <w:rPr>
            <w:noProof/>
            <w:webHidden/>
          </w:rPr>
        </w:r>
        <w:r w:rsidR="00A00095">
          <w:rPr>
            <w:noProof/>
            <w:webHidden/>
          </w:rPr>
          <w:fldChar w:fldCharType="separate"/>
        </w:r>
        <w:r>
          <w:rPr>
            <w:noProof/>
            <w:webHidden/>
          </w:rPr>
          <w:t>2</w:t>
        </w:r>
        <w:r w:rsidR="00A00095">
          <w:rPr>
            <w:noProof/>
            <w:webHidden/>
          </w:rPr>
          <w:fldChar w:fldCharType="end"/>
        </w:r>
      </w:hyperlink>
    </w:p>
    <w:p w14:paraId="627DDEB8" w14:textId="611DEFC0"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67" w:history="1">
        <w:r w:rsidR="00A00095" w:rsidRPr="007D2174">
          <w:rPr>
            <w:rStyle w:val="Hyperlink"/>
            <w:rFonts w:ascii="Arial" w:hAnsi="Arial"/>
            <w:noProof/>
            <w:lang w:val="en-AU"/>
          </w:rPr>
          <w:t>2.3</w:t>
        </w:r>
        <w:r w:rsidR="00A00095">
          <w:rPr>
            <w:rFonts w:eastAsiaTheme="minorEastAsia" w:cstheme="minorBidi"/>
            <w:smallCaps w:val="0"/>
            <w:noProof/>
            <w:kern w:val="0"/>
            <w:sz w:val="22"/>
            <w:szCs w:val="22"/>
            <w:lang w:val="en-AU" w:eastAsia="en-AU"/>
          </w:rPr>
          <w:tab/>
        </w:r>
        <w:r w:rsidR="00A00095" w:rsidRPr="007D2174">
          <w:rPr>
            <w:rStyle w:val="Hyperlink"/>
            <w:noProof/>
            <w:lang w:val="en-AU"/>
          </w:rPr>
          <w:t>Limitations</w:t>
        </w:r>
        <w:r w:rsidR="00A00095">
          <w:rPr>
            <w:noProof/>
            <w:webHidden/>
          </w:rPr>
          <w:tab/>
        </w:r>
        <w:r w:rsidR="00A00095">
          <w:rPr>
            <w:noProof/>
            <w:webHidden/>
          </w:rPr>
          <w:fldChar w:fldCharType="begin"/>
        </w:r>
        <w:r w:rsidR="00A00095">
          <w:rPr>
            <w:noProof/>
            <w:webHidden/>
          </w:rPr>
          <w:instrText xml:space="preserve"> PAGEREF _Toc475358467 \h </w:instrText>
        </w:r>
        <w:r w:rsidR="00A00095">
          <w:rPr>
            <w:noProof/>
            <w:webHidden/>
          </w:rPr>
        </w:r>
        <w:r w:rsidR="00A00095">
          <w:rPr>
            <w:noProof/>
            <w:webHidden/>
          </w:rPr>
          <w:fldChar w:fldCharType="separate"/>
        </w:r>
        <w:r>
          <w:rPr>
            <w:noProof/>
            <w:webHidden/>
          </w:rPr>
          <w:t>4</w:t>
        </w:r>
        <w:r w:rsidR="00A00095">
          <w:rPr>
            <w:noProof/>
            <w:webHidden/>
          </w:rPr>
          <w:fldChar w:fldCharType="end"/>
        </w:r>
      </w:hyperlink>
    </w:p>
    <w:p w14:paraId="11D6274B" w14:textId="57281EF8" w:rsidR="00A00095" w:rsidRDefault="00E703DB">
      <w:pPr>
        <w:pStyle w:val="TOC1"/>
        <w:tabs>
          <w:tab w:val="left" w:pos="660"/>
          <w:tab w:val="right" w:leader="dot" w:pos="9469"/>
        </w:tabs>
        <w:rPr>
          <w:rFonts w:eastAsiaTheme="minorEastAsia" w:cstheme="minorBidi"/>
          <w:b w:val="0"/>
          <w:bCs w:val="0"/>
          <w:caps w:val="0"/>
          <w:noProof/>
          <w:kern w:val="0"/>
          <w:sz w:val="22"/>
          <w:szCs w:val="22"/>
          <w:lang w:val="en-AU" w:eastAsia="en-AU"/>
        </w:rPr>
      </w:pPr>
      <w:hyperlink w:anchor="_Toc475358468" w:history="1">
        <w:r w:rsidR="00A00095" w:rsidRPr="007D2174">
          <w:rPr>
            <w:rStyle w:val="Hyperlink"/>
            <w:rFonts w:ascii="Arial" w:hAnsi="Arial"/>
            <w:noProof/>
            <w:lang w:val="en-AU"/>
          </w:rPr>
          <w:t>3.0</w:t>
        </w:r>
        <w:r w:rsidR="00A00095">
          <w:rPr>
            <w:rFonts w:eastAsiaTheme="minorEastAsia" w:cstheme="minorBidi"/>
            <w:b w:val="0"/>
            <w:bCs w:val="0"/>
            <w:caps w:val="0"/>
            <w:noProof/>
            <w:kern w:val="0"/>
            <w:sz w:val="22"/>
            <w:szCs w:val="22"/>
            <w:lang w:val="en-AU" w:eastAsia="en-AU"/>
          </w:rPr>
          <w:tab/>
        </w:r>
        <w:r w:rsidR="00A00095" w:rsidRPr="007D2174">
          <w:rPr>
            <w:rStyle w:val="Hyperlink"/>
            <w:noProof/>
            <w:lang w:val="en-AU"/>
          </w:rPr>
          <w:t>Key findings</w:t>
        </w:r>
        <w:r w:rsidR="00A00095">
          <w:rPr>
            <w:noProof/>
            <w:webHidden/>
          </w:rPr>
          <w:tab/>
        </w:r>
        <w:r w:rsidR="00A00095">
          <w:rPr>
            <w:noProof/>
            <w:webHidden/>
          </w:rPr>
          <w:fldChar w:fldCharType="begin"/>
        </w:r>
        <w:r w:rsidR="00A00095">
          <w:rPr>
            <w:noProof/>
            <w:webHidden/>
          </w:rPr>
          <w:instrText xml:space="preserve"> PAGEREF _Toc475358468 \h </w:instrText>
        </w:r>
        <w:r w:rsidR="00A00095">
          <w:rPr>
            <w:noProof/>
            <w:webHidden/>
          </w:rPr>
        </w:r>
        <w:r w:rsidR="00A00095">
          <w:rPr>
            <w:noProof/>
            <w:webHidden/>
          </w:rPr>
          <w:fldChar w:fldCharType="separate"/>
        </w:r>
        <w:r>
          <w:rPr>
            <w:noProof/>
            <w:webHidden/>
          </w:rPr>
          <w:t>4</w:t>
        </w:r>
        <w:r w:rsidR="00A00095">
          <w:rPr>
            <w:noProof/>
            <w:webHidden/>
          </w:rPr>
          <w:fldChar w:fldCharType="end"/>
        </w:r>
      </w:hyperlink>
    </w:p>
    <w:p w14:paraId="5FAE11AE" w14:textId="569E9111"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69" w:history="1">
        <w:r w:rsidR="00A00095" w:rsidRPr="007D2174">
          <w:rPr>
            <w:rStyle w:val="Hyperlink"/>
            <w:rFonts w:ascii="Arial" w:hAnsi="Arial" w:cs="Arial"/>
            <w:noProof/>
            <w:lang w:val="en-AU"/>
          </w:rPr>
          <w:t>3.1</w:t>
        </w:r>
        <w:r w:rsidR="00A00095">
          <w:rPr>
            <w:rFonts w:eastAsiaTheme="minorEastAsia" w:cstheme="minorBidi"/>
            <w:smallCaps w:val="0"/>
            <w:noProof/>
            <w:kern w:val="0"/>
            <w:sz w:val="22"/>
            <w:szCs w:val="22"/>
            <w:lang w:val="en-AU" w:eastAsia="en-AU"/>
          </w:rPr>
          <w:tab/>
        </w:r>
        <w:r w:rsidR="00A00095" w:rsidRPr="007D2174">
          <w:rPr>
            <w:rStyle w:val="Hyperlink"/>
            <w:rFonts w:cs="Arial"/>
            <w:noProof/>
            <w:lang w:val="en-AU"/>
          </w:rPr>
          <w:t>Overall approach</w:t>
        </w:r>
        <w:r w:rsidR="00A00095">
          <w:rPr>
            <w:noProof/>
            <w:webHidden/>
          </w:rPr>
          <w:tab/>
        </w:r>
        <w:r w:rsidR="00A00095">
          <w:rPr>
            <w:noProof/>
            <w:webHidden/>
          </w:rPr>
          <w:fldChar w:fldCharType="begin"/>
        </w:r>
        <w:r w:rsidR="00A00095">
          <w:rPr>
            <w:noProof/>
            <w:webHidden/>
          </w:rPr>
          <w:instrText xml:space="preserve"> PAGEREF _Toc475358469 \h </w:instrText>
        </w:r>
        <w:r w:rsidR="00A00095">
          <w:rPr>
            <w:noProof/>
            <w:webHidden/>
          </w:rPr>
        </w:r>
        <w:r w:rsidR="00A00095">
          <w:rPr>
            <w:noProof/>
            <w:webHidden/>
          </w:rPr>
          <w:fldChar w:fldCharType="separate"/>
        </w:r>
        <w:r>
          <w:rPr>
            <w:noProof/>
            <w:webHidden/>
          </w:rPr>
          <w:t>7</w:t>
        </w:r>
        <w:r w:rsidR="00A00095">
          <w:rPr>
            <w:noProof/>
            <w:webHidden/>
          </w:rPr>
          <w:fldChar w:fldCharType="end"/>
        </w:r>
      </w:hyperlink>
    </w:p>
    <w:p w14:paraId="33E92B36" w14:textId="7AFA5643"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70" w:history="1">
        <w:r w:rsidR="00A00095" w:rsidRPr="007D2174">
          <w:rPr>
            <w:rStyle w:val="Hyperlink"/>
            <w:rFonts w:ascii="Arial" w:hAnsi="Arial"/>
            <w:noProof/>
            <w:lang w:val="en-AU"/>
          </w:rPr>
          <w:t>3.2</w:t>
        </w:r>
        <w:r w:rsidR="00A00095">
          <w:rPr>
            <w:rFonts w:eastAsiaTheme="minorEastAsia" w:cstheme="minorBidi"/>
            <w:smallCaps w:val="0"/>
            <w:noProof/>
            <w:kern w:val="0"/>
            <w:sz w:val="22"/>
            <w:szCs w:val="22"/>
            <w:lang w:val="en-AU" w:eastAsia="en-AU"/>
          </w:rPr>
          <w:tab/>
        </w:r>
        <w:r w:rsidR="00A00095" w:rsidRPr="007D2174">
          <w:rPr>
            <w:rStyle w:val="Hyperlink"/>
            <w:noProof/>
            <w:lang w:val="en-AU"/>
          </w:rPr>
          <w:t>Policy Dialogue Capacity</w:t>
        </w:r>
        <w:r w:rsidR="00A00095">
          <w:rPr>
            <w:noProof/>
            <w:webHidden/>
          </w:rPr>
          <w:tab/>
        </w:r>
        <w:r w:rsidR="00A00095">
          <w:rPr>
            <w:noProof/>
            <w:webHidden/>
          </w:rPr>
          <w:fldChar w:fldCharType="begin"/>
        </w:r>
        <w:r w:rsidR="00A00095">
          <w:rPr>
            <w:noProof/>
            <w:webHidden/>
          </w:rPr>
          <w:instrText xml:space="preserve"> PAGEREF _Toc475358470 \h </w:instrText>
        </w:r>
        <w:r w:rsidR="00A00095">
          <w:rPr>
            <w:noProof/>
            <w:webHidden/>
          </w:rPr>
        </w:r>
        <w:r w:rsidR="00A00095">
          <w:rPr>
            <w:noProof/>
            <w:webHidden/>
          </w:rPr>
          <w:fldChar w:fldCharType="separate"/>
        </w:r>
        <w:r>
          <w:rPr>
            <w:noProof/>
            <w:webHidden/>
          </w:rPr>
          <w:t>9</w:t>
        </w:r>
        <w:r w:rsidR="00A00095">
          <w:rPr>
            <w:noProof/>
            <w:webHidden/>
          </w:rPr>
          <w:fldChar w:fldCharType="end"/>
        </w:r>
      </w:hyperlink>
    </w:p>
    <w:p w14:paraId="132B78C8" w14:textId="64BAB443"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1" w:history="1">
        <w:r w:rsidR="00A00095" w:rsidRPr="007D2174">
          <w:rPr>
            <w:rStyle w:val="Hyperlink"/>
            <w:noProof/>
            <w:lang w:val="en-AU"/>
            <w14:scene3d>
              <w14:camera w14:prst="orthographicFront"/>
              <w14:lightRig w14:rig="threePt" w14:dir="t">
                <w14:rot w14:lat="0" w14:lon="0" w14:rev="0"/>
              </w14:lightRig>
            </w14:scene3d>
          </w:rPr>
          <w:t>3.2.1</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 xml:space="preserve">DFAT </w:t>
        </w:r>
        <w:r w:rsidR="006C5282">
          <w:rPr>
            <w:rStyle w:val="Hyperlink"/>
            <w:noProof/>
            <w:lang w:val="en-AU"/>
          </w:rPr>
          <w:t xml:space="preserve">Greater </w:t>
        </w:r>
        <w:r w:rsidR="00A00095" w:rsidRPr="007D2174">
          <w:rPr>
            <w:rStyle w:val="Hyperlink"/>
            <w:noProof/>
            <w:lang w:val="en-AU"/>
          </w:rPr>
          <w:t>Mekong Water</w:t>
        </w:r>
        <w:r w:rsidR="006C5282">
          <w:rPr>
            <w:rStyle w:val="Hyperlink"/>
            <w:noProof/>
            <w:lang w:val="en-AU"/>
          </w:rPr>
          <w:t xml:space="preserve"> Resources</w:t>
        </w:r>
        <w:r w:rsidR="00A00095" w:rsidRPr="007D2174">
          <w:rPr>
            <w:rStyle w:val="Hyperlink"/>
            <w:noProof/>
            <w:lang w:val="en-AU"/>
          </w:rPr>
          <w:t xml:space="preserve"> Team</w:t>
        </w:r>
        <w:r w:rsidR="00A00095">
          <w:rPr>
            <w:noProof/>
            <w:webHidden/>
          </w:rPr>
          <w:tab/>
        </w:r>
        <w:r w:rsidR="00A00095">
          <w:rPr>
            <w:noProof/>
            <w:webHidden/>
          </w:rPr>
          <w:fldChar w:fldCharType="begin"/>
        </w:r>
        <w:r w:rsidR="00A00095">
          <w:rPr>
            <w:noProof/>
            <w:webHidden/>
          </w:rPr>
          <w:instrText xml:space="preserve"> PAGEREF _Toc475358471 \h </w:instrText>
        </w:r>
        <w:r w:rsidR="00A00095">
          <w:rPr>
            <w:noProof/>
            <w:webHidden/>
          </w:rPr>
        </w:r>
        <w:r w:rsidR="00A00095">
          <w:rPr>
            <w:noProof/>
            <w:webHidden/>
          </w:rPr>
          <w:fldChar w:fldCharType="separate"/>
        </w:r>
        <w:r>
          <w:rPr>
            <w:noProof/>
            <w:webHidden/>
          </w:rPr>
          <w:t>9</w:t>
        </w:r>
        <w:r w:rsidR="00A00095">
          <w:rPr>
            <w:noProof/>
            <w:webHidden/>
          </w:rPr>
          <w:fldChar w:fldCharType="end"/>
        </w:r>
      </w:hyperlink>
    </w:p>
    <w:p w14:paraId="05C5530C" w14:textId="160D6C77"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2" w:history="1">
        <w:r w:rsidR="00A00095" w:rsidRPr="007D2174">
          <w:rPr>
            <w:rStyle w:val="Hyperlink"/>
            <w:noProof/>
            <w:lang w:val="en-AU"/>
            <w14:scene3d>
              <w14:camera w14:prst="orthographicFront"/>
              <w14:lightRig w14:rig="threePt" w14:dir="t">
                <w14:rot w14:lat="0" w14:lon="0" w14:rev="0"/>
              </w14:lightRig>
            </w14:scene3d>
          </w:rPr>
          <w:t>3.2.2</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Oxfam Australia</w:t>
        </w:r>
        <w:r w:rsidR="00A00095">
          <w:rPr>
            <w:noProof/>
            <w:webHidden/>
          </w:rPr>
          <w:tab/>
        </w:r>
        <w:r w:rsidR="00A00095">
          <w:rPr>
            <w:noProof/>
            <w:webHidden/>
          </w:rPr>
          <w:fldChar w:fldCharType="begin"/>
        </w:r>
        <w:r w:rsidR="00A00095">
          <w:rPr>
            <w:noProof/>
            <w:webHidden/>
          </w:rPr>
          <w:instrText xml:space="preserve"> PAGEREF _Toc475358472 \h </w:instrText>
        </w:r>
        <w:r w:rsidR="00A00095">
          <w:rPr>
            <w:noProof/>
            <w:webHidden/>
          </w:rPr>
        </w:r>
        <w:r w:rsidR="00A00095">
          <w:rPr>
            <w:noProof/>
            <w:webHidden/>
          </w:rPr>
          <w:fldChar w:fldCharType="separate"/>
        </w:r>
        <w:r>
          <w:rPr>
            <w:noProof/>
            <w:webHidden/>
          </w:rPr>
          <w:t>9</w:t>
        </w:r>
        <w:r w:rsidR="00A00095">
          <w:rPr>
            <w:noProof/>
            <w:webHidden/>
          </w:rPr>
          <w:fldChar w:fldCharType="end"/>
        </w:r>
      </w:hyperlink>
    </w:p>
    <w:p w14:paraId="7E0FA449" w14:textId="4DB782C4"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3" w:history="1">
        <w:r w:rsidR="00A00095" w:rsidRPr="007D2174">
          <w:rPr>
            <w:rStyle w:val="Hyperlink"/>
            <w:noProof/>
            <w:lang w:val="en-AU"/>
            <w14:scene3d>
              <w14:camera w14:prst="orthographicFront"/>
              <w14:lightRig w14:rig="threePt" w14:dir="t">
                <w14:rot w14:lat="0" w14:lon="0" w14:rev="0"/>
              </w14:lightRig>
            </w14:scene3d>
          </w:rPr>
          <w:t>3.2.3</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International Water Management Institute</w:t>
        </w:r>
        <w:r w:rsidR="00A00095">
          <w:rPr>
            <w:noProof/>
            <w:webHidden/>
          </w:rPr>
          <w:tab/>
        </w:r>
        <w:r w:rsidR="00A00095">
          <w:rPr>
            <w:noProof/>
            <w:webHidden/>
          </w:rPr>
          <w:fldChar w:fldCharType="begin"/>
        </w:r>
        <w:r w:rsidR="00A00095">
          <w:rPr>
            <w:noProof/>
            <w:webHidden/>
          </w:rPr>
          <w:instrText xml:space="preserve"> PAGEREF _Toc475358473 \h </w:instrText>
        </w:r>
        <w:r w:rsidR="00A00095">
          <w:rPr>
            <w:noProof/>
            <w:webHidden/>
          </w:rPr>
        </w:r>
        <w:r w:rsidR="00A00095">
          <w:rPr>
            <w:noProof/>
            <w:webHidden/>
          </w:rPr>
          <w:fldChar w:fldCharType="separate"/>
        </w:r>
        <w:r>
          <w:rPr>
            <w:noProof/>
            <w:webHidden/>
          </w:rPr>
          <w:t>10</w:t>
        </w:r>
        <w:r w:rsidR="00A00095">
          <w:rPr>
            <w:noProof/>
            <w:webHidden/>
          </w:rPr>
          <w:fldChar w:fldCharType="end"/>
        </w:r>
      </w:hyperlink>
    </w:p>
    <w:p w14:paraId="391E75D0" w14:textId="3D0F717A"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4" w:history="1">
        <w:r w:rsidR="00A00095" w:rsidRPr="007D2174">
          <w:rPr>
            <w:rStyle w:val="Hyperlink"/>
            <w:noProof/>
            <w:lang w:val="en-AU"/>
            <w14:scene3d>
              <w14:camera w14:prst="orthographicFront"/>
              <w14:lightRig w14:rig="threePt" w14:dir="t">
                <w14:rot w14:lat="0" w14:lon="0" w14:rev="0"/>
              </w14:lightRig>
            </w14:scene3d>
          </w:rPr>
          <w:t>3.2.4</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International Finance Corporation</w:t>
        </w:r>
        <w:r w:rsidR="00A00095">
          <w:rPr>
            <w:noProof/>
            <w:webHidden/>
          </w:rPr>
          <w:tab/>
        </w:r>
        <w:r w:rsidR="00A00095">
          <w:rPr>
            <w:noProof/>
            <w:webHidden/>
          </w:rPr>
          <w:fldChar w:fldCharType="begin"/>
        </w:r>
        <w:r w:rsidR="00A00095">
          <w:rPr>
            <w:noProof/>
            <w:webHidden/>
          </w:rPr>
          <w:instrText xml:space="preserve"> PAGEREF _Toc475358474 \h </w:instrText>
        </w:r>
        <w:r w:rsidR="00A00095">
          <w:rPr>
            <w:noProof/>
            <w:webHidden/>
          </w:rPr>
        </w:r>
        <w:r w:rsidR="00A00095">
          <w:rPr>
            <w:noProof/>
            <w:webHidden/>
          </w:rPr>
          <w:fldChar w:fldCharType="separate"/>
        </w:r>
        <w:r>
          <w:rPr>
            <w:noProof/>
            <w:webHidden/>
          </w:rPr>
          <w:t>11</w:t>
        </w:r>
        <w:r w:rsidR="00A00095">
          <w:rPr>
            <w:noProof/>
            <w:webHidden/>
          </w:rPr>
          <w:fldChar w:fldCharType="end"/>
        </w:r>
      </w:hyperlink>
    </w:p>
    <w:p w14:paraId="609A789D" w14:textId="3B29077F"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5" w:history="1">
        <w:r w:rsidR="00A00095" w:rsidRPr="007D2174">
          <w:rPr>
            <w:rStyle w:val="Hyperlink"/>
            <w:noProof/>
            <w:lang w:val="en-AU"/>
            <w14:scene3d>
              <w14:camera w14:prst="orthographicFront"/>
              <w14:lightRig w14:rig="threePt" w14:dir="t">
                <w14:rot w14:lat="0" w14:lon="0" w14:rev="0"/>
              </w14:lightRig>
            </w14:scene3d>
          </w:rPr>
          <w:t>3.2.5</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Mekong River Commission</w:t>
        </w:r>
        <w:r w:rsidR="00A00095">
          <w:rPr>
            <w:noProof/>
            <w:webHidden/>
          </w:rPr>
          <w:tab/>
        </w:r>
        <w:r w:rsidR="00A00095">
          <w:rPr>
            <w:noProof/>
            <w:webHidden/>
          </w:rPr>
          <w:fldChar w:fldCharType="begin"/>
        </w:r>
        <w:r w:rsidR="00A00095">
          <w:rPr>
            <w:noProof/>
            <w:webHidden/>
          </w:rPr>
          <w:instrText xml:space="preserve"> PAGEREF _Toc475358475 \h </w:instrText>
        </w:r>
        <w:r w:rsidR="00A00095">
          <w:rPr>
            <w:noProof/>
            <w:webHidden/>
          </w:rPr>
        </w:r>
        <w:r w:rsidR="00A00095">
          <w:rPr>
            <w:noProof/>
            <w:webHidden/>
          </w:rPr>
          <w:fldChar w:fldCharType="separate"/>
        </w:r>
        <w:r>
          <w:rPr>
            <w:noProof/>
            <w:webHidden/>
          </w:rPr>
          <w:t>12</w:t>
        </w:r>
        <w:r w:rsidR="00A00095">
          <w:rPr>
            <w:noProof/>
            <w:webHidden/>
          </w:rPr>
          <w:fldChar w:fldCharType="end"/>
        </w:r>
      </w:hyperlink>
    </w:p>
    <w:p w14:paraId="211206E3" w14:textId="291B32A6"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6" w:history="1">
        <w:r w:rsidR="00A00095" w:rsidRPr="007D2174">
          <w:rPr>
            <w:rStyle w:val="Hyperlink"/>
            <w:noProof/>
            <w:lang w:val="en-AU"/>
            <w14:scene3d>
              <w14:camera w14:prst="orthographicFront"/>
              <w14:lightRig w14:rig="threePt" w14:dir="t">
                <w14:rot w14:lat="0" w14:lon="0" w14:rev="0"/>
              </w14:lightRig>
            </w14:scene3d>
          </w:rPr>
          <w:t>3.2.6</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Ability to put gender equality on political agendas</w:t>
        </w:r>
        <w:r w:rsidR="00A00095">
          <w:rPr>
            <w:noProof/>
            <w:webHidden/>
          </w:rPr>
          <w:tab/>
        </w:r>
        <w:r w:rsidR="00A00095">
          <w:rPr>
            <w:noProof/>
            <w:webHidden/>
          </w:rPr>
          <w:fldChar w:fldCharType="begin"/>
        </w:r>
        <w:r w:rsidR="00A00095">
          <w:rPr>
            <w:noProof/>
            <w:webHidden/>
          </w:rPr>
          <w:instrText xml:space="preserve"> PAGEREF _Toc475358476 \h </w:instrText>
        </w:r>
        <w:r w:rsidR="00A00095">
          <w:rPr>
            <w:noProof/>
            <w:webHidden/>
          </w:rPr>
        </w:r>
        <w:r w:rsidR="00A00095">
          <w:rPr>
            <w:noProof/>
            <w:webHidden/>
          </w:rPr>
          <w:fldChar w:fldCharType="separate"/>
        </w:r>
        <w:r>
          <w:rPr>
            <w:noProof/>
            <w:webHidden/>
          </w:rPr>
          <w:t>13</w:t>
        </w:r>
        <w:r w:rsidR="00A00095">
          <w:rPr>
            <w:noProof/>
            <w:webHidden/>
          </w:rPr>
          <w:fldChar w:fldCharType="end"/>
        </w:r>
      </w:hyperlink>
    </w:p>
    <w:p w14:paraId="4B9F02DD" w14:textId="34D8E877"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7" w:history="1">
        <w:r w:rsidR="00A00095" w:rsidRPr="007D2174">
          <w:rPr>
            <w:rStyle w:val="Hyperlink"/>
            <w:noProof/>
            <w:lang w:val="en-AU" w:eastAsia="en-CA"/>
            <w14:scene3d>
              <w14:camera w14:prst="orthographicFront"/>
              <w14:lightRig w14:rig="threePt" w14:dir="t">
                <w14:rot w14:lat="0" w14:lon="0" w14:rev="0"/>
              </w14:lightRig>
            </w14:scene3d>
          </w:rPr>
          <w:t>3.2.7</w:t>
        </w:r>
        <w:r w:rsidR="00A00095">
          <w:rPr>
            <w:rFonts w:eastAsiaTheme="minorEastAsia" w:cstheme="minorBidi"/>
            <w:i w:val="0"/>
            <w:iCs w:val="0"/>
            <w:noProof/>
            <w:kern w:val="0"/>
            <w:sz w:val="22"/>
            <w:szCs w:val="22"/>
            <w:lang w:val="en-AU" w:eastAsia="en-AU"/>
          </w:rPr>
          <w:tab/>
        </w:r>
        <w:r w:rsidR="00A00095" w:rsidRPr="007D2174">
          <w:rPr>
            <w:rStyle w:val="Hyperlink"/>
            <w:noProof/>
            <w:lang w:val="en-AU" w:eastAsia="en-CA"/>
          </w:rPr>
          <w:t>GMWRP communications and influence to other investment</w:t>
        </w:r>
        <w:r w:rsidR="00A00095">
          <w:rPr>
            <w:noProof/>
            <w:webHidden/>
          </w:rPr>
          <w:tab/>
        </w:r>
        <w:r w:rsidR="00A00095">
          <w:rPr>
            <w:noProof/>
            <w:webHidden/>
          </w:rPr>
          <w:fldChar w:fldCharType="begin"/>
        </w:r>
        <w:r w:rsidR="00A00095">
          <w:rPr>
            <w:noProof/>
            <w:webHidden/>
          </w:rPr>
          <w:instrText xml:space="preserve"> PAGEREF _Toc475358477 \h </w:instrText>
        </w:r>
        <w:r w:rsidR="00A00095">
          <w:rPr>
            <w:noProof/>
            <w:webHidden/>
          </w:rPr>
        </w:r>
        <w:r w:rsidR="00A00095">
          <w:rPr>
            <w:noProof/>
            <w:webHidden/>
          </w:rPr>
          <w:fldChar w:fldCharType="separate"/>
        </w:r>
        <w:r>
          <w:rPr>
            <w:noProof/>
            <w:webHidden/>
          </w:rPr>
          <w:t>13</w:t>
        </w:r>
        <w:r w:rsidR="00A00095">
          <w:rPr>
            <w:noProof/>
            <w:webHidden/>
          </w:rPr>
          <w:fldChar w:fldCharType="end"/>
        </w:r>
      </w:hyperlink>
    </w:p>
    <w:p w14:paraId="2E3DAE4E" w14:textId="3C91818A"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8" w:history="1">
        <w:r w:rsidR="00A00095" w:rsidRPr="007D2174">
          <w:rPr>
            <w:rStyle w:val="Hyperlink"/>
            <w:noProof/>
            <w:lang w:val="en-AU" w:eastAsia="en-CA"/>
            <w14:scene3d>
              <w14:camera w14:prst="orthographicFront"/>
              <w14:lightRig w14:rig="threePt" w14:dir="t">
                <w14:rot w14:lat="0" w14:lon="0" w14:rev="0"/>
              </w14:lightRig>
            </w14:scene3d>
          </w:rPr>
          <w:t>3.2.8</w:t>
        </w:r>
        <w:r w:rsidR="00A00095">
          <w:rPr>
            <w:rFonts w:eastAsiaTheme="minorEastAsia" w:cstheme="minorBidi"/>
            <w:i w:val="0"/>
            <w:iCs w:val="0"/>
            <w:noProof/>
            <w:kern w:val="0"/>
            <w:sz w:val="22"/>
            <w:szCs w:val="22"/>
            <w:lang w:val="en-AU" w:eastAsia="en-AU"/>
          </w:rPr>
          <w:tab/>
        </w:r>
        <w:r w:rsidR="00A00095" w:rsidRPr="007D2174">
          <w:rPr>
            <w:rStyle w:val="Hyperlink"/>
            <w:noProof/>
            <w:lang w:val="en-AU" w:eastAsia="en-CA"/>
          </w:rPr>
          <w:t>Monitoring, evaluation and learning</w:t>
        </w:r>
        <w:r w:rsidR="00A00095">
          <w:rPr>
            <w:noProof/>
            <w:webHidden/>
          </w:rPr>
          <w:tab/>
        </w:r>
        <w:r w:rsidR="00A00095">
          <w:rPr>
            <w:noProof/>
            <w:webHidden/>
          </w:rPr>
          <w:fldChar w:fldCharType="begin"/>
        </w:r>
        <w:r w:rsidR="00A00095">
          <w:rPr>
            <w:noProof/>
            <w:webHidden/>
          </w:rPr>
          <w:instrText xml:space="preserve"> PAGEREF _Toc475358478 \h </w:instrText>
        </w:r>
        <w:r w:rsidR="00A00095">
          <w:rPr>
            <w:noProof/>
            <w:webHidden/>
          </w:rPr>
        </w:r>
        <w:r w:rsidR="00A00095">
          <w:rPr>
            <w:noProof/>
            <w:webHidden/>
          </w:rPr>
          <w:fldChar w:fldCharType="separate"/>
        </w:r>
        <w:r>
          <w:rPr>
            <w:noProof/>
            <w:webHidden/>
          </w:rPr>
          <w:t>14</w:t>
        </w:r>
        <w:r w:rsidR="00A00095">
          <w:rPr>
            <w:noProof/>
            <w:webHidden/>
          </w:rPr>
          <w:fldChar w:fldCharType="end"/>
        </w:r>
      </w:hyperlink>
    </w:p>
    <w:p w14:paraId="0F54ADE5" w14:textId="297289B1"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79" w:history="1">
        <w:r w:rsidR="00A00095" w:rsidRPr="007D2174">
          <w:rPr>
            <w:rStyle w:val="Hyperlink"/>
            <w:noProof/>
            <w:lang w:val="en-AU" w:eastAsia="en-CA"/>
            <w14:scene3d>
              <w14:camera w14:prst="orthographicFront"/>
              <w14:lightRig w14:rig="threePt" w14:dir="t">
                <w14:rot w14:lat="0" w14:lon="0" w14:rev="0"/>
              </w14:lightRig>
            </w14:scene3d>
          </w:rPr>
          <w:t>3.2.9</w:t>
        </w:r>
        <w:r w:rsidR="00A00095">
          <w:rPr>
            <w:rFonts w:eastAsiaTheme="minorEastAsia" w:cstheme="minorBidi"/>
            <w:i w:val="0"/>
            <w:iCs w:val="0"/>
            <w:noProof/>
            <w:kern w:val="0"/>
            <w:sz w:val="22"/>
            <w:szCs w:val="22"/>
            <w:lang w:val="en-AU" w:eastAsia="en-AU"/>
          </w:rPr>
          <w:tab/>
        </w:r>
        <w:r w:rsidR="00A00095" w:rsidRPr="007D2174">
          <w:rPr>
            <w:rStyle w:val="Hyperlink"/>
            <w:noProof/>
            <w:lang w:val="en-AU" w:eastAsia="en-CA"/>
          </w:rPr>
          <w:t>Comparative advantages</w:t>
        </w:r>
        <w:r w:rsidR="00A00095">
          <w:rPr>
            <w:noProof/>
            <w:webHidden/>
          </w:rPr>
          <w:tab/>
        </w:r>
        <w:r w:rsidR="00A00095">
          <w:rPr>
            <w:noProof/>
            <w:webHidden/>
          </w:rPr>
          <w:fldChar w:fldCharType="begin"/>
        </w:r>
        <w:r w:rsidR="00A00095">
          <w:rPr>
            <w:noProof/>
            <w:webHidden/>
          </w:rPr>
          <w:instrText xml:space="preserve"> PAGEREF _Toc475358479 \h </w:instrText>
        </w:r>
        <w:r w:rsidR="00A00095">
          <w:rPr>
            <w:noProof/>
            <w:webHidden/>
          </w:rPr>
        </w:r>
        <w:r w:rsidR="00A00095">
          <w:rPr>
            <w:noProof/>
            <w:webHidden/>
          </w:rPr>
          <w:fldChar w:fldCharType="separate"/>
        </w:r>
        <w:r>
          <w:rPr>
            <w:noProof/>
            <w:webHidden/>
          </w:rPr>
          <w:t>15</w:t>
        </w:r>
        <w:r w:rsidR="00A00095">
          <w:rPr>
            <w:noProof/>
            <w:webHidden/>
          </w:rPr>
          <w:fldChar w:fldCharType="end"/>
        </w:r>
      </w:hyperlink>
    </w:p>
    <w:p w14:paraId="3E9FEF93" w14:textId="1CDE9F5D"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80" w:history="1">
        <w:r w:rsidR="00A00095" w:rsidRPr="007D2174">
          <w:rPr>
            <w:rStyle w:val="Hyperlink"/>
            <w:rFonts w:ascii="Arial" w:hAnsi="Arial"/>
            <w:noProof/>
            <w:lang w:val="en-AU"/>
          </w:rPr>
          <w:t>3.3</w:t>
        </w:r>
        <w:r w:rsidR="00A00095">
          <w:rPr>
            <w:rFonts w:eastAsiaTheme="minorEastAsia" w:cstheme="minorBidi"/>
            <w:smallCaps w:val="0"/>
            <w:noProof/>
            <w:kern w:val="0"/>
            <w:sz w:val="22"/>
            <w:szCs w:val="22"/>
            <w:lang w:val="en-AU" w:eastAsia="en-AU"/>
          </w:rPr>
          <w:tab/>
        </w:r>
        <w:r w:rsidR="00A00095" w:rsidRPr="007D2174">
          <w:rPr>
            <w:rStyle w:val="Hyperlink"/>
            <w:noProof/>
            <w:lang w:val="en-AU"/>
          </w:rPr>
          <w:t>innovations that could be incorporated</w:t>
        </w:r>
        <w:r w:rsidR="00A00095">
          <w:rPr>
            <w:noProof/>
            <w:webHidden/>
          </w:rPr>
          <w:tab/>
        </w:r>
        <w:r w:rsidR="00A00095">
          <w:rPr>
            <w:noProof/>
            <w:webHidden/>
          </w:rPr>
          <w:fldChar w:fldCharType="begin"/>
        </w:r>
        <w:r w:rsidR="00A00095">
          <w:rPr>
            <w:noProof/>
            <w:webHidden/>
          </w:rPr>
          <w:instrText xml:space="preserve"> PAGEREF _Toc475358480 \h </w:instrText>
        </w:r>
        <w:r w:rsidR="00A00095">
          <w:rPr>
            <w:noProof/>
            <w:webHidden/>
          </w:rPr>
        </w:r>
        <w:r w:rsidR="00A00095">
          <w:rPr>
            <w:noProof/>
            <w:webHidden/>
          </w:rPr>
          <w:fldChar w:fldCharType="separate"/>
        </w:r>
        <w:r>
          <w:rPr>
            <w:noProof/>
            <w:webHidden/>
          </w:rPr>
          <w:t>15</w:t>
        </w:r>
        <w:r w:rsidR="00A00095">
          <w:rPr>
            <w:noProof/>
            <w:webHidden/>
          </w:rPr>
          <w:fldChar w:fldCharType="end"/>
        </w:r>
      </w:hyperlink>
    </w:p>
    <w:p w14:paraId="18B6BBE3" w14:textId="102C5E1E"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81" w:history="1">
        <w:r w:rsidR="00A00095" w:rsidRPr="007D2174">
          <w:rPr>
            <w:rStyle w:val="Hyperlink"/>
            <w:noProof/>
            <w:lang w:val="en-AU"/>
            <w14:scene3d>
              <w14:camera w14:prst="orthographicFront"/>
              <w14:lightRig w14:rig="threePt" w14:dir="t">
                <w14:rot w14:lat="0" w14:lon="0" w14:rev="0"/>
              </w14:lightRig>
            </w14:scene3d>
          </w:rPr>
          <w:t>3.3.1</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Joint communications products</w:t>
        </w:r>
        <w:r w:rsidR="00A00095">
          <w:rPr>
            <w:noProof/>
            <w:webHidden/>
          </w:rPr>
          <w:tab/>
        </w:r>
        <w:r w:rsidR="00A00095">
          <w:rPr>
            <w:noProof/>
            <w:webHidden/>
          </w:rPr>
          <w:fldChar w:fldCharType="begin"/>
        </w:r>
        <w:r w:rsidR="00A00095">
          <w:rPr>
            <w:noProof/>
            <w:webHidden/>
          </w:rPr>
          <w:instrText xml:space="preserve"> PAGEREF _Toc475358481 \h </w:instrText>
        </w:r>
        <w:r w:rsidR="00A00095">
          <w:rPr>
            <w:noProof/>
            <w:webHidden/>
          </w:rPr>
        </w:r>
        <w:r w:rsidR="00A00095">
          <w:rPr>
            <w:noProof/>
            <w:webHidden/>
          </w:rPr>
          <w:fldChar w:fldCharType="separate"/>
        </w:r>
        <w:r>
          <w:rPr>
            <w:noProof/>
            <w:webHidden/>
          </w:rPr>
          <w:t>15</w:t>
        </w:r>
        <w:r w:rsidR="00A00095">
          <w:rPr>
            <w:noProof/>
            <w:webHidden/>
          </w:rPr>
          <w:fldChar w:fldCharType="end"/>
        </w:r>
      </w:hyperlink>
    </w:p>
    <w:p w14:paraId="3552B301" w14:textId="149D6591"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82" w:history="1">
        <w:r w:rsidR="00A00095" w:rsidRPr="007D2174">
          <w:rPr>
            <w:rStyle w:val="Hyperlink"/>
            <w:noProof/>
            <w:lang w:val="en-AU" w:bidi="th-TH"/>
            <w14:scene3d>
              <w14:camera w14:prst="orthographicFront"/>
              <w14:lightRig w14:rig="threePt" w14:dir="t">
                <w14:rot w14:lat="0" w14:lon="0" w14:rev="0"/>
              </w14:lightRig>
            </w14:scene3d>
          </w:rPr>
          <w:t>3.3.2</w:t>
        </w:r>
        <w:r w:rsidR="00A00095">
          <w:rPr>
            <w:rFonts w:eastAsiaTheme="minorEastAsia" w:cstheme="minorBidi"/>
            <w:i w:val="0"/>
            <w:iCs w:val="0"/>
            <w:noProof/>
            <w:kern w:val="0"/>
            <w:sz w:val="22"/>
            <w:szCs w:val="22"/>
            <w:lang w:val="en-AU" w:eastAsia="en-AU"/>
          </w:rPr>
          <w:tab/>
        </w:r>
        <w:r w:rsidR="00A00095" w:rsidRPr="007D2174">
          <w:rPr>
            <w:rStyle w:val="Hyperlink"/>
            <w:noProof/>
            <w:lang w:val="en-AU" w:bidi="th-TH"/>
          </w:rPr>
          <w:t>Organising more focused dialogue processes</w:t>
        </w:r>
        <w:r w:rsidR="00A00095">
          <w:rPr>
            <w:noProof/>
            <w:webHidden/>
          </w:rPr>
          <w:tab/>
        </w:r>
        <w:r w:rsidR="00A00095">
          <w:rPr>
            <w:noProof/>
            <w:webHidden/>
          </w:rPr>
          <w:fldChar w:fldCharType="begin"/>
        </w:r>
        <w:r w:rsidR="00A00095">
          <w:rPr>
            <w:noProof/>
            <w:webHidden/>
          </w:rPr>
          <w:instrText xml:space="preserve"> PAGEREF _Toc475358482 \h </w:instrText>
        </w:r>
        <w:r w:rsidR="00A00095">
          <w:rPr>
            <w:noProof/>
            <w:webHidden/>
          </w:rPr>
        </w:r>
        <w:r w:rsidR="00A00095">
          <w:rPr>
            <w:noProof/>
            <w:webHidden/>
          </w:rPr>
          <w:fldChar w:fldCharType="separate"/>
        </w:r>
        <w:r>
          <w:rPr>
            <w:noProof/>
            <w:webHidden/>
          </w:rPr>
          <w:t>15</w:t>
        </w:r>
        <w:r w:rsidR="00A00095">
          <w:rPr>
            <w:noProof/>
            <w:webHidden/>
          </w:rPr>
          <w:fldChar w:fldCharType="end"/>
        </w:r>
      </w:hyperlink>
    </w:p>
    <w:p w14:paraId="40AA0867" w14:textId="5221E06C"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83" w:history="1">
        <w:r w:rsidR="00A00095" w:rsidRPr="007D2174">
          <w:rPr>
            <w:rStyle w:val="Hyperlink"/>
            <w:rFonts w:ascii="Arial" w:hAnsi="Arial"/>
            <w:noProof/>
            <w:lang w:val="en-AU"/>
          </w:rPr>
          <w:t>3.4</w:t>
        </w:r>
        <w:r w:rsidR="00A00095">
          <w:rPr>
            <w:rFonts w:eastAsiaTheme="minorEastAsia" w:cstheme="minorBidi"/>
            <w:smallCaps w:val="0"/>
            <w:noProof/>
            <w:kern w:val="0"/>
            <w:sz w:val="22"/>
            <w:szCs w:val="22"/>
            <w:lang w:val="en-AU" w:eastAsia="en-AU"/>
          </w:rPr>
          <w:tab/>
        </w:r>
        <w:r w:rsidR="00A00095" w:rsidRPr="007D2174">
          <w:rPr>
            <w:rStyle w:val="Hyperlink"/>
            <w:noProof/>
            <w:lang w:val="en-AU"/>
          </w:rPr>
          <w:t>lessons from similar programs</w:t>
        </w:r>
        <w:r w:rsidR="00A00095">
          <w:rPr>
            <w:noProof/>
            <w:webHidden/>
          </w:rPr>
          <w:tab/>
        </w:r>
        <w:r w:rsidR="00A00095">
          <w:rPr>
            <w:noProof/>
            <w:webHidden/>
          </w:rPr>
          <w:fldChar w:fldCharType="begin"/>
        </w:r>
        <w:r w:rsidR="00A00095">
          <w:rPr>
            <w:noProof/>
            <w:webHidden/>
          </w:rPr>
          <w:instrText xml:space="preserve"> PAGEREF _Toc475358483 \h </w:instrText>
        </w:r>
        <w:r w:rsidR="00A00095">
          <w:rPr>
            <w:noProof/>
            <w:webHidden/>
          </w:rPr>
        </w:r>
        <w:r w:rsidR="00A00095">
          <w:rPr>
            <w:noProof/>
            <w:webHidden/>
          </w:rPr>
          <w:fldChar w:fldCharType="separate"/>
        </w:r>
        <w:r>
          <w:rPr>
            <w:noProof/>
            <w:webHidden/>
          </w:rPr>
          <w:t>16</w:t>
        </w:r>
        <w:r w:rsidR="00A00095">
          <w:rPr>
            <w:noProof/>
            <w:webHidden/>
          </w:rPr>
          <w:fldChar w:fldCharType="end"/>
        </w:r>
      </w:hyperlink>
    </w:p>
    <w:p w14:paraId="5611257E" w14:textId="66D32291"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84" w:history="1">
        <w:r w:rsidR="00A00095" w:rsidRPr="007D2174">
          <w:rPr>
            <w:rStyle w:val="Hyperlink"/>
            <w:noProof/>
            <w:lang w:val="en-AU"/>
            <w14:scene3d>
              <w14:camera w14:prst="orthographicFront"/>
              <w14:lightRig w14:rig="threePt" w14:dir="t">
                <w14:rot w14:lat="0" w14:lon="0" w14:rev="0"/>
              </w14:lightRig>
            </w14:scene3d>
          </w:rPr>
          <w:t>3.4.1</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Adding to the IFC work with hydro developers</w:t>
        </w:r>
        <w:r w:rsidR="00A00095">
          <w:rPr>
            <w:noProof/>
            <w:webHidden/>
          </w:rPr>
          <w:tab/>
        </w:r>
        <w:r w:rsidR="00A00095">
          <w:rPr>
            <w:noProof/>
            <w:webHidden/>
          </w:rPr>
          <w:fldChar w:fldCharType="begin"/>
        </w:r>
        <w:r w:rsidR="00A00095">
          <w:rPr>
            <w:noProof/>
            <w:webHidden/>
          </w:rPr>
          <w:instrText xml:space="preserve"> PAGEREF _Toc475358484 \h </w:instrText>
        </w:r>
        <w:r w:rsidR="00A00095">
          <w:rPr>
            <w:noProof/>
            <w:webHidden/>
          </w:rPr>
        </w:r>
        <w:r w:rsidR="00A00095">
          <w:rPr>
            <w:noProof/>
            <w:webHidden/>
          </w:rPr>
          <w:fldChar w:fldCharType="separate"/>
        </w:r>
        <w:r>
          <w:rPr>
            <w:noProof/>
            <w:webHidden/>
          </w:rPr>
          <w:t>16</w:t>
        </w:r>
        <w:r w:rsidR="00A00095">
          <w:rPr>
            <w:noProof/>
            <w:webHidden/>
          </w:rPr>
          <w:fldChar w:fldCharType="end"/>
        </w:r>
      </w:hyperlink>
    </w:p>
    <w:p w14:paraId="6AD836F3" w14:textId="1608E747"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85" w:history="1">
        <w:r w:rsidR="00A00095" w:rsidRPr="007D2174">
          <w:rPr>
            <w:rStyle w:val="Hyperlink"/>
            <w:noProof/>
            <w:lang w:val="en-AU"/>
            <w14:scene3d>
              <w14:camera w14:prst="orthographicFront"/>
              <w14:lightRig w14:rig="threePt" w14:dir="t">
                <w14:rot w14:lat="0" w14:lon="0" w14:rev="0"/>
              </w14:lightRig>
            </w14:scene3d>
          </w:rPr>
          <w:t>3.4.2</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Alternative approaches to the IWMI WLE R4D</w:t>
        </w:r>
        <w:r w:rsidR="00A00095">
          <w:rPr>
            <w:noProof/>
            <w:webHidden/>
          </w:rPr>
          <w:tab/>
        </w:r>
        <w:r w:rsidR="00A00095">
          <w:rPr>
            <w:noProof/>
            <w:webHidden/>
          </w:rPr>
          <w:fldChar w:fldCharType="begin"/>
        </w:r>
        <w:r w:rsidR="00A00095">
          <w:rPr>
            <w:noProof/>
            <w:webHidden/>
          </w:rPr>
          <w:instrText xml:space="preserve"> PAGEREF _Toc475358485 \h </w:instrText>
        </w:r>
        <w:r w:rsidR="00A00095">
          <w:rPr>
            <w:noProof/>
            <w:webHidden/>
          </w:rPr>
        </w:r>
        <w:r w:rsidR="00A00095">
          <w:rPr>
            <w:noProof/>
            <w:webHidden/>
          </w:rPr>
          <w:fldChar w:fldCharType="separate"/>
        </w:r>
        <w:r>
          <w:rPr>
            <w:noProof/>
            <w:webHidden/>
          </w:rPr>
          <w:t>16</w:t>
        </w:r>
        <w:r w:rsidR="00A00095">
          <w:rPr>
            <w:noProof/>
            <w:webHidden/>
          </w:rPr>
          <w:fldChar w:fldCharType="end"/>
        </w:r>
      </w:hyperlink>
    </w:p>
    <w:p w14:paraId="03C102DD" w14:textId="24BBC372"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86" w:history="1">
        <w:r w:rsidR="00A00095" w:rsidRPr="007D2174">
          <w:rPr>
            <w:rStyle w:val="Hyperlink"/>
            <w:noProof/>
            <w14:scene3d>
              <w14:camera w14:prst="orthographicFront"/>
              <w14:lightRig w14:rig="threePt" w14:dir="t">
                <w14:rot w14:lat="0" w14:lon="0" w14:rev="0"/>
              </w14:lightRig>
            </w14:scene3d>
          </w:rPr>
          <w:t>3.4.3</w:t>
        </w:r>
        <w:r w:rsidR="00A00095">
          <w:rPr>
            <w:rFonts w:eastAsiaTheme="minorEastAsia" w:cstheme="minorBidi"/>
            <w:i w:val="0"/>
            <w:iCs w:val="0"/>
            <w:noProof/>
            <w:kern w:val="0"/>
            <w:sz w:val="22"/>
            <w:szCs w:val="22"/>
            <w:lang w:val="en-AU" w:eastAsia="en-AU"/>
          </w:rPr>
          <w:tab/>
        </w:r>
        <w:r w:rsidR="00A00095" w:rsidRPr="007D2174">
          <w:rPr>
            <w:rStyle w:val="Hyperlink"/>
            <w:noProof/>
          </w:rPr>
          <w:t>Considerations for Oxfam Inclusion Project</w:t>
        </w:r>
        <w:r w:rsidR="00A00095">
          <w:rPr>
            <w:noProof/>
            <w:webHidden/>
          </w:rPr>
          <w:tab/>
        </w:r>
        <w:r w:rsidR="00A00095">
          <w:rPr>
            <w:noProof/>
            <w:webHidden/>
          </w:rPr>
          <w:fldChar w:fldCharType="begin"/>
        </w:r>
        <w:r w:rsidR="00A00095">
          <w:rPr>
            <w:noProof/>
            <w:webHidden/>
          </w:rPr>
          <w:instrText xml:space="preserve"> PAGEREF _Toc475358486 \h </w:instrText>
        </w:r>
        <w:r w:rsidR="00A00095">
          <w:rPr>
            <w:noProof/>
            <w:webHidden/>
          </w:rPr>
        </w:r>
        <w:r w:rsidR="00A00095">
          <w:rPr>
            <w:noProof/>
            <w:webHidden/>
          </w:rPr>
          <w:fldChar w:fldCharType="separate"/>
        </w:r>
        <w:r>
          <w:rPr>
            <w:noProof/>
            <w:webHidden/>
          </w:rPr>
          <w:t>17</w:t>
        </w:r>
        <w:r w:rsidR="00A00095">
          <w:rPr>
            <w:noProof/>
            <w:webHidden/>
          </w:rPr>
          <w:fldChar w:fldCharType="end"/>
        </w:r>
      </w:hyperlink>
    </w:p>
    <w:p w14:paraId="1E97920F" w14:textId="54084004"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87" w:history="1">
        <w:r w:rsidR="00A00095" w:rsidRPr="007D2174">
          <w:rPr>
            <w:rStyle w:val="Hyperlink"/>
            <w:noProof/>
            <w14:scene3d>
              <w14:camera w14:prst="orthographicFront"/>
              <w14:lightRig w14:rig="threePt" w14:dir="t">
                <w14:rot w14:lat="0" w14:lon="0" w14:rev="0"/>
              </w14:lightRig>
            </w14:scene3d>
          </w:rPr>
          <w:t>3.4.4</w:t>
        </w:r>
        <w:r w:rsidR="00A00095">
          <w:rPr>
            <w:rFonts w:eastAsiaTheme="minorEastAsia" w:cstheme="minorBidi"/>
            <w:i w:val="0"/>
            <w:iCs w:val="0"/>
            <w:noProof/>
            <w:kern w:val="0"/>
            <w:sz w:val="22"/>
            <w:szCs w:val="22"/>
            <w:lang w:val="en-AU" w:eastAsia="en-AU"/>
          </w:rPr>
          <w:tab/>
        </w:r>
        <w:r w:rsidR="00A00095" w:rsidRPr="007D2174">
          <w:rPr>
            <w:rStyle w:val="Hyperlink"/>
            <w:noProof/>
          </w:rPr>
          <w:t>Alternative approaches for government/inter-governmental dialogue</w:t>
        </w:r>
        <w:r w:rsidR="00A00095">
          <w:rPr>
            <w:noProof/>
            <w:webHidden/>
          </w:rPr>
          <w:tab/>
        </w:r>
        <w:r w:rsidR="00A00095">
          <w:rPr>
            <w:noProof/>
            <w:webHidden/>
          </w:rPr>
          <w:fldChar w:fldCharType="begin"/>
        </w:r>
        <w:r w:rsidR="00A00095">
          <w:rPr>
            <w:noProof/>
            <w:webHidden/>
          </w:rPr>
          <w:instrText xml:space="preserve"> PAGEREF _Toc475358487 \h </w:instrText>
        </w:r>
        <w:r w:rsidR="00A00095">
          <w:rPr>
            <w:noProof/>
            <w:webHidden/>
          </w:rPr>
        </w:r>
        <w:r w:rsidR="00A00095">
          <w:rPr>
            <w:noProof/>
            <w:webHidden/>
          </w:rPr>
          <w:fldChar w:fldCharType="separate"/>
        </w:r>
        <w:r>
          <w:rPr>
            <w:noProof/>
            <w:webHidden/>
          </w:rPr>
          <w:t>19</w:t>
        </w:r>
        <w:r w:rsidR="00A00095">
          <w:rPr>
            <w:noProof/>
            <w:webHidden/>
          </w:rPr>
          <w:fldChar w:fldCharType="end"/>
        </w:r>
      </w:hyperlink>
    </w:p>
    <w:p w14:paraId="37CAFEA6" w14:textId="422E3A3E" w:rsidR="00A00095" w:rsidRDefault="00E703DB">
      <w:pPr>
        <w:pStyle w:val="TOC1"/>
        <w:tabs>
          <w:tab w:val="left" w:pos="660"/>
          <w:tab w:val="right" w:leader="dot" w:pos="9469"/>
        </w:tabs>
        <w:rPr>
          <w:rFonts w:eastAsiaTheme="minorEastAsia" w:cstheme="minorBidi"/>
          <w:b w:val="0"/>
          <w:bCs w:val="0"/>
          <w:caps w:val="0"/>
          <w:noProof/>
          <w:kern w:val="0"/>
          <w:sz w:val="22"/>
          <w:szCs w:val="22"/>
          <w:lang w:val="en-AU" w:eastAsia="en-AU"/>
        </w:rPr>
      </w:pPr>
      <w:hyperlink w:anchor="_Toc475358488" w:history="1">
        <w:r w:rsidR="00A00095" w:rsidRPr="007D2174">
          <w:rPr>
            <w:rStyle w:val="Hyperlink"/>
            <w:rFonts w:ascii="Arial" w:hAnsi="Arial"/>
            <w:noProof/>
          </w:rPr>
          <w:t>4.0</w:t>
        </w:r>
        <w:r w:rsidR="00A00095">
          <w:rPr>
            <w:rFonts w:eastAsiaTheme="minorEastAsia" w:cstheme="minorBidi"/>
            <w:b w:val="0"/>
            <w:bCs w:val="0"/>
            <w:caps w:val="0"/>
            <w:noProof/>
            <w:kern w:val="0"/>
            <w:sz w:val="22"/>
            <w:szCs w:val="22"/>
            <w:lang w:val="en-AU" w:eastAsia="en-AU"/>
          </w:rPr>
          <w:tab/>
        </w:r>
        <w:r w:rsidR="00A00095" w:rsidRPr="007D2174">
          <w:rPr>
            <w:rStyle w:val="Hyperlink"/>
            <w:noProof/>
          </w:rPr>
          <w:t>Conclusions and Recommendations</w:t>
        </w:r>
        <w:r w:rsidR="00A00095">
          <w:rPr>
            <w:noProof/>
            <w:webHidden/>
          </w:rPr>
          <w:tab/>
        </w:r>
        <w:r w:rsidR="00A00095">
          <w:rPr>
            <w:noProof/>
            <w:webHidden/>
          </w:rPr>
          <w:fldChar w:fldCharType="begin"/>
        </w:r>
        <w:r w:rsidR="00A00095">
          <w:rPr>
            <w:noProof/>
            <w:webHidden/>
          </w:rPr>
          <w:instrText xml:space="preserve"> PAGEREF _Toc475358488 \h </w:instrText>
        </w:r>
        <w:r w:rsidR="00A00095">
          <w:rPr>
            <w:noProof/>
            <w:webHidden/>
          </w:rPr>
        </w:r>
        <w:r w:rsidR="00A00095">
          <w:rPr>
            <w:noProof/>
            <w:webHidden/>
          </w:rPr>
          <w:fldChar w:fldCharType="separate"/>
        </w:r>
        <w:r>
          <w:rPr>
            <w:noProof/>
            <w:webHidden/>
          </w:rPr>
          <w:t>20</w:t>
        </w:r>
        <w:r w:rsidR="00A00095">
          <w:rPr>
            <w:noProof/>
            <w:webHidden/>
          </w:rPr>
          <w:fldChar w:fldCharType="end"/>
        </w:r>
      </w:hyperlink>
    </w:p>
    <w:p w14:paraId="0197FECD" w14:textId="189B5F76"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89" w:history="1">
        <w:r w:rsidR="00A00095" w:rsidRPr="007D2174">
          <w:rPr>
            <w:rStyle w:val="Hyperlink"/>
            <w:rFonts w:ascii="Arial" w:hAnsi="Arial"/>
            <w:noProof/>
          </w:rPr>
          <w:t>4.1</w:t>
        </w:r>
        <w:r w:rsidR="00A00095">
          <w:rPr>
            <w:rFonts w:eastAsiaTheme="minorEastAsia" w:cstheme="minorBidi"/>
            <w:smallCaps w:val="0"/>
            <w:noProof/>
            <w:kern w:val="0"/>
            <w:sz w:val="22"/>
            <w:szCs w:val="22"/>
            <w:lang w:val="en-AU" w:eastAsia="en-AU"/>
          </w:rPr>
          <w:tab/>
        </w:r>
        <w:r w:rsidR="00A00095" w:rsidRPr="007D2174">
          <w:rPr>
            <w:rStyle w:val="Hyperlink"/>
            <w:noProof/>
          </w:rPr>
          <w:t>Key achievements</w:t>
        </w:r>
        <w:r w:rsidR="00A00095">
          <w:rPr>
            <w:noProof/>
            <w:webHidden/>
          </w:rPr>
          <w:tab/>
        </w:r>
        <w:r w:rsidR="00A00095">
          <w:rPr>
            <w:noProof/>
            <w:webHidden/>
          </w:rPr>
          <w:fldChar w:fldCharType="begin"/>
        </w:r>
        <w:r w:rsidR="00A00095">
          <w:rPr>
            <w:noProof/>
            <w:webHidden/>
          </w:rPr>
          <w:instrText xml:space="preserve"> PAGEREF _Toc475358489 \h </w:instrText>
        </w:r>
        <w:r w:rsidR="00A00095">
          <w:rPr>
            <w:noProof/>
            <w:webHidden/>
          </w:rPr>
        </w:r>
        <w:r w:rsidR="00A00095">
          <w:rPr>
            <w:noProof/>
            <w:webHidden/>
          </w:rPr>
          <w:fldChar w:fldCharType="separate"/>
        </w:r>
        <w:r>
          <w:rPr>
            <w:noProof/>
            <w:webHidden/>
          </w:rPr>
          <w:t>21</w:t>
        </w:r>
        <w:r w:rsidR="00A00095">
          <w:rPr>
            <w:noProof/>
            <w:webHidden/>
          </w:rPr>
          <w:fldChar w:fldCharType="end"/>
        </w:r>
      </w:hyperlink>
    </w:p>
    <w:p w14:paraId="3F169F71" w14:textId="5FBF0A6B"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90" w:history="1">
        <w:r w:rsidR="00A00095" w:rsidRPr="007D2174">
          <w:rPr>
            <w:rStyle w:val="Hyperlink"/>
            <w:rFonts w:ascii="Arial" w:hAnsi="Arial"/>
            <w:noProof/>
          </w:rPr>
          <w:t>4.2</w:t>
        </w:r>
        <w:r w:rsidR="00A00095">
          <w:rPr>
            <w:rFonts w:eastAsiaTheme="minorEastAsia" w:cstheme="minorBidi"/>
            <w:smallCaps w:val="0"/>
            <w:noProof/>
            <w:kern w:val="0"/>
            <w:sz w:val="22"/>
            <w:szCs w:val="22"/>
            <w:lang w:val="en-AU" w:eastAsia="en-AU"/>
          </w:rPr>
          <w:tab/>
        </w:r>
        <w:r w:rsidR="00A00095" w:rsidRPr="007D2174">
          <w:rPr>
            <w:rStyle w:val="Hyperlink"/>
            <w:noProof/>
          </w:rPr>
          <w:t>Logic and effectiveness</w:t>
        </w:r>
        <w:r w:rsidR="00A00095">
          <w:rPr>
            <w:noProof/>
            <w:webHidden/>
          </w:rPr>
          <w:tab/>
        </w:r>
        <w:r w:rsidR="00A00095">
          <w:rPr>
            <w:noProof/>
            <w:webHidden/>
          </w:rPr>
          <w:fldChar w:fldCharType="begin"/>
        </w:r>
        <w:r w:rsidR="00A00095">
          <w:rPr>
            <w:noProof/>
            <w:webHidden/>
          </w:rPr>
          <w:instrText xml:space="preserve"> PAGEREF _Toc475358490 \h </w:instrText>
        </w:r>
        <w:r w:rsidR="00A00095">
          <w:rPr>
            <w:noProof/>
            <w:webHidden/>
          </w:rPr>
        </w:r>
        <w:r w:rsidR="00A00095">
          <w:rPr>
            <w:noProof/>
            <w:webHidden/>
          </w:rPr>
          <w:fldChar w:fldCharType="separate"/>
        </w:r>
        <w:r>
          <w:rPr>
            <w:noProof/>
            <w:webHidden/>
          </w:rPr>
          <w:t>21</w:t>
        </w:r>
        <w:r w:rsidR="00A00095">
          <w:rPr>
            <w:noProof/>
            <w:webHidden/>
          </w:rPr>
          <w:fldChar w:fldCharType="end"/>
        </w:r>
      </w:hyperlink>
    </w:p>
    <w:p w14:paraId="61EF88E4" w14:textId="6DDA9189"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91" w:history="1">
        <w:r w:rsidR="00A00095" w:rsidRPr="007D2174">
          <w:rPr>
            <w:rStyle w:val="Hyperlink"/>
            <w:noProof/>
            <w14:scene3d>
              <w14:camera w14:prst="orthographicFront"/>
              <w14:lightRig w14:rig="threePt" w14:dir="t">
                <w14:rot w14:lat="0" w14:lon="0" w14:rev="0"/>
              </w14:lightRig>
            </w14:scene3d>
          </w:rPr>
          <w:t>4.2.1</w:t>
        </w:r>
        <w:r w:rsidR="00A00095">
          <w:rPr>
            <w:rFonts w:eastAsiaTheme="minorEastAsia" w:cstheme="minorBidi"/>
            <w:i w:val="0"/>
            <w:iCs w:val="0"/>
            <w:noProof/>
            <w:kern w:val="0"/>
            <w:sz w:val="22"/>
            <w:szCs w:val="22"/>
            <w:lang w:val="en-AU" w:eastAsia="en-AU"/>
          </w:rPr>
          <w:tab/>
        </w:r>
        <w:r w:rsidR="00A00095" w:rsidRPr="007D2174">
          <w:rPr>
            <w:rStyle w:val="Hyperlink"/>
            <w:noProof/>
          </w:rPr>
          <w:t>Contextualising policy dialogue</w:t>
        </w:r>
        <w:r w:rsidR="00A00095">
          <w:rPr>
            <w:noProof/>
            <w:webHidden/>
          </w:rPr>
          <w:tab/>
        </w:r>
        <w:r w:rsidR="00A00095">
          <w:rPr>
            <w:noProof/>
            <w:webHidden/>
          </w:rPr>
          <w:fldChar w:fldCharType="begin"/>
        </w:r>
        <w:r w:rsidR="00A00095">
          <w:rPr>
            <w:noProof/>
            <w:webHidden/>
          </w:rPr>
          <w:instrText xml:space="preserve"> PAGEREF _Toc475358491 \h </w:instrText>
        </w:r>
        <w:r w:rsidR="00A00095">
          <w:rPr>
            <w:noProof/>
            <w:webHidden/>
          </w:rPr>
        </w:r>
        <w:r w:rsidR="00A00095">
          <w:rPr>
            <w:noProof/>
            <w:webHidden/>
          </w:rPr>
          <w:fldChar w:fldCharType="separate"/>
        </w:r>
        <w:r>
          <w:rPr>
            <w:noProof/>
            <w:webHidden/>
          </w:rPr>
          <w:t>21</w:t>
        </w:r>
        <w:r w:rsidR="00A00095">
          <w:rPr>
            <w:noProof/>
            <w:webHidden/>
          </w:rPr>
          <w:fldChar w:fldCharType="end"/>
        </w:r>
      </w:hyperlink>
    </w:p>
    <w:p w14:paraId="3D638C23" w14:textId="385E9C51"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92" w:history="1">
        <w:r w:rsidR="00A00095" w:rsidRPr="007D2174">
          <w:rPr>
            <w:rStyle w:val="Hyperlink"/>
            <w:noProof/>
            <w:lang w:val="en-AU"/>
            <w14:scene3d>
              <w14:camera w14:prst="orthographicFront"/>
              <w14:lightRig w14:rig="threePt" w14:dir="t">
                <w14:rot w14:lat="0" w14:lon="0" w14:rev="0"/>
              </w14:lightRig>
            </w14:scene3d>
          </w:rPr>
          <w:t>4.2.2</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Learning from policy dialogue initiatives of others</w:t>
        </w:r>
        <w:r w:rsidR="00A00095">
          <w:rPr>
            <w:noProof/>
            <w:webHidden/>
          </w:rPr>
          <w:tab/>
        </w:r>
        <w:r w:rsidR="00A00095">
          <w:rPr>
            <w:noProof/>
            <w:webHidden/>
          </w:rPr>
          <w:fldChar w:fldCharType="begin"/>
        </w:r>
        <w:r w:rsidR="00A00095">
          <w:rPr>
            <w:noProof/>
            <w:webHidden/>
          </w:rPr>
          <w:instrText xml:space="preserve"> PAGEREF _Toc475358492 \h </w:instrText>
        </w:r>
        <w:r w:rsidR="00A00095">
          <w:rPr>
            <w:noProof/>
            <w:webHidden/>
          </w:rPr>
        </w:r>
        <w:r w:rsidR="00A00095">
          <w:rPr>
            <w:noProof/>
            <w:webHidden/>
          </w:rPr>
          <w:fldChar w:fldCharType="separate"/>
        </w:r>
        <w:r>
          <w:rPr>
            <w:noProof/>
            <w:webHidden/>
          </w:rPr>
          <w:t>22</w:t>
        </w:r>
        <w:r w:rsidR="00A00095">
          <w:rPr>
            <w:noProof/>
            <w:webHidden/>
          </w:rPr>
          <w:fldChar w:fldCharType="end"/>
        </w:r>
      </w:hyperlink>
    </w:p>
    <w:p w14:paraId="2F03F77A" w14:textId="282D6760"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93" w:history="1">
        <w:r w:rsidR="00A00095" w:rsidRPr="007D2174">
          <w:rPr>
            <w:rStyle w:val="Hyperlink"/>
            <w:noProof/>
            <w:lang w:val="en-AU"/>
            <w14:scene3d>
              <w14:camera w14:prst="orthographicFront"/>
              <w14:lightRig w14:rig="threePt" w14:dir="t">
                <w14:rot w14:lat="0" w14:lon="0" w14:rev="0"/>
              </w14:lightRig>
            </w14:scene3d>
          </w:rPr>
          <w:t>4.2.3</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Specific matters needing attention with existing implementation partners</w:t>
        </w:r>
        <w:r w:rsidR="00A00095">
          <w:rPr>
            <w:noProof/>
            <w:webHidden/>
          </w:rPr>
          <w:tab/>
        </w:r>
        <w:r w:rsidR="00A00095">
          <w:rPr>
            <w:noProof/>
            <w:webHidden/>
          </w:rPr>
          <w:fldChar w:fldCharType="begin"/>
        </w:r>
        <w:r w:rsidR="00A00095">
          <w:rPr>
            <w:noProof/>
            <w:webHidden/>
          </w:rPr>
          <w:instrText xml:space="preserve"> PAGEREF _Toc475358493 \h </w:instrText>
        </w:r>
        <w:r w:rsidR="00A00095">
          <w:rPr>
            <w:noProof/>
            <w:webHidden/>
          </w:rPr>
        </w:r>
        <w:r w:rsidR="00A00095">
          <w:rPr>
            <w:noProof/>
            <w:webHidden/>
          </w:rPr>
          <w:fldChar w:fldCharType="separate"/>
        </w:r>
        <w:r>
          <w:rPr>
            <w:noProof/>
            <w:webHidden/>
          </w:rPr>
          <w:t>22</w:t>
        </w:r>
        <w:r w:rsidR="00A00095">
          <w:rPr>
            <w:noProof/>
            <w:webHidden/>
          </w:rPr>
          <w:fldChar w:fldCharType="end"/>
        </w:r>
      </w:hyperlink>
    </w:p>
    <w:p w14:paraId="4639D837" w14:textId="6894A9ED"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94" w:history="1">
        <w:r w:rsidR="00A00095" w:rsidRPr="007D2174">
          <w:rPr>
            <w:rStyle w:val="Hyperlink"/>
            <w:noProof/>
            <w:lang w:val="en-AU"/>
            <w14:scene3d>
              <w14:camera w14:prst="orthographicFront"/>
              <w14:lightRig w14:rig="threePt" w14:dir="t">
                <w14:rot w14:lat="0" w14:lon="0" w14:rev="0"/>
              </w14:lightRig>
            </w14:scene3d>
          </w:rPr>
          <w:t>4.2.4</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Sustaining Australian engagement in Greater Mekong water governance</w:t>
        </w:r>
        <w:r w:rsidR="00A00095">
          <w:rPr>
            <w:noProof/>
            <w:webHidden/>
          </w:rPr>
          <w:tab/>
        </w:r>
        <w:r w:rsidR="00A00095">
          <w:rPr>
            <w:noProof/>
            <w:webHidden/>
          </w:rPr>
          <w:fldChar w:fldCharType="begin"/>
        </w:r>
        <w:r w:rsidR="00A00095">
          <w:rPr>
            <w:noProof/>
            <w:webHidden/>
          </w:rPr>
          <w:instrText xml:space="preserve"> PAGEREF _Toc475358494 \h </w:instrText>
        </w:r>
        <w:r w:rsidR="00A00095">
          <w:rPr>
            <w:noProof/>
            <w:webHidden/>
          </w:rPr>
        </w:r>
        <w:r w:rsidR="00A00095">
          <w:rPr>
            <w:noProof/>
            <w:webHidden/>
          </w:rPr>
          <w:fldChar w:fldCharType="separate"/>
        </w:r>
        <w:r>
          <w:rPr>
            <w:noProof/>
            <w:webHidden/>
          </w:rPr>
          <w:t>24</w:t>
        </w:r>
        <w:r w:rsidR="00A00095">
          <w:rPr>
            <w:noProof/>
            <w:webHidden/>
          </w:rPr>
          <w:fldChar w:fldCharType="end"/>
        </w:r>
      </w:hyperlink>
    </w:p>
    <w:p w14:paraId="3428881A" w14:textId="21B198F6" w:rsidR="00A00095" w:rsidRDefault="00E703DB">
      <w:pPr>
        <w:pStyle w:val="TOC2"/>
        <w:tabs>
          <w:tab w:val="left" w:pos="880"/>
          <w:tab w:val="right" w:leader="dot" w:pos="9469"/>
        </w:tabs>
        <w:rPr>
          <w:rFonts w:eastAsiaTheme="minorEastAsia" w:cstheme="minorBidi"/>
          <w:smallCaps w:val="0"/>
          <w:noProof/>
          <w:kern w:val="0"/>
          <w:sz w:val="22"/>
          <w:szCs w:val="22"/>
          <w:lang w:val="en-AU" w:eastAsia="en-AU"/>
        </w:rPr>
      </w:pPr>
      <w:hyperlink w:anchor="_Toc475358495" w:history="1">
        <w:r w:rsidR="00A00095" w:rsidRPr="007D2174">
          <w:rPr>
            <w:rStyle w:val="Hyperlink"/>
            <w:rFonts w:ascii="Arial" w:hAnsi="Arial"/>
            <w:noProof/>
          </w:rPr>
          <w:t>4.3</w:t>
        </w:r>
        <w:r w:rsidR="00A00095">
          <w:rPr>
            <w:rFonts w:eastAsiaTheme="minorEastAsia" w:cstheme="minorBidi"/>
            <w:smallCaps w:val="0"/>
            <w:noProof/>
            <w:kern w:val="0"/>
            <w:sz w:val="22"/>
            <w:szCs w:val="22"/>
            <w:lang w:val="en-AU" w:eastAsia="en-AU"/>
          </w:rPr>
          <w:tab/>
        </w:r>
        <w:r w:rsidR="00A00095" w:rsidRPr="007D2174">
          <w:rPr>
            <w:rStyle w:val="Hyperlink"/>
            <w:noProof/>
          </w:rPr>
          <w:t>Quality control and quality assurance</w:t>
        </w:r>
        <w:r w:rsidR="00A00095">
          <w:rPr>
            <w:noProof/>
            <w:webHidden/>
          </w:rPr>
          <w:tab/>
        </w:r>
        <w:r w:rsidR="00A00095">
          <w:rPr>
            <w:noProof/>
            <w:webHidden/>
          </w:rPr>
          <w:fldChar w:fldCharType="begin"/>
        </w:r>
        <w:r w:rsidR="00A00095">
          <w:rPr>
            <w:noProof/>
            <w:webHidden/>
          </w:rPr>
          <w:instrText xml:space="preserve"> PAGEREF _Toc475358495 \h </w:instrText>
        </w:r>
        <w:r w:rsidR="00A00095">
          <w:rPr>
            <w:noProof/>
            <w:webHidden/>
          </w:rPr>
        </w:r>
        <w:r w:rsidR="00A00095">
          <w:rPr>
            <w:noProof/>
            <w:webHidden/>
          </w:rPr>
          <w:fldChar w:fldCharType="separate"/>
        </w:r>
        <w:r>
          <w:rPr>
            <w:noProof/>
            <w:webHidden/>
          </w:rPr>
          <w:t>24</w:t>
        </w:r>
        <w:r w:rsidR="00A00095">
          <w:rPr>
            <w:noProof/>
            <w:webHidden/>
          </w:rPr>
          <w:fldChar w:fldCharType="end"/>
        </w:r>
      </w:hyperlink>
    </w:p>
    <w:p w14:paraId="11FA2A49" w14:textId="52450BFC"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96" w:history="1">
        <w:r w:rsidR="00A00095" w:rsidRPr="007D2174">
          <w:rPr>
            <w:rStyle w:val="Hyperlink"/>
            <w:noProof/>
            <w14:scene3d>
              <w14:camera w14:prst="orthographicFront"/>
              <w14:lightRig w14:rig="threePt" w14:dir="t">
                <w14:rot w14:lat="0" w14:lon="0" w14:rev="0"/>
              </w14:lightRig>
            </w14:scene3d>
          </w:rPr>
          <w:t>4.3.1</w:t>
        </w:r>
        <w:r w:rsidR="00A00095">
          <w:rPr>
            <w:rFonts w:eastAsiaTheme="minorEastAsia" w:cstheme="minorBidi"/>
            <w:i w:val="0"/>
            <w:iCs w:val="0"/>
            <w:noProof/>
            <w:kern w:val="0"/>
            <w:sz w:val="22"/>
            <w:szCs w:val="22"/>
            <w:lang w:val="en-AU" w:eastAsia="en-AU"/>
          </w:rPr>
          <w:tab/>
        </w:r>
        <w:r w:rsidR="00A00095" w:rsidRPr="007D2174">
          <w:rPr>
            <w:rStyle w:val="Hyperlink"/>
            <w:noProof/>
          </w:rPr>
          <w:t>Report explains extent that evidence supports the judgments</w:t>
        </w:r>
        <w:r w:rsidR="00A00095">
          <w:rPr>
            <w:noProof/>
            <w:webHidden/>
          </w:rPr>
          <w:tab/>
        </w:r>
        <w:r w:rsidR="00A00095">
          <w:rPr>
            <w:noProof/>
            <w:webHidden/>
          </w:rPr>
          <w:fldChar w:fldCharType="begin"/>
        </w:r>
        <w:r w:rsidR="00A00095">
          <w:rPr>
            <w:noProof/>
            <w:webHidden/>
          </w:rPr>
          <w:instrText xml:space="preserve"> PAGEREF _Toc475358496 \h </w:instrText>
        </w:r>
        <w:r w:rsidR="00A00095">
          <w:rPr>
            <w:noProof/>
            <w:webHidden/>
          </w:rPr>
        </w:r>
        <w:r w:rsidR="00A00095">
          <w:rPr>
            <w:noProof/>
            <w:webHidden/>
          </w:rPr>
          <w:fldChar w:fldCharType="separate"/>
        </w:r>
        <w:r>
          <w:rPr>
            <w:noProof/>
            <w:webHidden/>
          </w:rPr>
          <w:t>24</w:t>
        </w:r>
        <w:r w:rsidR="00A00095">
          <w:rPr>
            <w:noProof/>
            <w:webHidden/>
          </w:rPr>
          <w:fldChar w:fldCharType="end"/>
        </w:r>
      </w:hyperlink>
    </w:p>
    <w:p w14:paraId="4534E805" w14:textId="45805AE1" w:rsidR="00A00095" w:rsidRDefault="00E703DB">
      <w:pPr>
        <w:pStyle w:val="TOC3"/>
        <w:tabs>
          <w:tab w:val="left" w:pos="1100"/>
          <w:tab w:val="right" w:leader="dot" w:pos="9469"/>
        </w:tabs>
        <w:rPr>
          <w:rFonts w:eastAsiaTheme="minorEastAsia" w:cstheme="minorBidi"/>
          <w:i w:val="0"/>
          <w:iCs w:val="0"/>
          <w:noProof/>
          <w:kern w:val="0"/>
          <w:sz w:val="22"/>
          <w:szCs w:val="22"/>
          <w:lang w:val="en-AU" w:eastAsia="en-AU"/>
        </w:rPr>
      </w:pPr>
      <w:hyperlink w:anchor="_Toc475358497" w:history="1">
        <w:r w:rsidR="00A00095" w:rsidRPr="007D2174">
          <w:rPr>
            <w:rStyle w:val="Hyperlink"/>
            <w:noProof/>
            <w14:scene3d>
              <w14:camera w14:prst="orthographicFront"/>
              <w14:lightRig w14:rig="threePt" w14:dir="t">
                <w14:rot w14:lat="0" w14:lon="0" w14:rev="0"/>
              </w14:lightRig>
            </w14:scene3d>
          </w:rPr>
          <w:t>4.3.2</w:t>
        </w:r>
        <w:r w:rsidR="00A00095">
          <w:rPr>
            <w:rFonts w:eastAsiaTheme="minorEastAsia" w:cstheme="minorBidi"/>
            <w:i w:val="0"/>
            <w:iCs w:val="0"/>
            <w:noProof/>
            <w:kern w:val="0"/>
            <w:sz w:val="22"/>
            <w:szCs w:val="22"/>
            <w:lang w:val="en-AU" w:eastAsia="en-AU"/>
          </w:rPr>
          <w:tab/>
        </w:r>
        <w:r w:rsidR="00A00095" w:rsidRPr="007D2174">
          <w:rPr>
            <w:rStyle w:val="Hyperlink"/>
            <w:noProof/>
          </w:rPr>
          <w:t>Alternative points of view are presented and considered where appropriate</w:t>
        </w:r>
        <w:r w:rsidR="00A00095">
          <w:rPr>
            <w:noProof/>
            <w:webHidden/>
          </w:rPr>
          <w:tab/>
        </w:r>
        <w:r w:rsidR="00A00095">
          <w:rPr>
            <w:noProof/>
            <w:webHidden/>
          </w:rPr>
          <w:fldChar w:fldCharType="begin"/>
        </w:r>
        <w:r w:rsidR="00A00095">
          <w:rPr>
            <w:noProof/>
            <w:webHidden/>
          </w:rPr>
          <w:instrText xml:space="preserve"> PAGEREF _Toc475358497 \h </w:instrText>
        </w:r>
        <w:r w:rsidR="00A00095">
          <w:rPr>
            <w:noProof/>
            <w:webHidden/>
          </w:rPr>
        </w:r>
        <w:r w:rsidR="00A00095">
          <w:rPr>
            <w:noProof/>
            <w:webHidden/>
          </w:rPr>
          <w:fldChar w:fldCharType="separate"/>
        </w:r>
        <w:r>
          <w:rPr>
            <w:noProof/>
            <w:webHidden/>
          </w:rPr>
          <w:t>24</w:t>
        </w:r>
        <w:r w:rsidR="00A00095">
          <w:rPr>
            <w:noProof/>
            <w:webHidden/>
          </w:rPr>
          <w:fldChar w:fldCharType="end"/>
        </w:r>
      </w:hyperlink>
    </w:p>
    <w:p w14:paraId="19B5D5D2" w14:textId="5ED2162D" w:rsidR="00A00095" w:rsidRDefault="00E703DB">
      <w:pPr>
        <w:pStyle w:val="TOC1"/>
        <w:tabs>
          <w:tab w:val="right" w:leader="dot" w:pos="9469"/>
        </w:tabs>
        <w:rPr>
          <w:rFonts w:eastAsiaTheme="minorEastAsia" w:cstheme="minorBidi"/>
          <w:b w:val="0"/>
          <w:bCs w:val="0"/>
          <w:caps w:val="0"/>
          <w:noProof/>
          <w:kern w:val="0"/>
          <w:sz w:val="22"/>
          <w:szCs w:val="22"/>
          <w:lang w:val="en-AU" w:eastAsia="en-AU"/>
        </w:rPr>
      </w:pPr>
      <w:hyperlink w:anchor="_Toc475358498" w:history="1">
        <w:r w:rsidR="00A00095" w:rsidRPr="007D2174">
          <w:rPr>
            <w:rStyle w:val="Hyperlink"/>
            <w:noProof/>
          </w:rPr>
          <w:t>APPENDIX:  case StudIES</w:t>
        </w:r>
        <w:r w:rsidR="00A00095">
          <w:rPr>
            <w:noProof/>
            <w:webHidden/>
          </w:rPr>
          <w:tab/>
        </w:r>
        <w:r w:rsidR="00A00095">
          <w:rPr>
            <w:noProof/>
            <w:webHidden/>
          </w:rPr>
          <w:fldChar w:fldCharType="begin"/>
        </w:r>
        <w:r w:rsidR="00A00095">
          <w:rPr>
            <w:noProof/>
            <w:webHidden/>
          </w:rPr>
          <w:instrText xml:space="preserve"> PAGEREF _Toc475358498 \h </w:instrText>
        </w:r>
        <w:r w:rsidR="00A00095">
          <w:rPr>
            <w:noProof/>
            <w:webHidden/>
          </w:rPr>
        </w:r>
        <w:r w:rsidR="00A00095">
          <w:rPr>
            <w:noProof/>
            <w:webHidden/>
          </w:rPr>
          <w:fldChar w:fldCharType="separate"/>
        </w:r>
        <w:r>
          <w:rPr>
            <w:noProof/>
            <w:webHidden/>
          </w:rPr>
          <w:t>xxv</w:t>
        </w:r>
        <w:r w:rsidR="00A00095">
          <w:rPr>
            <w:noProof/>
            <w:webHidden/>
          </w:rPr>
          <w:fldChar w:fldCharType="end"/>
        </w:r>
      </w:hyperlink>
    </w:p>
    <w:p w14:paraId="6FD89022" w14:textId="5565CDE5" w:rsidR="00A00095" w:rsidRDefault="00E703DB">
      <w:pPr>
        <w:pStyle w:val="TOC3"/>
        <w:tabs>
          <w:tab w:val="left" w:pos="1320"/>
          <w:tab w:val="right" w:leader="dot" w:pos="9469"/>
        </w:tabs>
        <w:rPr>
          <w:rFonts w:eastAsiaTheme="minorEastAsia" w:cstheme="minorBidi"/>
          <w:i w:val="0"/>
          <w:iCs w:val="0"/>
          <w:noProof/>
          <w:kern w:val="0"/>
          <w:sz w:val="22"/>
          <w:szCs w:val="22"/>
          <w:lang w:val="en-AU" w:eastAsia="en-AU"/>
        </w:rPr>
      </w:pPr>
      <w:hyperlink w:anchor="_Toc475358499" w:history="1">
        <w:r w:rsidR="00A00095" w:rsidRPr="007D2174">
          <w:rPr>
            <w:rStyle w:val="Hyperlink"/>
            <w:noProof/>
          </w:rPr>
          <w:t>Case 1:</w:t>
        </w:r>
        <w:r w:rsidR="00A00095">
          <w:rPr>
            <w:rFonts w:eastAsiaTheme="minorEastAsia" w:cstheme="minorBidi"/>
            <w:i w:val="0"/>
            <w:iCs w:val="0"/>
            <w:noProof/>
            <w:kern w:val="0"/>
            <w:sz w:val="22"/>
            <w:szCs w:val="22"/>
            <w:lang w:val="en-AU" w:eastAsia="en-AU"/>
          </w:rPr>
          <w:tab/>
        </w:r>
        <w:r w:rsidR="00A00095" w:rsidRPr="007D2174">
          <w:rPr>
            <w:rStyle w:val="Hyperlink"/>
            <w:noProof/>
          </w:rPr>
          <w:t>GMWRP policy dialogue</w:t>
        </w:r>
        <w:r w:rsidR="00A00095">
          <w:rPr>
            <w:noProof/>
            <w:webHidden/>
          </w:rPr>
          <w:tab/>
        </w:r>
        <w:r w:rsidR="00A00095">
          <w:rPr>
            <w:noProof/>
            <w:webHidden/>
          </w:rPr>
          <w:fldChar w:fldCharType="begin"/>
        </w:r>
        <w:r w:rsidR="00A00095">
          <w:rPr>
            <w:noProof/>
            <w:webHidden/>
          </w:rPr>
          <w:instrText xml:space="preserve"> PAGEREF _Toc475358499 \h </w:instrText>
        </w:r>
        <w:r w:rsidR="00A00095">
          <w:rPr>
            <w:noProof/>
            <w:webHidden/>
          </w:rPr>
        </w:r>
        <w:r w:rsidR="00A00095">
          <w:rPr>
            <w:noProof/>
            <w:webHidden/>
          </w:rPr>
          <w:fldChar w:fldCharType="separate"/>
        </w:r>
        <w:r>
          <w:rPr>
            <w:noProof/>
            <w:webHidden/>
          </w:rPr>
          <w:t>xxv</w:t>
        </w:r>
        <w:r w:rsidR="00A00095">
          <w:rPr>
            <w:noProof/>
            <w:webHidden/>
          </w:rPr>
          <w:fldChar w:fldCharType="end"/>
        </w:r>
      </w:hyperlink>
    </w:p>
    <w:p w14:paraId="621E670E" w14:textId="266EBAD6" w:rsidR="00A00095" w:rsidRDefault="00E703DB">
      <w:pPr>
        <w:pStyle w:val="TOC3"/>
        <w:tabs>
          <w:tab w:val="left" w:pos="1320"/>
          <w:tab w:val="right" w:leader="dot" w:pos="9469"/>
        </w:tabs>
        <w:rPr>
          <w:rFonts w:eastAsiaTheme="minorEastAsia" w:cstheme="minorBidi"/>
          <w:i w:val="0"/>
          <w:iCs w:val="0"/>
          <w:noProof/>
          <w:kern w:val="0"/>
          <w:sz w:val="22"/>
          <w:szCs w:val="22"/>
          <w:lang w:val="en-AU" w:eastAsia="en-AU"/>
        </w:rPr>
      </w:pPr>
      <w:hyperlink w:anchor="_Toc475358500" w:history="1">
        <w:r w:rsidR="00A00095" w:rsidRPr="007D2174">
          <w:rPr>
            <w:rStyle w:val="Hyperlink"/>
            <w:noProof/>
            <w:lang w:val="en-AU"/>
          </w:rPr>
          <w:t>Case 2:</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Myanmar-Australia Water Policy &amp; Practice Cooperation</w:t>
        </w:r>
        <w:r w:rsidR="00A00095">
          <w:rPr>
            <w:noProof/>
            <w:webHidden/>
          </w:rPr>
          <w:tab/>
        </w:r>
        <w:r w:rsidR="00A00095">
          <w:rPr>
            <w:noProof/>
            <w:webHidden/>
          </w:rPr>
          <w:fldChar w:fldCharType="begin"/>
        </w:r>
        <w:r w:rsidR="00A00095">
          <w:rPr>
            <w:noProof/>
            <w:webHidden/>
          </w:rPr>
          <w:instrText xml:space="preserve"> PAGEREF _Toc475358500 \h </w:instrText>
        </w:r>
        <w:r w:rsidR="00A00095">
          <w:rPr>
            <w:noProof/>
            <w:webHidden/>
          </w:rPr>
        </w:r>
        <w:r w:rsidR="00A00095">
          <w:rPr>
            <w:noProof/>
            <w:webHidden/>
          </w:rPr>
          <w:fldChar w:fldCharType="separate"/>
        </w:r>
        <w:r>
          <w:rPr>
            <w:noProof/>
            <w:webHidden/>
          </w:rPr>
          <w:t>xxvi</w:t>
        </w:r>
        <w:r w:rsidR="00A00095">
          <w:rPr>
            <w:noProof/>
            <w:webHidden/>
          </w:rPr>
          <w:fldChar w:fldCharType="end"/>
        </w:r>
      </w:hyperlink>
    </w:p>
    <w:p w14:paraId="436463EB" w14:textId="5376BE64" w:rsidR="00A00095" w:rsidRDefault="00E703DB">
      <w:pPr>
        <w:pStyle w:val="TOC3"/>
        <w:tabs>
          <w:tab w:val="left" w:pos="1320"/>
          <w:tab w:val="right" w:leader="dot" w:pos="9469"/>
        </w:tabs>
        <w:rPr>
          <w:rFonts w:eastAsiaTheme="minorEastAsia" w:cstheme="minorBidi"/>
          <w:i w:val="0"/>
          <w:iCs w:val="0"/>
          <w:noProof/>
          <w:kern w:val="0"/>
          <w:sz w:val="22"/>
          <w:szCs w:val="22"/>
          <w:lang w:val="en-AU" w:eastAsia="en-AU"/>
        </w:rPr>
      </w:pPr>
      <w:hyperlink w:anchor="_Toc475358501" w:history="1">
        <w:r w:rsidR="00A00095" w:rsidRPr="007D2174">
          <w:rPr>
            <w:rStyle w:val="Hyperlink"/>
            <w:noProof/>
            <w:lang w:val="en-AU"/>
          </w:rPr>
          <w:t>Case 3:</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Mekong River Commission ‘Prior Consultation’ Processes</w:t>
        </w:r>
        <w:r w:rsidR="00A00095">
          <w:rPr>
            <w:noProof/>
            <w:webHidden/>
          </w:rPr>
          <w:tab/>
        </w:r>
        <w:r w:rsidR="00A00095">
          <w:rPr>
            <w:noProof/>
            <w:webHidden/>
          </w:rPr>
          <w:fldChar w:fldCharType="begin"/>
        </w:r>
        <w:r w:rsidR="00A00095">
          <w:rPr>
            <w:noProof/>
            <w:webHidden/>
          </w:rPr>
          <w:instrText xml:space="preserve"> PAGEREF _Toc475358501 \h </w:instrText>
        </w:r>
        <w:r w:rsidR="00A00095">
          <w:rPr>
            <w:noProof/>
            <w:webHidden/>
          </w:rPr>
        </w:r>
        <w:r w:rsidR="00A00095">
          <w:rPr>
            <w:noProof/>
            <w:webHidden/>
          </w:rPr>
          <w:fldChar w:fldCharType="separate"/>
        </w:r>
        <w:r>
          <w:rPr>
            <w:noProof/>
            <w:webHidden/>
          </w:rPr>
          <w:t>xxviii</w:t>
        </w:r>
        <w:r w:rsidR="00A00095">
          <w:rPr>
            <w:noProof/>
            <w:webHidden/>
          </w:rPr>
          <w:fldChar w:fldCharType="end"/>
        </w:r>
      </w:hyperlink>
    </w:p>
    <w:p w14:paraId="7D5A146C" w14:textId="0D71D85C" w:rsidR="00A00095" w:rsidRDefault="00E703DB">
      <w:pPr>
        <w:pStyle w:val="TOC3"/>
        <w:tabs>
          <w:tab w:val="left" w:pos="1320"/>
          <w:tab w:val="right" w:leader="dot" w:pos="9469"/>
        </w:tabs>
        <w:rPr>
          <w:rFonts w:eastAsiaTheme="minorEastAsia" w:cstheme="minorBidi"/>
          <w:i w:val="0"/>
          <w:iCs w:val="0"/>
          <w:noProof/>
          <w:kern w:val="0"/>
          <w:sz w:val="22"/>
          <w:szCs w:val="22"/>
          <w:lang w:val="en-AU" w:eastAsia="en-AU"/>
        </w:rPr>
      </w:pPr>
      <w:hyperlink w:anchor="_Toc475358502" w:history="1">
        <w:r w:rsidR="00A00095" w:rsidRPr="007D2174">
          <w:rPr>
            <w:rStyle w:val="Hyperlink"/>
            <w:noProof/>
          </w:rPr>
          <w:t>Case 4:</w:t>
        </w:r>
        <w:r w:rsidR="00A00095">
          <w:rPr>
            <w:rFonts w:eastAsiaTheme="minorEastAsia" w:cstheme="minorBidi"/>
            <w:i w:val="0"/>
            <w:iCs w:val="0"/>
            <w:noProof/>
            <w:kern w:val="0"/>
            <w:sz w:val="22"/>
            <w:szCs w:val="22"/>
            <w:lang w:val="en-AU" w:eastAsia="en-AU"/>
          </w:rPr>
          <w:tab/>
        </w:r>
        <w:r w:rsidR="00A00095" w:rsidRPr="007D2174">
          <w:rPr>
            <w:rStyle w:val="Hyperlink"/>
            <w:noProof/>
          </w:rPr>
          <w:t>Oxfam community water management</w:t>
        </w:r>
        <w:r w:rsidR="00A00095">
          <w:rPr>
            <w:noProof/>
            <w:webHidden/>
          </w:rPr>
          <w:tab/>
        </w:r>
        <w:r w:rsidR="00A00095">
          <w:rPr>
            <w:noProof/>
            <w:webHidden/>
          </w:rPr>
          <w:fldChar w:fldCharType="begin"/>
        </w:r>
        <w:r w:rsidR="00A00095">
          <w:rPr>
            <w:noProof/>
            <w:webHidden/>
          </w:rPr>
          <w:instrText xml:space="preserve"> PAGEREF _Toc475358502 \h </w:instrText>
        </w:r>
        <w:r w:rsidR="00A00095">
          <w:rPr>
            <w:noProof/>
            <w:webHidden/>
          </w:rPr>
        </w:r>
        <w:r w:rsidR="00A00095">
          <w:rPr>
            <w:noProof/>
            <w:webHidden/>
          </w:rPr>
          <w:fldChar w:fldCharType="separate"/>
        </w:r>
        <w:r>
          <w:rPr>
            <w:noProof/>
            <w:webHidden/>
          </w:rPr>
          <w:t>xxix</w:t>
        </w:r>
        <w:r w:rsidR="00A00095">
          <w:rPr>
            <w:noProof/>
            <w:webHidden/>
          </w:rPr>
          <w:fldChar w:fldCharType="end"/>
        </w:r>
      </w:hyperlink>
    </w:p>
    <w:p w14:paraId="03CE5C37" w14:textId="263EBFA6" w:rsidR="00A00095" w:rsidRDefault="00E703DB">
      <w:pPr>
        <w:pStyle w:val="TOC3"/>
        <w:tabs>
          <w:tab w:val="left" w:pos="1320"/>
          <w:tab w:val="right" w:leader="dot" w:pos="9469"/>
        </w:tabs>
        <w:rPr>
          <w:rFonts w:eastAsiaTheme="minorEastAsia" w:cstheme="minorBidi"/>
          <w:i w:val="0"/>
          <w:iCs w:val="0"/>
          <w:noProof/>
          <w:kern w:val="0"/>
          <w:sz w:val="22"/>
          <w:szCs w:val="22"/>
          <w:lang w:val="en-AU" w:eastAsia="en-AU"/>
        </w:rPr>
      </w:pPr>
      <w:hyperlink w:anchor="_Toc475358503" w:history="1">
        <w:r w:rsidR="00A00095" w:rsidRPr="007D2174">
          <w:rPr>
            <w:rStyle w:val="Hyperlink"/>
            <w:noProof/>
            <w:lang w:val="en-AU"/>
          </w:rPr>
          <w:t>Case 5:</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R4D Myanmar Healthy Rivers Initiative</w:t>
        </w:r>
        <w:r w:rsidR="00A00095">
          <w:rPr>
            <w:noProof/>
            <w:webHidden/>
          </w:rPr>
          <w:tab/>
        </w:r>
        <w:r w:rsidR="00A00095">
          <w:rPr>
            <w:noProof/>
            <w:webHidden/>
          </w:rPr>
          <w:fldChar w:fldCharType="begin"/>
        </w:r>
        <w:r w:rsidR="00A00095">
          <w:rPr>
            <w:noProof/>
            <w:webHidden/>
          </w:rPr>
          <w:instrText xml:space="preserve"> PAGEREF _Toc475358503 \h </w:instrText>
        </w:r>
        <w:r w:rsidR="00A00095">
          <w:rPr>
            <w:noProof/>
            <w:webHidden/>
          </w:rPr>
        </w:r>
        <w:r w:rsidR="00A00095">
          <w:rPr>
            <w:noProof/>
            <w:webHidden/>
          </w:rPr>
          <w:fldChar w:fldCharType="separate"/>
        </w:r>
        <w:r>
          <w:rPr>
            <w:noProof/>
            <w:webHidden/>
          </w:rPr>
          <w:t>xxx</w:t>
        </w:r>
        <w:r w:rsidR="00A00095">
          <w:rPr>
            <w:noProof/>
            <w:webHidden/>
          </w:rPr>
          <w:fldChar w:fldCharType="end"/>
        </w:r>
      </w:hyperlink>
    </w:p>
    <w:p w14:paraId="1EB44987" w14:textId="6AFD9961" w:rsidR="00A00095" w:rsidRDefault="00E703DB">
      <w:pPr>
        <w:pStyle w:val="TOC3"/>
        <w:tabs>
          <w:tab w:val="left" w:pos="1320"/>
          <w:tab w:val="right" w:leader="dot" w:pos="9469"/>
        </w:tabs>
        <w:rPr>
          <w:rFonts w:eastAsiaTheme="minorEastAsia" w:cstheme="minorBidi"/>
          <w:i w:val="0"/>
          <w:iCs w:val="0"/>
          <w:noProof/>
          <w:kern w:val="0"/>
          <w:sz w:val="22"/>
          <w:szCs w:val="22"/>
          <w:lang w:val="en-AU" w:eastAsia="en-AU"/>
        </w:rPr>
      </w:pPr>
      <w:hyperlink w:anchor="_Toc475358504" w:history="1">
        <w:r w:rsidR="00A00095" w:rsidRPr="007D2174">
          <w:rPr>
            <w:rStyle w:val="Hyperlink"/>
            <w:noProof/>
            <w:lang w:val="en-AU"/>
          </w:rPr>
          <w:t>Case 6:</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Oxfam gender impact assessment for hydro</w:t>
        </w:r>
        <w:r w:rsidR="00A00095">
          <w:rPr>
            <w:noProof/>
            <w:webHidden/>
          </w:rPr>
          <w:tab/>
        </w:r>
        <w:r w:rsidR="00A00095">
          <w:rPr>
            <w:noProof/>
            <w:webHidden/>
          </w:rPr>
          <w:fldChar w:fldCharType="begin"/>
        </w:r>
        <w:r w:rsidR="00A00095">
          <w:rPr>
            <w:noProof/>
            <w:webHidden/>
          </w:rPr>
          <w:instrText xml:space="preserve"> PAGEREF _Toc475358504 \h </w:instrText>
        </w:r>
        <w:r w:rsidR="00A00095">
          <w:rPr>
            <w:noProof/>
            <w:webHidden/>
          </w:rPr>
        </w:r>
        <w:r w:rsidR="00A00095">
          <w:rPr>
            <w:noProof/>
            <w:webHidden/>
          </w:rPr>
          <w:fldChar w:fldCharType="separate"/>
        </w:r>
        <w:r>
          <w:rPr>
            <w:noProof/>
            <w:webHidden/>
          </w:rPr>
          <w:t>xxxii</w:t>
        </w:r>
        <w:r w:rsidR="00A00095">
          <w:rPr>
            <w:noProof/>
            <w:webHidden/>
          </w:rPr>
          <w:fldChar w:fldCharType="end"/>
        </w:r>
      </w:hyperlink>
    </w:p>
    <w:p w14:paraId="05758595" w14:textId="6C7E071C" w:rsidR="00A00095" w:rsidRDefault="00E703DB">
      <w:pPr>
        <w:pStyle w:val="TOC3"/>
        <w:tabs>
          <w:tab w:val="left" w:pos="1320"/>
          <w:tab w:val="right" w:leader="dot" w:pos="9469"/>
        </w:tabs>
        <w:rPr>
          <w:rFonts w:eastAsiaTheme="minorEastAsia" w:cstheme="minorBidi"/>
          <w:i w:val="0"/>
          <w:iCs w:val="0"/>
          <w:noProof/>
          <w:kern w:val="0"/>
          <w:sz w:val="22"/>
          <w:szCs w:val="22"/>
          <w:lang w:val="en-AU" w:eastAsia="en-AU"/>
        </w:rPr>
      </w:pPr>
      <w:hyperlink w:anchor="_Toc475358505" w:history="1">
        <w:r w:rsidR="00A00095" w:rsidRPr="007D2174">
          <w:rPr>
            <w:rStyle w:val="Hyperlink"/>
            <w:noProof/>
            <w:lang w:val="en-AU"/>
          </w:rPr>
          <w:t>Case 7:</w:t>
        </w:r>
        <w:r w:rsidR="00A00095">
          <w:rPr>
            <w:rFonts w:eastAsiaTheme="minorEastAsia" w:cstheme="minorBidi"/>
            <w:i w:val="0"/>
            <w:iCs w:val="0"/>
            <w:noProof/>
            <w:kern w:val="0"/>
            <w:sz w:val="22"/>
            <w:szCs w:val="22"/>
            <w:lang w:val="en-AU" w:eastAsia="en-AU"/>
          </w:rPr>
          <w:tab/>
        </w:r>
        <w:r w:rsidR="00A00095" w:rsidRPr="007D2174">
          <w:rPr>
            <w:rStyle w:val="Hyperlink"/>
            <w:noProof/>
            <w:lang w:val="en-AU"/>
          </w:rPr>
          <w:t>IFC raising hydro environmental &amp; social standards</w:t>
        </w:r>
        <w:r w:rsidR="00A00095">
          <w:rPr>
            <w:noProof/>
            <w:webHidden/>
          </w:rPr>
          <w:tab/>
        </w:r>
        <w:r w:rsidR="00A00095">
          <w:rPr>
            <w:noProof/>
            <w:webHidden/>
          </w:rPr>
          <w:fldChar w:fldCharType="begin"/>
        </w:r>
        <w:r w:rsidR="00A00095">
          <w:rPr>
            <w:noProof/>
            <w:webHidden/>
          </w:rPr>
          <w:instrText xml:space="preserve"> PAGEREF _Toc475358505 \h </w:instrText>
        </w:r>
        <w:r w:rsidR="00A00095">
          <w:rPr>
            <w:noProof/>
            <w:webHidden/>
          </w:rPr>
        </w:r>
        <w:r w:rsidR="00A00095">
          <w:rPr>
            <w:noProof/>
            <w:webHidden/>
          </w:rPr>
          <w:fldChar w:fldCharType="separate"/>
        </w:r>
        <w:r>
          <w:rPr>
            <w:noProof/>
            <w:webHidden/>
          </w:rPr>
          <w:t>xxxii</w:t>
        </w:r>
        <w:r w:rsidR="00A00095">
          <w:rPr>
            <w:noProof/>
            <w:webHidden/>
          </w:rPr>
          <w:fldChar w:fldCharType="end"/>
        </w:r>
      </w:hyperlink>
    </w:p>
    <w:p w14:paraId="089247D3" w14:textId="0B07B6CB" w:rsidR="00A00095" w:rsidRDefault="00A00095">
      <w:pPr>
        <w:pStyle w:val="TOC1"/>
        <w:tabs>
          <w:tab w:val="right" w:leader="dot" w:pos="9469"/>
        </w:tabs>
        <w:rPr>
          <w:rFonts w:eastAsiaTheme="minorEastAsia" w:cstheme="minorBidi"/>
          <w:b w:val="0"/>
          <w:bCs w:val="0"/>
          <w:caps w:val="0"/>
          <w:noProof/>
          <w:kern w:val="0"/>
          <w:sz w:val="22"/>
          <w:szCs w:val="22"/>
          <w:lang w:val="en-AU" w:eastAsia="en-AU"/>
        </w:rPr>
      </w:pPr>
    </w:p>
    <w:p w14:paraId="488DF67E" w14:textId="281C1316" w:rsidR="00037925" w:rsidRPr="002E0D8A" w:rsidRDefault="00A00095" w:rsidP="00037925">
      <w:pPr>
        <w:pStyle w:val="PrefaceHeading"/>
        <w:pageBreakBefore w:val="0"/>
        <w:tabs>
          <w:tab w:val="left" w:pos="1260"/>
        </w:tabs>
        <w:spacing w:after="120"/>
        <w:ind w:left="1260" w:hanging="1260"/>
        <w:rPr>
          <w:lang w:val="en-AU"/>
        </w:rPr>
      </w:pPr>
      <w:r>
        <w:rPr>
          <w:rFonts w:asciiTheme="minorHAnsi" w:hAnsiTheme="minorHAnsi"/>
          <w:caps/>
          <w:noProof/>
          <w:sz w:val="26"/>
          <w:szCs w:val="28"/>
          <w:lang w:val="en-AU"/>
        </w:rPr>
        <w:fldChar w:fldCharType="end"/>
      </w:r>
    </w:p>
    <w:p w14:paraId="49CE640A" w14:textId="77777777" w:rsidR="002B32C6" w:rsidRPr="002E0D8A" w:rsidRDefault="002B32C6" w:rsidP="0067637A">
      <w:pPr>
        <w:pStyle w:val="BodyText1"/>
        <w:rPr>
          <w:rFonts w:ascii="Times" w:hAnsi="Times" w:cs="Times"/>
          <w:kern w:val="0"/>
          <w:sz w:val="30"/>
          <w:szCs w:val="30"/>
          <w:lang w:val="en-AU" w:bidi="th-TH"/>
        </w:rPr>
      </w:pPr>
    </w:p>
    <w:p w14:paraId="15775442" w14:textId="77777777" w:rsidR="00037925" w:rsidRPr="002E0D8A" w:rsidRDefault="00037925" w:rsidP="004364D9">
      <w:pPr>
        <w:pStyle w:val="Heading1"/>
        <w:numPr>
          <w:ilvl w:val="0"/>
          <w:numId w:val="0"/>
        </w:numPr>
        <w:ind w:left="360"/>
        <w:jc w:val="center"/>
        <w:rPr>
          <w:lang w:val="en-AU"/>
        </w:rPr>
        <w:sectPr w:rsidR="00037925" w:rsidRPr="002E0D8A" w:rsidSect="00A26CC6">
          <w:footerReference w:type="default" r:id="rId14"/>
          <w:pgSz w:w="11909" w:h="16834" w:code="9"/>
          <w:pgMar w:top="1134" w:right="990" w:bottom="1440" w:left="1440" w:header="720" w:footer="720" w:gutter="0"/>
          <w:pgNumType w:fmt="lowerRoman" w:start="1"/>
          <w:cols w:space="720"/>
          <w:docGrid w:linePitch="360"/>
        </w:sectPr>
      </w:pPr>
      <w:bookmarkStart w:id="10" w:name="_Toc467936297"/>
      <w:bookmarkStart w:id="11" w:name="_Toc470715893"/>
    </w:p>
    <w:bookmarkEnd w:id="10"/>
    <w:bookmarkEnd w:id="11"/>
    <w:p w14:paraId="01011A66" w14:textId="7DB48493" w:rsidR="002B32C6" w:rsidRPr="006B455F" w:rsidRDefault="008414CE" w:rsidP="008414CE">
      <w:pPr>
        <w:jc w:val="center"/>
        <w:rPr>
          <w:rFonts w:asciiTheme="minorHAnsi" w:hAnsiTheme="minorHAnsi"/>
          <w:b/>
          <w:sz w:val="24"/>
          <w:lang w:val="en-AU"/>
        </w:rPr>
      </w:pPr>
      <w:r w:rsidRPr="006B455F">
        <w:rPr>
          <w:rFonts w:asciiTheme="minorHAnsi" w:hAnsiTheme="minorHAnsi"/>
          <w:b/>
          <w:sz w:val="24"/>
          <w:lang w:val="en-AU"/>
        </w:rPr>
        <w:lastRenderedPageBreak/>
        <w:t>Abbreviations</w:t>
      </w:r>
    </w:p>
    <w:tbl>
      <w:tblPr>
        <w:tblStyle w:val="TableGrid0"/>
        <w:tblW w:w="0" w:type="auto"/>
        <w:tblInd w:w="5" w:type="dxa"/>
        <w:tblLook w:val="04A0" w:firstRow="1" w:lastRow="0" w:firstColumn="1" w:lastColumn="0" w:noHBand="0" w:noVBand="1"/>
      </w:tblPr>
      <w:tblGrid>
        <w:gridCol w:w="1618"/>
        <w:gridCol w:w="7113"/>
      </w:tblGrid>
      <w:tr w:rsidR="002B32C6" w:rsidRPr="002E0D8A" w14:paraId="44C44803" w14:textId="77777777" w:rsidTr="00FA2C92">
        <w:tc>
          <w:tcPr>
            <w:tcW w:w="1618" w:type="dxa"/>
          </w:tcPr>
          <w:p w14:paraId="225E6877"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ACIAR</w:t>
            </w:r>
          </w:p>
        </w:tc>
        <w:tc>
          <w:tcPr>
            <w:tcW w:w="7113" w:type="dxa"/>
          </w:tcPr>
          <w:p w14:paraId="1ADA538F" w14:textId="6F6ABFA5"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 xml:space="preserve">Australian </w:t>
            </w:r>
            <w:r w:rsidR="00DD51F2" w:rsidRPr="00340706">
              <w:rPr>
                <w:rFonts w:asciiTheme="minorHAnsi" w:hAnsiTheme="minorHAnsi"/>
                <w:sz w:val="18"/>
                <w:szCs w:val="18"/>
                <w:lang w:val="en-AU"/>
              </w:rPr>
              <w:t>Centre</w:t>
            </w:r>
            <w:r w:rsidRPr="00340706">
              <w:rPr>
                <w:rFonts w:asciiTheme="minorHAnsi" w:hAnsiTheme="minorHAnsi"/>
                <w:sz w:val="18"/>
                <w:szCs w:val="18"/>
                <w:lang w:val="en-AU"/>
              </w:rPr>
              <w:t xml:space="preserve"> for International Agricultural Research</w:t>
            </w:r>
          </w:p>
        </w:tc>
      </w:tr>
      <w:tr w:rsidR="002B32C6" w:rsidRPr="002E0D8A" w14:paraId="024C848E" w14:textId="77777777" w:rsidTr="00FA2C92">
        <w:tc>
          <w:tcPr>
            <w:tcW w:w="1618" w:type="dxa"/>
          </w:tcPr>
          <w:p w14:paraId="390B7FFB"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ADB</w:t>
            </w:r>
          </w:p>
        </w:tc>
        <w:tc>
          <w:tcPr>
            <w:tcW w:w="7113" w:type="dxa"/>
          </w:tcPr>
          <w:p w14:paraId="09399D19"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Asian Development Bank</w:t>
            </w:r>
          </w:p>
        </w:tc>
      </w:tr>
      <w:tr w:rsidR="00E65055" w:rsidRPr="002E0D8A" w14:paraId="1F396E8F" w14:textId="77777777" w:rsidTr="00FA2C92">
        <w:tc>
          <w:tcPr>
            <w:tcW w:w="1618" w:type="dxa"/>
          </w:tcPr>
          <w:p w14:paraId="4902665D" w14:textId="7953280E" w:rsidR="00E65055" w:rsidRPr="00340706" w:rsidRDefault="00E65055"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AWP</w:t>
            </w:r>
          </w:p>
        </w:tc>
        <w:tc>
          <w:tcPr>
            <w:tcW w:w="7113" w:type="dxa"/>
          </w:tcPr>
          <w:p w14:paraId="7C1DD320" w14:textId="0634A590" w:rsidR="00E65055" w:rsidRPr="00340706" w:rsidRDefault="00E65055"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Australian Water Partnership</w:t>
            </w:r>
          </w:p>
        </w:tc>
      </w:tr>
      <w:tr w:rsidR="002B32C6" w:rsidRPr="002E0D8A" w14:paraId="6AE1C833" w14:textId="77777777" w:rsidTr="00FA2C92">
        <w:tc>
          <w:tcPr>
            <w:tcW w:w="1618" w:type="dxa"/>
          </w:tcPr>
          <w:p w14:paraId="61168D6F"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AIRBMP</w:t>
            </w:r>
          </w:p>
        </w:tc>
        <w:tc>
          <w:tcPr>
            <w:tcW w:w="7113" w:type="dxa"/>
          </w:tcPr>
          <w:p w14:paraId="393CC1C0" w14:textId="3FC5460F"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Ayeyarwa</w:t>
            </w:r>
            <w:r w:rsidR="00766D79">
              <w:rPr>
                <w:rFonts w:asciiTheme="minorHAnsi" w:hAnsiTheme="minorHAnsi"/>
                <w:sz w:val="18"/>
                <w:szCs w:val="18"/>
                <w:lang w:val="en-AU"/>
              </w:rPr>
              <w:t>d</w:t>
            </w:r>
            <w:r w:rsidRPr="00340706">
              <w:rPr>
                <w:rFonts w:asciiTheme="minorHAnsi" w:hAnsiTheme="minorHAnsi"/>
                <w:sz w:val="18"/>
                <w:szCs w:val="18"/>
                <w:lang w:val="en-AU"/>
              </w:rPr>
              <w:t xml:space="preserve">dy Integrated River Basin Management </w:t>
            </w:r>
            <w:r w:rsidR="004C5B24" w:rsidRPr="00340706">
              <w:rPr>
                <w:rFonts w:asciiTheme="minorHAnsi" w:hAnsiTheme="minorHAnsi"/>
                <w:sz w:val="18"/>
                <w:szCs w:val="18"/>
                <w:lang w:val="en-AU"/>
              </w:rPr>
              <w:t>Project</w:t>
            </w:r>
          </w:p>
        </w:tc>
      </w:tr>
      <w:tr w:rsidR="002B32C6" w:rsidRPr="002E0D8A" w14:paraId="4B9851EC" w14:textId="77777777" w:rsidTr="00FA2C92">
        <w:tc>
          <w:tcPr>
            <w:tcW w:w="1618" w:type="dxa"/>
          </w:tcPr>
          <w:p w14:paraId="72CA4A7B"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AWP</w:t>
            </w:r>
          </w:p>
        </w:tc>
        <w:tc>
          <w:tcPr>
            <w:tcW w:w="7113" w:type="dxa"/>
          </w:tcPr>
          <w:p w14:paraId="5598378F" w14:textId="7179AB48"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 xml:space="preserve">Australian Water Partnership – An Australian government </w:t>
            </w:r>
            <w:r w:rsidR="00E65055" w:rsidRPr="00340706">
              <w:rPr>
                <w:rFonts w:asciiTheme="minorHAnsi" w:hAnsiTheme="minorHAnsi"/>
                <w:sz w:val="18"/>
                <w:szCs w:val="18"/>
                <w:lang w:val="en-AU"/>
              </w:rPr>
              <w:t>d</w:t>
            </w:r>
            <w:r w:rsidRPr="00340706">
              <w:rPr>
                <w:rFonts w:asciiTheme="minorHAnsi" w:hAnsiTheme="minorHAnsi"/>
                <w:sz w:val="18"/>
                <w:szCs w:val="18"/>
                <w:lang w:val="en-AU"/>
              </w:rPr>
              <w:t xml:space="preserve">evelopment </w:t>
            </w:r>
            <w:r w:rsidR="00E65055" w:rsidRPr="00340706">
              <w:rPr>
                <w:rFonts w:asciiTheme="minorHAnsi" w:hAnsiTheme="minorHAnsi"/>
                <w:sz w:val="18"/>
                <w:szCs w:val="18"/>
                <w:lang w:val="en-AU"/>
              </w:rPr>
              <w:t>c</w:t>
            </w:r>
            <w:r w:rsidRPr="00340706">
              <w:rPr>
                <w:rFonts w:asciiTheme="minorHAnsi" w:hAnsiTheme="minorHAnsi"/>
                <w:sz w:val="18"/>
                <w:szCs w:val="18"/>
                <w:lang w:val="en-AU"/>
              </w:rPr>
              <w:t>ooperation initiative bringing together public and private organi</w:t>
            </w:r>
            <w:r w:rsidR="00340706">
              <w:rPr>
                <w:rFonts w:asciiTheme="minorHAnsi" w:hAnsiTheme="minorHAnsi"/>
                <w:sz w:val="18"/>
                <w:szCs w:val="18"/>
                <w:lang w:val="en-AU"/>
              </w:rPr>
              <w:t>s</w:t>
            </w:r>
            <w:r w:rsidRPr="00340706">
              <w:rPr>
                <w:rFonts w:asciiTheme="minorHAnsi" w:hAnsiTheme="minorHAnsi"/>
                <w:sz w:val="18"/>
                <w:szCs w:val="18"/>
                <w:lang w:val="en-AU"/>
              </w:rPr>
              <w:t>ations from the Australian water sector with Asia-Pacific development partners</w:t>
            </w:r>
          </w:p>
        </w:tc>
      </w:tr>
      <w:tr w:rsidR="002B32C6" w:rsidRPr="002E0D8A" w14:paraId="6309A281" w14:textId="77777777" w:rsidTr="00FA2C92">
        <w:tc>
          <w:tcPr>
            <w:tcW w:w="1618" w:type="dxa"/>
          </w:tcPr>
          <w:p w14:paraId="2D8BB6EF" w14:textId="1003FB5B" w:rsidR="002B32C6" w:rsidRPr="00340706" w:rsidRDefault="00E65055" w:rsidP="00340706">
            <w:pPr>
              <w:pStyle w:val="BodyText1"/>
              <w:spacing w:after="0"/>
              <w:ind w:left="0"/>
              <w:rPr>
                <w:rFonts w:asciiTheme="minorHAnsi" w:hAnsiTheme="minorHAnsi"/>
                <w:sz w:val="18"/>
                <w:szCs w:val="18"/>
                <w:lang w:val="en-AU"/>
              </w:rPr>
            </w:pPr>
            <w:r w:rsidRPr="00340706">
              <w:rPr>
                <w:rFonts w:asciiTheme="minorHAnsi" w:hAnsiTheme="minorHAnsi" w:cs="Times"/>
                <w:kern w:val="0"/>
                <w:sz w:val="18"/>
                <w:szCs w:val="18"/>
                <w:lang w:val="en-AU" w:bidi="th-TH"/>
              </w:rPr>
              <w:t>BES-</w:t>
            </w:r>
            <w:r w:rsidR="002B32C6" w:rsidRPr="00340706">
              <w:rPr>
                <w:rFonts w:asciiTheme="minorHAnsi" w:hAnsiTheme="minorHAnsi" w:cs="Times"/>
                <w:kern w:val="0"/>
                <w:sz w:val="18"/>
                <w:szCs w:val="18"/>
                <w:lang w:val="en-AU" w:bidi="th-TH"/>
              </w:rPr>
              <w:t>Net</w:t>
            </w:r>
          </w:p>
        </w:tc>
        <w:tc>
          <w:tcPr>
            <w:tcW w:w="7113" w:type="dxa"/>
          </w:tcPr>
          <w:p w14:paraId="63F5AD63"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Times"/>
                <w:kern w:val="0"/>
                <w:sz w:val="18"/>
                <w:szCs w:val="18"/>
                <w:lang w:val="en-AU" w:bidi="th-TH"/>
              </w:rPr>
              <w:t>Biodiversity and Ecosystem Services Network</w:t>
            </w:r>
          </w:p>
        </w:tc>
      </w:tr>
      <w:tr w:rsidR="002B32C6" w:rsidRPr="002E0D8A" w14:paraId="0D474D2D" w14:textId="77777777" w:rsidTr="00FA2C92">
        <w:tc>
          <w:tcPr>
            <w:tcW w:w="1618" w:type="dxa"/>
          </w:tcPr>
          <w:p w14:paraId="03AC0C27"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BRIDGE</w:t>
            </w:r>
          </w:p>
        </w:tc>
        <w:tc>
          <w:tcPr>
            <w:tcW w:w="7113" w:type="dxa"/>
          </w:tcPr>
          <w:p w14:paraId="7A5AED1C"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Building River Dialogues and Governance</w:t>
            </w:r>
          </w:p>
        </w:tc>
      </w:tr>
      <w:tr w:rsidR="002B32C6" w:rsidRPr="003D0B4B" w14:paraId="2902A33C" w14:textId="77777777" w:rsidTr="00FA2C92">
        <w:tc>
          <w:tcPr>
            <w:tcW w:w="1618" w:type="dxa"/>
          </w:tcPr>
          <w:p w14:paraId="03687086"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CACID</w:t>
            </w:r>
          </w:p>
        </w:tc>
        <w:tc>
          <w:tcPr>
            <w:tcW w:w="7113" w:type="dxa"/>
          </w:tcPr>
          <w:p w14:paraId="58B1687F" w14:textId="77777777" w:rsidR="002B32C6" w:rsidRPr="000F05B0" w:rsidRDefault="002B32C6" w:rsidP="00340706">
            <w:pPr>
              <w:pStyle w:val="BodyText1"/>
              <w:spacing w:after="0"/>
              <w:ind w:left="0"/>
              <w:rPr>
                <w:rFonts w:asciiTheme="minorHAnsi" w:hAnsiTheme="minorHAnsi"/>
                <w:sz w:val="18"/>
                <w:szCs w:val="18"/>
                <w:lang w:val="fr-FR"/>
              </w:rPr>
            </w:pPr>
            <w:r w:rsidRPr="000F05B0">
              <w:rPr>
                <w:rFonts w:asciiTheme="minorHAnsi" w:hAnsiTheme="minorHAnsi"/>
                <w:sz w:val="18"/>
                <w:szCs w:val="18"/>
                <w:lang w:val="fr-FR"/>
              </w:rPr>
              <w:t>Cambodia-Australia-China Irrigation Dialogue</w:t>
            </w:r>
          </w:p>
        </w:tc>
      </w:tr>
      <w:tr w:rsidR="002B32C6" w:rsidRPr="002E0D8A" w14:paraId="603FAB3B" w14:textId="77777777" w:rsidTr="00FA2C92">
        <w:tc>
          <w:tcPr>
            <w:tcW w:w="1618" w:type="dxa"/>
          </w:tcPr>
          <w:p w14:paraId="653CF921"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CAVAC</w:t>
            </w:r>
          </w:p>
        </w:tc>
        <w:tc>
          <w:tcPr>
            <w:tcW w:w="7113" w:type="dxa"/>
          </w:tcPr>
          <w:p w14:paraId="6F2E5A00"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Cambodia Agricultural Value Chain Program</w:t>
            </w:r>
          </w:p>
        </w:tc>
      </w:tr>
      <w:tr w:rsidR="002B32C6" w:rsidRPr="002E0D8A" w14:paraId="75540789" w14:textId="77777777" w:rsidTr="00FA2C92">
        <w:tc>
          <w:tcPr>
            <w:tcW w:w="1618" w:type="dxa"/>
          </w:tcPr>
          <w:p w14:paraId="0598F2BE"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CDTA</w:t>
            </w:r>
          </w:p>
        </w:tc>
        <w:tc>
          <w:tcPr>
            <w:tcW w:w="7113" w:type="dxa"/>
          </w:tcPr>
          <w:p w14:paraId="57A5239C"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Capacity Development Technical Assistance (through ADB, World Bank)</w:t>
            </w:r>
          </w:p>
        </w:tc>
      </w:tr>
      <w:tr w:rsidR="00E65055" w:rsidRPr="002E0D8A" w14:paraId="4FBC67A1" w14:textId="77777777" w:rsidTr="00FA2C92">
        <w:tc>
          <w:tcPr>
            <w:tcW w:w="1618" w:type="dxa"/>
          </w:tcPr>
          <w:p w14:paraId="7CBDBC77" w14:textId="09E05D2A" w:rsidR="00E65055" w:rsidRPr="00340706" w:rsidDel="00E65055" w:rsidRDefault="00E65055" w:rsidP="00340706">
            <w:pPr>
              <w:pStyle w:val="BodyText1"/>
              <w:spacing w:after="0"/>
              <w:ind w:left="0"/>
              <w:rPr>
                <w:rFonts w:asciiTheme="minorHAnsi" w:hAnsiTheme="minorHAnsi" w:cstheme="minorHAnsi"/>
                <w:iCs/>
                <w:sz w:val="18"/>
                <w:szCs w:val="18"/>
                <w:lang w:val="en-AU"/>
              </w:rPr>
            </w:pPr>
            <w:r w:rsidRPr="00340706">
              <w:rPr>
                <w:rFonts w:asciiTheme="minorHAnsi" w:hAnsiTheme="minorHAnsi" w:cstheme="minorHAnsi"/>
                <w:iCs/>
                <w:sz w:val="18"/>
                <w:szCs w:val="18"/>
                <w:lang w:val="en-AU"/>
              </w:rPr>
              <w:t>CGIAR</w:t>
            </w:r>
          </w:p>
        </w:tc>
        <w:tc>
          <w:tcPr>
            <w:tcW w:w="7113" w:type="dxa"/>
          </w:tcPr>
          <w:p w14:paraId="15F41453" w14:textId="69995CD5" w:rsidR="00E65055" w:rsidRPr="00340706" w:rsidRDefault="00E65055" w:rsidP="00340706">
            <w:pPr>
              <w:pStyle w:val="BodyText1"/>
              <w:spacing w:after="0"/>
              <w:ind w:left="0"/>
              <w:rPr>
                <w:rFonts w:asciiTheme="minorHAnsi" w:hAnsiTheme="minorHAnsi" w:cstheme="minorHAnsi"/>
                <w:iCs/>
                <w:sz w:val="18"/>
                <w:szCs w:val="18"/>
                <w:lang w:val="en-AU"/>
              </w:rPr>
            </w:pPr>
            <w:r w:rsidRPr="00340706">
              <w:rPr>
                <w:rFonts w:asciiTheme="minorHAnsi" w:hAnsiTheme="minorHAnsi" w:cstheme="minorHAnsi"/>
                <w:iCs/>
                <w:sz w:val="18"/>
                <w:szCs w:val="18"/>
                <w:lang w:val="en-AU"/>
              </w:rPr>
              <w:t>A global agricultural research partnership of 15 ‘CGIAR Centres’ including International Water Management Institute, International Rice Research Institute etc.</w:t>
            </w:r>
          </w:p>
        </w:tc>
      </w:tr>
      <w:tr w:rsidR="002B32C6" w:rsidRPr="002E0D8A" w14:paraId="321C66C6" w14:textId="77777777" w:rsidTr="00FA2C92">
        <w:tc>
          <w:tcPr>
            <w:tcW w:w="1618" w:type="dxa"/>
          </w:tcPr>
          <w:p w14:paraId="33B21A3E" w14:textId="11F5F821"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theme="minorHAnsi"/>
                <w:iCs/>
                <w:sz w:val="18"/>
                <w:szCs w:val="18"/>
                <w:lang w:val="en-AU"/>
              </w:rPr>
              <w:t>CIA</w:t>
            </w:r>
          </w:p>
        </w:tc>
        <w:tc>
          <w:tcPr>
            <w:tcW w:w="7113" w:type="dxa"/>
          </w:tcPr>
          <w:p w14:paraId="52A57F95"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theme="minorHAnsi"/>
                <w:iCs/>
                <w:sz w:val="18"/>
                <w:szCs w:val="18"/>
                <w:lang w:val="en-AU"/>
              </w:rPr>
              <w:t>Cumulative impact assessment</w:t>
            </w:r>
          </w:p>
        </w:tc>
      </w:tr>
      <w:tr w:rsidR="002B32C6" w:rsidRPr="002E0D8A" w14:paraId="2BCEDD6A" w14:textId="77777777" w:rsidTr="00FA2C92">
        <w:tc>
          <w:tcPr>
            <w:tcW w:w="1618" w:type="dxa"/>
          </w:tcPr>
          <w:p w14:paraId="51DB018B"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CEPF</w:t>
            </w:r>
          </w:p>
        </w:tc>
        <w:tc>
          <w:tcPr>
            <w:tcW w:w="7113" w:type="dxa"/>
          </w:tcPr>
          <w:p w14:paraId="59D7185F"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Critical Ecosystems Partnership Fund</w:t>
            </w:r>
          </w:p>
        </w:tc>
      </w:tr>
      <w:tr w:rsidR="002B32C6" w:rsidRPr="002E0D8A" w14:paraId="25868C1E" w14:textId="77777777" w:rsidTr="00FA2C92">
        <w:tc>
          <w:tcPr>
            <w:tcW w:w="1618" w:type="dxa"/>
          </w:tcPr>
          <w:p w14:paraId="3A10EA60"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Arial"/>
                <w:bCs/>
                <w:iCs/>
                <w:sz w:val="18"/>
                <w:szCs w:val="18"/>
                <w:lang w:val="en-AU"/>
              </w:rPr>
              <w:t>CBWG</w:t>
            </w:r>
          </w:p>
        </w:tc>
        <w:tc>
          <w:tcPr>
            <w:tcW w:w="7113" w:type="dxa"/>
          </w:tcPr>
          <w:p w14:paraId="35FC2790"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Arial"/>
                <w:bCs/>
                <w:iCs/>
                <w:sz w:val="18"/>
                <w:szCs w:val="18"/>
                <w:lang w:val="en-AU"/>
              </w:rPr>
              <w:t>Community based water governance</w:t>
            </w:r>
          </w:p>
        </w:tc>
      </w:tr>
      <w:tr w:rsidR="002B32C6" w:rsidRPr="002E0D8A" w14:paraId="2F90122E" w14:textId="77777777" w:rsidTr="00FA2C92">
        <w:tc>
          <w:tcPr>
            <w:tcW w:w="1618" w:type="dxa"/>
          </w:tcPr>
          <w:p w14:paraId="49E3A655"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CSIRO</w:t>
            </w:r>
          </w:p>
        </w:tc>
        <w:tc>
          <w:tcPr>
            <w:tcW w:w="7113" w:type="dxa"/>
          </w:tcPr>
          <w:p w14:paraId="3D70E86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Commonwealth Scientific and Industrial Research Organisation (Australia)</w:t>
            </w:r>
          </w:p>
        </w:tc>
      </w:tr>
      <w:tr w:rsidR="002B32C6" w:rsidRPr="002E0D8A" w14:paraId="2D4E4A00" w14:textId="77777777" w:rsidTr="00FA2C92">
        <w:tc>
          <w:tcPr>
            <w:tcW w:w="1618" w:type="dxa"/>
          </w:tcPr>
          <w:p w14:paraId="45163DFC"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CSOs</w:t>
            </w:r>
          </w:p>
        </w:tc>
        <w:tc>
          <w:tcPr>
            <w:tcW w:w="7113" w:type="dxa"/>
          </w:tcPr>
          <w:p w14:paraId="0154CD22" w14:textId="7A143084"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Civil Society Organi</w:t>
            </w:r>
            <w:r w:rsidR="00340706">
              <w:rPr>
                <w:rFonts w:asciiTheme="minorHAnsi" w:hAnsiTheme="minorHAnsi"/>
                <w:sz w:val="18"/>
                <w:szCs w:val="18"/>
                <w:lang w:val="en-AU"/>
              </w:rPr>
              <w:t>s</w:t>
            </w:r>
            <w:r w:rsidRPr="00340706">
              <w:rPr>
                <w:rFonts w:asciiTheme="minorHAnsi" w:hAnsiTheme="minorHAnsi"/>
                <w:sz w:val="18"/>
                <w:szCs w:val="18"/>
                <w:lang w:val="en-AU"/>
              </w:rPr>
              <w:t>ations</w:t>
            </w:r>
          </w:p>
        </w:tc>
      </w:tr>
      <w:tr w:rsidR="002B32C6" w:rsidRPr="002E0D8A" w14:paraId="6E810DE1" w14:textId="77777777" w:rsidTr="00FA2C92">
        <w:tc>
          <w:tcPr>
            <w:tcW w:w="1618" w:type="dxa"/>
          </w:tcPr>
          <w:p w14:paraId="2F79A1C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C4C</w:t>
            </w:r>
          </w:p>
        </w:tc>
        <w:tc>
          <w:tcPr>
            <w:tcW w:w="7113" w:type="dxa"/>
          </w:tcPr>
          <w:p w14:paraId="683FB148" w14:textId="6A24E4D9"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 xml:space="preserve">Coordination for </w:t>
            </w:r>
            <w:r w:rsidR="0010662B">
              <w:rPr>
                <w:rFonts w:asciiTheme="minorHAnsi" w:hAnsiTheme="minorHAnsi"/>
                <w:sz w:val="18"/>
                <w:szCs w:val="18"/>
                <w:lang w:val="en-AU"/>
              </w:rPr>
              <w:t>C</w:t>
            </w:r>
            <w:r w:rsidRPr="00340706">
              <w:rPr>
                <w:rFonts w:asciiTheme="minorHAnsi" w:hAnsiTheme="minorHAnsi"/>
                <w:sz w:val="18"/>
                <w:szCs w:val="18"/>
                <w:lang w:val="en-AU"/>
              </w:rPr>
              <w:t>hange</w:t>
            </w:r>
          </w:p>
        </w:tc>
      </w:tr>
      <w:tr w:rsidR="002B32C6" w:rsidRPr="002E0D8A" w14:paraId="3FB9E36F" w14:textId="77777777" w:rsidTr="00FA2C92">
        <w:tc>
          <w:tcPr>
            <w:tcW w:w="1618" w:type="dxa"/>
          </w:tcPr>
          <w:p w14:paraId="67FE567D"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DAWR</w:t>
            </w:r>
          </w:p>
        </w:tc>
        <w:tc>
          <w:tcPr>
            <w:tcW w:w="7113" w:type="dxa"/>
          </w:tcPr>
          <w:p w14:paraId="2348ED07"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Department of Agriculture and Water Resources (Australia)</w:t>
            </w:r>
          </w:p>
        </w:tc>
      </w:tr>
      <w:tr w:rsidR="002B32C6" w:rsidRPr="002E0D8A" w14:paraId="2BE8ECE2" w14:textId="77777777" w:rsidTr="00FA2C92">
        <w:tc>
          <w:tcPr>
            <w:tcW w:w="1618" w:type="dxa"/>
          </w:tcPr>
          <w:p w14:paraId="5956F483"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DFAT</w:t>
            </w:r>
          </w:p>
        </w:tc>
        <w:tc>
          <w:tcPr>
            <w:tcW w:w="7113" w:type="dxa"/>
          </w:tcPr>
          <w:p w14:paraId="77EF2199"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Department of Foreign Affairs and Trade (Australia)</w:t>
            </w:r>
          </w:p>
        </w:tc>
      </w:tr>
      <w:tr w:rsidR="002B32C6" w:rsidRPr="002E0D8A" w14:paraId="63710918" w14:textId="77777777" w:rsidTr="00FA2C92">
        <w:tc>
          <w:tcPr>
            <w:tcW w:w="1618" w:type="dxa"/>
          </w:tcPr>
          <w:p w14:paraId="21D46F26"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TT15Ct00"/>
                <w:color w:val="000000" w:themeColor="text1"/>
                <w:kern w:val="0"/>
                <w:sz w:val="18"/>
                <w:szCs w:val="18"/>
                <w:lang w:val="en-AU"/>
              </w:rPr>
              <w:t>DFID</w:t>
            </w:r>
          </w:p>
        </w:tc>
        <w:tc>
          <w:tcPr>
            <w:tcW w:w="7113" w:type="dxa"/>
          </w:tcPr>
          <w:p w14:paraId="6DB8BE7F" w14:textId="77777777" w:rsidR="002B32C6" w:rsidRPr="00340706" w:rsidRDefault="002B32C6" w:rsidP="00340706">
            <w:pPr>
              <w:pStyle w:val="BodyText1"/>
              <w:spacing w:after="0"/>
              <w:ind w:left="0"/>
              <w:rPr>
                <w:rFonts w:asciiTheme="minorHAnsi" w:hAnsiTheme="minorHAnsi" w:cs="Tahoma"/>
                <w:sz w:val="18"/>
                <w:szCs w:val="18"/>
                <w:shd w:val="clear" w:color="auto" w:fill="FAFAFA"/>
                <w:lang w:val="en-AU"/>
              </w:rPr>
            </w:pPr>
            <w:r w:rsidRPr="00340706">
              <w:rPr>
                <w:rFonts w:asciiTheme="minorHAnsi" w:hAnsiTheme="minorHAnsi" w:cs="TT15Ct00"/>
                <w:color w:val="000000" w:themeColor="text1"/>
                <w:kern w:val="0"/>
                <w:sz w:val="18"/>
                <w:szCs w:val="18"/>
                <w:lang w:val="en-AU"/>
              </w:rPr>
              <w:t>UK Department for International Development</w:t>
            </w:r>
          </w:p>
        </w:tc>
      </w:tr>
      <w:tr w:rsidR="002B32C6" w:rsidRPr="002E0D8A" w14:paraId="07B3F701" w14:textId="47A1FF6C" w:rsidTr="00FA2C92">
        <w:tc>
          <w:tcPr>
            <w:tcW w:w="1618" w:type="dxa"/>
          </w:tcPr>
          <w:p w14:paraId="0276BA69" w14:textId="6983FA46"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DPs</w:t>
            </w:r>
          </w:p>
        </w:tc>
        <w:tc>
          <w:tcPr>
            <w:tcW w:w="7113" w:type="dxa"/>
          </w:tcPr>
          <w:p w14:paraId="1FD9F5B5" w14:textId="39608A2F" w:rsidR="002B32C6" w:rsidRPr="00340706" w:rsidRDefault="002B32C6" w:rsidP="00340706">
            <w:pPr>
              <w:pStyle w:val="BodyText1"/>
              <w:spacing w:after="0"/>
              <w:ind w:left="0"/>
              <w:rPr>
                <w:rFonts w:asciiTheme="minorHAnsi" w:hAnsiTheme="minorHAnsi" w:cs="Tahoma"/>
                <w:sz w:val="18"/>
                <w:szCs w:val="18"/>
                <w:shd w:val="clear" w:color="auto" w:fill="FAFAFA"/>
                <w:lang w:val="en-AU"/>
              </w:rPr>
            </w:pPr>
            <w:r w:rsidRPr="00340706">
              <w:rPr>
                <w:rFonts w:asciiTheme="minorHAnsi" w:hAnsiTheme="minorHAnsi" w:cs="Tahoma"/>
                <w:sz w:val="18"/>
                <w:szCs w:val="18"/>
                <w:shd w:val="clear" w:color="auto" w:fill="FAFAFA"/>
                <w:lang w:val="en-AU"/>
              </w:rPr>
              <w:t>Development Partners</w:t>
            </w:r>
          </w:p>
        </w:tc>
      </w:tr>
      <w:tr w:rsidR="002B32C6" w:rsidRPr="002E0D8A" w14:paraId="5A832E02" w14:textId="77777777" w:rsidTr="00FA2C92">
        <w:tc>
          <w:tcPr>
            <w:tcW w:w="1618" w:type="dxa"/>
          </w:tcPr>
          <w:p w14:paraId="30FAA6FC"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EIA</w:t>
            </w:r>
          </w:p>
        </w:tc>
        <w:tc>
          <w:tcPr>
            <w:tcW w:w="7113" w:type="dxa"/>
          </w:tcPr>
          <w:p w14:paraId="1AE4E71E" w14:textId="77777777" w:rsidR="002B32C6" w:rsidRPr="00340706" w:rsidRDefault="002B32C6" w:rsidP="00340706">
            <w:pPr>
              <w:pStyle w:val="BodyText1"/>
              <w:spacing w:after="0"/>
              <w:ind w:left="0"/>
              <w:rPr>
                <w:rFonts w:asciiTheme="minorHAnsi" w:hAnsiTheme="minorHAnsi" w:cs="Tahoma"/>
                <w:sz w:val="18"/>
                <w:szCs w:val="18"/>
                <w:shd w:val="clear" w:color="auto" w:fill="FAFAFA"/>
                <w:lang w:val="en-AU"/>
              </w:rPr>
            </w:pPr>
            <w:r w:rsidRPr="00340706">
              <w:rPr>
                <w:rFonts w:asciiTheme="minorHAnsi" w:hAnsiTheme="minorHAnsi" w:cs="Tahoma"/>
                <w:sz w:val="18"/>
                <w:szCs w:val="18"/>
                <w:shd w:val="clear" w:color="auto" w:fill="FAFAFA"/>
                <w:lang w:val="en-AU"/>
              </w:rPr>
              <w:t>Environmental Impact Assessment – ESIA: Environment and Social Impact Assessment</w:t>
            </w:r>
          </w:p>
        </w:tc>
      </w:tr>
      <w:tr w:rsidR="002B32C6" w:rsidRPr="002E0D8A" w14:paraId="1BFD5B91" w14:textId="77777777" w:rsidTr="00FA2C92">
        <w:tc>
          <w:tcPr>
            <w:tcW w:w="1618" w:type="dxa"/>
          </w:tcPr>
          <w:p w14:paraId="7588E0D5"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EU</w:t>
            </w:r>
          </w:p>
        </w:tc>
        <w:tc>
          <w:tcPr>
            <w:tcW w:w="7113" w:type="dxa"/>
          </w:tcPr>
          <w:p w14:paraId="1F2650FA" w14:textId="77777777" w:rsidR="002B32C6" w:rsidRPr="00340706" w:rsidRDefault="002B32C6" w:rsidP="00340706">
            <w:pPr>
              <w:pStyle w:val="BodyText1"/>
              <w:spacing w:after="0"/>
              <w:ind w:left="0"/>
              <w:rPr>
                <w:rFonts w:asciiTheme="minorHAnsi" w:hAnsiTheme="minorHAnsi" w:cs="Tahoma"/>
                <w:sz w:val="18"/>
                <w:szCs w:val="18"/>
                <w:shd w:val="clear" w:color="auto" w:fill="FAFAFA"/>
                <w:lang w:val="en-AU"/>
              </w:rPr>
            </w:pPr>
            <w:r w:rsidRPr="00340706">
              <w:rPr>
                <w:rFonts w:asciiTheme="minorHAnsi" w:hAnsiTheme="minorHAnsi" w:cs="Tahoma"/>
                <w:sz w:val="18"/>
                <w:szCs w:val="18"/>
                <w:shd w:val="clear" w:color="auto" w:fill="FAFAFA"/>
                <w:lang w:val="en-AU"/>
              </w:rPr>
              <w:t>European Union</w:t>
            </w:r>
          </w:p>
        </w:tc>
      </w:tr>
      <w:tr w:rsidR="002B32C6" w:rsidRPr="002E0D8A" w14:paraId="0CA9D91E" w14:textId="77777777" w:rsidTr="00FA2C92">
        <w:tc>
          <w:tcPr>
            <w:tcW w:w="1618" w:type="dxa"/>
          </w:tcPr>
          <w:p w14:paraId="61AE8DDC" w14:textId="243CBC7E"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 xml:space="preserve">eWater </w:t>
            </w:r>
            <w:r w:rsidR="00E65055" w:rsidRPr="00340706">
              <w:rPr>
                <w:rFonts w:asciiTheme="minorHAnsi" w:hAnsiTheme="minorHAnsi"/>
                <w:sz w:val="18"/>
                <w:szCs w:val="18"/>
                <w:lang w:val="en-AU"/>
              </w:rPr>
              <w:t>Solutions</w:t>
            </w:r>
          </w:p>
        </w:tc>
        <w:tc>
          <w:tcPr>
            <w:tcW w:w="7113" w:type="dxa"/>
          </w:tcPr>
          <w:p w14:paraId="00851601" w14:textId="1196D44B"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Tahoma"/>
                <w:sz w:val="18"/>
                <w:szCs w:val="18"/>
                <w:shd w:val="clear" w:color="auto" w:fill="FAFAFA"/>
                <w:lang w:val="en-AU"/>
              </w:rPr>
              <w:t xml:space="preserve">eWater </w:t>
            </w:r>
            <w:r w:rsidR="00E65055" w:rsidRPr="00340706">
              <w:rPr>
                <w:rFonts w:asciiTheme="minorHAnsi" w:hAnsiTheme="minorHAnsi" w:cs="Tahoma"/>
                <w:sz w:val="18"/>
                <w:szCs w:val="18"/>
                <w:shd w:val="clear" w:color="auto" w:fill="FAFAFA"/>
                <w:lang w:val="en-AU"/>
              </w:rPr>
              <w:t>Custodian of Australia’s hydrological modelling platform, eWater Source.</w:t>
            </w:r>
          </w:p>
        </w:tc>
      </w:tr>
      <w:tr w:rsidR="002B32C6" w:rsidRPr="002E0D8A" w14:paraId="7A1DFA6E" w14:textId="77777777" w:rsidTr="00FA2C92">
        <w:tc>
          <w:tcPr>
            <w:tcW w:w="1618" w:type="dxa"/>
          </w:tcPr>
          <w:p w14:paraId="6AFB029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HDWG</w:t>
            </w:r>
          </w:p>
        </w:tc>
        <w:tc>
          <w:tcPr>
            <w:tcW w:w="7113" w:type="dxa"/>
          </w:tcPr>
          <w:p w14:paraId="3A9ED353" w14:textId="77777777" w:rsidR="002B32C6" w:rsidRPr="00340706" w:rsidRDefault="002B32C6" w:rsidP="00340706">
            <w:pPr>
              <w:pStyle w:val="BodyText1"/>
              <w:spacing w:after="0"/>
              <w:ind w:left="0"/>
              <w:rPr>
                <w:rFonts w:asciiTheme="minorHAnsi" w:hAnsiTheme="minorHAnsi" w:cs="Arial"/>
                <w:sz w:val="18"/>
                <w:szCs w:val="18"/>
                <w:shd w:val="clear" w:color="auto" w:fill="FFFFFF"/>
                <w:lang w:val="en-AU"/>
              </w:rPr>
            </w:pPr>
            <w:r w:rsidRPr="00340706">
              <w:rPr>
                <w:rFonts w:asciiTheme="minorHAnsi" w:hAnsiTheme="minorHAnsi" w:cs="Arial"/>
                <w:sz w:val="18"/>
                <w:szCs w:val="18"/>
                <w:shd w:val="clear" w:color="auto" w:fill="FFFFFF"/>
                <w:lang w:val="en-AU"/>
              </w:rPr>
              <w:t xml:space="preserve">Hydropower Developer’s Working Group </w:t>
            </w:r>
          </w:p>
        </w:tc>
      </w:tr>
      <w:tr w:rsidR="002B32C6" w:rsidRPr="002E0D8A" w14:paraId="45F2DA2F" w14:textId="77777777" w:rsidTr="00FA2C92">
        <w:tc>
          <w:tcPr>
            <w:tcW w:w="1618" w:type="dxa"/>
          </w:tcPr>
          <w:p w14:paraId="6B1D41A6"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GIA</w:t>
            </w:r>
          </w:p>
        </w:tc>
        <w:tc>
          <w:tcPr>
            <w:tcW w:w="7113" w:type="dxa"/>
          </w:tcPr>
          <w:p w14:paraId="5C6C6887" w14:textId="77777777" w:rsidR="002B32C6" w:rsidRPr="00340706" w:rsidRDefault="002B32C6" w:rsidP="00340706">
            <w:pPr>
              <w:pStyle w:val="BodyText1"/>
              <w:spacing w:after="0"/>
              <w:ind w:left="0"/>
              <w:rPr>
                <w:rFonts w:asciiTheme="minorHAnsi" w:hAnsiTheme="minorHAnsi" w:cs="Arial"/>
                <w:sz w:val="18"/>
                <w:szCs w:val="18"/>
                <w:shd w:val="clear" w:color="auto" w:fill="FFFFFF"/>
                <w:lang w:val="en-AU"/>
              </w:rPr>
            </w:pPr>
            <w:r w:rsidRPr="00340706">
              <w:rPr>
                <w:rFonts w:asciiTheme="minorHAnsi" w:hAnsiTheme="minorHAnsi" w:cstheme="minorHAnsi"/>
                <w:iCs/>
                <w:sz w:val="18"/>
                <w:szCs w:val="18"/>
                <w:lang w:val="en-AU"/>
              </w:rPr>
              <w:t>Gender Impact Assessment (GIA) tool</w:t>
            </w:r>
          </w:p>
        </w:tc>
      </w:tr>
      <w:tr w:rsidR="002B32C6" w:rsidRPr="002E0D8A" w14:paraId="2006D4B8" w14:textId="77777777" w:rsidTr="00FA2C92">
        <w:tc>
          <w:tcPr>
            <w:tcW w:w="1618" w:type="dxa"/>
          </w:tcPr>
          <w:p w14:paraId="10A9206F"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GIZ</w:t>
            </w:r>
          </w:p>
        </w:tc>
        <w:tc>
          <w:tcPr>
            <w:tcW w:w="7113" w:type="dxa"/>
          </w:tcPr>
          <w:p w14:paraId="434DF041"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Arial"/>
                <w:sz w:val="18"/>
                <w:szCs w:val="18"/>
                <w:shd w:val="clear" w:color="auto" w:fill="FFFFFF"/>
                <w:lang w:val="en-AU"/>
              </w:rPr>
              <w:t>German Corporation for International Cooperation</w:t>
            </w:r>
          </w:p>
        </w:tc>
      </w:tr>
      <w:tr w:rsidR="002B32C6" w:rsidRPr="002E0D8A" w14:paraId="5E8134C1" w14:textId="77777777" w:rsidTr="00FA2C92">
        <w:tc>
          <w:tcPr>
            <w:tcW w:w="1618" w:type="dxa"/>
          </w:tcPr>
          <w:p w14:paraId="411B47EC"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GMWRP</w:t>
            </w:r>
          </w:p>
        </w:tc>
        <w:tc>
          <w:tcPr>
            <w:tcW w:w="7113" w:type="dxa"/>
          </w:tcPr>
          <w:p w14:paraId="4EA30199"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theme="minorHAnsi"/>
                <w:color w:val="000000" w:themeColor="text1"/>
                <w:sz w:val="18"/>
                <w:szCs w:val="18"/>
                <w:lang w:val="en-AU"/>
              </w:rPr>
              <w:t xml:space="preserve">DFAT Greater Mekong Water Resources Program </w:t>
            </w:r>
          </w:p>
        </w:tc>
      </w:tr>
      <w:tr w:rsidR="002B32C6" w:rsidRPr="003D0B4B" w14:paraId="1FD1D856" w14:textId="77777777" w:rsidTr="00FA2C92">
        <w:tc>
          <w:tcPr>
            <w:tcW w:w="1618" w:type="dxa"/>
          </w:tcPr>
          <w:p w14:paraId="45E1E550"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ICEM</w:t>
            </w:r>
          </w:p>
        </w:tc>
        <w:tc>
          <w:tcPr>
            <w:tcW w:w="7113" w:type="dxa"/>
          </w:tcPr>
          <w:p w14:paraId="0626F6AC" w14:textId="077D350E" w:rsidR="002B32C6" w:rsidRPr="000F05B0" w:rsidRDefault="002B32C6" w:rsidP="00340706">
            <w:pPr>
              <w:pStyle w:val="BodyText1"/>
              <w:spacing w:after="0"/>
              <w:ind w:left="0"/>
              <w:rPr>
                <w:rFonts w:asciiTheme="minorHAnsi" w:hAnsiTheme="minorHAnsi"/>
                <w:sz w:val="18"/>
                <w:szCs w:val="18"/>
                <w:lang w:val="fr-FR"/>
              </w:rPr>
            </w:pPr>
            <w:r w:rsidRPr="000F05B0">
              <w:rPr>
                <w:rFonts w:asciiTheme="minorHAnsi" w:hAnsiTheme="minorHAnsi"/>
                <w:sz w:val="18"/>
                <w:szCs w:val="18"/>
                <w:lang w:val="fr-FR"/>
              </w:rPr>
              <w:t xml:space="preserve">International </w:t>
            </w:r>
            <w:r w:rsidR="00DD51F2" w:rsidRPr="000F05B0">
              <w:rPr>
                <w:rFonts w:asciiTheme="minorHAnsi" w:hAnsiTheme="minorHAnsi"/>
                <w:sz w:val="18"/>
                <w:szCs w:val="18"/>
                <w:lang w:val="fr-FR"/>
              </w:rPr>
              <w:t>Centre</w:t>
            </w:r>
            <w:r w:rsidRPr="000F05B0">
              <w:rPr>
                <w:rFonts w:asciiTheme="minorHAnsi" w:hAnsiTheme="minorHAnsi"/>
                <w:sz w:val="18"/>
                <w:szCs w:val="18"/>
                <w:lang w:val="fr-FR"/>
              </w:rPr>
              <w:t xml:space="preserve"> for Environmental Management</w:t>
            </w:r>
          </w:p>
        </w:tc>
      </w:tr>
      <w:tr w:rsidR="002B32C6" w:rsidRPr="002E0D8A" w14:paraId="092BD62C" w14:textId="77777777" w:rsidTr="00FA2C92">
        <w:tc>
          <w:tcPr>
            <w:tcW w:w="1618" w:type="dxa"/>
          </w:tcPr>
          <w:p w14:paraId="101A2F3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IFC</w:t>
            </w:r>
          </w:p>
        </w:tc>
        <w:tc>
          <w:tcPr>
            <w:tcW w:w="7113" w:type="dxa"/>
          </w:tcPr>
          <w:p w14:paraId="5791A320"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International Finance Corporation (World Bank Group)</w:t>
            </w:r>
          </w:p>
        </w:tc>
      </w:tr>
      <w:tr w:rsidR="002B32C6" w:rsidRPr="002E0D8A" w14:paraId="7D5030F7" w14:textId="77777777" w:rsidTr="00FA2C92">
        <w:tc>
          <w:tcPr>
            <w:tcW w:w="1618" w:type="dxa"/>
          </w:tcPr>
          <w:p w14:paraId="71C41DC3"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IUCN</w:t>
            </w:r>
          </w:p>
        </w:tc>
        <w:tc>
          <w:tcPr>
            <w:tcW w:w="7113" w:type="dxa"/>
          </w:tcPr>
          <w:p w14:paraId="0BB6C27F"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International Union for Conservation of Nature</w:t>
            </w:r>
          </w:p>
        </w:tc>
      </w:tr>
      <w:tr w:rsidR="002B32C6" w:rsidRPr="002E0D8A" w14:paraId="328C8319" w14:textId="77777777" w:rsidTr="00FA2C92">
        <w:tc>
          <w:tcPr>
            <w:tcW w:w="1618" w:type="dxa"/>
          </w:tcPr>
          <w:p w14:paraId="087361BB"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IWMI</w:t>
            </w:r>
          </w:p>
        </w:tc>
        <w:tc>
          <w:tcPr>
            <w:tcW w:w="7113" w:type="dxa"/>
          </w:tcPr>
          <w:p w14:paraId="4D78E8EC"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International Water Management Institute</w:t>
            </w:r>
          </w:p>
        </w:tc>
      </w:tr>
      <w:tr w:rsidR="002B32C6" w:rsidRPr="002E0D8A" w14:paraId="3BC24B00" w14:textId="77777777" w:rsidTr="00FA2C92">
        <w:tc>
          <w:tcPr>
            <w:tcW w:w="1618" w:type="dxa"/>
          </w:tcPr>
          <w:p w14:paraId="538E15FF"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IWRM</w:t>
            </w:r>
          </w:p>
        </w:tc>
        <w:tc>
          <w:tcPr>
            <w:tcW w:w="7113" w:type="dxa"/>
          </w:tcPr>
          <w:p w14:paraId="0CEEAF28" w14:textId="77777777" w:rsidR="002B32C6" w:rsidRPr="00340706" w:rsidRDefault="002B32C6" w:rsidP="00340706">
            <w:pPr>
              <w:pStyle w:val="BodyText1"/>
              <w:spacing w:after="0"/>
              <w:ind w:left="0"/>
              <w:rPr>
                <w:rFonts w:asciiTheme="minorHAnsi" w:hAnsiTheme="minorHAnsi" w:cs="Tahoma"/>
                <w:sz w:val="18"/>
                <w:szCs w:val="18"/>
                <w:shd w:val="clear" w:color="auto" w:fill="FAFAFA"/>
                <w:lang w:val="en-AU"/>
              </w:rPr>
            </w:pPr>
            <w:r w:rsidRPr="00340706">
              <w:rPr>
                <w:rFonts w:asciiTheme="minorHAnsi" w:hAnsiTheme="minorHAnsi"/>
                <w:sz w:val="18"/>
                <w:szCs w:val="18"/>
                <w:lang w:val="en-AU"/>
              </w:rPr>
              <w:t>Integrated Water Resource Management</w:t>
            </w:r>
          </w:p>
        </w:tc>
      </w:tr>
      <w:tr w:rsidR="002B32C6" w:rsidRPr="002E0D8A" w14:paraId="426371F3" w14:textId="77777777" w:rsidTr="00FA2C92">
        <w:tc>
          <w:tcPr>
            <w:tcW w:w="1618" w:type="dxa"/>
          </w:tcPr>
          <w:p w14:paraId="7735C0D9"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Arial"/>
                <w:bCs/>
                <w:iCs/>
                <w:sz w:val="18"/>
                <w:szCs w:val="18"/>
                <w:lang w:val="en-AU"/>
              </w:rPr>
              <w:t>KESAN</w:t>
            </w:r>
          </w:p>
        </w:tc>
        <w:tc>
          <w:tcPr>
            <w:tcW w:w="7113" w:type="dxa"/>
          </w:tcPr>
          <w:p w14:paraId="6434385F" w14:textId="77777777" w:rsidR="002B32C6" w:rsidRPr="00340706" w:rsidRDefault="002B32C6" w:rsidP="00340706">
            <w:pPr>
              <w:pStyle w:val="BodyText1"/>
              <w:spacing w:after="0"/>
              <w:ind w:left="0"/>
              <w:rPr>
                <w:rFonts w:asciiTheme="minorHAnsi" w:hAnsiTheme="minorHAnsi" w:cstheme="minorHAnsi"/>
                <w:sz w:val="18"/>
                <w:szCs w:val="18"/>
                <w:lang w:val="en-AU"/>
              </w:rPr>
            </w:pPr>
            <w:r w:rsidRPr="00340706">
              <w:rPr>
                <w:rFonts w:asciiTheme="minorHAnsi" w:hAnsiTheme="minorHAnsi" w:cs="Arial"/>
                <w:iCs/>
                <w:sz w:val="18"/>
                <w:szCs w:val="18"/>
                <w:lang w:val="en-AU"/>
              </w:rPr>
              <w:t>Karen Environmental and Social Action Network</w:t>
            </w:r>
          </w:p>
        </w:tc>
      </w:tr>
      <w:tr w:rsidR="002B32C6" w:rsidRPr="002E0D8A" w14:paraId="152446BB" w14:textId="77777777" w:rsidTr="00FA2C92">
        <w:tc>
          <w:tcPr>
            <w:tcW w:w="1618" w:type="dxa"/>
          </w:tcPr>
          <w:p w14:paraId="7B52DDC1" w14:textId="625AEE0D"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LMC</w:t>
            </w:r>
          </w:p>
        </w:tc>
        <w:tc>
          <w:tcPr>
            <w:tcW w:w="7113" w:type="dxa"/>
          </w:tcPr>
          <w:p w14:paraId="35122BBA" w14:textId="556B5A63" w:rsidR="002B32C6" w:rsidRPr="00340706" w:rsidRDefault="002B32C6" w:rsidP="00340706">
            <w:pPr>
              <w:pStyle w:val="BodyText1"/>
              <w:spacing w:after="0"/>
              <w:ind w:left="0"/>
              <w:rPr>
                <w:rFonts w:asciiTheme="minorHAnsi" w:hAnsiTheme="minorHAnsi" w:cstheme="minorHAnsi"/>
                <w:sz w:val="18"/>
                <w:szCs w:val="18"/>
                <w:lang w:val="en-AU"/>
              </w:rPr>
            </w:pPr>
            <w:r w:rsidRPr="00340706">
              <w:rPr>
                <w:rFonts w:asciiTheme="minorHAnsi" w:hAnsiTheme="minorHAnsi" w:cstheme="minorHAnsi"/>
                <w:sz w:val="18"/>
                <w:szCs w:val="18"/>
                <w:lang w:val="en-AU"/>
              </w:rPr>
              <w:t>Lancang-Mekong Cooperation</w:t>
            </w:r>
          </w:p>
        </w:tc>
      </w:tr>
      <w:tr w:rsidR="002B32C6" w:rsidRPr="002E0D8A" w14:paraId="0996F828" w14:textId="77777777" w:rsidTr="00FA2C92">
        <w:tc>
          <w:tcPr>
            <w:tcW w:w="1618" w:type="dxa"/>
          </w:tcPr>
          <w:p w14:paraId="20462AE9"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MDBA</w:t>
            </w:r>
          </w:p>
        </w:tc>
        <w:tc>
          <w:tcPr>
            <w:tcW w:w="7113" w:type="dxa"/>
          </w:tcPr>
          <w:p w14:paraId="3EE8F1F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Murray Darling Basin Authority (Australia)</w:t>
            </w:r>
          </w:p>
        </w:tc>
      </w:tr>
      <w:tr w:rsidR="002B32C6" w:rsidRPr="002E0D8A" w14:paraId="5387FAFA" w14:textId="77777777" w:rsidTr="00FA2C92">
        <w:tc>
          <w:tcPr>
            <w:tcW w:w="1618" w:type="dxa"/>
          </w:tcPr>
          <w:p w14:paraId="7FBADA30"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MDS</w:t>
            </w:r>
          </w:p>
        </w:tc>
        <w:tc>
          <w:tcPr>
            <w:tcW w:w="7113" w:type="dxa"/>
          </w:tcPr>
          <w:p w14:paraId="3E516477"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Calibri"/>
                <w:color w:val="000000"/>
                <w:kern w:val="0"/>
                <w:sz w:val="18"/>
                <w:szCs w:val="18"/>
                <w:lang w:val="en-AU"/>
              </w:rPr>
              <w:t>Mekong Delta Study</w:t>
            </w:r>
          </w:p>
        </w:tc>
      </w:tr>
      <w:tr w:rsidR="002B32C6" w:rsidRPr="002E0D8A" w14:paraId="5A32E452" w14:textId="77777777" w:rsidTr="00FA2C92">
        <w:tc>
          <w:tcPr>
            <w:tcW w:w="1618" w:type="dxa"/>
          </w:tcPr>
          <w:p w14:paraId="5B00328A"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M&amp;E</w:t>
            </w:r>
          </w:p>
        </w:tc>
        <w:tc>
          <w:tcPr>
            <w:tcW w:w="7113" w:type="dxa"/>
          </w:tcPr>
          <w:p w14:paraId="319FCAC6" w14:textId="77777777" w:rsidR="002B32C6" w:rsidRPr="00340706" w:rsidRDefault="002B32C6" w:rsidP="00340706">
            <w:pPr>
              <w:pStyle w:val="BodyText1"/>
              <w:spacing w:after="0"/>
              <w:ind w:left="0"/>
              <w:rPr>
                <w:rFonts w:asciiTheme="minorHAnsi" w:hAnsiTheme="minorHAnsi"/>
                <w:iCs/>
                <w:sz w:val="18"/>
                <w:szCs w:val="18"/>
                <w:lang w:val="en-AU"/>
              </w:rPr>
            </w:pPr>
            <w:r w:rsidRPr="00340706">
              <w:rPr>
                <w:rFonts w:asciiTheme="minorHAnsi" w:hAnsiTheme="minorHAnsi"/>
                <w:iCs/>
                <w:sz w:val="18"/>
                <w:szCs w:val="18"/>
                <w:lang w:val="en-AU"/>
              </w:rPr>
              <w:t>Monitoring and Evaluation</w:t>
            </w:r>
          </w:p>
        </w:tc>
      </w:tr>
      <w:tr w:rsidR="002B32C6" w:rsidRPr="002E0D8A" w14:paraId="22068395" w14:textId="77777777" w:rsidTr="00FA2C92">
        <w:tc>
          <w:tcPr>
            <w:tcW w:w="1618" w:type="dxa"/>
          </w:tcPr>
          <w:p w14:paraId="615FF66D"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MHRI</w:t>
            </w:r>
          </w:p>
        </w:tc>
        <w:tc>
          <w:tcPr>
            <w:tcW w:w="7113" w:type="dxa"/>
          </w:tcPr>
          <w:p w14:paraId="397D969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Myanmar Healthy Rivers initiative</w:t>
            </w:r>
          </w:p>
        </w:tc>
      </w:tr>
      <w:tr w:rsidR="002B32C6" w:rsidRPr="002E0D8A" w14:paraId="22637A4E" w14:textId="77777777" w:rsidTr="00FA2C92">
        <w:tc>
          <w:tcPr>
            <w:tcW w:w="1618" w:type="dxa"/>
          </w:tcPr>
          <w:p w14:paraId="6EF2C078"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MKs</w:t>
            </w:r>
          </w:p>
        </w:tc>
        <w:tc>
          <w:tcPr>
            <w:tcW w:w="7113" w:type="dxa"/>
          </w:tcPr>
          <w:p w14:paraId="71CEB786"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Mekong research for development projects</w:t>
            </w:r>
          </w:p>
        </w:tc>
      </w:tr>
      <w:tr w:rsidR="002B32C6" w:rsidRPr="002E0D8A" w14:paraId="4D2CCBFB" w14:textId="77777777" w:rsidTr="00FA2C92">
        <w:tc>
          <w:tcPr>
            <w:tcW w:w="1618" w:type="dxa"/>
          </w:tcPr>
          <w:p w14:paraId="05F5569C"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MOA</w:t>
            </w:r>
          </w:p>
        </w:tc>
        <w:tc>
          <w:tcPr>
            <w:tcW w:w="7113" w:type="dxa"/>
          </w:tcPr>
          <w:p w14:paraId="3008658E"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Memorandum of Agreement</w:t>
            </w:r>
          </w:p>
        </w:tc>
      </w:tr>
      <w:tr w:rsidR="002B32C6" w:rsidRPr="002E0D8A" w14:paraId="4CA68E4A" w14:textId="77777777" w:rsidTr="00FA2C92">
        <w:tc>
          <w:tcPr>
            <w:tcW w:w="1618" w:type="dxa"/>
          </w:tcPr>
          <w:p w14:paraId="4A9A3C6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MOU</w:t>
            </w:r>
          </w:p>
        </w:tc>
        <w:tc>
          <w:tcPr>
            <w:tcW w:w="7113" w:type="dxa"/>
          </w:tcPr>
          <w:p w14:paraId="1A0BAADD"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Memorandum of Understanding</w:t>
            </w:r>
          </w:p>
        </w:tc>
      </w:tr>
      <w:tr w:rsidR="002B32C6" w:rsidRPr="002E0D8A" w14:paraId="0F8FDAD5" w14:textId="77777777" w:rsidTr="00FA2C92">
        <w:tc>
          <w:tcPr>
            <w:tcW w:w="1618" w:type="dxa"/>
          </w:tcPr>
          <w:p w14:paraId="77C8FBF5"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MRC</w:t>
            </w:r>
          </w:p>
        </w:tc>
        <w:tc>
          <w:tcPr>
            <w:tcW w:w="7113" w:type="dxa"/>
          </w:tcPr>
          <w:p w14:paraId="7476E082"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Mekong River Commission (Cambodia, Lao PDR, Thailand and Vietnam)</w:t>
            </w:r>
          </w:p>
        </w:tc>
      </w:tr>
      <w:tr w:rsidR="002B32C6" w:rsidRPr="002E0D8A" w14:paraId="66C246EE" w14:textId="77777777" w:rsidTr="00FA2C92">
        <w:tc>
          <w:tcPr>
            <w:tcW w:w="1618" w:type="dxa"/>
          </w:tcPr>
          <w:p w14:paraId="2822709F"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PNPCA</w:t>
            </w:r>
          </w:p>
        </w:tc>
        <w:tc>
          <w:tcPr>
            <w:tcW w:w="7113" w:type="dxa"/>
          </w:tcPr>
          <w:p w14:paraId="4C474F8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Procedures on Notification, Prior Consultation, and Agreement (MRC)</w:t>
            </w:r>
          </w:p>
        </w:tc>
      </w:tr>
      <w:tr w:rsidR="002B32C6" w:rsidRPr="002E0D8A" w14:paraId="792A6391" w14:textId="77777777" w:rsidTr="00FA2C92">
        <w:tc>
          <w:tcPr>
            <w:tcW w:w="1618" w:type="dxa"/>
          </w:tcPr>
          <w:p w14:paraId="71BD9229"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R4D</w:t>
            </w:r>
          </w:p>
        </w:tc>
        <w:tc>
          <w:tcPr>
            <w:tcW w:w="7113" w:type="dxa"/>
          </w:tcPr>
          <w:p w14:paraId="109D2F40"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Research for Development</w:t>
            </w:r>
          </w:p>
        </w:tc>
      </w:tr>
      <w:tr w:rsidR="002B32C6" w:rsidRPr="002E0D8A" w14:paraId="46C8D00C" w14:textId="77777777" w:rsidTr="00FA2C92">
        <w:tc>
          <w:tcPr>
            <w:tcW w:w="1618" w:type="dxa"/>
          </w:tcPr>
          <w:p w14:paraId="6A3AB027"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SDC</w:t>
            </w:r>
          </w:p>
        </w:tc>
        <w:tc>
          <w:tcPr>
            <w:tcW w:w="7113" w:type="dxa"/>
          </w:tcPr>
          <w:p w14:paraId="6884B962"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Swiss Agency for Development and Cooperation</w:t>
            </w:r>
          </w:p>
        </w:tc>
      </w:tr>
      <w:tr w:rsidR="002B32C6" w:rsidRPr="002E0D8A" w14:paraId="5711DB75" w14:textId="77777777" w:rsidTr="00FA2C92">
        <w:tc>
          <w:tcPr>
            <w:tcW w:w="1618" w:type="dxa"/>
          </w:tcPr>
          <w:p w14:paraId="20E24855"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SEA</w:t>
            </w:r>
          </w:p>
        </w:tc>
        <w:tc>
          <w:tcPr>
            <w:tcW w:w="7113" w:type="dxa"/>
          </w:tcPr>
          <w:p w14:paraId="23FDB4E8"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Strategic Environmental Assessment</w:t>
            </w:r>
          </w:p>
        </w:tc>
      </w:tr>
      <w:tr w:rsidR="002B32C6" w:rsidRPr="002E0D8A" w14:paraId="06961D94" w14:textId="77777777" w:rsidTr="00FA2C92">
        <w:tc>
          <w:tcPr>
            <w:tcW w:w="1618" w:type="dxa"/>
          </w:tcPr>
          <w:p w14:paraId="5410689B" w14:textId="127776DD" w:rsidR="002B32C6" w:rsidRPr="00340706" w:rsidRDefault="004C5B24"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Sida</w:t>
            </w:r>
          </w:p>
        </w:tc>
        <w:tc>
          <w:tcPr>
            <w:tcW w:w="7113" w:type="dxa"/>
          </w:tcPr>
          <w:p w14:paraId="1489D3FC"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Swedish International Development Agency</w:t>
            </w:r>
          </w:p>
        </w:tc>
      </w:tr>
      <w:tr w:rsidR="002B32C6" w:rsidRPr="002E0D8A" w14:paraId="31B8A080" w14:textId="77777777" w:rsidTr="00FA2C92">
        <w:tc>
          <w:tcPr>
            <w:tcW w:w="1618" w:type="dxa"/>
          </w:tcPr>
          <w:p w14:paraId="47F95EA1"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SOBA</w:t>
            </w:r>
          </w:p>
        </w:tc>
        <w:tc>
          <w:tcPr>
            <w:tcW w:w="7113" w:type="dxa"/>
          </w:tcPr>
          <w:p w14:paraId="44B0123E"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State of the Basin Assessment</w:t>
            </w:r>
          </w:p>
        </w:tc>
      </w:tr>
      <w:tr w:rsidR="002B32C6" w:rsidRPr="002E0D8A" w14:paraId="478255E8" w14:textId="77777777" w:rsidTr="00FA2C92">
        <w:tc>
          <w:tcPr>
            <w:tcW w:w="1618" w:type="dxa"/>
          </w:tcPr>
          <w:p w14:paraId="12F22F63" w14:textId="77777777" w:rsidR="002B32C6" w:rsidRPr="00340706" w:rsidRDefault="002B32C6" w:rsidP="00340706">
            <w:pPr>
              <w:spacing w:after="0"/>
              <w:rPr>
                <w:rFonts w:asciiTheme="minorHAnsi" w:hAnsiTheme="minorHAnsi" w:cstheme="minorHAnsi"/>
                <w:sz w:val="18"/>
                <w:szCs w:val="18"/>
                <w:lang w:val="en-AU"/>
              </w:rPr>
            </w:pPr>
            <w:r w:rsidRPr="00340706">
              <w:rPr>
                <w:rFonts w:asciiTheme="minorHAnsi" w:hAnsiTheme="minorHAnsi" w:cstheme="minorHAnsi"/>
                <w:color w:val="262626"/>
                <w:kern w:val="0"/>
                <w:sz w:val="18"/>
                <w:szCs w:val="18"/>
                <w:lang w:val="en-AU" w:bidi="th-TH"/>
              </w:rPr>
              <w:t>SUMERNET</w:t>
            </w:r>
          </w:p>
        </w:tc>
        <w:tc>
          <w:tcPr>
            <w:tcW w:w="7113" w:type="dxa"/>
          </w:tcPr>
          <w:p w14:paraId="7010971E" w14:textId="02C1A8E5" w:rsidR="002B32C6" w:rsidRPr="00340706" w:rsidRDefault="002B32C6" w:rsidP="00340706">
            <w:pPr>
              <w:pStyle w:val="BodyText1"/>
              <w:spacing w:after="0"/>
              <w:ind w:left="0"/>
              <w:rPr>
                <w:rFonts w:asciiTheme="minorHAnsi" w:hAnsiTheme="minorHAnsi" w:cstheme="minorHAnsi"/>
                <w:sz w:val="18"/>
                <w:szCs w:val="18"/>
                <w:lang w:val="en-AU"/>
              </w:rPr>
            </w:pPr>
            <w:r w:rsidRPr="00340706">
              <w:rPr>
                <w:rFonts w:asciiTheme="minorHAnsi" w:hAnsiTheme="minorHAnsi" w:cstheme="minorHAnsi"/>
                <w:color w:val="000000"/>
                <w:sz w:val="18"/>
                <w:szCs w:val="18"/>
                <w:shd w:val="clear" w:color="auto" w:fill="FFFFFF"/>
                <w:lang w:val="en-AU"/>
              </w:rPr>
              <w:t>Sustainable Mekong Research Network</w:t>
            </w:r>
          </w:p>
        </w:tc>
      </w:tr>
      <w:tr w:rsidR="002B32C6" w:rsidRPr="002E0D8A" w14:paraId="43202CCB" w14:textId="77777777" w:rsidTr="00FA2C92">
        <w:tc>
          <w:tcPr>
            <w:tcW w:w="1618" w:type="dxa"/>
          </w:tcPr>
          <w:p w14:paraId="6E26706F" w14:textId="5A791D9A"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theme="minorHAnsi"/>
                <w:sz w:val="18"/>
                <w:szCs w:val="18"/>
                <w:lang w:val="en-AU"/>
              </w:rPr>
              <w:t>PEA</w:t>
            </w:r>
          </w:p>
        </w:tc>
        <w:tc>
          <w:tcPr>
            <w:tcW w:w="7113" w:type="dxa"/>
          </w:tcPr>
          <w:p w14:paraId="53B43348"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cstheme="minorHAnsi"/>
                <w:sz w:val="18"/>
                <w:szCs w:val="18"/>
                <w:lang w:val="en-AU"/>
              </w:rPr>
              <w:t>Political Economy Analysis</w:t>
            </w:r>
          </w:p>
        </w:tc>
      </w:tr>
      <w:tr w:rsidR="002B32C6" w:rsidRPr="002E0D8A" w14:paraId="7AB9CF72" w14:textId="77777777" w:rsidTr="00FA2C92">
        <w:tc>
          <w:tcPr>
            <w:tcW w:w="1618" w:type="dxa"/>
          </w:tcPr>
          <w:p w14:paraId="44634734"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TbEIA</w:t>
            </w:r>
          </w:p>
        </w:tc>
        <w:tc>
          <w:tcPr>
            <w:tcW w:w="7113" w:type="dxa"/>
          </w:tcPr>
          <w:p w14:paraId="2FAF7F77"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Transboundary Environmental Impact Assessment</w:t>
            </w:r>
          </w:p>
        </w:tc>
      </w:tr>
      <w:tr w:rsidR="002B32C6" w:rsidRPr="002E0D8A" w14:paraId="71564EB9" w14:textId="77777777" w:rsidTr="00FA2C92">
        <w:tc>
          <w:tcPr>
            <w:tcW w:w="1618" w:type="dxa"/>
          </w:tcPr>
          <w:p w14:paraId="455832BD" w14:textId="73717091"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T</w:t>
            </w:r>
            <w:r w:rsidR="00B90C65" w:rsidRPr="00340706">
              <w:rPr>
                <w:rFonts w:asciiTheme="minorHAnsi" w:hAnsiTheme="minorHAnsi"/>
                <w:sz w:val="18"/>
                <w:szCs w:val="18"/>
                <w:lang w:val="en-AU"/>
              </w:rPr>
              <w:t>o</w:t>
            </w:r>
            <w:r w:rsidRPr="00340706">
              <w:rPr>
                <w:rFonts w:asciiTheme="minorHAnsi" w:hAnsiTheme="minorHAnsi"/>
                <w:sz w:val="18"/>
                <w:szCs w:val="18"/>
                <w:lang w:val="en-AU"/>
              </w:rPr>
              <w:t>C</w:t>
            </w:r>
          </w:p>
        </w:tc>
        <w:tc>
          <w:tcPr>
            <w:tcW w:w="7113" w:type="dxa"/>
          </w:tcPr>
          <w:p w14:paraId="639F4CE8"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Theory of Change</w:t>
            </w:r>
          </w:p>
        </w:tc>
      </w:tr>
      <w:tr w:rsidR="00E65055" w:rsidRPr="002E0D8A" w14:paraId="63F6A771" w14:textId="77777777" w:rsidTr="00FA2C92">
        <w:tc>
          <w:tcPr>
            <w:tcW w:w="1618" w:type="dxa"/>
          </w:tcPr>
          <w:p w14:paraId="281CDA48" w14:textId="088274A5" w:rsidR="00E65055" w:rsidRPr="00340706" w:rsidRDefault="00E65055"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WLE</w:t>
            </w:r>
          </w:p>
        </w:tc>
        <w:tc>
          <w:tcPr>
            <w:tcW w:w="7113" w:type="dxa"/>
          </w:tcPr>
          <w:p w14:paraId="75EEC489" w14:textId="0FC18236" w:rsidR="00E65055" w:rsidRPr="00340706" w:rsidRDefault="00E65055"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Water Land and Ecosystems Program (of the CGIAR system)</w:t>
            </w:r>
          </w:p>
        </w:tc>
      </w:tr>
      <w:tr w:rsidR="002B32C6" w:rsidRPr="002E0D8A" w14:paraId="50CE9DD6" w14:textId="77777777" w:rsidTr="00FA2C92">
        <w:tc>
          <w:tcPr>
            <w:tcW w:w="1618" w:type="dxa"/>
          </w:tcPr>
          <w:p w14:paraId="1717055F" w14:textId="77777777"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WBG</w:t>
            </w:r>
          </w:p>
        </w:tc>
        <w:tc>
          <w:tcPr>
            <w:tcW w:w="7113" w:type="dxa"/>
          </w:tcPr>
          <w:p w14:paraId="6935D238" w14:textId="41B1818A" w:rsidR="002B32C6" w:rsidRPr="00340706" w:rsidRDefault="002B32C6" w:rsidP="00340706">
            <w:pPr>
              <w:pStyle w:val="BodyText1"/>
              <w:spacing w:after="0"/>
              <w:ind w:left="0"/>
              <w:rPr>
                <w:rFonts w:asciiTheme="minorHAnsi" w:hAnsiTheme="minorHAnsi"/>
                <w:sz w:val="18"/>
                <w:szCs w:val="18"/>
                <w:lang w:val="en-AU"/>
              </w:rPr>
            </w:pPr>
            <w:r w:rsidRPr="00340706">
              <w:rPr>
                <w:rFonts w:asciiTheme="minorHAnsi" w:hAnsiTheme="minorHAnsi"/>
                <w:sz w:val="18"/>
                <w:szCs w:val="18"/>
                <w:lang w:val="en-AU"/>
              </w:rPr>
              <w:t>The World Bank Group</w:t>
            </w:r>
            <w:r w:rsidR="00E65055" w:rsidRPr="00340706">
              <w:rPr>
                <w:rFonts w:asciiTheme="minorHAnsi" w:hAnsiTheme="minorHAnsi"/>
                <w:sz w:val="18"/>
                <w:szCs w:val="18"/>
                <w:lang w:val="en-AU"/>
              </w:rPr>
              <w:t>, comprising The World Bank and the International Finance Corporation</w:t>
            </w:r>
          </w:p>
        </w:tc>
      </w:tr>
    </w:tbl>
    <w:p w14:paraId="0DE0B80A" w14:textId="77777777" w:rsidR="002B32C6" w:rsidRPr="002E0D8A" w:rsidRDefault="002B32C6" w:rsidP="0067637A">
      <w:pPr>
        <w:pStyle w:val="BodyText1"/>
        <w:rPr>
          <w:lang w:val="en-AU"/>
        </w:rPr>
      </w:pPr>
    </w:p>
    <w:p w14:paraId="1DC82A40" w14:textId="77777777" w:rsidR="00A56021" w:rsidRDefault="00A56021" w:rsidP="00942DD1">
      <w:pPr>
        <w:pStyle w:val="AppendixTableofFigures"/>
        <w:rPr>
          <w:lang w:val="en-AU"/>
        </w:rPr>
        <w:sectPr w:rsidR="00A56021" w:rsidSect="00A26CC6">
          <w:headerReference w:type="default" r:id="rId15"/>
          <w:pgSz w:w="11909" w:h="16834" w:code="9"/>
          <w:pgMar w:top="1134" w:right="990" w:bottom="1440" w:left="1440" w:header="720" w:footer="720" w:gutter="0"/>
          <w:pgNumType w:fmt="lowerRoman" w:start="1"/>
          <w:cols w:space="720"/>
          <w:docGrid w:linePitch="360"/>
        </w:sectPr>
      </w:pPr>
      <w:bookmarkStart w:id="12" w:name="_Toc73267458"/>
    </w:p>
    <w:p w14:paraId="2EE00326" w14:textId="35D7846F" w:rsidR="00D06A23" w:rsidRPr="002E0D8A" w:rsidRDefault="008414CE" w:rsidP="006B455F">
      <w:pPr>
        <w:pStyle w:val="Heading1"/>
        <w:numPr>
          <w:ilvl w:val="0"/>
          <w:numId w:val="0"/>
        </w:numPr>
        <w:ind w:left="851" w:hanging="851"/>
        <w:rPr>
          <w:lang w:val="en-AU"/>
        </w:rPr>
      </w:pPr>
      <w:bookmarkStart w:id="13" w:name="_Toc475358462"/>
      <w:r>
        <w:rPr>
          <w:lang w:val="en-AU"/>
        </w:rPr>
        <w:lastRenderedPageBreak/>
        <w:t>Executive Summary</w:t>
      </w:r>
      <w:bookmarkEnd w:id="13"/>
    </w:p>
    <w:p w14:paraId="619B9B22" w14:textId="2B9147FC" w:rsidR="00253189" w:rsidRPr="002E0D8A" w:rsidRDefault="00253189" w:rsidP="00A56021">
      <w:pPr>
        <w:pStyle w:val="BodyText"/>
        <w:rPr>
          <w:lang w:val="en-AU"/>
        </w:rPr>
      </w:pPr>
      <w:bookmarkStart w:id="14" w:name="Heading1"/>
      <w:bookmarkStart w:id="15" w:name="_Toc373100492"/>
      <w:bookmarkEnd w:id="12"/>
      <w:bookmarkEnd w:id="14"/>
      <w:r w:rsidRPr="002E0D8A">
        <w:rPr>
          <w:lang w:val="en-AU"/>
        </w:rPr>
        <w:t xml:space="preserve">This </w:t>
      </w:r>
      <w:r w:rsidR="004D58B8" w:rsidRPr="002E0D8A">
        <w:rPr>
          <w:lang w:val="en-AU"/>
        </w:rPr>
        <w:t>evaluative study</w:t>
      </w:r>
      <w:r w:rsidR="00FB2A33" w:rsidRPr="002E0D8A">
        <w:rPr>
          <w:lang w:val="en-AU"/>
        </w:rPr>
        <w:t xml:space="preserve"> of Australia’s Greater Mekong Water Resources Program (GMWRP)</w:t>
      </w:r>
      <w:r w:rsidR="00EB7339" w:rsidRPr="002E0D8A">
        <w:rPr>
          <w:lang w:val="en-AU"/>
        </w:rPr>
        <w:t xml:space="preserve"> was</w:t>
      </w:r>
      <w:r w:rsidRPr="002E0D8A">
        <w:rPr>
          <w:lang w:val="en-AU"/>
        </w:rPr>
        <w:t xml:space="preserve"> </w:t>
      </w:r>
      <w:r w:rsidRPr="002E0D8A">
        <w:rPr>
          <w:bCs/>
          <w:lang w:val="en-AU"/>
        </w:rPr>
        <w:t xml:space="preserve">commissioned by </w:t>
      </w:r>
      <w:r w:rsidR="00FB2A33" w:rsidRPr="002E0D8A">
        <w:rPr>
          <w:bCs/>
          <w:lang w:val="en-AU"/>
        </w:rPr>
        <w:t xml:space="preserve">the </w:t>
      </w:r>
      <w:r w:rsidRPr="002E0D8A">
        <w:rPr>
          <w:bCs/>
          <w:lang w:val="en-AU"/>
        </w:rPr>
        <w:t>Department of Foreign Affairs and Trade</w:t>
      </w:r>
      <w:r w:rsidRPr="002E0D8A">
        <w:rPr>
          <w:lang w:val="en-AU"/>
        </w:rPr>
        <w:t xml:space="preserve"> (DFAT). </w:t>
      </w:r>
      <w:r w:rsidR="00865026" w:rsidRPr="002E0D8A">
        <w:rPr>
          <w:lang w:val="en-AU"/>
        </w:rPr>
        <w:t xml:space="preserve">Lessons and </w:t>
      </w:r>
      <w:r w:rsidRPr="002E0D8A">
        <w:rPr>
          <w:lang w:val="en-AU"/>
        </w:rPr>
        <w:t xml:space="preserve">recommendations are intended to be integrated into the ongoing management of the program (by both DFAT and its </w:t>
      </w:r>
      <w:r w:rsidR="00865026" w:rsidRPr="002E0D8A">
        <w:rPr>
          <w:lang w:val="en-AU"/>
        </w:rPr>
        <w:t xml:space="preserve">implementing </w:t>
      </w:r>
      <w:r w:rsidRPr="002E0D8A">
        <w:rPr>
          <w:lang w:val="en-AU"/>
        </w:rPr>
        <w:t xml:space="preserve">partners) and </w:t>
      </w:r>
      <w:r w:rsidR="00EB7339" w:rsidRPr="002E0D8A">
        <w:rPr>
          <w:lang w:val="en-AU"/>
        </w:rPr>
        <w:t xml:space="preserve">to </w:t>
      </w:r>
      <w:r w:rsidRPr="002E0D8A">
        <w:rPr>
          <w:lang w:val="en-AU"/>
        </w:rPr>
        <w:t>provide valuable reflections for other governance programs.</w:t>
      </w:r>
    </w:p>
    <w:p w14:paraId="58BA6358" w14:textId="174B2295" w:rsidR="00865026" w:rsidRPr="002E0D8A" w:rsidRDefault="00253189" w:rsidP="00A56021">
      <w:pPr>
        <w:pStyle w:val="BodyText"/>
        <w:rPr>
          <w:color w:val="000000"/>
          <w:lang w:val="en-AU"/>
        </w:rPr>
      </w:pPr>
      <w:r w:rsidRPr="002E0D8A">
        <w:rPr>
          <w:color w:val="000000"/>
          <w:lang w:val="en-AU"/>
        </w:rPr>
        <w:t xml:space="preserve">Australia has been supporting Mekong societies to manage their water resources since the 1990s. Australia’s </w:t>
      </w:r>
      <w:r w:rsidR="00253821" w:rsidRPr="00253821">
        <w:rPr>
          <w:color w:val="000000"/>
          <w:lang w:val="en-AU"/>
        </w:rPr>
        <w:t>(G</w:t>
      </w:r>
      <w:r w:rsidRPr="00253821">
        <w:rPr>
          <w:bCs/>
          <w:color w:val="000000"/>
          <w:lang w:val="en-AU"/>
        </w:rPr>
        <w:t>MWRP)</w:t>
      </w:r>
      <w:r w:rsidRPr="002E0D8A">
        <w:rPr>
          <w:color w:val="000000"/>
          <w:lang w:val="en-AU"/>
        </w:rPr>
        <w:t xml:space="preserve"> 2014–201</w:t>
      </w:r>
      <w:r w:rsidR="002F45FF">
        <w:rPr>
          <w:color w:val="000000"/>
          <w:lang w:val="en-AU"/>
        </w:rPr>
        <w:t>9</w:t>
      </w:r>
      <w:r w:rsidRPr="002E0D8A">
        <w:rPr>
          <w:color w:val="000000"/>
          <w:lang w:val="en-AU"/>
        </w:rPr>
        <w:t xml:space="preserve"> is </w:t>
      </w:r>
      <w:r w:rsidR="00865026" w:rsidRPr="002E0D8A">
        <w:rPr>
          <w:color w:val="000000"/>
          <w:lang w:val="en-AU"/>
        </w:rPr>
        <w:t>the current</w:t>
      </w:r>
      <w:r w:rsidRPr="002E0D8A">
        <w:rPr>
          <w:color w:val="000000"/>
          <w:lang w:val="en-AU"/>
        </w:rPr>
        <w:t xml:space="preserve"> five-year </w:t>
      </w:r>
      <w:r w:rsidR="00865026" w:rsidRPr="002E0D8A">
        <w:rPr>
          <w:color w:val="000000"/>
          <w:lang w:val="en-AU"/>
        </w:rPr>
        <w:t>phase with a goal of contributing to water, food, energy and environmental security in the region.</w:t>
      </w:r>
    </w:p>
    <w:p w14:paraId="775FD054" w14:textId="227CBC1C" w:rsidR="00865026" w:rsidRPr="002E0D8A" w:rsidRDefault="00865026" w:rsidP="00A56021">
      <w:pPr>
        <w:pStyle w:val="BodyText"/>
        <w:rPr>
          <w:color w:val="000000"/>
          <w:lang w:val="en-AU"/>
        </w:rPr>
      </w:pPr>
      <w:r w:rsidRPr="002E0D8A">
        <w:rPr>
          <w:color w:val="000000"/>
          <w:lang w:val="en-AU"/>
        </w:rPr>
        <w:t xml:space="preserve">The program focuses on making regional water governance fairer and more effective by engaging with </w:t>
      </w:r>
      <w:r w:rsidR="00CA5309" w:rsidRPr="002E0D8A">
        <w:rPr>
          <w:color w:val="000000"/>
          <w:lang w:val="en-AU"/>
        </w:rPr>
        <w:t>governments and regional organisations, the private sector, civil society and local researchers in pursuit of five program outcomes:</w:t>
      </w:r>
    </w:p>
    <w:p w14:paraId="26494BB9" w14:textId="61C11A11" w:rsidR="00CA5309" w:rsidRPr="002E0D8A" w:rsidRDefault="00CA5309" w:rsidP="009228CA">
      <w:pPr>
        <w:pStyle w:val="BodyText"/>
        <w:numPr>
          <w:ilvl w:val="0"/>
          <w:numId w:val="29"/>
        </w:numPr>
        <w:rPr>
          <w:lang w:val="en-AU"/>
        </w:rPr>
      </w:pPr>
      <w:r w:rsidRPr="002E0D8A">
        <w:rPr>
          <w:b/>
          <w:lang w:val="en-AU"/>
        </w:rPr>
        <w:t>Effectively managed water governance</w:t>
      </w:r>
      <w:r w:rsidRPr="002E0D8A">
        <w:rPr>
          <w:lang w:val="en-AU"/>
        </w:rPr>
        <w:t>: Strengthening the institutional frameworks and capacity of regional, national and local actors to manage their water resources more effectively;</w:t>
      </w:r>
    </w:p>
    <w:p w14:paraId="7C02E9B3" w14:textId="42820410" w:rsidR="00CA5309" w:rsidRPr="002E0D8A" w:rsidRDefault="00CA5309" w:rsidP="009228CA">
      <w:pPr>
        <w:pStyle w:val="BodyText"/>
        <w:numPr>
          <w:ilvl w:val="0"/>
          <w:numId w:val="29"/>
        </w:numPr>
        <w:rPr>
          <w:lang w:val="en-AU"/>
        </w:rPr>
      </w:pPr>
      <w:r w:rsidRPr="002E0D8A">
        <w:rPr>
          <w:b/>
          <w:lang w:val="en-AU"/>
        </w:rPr>
        <w:t>Accountable water governance</w:t>
      </w:r>
      <w:r w:rsidRPr="002E0D8A">
        <w:rPr>
          <w:lang w:val="en-AU"/>
        </w:rPr>
        <w:t>: Raising the accountability of government and the private sector; normalising high standards for water investments; and promoting more transparent decision-making;</w:t>
      </w:r>
    </w:p>
    <w:p w14:paraId="1066601D" w14:textId="649CD921" w:rsidR="00CA5309" w:rsidRPr="002E0D8A" w:rsidRDefault="00CA5309" w:rsidP="009228CA">
      <w:pPr>
        <w:pStyle w:val="BodyText"/>
        <w:numPr>
          <w:ilvl w:val="0"/>
          <w:numId w:val="29"/>
        </w:numPr>
        <w:rPr>
          <w:lang w:val="en-AU"/>
        </w:rPr>
      </w:pPr>
      <w:r w:rsidRPr="002E0D8A">
        <w:rPr>
          <w:b/>
          <w:lang w:val="en-AU"/>
        </w:rPr>
        <w:t>Informed water governance:</w:t>
      </w:r>
      <w:r w:rsidRPr="002E0D8A">
        <w:rPr>
          <w:lang w:val="en-AU"/>
        </w:rPr>
        <w:t xml:space="preserve"> Enhancing the availability and influence of research to improve water resources management and water investment decision-making;</w:t>
      </w:r>
    </w:p>
    <w:p w14:paraId="6A7061B3" w14:textId="18933759" w:rsidR="00056DFF" w:rsidRPr="002E0D8A" w:rsidRDefault="00056DFF" w:rsidP="009228CA">
      <w:pPr>
        <w:pStyle w:val="BodyText"/>
        <w:numPr>
          <w:ilvl w:val="0"/>
          <w:numId w:val="29"/>
        </w:numPr>
        <w:rPr>
          <w:lang w:val="en-AU"/>
        </w:rPr>
      </w:pPr>
      <w:r w:rsidRPr="002E0D8A">
        <w:rPr>
          <w:b/>
          <w:lang w:val="en-AU"/>
        </w:rPr>
        <w:t>Inclusive</w:t>
      </w:r>
      <w:r w:rsidR="00562213" w:rsidRPr="002E0D8A">
        <w:rPr>
          <w:b/>
          <w:lang w:val="en-AU"/>
        </w:rPr>
        <w:t xml:space="preserve"> water governance:</w:t>
      </w:r>
      <w:r w:rsidR="00562213" w:rsidRPr="002E0D8A">
        <w:rPr>
          <w:lang w:val="en-AU"/>
        </w:rPr>
        <w:t xml:space="preserve"> Supporting civil society and local community input into water decisions and management at all levels.</w:t>
      </w:r>
    </w:p>
    <w:p w14:paraId="08E4D83F" w14:textId="635E42DD" w:rsidR="004D58B8" w:rsidRPr="002E0D8A" w:rsidRDefault="004D58B8" w:rsidP="009228CA">
      <w:pPr>
        <w:pStyle w:val="BodyText"/>
        <w:numPr>
          <w:ilvl w:val="0"/>
          <w:numId w:val="29"/>
        </w:numPr>
        <w:rPr>
          <w:lang w:val="en-AU"/>
        </w:rPr>
      </w:pPr>
      <w:r w:rsidRPr="002E0D8A">
        <w:rPr>
          <w:b/>
          <w:lang w:val="en-AU"/>
        </w:rPr>
        <w:t>Policy dialogue:</w:t>
      </w:r>
      <w:r w:rsidRPr="002E0D8A">
        <w:rPr>
          <w:lang w:val="en-AU"/>
        </w:rPr>
        <w:t xml:space="preserve"> Fostering trust and open discussion between Greater Mekong governments and other water-related stakeholders.</w:t>
      </w:r>
    </w:p>
    <w:p w14:paraId="6274C48E" w14:textId="082A5E2A" w:rsidR="00863058" w:rsidRPr="002E0D8A" w:rsidRDefault="0013057C" w:rsidP="00A56021">
      <w:pPr>
        <w:pStyle w:val="BodyText"/>
        <w:rPr>
          <w:lang w:val="en-AU"/>
        </w:rPr>
      </w:pPr>
      <w:r w:rsidRPr="002E0D8A">
        <w:rPr>
          <w:lang w:val="en-AU"/>
        </w:rPr>
        <w:t xml:space="preserve">Within this framework, </w:t>
      </w:r>
      <w:r w:rsidR="00071C95" w:rsidRPr="002E0D8A">
        <w:rPr>
          <w:lang w:val="en-AU"/>
        </w:rPr>
        <w:t>DFAT is actively promoting</w:t>
      </w:r>
      <w:r w:rsidR="00863058" w:rsidRPr="002E0D8A">
        <w:rPr>
          <w:lang w:val="en-AU"/>
        </w:rPr>
        <w:t xml:space="preserve"> constructive engagement and</w:t>
      </w:r>
      <w:r w:rsidR="00071C95" w:rsidRPr="002E0D8A">
        <w:rPr>
          <w:lang w:val="en-AU"/>
        </w:rPr>
        <w:t xml:space="preserve"> policy dialogue</w:t>
      </w:r>
      <w:r w:rsidR="00863058" w:rsidRPr="002E0D8A">
        <w:rPr>
          <w:lang w:val="en-AU"/>
        </w:rPr>
        <w:t xml:space="preserve"> on priority topics such as: seeking solutions to development challenges; gender equality; public disclosure of information; public policy and regulatory improvements in irrigation, hydropower, mining and river basin management.</w:t>
      </w:r>
    </w:p>
    <w:p w14:paraId="1623F28E" w14:textId="3B846942" w:rsidR="00253189" w:rsidRPr="002E0D8A" w:rsidRDefault="00253189" w:rsidP="00A56021">
      <w:pPr>
        <w:pStyle w:val="BodyText"/>
        <w:rPr>
          <w:lang w:val="en-AU"/>
        </w:rPr>
      </w:pPr>
      <w:r w:rsidRPr="002E0D8A">
        <w:rPr>
          <w:lang w:val="en-AU"/>
        </w:rPr>
        <w:t xml:space="preserve">The </w:t>
      </w:r>
      <w:r w:rsidR="00B90C65">
        <w:rPr>
          <w:lang w:val="en-AU"/>
        </w:rPr>
        <w:t>objectives</w:t>
      </w:r>
      <w:r w:rsidR="00B90C65" w:rsidRPr="002E0D8A">
        <w:rPr>
          <w:lang w:val="en-AU"/>
        </w:rPr>
        <w:t xml:space="preserve"> </w:t>
      </w:r>
      <w:r w:rsidRPr="002E0D8A">
        <w:rPr>
          <w:lang w:val="en-AU"/>
        </w:rPr>
        <w:t xml:space="preserve">of this </w:t>
      </w:r>
      <w:r w:rsidRPr="002E0D8A">
        <w:rPr>
          <w:b/>
          <w:lang w:val="en-AU"/>
        </w:rPr>
        <w:t>evaluative study</w:t>
      </w:r>
      <w:r w:rsidRPr="002E0D8A">
        <w:rPr>
          <w:lang w:val="en-AU"/>
        </w:rPr>
        <w:t xml:space="preserve"> </w:t>
      </w:r>
      <w:r w:rsidR="00B90C65">
        <w:rPr>
          <w:lang w:val="en-AU"/>
        </w:rPr>
        <w:t>are</w:t>
      </w:r>
      <w:r w:rsidRPr="002E0D8A">
        <w:rPr>
          <w:lang w:val="en-AU"/>
        </w:rPr>
        <w:t xml:space="preserve"> to:</w:t>
      </w:r>
    </w:p>
    <w:p w14:paraId="7C1CE056" w14:textId="035AB3A0" w:rsidR="00253189" w:rsidRPr="002E0D8A" w:rsidRDefault="00FB2A33" w:rsidP="009228CA">
      <w:pPr>
        <w:pStyle w:val="BodyText"/>
        <w:numPr>
          <w:ilvl w:val="0"/>
          <w:numId w:val="26"/>
        </w:numPr>
        <w:rPr>
          <w:lang w:val="en-AU"/>
        </w:rPr>
      </w:pPr>
      <w:r w:rsidRPr="002E0D8A">
        <w:rPr>
          <w:lang w:val="en-AU"/>
        </w:rPr>
        <w:t>T</w:t>
      </w:r>
      <w:r w:rsidR="00253189" w:rsidRPr="002E0D8A">
        <w:rPr>
          <w:lang w:val="en-AU"/>
        </w:rPr>
        <w:t xml:space="preserve">est the logic </w:t>
      </w:r>
      <w:r w:rsidR="00D12918" w:rsidRPr="002E0D8A">
        <w:rPr>
          <w:lang w:val="en-AU"/>
        </w:rPr>
        <w:t xml:space="preserve">of the GMWRP </w:t>
      </w:r>
      <w:r w:rsidR="00253189" w:rsidRPr="002E0D8A">
        <w:rPr>
          <w:lang w:val="en-AU"/>
        </w:rPr>
        <w:t xml:space="preserve">and </w:t>
      </w:r>
      <w:r w:rsidR="00D12918" w:rsidRPr="002E0D8A">
        <w:rPr>
          <w:lang w:val="en-AU"/>
        </w:rPr>
        <w:t xml:space="preserve">the </w:t>
      </w:r>
      <w:r w:rsidR="00253189" w:rsidRPr="002E0D8A">
        <w:rPr>
          <w:lang w:val="en-AU"/>
        </w:rPr>
        <w:t xml:space="preserve">effectiveness of </w:t>
      </w:r>
      <w:r w:rsidR="00D12918" w:rsidRPr="002E0D8A">
        <w:rPr>
          <w:lang w:val="en-AU"/>
        </w:rPr>
        <w:t xml:space="preserve">various </w:t>
      </w:r>
      <w:r w:rsidR="00253189" w:rsidRPr="002E0D8A">
        <w:rPr>
          <w:lang w:val="en-AU"/>
        </w:rPr>
        <w:t xml:space="preserve">policy dialogue </w:t>
      </w:r>
      <w:r w:rsidR="00D12918" w:rsidRPr="002E0D8A">
        <w:rPr>
          <w:lang w:val="en-AU"/>
        </w:rPr>
        <w:t>initiatives by DFAT and program implementation partners</w:t>
      </w:r>
      <w:r w:rsidR="00253189" w:rsidRPr="002E0D8A">
        <w:rPr>
          <w:lang w:val="en-AU"/>
        </w:rPr>
        <w:t>;</w:t>
      </w:r>
    </w:p>
    <w:p w14:paraId="7AD750A1" w14:textId="5BC951C7" w:rsidR="00253189" w:rsidRPr="002E0D8A" w:rsidRDefault="00B7663B" w:rsidP="009228CA">
      <w:pPr>
        <w:pStyle w:val="BodyText"/>
        <w:numPr>
          <w:ilvl w:val="0"/>
          <w:numId w:val="26"/>
        </w:numPr>
        <w:rPr>
          <w:lang w:val="en-AU"/>
        </w:rPr>
      </w:pPr>
      <w:r w:rsidRPr="002E0D8A">
        <w:rPr>
          <w:lang w:val="en-AU"/>
        </w:rPr>
        <w:t>Seek out and l</w:t>
      </w:r>
      <w:r w:rsidR="00D12918" w:rsidRPr="002E0D8A">
        <w:rPr>
          <w:lang w:val="en-AU"/>
        </w:rPr>
        <w:t>earn</w:t>
      </w:r>
      <w:r w:rsidR="00253189" w:rsidRPr="002E0D8A">
        <w:rPr>
          <w:lang w:val="en-AU"/>
        </w:rPr>
        <w:t xml:space="preserve"> </w:t>
      </w:r>
      <w:r w:rsidRPr="002E0D8A">
        <w:rPr>
          <w:lang w:val="en-AU"/>
        </w:rPr>
        <w:t xml:space="preserve">from innovative and </w:t>
      </w:r>
      <w:r w:rsidR="00253189" w:rsidRPr="002E0D8A">
        <w:rPr>
          <w:lang w:val="en-AU"/>
        </w:rPr>
        <w:t xml:space="preserve">successful policy dialogue </w:t>
      </w:r>
      <w:r w:rsidR="00D12918" w:rsidRPr="002E0D8A">
        <w:rPr>
          <w:lang w:val="en-AU"/>
        </w:rPr>
        <w:t xml:space="preserve">contributed to by </w:t>
      </w:r>
      <w:r w:rsidR="00253189" w:rsidRPr="002E0D8A">
        <w:rPr>
          <w:lang w:val="en-AU"/>
        </w:rPr>
        <w:t xml:space="preserve">the </w:t>
      </w:r>
      <w:r w:rsidR="00D12918" w:rsidRPr="002E0D8A">
        <w:rPr>
          <w:lang w:val="en-AU"/>
        </w:rPr>
        <w:t xml:space="preserve">GMWRP </w:t>
      </w:r>
      <w:r w:rsidR="00253189" w:rsidRPr="002E0D8A">
        <w:rPr>
          <w:lang w:val="en-AU"/>
        </w:rPr>
        <w:t xml:space="preserve">to </w:t>
      </w:r>
      <w:r w:rsidRPr="002E0D8A">
        <w:rPr>
          <w:lang w:val="en-AU"/>
        </w:rPr>
        <w:t xml:space="preserve">enable </w:t>
      </w:r>
      <w:r w:rsidR="00253189" w:rsidRPr="002E0D8A">
        <w:rPr>
          <w:lang w:val="en-AU"/>
        </w:rPr>
        <w:t>wider replication</w:t>
      </w:r>
      <w:r w:rsidRPr="002E0D8A">
        <w:rPr>
          <w:lang w:val="en-AU"/>
        </w:rPr>
        <w:t>;</w:t>
      </w:r>
      <w:r w:rsidR="007C3773" w:rsidRPr="002E0D8A">
        <w:rPr>
          <w:lang w:val="en-AU"/>
        </w:rPr>
        <w:t xml:space="preserve"> and</w:t>
      </w:r>
    </w:p>
    <w:p w14:paraId="121D5816" w14:textId="5CFB6D1F" w:rsidR="00253189" w:rsidRPr="002E0D8A" w:rsidRDefault="00FB2A33" w:rsidP="009228CA">
      <w:pPr>
        <w:pStyle w:val="BodyText"/>
        <w:numPr>
          <w:ilvl w:val="0"/>
          <w:numId w:val="26"/>
        </w:numPr>
        <w:rPr>
          <w:lang w:val="en-AU"/>
        </w:rPr>
      </w:pPr>
      <w:r w:rsidRPr="002E0D8A">
        <w:rPr>
          <w:lang w:val="en-AU"/>
        </w:rPr>
        <w:t>I</w:t>
      </w:r>
      <w:r w:rsidR="00253189" w:rsidRPr="002E0D8A">
        <w:rPr>
          <w:lang w:val="en-AU"/>
        </w:rPr>
        <w:t xml:space="preserve">dentify other policy dialogue approaches that could be used </w:t>
      </w:r>
      <w:r w:rsidR="00B7663B" w:rsidRPr="002E0D8A">
        <w:rPr>
          <w:lang w:val="en-AU"/>
        </w:rPr>
        <w:t>by GWMWRP partners</w:t>
      </w:r>
      <w:r w:rsidR="00253189" w:rsidRPr="002E0D8A">
        <w:rPr>
          <w:lang w:val="en-AU"/>
        </w:rPr>
        <w:t>.</w:t>
      </w:r>
    </w:p>
    <w:p w14:paraId="36D3E5EC" w14:textId="0609D580" w:rsidR="00FB2A33" w:rsidRPr="002E0D8A" w:rsidRDefault="00253189" w:rsidP="00A56021">
      <w:pPr>
        <w:pStyle w:val="BodyText"/>
        <w:rPr>
          <w:rFonts w:asciiTheme="minorHAnsi" w:hAnsiTheme="minorHAnsi" w:cstheme="minorHAnsi"/>
          <w:color w:val="000000"/>
          <w:lang w:val="en-AU"/>
        </w:rPr>
      </w:pPr>
      <w:r w:rsidRPr="002E0D8A">
        <w:rPr>
          <w:rFonts w:asciiTheme="minorHAnsi" w:hAnsiTheme="minorHAnsi" w:cstheme="minorHAnsi"/>
          <w:lang w:val="en-AU"/>
        </w:rPr>
        <w:t xml:space="preserve">The team </w:t>
      </w:r>
      <w:r w:rsidR="00FB2A33" w:rsidRPr="002E0D8A">
        <w:rPr>
          <w:rFonts w:asciiTheme="minorHAnsi" w:hAnsiTheme="minorHAnsi" w:cstheme="minorHAnsi"/>
          <w:lang w:val="en-AU"/>
        </w:rPr>
        <w:t>observed</w:t>
      </w:r>
      <w:r w:rsidRPr="002E0D8A">
        <w:rPr>
          <w:rFonts w:asciiTheme="minorHAnsi" w:hAnsiTheme="minorHAnsi" w:cstheme="minorHAnsi"/>
          <w:lang w:val="en-AU"/>
        </w:rPr>
        <w:t xml:space="preserve"> and </w:t>
      </w:r>
      <w:r w:rsidR="00FB2A33" w:rsidRPr="002E0D8A">
        <w:rPr>
          <w:rFonts w:asciiTheme="minorHAnsi" w:hAnsiTheme="minorHAnsi" w:cstheme="minorHAnsi"/>
          <w:lang w:val="en-AU"/>
        </w:rPr>
        <w:t xml:space="preserve">conducted </w:t>
      </w:r>
      <w:r w:rsidRPr="002E0D8A">
        <w:rPr>
          <w:rFonts w:asciiTheme="minorHAnsi" w:hAnsiTheme="minorHAnsi" w:cstheme="minorHAnsi"/>
          <w:color w:val="000000"/>
          <w:lang w:val="en-AU"/>
        </w:rPr>
        <w:t xml:space="preserve">key informant interviews at major regional events in Thailand 7-12 November 2016, </w:t>
      </w:r>
      <w:r w:rsidR="00FB2A33" w:rsidRPr="002E0D8A">
        <w:rPr>
          <w:rFonts w:asciiTheme="minorHAnsi" w:hAnsiTheme="minorHAnsi" w:cstheme="minorHAnsi"/>
          <w:color w:val="000000"/>
          <w:lang w:val="en-AU"/>
        </w:rPr>
        <w:t xml:space="preserve">followed by </w:t>
      </w:r>
      <w:r w:rsidRPr="002E0D8A">
        <w:rPr>
          <w:rFonts w:asciiTheme="minorHAnsi" w:hAnsiTheme="minorHAnsi" w:cstheme="minorHAnsi"/>
          <w:color w:val="000000"/>
          <w:lang w:val="en-AU"/>
        </w:rPr>
        <w:t xml:space="preserve">visits to Vietnam November 13-16, Cambodia November 17-20, Laos 21-25 November, and Myanmar </w:t>
      </w:r>
      <w:r w:rsidR="00D6548F" w:rsidRPr="002E0D8A">
        <w:rPr>
          <w:rFonts w:asciiTheme="minorHAnsi" w:hAnsiTheme="minorHAnsi" w:cstheme="minorHAnsi"/>
          <w:color w:val="000000"/>
          <w:lang w:val="en-AU"/>
        </w:rPr>
        <w:t xml:space="preserve">December </w:t>
      </w:r>
      <w:r w:rsidRPr="002E0D8A">
        <w:rPr>
          <w:rFonts w:asciiTheme="minorHAnsi" w:hAnsiTheme="minorHAnsi" w:cstheme="minorHAnsi"/>
          <w:color w:val="000000"/>
          <w:lang w:val="en-AU"/>
        </w:rPr>
        <w:t>12</w:t>
      </w:r>
      <w:r w:rsidR="00AB5399" w:rsidRPr="002E0D8A">
        <w:rPr>
          <w:rFonts w:asciiTheme="minorHAnsi" w:hAnsiTheme="minorHAnsi" w:cstheme="minorHAnsi"/>
          <w:color w:val="000000"/>
          <w:lang w:val="en-AU"/>
        </w:rPr>
        <w:t>-</w:t>
      </w:r>
      <w:r w:rsidRPr="002E0D8A">
        <w:rPr>
          <w:rFonts w:asciiTheme="minorHAnsi" w:hAnsiTheme="minorHAnsi" w:cstheme="minorHAnsi"/>
          <w:color w:val="000000"/>
          <w:lang w:val="en-AU"/>
        </w:rPr>
        <w:t>16</w:t>
      </w:r>
      <w:r w:rsidR="002F45FF">
        <w:rPr>
          <w:rFonts w:asciiTheme="minorHAnsi" w:hAnsiTheme="minorHAnsi" w:cstheme="minorHAnsi"/>
          <w:color w:val="000000"/>
          <w:lang w:val="en-AU"/>
        </w:rPr>
        <w:t>,</w:t>
      </w:r>
      <w:r w:rsidRPr="002E0D8A">
        <w:rPr>
          <w:rFonts w:asciiTheme="minorHAnsi" w:hAnsiTheme="minorHAnsi" w:cstheme="minorHAnsi"/>
          <w:color w:val="000000"/>
          <w:lang w:val="en-AU"/>
        </w:rPr>
        <w:t xml:space="preserve"> 2016.</w:t>
      </w:r>
    </w:p>
    <w:p w14:paraId="68FDF3C6" w14:textId="4250558F" w:rsidR="006304B1" w:rsidRPr="002E0D8A" w:rsidRDefault="00253189" w:rsidP="00A56021">
      <w:pPr>
        <w:pStyle w:val="BodyText"/>
        <w:rPr>
          <w:rFonts w:asciiTheme="minorHAnsi" w:hAnsiTheme="minorHAnsi" w:cstheme="minorHAnsi"/>
          <w:color w:val="000000"/>
          <w:lang w:val="en-AU"/>
        </w:rPr>
      </w:pPr>
      <w:r w:rsidRPr="002E0D8A">
        <w:rPr>
          <w:rFonts w:asciiTheme="minorHAnsi" w:hAnsiTheme="minorHAnsi" w:cstheme="minorHAnsi"/>
          <w:color w:val="000000"/>
          <w:lang w:val="en-AU"/>
        </w:rPr>
        <w:t>The key informants include</w:t>
      </w:r>
      <w:r w:rsidR="00D6548F" w:rsidRPr="002E0D8A">
        <w:rPr>
          <w:rFonts w:asciiTheme="minorHAnsi" w:hAnsiTheme="minorHAnsi" w:cstheme="minorHAnsi"/>
          <w:color w:val="000000"/>
          <w:lang w:val="en-AU"/>
        </w:rPr>
        <w:t>d</w:t>
      </w:r>
      <w:r w:rsidRPr="002E0D8A">
        <w:rPr>
          <w:rFonts w:asciiTheme="minorHAnsi" w:hAnsiTheme="minorHAnsi" w:cstheme="minorHAnsi"/>
          <w:color w:val="000000"/>
          <w:lang w:val="en-AU"/>
        </w:rPr>
        <w:t xml:space="preserve"> the </w:t>
      </w:r>
      <w:r w:rsidR="00AB5399" w:rsidRPr="002E0D8A">
        <w:rPr>
          <w:rFonts w:asciiTheme="minorHAnsi" w:hAnsiTheme="minorHAnsi" w:cstheme="minorHAnsi"/>
          <w:color w:val="000000"/>
          <w:lang w:val="en-AU"/>
        </w:rPr>
        <w:t>DFAT</w:t>
      </w:r>
      <w:r w:rsidR="002F45FF">
        <w:rPr>
          <w:rFonts w:asciiTheme="minorHAnsi" w:hAnsiTheme="minorHAnsi" w:cstheme="minorHAnsi"/>
          <w:color w:val="000000"/>
          <w:lang w:val="en-AU"/>
        </w:rPr>
        <w:t xml:space="preserve"> Greater</w:t>
      </w:r>
      <w:r w:rsidR="00AB5399" w:rsidRPr="002E0D8A">
        <w:rPr>
          <w:rFonts w:asciiTheme="minorHAnsi" w:hAnsiTheme="minorHAnsi" w:cstheme="minorHAnsi"/>
          <w:color w:val="000000"/>
          <w:lang w:val="en-AU"/>
        </w:rPr>
        <w:t xml:space="preserve"> </w:t>
      </w:r>
      <w:r w:rsidRPr="002E0D8A">
        <w:rPr>
          <w:rFonts w:asciiTheme="minorHAnsi" w:hAnsiTheme="minorHAnsi" w:cstheme="minorHAnsi"/>
          <w:color w:val="000000"/>
          <w:lang w:val="en-AU"/>
        </w:rPr>
        <w:t xml:space="preserve">Mekong Water Team, </w:t>
      </w:r>
      <w:r w:rsidR="00AB5399" w:rsidRPr="002E0D8A">
        <w:rPr>
          <w:rFonts w:asciiTheme="minorHAnsi" w:hAnsiTheme="minorHAnsi" w:cstheme="minorHAnsi"/>
          <w:color w:val="000000"/>
          <w:lang w:val="en-AU"/>
        </w:rPr>
        <w:t xml:space="preserve">the </w:t>
      </w:r>
      <w:r w:rsidRPr="002E0D8A">
        <w:rPr>
          <w:rFonts w:asciiTheme="minorHAnsi" w:hAnsiTheme="minorHAnsi" w:cstheme="minorHAnsi"/>
          <w:color w:val="000000"/>
          <w:lang w:val="en-AU"/>
        </w:rPr>
        <w:t xml:space="preserve">program’s key </w:t>
      </w:r>
      <w:r w:rsidR="00AB5399" w:rsidRPr="002E0D8A">
        <w:rPr>
          <w:rFonts w:asciiTheme="minorHAnsi" w:hAnsiTheme="minorHAnsi" w:cstheme="minorHAnsi"/>
          <w:color w:val="000000"/>
          <w:lang w:val="en-AU"/>
        </w:rPr>
        <w:t xml:space="preserve">implementing </w:t>
      </w:r>
      <w:r w:rsidRPr="002E0D8A">
        <w:rPr>
          <w:rFonts w:asciiTheme="minorHAnsi" w:hAnsiTheme="minorHAnsi" w:cstheme="minorHAnsi"/>
          <w:color w:val="000000"/>
          <w:lang w:val="en-AU"/>
        </w:rPr>
        <w:t xml:space="preserve">partners and </w:t>
      </w:r>
      <w:r w:rsidR="00D6548F" w:rsidRPr="002E0D8A">
        <w:rPr>
          <w:rFonts w:asciiTheme="minorHAnsi" w:hAnsiTheme="minorHAnsi" w:cstheme="minorHAnsi"/>
          <w:color w:val="000000"/>
          <w:lang w:val="en-AU"/>
        </w:rPr>
        <w:t xml:space="preserve">other </w:t>
      </w:r>
      <w:r w:rsidRPr="002E0D8A">
        <w:rPr>
          <w:rFonts w:asciiTheme="minorHAnsi" w:hAnsiTheme="minorHAnsi" w:cstheme="minorHAnsi"/>
          <w:color w:val="000000"/>
          <w:lang w:val="en-AU"/>
        </w:rPr>
        <w:t xml:space="preserve">development partners, </w:t>
      </w:r>
      <w:r w:rsidR="006304B1" w:rsidRPr="002E0D8A">
        <w:rPr>
          <w:rFonts w:asciiTheme="minorHAnsi" w:hAnsiTheme="minorHAnsi" w:cstheme="minorHAnsi"/>
          <w:color w:val="000000"/>
          <w:lang w:val="en-AU"/>
        </w:rPr>
        <w:t>namely:</w:t>
      </w:r>
      <w:r w:rsidR="00056DFF" w:rsidRPr="002E0D8A">
        <w:rPr>
          <w:rFonts w:asciiTheme="minorHAnsi" w:hAnsiTheme="minorHAnsi" w:cstheme="minorHAnsi"/>
          <w:color w:val="000000"/>
          <w:lang w:val="en-AU"/>
        </w:rPr>
        <w:t xml:space="preserve"> </w:t>
      </w:r>
      <w:r w:rsidR="00AB5399" w:rsidRPr="002E0D8A">
        <w:rPr>
          <w:rFonts w:asciiTheme="minorHAnsi" w:hAnsiTheme="minorHAnsi" w:cstheme="minorHAnsi"/>
          <w:color w:val="000000"/>
          <w:lang w:val="en-AU"/>
        </w:rPr>
        <w:t>Greater Mekong government officials with water-related responsibilities, Mekong River Commission</w:t>
      </w:r>
      <w:r w:rsidR="006304B1" w:rsidRPr="002E0D8A">
        <w:rPr>
          <w:rFonts w:asciiTheme="minorHAnsi" w:hAnsiTheme="minorHAnsi" w:cstheme="minorHAnsi"/>
          <w:color w:val="000000"/>
          <w:lang w:val="en-AU"/>
        </w:rPr>
        <w:t xml:space="preserve"> (an inter</w:t>
      </w:r>
      <w:r w:rsidR="00A26CC6" w:rsidRPr="002E0D8A">
        <w:rPr>
          <w:rFonts w:asciiTheme="minorHAnsi" w:hAnsiTheme="minorHAnsi" w:cstheme="minorHAnsi"/>
          <w:color w:val="000000"/>
          <w:lang w:val="en-AU"/>
        </w:rPr>
        <w:t xml:space="preserve">-governmental </w:t>
      </w:r>
      <w:r w:rsidR="006304B1" w:rsidRPr="002E0D8A">
        <w:rPr>
          <w:rFonts w:asciiTheme="minorHAnsi" w:hAnsiTheme="minorHAnsi" w:cstheme="minorHAnsi"/>
          <w:color w:val="000000"/>
          <w:lang w:val="en-AU"/>
        </w:rPr>
        <w:t>river basin organi</w:t>
      </w:r>
      <w:r w:rsidR="00340706">
        <w:rPr>
          <w:rFonts w:asciiTheme="minorHAnsi" w:hAnsiTheme="minorHAnsi" w:cstheme="minorHAnsi"/>
          <w:color w:val="000000"/>
          <w:lang w:val="en-AU"/>
        </w:rPr>
        <w:t>s</w:t>
      </w:r>
      <w:r w:rsidR="006304B1" w:rsidRPr="002E0D8A">
        <w:rPr>
          <w:rFonts w:asciiTheme="minorHAnsi" w:hAnsiTheme="minorHAnsi" w:cstheme="minorHAnsi"/>
          <w:color w:val="000000"/>
          <w:lang w:val="en-AU"/>
        </w:rPr>
        <w:t>ation)</w:t>
      </w:r>
      <w:r w:rsidR="00AB5399" w:rsidRPr="002E0D8A">
        <w:rPr>
          <w:rFonts w:asciiTheme="minorHAnsi" w:hAnsiTheme="minorHAnsi" w:cstheme="minorHAnsi"/>
          <w:color w:val="000000"/>
          <w:lang w:val="en-AU"/>
        </w:rPr>
        <w:t xml:space="preserve">, World Bank Group (The World Bank and International Finance Corporation), Oxfam Australia, International Water Management Institute </w:t>
      </w:r>
      <w:r w:rsidR="005579D9">
        <w:rPr>
          <w:rFonts w:asciiTheme="minorHAnsi" w:hAnsiTheme="minorHAnsi" w:cstheme="minorHAnsi"/>
          <w:color w:val="000000"/>
          <w:lang w:val="en-AU"/>
        </w:rPr>
        <w:t xml:space="preserve">and </w:t>
      </w:r>
      <w:r w:rsidR="00AB5399" w:rsidRPr="002E0D8A">
        <w:rPr>
          <w:rFonts w:asciiTheme="minorHAnsi" w:hAnsiTheme="minorHAnsi" w:cstheme="minorHAnsi"/>
          <w:color w:val="000000"/>
          <w:lang w:val="en-AU"/>
        </w:rPr>
        <w:t>the Greater Mekong Water Land and Ecosystems Program</w:t>
      </w:r>
      <w:r w:rsidR="006304B1" w:rsidRPr="002E0D8A">
        <w:rPr>
          <w:rFonts w:asciiTheme="minorHAnsi" w:hAnsiTheme="minorHAnsi" w:cstheme="minorHAnsi"/>
          <w:color w:val="000000"/>
          <w:lang w:val="en-AU"/>
        </w:rPr>
        <w:t xml:space="preserve">, the Australian Water Partnership, </w:t>
      </w:r>
      <w:r w:rsidR="00D6548F" w:rsidRPr="002E0D8A">
        <w:rPr>
          <w:rFonts w:asciiTheme="minorHAnsi" w:hAnsiTheme="minorHAnsi" w:cstheme="minorHAnsi"/>
          <w:color w:val="000000"/>
          <w:lang w:val="en-AU"/>
        </w:rPr>
        <w:t xml:space="preserve">other DFAT officers, officials of non-Mekong governments </w:t>
      </w:r>
      <w:r w:rsidR="006304B1" w:rsidRPr="002E0D8A">
        <w:rPr>
          <w:rFonts w:asciiTheme="minorHAnsi" w:hAnsiTheme="minorHAnsi" w:cstheme="minorHAnsi"/>
          <w:color w:val="000000"/>
          <w:lang w:val="en-AU"/>
        </w:rPr>
        <w:t>and other people knowledgeable in Greater Mekong water governance and political economy.</w:t>
      </w:r>
    </w:p>
    <w:p w14:paraId="21A5178E" w14:textId="6E4792E2" w:rsidR="00994C2E" w:rsidRPr="002E0D8A" w:rsidRDefault="00435381" w:rsidP="006B455F">
      <w:pPr>
        <w:pStyle w:val="BodyText"/>
        <w:keepNext/>
        <w:rPr>
          <w:rFonts w:asciiTheme="minorHAnsi" w:hAnsiTheme="minorHAnsi" w:cs="Arial"/>
          <w:lang w:val="en-AU" w:bidi="th-TH"/>
        </w:rPr>
      </w:pPr>
      <w:r>
        <w:rPr>
          <w:rFonts w:asciiTheme="minorHAnsi" w:hAnsiTheme="minorHAnsi" w:cs="Arial"/>
          <w:lang w:val="en-AU" w:bidi="th-TH"/>
        </w:rPr>
        <w:lastRenderedPageBreak/>
        <w:t>Key elements and a</w:t>
      </w:r>
      <w:r w:rsidR="00994C2E" w:rsidRPr="002E0D8A">
        <w:rPr>
          <w:rFonts w:asciiTheme="minorHAnsi" w:hAnsiTheme="minorHAnsi" w:cs="Arial"/>
          <w:lang w:val="en-AU" w:bidi="th-TH"/>
        </w:rPr>
        <w:t>chievement</w:t>
      </w:r>
      <w:r w:rsidR="00A377B0">
        <w:rPr>
          <w:rFonts w:asciiTheme="minorHAnsi" w:hAnsiTheme="minorHAnsi" w:cs="Arial"/>
          <w:lang w:val="en-AU" w:bidi="th-TH"/>
        </w:rPr>
        <w:t>s</w:t>
      </w:r>
      <w:r w:rsidR="00994C2E" w:rsidRPr="002E0D8A">
        <w:rPr>
          <w:rFonts w:asciiTheme="minorHAnsi" w:hAnsiTheme="minorHAnsi" w:cs="Arial"/>
          <w:lang w:val="en-AU" w:bidi="th-TH"/>
        </w:rPr>
        <w:t xml:space="preserve"> of the GMWRP </w:t>
      </w:r>
      <w:r w:rsidR="00100930" w:rsidRPr="002E0D8A">
        <w:rPr>
          <w:rFonts w:asciiTheme="minorHAnsi" w:hAnsiTheme="minorHAnsi" w:cs="Arial"/>
          <w:lang w:val="en-AU" w:bidi="th-TH"/>
        </w:rPr>
        <w:t>are</w:t>
      </w:r>
      <w:r w:rsidR="00994C2E" w:rsidRPr="002E0D8A">
        <w:rPr>
          <w:rFonts w:asciiTheme="minorHAnsi" w:hAnsiTheme="minorHAnsi" w:cs="Arial"/>
          <w:lang w:val="en-AU" w:bidi="th-TH"/>
        </w:rPr>
        <w:t>:</w:t>
      </w:r>
    </w:p>
    <w:p w14:paraId="5585589C" w14:textId="2D9F3DEE" w:rsidR="00994C2E" w:rsidRPr="002E0D8A" w:rsidRDefault="00994C2E" w:rsidP="009228CA">
      <w:pPr>
        <w:pStyle w:val="BodyText"/>
        <w:numPr>
          <w:ilvl w:val="0"/>
          <w:numId w:val="27"/>
        </w:numPr>
        <w:rPr>
          <w:rFonts w:asciiTheme="minorHAnsi" w:hAnsiTheme="minorHAnsi" w:cs="Arial"/>
          <w:lang w:val="en-AU" w:bidi="th-TH"/>
        </w:rPr>
      </w:pPr>
      <w:r w:rsidRPr="002E0D8A">
        <w:rPr>
          <w:rFonts w:asciiTheme="minorHAnsi" w:hAnsiTheme="minorHAnsi" w:cs="Arial"/>
          <w:lang w:val="en-AU" w:bidi="th-TH"/>
        </w:rPr>
        <w:t>Provision of core support to the Mekong River Commission during a period of intensive reform, downsizing and decentrali</w:t>
      </w:r>
      <w:r w:rsidR="00340706">
        <w:rPr>
          <w:rFonts w:asciiTheme="minorHAnsi" w:hAnsiTheme="minorHAnsi" w:cs="Arial"/>
          <w:lang w:val="en-AU" w:bidi="th-TH"/>
        </w:rPr>
        <w:t>s</w:t>
      </w:r>
      <w:r w:rsidRPr="002E0D8A">
        <w:rPr>
          <w:rFonts w:asciiTheme="minorHAnsi" w:hAnsiTheme="minorHAnsi" w:cs="Arial"/>
          <w:lang w:val="en-AU" w:bidi="th-TH"/>
        </w:rPr>
        <w:t>ation, resulting in the MRC Strategic Plan 2016-2020</w:t>
      </w:r>
      <w:r w:rsidR="00100930" w:rsidRPr="002E0D8A">
        <w:rPr>
          <w:rFonts w:asciiTheme="minorHAnsi" w:hAnsiTheme="minorHAnsi" w:cs="Arial"/>
          <w:lang w:val="en-AU" w:bidi="th-TH"/>
        </w:rPr>
        <w:t xml:space="preserve"> and a basket fund of</w:t>
      </w:r>
      <w:r w:rsidRPr="002E0D8A">
        <w:rPr>
          <w:rFonts w:asciiTheme="minorHAnsi" w:hAnsiTheme="minorHAnsi" w:cs="Arial"/>
          <w:lang w:val="en-AU" w:bidi="th-TH"/>
        </w:rPr>
        <w:t xml:space="preserve"> USD 65 million budget </w:t>
      </w:r>
      <w:r w:rsidR="00100930" w:rsidRPr="002E0D8A">
        <w:rPr>
          <w:rFonts w:asciiTheme="minorHAnsi" w:hAnsiTheme="minorHAnsi" w:cs="Arial"/>
          <w:lang w:val="en-AU" w:bidi="th-TH"/>
        </w:rPr>
        <w:t xml:space="preserve">- </w:t>
      </w:r>
      <w:r w:rsidRPr="002E0D8A">
        <w:rPr>
          <w:rFonts w:asciiTheme="minorHAnsi" w:hAnsiTheme="minorHAnsi" w:cs="Arial"/>
          <w:lang w:val="en-AU" w:bidi="th-TH"/>
        </w:rPr>
        <w:t>90%+ financed.</w:t>
      </w:r>
    </w:p>
    <w:p w14:paraId="1758FFB9" w14:textId="2ED745D9" w:rsidR="00994C2E" w:rsidRPr="002E0D8A" w:rsidRDefault="00994C2E" w:rsidP="009228CA">
      <w:pPr>
        <w:pStyle w:val="BodyText"/>
        <w:numPr>
          <w:ilvl w:val="0"/>
          <w:numId w:val="27"/>
        </w:numPr>
        <w:rPr>
          <w:rFonts w:asciiTheme="minorHAnsi" w:hAnsiTheme="minorHAnsi" w:cs="Arial"/>
          <w:lang w:val="en-AU" w:bidi="th-TH"/>
        </w:rPr>
      </w:pPr>
      <w:r w:rsidRPr="002E0D8A">
        <w:rPr>
          <w:rFonts w:asciiTheme="minorHAnsi" w:hAnsiTheme="minorHAnsi" w:cs="Arial"/>
          <w:lang w:val="en-AU" w:bidi="th-TH"/>
        </w:rPr>
        <w:t>Provision of core support to the IFC Hydro Advisory program in Laos, now expanding to Myanmar</w:t>
      </w:r>
      <w:r w:rsidR="00100930" w:rsidRPr="002E0D8A">
        <w:rPr>
          <w:rFonts w:asciiTheme="minorHAnsi" w:hAnsiTheme="minorHAnsi" w:cs="Arial"/>
          <w:lang w:val="en-AU" w:bidi="th-TH"/>
        </w:rPr>
        <w:t xml:space="preserve"> for</w:t>
      </w:r>
      <w:r w:rsidRPr="002E0D8A">
        <w:rPr>
          <w:rFonts w:asciiTheme="minorHAnsi" w:hAnsiTheme="minorHAnsi" w:cs="Arial"/>
          <w:lang w:val="en-AU" w:bidi="th-TH"/>
        </w:rPr>
        <w:t xml:space="preserve"> improving the quality of the hydropower sector particularly with respect to social, environmental and governance performance.  </w:t>
      </w:r>
      <w:r w:rsidR="00100930" w:rsidRPr="002E0D8A">
        <w:rPr>
          <w:rFonts w:asciiTheme="minorHAnsi" w:hAnsiTheme="minorHAnsi" w:cs="Arial"/>
          <w:lang w:val="en-AU" w:bidi="th-TH"/>
        </w:rPr>
        <w:t>E</w:t>
      </w:r>
      <w:r w:rsidRPr="002E0D8A">
        <w:rPr>
          <w:rFonts w:asciiTheme="minorHAnsi" w:hAnsiTheme="minorHAnsi" w:cs="Arial"/>
          <w:lang w:val="en-AU" w:bidi="th-TH"/>
        </w:rPr>
        <w:t>fforts are well-advanced with the adoption by governments of new tools such as River Basin Profiling (Nam Ou in Laos), Cumulative Impact Assessment (in Laos), Strategic Environment Assessment (in Myanmar)</w:t>
      </w:r>
      <w:r w:rsidR="001F558B">
        <w:rPr>
          <w:rFonts w:asciiTheme="minorHAnsi" w:hAnsiTheme="minorHAnsi" w:cs="Arial"/>
          <w:lang w:val="en-AU" w:bidi="th-TH"/>
        </w:rPr>
        <w:t>, and hydropower developers’ cooperation platforms (Laos and Myanmar)</w:t>
      </w:r>
      <w:r w:rsidRPr="002E0D8A">
        <w:rPr>
          <w:rFonts w:asciiTheme="minorHAnsi" w:hAnsiTheme="minorHAnsi" w:cs="Arial"/>
          <w:lang w:val="en-AU" w:bidi="th-TH"/>
        </w:rPr>
        <w:t>.</w:t>
      </w:r>
    </w:p>
    <w:p w14:paraId="4C5710E2" w14:textId="13A83CED" w:rsidR="00994C2E" w:rsidRPr="002E0D8A" w:rsidRDefault="00994C2E" w:rsidP="009228CA">
      <w:pPr>
        <w:pStyle w:val="BodyText"/>
        <w:numPr>
          <w:ilvl w:val="0"/>
          <w:numId w:val="27"/>
        </w:numPr>
        <w:rPr>
          <w:rFonts w:asciiTheme="minorHAnsi" w:hAnsiTheme="minorHAnsi" w:cs="Arial"/>
          <w:lang w:val="en-AU" w:bidi="th-TH"/>
        </w:rPr>
      </w:pPr>
      <w:r w:rsidRPr="002E0D8A">
        <w:rPr>
          <w:rFonts w:asciiTheme="minorHAnsi" w:hAnsiTheme="minorHAnsi" w:cs="Arial"/>
          <w:lang w:val="en-AU" w:bidi="th-TH"/>
        </w:rPr>
        <w:t>Provision of core support to Oxfam Australia’s regional water governance initiatives, specifically a multi-level Inclusion Project</w:t>
      </w:r>
      <w:r w:rsidR="00B90C65">
        <w:rPr>
          <w:rFonts w:asciiTheme="minorHAnsi" w:hAnsiTheme="minorHAnsi" w:cs="Arial"/>
          <w:lang w:val="en-AU" w:bidi="th-TH"/>
        </w:rPr>
        <w:t xml:space="preserve">, resourcing </w:t>
      </w:r>
      <w:r w:rsidR="00B90C65" w:rsidRPr="002E0D8A">
        <w:rPr>
          <w:rFonts w:asciiTheme="minorHAnsi" w:hAnsiTheme="minorHAnsi" w:cstheme="minorHAnsi"/>
          <w:color w:val="000000"/>
          <w:lang w:val="en-AU"/>
        </w:rPr>
        <w:t>associated civil society organi</w:t>
      </w:r>
      <w:r w:rsidR="00340706">
        <w:rPr>
          <w:rFonts w:asciiTheme="minorHAnsi" w:hAnsiTheme="minorHAnsi" w:cstheme="minorHAnsi"/>
          <w:color w:val="000000"/>
          <w:lang w:val="en-AU"/>
        </w:rPr>
        <w:t>s</w:t>
      </w:r>
      <w:r w:rsidR="00B90C65" w:rsidRPr="002E0D8A">
        <w:rPr>
          <w:rFonts w:asciiTheme="minorHAnsi" w:hAnsiTheme="minorHAnsi" w:cstheme="minorHAnsi"/>
          <w:color w:val="000000"/>
          <w:lang w:val="en-AU"/>
        </w:rPr>
        <w:t>ation partners across the region</w:t>
      </w:r>
      <w:r w:rsidR="00B90C65">
        <w:rPr>
          <w:rFonts w:asciiTheme="minorHAnsi" w:hAnsiTheme="minorHAnsi" w:cs="Arial"/>
          <w:lang w:val="en-AU" w:bidi="th-TH"/>
        </w:rPr>
        <w:t>.</w:t>
      </w:r>
    </w:p>
    <w:p w14:paraId="432F7C2D" w14:textId="6BCB1ED4" w:rsidR="00994C2E" w:rsidRPr="002E0D8A" w:rsidRDefault="00994C2E" w:rsidP="009228CA">
      <w:pPr>
        <w:pStyle w:val="BodyText"/>
        <w:numPr>
          <w:ilvl w:val="0"/>
          <w:numId w:val="27"/>
        </w:numPr>
        <w:rPr>
          <w:rFonts w:asciiTheme="minorHAnsi" w:hAnsiTheme="minorHAnsi" w:cs="Arial"/>
          <w:lang w:val="en-AU" w:bidi="th-TH"/>
        </w:rPr>
      </w:pPr>
      <w:r w:rsidRPr="002E0D8A">
        <w:rPr>
          <w:rFonts w:asciiTheme="minorHAnsi" w:hAnsiTheme="minorHAnsi" w:cs="Arial"/>
          <w:lang w:val="en-AU" w:bidi="th-TH"/>
        </w:rPr>
        <w:t xml:space="preserve">Provision of core support to </w:t>
      </w:r>
      <w:r w:rsidR="00B90C65" w:rsidRPr="002E0D8A">
        <w:rPr>
          <w:rFonts w:asciiTheme="minorHAnsi" w:hAnsiTheme="minorHAnsi" w:cstheme="minorHAnsi"/>
          <w:color w:val="000000"/>
          <w:lang w:val="en-AU"/>
        </w:rPr>
        <w:t>Internatio</w:t>
      </w:r>
      <w:r w:rsidR="005579D9">
        <w:rPr>
          <w:rFonts w:asciiTheme="minorHAnsi" w:hAnsiTheme="minorHAnsi" w:cstheme="minorHAnsi"/>
          <w:color w:val="000000"/>
          <w:lang w:val="en-AU"/>
        </w:rPr>
        <w:t xml:space="preserve">nal Water Management Institute </w:t>
      </w:r>
      <w:r w:rsidR="00B90C65" w:rsidRPr="002E0D8A">
        <w:rPr>
          <w:rFonts w:asciiTheme="minorHAnsi" w:hAnsiTheme="minorHAnsi" w:cstheme="minorHAnsi"/>
          <w:color w:val="000000"/>
          <w:lang w:val="en-AU"/>
        </w:rPr>
        <w:t>and the regional research for development community funded thru a DFAT contribution to the Greater Mekong Wa</w:t>
      </w:r>
      <w:r w:rsidR="00B90C65">
        <w:rPr>
          <w:rFonts w:asciiTheme="minorHAnsi" w:hAnsiTheme="minorHAnsi" w:cstheme="minorHAnsi"/>
          <w:color w:val="000000"/>
          <w:lang w:val="en-AU"/>
        </w:rPr>
        <w:t xml:space="preserve">ter Land and Ecosystems </w:t>
      </w:r>
      <w:r w:rsidR="002F45FF">
        <w:rPr>
          <w:rFonts w:asciiTheme="minorHAnsi" w:hAnsiTheme="minorHAnsi" w:cstheme="minorHAnsi"/>
          <w:color w:val="000000"/>
          <w:lang w:val="en-AU"/>
        </w:rPr>
        <w:t xml:space="preserve">Program </w:t>
      </w:r>
      <w:r w:rsidR="002F45FF" w:rsidRPr="002E0D8A">
        <w:rPr>
          <w:rFonts w:asciiTheme="minorHAnsi" w:hAnsiTheme="minorHAnsi" w:cs="Arial"/>
          <w:lang w:val="en-AU" w:bidi="th-TH"/>
        </w:rPr>
        <w:t>with</w:t>
      </w:r>
      <w:r w:rsidR="00100930" w:rsidRPr="002E0D8A">
        <w:rPr>
          <w:rFonts w:asciiTheme="minorHAnsi" w:hAnsiTheme="minorHAnsi" w:cs="Arial"/>
          <w:lang w:val="en-AU" w:bidi="th-TH"/>
        </w:rPr>
        <w:t xml:space="preserve"> </w:t>
      </w:r>
      <w:r w:rsidRPr="002E0D8A">
        <w:rPr>
          <w:rFonts w:asciiTheme="minorHAnsi" w:hAnsiTheme="minorHAnsi" w:cs="Arial"/>
          <w:lang w:val="en-AU" w:bidi="th-TH"/>
        </w:rPr>
        <w:t xml:space="preserve">a portfolio of thirty-three projects across </w:t>
      </w:r>
      <w:r w:rsidR="00100930" w:rsidRPr="002E0D8A">
        <w:rPr>
          <w:rFonts w:asciiTheme="minorHAnsi" w:hAnsiTheme="minorHAnsi" w:cs="Arial"/>
          <w:lang w:val="en-AU" w:bidi="th-TH"/>
        </w:rPr>
        <w:t xml:space="preserve">all GMWRP targeted river basins, </w:t>
      </w:r>
      <w:r w:rsidR="00A26CC6" w:rsidRPr="002E0D8A">
        <w:rPr>
          <w:rFonts w:asciiTheme="minorHAnsi" w:hAnsiTheme="minorHAnsi" w:cs="Arial"/>
          <w:lang w:val="en-AU" w:bidi="th-TH"/>
        </w:rPr>
        <w:t xml:space="preserve">and </w:t>
      </w:r>
      <w:r w:rsidR="00100930" w:rsidRPr="002E0D8A">
        <w:rPr>
          <w:rFonts w:asciiTheme="minorHAnsi" w:hAnsiTheme="minorHAnsi" w:cs="Arial"/>
          <w:lang w:val="en-AU" w:bidi="th-TH"/>
        </w:rPr>
        <w:t xml:space="preserve">series of annual </w:t>
      </w:r>
      <w:r w:rsidRPr="002E0D8A">
        <w:rPr>
          <w:rFonts w:asciiTheme="minorHAnsi" w:hAnsiTheme="minorHAnsi" w:cs="Arial"/>
          <w:lang w:val="en-AU" w:bidi="th-TH"/>
        </w:rPr>
        <w:t>Greater Mekong Forum on Water Food and Energy (</w:t>
      </w:r>
      <w:r w:rsidR="00A26CC6" w:rsidRPr="002E0D8A">
        <w:rPr>
          <w:rFonts w:asciiTheme="minorHAnsi" w:hAnsiTheme="minorHAnsi" w:cs="Arial"/>
          <w:lang w:val="en-AU" w:bidi="th-TH"/>
        </w:rPr>
        <w:t>2011 China, 2012 Cambodia, 2013 and 2014 Vietnam</w:t>
      </w:r>
      <w:r w:rsidRPr="002E0D8A">
        <w:rPr>
          <w:rFonts w:asciiTheme="minorHAnsi" w:hAnsiTheme="minorHAnsi" w:cs="Arial"/>
          <w:lang w:val="en-AU" w:bidi="th-TH"/>
        </w:rPr>
        <w:t xml:space="preserve">, 2015 Cambodia, 2016 Thailand, </w:t>
      </w:r>
      <w:r w:rsidR="00A26CC6" w:rsidRPr="002E0D8A">
        <w:rPr>
          <w:rFonts w:asciiTheme="minorHAnsi" w:hAnsiTheme="minorHAnsi" w:cs="Arial"/>
          <w:lang w:val="en-AU" w:bidi="th-TH"/>
        </w:rPr>
        <w:t xml:space="preserve">and </w:t>
      </w:r>
      <w:r w:rsidRPr="002E0D8A">
        <w:rPr>
          <w:rFonts w:asciiTheme="minorHAnsi" w:hAnsiTheme="minorHAnsi" w:cs="Arial"/>
          <w:lang w:val="en-AU" w:bidi="th-TH"/>
        </w:rPr>
        <w:t>2017 Myanmar).</w:t>
      </w:r>
    </w:p>
    <w:p w14:paraId="0560F518" w14:textId="77777777" w:rsidR="005579D9" w:rsidRDefault="00994C2E" w:rsidP="009228CA">
      <w:pPr>
        <w:pStyle w:val="BodyText"/>
        <w:numPr>
          <w:ilvl w:val="0"/>
          <w:numId w:val="27"/>
        </w:numPr>
        <w:rPr>
          <w:rFonts w:asciiTheme="minorHAnsi" w:hAnsiTheme="minorHAnsi" w:cs="Arial"/>
          <w:lang w:val="en-AU" w:bidi="th-TH"/>
        </w:rPr>
      </w:pPr>
      <w:r w:rsidRPr="002E0D8A">
        <w:rPr>
          <w:rFonts w:asciiTheme="minorHAnsi" w:hAnsiTheme="minorHAnsi" w:cs="Arial"/>
          <w:lang w:val="en-AU" w:bidi="th-TH"/>
        </w:rPr>
        <w:t>Enlisting the DFAT-funded Australian Water Partnership to further strengthen the Australian contribution by provision of carefully selected Australian expertise to join particular initiatives of Mekong governments.</w:t>
      </w:r>
    </w:p>
    <w:p w14:paraId="72637EB0" w14:textId="205076C1" w:rsidR="005579D9" w:rsidRPr="002E0D8A" w:rsidRDefault="005579D9" w:rsidP="009228CA">
      <w:pPr>
        <w:pStyle w:val="BodyText"/>
        <w:numPr>
          <w:ilvl w:val="0"/>
          <w:numId w:val="27"/>
        </w:numPr>
        <w:rPr>
          <w:rFonts w:asciiTheme="minorHAnsi" w:hAnsiTheme="minorHAnsi" w:cs="Arial"/>
          <w:lang w:val="en-AU" w:bidi="th-TH"/>
        </w:rPr>
      </w:pPr>
      <w:r>
        <w:rPr>
          <w:rFonts w:asciiTheme="minorHAnsi" w:hAnsiTheme="minorHAnsi" w:cs="Arial"/>
          <w:lang w:val="en-AU" w:bidi="th-TH"/>
        </w:rPr>
        <w:t>Since early 2017 p</w:t>
      </w:r>
      <w:r w:rsidRPr="002E0D8A">
        <w:rPr>
          <w:rFonts w:asciiTheme="minorHAnsi" w:hAnsiTheme="minorHAnsi" w:cs="Arial"/>
          <w:lang w:val="en-AU" w:bidi="th-TH"/>
        </w:rPr>
        <w:t>rovision of core support to World Bank’s future guidance of a diverse Greater Mekong water resources management investment portfolio with Governments of Laos, Cambodia, Vietnam and Myanmar.</w:t>
      </w:r>
    </w:p>
    <w:p w14:paraId="5BA12D5F" w14:textId="47E47BEC" w:rsidR="00994C2E" w:rsidRPr="002E0D8A" w:rsidRDefault="00994C2E" w:rsidP="00A56021">
      <w:pPr>
        <w:pStyle w:val="BodyText"/>
        <w:rPr>
          <w:rFonts w:asciiTheme="minorHAnsi" w:hAnsiTheme="minorHAnsi" w:cstheme="minorHAnsi"/>
          <w:lang w:val="en-AU"/>
        </w:rPr>
      </w:pPr>
      <w:r w:rsidRPr="002E0D8A">
        <w:rPr>
          <w:rFonts w:asciiTheme="minorHAnsi" w:hAnsiTheme="minorHAnsi" w:cs="Arial"/>
          <w:lang w:val="en-AU" w:bidi="th-TH"/>
        </w:rPr>
        <w:t xml:space="preserve">The specific achievements of individual partners are addressed in the main </w:t>
      </w:r>
      <w:r w:rsidR="00A26CC6" w:rsidRPr="002E0D8A">
        <w:rPr>
          <w:rFonts w:asciiTheme="minorHAnsi" w:hAnsiTheme="minorHAnsi" w:cs="Arial"/>
          <w:lang w:val="en-AU" w:bidi="th-TH"/>
        </w:rPr>
        <w:t>report</w:t>
      </w:r>
      <w:r w:rsidR="00A56021">
        <w:rPr>
          <w:rFonts w:asciiTheme="minorHAnsi" w:hAnsiTheme="minorHAnsi" w:cs="Arial"/>
          <w:lang w:val="en-AU" w:bidi="th-TH"/>
        </w:rPr>
        <w:t>.</w:t>
      </w:r>
    </w:p>
    <w:p w14:paraId="1CA49217" w14:textId="0A6AB921" w:rsidR="00B7124C" w:rsidRPr="002E0D8A" w:rsidRDefault="00100930" w:rsidP="00A56021">
      <w:pPr>
        <w:pStyle w:val="BodyText"/>
        <w:rPr>
          <w:rFonts w:asciiTheme="minorHAnsi" w:hAnsiTheme="minorHAnsi" w:cstheme="minorHAnsi"/>
          <w:lang w:val="en-AU"/>
        </w:rPr>
      </w:pPr>
      <w:r w:rsidRPr="002E0D8A">
        <w:rPr>
          <w:rFonts w:asciiTheme="minorHAnsi" w:hAnsiTheme="minorHAnsi" w:cs="Arial"/>
          <w:lang w:val="en-AU" w:bidi="th-TH"/>
        </w:rPr>
        <w:t xml:space="preserve">The overall DFAT GMWRM program approach is commendable, in using relatively small amounts of funding wisely, and is more relationship focused, building trust rather than coming in with big money and ready-made technical solutions. </w:t>
      </w:r>
      <w:r w:rsidR="00B7124C" w:rsidRPr="002E0D8A">
        <w:rPr>
          <w:rFonts w:asciiTheme="minorHAnsi" w:hAnsiTheme="minorHAnsi" w:cstheme="minorHAnsi"/>
          <w:lang w:val="en-AU"/>
        </w:rPr>
        <w:t>It can be concluded that the DFAT GMWRP is clearly supporting the creation and nurturing of preconditions for positive changes and their institutionali</w:t>
      </w:r>
      <w:r w:rsidR="00340706">
        <w:rPr>
          <w:rFonts w:asciiTheme="minorHAnsi" w:hAnsiTheme="minorHAnsi" w:cstheme="minorHAnsi"/>
          <w:lang w:val="en-AU"/>
        </w:rPr>
        <w:t>s</w:t>
      </w:r>
      <w:r w:rsidR="00B7124C" w:rsidRPr="002E0D8A">
        <w:rPr>
          <w:rFonts w:asciiTheme="minorHAnsi" w:hAnsiTheme="minorHAnsi" w:cstheme="minorHAnsi"/>
          <w:lang w:val="en-AU"/>
        </w:rPr>
        <w:t>ation by strategic nudging - policies and actions that change incentives, opportunities and institutional frameworks in order to achieve fairer and more effective governance.</w:t>
      </w:r>
    </w:p>
    <w:p w14:paraId="129D3DA6" w14:textId="77777777" w:rsidR="00B7124C" w:rsidRPr="002E0D8A" w:rsidRDefault="00B7124C" w:rsidP="00A56021">
      <w:pPr>
        <w:pStyle w:val="BodyText"/>
        <w:rPr>
          <w:rFonts w:asciiTheme="minorHAnsi" w:hAnsiTheme="minorHAnsi" w:cstheme="minorHAnsi"/>
          <w:lang w:val="en-AU"/>
        </w:rPr>
      </w:pPr>
      <w:r w:rsidRPr="002E0D8A">
        <w:rPr>
          <w:rFonts w:asciiTheme="minorHAnsi" w:hAnsiTheme="minorHAnsi" w:cstheme="minorHAnsi"/>
          <w:lang w:val="en-AU"/>
        </w:rPr>
        <w:t xml:space="preserve">GMWRP is primarily a governance program where DFAT has worked closely with a number of partners to make strategic interventions into different regional and transboundary water governance arenas. The DFAT approach to water-related policy dialogue has been to concentrate – with its contracted partners - on fostering trust and open discussion between Greater Mekong governments and other water-related stakeholders. </w:t>
      </w:r>
    </w:p>
    <w:p w14:paraId="33B93335" w14:textId="37EF202C" w:rsidR="00B7124C" w:rsidRPr="002E0D8A" w:rsidRDefault="00100930" w:rsidP="00A56021">
      <w:pPr>
        <w:pStyle w:val="BodyText"/>
        <w:rPr>
          <w:rFonts w:asciiTheme="minorHAnsi" w:hAnsiTheme="minorHAnsi" w:cstheme="minorHAnsi"/>
          <w:bCs/>
          <w:lang w:val="en-AU"/>
        </w:rPr>
      </w:pPr>
      <w:r w:rsidRPr="002E0D8A">
        <w:rPr>
          <w:rFonts w:asciiTheme="minorHAnsi" w:hAnsiTheme="minorHAnsi" w:cs="Arial"/>
          <w:lang w:val="en-AU" w:bidi="th-TH"/>
        </w:rPr>
        <w:t xml:space="preserve">The consultants consider this approach has been rightly selected as the most viable strategy for the GMWRP in the Mekong </w:t>
      </w:r>
      <w:r w:rsidR="00453536" w:rsidRPr="002E0D8A">
        <w:rPr>
          <w:rFonts w:asciiTheme="minorHAnsi" w:hAnsiTheme="minorHAnsi" w:cs="Arial"/>
          <w:lang w:val="en-AU" w:bidi="th-TH"/>
        </w:rPr>
        <w:t xml:space="preserve">Region </w:t>
      </w:r>
      <w:r w:rsidRPr="002E0D8A">
        <w:rPr>
          <w:rFonts w:asciiTheme="minorHAnsi" w:hAnsiTheme="minorHAnsi" w:cs="Arial"/>
          <w:lang w:val="en-AU" w:bidi="th-TH"/>
        </w:rPr>
        <w:t>and in Myanmar.</w:t>
      </w:r>
      <w:r w:rsidR="00EA7676" w:rsidRPr="002E0D8A">
        <w:rPr>
          <w:rFonts w:asciiTheme="minorHAnsi" w:hAnsiTheme="minorHAnsi" w:cs="Arial"/>
          <w:lang w:val="en-AU" w:bidi="th-TH"/>
        </w:rPr>
        <w:t xml:space="preserve"> However, p</w:t>
      </w:r>
      <w:r w:rsidR="00B7124C" w:rsidRPr="002E0D8A">
        <w:rPr>
          <w:rFonts w:asciiTheme="minorHAnsi" w:hAnsiTheme="minorHAnsi" w:cstheme="minorHAnsi"/>
          <w:lang w:val="en-AU"/>
        </w:rPr>
        <w:t>olicy dialogue is defined variously by different partners and agencies, with each describing different processes</w:t>
      </w:r>
      <w:r w:rsidR="00EA7676" w:rsidRPr="002E0D8A">
        <w:rPr>
          <w:rFonts w:asciiTheme="minorHAnsi" w:hAnsiTheme="minorHAnsi" w:cstheme="minorHAnsi"/>
          <w:lang w:val="en-AU"/>
        </w:rPr>
        <w:t>, approaches</w:t>
      </w:r>
      <w:r w:rsidR="00B7124C" w:rsidRPr="002E0D8A">
        <w:rPr>
          <w:rFonts w:asciiTheme="minorHAnsi" w:hAnsiTheme="minorHAnsi" w:cstheme="minorHAnsi"/>
          <w:lang w:val="en-AU"/>
        </w:rPr>
        <w:t xml:space="preserve"> and outcomes. </w:t>
      </w:r>
      <w:r w:rsidR="00EA7676" w:rsidRPr="002E0D8A">
        <w:rPr>
          <w:rFonts w:asciiTheme="minorHAnsi" w:hAnsiTheme="minorHAnsi" w:cstheme="minorHAnsi"/>
          <w:lang w:val="en-AU"/>
        </w:rPr>
        <w:t>GMWRP and its diverse partners n</w:t>
      </w:r>
      <w:r w:rsidR="00B7124C" w:rsidRPr="002E0D8A">
        <w:rPr>
          <w:rFonts w:asciiTheme="minorHAnsi" w:hAnsiTheme="minorHAnsi" w:cstheme="minorHAnsi"/>
          <w:bCs/>
          <w:lang w:val="en-AU"/>
        </w:rPr>
        <w:t xml:space="preserve">eed a </w:t>
      </w:r>
      <w:r w:rsidR="00EA7676" w:rsidRPr="002E0D8A">
        <w:rPr>
          <w:rFonts w:asciiTheme="minorHAnsi" w:hAnsiTheme="minorHAnsi" w:cstheme="minorHAnsi"/>
          <w:bCs/>
          <w:lang w:val="en-AU"/>
        </w:rPr>
        <w:t>more u</w:t>
      </w:r>
      <w:r w:rsidR="00B7124C" w:rsidRPr="002E0D8A">
        <w:rPr>
          <w:rFonts w:asciiTheme="minorHAnsi" w:hAnsiTheme="minorHAnsi" w:cstheme="minorHAnsi"/>
          <w:bCs/>
          <w:lang w:val="en-AU"/>
        </w:rPr>
        <w:t xml:space="preserve">niformed </w:t>
      </w:r>
      <w:r w:rsidR="00EA7676" w:rsidRPr="002E0D8A">
        <w:rPr>
          <w:rFonts w:asciiTheme="minorHAnsi" w:hAnsiTheme="minorHAnsi" w:cstheme="minorHAnsi"/>
          <w:bCs/>
          <w:lang w:val="en-AU"/>
        </w:rPr>
        <w:t>u</w:t>
      </w:r>
      <w:r w:rsidR="00B7124C" w:rsidRPr="002E0D8A">
        <w:rPr>
          <w:rFonts w:asciiTheme="minorHAnsi" w:hAnsiTheme="minorHAnsi" w:cstheme="minorHAnsi"/>
          <w:bCs/>
          <w:lang w:val="en-AU"/>
        </w:rPr>
        <w:t xml:space="preserve">nderstanding of </w:t>
      </w:r>
      <w:r w:rsidR="00EA7676" w:rsidRPr="002E0D8A">
        <w:rPr>
          <w:rFonts w:asciiTheme="minorHAnsi" w:hAnsiTheme="minorHAnsi" w:cstheme="minorHAnsi"/>
          <w:bCs/>
          <w:lang w:val="en-AU"/>
        </w:rPr>
        <w:t>policy d</w:t>
      </w:r>
      <w:r w:rsidR="00B7124C" w:rsidRPr="002E0D8A">
        <w:rPr>
          <w:rFonts w:asciiTheme="minorHAnsi" w:hAnsiTheme="minorHAnsi" w:cstheme="minorHAnsi"/>
          <w:bCs/>
          <w:lang w:val="en-AU"/>
        </w:rPr>
        <w:t>ialogue</w:t>
      </w:r>
      <w:r w:rsidR="00EA7676" w:rsidRPr="002E0D8A">
        <w:rPr>
          <w:rFonts w:asciiTheme="minorHAnsi" w:hAnsiTheme="minorHAnsi" w:cstheme="minorHAnsi"/>
          <w:bCs/>
          <w:lang w:val="en-AU"/>
        </w:rPr>
        <w:t>, and relevant approaches,</w:t>
      </w:r>
      <w:r w:rsidR="00B7124C" w:rsidRPr="002E0D8A">
        <w:rPr>
          <w:rFonts w:asciiTheme="minorHAnsi" w:hAnsiTheme="minorHAnsi" w:cstheme="minorHAnsi"/>
          <w:bCs/>
          <w:lang w:val="en-AU"/>
        </w:rPr>
        <w:t xml:space="preserve"> and robust theory of change based on regularly upd</w:t>
      </w:r>
      <w:r w:rsidR="008414CE">
        <w:rPr>
          <w:rFonts w:asciiTheme="minorHAnsi" w:hAnsiTheme="minorHAnsi" w:cstheme="minorHAnsi"/>
          <w:bCs/>
          <w:lang w:val="en-AU"/>
        </w:rPr>
        <w:t>ated political economy analysis</w:t>
      </w:r>
      <w:r w:rsidR="00B7124C" w:rsidRPr="002E0D8A">
        <w:rPr>
          <w:rFonts w:asciiTheme="minorHAnsi" w:hAnsiTheme="minorHAnsi" w:cstheme="minorHAnsi"/>
          <w:bCs/>
          <w:lang w:val="en-AU"/>
        </w:rPr>
        <w:t>.</w:t>
      </w:r>
      <w:r w:rsidR="00EA7676" w:rsidRPr="002E0D8A">
        <w:rPr>
          <w:rFonts w:asciiTheme="minorHAnsi" w:hAnsiTheme="minorHAnsi" w:cstheme="minorHAnsi"/>
          <w:bCs/>
          <w:lang w:val="en-AU"/>
        </w:rPr>
        <w:t xml:space="preserve"> It would help improve program relevance and effectiveness in </w:t>
      </w:r>
      <w:r w:rsidR="008414CE">
        <w:rPr>
          <w:rFonts w:asciiTheme="minorHAnsi" w:hAnsiTheme="minorHAnsi" w:cstheme="minorHAnsi"/>
          <w:bCs/>
          <w:lang w:val="en-AU"/>
        </w:rPr>
        <w:t>influencing policy</w:t>
      </w:r>
      <w:r w:rsidR="00EA7676" w:rsidRPr="002E0D8A">
        <w:rPr>
          <w:rFonts w:asciiTheme="minorHAnsi" w:hAnsiTheme="minorHAnsi" w:cstheme="minorHAnsi"/>
          <w:bCs/>
          <w:lang w:val="en-AU"/>
        </w:rPr>
        <w:t>.</w:t>
      </w:r>
    </w:p>
    <w:p w14:paraId="4C642DC1" w14:textId="73299F5B" w:rsidR="00B80F05" w:rsidRPr="002E0D8A" w:rsidRDefault="00B7124C" w:rsidP="00A56021">
      <w:pPr>
        <w:pStyle w:val="BodyText"/>
        <w:rPr>
          <w:rFonts w:asciiTheme="minorHAnsi" w:hAnsiTheme="minorHAnsi" w:cstheme="minorHAnsi"/>
          <w:lang w:val="en-AU"/>
        </w:rPr>
      </w:pPr>
      <w:r w:rsidRPr="002E0D8A">
        <w:rPr>
          <w:rFonts w:asciiTheme="minorHAnsi" w:hAnsiTheme="minorHAnsi" w:cstheme="minorHAnsi"/>
          <w:lang w:val="en-AU"/>
        </w:rPr>
        <w:t xml:space="preserve">DFAT has maintained direct and consistent water diplomacy engagement with Greater Mekong government representatives from Cambodia, China, Laos, Myanmar, Thailand and Vietnam. In addition, DFAT has contracted relationships with key implementation partners: Mekong River Commission, World Bank Group </w:t>
      </w:r>
      <w:r w:rsidR="00453536" w:rsidRPr="002E0D8A">
        <w:rPr>
          <w:rFonts w:asciiTheme="minorHAnsi" w:hAnsiTheme="minorHAnsi" w:cstheme="minorHAnsi"/>
          <w:lang w:val="en-AU"/>
        </w:rPr>
        <w:t xml:space="preserve">- </w:t>
      </w:r>
      <w:r w:rsidRPr="002E0D8A">
        <w:rPr>
          <w:rFonts w:asciiTheme="minorHAnsi" w:hAnsiTheme="minorHAnsi" w:cstheme="minorHAnsi"/>
          <w:lang w:val="en-AU"/>
        </w:rPr>
        <w:t>The World Bank and the International Finance Corporation</w:t>
      </w:r>
      <w:r w:rsidR="00453536" w:rsidRPr="002E0D8A">
        <w:rPr>
          <w:rFonts w:asciiTheme="minorHAnsi" w:hAnsiTheme="minorHAnsi" w:cstheme="minorHAnsi"/>
          <w:lang w:val="en-AU"/>
        </w:rPr>
        <w:t>,</w:t>
      </w:r>
      <w:r w:rsidRPr="002E0D8A">
        <w:rPr>
          <w:rFonts w:asciiTheme="minorHAnsi" w:hAnsiTheme="minorHAnsi" w:cstheme="minorHAnsi"/>
          <w:lang w:val="en-AU"/>
        </w:rPr>
        <w:t xml:space="preserve"> Oxfam Australia, International Water Management Institute, and the Australian Water Partnership</w:t>
      </w:r>
      <w:r w:rsidR="00453536" w:rsidRPr="002E0D8A">
        <w:rPr>
          <w:rFonts w:asciiTheme="minorHAnsi" w:hAnsiTheme="minorHAnsi" w:cstheme="minorHAnsi"/>
          <w:lang w:val="en-AU"/>
        </w:rPr>
        <w:t xml:space="preserve"> (AWP)</w:t>
      </w:r>
      <w:r w:rsidRPr="002E0D8A">
        <w:rPr>
          <w:rFonts w:asciiTheme="minorHAnsi" w:hAnsiTheme="minorHAnsi" w:cstheme="minorHAnsi"/>
          <w:lang w:val="en-AU"/>
        </w:rPr>
        <w:t>.</w:t>
      </w:r>
      <w:r w:rsidR="00EA7676" w:rsidRPr="002E0D8A">
        <w:rPr>
          <w:rFonts w:asciiTheme="minorHAnsi" w:hAnsiTheme="minorHAnsi" w:cstheme="minorHAnsi"/>
          <w:lang w:val="en-AU"/>
        </w:rPr>
        <w:t xml:space="preserve"> </w:t>
      </w:r>
    </w:p>
    <w:p w14:paraId="2E9ECBC9" w14:textId="558A22CE" w:rsidR="00B80F05" w:rsidRPr="002E0D8A" w:rsidRDefault="00B80F05" w:rsidP="00A56021">
      <w:pPr>
        <w:pStyle w:val="BodyText"/>
        <w:rPr>
          <w:rFonts w:asciiTheme="minorHAnsi" w:hAnsiTheme="minorHAnsi" w:cstheme="minorHAnsi"/>
          <w:lang w:val="en-AU"/>
        </w:rPr>
      </w:pPr>
      <w:r w:rsidRPr="002E0D8A">
        <w:rPr>
          <w:rFonts w:asciiTheme="minorHAnsi" w:hAnsiTheme="minorHAnsi" w:cstheme="minorHAnsi"/>
          <w:lang w:val="en-AU"/>
        </w:rPr>
        <w:lastRenderedPageBreak/>
        <w:t xml:space="preserve">Partner organisations have their own niches, methods and emphases – </w:t>
      </w:r>
      <w:r w:rsidR="005579D9">
        <w:rPr>
          <w:rFonts w:asciiTheme="minorHAnsi" w:hAnsiTheme="minorHAnsi" w:cstheme="minorHAnsi"/>
          <w:lang w:val="en-AU"/>
        </w:rPr>
        <w:t>Mekong River Commission</w:t>
      </w:r>
      <w:r w:rsidR="005579D9" w:rsidRPr="002E0D8A">
        <w:rPr>
          <w:rFonts w:asciiTheme="minorHAnsi" w:hAnsiTheme="minorHAnsi" w:cstheme="minorHAnsi"/>
          <w:lang w:val="en-AU"/>
        </w:rPr>
        <w:t xml:space="preserve"> </w:t>
      </w:r>
      <w:r w:rsidRPr="002E0D8A">
        <w:rPr>
          <w:rFonts w:asciiTheme="minorHAnsi" w:hAnsiTheme="minorHAnsi" w:cstheme="minorHAnsi"/>
          <w:lang w:val="en-AU"/>
        </w:rPr>
        <w:t xml:space="preserve">being inter-governmental, World Bank working very closely with governments and improving management, </w:t>
      </w:r>
      <w:r w:rsidR="005579D9" w:rsidRPr="002E0D8A">
        <w:rPr>
          <w:rFonts w:asciiTheme="minorHAnsi" w:hAnsiTheme="minorHAnsi" w:cstheme="minorHAnsi"/>
          <w:lang w:val="en-AU"/>
        </w:rPr>
        <w:t>I</w:t>
      </w:r>
      <w:r w:rsidR="005579D9">
        <w:rPr>
          <w:rFonts w:asciiTheme="minorHAnsi" w:hAnsiTheme="minorHAnsi" w:cstheme="minorHAnsi"/>
          <w:lang w:val="en-AU"/>
        </w:rPr>
        <w:t>nternational Finance Corporation</w:t>
      </w:r>
      <w:r w:rsidR="005579D9" w:rsidRPr="002E0D8A">
        <w:rPr>
          <w:rFonts w:asciiTheme="minorHAnsi" w:hAnsiTheme="minorHAnsi" w:cstheme="minorHAnsi"/>
          <w:lang w:val="en-AU"/>
        </w:rPr>
        <w:t xml:space="preserve"> </w:t>
      </w:r>
      <w:r w:rsidRPr="002E0D8A">
        <w:rPr>
          <w:rFonts w:asciiTheme="minorHAnsi" w:hAnsiTheme="minorHAnsi" w:cstheme="minorHAnsi"/>
          <w:lang w:val="en-AU"/>
        </w:rPr>
        <w:t xml:space="preserve">working very closely with governments and the private sector, Oxfam Australia predominantly with civil society organisations, </w:t>
      </w:r>
      <w:r w:rsidR="005579D9">
        <w:rPr>
          <w:rFonts w:asciiTheme="minorHAnsi" w:hAnsiTheme="minorHAnsi" w:cstheme="minorHAnsi"/>
          <w:lang w:val="en-AU"/>
        </w:rPr>
        <w:t xml:space="preserve">International Water Management Institute </w:t>
      </w:r>
      <w:r w:rsidRPr="002E0D8A">
        <w:rPr>
          <w:rFonts w:asciiTheme="minorHAnsi" w:hAnsiTheme="minorHAnsi" w:cstheme="minorHAnsi"/>
          <w:lang w:val="en-AU"/>
        </w:rPr>
        <w:t xml:space="preserve">resourcing the regional research community in its diverse engagements. </w:t>
      </w:r>
    </w:p>
    <w:p w14:paraId="1468D24F" w14:textId="27743392" w:rsidR="00453536" w:rsidRPr="002E0D8A" w:rsidRDefault="00B80F05" w:rsidP="00A56021">
      <w:pPr>
        <w:pStyle w:val="BodyText"/>
        <w:rPr>
          <w:rFonts w:asciiTheme="minorHAnsi" w:hAnsiTheme="minorHAnsi" w:cstheme="minorHAnsi"/>
          <w:color w:val="000000" w:themeColor="text1"/>
          <w:lang w:val="en-AU"/>
        </w:rPr>
      </w:pPr>
      <w:r w:rsidRPr="00340706">
        <w:rPr>
          <w:rFonts w:asciiTheme="minorHAnsi" w:hAnsiTheme="minorHAnsi" w:cs="Arial"/>
          <w:lang w:val="en-AU" w:bidi="th-TH"/>
        </w:rPr>
        <w:t>The logic of the approach to engagement, and the selection of partners are both considered as being sound and appropriate, but at the same time, very demanding</w:t>
      </w:r>
      <w:r w:rsidRPr="005579D9">
        <w:rPr>
          <w:rFonts w:asciiTheme="minorHAnsi" w:hAnsiTheme="minorHAnsi" w:cs="Arial"/>
          <w:lang w:val="en-AU" w:bidi="th-TH"/>
        </w:rPr>
        <w:t xml:space="preserve">. </w:t>
      </w:r>
      <w:r w:rsidRPr="005579D9">
        <w:rPr>
          <w:rFonts w:asciiTheme="minorHAnsi" w:hAnsiTheme="minorHAnsi" w:cstheme="minorHAnsi"/>
          <w:color w:val="000000" w:themeColor="text1"/>
          <w:lang w:val="en-AU"/>
        </w:rPr>
        <w:t>The diversity of partners ranging from an</w:t>
      </w:r>
      <w:r w:rsidRPr="002E0D8A">
        <w:rPr>
          <w:rFonts w:asciiTheme="minorHAnsi" w:hAnsiTheme="minorHAnsi" w:cstheme="minorHAnsi"/>
          <w:color w:val="000000" w:themeColor="text1"/>
          <w:lang w:val="en-AU"/>
        </w:rPr>
        <w:t xml:space="preserve"> inter-governmental organi</w:t>
      </w:r>
      <w:r w:rsidR="00340706">
        <w:rPr>
          <w:rFonts w:asciiTheme="minorHAnsi" w:hAnsiTheme="minorHAnsi" w:cstheme="minorHAnsi"/>
          <w:color w:val="000000" w:themeColor="text1"/>
          <w:lang w:val="en-AU"/>
        </w:rPr>
        <w:t>s</w:t>
      </w:r>
      <w:r w:rsidRPr="002E0D8A">
        <w:rPr>
          <w:rFonts w:asciiTheme="minorHAnsi" w:hAnsiTheme="minorHAnsi" w:cstheme="minorHAnsi"/>
          <w:color w:val="000000" w:themeColor="text1"/>
          <w:lang w:val="en-AU"/>
        </w:rPr>
        <w:t>ation, financing institution, research institution, Non-Governmental Organi</w:t>
      </w:r>
      <w:r w:rsidR="00340706">
        <w:rPr>
          <w:rFonts w:asciiTheme="minorHAnsi" w:hAnsiTheme="minorHAnsi" w:cstheme="minorHAnsi"/>
          <w:color w:val="000000" w:themeColor="text1"/>
          <w:lang w:val="en-AU"/>
        </w:rPr>
        <w:t>s</w:t>
      </w:r>
      <w:r w:rsidRPr="002E0D8A">
        <w:rPr>
          <w:rFonts w:asciiTheme="minorHAnsi" w:hAnsiTheme="minorHAnsi" w:cstheme="minorHAnsi"/>
          <w:color w:val="000000" w:themeColor="text1"/>
          <w:lang w:val="en-AU"/>
        </w:rPr>
        <w:t>ation and advocacy organi</w:t>
      </w:r>
      <w:r w:rsidR="00340706">
        <w:rPr>
          <w:rFonts w:asciiTheme="minorHAnsi" w:hAnsiTheme="minorHAnsi" w:cstheme="minorHAnsi"/>
          <w:color w:val="000000" w:themeColor="text1"/>
          <w:lang w:val="en-AU"/>
        </w:rPr>
        <w:t>s</w:t>
      </w:r>
      <w:r w:rsidRPr="002E0D8A">
        <w:rPr>
          <w:rFonts w:asciiTheme="minorHAnsi" w:hAnsiTheme="minorHAnsi" w:cstheme="minorHAnsi"/>
          <w:color w:val="000000" w:themeColor="text1"/>
          <w:lang w:val="en-AU"/>
        </w:rPr>
        <w:t>ations with different organi</w:t>
      </w:r>
      <w:r w:rsidR="00340706">
        <w:rPr>
          <w:rFonts w:asciiTheme="minorHAnsi" w:hAnsiTheme="minorHAnsi" w:cstheme="minorHAnsi"/>
          <w:color w:val="000000" w:themeColor="text1"/>
          <w:lang w:val="en-AU"/>
        </w:rPr>
        <w:t>s</w:t>
      </w:r>
      <w:r w:rsidRPr="002E0D8A">
        <w:rPr>
          <w:rFonts w:asciiTheme="minorHAnsi" w:hAnsiTheme="minorHAnsi" w:cstheme="minorHAnsi"/>
          <w:color w:val="000000" w:themeColor="text1"/>
          <w:lang w:val="en-AU"/>
        </w:rPr>
        <w:t xml:space="preserve">ational set-up and practices, both </w:t>
      </w:r>
      <w:r w:rsidR="00DD51F2" w:rsidRPr="002E0D8A">
        <w:rPr>
          <w:rFonts w:asciiTheme="minorHAnsi" w:hAnsiTheme="minorHAnsi" w:cstheme="minorHAnsi"/>
          <w:color w:val="000000" w:themeColor="text1"/>
          <w:lang w:val="en-AU"/>
        </w:rPr>
        <w:t>presents its</w:t>
      </w:r>
      <w:r w:rsidRPr="002E0D8A">
        <w:rPr>
          <w:rFonts w:asciiTheme="minorHAnsi" w:hAnsiTheme="minorHAnsi" w:cstheme="minorHAnsi"/>
          <w:color w:val="000000" w:themeColor="text1"/>
          <w:lang w:val="en-AU"/>
        </w:rPr>
        <w:t xml:space="preserve"> strength and strat</w:t>
      </w:r>
      <w:r w:rsidR="008414CE">
        <w:rPr>
          <w:rFonts w:asciiTheme="minorHAnsi" w:hAnsiTheme="minorHAnsi" w:cstheme="minorHAnsi"/>
          <w:color w:val="000000" w:themeColor="text1"/>
          <w:lang w:val="en-AU"/>
        </w:rPr>
        <w:t>egic and operational challenge.</w:t>
      </w:r>
    </w:p>
    <w:p w14:paraId="07A1EBD9" w14:textId="258B5F96" w:rsidR="00B80F05" w:rsidRPr="002E0D8A" w:rsidRDefault="00EA7676" w:rsidP="00A56021">
      <w:pPr>
        <w:pStyle w:val="BodyText"/>
        <w:rPr>
          <w:rFonts w:asciiTheme="minorHAnsi" w:hAnsiTheme="minorHAnsi" w:cs="Arial"/>
          <w:lang w:val="en-AU" w:bidi="th-TH"/>
        </w:rPr>
      </w:pPr>
      <w:r w:rsidRPr="002E0D8A">
        <w:rPr>
          <w:rFonts w:asciiTheme="minorHAnsi" w:hAnsiTheme="minorHAnsi" w:cs="Arial"/>
          <w:lang w:val="en-AU" w:bidi="th-TH"/>
        </w:rPr>
        <w:t>The</w:t>
      </w:r>
      <w:r w:rsidR="00D404D0">
        <w:rPr>
          <w:rFonts w:asciiTheme="minorHAnsi" w:hAnsiTheme="minorHAnsi" w:cs="Arial"/>
          <w:lang w:val="en-AU" w:bidi="th-TH"/>
        </w:rPr>
        <w:t xml:space="preserve"> Greater</w:t>
      </w:r>
      <w:r w:rsidRPr="002E0D8A">
        <w:rPr>
          <w:rFonts w:asciiTheme="minorHAnsi" w:hAnsiTheme="minorHAnsi" w:cs="Arial"/>
          <w:lang w:val="en-AU" w:bidi="th-TH"/>
        </w:rPr>
        <w:t xml:space="preserve"> Mekong Water Team has led the recruitment of these above-mentioned partners into the GMWRP and worked closely with their leadership teams in shaping and implementing their complementary – but different – agendas for behavioural change leading to fairer and more effective governance.  Each partner organi</w:t>
      </w:r>
      <w:r w:rsidR="00340706">
        <w:rPr>
          <w:rFonts w:asciiTheme="minorHAnsi" w:hAnsiTheme="minorHAnsi" w:cs="Arial"/>
          <w:lang w:val="en-AU" w:bidi="th-TH"/>
        </w:rPr>
        <w:t>s</w:t>
      </w:r>
      <w:r w:rsidRPr="002E0D8A">
        <w:rPr>
          <w:rFonts w:asciiTheme="minorHAnsi" w:hAnsiTheme="minorHAnsi" w:cs="Arial"/>
          <w:lang w:val="en-AU" w:bidi="th-TH"/>
        </w:rPr>
        <w:t>ation knows the agenda of other GMWRP partners</w:t>
      </w:r>
      <w:r w:rsidR="00B80F05" w:rsidRPr="002E0D8A">
        <w:rPr>
          <w:rFonts w:asciiTheme="minorHAnsi" w:hAnsiTheme="minorHAnsi" w:cs="Arial"/>
          <w:lang w:val="en-AU" w:bidi="th-TH"/>
        </w:rPr>
        <w:t>, and w</w:t>
      </w:r>
      <w:r w:rsidRPr="002E0D8A">
        <w:rPr>
          <w:rFonts w:asciiTheme="minorHAnsi" w:hAnsiTheme="minorHAnsi" w:cs="Arial"/>
          <w:lang w:val="en-AU" w:bidi="th-TH"/>
        </w:rPr>
        <w:t>hen possible they actively cooperate, but it is recogni</w:t>
      </w:r>
      <w:r w:rsidR="00340706">
        <w:rPr>
          <w:rFonts w:asciiTheme="minorHAnsi" w:hAnsiTheme="minorHAnsi" w:cs="Arial"/>
          <w:lang w:val="en-AU" w:bidi="th-TH"/>
        </w:rPr>
        <w:t>s</w:t>
      </w:r>
      <w:r w:rsidRPr="002E0D8A">
        <w:rPr>
          <w:rFonts w:asciiTheme="minorHAnsi" w:hAnsiTheme="minorHAnsi" w:cs="Arial"/>
          <w:lang w:val="en-AU" w:bidi="th-TH"/>
        </w:rPr>
        <w:t>ed by the</w:t>
      </w:r>
      <w:r w:rsidR="00D404D0">
        <w:rPr>
          <w:rFonts w:asciiTheme="minorHAnsi" w:hAnsiTheme="minorHAnsi" w:cs="Arial"/>
          <w:lang w:val="en-AU" w:bidi="th-TH"/>
        </w:rPr>
        <w:t xml:space="preserve"> Greater</w:t>
      </w:r>
      <w:r w:rsidRPr="002E0D8A">
        <w:rPr>
          <w:rFonts w:asciiTheme="minorHAnsi" w:hAnsiTheme="minorHAnsi" w:cs="Arial"/>
          <w:lang w:val="en-AU" w:bidi="th-TH"/>
        </w:rPr>
        <w:t xml:space="preserve"> Mekong Water Team that while each may share the goal to improve water governance, </w:t>
      </w:r>
      <w:r w:rsidR="00B80F05" w:rsidRPr="002E0D8A">
        <w:rPr>
          <w:rFonts w:asciiTheme="minorHAnsi" w:hAnsiTheme="minorHAnsi" w:cs="Arial"/>
          <w:lang w:val="en-AU" w:bidi="th-TH"/>
        </w:rPr>
        <w:t xml:space="preserve">their </w:t>
      </w:r>
      <w:r w:rsidRPr="002E0D8A">
        <w:rPr>
          <w:rFonts w:asciiTheme="minorHAnsi" w:hAnsiTheme="minorHAnsi" w:cs="Arial"/>
          <w:lang w:val="en-AU" w:bidi="th-TH"/>
        </w:rPr>
        <w:t>entry points, opportunities, constraints and methods differ.</w:t>
      </w:r>
      <w:r w:rsidR="00B80F05" w:rsidRPr="002E0D8A">
        <w:rPr>
          <w:rFonts w:asciiTheme="minorHAnsi" w:hAnsiTheme="minorHAnsi" w:cs="Arial"/>
          <w:lang w:val="en-AU" w:bidi="th-TH"/>
        </w:rPr>
        <w:t xml:space="preserve"> </w:t>
      </w:r>
      <w:r w:rsidR="00B7124C" w:rsidRPr="002E0D8A">
        <w:rPr>
          <w:rFonts w:asciiTheme="minorHAnsi" w:hAnsiTheme="minorHAnsi" w:cs="Arial"/>
          <w:lang w:val="en-AU" w:bidi="th-TH"/>
        </w:rPr>
        <w:t>In Myanmar, in particular, the approach (including very strategic involvement of AWP) and selection of relevant development partners, government agencies, and CSOs, provides an exemplary model that can be replicated in other countries.</w:t>
      </w:r>
    </w:p>
    <w:p w14:paraId="6AFC1D50" w14:textId="1942D493" w:rsidR="00994C2E" w:rsidRPr="005579D9" w:rsidRDefault="00994C2E" w:rsidP="00A56021">
      <w:pPr>
        <w:pStyle w:val="BodyText"/>
        <w:rPr>
          <w:rFonts w:asciiTheme="minorHAnsi" w:hAnsiTheme="minorHAnsi" w:cstheme="minorHAnsi"/>
          <w:color w:val="000000" w:themeColor="text1"/>
          <w:lang w:val="en-AU"/>
        </w:rPr>
      </w:pPr>
      <w:r w:rsidRPr="00340706">
        <w:rPr>
          <w:rFonts w:asciiTheme="minorHAnsi" w:hAnsiTheme="minorHAnsi" w:cstheme="minorHAnsi"/>
          <w:color w:val="000000" w:themeColor="text1"/>
          <w:lang w:val="en-AU"/>
        </w:rPr>
        <w:t xml:space="preserve">This rich diversity </w:t>
      </w:r>
      <w:r w:rsidR="005579D9" w:rsidRPr="00340706">
        <w:rPr>
          <w:rFonts w:asciiTheme="minorHAnsi" w:hAnsiTheme="minorHAnsi" w:cstheme="minorHAnsi"/>
          <w:color w:val="000000" w:themeColor="text1"/>
          <w:lang w:val="en-AU"/>
        </w:rPr>
        <w:t>of implementi</w:t>
      </w:r>
      <w:r w:rsidR="00D404D0">
        <w:rPr>
          <w:rFonts w:asciiTheme="minorHAnsi" w:hAnsiTheme="minorHAnsi" w:cstheme="minorHAnsi"/>
          <w:color w:val="000000" w:themeColor="text1"/>
          <w:lang w:val="en-AU"/>
        </w:rPr>
        <w:t>ng</w:t>
      </w:r>
      <w:r w:rsidR="005579D9" w:rsidRPr="00340706">
        <w:rPr>
          <w:rFonts w:asciiTheme="minorHAnsi" w:hAnsiTheme="minorHAnsi" w:cstheme="minorHAnsi"/>
          <w:color w:val="000000" w:themeColor="text1"/>
          <w:lang w:val="en-AU"/>
        </w:rPr>
        <w:t xml:space="preserve"> partners </w:t>
      </w:r>
      <w:r w:rsidRPr="00340706">
        <w:rPr>
          <w:rFonts w:asciiTheme="minorHAnsi" w:hAnsiTheme="minorHAnsi" w:cstheme="minorHAnsi"/>
          <w:color w:val="000000" w:themeColor="text1"/>
          <w:lang w:val="en-AU"/>
        </w:rPr>
        <w:t>requires more time and resources</w:t>
      </w:r>
      <w:r w:rsidR="005579D9" w:rsidRPr="00340706">
        <w:rPr>
          <w:rFonts w:asciiTheme="minorHAnsi" w:hAnsiTheme="minorHAnsi" w:cstheme="minorHAnsi"/>
          <w:color w:val="000000" w:themeColor="text1"/>
          <w:lang w:val="en-AU"/>
        </w:rPr>
        <w:t xml:space="preserve"> for GMWRP management</w:t>
      </w:r>
      <w:r w:rsidRPr="00340706">
        <w:rPr>
          <w:rFonts w:asciiTheme="minorHAnsi" w:hAnsiTheme="minorHAnsi" w:cstheme="minorHAnsi"/>
          <w:color w:val="000000" w:themeColor="text1"/>
          <w:lang w:val="en-AU"/>
        </w:rPr>
        <w:t xml:space="preserve">, and constant </w:t>
      </w:r>
      <w:r w:rsidR="00EA7676" w:rsidRPr="00340706">
        <w:rPr>
          <w:rFonts w:asciiTheme="minorHAnsi" w:hAnsiTheme="minorHAnsi" w:cstheme="minorHAnsi"/>
          <w:color w:val="000000" w:themeColor="text1"/>
          <w:lang w:val="en-AU"/>
        </w:rPr>
        <w:t xml:space="preserve">and systematic </w:t>
      </w:r>
      <w:r w:rsidRPr="00340706">
        <w:rPr>
          <w:rFonts w:asciiTheme="minorHAnsi" w:hAnsiTheme="minorHAnsi" w:cstheme="minorHAnsi"/>
          <w:color w:val="000000" w:themeColor="text1"/>
          <w:lang w:val="en-AU"/>
        </w:rPr>
        <w:t xml:space="preserve">efforts to ensure consistency, synergy and meaningful </w:t>
      </w:r>
      <w:r w:rsidR="00EA7676" w:rsidRPr="00340706">
        <w:rPr>
          <w:rFonts w:asciiTheme="minorHAnsi" w:hAnsiTheme="minorHAnsi" w:cstheme="minorHAnsi"/>
          <w:color w:val="000000" w:themeColor="text1"/>
          <w:lang w:val="en-AU"/>
        </w:rPr>
        <w:t xml:space="preserve">communication and </w:t>
      </w:r>
      <w:r w:rsidRPr="00340706">
        <w:rPr>
          <w:rFonts w:asciiTheme="minorHAnsi" w:hAnsiTheme="minorHAnsi" w:cstheme="minorHAnsi"/>
          <w:color w:val="000000" w:themeColor="text1"/>
          <w:lang w:val="en-AU"/>
        </w:rPr>
        <w:t>collaboration (area of commonness) among different pillars and associated partners while respecting diversity</w:t>
      </w:r>
      <w:r w:rsidRPr="005579D9">
        <w:rPr>
          <w:rFonts w:asciiTheme="minorHAnsi" w:hAnsiTheme="minorHAnsi" w:cstheme="minorHAnsi"/>
          <w:color w:val="000000" w:themeColor="text1"/>
          <w:lang w:val="en-AU"/>
        </w:rPr>
        <w:t>.</w:t>
      </w:r>
    </w:p>
    <w:p w14:paraId="40F6640D" w14:textId="5176E9C5" w:rsidR="00BF5D52" w:rsidRPr="00A56021" w:rsidRDefault="00BF5D52" w:rsidP="006B455F">
      <w:pPr>
        <w:pStyle w:val="BodyText"/>
        <w:rPr>
          <w:rFonts w:asciiTheme="minorHAnsi" w:hAnsiTheme="minorHAnsi" w:cstheme="minorHAnsi"/>
          <w:b/>
          <w:sz w:val="28"/>
          <w:lang w:val="en-AU"/>
        </w:rPr>
      </w:pPr>
      <w:r w:rsidRPr="00A56021">
        <w:rPr>
          <w:rFonts w:asciiTheme="minorHAnsi" w:hAnsiTheme="minorHAnsi" w:cstheme="minorHAnsi"/>
          <w:b/>
          <w:sz w:val="28"/>
          <w:lang w:val="en-AU"/>
        </w:rPr>
        <w:t>RECOMMENDATION</w:t>
      </w:r>
      <w:r w:rsidR="00426EEB" w:rsidRPr="00A56021">
        <w:rPr>
          <w:rFonts w:asciiTheme="minorHAnsi" w:hAnsiTheme="minorHAnsi" w:cstheme="minorHAnsi"/>
          <w:b/>
          <w:sz w:val="28"/>
          <w:lang w:val="en-AU"/>
        </w:rPr>
        <w:t>S</w:t>
      </w:r>
    </w:p>
    <w:p w14:paraId="416BB1A8" w14:textId="313CD75B" w:rsidR="00E1521B" w:rsidRPr="002E0D8A" w:rsidRDefault="009135C2" w:rsidP="00A56021">
      <w:pPr>
        <w:pStyle w:val="BodyText"/>
        <w:rPr>
          <w:rFonts w:asciiTheme="minorHAnsi" w:hAnsiTheme="minorHAnsi" w:cstheme="minorHAnsi"/>
          <w:lang w:val="en-AU"/>
        </w:rPr>
      </w:pPr>
      <w:r w:rsidRPr="002E0D8A">
        <w:rPr>
          <w:rFonts w:asciiTheme="minorHAnsi" w:hAnsiTheme="minorHAnsi" w:cstheme="minorHAnsi"/>
          <w:lang w:val="en-AU"/>
        </w:rPr>
        <w:t>The following recommendations are the consultants</w:t>
      </w:r>
      <w:r w:rsidR="005672F3" w:rsidRPr="002E0D8A">
        <w:rPr>
          <w:rFonts w:asciiTheme="minorHAnsi" w:hAnsiTheme="minorHAnsi" w:cstheme="minorHAnsi"/>
          <w:lang w:val="en-AU"/>
        </w:rPr>
        <w:t>’</w:t>
      </w:r>
      <w:r w:rsidRPr="002E0D8A">
        <w:rPr>
          <w:rFonts w:asciiTheme="minorHAnsi" w:hAnsiTheme="minorHAnsi" w:cstheme="minorHAnsi"/>
          <w:lang w:val="en-AU"/>
        </w:rPr>
        <w:t xml:space="preserve"> suggestions </w:t>
      </w:r>
      <w:r w:rsidR="0052504A" w:rsidRPr="002E0D8A">
        <w:rPr>
          <w:rFonts w:asciiTheme="minorHAnsi" w:hAnsiTheme="minorHAnsi" w:cstheme="minorHAnsi"/>
          <w:lang w:val="en-AU"/>
        </w:rPr>
        <w:t xml:space="preserve">to further improve GMWRP </w:t>
      </w:r>
      <w:r w:rsidR="00B80F05" w:rsidRPr="002E0D8A">
        <w:rPr>
          <w:rFonts w:asciiTheme="minorHAnsi" w:hAnsiTheme="minorHAnsi" w:cstheme="minorHAnsi"/>
          <w:lang w:val="en-AU"/>
        </w:rPr>
        <w:t xml:space="preserve">policy dialogue </w:t>
      </w:r>
      <w:r w:rsidR="0052504A" w:rsidRPr="002E0D8A">
        <w:rPr>
          <w:rFonts w:asciiTheme="minorHAnsi" w:hAnsiTheme="minorHAnsi" w:cstheme="minorHAnsi"/>
          <w:lang w:val="en-AU"/>
        </w:rPr>
        <w:t>implementation:</w:t>
      </w:r>
    </w:p>
    <w:p w14:paraId="707BA0A2" w14:textId="0B018FA4" w:rsidR="00B433FE" w:rsidRPr="00A56021" w:rsidRDefault="00B433FE" w:rsidP="00A56021">
      <w:pPr>
        <w:pStyle w:val="BodyText"/>
        <w:rPr>
          <w:rFonts w:asciiTheme="minorHAnsi" w:hAnsiTheme="minorHAnsi" w:cstheme="minorHAnsi"/>
          <w:b/>
          <w:bCs/>
          <w:sz w:val="24"/>
          <w:u w:val="single"/>
          <w:lang w:val="en-AU"/>
        </w:rPr>
      </w:pPr>
      <w:r w:rsidRPr="00A56021">
        <w:rPr>
          <w:rFonts w:asciiTheme="minorHAnsi" w:hAnsiTheme="minorHAnsi" w:cstheme="minorHAnsi"/>
          <w:b/>
          <w:bCs/>
          <w:sz w:val="24"/>
          <w:u w:val="single"/>
          <w:lang w:val="en-AU"/>
        </w:rPr>
        <w:t>Contextualising policy dialogue</w:t>
      </w:r>
    </w:p>
    <w:p w14:paraId="0A2ECE6C" w14:textId="45A3A0AB" w:rsidR="00E1521B" w:rsidRPr="003F79CF" w:rsidRDefault="00A377B0" w:rsidP="00A56021">
      <w:pPr>
        <w:pStyle w:val="BodyText"/>
        <w:rPr>
          <w:rFonts w:asciiTheme="minorHAnsi" w:hAnsiTheme="minorHAnsi" w:cstheme="minorHAnsi"/>
          <w:bCs/>
          <w:lang w:val="en-AU"/>
        </w:rPr>
      </w:pPr>
      <w:r>
        <w:rPr>
          <w:rFonts w:asciiTheme="minorHAnsi" w:hAnsiTheme="minorHAnsi" w:cstheme="minorHAnsi"/>
          <w:b/>
          <w:bCs/>
          <w:lang w:val="en-AU"/>
        </w:rPr>
        <w:t>1.</w:t>
      </w:r>
      <w:r w:rsidR="003F79CF">
        <w:rPr>
          <w:rFonts w:asciiTheme="minorHAnsi" w:hAnsiTheme="minorHAnsi" w:cstheme="minorHAnsi"/>
          <w:b/>
          <w:bCs/>
          <w:lang w:val="en-AU"/>
        </w:rPr>
        <w:t xml:space="preserve"> </w:t>
      </w:r>
      <w:r w:rsidR="006B455F">
        <w:rPr>
          <w:rFonts w:asciiTheme="minorHAnsi" w:hAnsiTheme="minorHAnsi" w:cstheme="minorHAnsi"/>
          <w:b/>
          <w:bCs/>
          <w:lang w:val="en-AU"/>
        </w:rPr>
        <w:t xml:space="preserve">Clarifying: </w:t>
      </w:r>
      <w:r w:rsidR="00E1521B" w:rsidRPr="003F79CF">
        <w:rPr>
          <w:rFonts w:asciiTheme="minorHAnsi" w:hAnsiTheme="minorHAnsi" w:cstheme="minorHAnsi"/>
          <w:bCs/>
          <w:lang w:val="en-AU"/>
        </w:rPr>
        <w:t>DFAT should bring implementing partners together to agree as far as possible on a common definition and understanding of policy, policy influencing, and policy dialogue to be used for this whole program.</w:t>
      </w:r>
    </w:p>
    <w:p w14:paraId="190CAD22" w14:textId="41F6A9C4" w:rsidR="00E1521B" w:rsidRPr="003F79CF" w:rsidRDefault="00A377B0" w:rsidP="00A56021">
      <w:pPr>
        <w:pStyle w:val="BodyText"/>
        <w:rPr>
          <w:rFonts w:asciiTheme="minorHAnsi" w:hAnsiTheme="minorHAnsi" w:cstheme="minorHAnsi"/>
          <w:bCs/>
          <w:lang w:val="en-AU"/>
        </w:rPr>
      </w:pPr>
      <w:r>
        <w:rPr>
          <w:rFonts w:asciiTheme="minorHAnsi" w:hAnsiTheme="minorHAnsi" w:cstheme="minorHAnsi"/>
          <w:b/>
          <w:bCs/>
          <w:lang w:val="en-AU"/>
        </w:rPr>
        <w:t>2.</w:t>
      </w:r>
      <w:r w:rsidR="003F79CF">
        <w:rPr>
          <w:rFonts w:asciiTheme="minorHAnsi" w:hAnsiTheme="minorHAnsi" w:cstheme="minorHAnsi"/>
          <w:b/>
          <w:bCs/>
          <w:lang w:val="en-AU"/>
        </w:rPr>
        <w:t xml:space="preserve"> </w:t>
      </w:r>
      <w:r w:rsidR="00661F8D" w:rsidRPr="003F79CF">
        <w:rPr>
          <w:rFonts w:asciiTheme="minorHAnsi" w:hAnsiTheme="minorHAnsi" w:cstheme="minorHAnsi"/>
          <w:b/>
          <w:bCs/>
          <w:lang w:val="en-AU"/>
        </w:rPr>
        <w:t>Thinking and working politically</w:t>
      </w:r>
      <w:r w:rsidR="006B455F">
        <w:rPr>
          <w:rFonts w:asciiTheme="minorHAnsi" w:hAnsiTheme="minorHAnsi" w:cstheme="minorHAnsi"/>
          <w:b/>
          <w:bCs/>
          <w:lang w:val="en-AU"/>
        </w:rPr>
        <w:t xml:space="preserve">: </w:t>
      </w:r>
      <w:r w:rsidR="00E1521B" w:rsidRPr="003F79CF">
        <w:rPr>
          <w:rFonts w:asciiTheme="minorHAnsi" w:hAnsiTheme="minorHAnsi" w:cstheme="minorHAnsi"/>
          <w:bCs/>
          <w:lang w:val="en-AU"/>
        </w:rPr>
        <w:t>Political economy analyses should be annually updated in a two- step process – first for individual outcome areas (and implementing partners) then for the program as a whole, facilitated by DFAT in the annual joint meeting of implementing partners, which should be a longer 1-day meeting.</w:t>
      </w:r>
    </w:p>
    <w:p w14:paraId="2C20E82B" w14:textId="1E727386" w:rsidR="00B80F05" w:rsidRPr="003F79CF" w:rsidRDefault="00A377B0" w:rsidP="00A56021">
      <w:pPr>
        <w:pStyle w:val="BodyText"/>
        <w:rPr>
          <w:rFonts w:asciiTheme="minorHAnsi" w:hAnsiTheme="minorHAnsi" w:cstheme="minorHAnsi"/>
          <w:bCs/>
          <w:lang w:val="en-AU"/>
        </w:rPr>
      </w:pPr>
      <w:r>
        <w:rPr>
          <w:rFonts w:asciiTheme="minorHAnsi" w:hAnsiTheme="minorHAnsi" w:cstheme="minorHAnsi"/>
          <w:b/>
          <w:bCs/>
          <w:lang w:val="en-AU"/>
        </w:rPr>
        <w:t>3.</w:t>
      </w:r>
      <w:r w:rsidR="003F79CF">
        <w:rPr>
          <w:rFonts w:asciiTheme="minorHAnsi" w:hAnsiTheme="minorHAnsi" w:cstheme="minorHAnsi"/>
          <w:b/>
          <w:bCs/>
          <w:lang w:val="en-AU"/>
        </w:rPr>
        <w:t xml:space="preserve"> </w:t>
      </w:r>
      <w:r w:rsidR="00661F8D" w:rsidRPr="003F79CF">
        <w:rPr>
          <w:rFonts w:asciiTheme="minorHAnsi" w:hAnsiTheme="minorHAnsi" w:cstheme="minorHAnsi"/>
          <w:b/>
          <w:bCs/>
          <w:lang w:val="en-AU"/>
        </w:rPr>
        <w:t>Focusing</w:t>
      </w:r>
      <w:r w:rsidR="006B455F">
        <w:rPr>
          <w:rFonts w:asciiTheme="minorHAnsi" w:hAnsiTheme="minorHAnsi" w:cstheme="minorHAnsi"/>
          <w:bCs/>
          <w:lang w:val="en-AU"/>
        </w:rPr>
        <w:t xml:space="preserve">: </w:t>
      </w:r>
      <w:r w:rsidR="00661F8D" w:rsidRPr="003F79CF">
        <w:rPr>
          <w:rFonts w:asciiTheme="minorHAnsi" w:hAnsiTheme="minorHAnsi" w:cstheme="minorHAnsi"/>
          <w:bCs/>
          <w:lang w:val="en-AU"/>
        </w:rPr>
        <w:t>GMWRP should through consultation with key implementing partners, identify a short-list of priority policy issues in which the program would like to exert some influence, and should together with partners, convene a series of dialogue events on these issues.</w:t>
      </w:r>
    </w:p>
    <w:p w14:paraId="7966A793" w14:textId="706370DB" w:rsidR="00B80F05" w:rsidRPr="003F79CF" w:rsidRDefault="00A377B0" w:rsidP="00A56021">
      <w:pPr>
        <w:pStyle w:val="BodyText"/>
        <w:rPr>
          <w:rFonts w:asciiTheme="minorHAnsi" w:hAnsiTheme="minorHAnsi" w:cstheme="minorHAnsi"/>
          <w:bCs/>
          <w:lang w:val="en-AU"/>
        </w:rPr>
      </w:pPr>
      <w:r>
        <w:rPr>
          <w:rFonts w:asciiTheme="minorHAnsi" w:hAnsiTheme="minorHAnsi" w:cstheme="minorHAnsi"/>
          <w:b/>
          <w:bCs/>
          <w:lang w:val="en-AU"/>
        </w:rPr>
        <w:t>4.</w:t>
      </w:r>
      <w:r w:rsidR="003F79CF">
        <w:rPr>
          <w:rFonts w:asciiTheme="minorHAnsi" w:hAnsiTheme="minorHAnsi" w:cstheme="minorHAnsi"/>
          <w:b/>
          <w:bCs/>
          <w:lang w:val="en-AU"/>
        </w:rPr>
        <w:t xml:space="preserve"> </w:t>
      </w:r>
      <w:r w:rsidR="00B80F05" w:rsidRPr="003F79CF">
        <w:rPr>
          <w:rFonts w:asciiTheme="minorHAnsi" w:hAnsiTheme="minorHAnsi" w:cstheme="minorHAnsi"/>
          <w:b/>
          <w:bCs/>
          <w:lang w:val="en-AU"/>
        </w:rPr>
        <w:t>Measuring and learning</w:t>
      </w:r>
      <w:r w:rsidR="006B455F">
        <w:rPr>
          <w:rFonts w:asciiTheme="minorHAnsi" w:hAnsiTheme="minorHAnsi" w:cstheme="minorHAnsi"/>
          <w:bCs/>
          <w:lang w:val="en-AU"/>
        </w:rPr>
        <w:t xml:space="preserve">: </w:t>
      </w:r>
      <w:r w:rsidR="00B80F05" w:rsidRPr="003F79CF">
        <w:rPr>
          <w:rFonts w:asciiTheme="minorHAnsi" w:hAnsiTheme="minorHAnsi" w:cstheme="minorHAnsi"/>
          <w:bCs/>
          <w:lang w:val="en-AU"/>
        </w:rPr>
        <w:t>Monitoring and evaluation frameworks for GMWRP as a whole, and for each partner, should be revised to ensure a clearer focus on seeking evidence of influence of policy dialogue such as attitudinal change, discursive commitment, procedural change, policy content, and behaviour change.</w:t>
      </w:r>
    </w:p>
    <w:p w14:paraId="378A3D7E" w14:textId="32EB8D29" w:rsidR="00B433FE" w:rsidRPr="00A56021" w:rsidRDefault="00B433FE" w:rsidP="006B455F">
      <w:pPr>
        <w:pStyle w:val="BodyText"/>
        <w:keepNext/>
        <w:rPr>
          <w:rFonts w:asciiTheme="minorHAnsi" w:hAnsiTheme="minorHAnsi" w:cstheme="minorHAnsi"/>
          <w:b/>
          <w:bCs/>
          <w:sz w:val="24"/>
          <w:u w:val="single"/>
          <w:lang w:val="en-AU"/>
        </w:rPr>
      </w:pPr>
      <w:r w:rsidRPr="00A56021">
        <w:rPr>
          <w:rFonts w:asciiTheme="minorHAnsi" w:hAnsiTheme="minorHAnsi" w:cstheme="minorHAnsi"/>
          <w:b/>
          <w:bCs/>
          <w:sz w:val="24"/>
          <w:u w:val="single"/>
          <w:lang w:val="en-AU"/>
        </w:rPr>
        <w:lastRenderedPageBreak/>
        <w:t>Learning from policy dialogue initiatives of others</w:t>
      </w:r>
    </w:p>
    <w:p w14:paraId="30049490" w14:textId="2FB1ED32" w:rsidR="00661F8D" w:rsidRPr="003F79CF" w:rsidRDefault="003F79CF" w:rsidP="006B455F">
      <w:pPr>
        <w:pStyle w:val="BodyText"/>
        <w:keepNext/>
        <w:rPr>
          <w:rFonts w:asciiTheme="minorHAnsi" w:hAnsiTheme="minorHAnsi"/>
          <w:iCs/>
          <w:lang w:val="en-AU"/>
        </w:rPr>
      </w:pPr>
      <w:r w:rsidRPr="003F79CF">
        <w:rPr>
          <w:rFonts w:asciiTheme="minorHAnsi" w:hAnsiTheme="minorHAnsi" w:cs="GloberRegular"/>
          <w:b/>
          <w:iCs/>
          <w:color w:val="262626"/>
          <w:lang w:val="en-AU" w:bidi="th-TH"/>
        </w:rPr>
        <w:t>5</w:t>
      </w:r>
      <w:r>
        <w:rPr>
          <w:rFonts w:asciiTheme="minorHAnsi" w:hAnsiTheme="minorHAnsi" w:cs="GloberRegular"/>
          <w:iCs/>
          <w:color w:val="262626"/>
          <w:lang w:val="en-AU" w:bidi="th-TH"/>
        </w:rPr>
        <w:t xml:space="preserve">. </w:t>
      </w:r>
      <w:r w:rsidR="00661F8D" w:rsidRPr="003F79CF">
        <w:rPr>
          <w:rFonts w:asciiTheme="minorHAnsi" w:hAnsiTheme="minorHAnsi" w:cs="GloberRegular"/>
          <w:iCs/>
          <w:color w:val="262626"/>
          <w:lang w:val="en-AU" w:bidi="th-TH"/>
        </w:rPr>
        <w:t>DFAT and its partners should review lessons learned from policy dialogue initiatives of others</w:t>
      </w:r>
      <w:r w:rsidR="00B80F05" w:rsidRPr="003F79CF">
        <w:rPr>
          <w:rFonts w:asciiTheme="minorHAnsi" w:hAnsiTheme="minorHAnsi" w:cs="GloberRegular"/>
          <w:iCs/>
          <w:color w:val="262626"/>
          <w:lang w:val="en-AU" w:bidi="th-TH"/>
        </w:rPr>
        <w:t xml:space="preserve">. </w:t>
      </w:r>
      <w:r w:rsidR="00661F8D" w:rsidRPr="003F79CF">
        <w:rPr>
          <w:rFonts w:asciiTheme="minorHAnsi" w:hAnsiTheme="minorHAnsi"/>
          <w:iCs/>
          <w:lang w:val="en-AU"/>
        </w:rPr>
        <w:t>For example:</w:t>
      </w:r>
    </w:p>
    <w:p w14:paraId="37B16869" w14:textId="33E1DB47" w:rsidR="00661F8D" w:rsidRPr="003F79CF" w:rsidRDefault="005579D9" w:rsidP="009228CA">
      <w:pPr>
        <w:pStyle w:val="BodyText"/>
        <w:numPr>
          <w:ilvl w:val="0"/>
          <w:numId w:val="28"/>
        </w:numPr>
        <w:rPr>
          <w:rFonts w:asciiTheme="minorHAnsi" w:hAnsiTheme="minorHAnsi" w:cs="Times"/>
          <w:iCs/>
          <w:lang w:val="en-AU" w:bidi="th-TH"/>
        </w:rPr>
      </w:pPr>
      <w:r>
        <w:rPr>
          <w:rFonts w:asciiTheme="minorHAnsi" w:hAnsiTheme="minorHAnsi"/>
          <w:iCs/>
          <w:lang w:val="en-AU"/>
        </w:rPr>
        <w:t>Stockholm Environment Institute</w:t>
      </w:r>
      <w:r w:rsidRPr="003F79CF">
        <w:rPr>
          <w:rFonts w:asciiTheme="minorHAnsi" w:hAnsiTheme="minorHAnsi"/>
          <w:iCs/>
          <w:lang w:val="en-AU"/>
        </w:rPr>
        <w:t xml:space="preserve"> </w:t>
      </w:r>
      <w:r>
        <w:rPr>
          <w:rFonts w:asciiTheme="minorHAnsi" w:hAnsiTheme="minorHAnsi"/>
          <w:iCs/>
          <w:lang w:val="en-AU"/>
        </w:rPr>
        <w:t xml:space="preserve">and the Sustainable Mekong Research Network </w:t>
      </w:r>
      <w:r w:rsidR="00661F8D" w:rsidRPr="003F79CF">
        <w:rPr>
          <w:rFonts w:asciiTheme="minorHAnsi" w:hAnsiTheme="minorHAnsi"/>
          <w:iCs/>
          <w:lang w:val="en-AU"/>
        </w:rPr>
        <w:t xml:space="preserve">has </w:t>
      </w:r>
      <w:r w:rsidR="00275A77" w:rsidRPr="003F79CF">
        <w:rPr>
          <w:rFonts w:asciiTheme="minorHAnsi" w:hAnsiTheme="minorHAnsi"/>
          <w:iCs/>
          <w:lang w:val="en-AU"/>
        </w:rPr>
        <w:t xml:space="preserve">a strong focus on identifying and engaging with boundary partners that may be individuals, groups or organisations with whom </w:t>
      </w:r>
      <w:r>
        <w:rPr>
          <w:rFonts w:asciiTheme="minorHAnsi" w:hAnsiTheme="minorHAnsi"/>
          <w:iCs/>
          <w:lang w:val="en-AU"/>
        </w:rPr>
        <w:t>SEI/</w:t>
      </w:r>
      <w:r w:rsidR="00275A77" w:rsidRPr="003F79CF">
        <w:rPr>
          <w:rFonts w:asciiTheme="minorHAnsi" w:hAnsiTheme="minorHAnsi"/>
          <w:iCs/>
          <w:lang w:val="en-AU"/>
        </w:rPr>
        <w:t>SUMERNET interacts directly and can anticipate opportunities for influence. SEI/SUMERNET explicitly strategi</w:t>
      </w:r>
      <w:r w:rsidR="00340706">
        <w:rPr>
          <w:rFonts w:asciiTheme="minorHAnsi" w:hAnsiTheme="minorHAnsi"/>
          <w:iCs/>
          <w:lang w:val="en-AU"/>
        </w:rPr>
        <w:t>s</w:t>
      </w:r>
      <w:r w:rsidR="00275A77" w:rsidRPr="003F79CF">
        <w:rPr>
          <w:rFonts w:asciiTheme="minorHAnsi" w:hAnsiTheme="minorHAnsi"/>
          <w:iCs/>
          <w:lang w:val="en-AU"/>
        </w:rPr>
        <w:t>e</w:t>
      </w:r>
      <w:r w:rsidR="00DD76C3">
        <w:rPr>
          <w:rFonts w:asciiTheme="minorHAnsi" w:hAnsiTheme="minorHAnsi"/>
          <w:iCs/>
          <w:lang w:val="en-AU"/>
        </w:rPr>
        <w:t>s</w:t>
      </w:r>
      <w:r w:rsidR="00275A77" w:rsidRPr="003F79CF">
        <w:rPr>
          <w:rFonts w:asciiTheme="minorHAnsi" w:hAnsiTheme="minorHAnsi"/>
          <w:iCs/>
          <w:lang w:val="en-AU"/>
        </w:rPr>
        <w:t xml:space="preserve"> how to work with these influential boundary partners, but they do not control them.</w:t>
      </w:r>
    </w:p>
    <w:p w14:paraId="5652A2BA" w14:textId="6D8C59BD" w:rsidR="005672F3" w:rsidRPr="003F79CF" w:rsidRDefault="00275A77" w:rsidP="009228CA">
      <w:pPr>
        <w:pStyle w:val="BodyText"/>
        <w:numPr>
          <w:ilvl w:val="0"/>
          <w:numId w:val="28"/>
        </w:numPr>
        <w:rPr>
          <w:rFonts w:asciiTheme="minorHAnsi" w:hAnsiTheme="minorHAnsi" w:cstheme="minorHAnsi"/>
          <w:bCs/>
          <w:lang w:val="en-AU"/>
        </w:rPr>
      </w:pPr>
      <w:r w:rsidRPr="003F79CF">
        <w:rPr>
          <w:rFonts w:asciiTheme="minorHAnsi" w:hAnsiTheme="minorHAnsi" w:cstheme="minorHAnsi"/>
          <w:bCs/>
          <w:lang w:val="en-AU"/>
        </w:rPr>
        <w:t>IUCN Mekong Water Dialogues</w:t>
      </w:r>
      <w:r w:rsidR="002B1A9C" w:rsidRPr="003F79CF">
        <w:rPr>
          <w:rFonts w:asciiTheme="minorHAnsi" w:hAnsiTheme="minorHAnsi" w:cstheme="minorHAnsi"/>
          <w:bCs/>
          <w:lang w:val="en-AU"/>
        </w:rPr>
        <w:t xml:space="preserve"> established multi-sector, multi-stakeholder national working groups composed of 100% Mekong country citizens, empowered to select key issues for subsequent policy dialogue focus.</w:t>
      </w:r>
    </w:p>
    <w:p w14:paraId="4D65EF40" w14:textId="2CF7440B" w:rsidR="00B433FE" w:rsidRPr="003F79CF" w:rsidRDefault="005672F3" w:rsidP="009228CA">
      <w:pPr>
        <w:pStyle w:val="BodyText"/>
        <w:numPr>
          <w:ilvl w:val="0"/>
          <w:numId w:val="28"/>
        </w:numPr>
        <w:rPr>
          <w:rFonts w:asciiTheme="minorHAnsi" w:hAnsiTheme="minorHAnsi" w:cstheme="minorHAnsi"/>
          <w:bCs/>
          <w:lang w:val="en-AU"/>
        </w:rPr>
      </w:pPr>
      <w:r w:rsidRPr="003F79CF">
        <w:rPr>
          <w:rFonts w:asciiTheme="minorHAnsi" w:hAnsiTheme="minorHAnsi" w:cstheme="minorHAnsi"/>
          <w:bCs/>
          <w:lang w:val="en-AU"/>
        </w:rPr>
        <w:t>The method</w:t>
      </w:r>
      <w:r w:rsidR="00A377B0" w:rsidRPr="003F79CF">
        <w:rPr>
          <w:rFonts w:asciiTheme="minorHAnsi" w:hAnsiTheme="minorHAnsi" w:cstheme="minorHAnsi"/>
          <w:bCs/>
          <w:lang w:val="en-AU"/>
        </w:rPr>
        <w:t>s</w:t>
      </w:r>
      <w:r w:rsidRPr="003F79CF">
        <w:rPr>
          <w:rFonts w:asciiTheme="minorHAnsi" w:hAnsiTheme="minorHAnsi" w:cstheme="minorHAnsi"/>
          <w:bCs/>
          <w:lang w:val="en-AU"/>
        </w:rPr>
        <w:t xml:space="preserve"> of the global IUCN </w:t>
      </w:r>
      <w:r w:rsidR="007C64E4" w:rsidRPr="007C64E4">
        <w:rPr>
          <w:rFonts w:asciiTheme="minorHAnsi" w:hAnsiTheme="minorHAnsi" w:cstheme="minorHAnsi"/>
          <w:bCs/>
          <w:lang w:val="en-AU"/>
        </w:rPr>
        <w:t>Building River Dialogues and Governance</w:t>
      </w:r>
      <w:r w:rsidRPr="003F79CF">
        <w:rPr>
          <w:rFonts w:asciiTheme="minorHAnsi" w:hAnsiTheme="minorHAnsi" w:cstheme="minorHAnsi"/>
          <w:bCs/>
          <w:lang w:val="en-AU"/>
        </w:rPr>
        <w:t xml:space="preserve"> initiative</w:t>
      </w:r>
      <w:r w:rsidR="003F79CF">
        <w:rPr>
          <w:rFonts w:asciiTheme="minorHAnsi" w:hAnsiTheme="minorHAnsi" w:cstheme="minorHAnsi"/>
          <w:bCs/>
          <w:lang w:val="en-AU"/>
        </w:rPr>
        <w:t xml:space="preserve"> </w:t>
      </w:r>
      <w:r w:rsidR="003F79CF" w:rsidRPr="003F79CF">
        <w:rPr>
          <w:rFonts w:asciiTheme="minorHAnsi" w:hAnsiTheme="minorHAnsi" w:cstheme="minorHAnsi"/>
          <w:bCs/>
          <w:lang w:val="en-AU"/>
        </w:rPr>
        <w:t>include</w:t>
      </w:r>
      <w:r w:rsidR="007C64E4">
        <w:rPr>
          <w:rFonts w:asciiTheme="minorHAnsi" w:hAnsiTheme="minorHAnsi" w:cstheme="minorHAnsi"/>
          <w:bCs/>
          <w:lang w:val="en-AU"/>
        </w:rPr>
        <w:t>s</w:t>
      </w:r>
      <w:r w:rsidRPr="003F79CF">
        <w:rPr>
          <w:rFonts w:asciiTheme="minorHAnsi" w:hAnsiTheme="minorHAnsi" w:cstheme="minorHAnsi"/>
          <w:bCs/>
          <w:lang w:val="en-AU"/>
        </w:rPr>
        <w:t xml:space="preserve"> demonstration sites, learning, dialogue, leadership training, and ongoing advisory support.</w:t>
      </w:r>
    </w:p>
    <w:p w14:paraId="00C10CDA" w14:textId="7AA5FE64" w:rsidR="002B1A9C" w:rsidRPr="003F79CF" w:rsidRDefault="007C64E4" w:rsidP="009228CA">
      <w:pPr>
        <w:pStyle w:val="BodyText"/>
        <w:numPr>
          <w:ilvl w:val="0"/>
          <w:numId w:val="28"/>
        </w:numPr>
        <w:rPr>
          <w:rFonts w:asciiTheme="minorHAnsi" w:hAnsiTheme="minorHAnsi" w:cstheme="minorHAnsi"/>
          <w:bCs/>
          <w:lang w:val="en-AU"/>
        </w:rPr>
      </w:pPr>
      <w:r w:rsidRPr="007C64E4">
        <w:rPr>
          <w:rFonts w:asciiTheme="minorHAnsi" w:hAnsiTheme="minorHAnsi" w:cstheme="minorHAnsi"/>
          <w:bCs/>
          <w:lang w:val="en-AU"/>
        </w:rPr>
        <w:t>Biodiversity and Ecosystem Services Network</w:t>
      </w:r>
      <w:r w:rsidRPr="007C64E4" w:rsidDel="007C64E4">
        <w:rPr>
          <w:rFonts w:asciiTheme="minorHAnsi" w:hAnsiTheme="minorHAnsi" w:cstheme="minorHAnsi"/>
          <w:bCs/>
          <w:lang w:val="en-AU"/>
        </w:rPr>
        <w:t xml:space="preserve"> </w:t>
      </w:r>
      <w:r w:rsidR="002B1A9C" w:rsidRPr="003F79CF">
        <w:rPr>
          <w:rFonts w:asciiTheme="minorHAnsi" w:hAnsiTheme="minorHAnsi" w:cstheme="minorHAnsi"/>
          <w:bCs/>
          <w:lang w:val="en-AU"/>
        </w:rPr>
        <w:t>trialogues are part of a new global process that is focusing on ecosystems policy dialogue. The method is to create structured interfaces at various levels on high-priority themes, aiming to influence each of the core constituencies represented in the multi-stakeholder processes – scientists, public and corporate policy authorities, and field practitioners.</w:t>
      </w:r>
    </w:p>
    <w:p w14:paraId="08C83220" w14:textId="60555AAE" w:rsidR="00B433FE" w:rsidRPr="00A56021" w:rsidRDefault="005672F3" w:rsidP="00A56021">
      <w:pPr>
        <w:pStyle w:val="BodyText"/>
        <w:rPr>
          <w:rFonts w:asciiTheme="minorHAnsi" w:hAnsiTheme="minorHAnsi" w:cstheme="minorHAnsi"/>
          <w:b/>
          <w:bCs/>
          <w:sz w:val="24"/>
          <w:u w:val="single"/>
          <w:lang w:val="en-AU"/>
        </w:rPr>
      </w:pPr>
      <w:r w:rsidRPr="00A56021">
        <w:rPr>
          <w:rFonts w:asciiTheme="minorHAnsi" w:hAnsiTheme="minorHAnsi" w:cstheme="minorHAnsi"/>
          <w:b/>
          <w:bCs/>
          <w:sz w:val="24"/>
          <w:u w:val="single"/>
          <w:lang w:val="en-AU"/>
        </w:rPr>
        <w:t>Specific matters needing attention with existing implementation partners</w:t>
      </w:r>
    </w:p>
    <w:p w14:paraId="4B925369" w14:textId="5BD1FA0E" w:rsidR="00150701" w:rsidRPr="003F79CF" w:rsidRDefault="00A377B0" w:rsidP="00A56021">
      <w:pPr>
        <w:pStyle w:val="BodyText"/>
        <w:rPr>
          <w:rFonts w:asciiTheme="minorHAnsi" w:hAnsiTheme="minorHAnsi"/>
          <w:bCs/>
          <w:iCs/>
          <w:lang w:val="en-AU"/>
        </w:rPr>
      </w:pPr>
      <w:r>
        <w:rPr>
          <w:rFonts w:asciiTheme="minorHAnsi" w:hAnsiTheme="minorHAnsi"/>
          <w:b/>
          <w:bCs/>
          <w:iCs/>
          <w:lang w:val="en-AU"/>
        </w:rPr>
        <w:t>6.</w:t>
      </w:r>
      <w:r w:rsidR="002F2F7B">
        <w:rPr>
          <w:rFonts w:asciiTheme="minorHAnsi" w:hAnsiTheme="minorHAnsi"/>
          <w:b/>
          <w:bCs/>
          <w:iCs/>
          <w:lang w:val="en-AU"/>
        </w:rPr>
        <w:t xml:space="preserve"> </w:t>
      </w:r>
      <w:r w:rsidR="00150701" w:rsidRPr="003F79CF">
        <w:rPr>
          <w:rFonts w:asciiTheme="minorHAnsi" w:hAnsiTheme="minorHAnsi"/>
          <w:b/>
          <w:bCs/>
          <w:iCs/>
          <w:lang w:val="en-AU"/>
        </w:rPr>
        <w:t>Greater Mekong Forum on Water Food and Energ</w:t>
      </w:r>
      <w:r w:rsidR="006B455F">
        <w:rPr>
          <w:rFonts w:asciiTheme="minorHAnsi" w:hAnsiTheme="minorHAnsi"/>
          <w:bCs/>
          <w:iCs/>
          <w:lang w:val="en-AU"/>
        </w:rPr>
        <w:t xml:space="preserve">y: </w:t>
      </w:r>
      <w:r w:rsidR="007C64E4">
        <w:rPr>
          <w:rFonts w:asciiTheme="minorHAnsi" w:hAnsiTheme="minorHAnsi"/>
          <w:bCs/>
          <w:iCs/>
          <w:lang w:val="en-AU"/>
        </w:rPr>
        <w:t>Regarding the forum, led by International Water Management Institute, e</w:t>
      </w:r>
      <w:r w:rsidR="00150701" w:rsidRPr="003F79CF">
        <w:rPr>
          <w:rFonts w:asciiTheme="minorHAnsi" w:hAnsiTheme="minorHAnsi"/>
          <w:bCs/>
          <w:iCs/>
          <w:lang w:val="en-AU"/>
        </w:rPr>
        <w:t>fforts need to be made to ensure the right balance of participants and roles in presenting, leading of the sessions and forum from the region and elsewhere</w:t>
      </w:r>
      <w:r w:rsidR="007C64E4">
        <w:rPr>
          <w:rFonts w:asciiTheme="minorHAnsi" w:hAnsiTheme="minorHAnsi"/>
          <w:bCs/>
          <w:iCs/>
          <w:lang w:val="en-AU"/>
        </w:rPr>
        <w:t>. S</w:t>
      </w:r>
      <w:r w:rsidR="00150701" w:rsidRPr="003F79CF">
        <w:rPr>
          <w:rFonts w:asciiTheme="minorHAnsi" w:hAnsiTheme="minorHAnsi"/>
          <w:bCs/>
          <w:iCs/>
          <w:lang w:val="en-AU"/>
        </w:rPr>
        <w:t>ome thought should be given to organi</w:t>
      </w:r>
      <w:r w:rsidR="00340706">
        <w:rPr>
          <w:rFonts w:asciiTheme="minorHAnsi" w:hAnsiTheme="minorHAnsi"/>
          <w:bCs/>
          <w:iCs/>
          <w:lang w:val="en-AU"/>
        </w:rPr>
        <w:t>s</w:t>
      </w:r>
      <w:r w:rsidR="00150701" w:rsidRPr="003F79CF">
        <w:rPr>
          <w:rFonts w:asciiTheme="minorHAnsi" w:hAnsiTheme="minorHAnsi"/>
          <w:bCs/>
          <w:iCs/>
          <w:lang w:val="en-AU"/>
        </w:rPr>
        <w:t>ing each time a pre- or post-</w:t>
      </w:r>
      <w:r w:rsidR="007C64E4">
        <w:rPr>
          <w:rFonts w:asciiTheme="minorHAnsi" w:hAnsiTheme="minorHAnsi"/>
          <w:bCs/>
          <w:iCs/>
          <w:lang w:val="en-AU"/>
        </w:rPr>
        <w:t>f</w:t>
      </w:r>
      <w:r w:rsidR="00150701" w:rsidRPr="003F79CF">
        <w:rPr>
          <w:rFonts w:asciiTheme="minorHAnsi" w:hAnsiTheme="minorHAnsi"/>
          <w:bCs/>
          <w:iCs/>
          <w:lang w:val="en-AU"/>
        </w:rPr>
        <w:t xml:space="preserve">orum half day session </w:t>
      </w:r>
      <w:r w:rsidR="007C64E4">
        <w:rPr>
          <w:rFonts w:asciiTheme="minorHAnsi" w:hAnsiTheme="minorHAnsi"/>
          <w:bCs/>
          <w:iCs/>
          <w:lang w:val="en-AU"/>
        </w:rPr>
        <w:t>specifically targeting government</w:t>
      </w:r>
      <w:r w:rsidR="007C64E4" w:rsidRPr="003F79CF">
        <w:rPr>
          <w:rFonts w:asciiTheme="minorHAnsi" w:hAnsiTheme="minorHAnsi"/>
          <w:bCs/>
          <w:iCs/>
          <w:lang w:val="en-AU"/>
        </w:rPr>
        <w:t xml:space="preserve"> </w:t>
      </w:r>
      <w:r w:rsidR="00150701" w:rsidRPr="003F79CF">
        <w:rPr>
          <w:rFonts w:asciiTheme="minorHAnsi" w:hAnsiTheme="minorHAnsi"/>
          <w:bCs/>
          <w:iCs/>
          <w:lang w:val="en-AU"/>
        </w:rPr>
        <w:t>policy makers, designed around some key policy issues</w:t>
      </w:r>
      <w:r w:rsidR="00DD76C3">
        <w:rPr>
          <w:rFonts w:asciiTheme="minorHAnsi" w:hAnsiTheme="minorHAnsi"/>
          <w:bCs/>
          <w:iCs/>
          <w:lang w:val="en-AU"/>
        </w:rPr>
        <w:t>.</w:t>
      </w:r>
    </w:p>
    <w:p w14:paraId="34DD7998" w14:textId="78237AD7" w:rsidR="00150701" w:rsidRPr="003F79CF" w:rsidRDefault="00A377B0" w:rsidP="00A56021">
      <w:pPr>
        <w:pStyle w:val="BodyText"/>
        <w:rPr>
          <w:rFonts w:asciiTheme="minorHAnsi" w:hAnsiTheme="minorHAnsi"/>
          <w:bCs/>
          <w:lang w:val="en-AU"/>
        </w:rPr>
      </w:pPr>
      <w:r>
        <w:rPr>
          <w:rFonts w:asciiTheme="minorHAnsi" w:hAnsiTheme="minorHAnsi"/>
          <w:b/>
          <w:bCs/>
          <w:lang w:val="en-AU"/>
        </w:rPr>
        <w:t>7.</w:t>
      </w:r>
      <w:r w:rsidR="002F2F7B">
        <w:rPr>
          <w:rFonts w:asciiTheme="minorHAnsi" w:hAnsiTheme="minorHAnsi"/>
          <w:b/>
          <w:bCs/>
          <w:lang w:val="en-AU"/>
        </w:rPr>
        <w:t xml:space="preserve"> </w:t>
      </w:r>
      <w:r w:rsidR="00096BCB">
        <w:rPr>
          <w:rFonts w:asciiTheme="minorHAnsi" w:hAnsiTheme="minorHAnsi"/>
          <w:b/>
          <w:bCs/>
          <w:lang w:val="en-AU"/>
        </w:rPr>
        <w:t>International Water Management Institute</w:t>
      </w:r>
      <w:r w:rsidR="006B455F">
        <w:rPr>
          <w:rFonts w:asciiTheme="minorHAnsi" w:hAnsiTheme="minorHAnsi"/>
          <w:bCs/>
          <w:lang w:val="en-AU"/>
        </w:rPr>
        <w:t xml:space="preserve">: </w:t>
      </w:r>
      <w:r w:rsidR="00B80F05" w:rsidRPr="003F79CF">
        <w:rPr>
          <w:rFonts w:asciiTheme="minorHAnsi" w:hAnsiTheme="minorHAnsi"/>
          <w:bCs/>
          <w:lang w:val="en-AU"/>
        </w:rPr>
        <w:t>N</w:t>
      </w:r>
      <w:r w:rsidR="00150701" w:rsidRPr="003F79CF">
        <w:rPr>
          <w:rFonts w:asciiTheme="minorHAnsi" w:hAnsiTheme="minorHAnsi"/>
          <w:bCs/>
          <w:lang w:val="en-AU"/>
        </w:rPr>
        <w:t xml:space="preserve">eed to invest more in the policy dialogue and </w:t>
      </w:r>
      <w:r w:rsidR="00DD76C3">
        <w:rPr>
          <w:rFonts w:asciiTheme="minorHAnsi" w:hAnsiTheme="minorHAnsi"/>
          <w:bCs/>
          <w:lang w:val="en-AU"/>
        </w:rPr>
        <w:t>C</w:t>
      </w:r>
      <w:r w:rsidR="00150701" w:rsidRPr="003F79CF">
        <w:rPr>
          <w:rFonts w:asciiTheme="minorHAnsi" w:hAnsiTheme="minorHAnsi"/>
          <w:bCs/>
          <w:lang w:val="en-AU"/>
        </w:rPr>
        <w:t xml:space="preserve">oordination for </w:t>
      </w:r>
      <w:r w:rsidR="00DD76C3">
        <w:rPr>
          <w:rFonts w:asciiTheme="minorHAnsi" w:hAnsiTheme="minorHAnsi"/>
          <w:bCs/>
          <w:lang w:val="en-AU"/>
        </w:rPr>
        <w:t>C</w:t>
      </w:r>
      <w:r w:rsidR="00150701" w:rsidRPr="003F79CF">
        <w:rPr>
          <w:rFonts w:asciiTheme="minorHAnsi" w:hAnsiTheme="minorHAnsi"/>
          <w:bCs/>
          <w:lang w:val="en-AU"/>
        </w:rPr>
        <w:t xml:space="preserve">hange (C4C) component, to be carried out by a team of highly competent nationals from the Greater Mekong with a network of political connections at the decision-making level, and </w:t>
      </w:r>
      <w:r w:rsidR="000F05B0">
        <w:rPr>
          <w:rFonts w:asciiTheme="minorHAnsi" w:hAnsiTheme="minorHAnsi"/>
          <w:bCs/>
          <w:lang w:val="en-AU"/>
        </w:rPr>
        <w:t xml:space="preserve">ongoing </w:t>
      </w:r>
      <w:r w:rsidR="00150701" w:rsidRPr="003F79CF">
        <w:rPr>
          <w:rFonts w:asciiTheme="minorHAnsi" w:hAnsiTheme="minorHAnsi"/>
          <w:bCs/>
          <w:lang w:val="en-AU"/>
        </w:rPr>
        <w:t>commitment for effective policy lobbying/influence.</w:t>
      </w:r>
    </w:p>
    <w:p w14:paraId="7F8EC22D" w14:textId="6A185A2B" w:rsidR="00150701" w:rsidRPr="003F79CF" w:rsidRDefault="00A377B0" w:rsidP="00A56021">
      <w:pPr>
        <w:pStyle w:val="BodyText"/>
        <w:rPr>
          <w:rFonts w:asciiTheme="minorHAnsi" w:hAnsiTheme="minorHAnsi"/>
          <w:bCs/>
          <w:lang w:val="en-AU"/>
        </w:rPr>
      </w:pPr>
      <w:r>
        <w:rPr>
          <w:rFonts w:asciiTheme="minorHAnsi" w:hAnsiTheme="minorHAnsi"/>
          <w:b/>
          <w:bCs/>
          <w:lang w:val="en-AU"/>
        </w:rPr>
        <w:t>8.</w:t>
      </w:r>
      <w:r w:rsidR="002F2F7B">
        <w:rPr>
          <w:rFonts w:asciiTheme="minorHAnsi" w:hAnsiTheme="minorHAnsi"/>
          <w:b/>
          <w:bCs/>
          <w:lang w:val="en-AU"/>
        </w:rPr>
        <w:t xml:space="preserve"> </w:t>
      </w:r>
      <w:r w:rsidR="005579D9">
        <w:rPr>
          <w:rFonts w:asciiTheme="minorHAnsi" w:hAnsiTheme="minorHAnsi"/>
          <w:b/>
          <w:bCs/>
          <w:lang w:val="en-AU"/>
        </w:rPr>
        <w:t>International Finance Corporation</w:t>
      </w:r>
      <w:r w:rsidR="006B455F">
        <w:rPr>
          <w:rFonts w:asciiTheme="minorHAnsi" w:hAnsiTheme="minorHAnsi"/>
          <w:bCs/>
          <w:lang w:val="en-AU"/>
        </w:rPr>
        <w:t>:</w:t>
      </w:r>
      <w:r w:rsidR="00150701" w:rsidRPr="003F79CF">
        <w:rPr>
          <w:rFonts w:asciiTheme="minorHAnsi" w:hAnsiTheme="minorHAnsi"/>
          <w:bCs/>
          <w:lang w:val="en-AU"/>
        </w:rPr>
        <w:t xml:space="preserve"> The IFC team needs to be strengthened and would especially benefit from the addition of a senior policy officer/deputy team leader level position, considering </w:t>
      </w:r>
      <w:r w:rsidR="00B13EA3" w:rsidRPr="003F79CF">
        <w:rPr>
          <w:rFonts w:asciiTheme="minorHAnsi" w:hAnsiTheme="minorHAnsi"/>
          <w:bCs/>
          <w:lang w:val="en-AU"/>
        </w:rPr>
        <w:t>its increasing work-load</w:t>
      </w:r>
      <w:r w:rsidR="00150701" w:rsidRPr="003F79CF">
        <w:rPr>
          <w:rFonts w:asciiTheme="minorHAnsi" w:hAnsiTheme="minorHAnsi"/>
          <w:bCs/>
          <w:lang w:val="en-AU"/>
        </w:rPr>
        <w:t>.</w:t>
      </w:r>
    </w:p>
    <w:p w14:paraId="6370F665" w14:textId="41AD0629" w:rsidR="00D85BFB" w:rsidRPr="003F79CF" w:rsidRDefault="00A377B0" w:rsidP="00A56021">
      <w:pPr>
        <w:pStyle w:val="BodyText"/>
        <w:rPr>
          <w:rFonts w:asciiTheme="minorHAnsi" w:hAnsiTheme="minorHAnsi"/>
          <w:bCs/>
          <w:lang w:val="en-AU"/>
        </w:rPr>
      </w:pPr>
      <w:r>
        <w:rPr>
          <w:rFonts w:asciiTheme="minorHAnsi" w:hAnsiTheme="minorHAnsi"/>
          <w:b/>
          <w:bCs/>
          <w:lang w:val="en-AU"/>
        </w:rPr>
        <w:t>9.</w:t>
      </w:r>
      <w:r w:rsidR="002F2F7B">
        <w:rPr>
          <w:rFonts w:asciiTheme="minorHAnsi" w:hAnsiTheme="minorHAnsi"/>
          <w:b/>
          <w:bCs/>
          <w:lang w:val="en-AU"/>
        </w:rPr>
        <w:t xml:space="preserve"> </w:t>
      </w:r>
      <w:r w:rsidR="005579D9">
        <w:rPr>
          <w:rFonts w:asciiTheme="minorHAnsi" w:hAnsiTheme="minorHAnsi"/>
          <w:b/>
          <w:bCs/>
          <w:lang w:val="en-AU"/>
        </w:rPr>
        <w:t>Mekong River Commission</w:t>
      </w:r>
      <w:r w:rsidR="006B455F">
        <w:rPr>
          <w:rFonts w:asciiTheme="minorHAnsi" w:hAnsiTheme="minorHAnsi"/>
          <w:bCs/>
          <w:lang w:val="en-AU"/>
        </w:rPr>
        <w:t xml:space="preserve">: </w:t>
      </w:r>
      <w:r w:rsidR="00150701" w:rsidRPr="003F79CF">
        <w:rPr>
          <w:rFonts w:asciiTheme="minorHAnsi" w:hAnsiTheme="minorHAnsi"/>
          <w:bCs/>
          <w:lang w:val="en-AU"/>
        </w:rPr>
        <w:t xml:space="preserve">DFAT should continue its past and present </w:t>
      </w:r>
      <w:r w:rsidR="00B13EA3" w:rsidRPr="003F79CF">
        <w:rPr>
          <w:rFonts w:asciiTheme="minorHAnsi" w:hAnsiTheme="minorHAnsi"/>
          <w:bCs/>
          <w:lang w:val="en-AU"/>
        </w:rPr>
        <w:t xml:space="preserve">intensive effort to press for </w:t>
      </w:r>
      <w:r w:rsidR="00150701" w:rsidRPr="003F79CF">
        <w:rPr>
          <w:rFonts w:asciiTheme="minorHAnsi" w:hAnsiTheme="minorHAnsi"/>
          <w:bCs/>
          <w:lang w:val="en-AU"/>
        </w:rPr>
        <w:t xml:space="preserve">more meaningful public participation by MRC and help MRC </w:t>
      </w:r>
      <w:r w:rsidR="00B13EA3" w:rsidRPr="003F79CF">
        <w:rPr>
          <w:rFonts w:asciiTheme="minorHAnsi" w:hAnsiTheme="minorHAnsi"/>
          <w:bCs/>
          <w:lang w:val="en-AU"/>
        </w:rPr>
        <w:t xml:space="preserve">together </w:t>
      </w:r>
      <w:r w:rsidR="00150701" w:rsidRPr="003F79CF">
        <w:rPr>
          <w:rFonts w:asciiTheme="minorHAnsi" w:hAnsiTheme="minorHAnsi"/>
          <w:bCs/>
          <w:lang w:val="en-AU"/>
        </w:rPr>
        <w:t xml:space="preserve">with other </w:t>
      </w:r>
      <w:r w:rsidR="005579D9">
        <w:rPr>
          <w:rFonts w:asciiTheme="minorHAnsi" w:hAnsiTheme="minorHAnsi"/>
          <w:bCs/>
          <w:lang w:val="en-AU"/>
        </w:rPr>
        <w:t>development partners</w:t>
      </w:r>
      <w:r w:rsidR="00150701" w:rsidRPr="003F79CF">
        <w:rPr>
          <w:rFonts w:asciiTheme="minorHAnsi" w:hAnsiTheme="minorHAnsi"/>
          <w:bCs/>
          <w:lang w:val="en-AU"/>
        </w:rPr>
        <w:t xml:space="preserve">, such as Germany, </w:t>
      </w:r>
      <w:r w:rsidR="005579D9">
        <w:rPr>
          <w:rFonts w:asciiTheme="minorHAnsi" w:hAnsiTheme="minorHAnsi"/>
          <w:bCs/>
          <w:lang w:val="en-AU"/>
        </w:rPr>
        <w:t>Switzerland, European Union</w:t>
      </w:r>
      <w:r w:rsidR="00150701" w:rsidRPr="003F79CF">
        <w:rPr>
          <w:rFonts w:asciiTheme="minorHAnsi" w:hAnsiTheme="minorHAnsi"/>
          <w:bCs/>
          <w:lang w:val="en-AU"/>
        </w:rPr>
        <w:t xml:space="preserve"> etc., to ensure that the </w:t>
      </w:r>
      <w:r w:rsidR="00096BCB">
        <w:rPr>
          <w:rFonts w:asciiTheme="minorHAnsi" w:hAnsiTheme="minorHAnsi"/>
          <w:bCs/>
          <w:lang w:val="en-AU"/>
        </w:rPr>
        <w:t>MRC Procedures for Notification, Prior Consultation and Agreement (</w:t>
      </w:r>
      <w:r w:rsidR="00150701" w:rsidRPr="003F79CF">
        <w:rPr>
          <w:rFonts w:asciiTheme="minorHAnsi" w:hAnsiTheme="minorHAnsi"/>
          <w:bCs/>
          <w:lang w:val="en-AU"/>
        </w:rPr>
        <w:t>PNPCA</w:t>
      </w:r>
      <w:r w:rsidR="00096BCB">
        <w:rPr>
          <w:rFonts w:asciiTheme="minorHAnsi" w:hAnsiTheme="minorHAnsi"/>
          <w:bCs/>
          <w:lang w:val="en-AU"/>
        </w:rPr>
        <w:t>)</w:t>
      </w:r>
      <w:r w:rsidR="00150701" w:rsidRPr="003F79CF">
        <w:rPr>
          <w:rFonts w:asciiTheme="minorHAnsi" w:hAnsiTheme="minorHAnsi"/>
          <w:bCs/>
          <w:lang w:val="en-AU"/>
        </w:rPr>
        <w:t xml:space="preserve"> and the MRC Council Study are conducted effectively and efficiently to inform transboundary river basin development that will be fair, sustainable and inclusive. </w:t>
      </w:r>
      <w:r w:rsidR="00BA6B4E" w:rsidRPr="003F79CF">
        <w:rPr>
          <w:rFonts w:asciiTheme="minorHAnsi" w:hAnsiTheme="minorHAnsi"/>
          <w:bCs/>
          <w:lang w:val="en-AU"/>
        </w:rPr>
        <w:t xml:space="preserve"> </w:t>
      </w:r>
    </w:p>
    <w:p w14:paraId="2A560865" w14:textId="59DD2AA4" w:rsidR="005672F3" w:rsidRPr="003F79CF" w:rsidRDefault="005A493D" w:rsidP="00A56021">
      <w:pPr>
        <w:pStyle w:val="BodyText"/>
        <w:rPr>
          <w:rFonts w:asciiTheme="minorHAnsi" w:hAnsiTheme="minorHAnsi"/>
          <w:bCs/>
          <w:lang w:val="en-AU"/>
        </w:rPr>
      </w:pPr>
      <w:r>
        <w:rPr>
          <w:rFonts w:asciiTheme="minorHAnsi" w:hAnsiTheme="minorHAnsi"/>
          <w:b/>
          <w:bCs/>
          <w:lang w:val="en-AU"/>
        </w:rPr>
        <w:t>10.</w:t>
      </w:r>
      <w:r w:rsidR="002F2F7B">
        <w:rPr>
          <w:rFonts w:asciiTheme="minorHAnsi" w:hAnsiTheme="minorHAnsi"/>
          <w:b/>
          <w:bCs/>
          <w:lang w:val="en-AU"/>
        </w:rPr>
        <w:t xml:space="preserve"> </w:t>
      </w:r>
      <w:r w:rsidR="005579D9">
        <w:rPr>
          <w:rFonts w:asciiTheme="minorHAnsi" w:hAnsiTheme="minorHAnsi"/>
          <w:b/>
          <w:bCs/>
          <w:lang w:val="en-AU"/>
        </w:rPr>
        <w:t>Mekong River Commission</w:t>
      </w:r>
      <w:r w:rsidR="002F01E2" w:rsidRPr="003F79CF">
        <w:rPr>
          <w:rFonts w:asciiTheme="minorHAnsi" w:hAnsiTheme="minorHAnsi"/>
          <w:bCs/>
          <w:lang w:val="en-AU"/>
        </w:rPr>
        <w:t xml:space="preserve">: </w:t>
      </w:r>
      <w:r w:rsidR="00150701" w:rsidRPr="003F79CF">
        <w:rPr>
          <w:rFonts w:asciiTheme="minorHAnsi" w:hAnsiTheme="minorHAnsi"/>
          <w:bCs/>
          <w:lang w:val="en-AU"/>
        </w:rPr>
        <w:t>DFAT should continue to push for the adoption and public release of the lessons learned from the prior notification exercises and help to address identified issues affecting the PNPCA; and should continue to support the understanding of the implementation of the PNPCA as just one part of a broader set of necessary activities that make up a Pre-PNPCA; PNPCA; and Post-PNPCA life-cycle.</w:t>
      </w:r>
    </w:p>
    <w:p w14:paraId="1D0C2705" w14:textId="0B2A988D" w:rsidR="00BA6B4E" w:rsidRPr="003F79CF" w:rsidRDefault="005A493D" w:rsidP="00A56021">
      <w:pPr>
        <w:pStyle w:val="BodyText"/>
        <w:rPr>
          <w:rFonts w:asciiTheme="minorHAnsi" w:hAnsiTheme="minorHAnsi"/>
          <w:lang w:val="en-AU"/>
        </w:rPr>
      </w:pPr>
      <w:r>
        <w:rPr>
          <w:rFonts w:asciiTheme="minorHAnsi" w:hAnsiTheme="minorHAnsi"/>
          <w:b/>
          <w:lang w:val="en-AU"/>
        </w:rPr>
        <w:t>11.</w:t>
      </w:r>
      <w:r w:rsidR="002F2F7B">
        <w:rPr>
          <w:rFonts w:asciiTheme="minorHAnsi" w:hAnsiTheme="minorHAnsi"/>
          <w:b/>
          <w:lang w:val="en-AU"/>
        </w:rPr>
        <w:t xml:space="preserve"> </w:t>
      </w:r>
      <w:r w:rsidR="00BA6B4E" w:rsidRPr="003F79CF">
        <w:rPr>
          <w:rFonts w:asciiTheme="minorHAnsi" w:hAnsiTheme="minorHAnsi"/>
          <w:b/>
          <w:lang w:val="en-AU"/>
        </w:rPr>
        <w:t>Gender</w:t>
      </w:r>
      <w:r w:rsidR="006B455F">
        <w:rPr>
          <w:rFonts w:asciiTheme="minorHAnsi" w:hAnsiTheme="minorHAnsi"/>
          <w:lang w:val="en-AU"/>
        </w:rPr>
        <w:t xml:space="preserve">: </w:t>
      </w:r>
      <w:r w:rsidR="000B3095" w:rsidRPr="003F79CF">
        <w:rPr>
          <w:rFonts w:asciiTheme="minorHAnsi" w:hAnsiTheme="minorHAnsi"/>
          <w:lang w:val="en-AU"/>
        </w:rPr>
        <w:t xml:space="preserve">While considerable progress has been made on gender issues particularly by Oxfam, and through some IWMI investments, </w:t>
      </w:r>
      <w:r w:rsidR="00F473D2" w:rsidRPr="003F79CF">
        <w:rPr>
          <w:rFonts w:asciiTheme="minorHAnsi" w:hAnsiTheme="minorHAnsi"/>
          <w:lang w:val="en-AU"/>
        </w:rPr>
        <w:t xml:space="preserve">and a new gender and hydropower initiative is being kicked off in Myanmar, </w:t>
      </w:r>
      <w:r w:rsidR="000B3095" w:rsidRPr="003F79CF">
        <w:rPr>
          <w:rFonts w:asciiTheme="minorHAnsi" w:hAnsiTheme="minorHAnsi"/>
          <w:lang w:val="en-AU"/>
        </w:rPr>
        <w:t xml:space="preserve">more </w:t>
      </w:r>
      <w:r w:rsidR="00F473D2" w:rsidRPr="003F79CF">
        <w:rPr>
          <w:rFonts w:asciiTheme="minorHAnsi" w:hAnsiTheme="minorHAnsi"/>
          <w:lang w:val="en-AU"/>
        </w:rPr>
        <w:t xml:space="preserve">can still </w:t>
      </w:r>
      <w:r w:rsidR="000B3095" w:rsidRPr="003F79CF">
        <w:rPr>
          <w:rFonts w:asciiTheme="minorHAnsi" w:hAnsiTheme="minorHAnsi"/>
          <w:lang w:val="en-AU"/>
        </w:rPr>
        <w:t xml:space="preserve">be done. </w:t>
      </w:r>
      <w:r w:rsidR="00BA6B4E" w:rsidRPr="003F79CF">
        <w:rPr>
          <w:rFonts w:asciiTheme="minorHAnsi" w:hAnsiTheme="minorHAnsi"/>
          <w:lang w:val="en-AU"/>
        </w:rPr>
        <w:t>Implementing Partners</w:t>
      </w:r>
      <w:r w:rsidR="000B3095" w:rsidRPr="003F79CF">
        <w:rPr>
          <w:rFonts w:asciiTheme="minorHAnsi" w:hAnsiTheme="minorHAnsi"/>
          <w:lang w:val="en-AU"/>
        </w:rPr>
        <w:t xml:space="preserve"> (particularly MRC)</w:t>
      </w:r>
      <w:r w:rsidR="00BA6B4E" w:rsidRPr="003F79CF">
        <w:rPr>
          <w:rFonts w:asciiTheme="minorHAnsi" w:hAnsiTheme="minorHAnsi"/>
          <w:lang w:val="en-AU"/>
        </w:rPr>
        <w:t xml:space="preserve"> would benefit from systematically strengthening their own internal organisational </w:t>
      </w:r>
      <w:r w:rsidR="00F473D2" w:rsidRPr="003F79CF">
        <w:rPr>
          <w:rFonts w:asciiTheme="minorHAnsi" w:hAnsiTheme="minorHAnsi"/>
          <w:lang w:val="en-AU"/>
        </w:rPr>
        <w:t xml:space="preserve">gender capacity and giving gender issues greater </w:t>
      </w:r>
      <w:r w:rsidR="00BA6B4E" w:rsidRPr="003F79CF">
        <w:rPr>
          <w:rFonts w:asciiTheme="minorHAnsi" w:hAnsiTheme="minorHAnsi"/>
          <w:lang w:val="en-AU"/>
        </w:rPr>
        <w:t xml:space="preserve">priority </w:t>
      </w:r>
      <w:r w:rsidR="00F473D2" w:rsidRPr="003F79CF">
        <w:rPr>
          <w:rFonts w:asciiTheme="minorHAnsi" w:hAnsiTheme="minorHAnsi"/>
          <w:lang w:val="en-AU"/>
        </w:rPr>
        <w:t xml:space="preserve">and visibility </w:t>
      </w:r>
      <w:r w:rsidR="00BA6B4E" w:rsidRPr="003F79CF">
        <w:rPr>
          <w:rFonts w:asciiTheme="minorHAnsi" w:hAnsiTheme="minorHAnsi"/>
          <w:lang w:val="en-AU"/>
        </w:rPr>
        <w:t xml:space="preserve">in the investment </w:t>
      </w:r>
      <w:r w:rsidR="00F473D2" w:rsidRPr="003F79CF">
        <w:rPr>
          <w:rFonts w:asciiTheme="minorHAnsi" w:hAnsiTheme="minorHAnsi"/>
          <w:lang w:val="en-AU"/>
        </w:rPr>
        <w:t xml:space="preserve">of their </w:t>
      </w:r>
      <w:r w:rsidR="00BA6B4E" w:rsidRPr="003F79CF">
        <w:rPr>
          <w:rFonts w:asciiTheme="minorHAnsi" w:hAnsiTheme="minorHAnsi"/>
          <w:lang w:val="en-AU"/>
        </w:rPr>
        <w:t>projects and program</w:t>
      </w:r>
      <w:r w:rsidR="00F473D2" w:rsidRPr="003F79CF">
        <w:rPr>
          <w:rFonts w:asciiTheme="minorHAnsi" w:hAnsiTheme="minorHAnsi"/>
          <w:lang w:val="en-AU"/>
        </w:rPr>
        <w:t>s.</w:t>
      </w:r>
    </w:p>
    <w:p w14:paraId="0136A6FA" w14:textId="423233E6" w:rsidR="00BA6B4E" w:rsidRPr="003F79CF" w:rsidRDefault="005A493D" w:rsidP="00A56021">
      <w:pPr>
        <w:pStyle w:val="BodyText"/>
        <w:rPr>
          <w:rFonts w:asciiTheme="minorHAnsi" w:hAnsiTheme="minorHAnsi"/>
          <w:lang w:val="en-AU"/>
        </w:rPr>
      </w:pPr>
      <w:r>
        <w:rPr>
          <w:rFonts w:asciiTheme="minorHAnsi" w:hAnsiTheme="minorHAnsi"/>
          <w:b/>
          <w:lang w:val="en-AU"/>
        </w:rPr>
        <w:lastRenderedPageBreak/>
        <w:t>12.</w:t>
      </w:r>
      <w:r w:rsidR="002F2F7B">
        <w:rPr>
          <w:rFonts w:asciiTheme="minorHAnsi" w:hAnsiTheme="minorHAnsi"/>
          <w:b/>
          <w:lang w:val="en-AU"/>
        </w:rPr>
        <w:t xml:space="preserve"> </w:t>
      </w:r>
      <w:r w:rsidR="00BA6B4E" w:rsidRPr="003F79CF">
        <w:rPr>
          <w:rFonts w:asciiTheme="minorHAnsi" w:hAnsiTheme="minorHAnsi"/>
          <w:b/>
          <w:lang w:val="en-AU"/>
        </w:rPr>
        <w:t>Communication</w:t>
      </w:r>
      <w:r w:rsidR="00BA6B4E" w:rsidRPr="003F79CF">
        <w:rPr>
          <w:rFonts w:asciiTheme="minorHAnsi" w:hAnsiTheme="minorHAnsi"/>
          <w:lang w:val="en-AU"/>
        </w:rPr>
        <w:t xml:space="preserve">: </w:t>
      </w:r>
      <w:r w:rsidR="00421F5F" w:rsidRPr="003F79CF">
        <w:rPr>
          <w:rFonts w:asciiTheme="minorHAnsi" w:hAnsiTheme="minorHAnsi"/>
          <w:lang w:val="en-AU"/>
        </w:rPr>
        <w:t xml:space="preserve">While the DFAT </w:t>
      </w:r>
      <w:r w:rsidR="00DD76C3">
        <w:rPr>
          <w:rFonts w:asciiTheme="minorHAnsi" w:hAnsiTheme="minorHAnsi"/>
          <w:lang w:val="en-AU"/>
        </w:rPr>
        <w:t xml:space="preserve">Greater </w:t>
      </w:r>
      <w:r w:rsidR="00E953C7">
        <w:rPr>
          <w:rFonts w:asciiTheme="minorHAnsi" w:hAnsiTheme="minorHAnsi"/>
          <w:lang w:val="en-AU"/>
        </w:rPr>
        <w:t xml:space="preserve">Mekong </w:t>
      </w:r>
      <w:r w:rsidR="00421F5F" w:rsidRPr="003F79CF">
        <w:rPr>
          <w:rFonts w:asciiTheme="minorHAnsi" w:hAnsiTheme="minorHAnsi"/>
          <w:lang w:val="en-AU"/>
        </w:rPr>
        <w:t>Water team may not</w:t>
      </w:r>
      <w:r w:rsidR="00CA2E97">
        <w:rPr>
          <w:rFonts w:asciiTheme="minorHAnsi" w:hAnsiTheme="minorHAnsi"/>
          <w:lang w:val="en-AU"/>
        </w:rPr>
        <w:t xml:space="preserve"> need to communicate </w:t>
      </w:r>
      <w:r w:rsidR="003D0B4B">
        <w:rPr>
          <w:rFonts w:asciiTheme="minorHAnsi" w:hAnsiTheme="minorHAnsi"/>
          <w:lang w:val="en-AU"/>
        </w:rPr>
        <w:t>on all aspects of the program on</w:t>
      </w:r>
      <w:r w:rsidR="00CA2E97">
        <w:rPr>
          <w:rFonts w:asciiTheme="minorHAnsi" w:hAnsiTheme="minorHAnsi"/>
          <w:lang w:val="en-AU"/>
        </w:rPr>
        <w:t xml:space="preserve"> every occasion,</w:t>
      </w:r>
      <w:r w:rsidR="00421F5F" w:rsidRPr="003F79CF">
        <w:rPr>
          <w:rFonts w:asciiTheme="minorHAnsi" w:hAnsiTheme="minorHAnsi"/>
          <w:lang w:val="en-AU"/>
        </w:rPr>
        <w:t xml:space="preserve"> this should be balanced against the possible benefits of clearly communicating DFAT’s support for a cohesive programme to other development partners, to the citizens of the region and to the Australian tax-payers.</w:t>
      </w:r>
    </w:p>
    <w:p w14:paraId="3DF68E01" w14:textId="268161B9" w:rsidR="00421F5F" w:rsidRPr="003F79CF" w:rsidRDefault="005A493D" w:rsidP="00A56021">
      <w:pPr>
        <w:pStyle w:val="BodyText"/>
        <w:rPr>
          <w:rFonts w:asciiTheme="minorHAnsi" w:hAnsiTheme="minorHAnsi"/>
          <w:lang w:val="en-AU"/>
        </w:rPr>
      </w:pPr>
      <w:r w:rsidRPr="002F2F7B">
        <w:rPr>
          <w:rFonts w:asciiTheme="minorHAnsi" w:hAnsiTheme="minorHAnsi"/>
          <w:b/>
          <w:lang w:val="en-AU"/>
        </w:rPr>
        <w:t>13</w:t>
      </w:r>
      <w:r>
        <w:rPr>
          <w:rFonts w:asciiTheme="minorHAnsi" w:hAnsiTheme="minorHAnsi"/>
          <w:lang w:val="en-AU"/>
        </w:rPr>
        <w:t>.</w:t>
      </w:r>
      <w:r w:rsidR="002F2F7B">
        <w:rPr>
          <w:rFonts w:asciiTheme="minorHAnsi" w:hAnsiTheme="minorHAnsi"/>
          <w:lang w:val="en-AU"/>
        </w:rPr>
        <w:t xml:space="preserve"> </w:t>
      </w:r>
      <w:r w:rsidR="00421F5F" w:rsidRPr="003F79CF">
        <w:rPr>
          <w:rFonts w:asciiTheme="minorHAnsi" w:hAnsiTheme="minorHAnsi"/>
          <w:lang w:val="en-AU"/>
        </w:rPr>
        <w:t>Implementing partners should work together with the DFAT</w:t>
      </w:r>
      <w:r w:rsidR="00E953C7">
        <w:rPr>
          <w:rFonts w:asciiTheme="minorHAnsi" w:hAnsiTheme="minorHAnsi"/>
          <w:lang w:val="en-AU"/>
        </w:rPr>
        <w:t xml:space="preserve"> Greater</w:t>
      </w:r>
      <w:r w:rsidR="00421F5F" w:rsidRPr="003F79CF">
        <w:rPr>
          <w:rFonts w:asciiTheme="minorHAnsi" w:hAnsiTheme="minorHAnsi"/>
          <w:lang w:val="en-AU"/>
        </w:rPr>
        <w:t xml:space="preserve"> Mekong Water Team to develop some GMWRP program-level communications products. These would be useful for raising the profile of the program as a whole, as well as communicating some of the key program level messages on water governance to specific target audiences. This would have the added benefit of fostering additional collaboration between the implementing partners.</w:t>
      </w:r>
    </w:p>
    <w:p w14:paraId="42DA0E48" w14:textId="6A8738A2" w:rsidR="005672F3" w:rsidRPr="00A56021" w:rsidRDefault="005672F3" w:rsidP="00A56021">
      <w:pPr>
        <w:pStyle w:val="BodyText"/>
        <w:rPr>
          <w:rFonts w:asciiTheme="minorHAnsi" w:hAnsiTheme="minorHAnsi"/>
          <w:b/>
          <w:sz w:val="24"/>
          <w:u w:val="single"/>
          <w:lang w:val="en-AU"/>
        </w:rPr>
      </w:pPr>
      <w:r w:rsidRPr="00A56021">
        <w:rPr>
          <w:rFonts w:asciiTheme="minorHAnsi" w:hAnsiTheme="minorHAnsi"/>
          <w:b/>
          <w:sz w:val="24"/>
          <w:u w:val="single"/>
          <w:lang w:val="en-AU"/>
        </w:rPr>
        <w:t>Sustaining Australian engagement in Greater Mekong water governance</w:t>
      </w:r>
    </w:p>
    <w:p w14:paraId="184894C5" w14:textId="2BEB4005" w:rsidR="00524F13" w:rsidRPr="003F79CF" w:rsidRDefault="005A493D" w:rsidP="00A56021">
      <w:pPr>
        <w:pStyle w:val="BodyText"/>
        <w:rPr>
          <w:rFonts w:asciiTheme="minorHAnsi" w:hAnsiTheme="minorHAnsi"/>
          <w:lang w:val="en-AU"/>
        </w:rPr>
      </w:pPr>
      <w:r w:rsidRPr="003F79CF">
        <w:rPr>
          <w:rFonts w:asciiTheme="minorHAnsi" w:hAnsiTheme="minorHAnsi"/>
          <w:b/>
          <w:lang w:val="en-AU"/>
        </w:rPr>
        <w:t>14.</w:t>
      </w:r>
      <w:r w:rsidR="002F2F7B">
        <w:rPr>
          <w:rFonts w:asciiTheme="minorHAnsi" w:hAnsiTheme="minorHAnsi"/>
          <w:b/>
          <w:lang w:val="en-AU"/>
        </w:rPr>
        <w:t xml:space="preserve"> </w:t>
      </w:r>
      <w:r w:rsidR="00524F13" w:rsidRPr="003F79CF">
        <w:rPr>
          <w:rFonts w:asciiTheme="minorHAnsi" w:hAnsiTheme="minorHAnsi"/>
          <w:b/>
          <w:lang w:val="en-AU"/>
        </w:rPr>
        <w:t>Meaningful coordination</w:t>
      </w:r>
      <w:r w:rsidR="00524F13" w:rsidRPr="003F79CF">
        <w:rPr>
          <w:rFonts w:asciiTheme="minorHAnsi" w:hAnsiTheme="minorHAnsi"/>
          <w:lang w:val="en-AU"/>
        </w:rPr>
        <w:t>: W</w:t>
      </w:r>
      <w:r w:rsidR="00524F13" w:rsidRPr="003F79CF">
        <w:rPr>
          <w:rFonts w:asciiTheme="minorHAnsi" w:hAnsiTheme="minorHAnsi" w:cstheme="minorHAnsi"/>
          <w:lang w:val="en-AU"/>
        </w:rPr>
        <w:t>hile recogni</w:t>
      </w:r>
      <w:r w:rsidR="00340706">
        <w:rPr>
          <w:rFonts w:asciiTheme="minorHAnsi" w:hAnsiTheme="minorHAnsi" w:cstheme="minorHAnsi"/>
          <w:lang w:val="en-AU"/>
        </w:rPr>
        <w:t>s</w:t>
      </w:r>
      <w:r w:rsidR="00524F13" w:rsidRPr="003F79CF">
        <w:rPr>
          <w:rFonts w:asciiTheme="minorHAnsi" w:hAnsiTheme="minorHAnsi" w:cstheme="minorHAnsi"/>
          <w:lang w:val="en-AU"/>
        </w:rPr>
        <w:t>ing diversity among the implementing partners, it is critical to have a better strategy to overcome the existing silo mentality of a diverse group of actors, and is important for a more systematic follow-up and materiali</w:t>
      </w:r>
      <w:r w:rsidR="00340706">
        <w:rPr>
          <w:rFonts w:asciiTheme="minorHAnsi" w:hAnsiTheme="minorHAnsi" w:cstheme="minorHAnsi"/>
          <w:lang w:val="en-AU"/>
        </w:rPr>
        <w:t>s</w:t>
      </w:r>
      <w:r w:rsidR="00524F13" w:rsidRPr="003F79CF">
        <w:rPr>
          <w:rFonts w:asciiTheme="minorHAnsi" w:hAnsiTheme="minorHAnsi" w:cstheme="minorHAnsi"/>
          <w:lang w:val="en-AU"/>
        </w:rPr>
        <w:t xml:space="preserve">ation of the promised actions and collaborations. </w:t>
      </w:r>
    </w:p>
    <w:p w14:paraId="50F01719" w14:textId="170DB37B" w:rsidR="00524F13" w:rsidRPr="003F79CF" w:rsidRDefault="005A493D" w:rsidP="00A56021">
      <w:pPr>
        <w:pStyle w:val="BodyText"/>
        <w:rPr>
          <w:rFonts w:asciiTheme="minorHAnsi" w:hAnsiTheme="minorHAnsi"/>
          <w:bCs/>
          <w:lang w:val="en-AU"/>
        </w:rPr>
      </w:pPr>
      <w:r w:rsidRPr="003F79CF">
        <w:rPr>
          <w:rFonts w:asciiTheme="minorHAnsi" w:hAnsiTheme="minorHAnsi" w:cstheme="minorHAnsi"/>
          <w:b/>
          <w:bCs/>
          <w:lang w:val="en-AU"/>
        </w:rPr>
        <w:t>15.</w:t>
      </w:r>
      <w:r w:rsidR="002F2F7B">
        <w:rPr>
          <w:rFonts w:asciiTheme="minorHAnsi" w:hAnsiTheme="minorHAnsi" w:cstheme="minorHAnsi"/>
          <w:b/>
          <w:bCs/>
          <w:lang w:val="en-AU"/>
        </w:rPr>
        <w:t xml:space="preserve"> </w:t>
      </w:r>
      <w:r w:rsidR="006B455F">
        <w:rPr>
          <w:rFonts w:asciiTheme="minorHAnsi" w:hAnsiTheme="minorHAnsi" w:cstheme="minorHAnsi"/>
          <w:b/>
          <w:bCs/>
          <w:lang w:val="en-AU"/>
        </w:rPr>
        <w:t>Program s</w:t>
      </w:r>
      <w:r w:rsidR="00524F13" w:rsidRPr="003F79CF">
        <w:rPr>
          <w:rFonts w:asciiTheme="minorHAnsi" w:hAnsiTheme="minorHAnsi" w:cstheme="minorHAnsi"/>
          <w:b/>
          <w:bCs/>
          <w:lang w:val="en-AU"/>
        </w:rPr>
        <w:t>taff</w:t>
      </w:r>
      <w:r w:rsidR="00524F13" w:rsidRPr="003F79CF">
        <w:rPr>
          <w:rFonts w:asciiTheme="minorHAnsi" w:hAnsiTheme="minorHAnsi" w:cstheme="minorHAnsi"/>
          <w:bCs/>
          <w:lang w:val="en-AU"/>
        </w:rPr>
        <w:t>: DFAT</w:t>
      </w:r>
      <w:r w:rsidR="00E953C7">
        <w:rPr>
          <w:rFonts w:asciiTheme="minorHAnsi" w:hAnsiTheme="minorHAnsi" w:cstheme="minorHAnsi"/>
          <w:bCs/>
          <w:lang w:val="en-AU"/>
        </w:rPr>
        <w:t xml:space="preserve"> Greater</w:t>
      </w:r>
      <w:r w:rsidR="00524F13" w:rsidRPr="003F79CF">
        <w:rPr>
          <w:rFonts w:asciiTheme="minorHAnsi" w:hAnsiTheme="minorHAnsi" w:cstheme="minorHAnsi"/>
          <w:bCs/>
          <w:lang w:val="en-AU"/>
        </w:rPr>
        <w:t xml:space="preserve"> Mekong Water Team staff level of effort and staff turn-over ne</w:t>
      </w:r>
      <w:r w:rsidR="00CA2E97">
        <w:rPr>
          <w:rFonts w:asciiTheme="minorHAnsi" w:hAnsiTheme="minorHAnsi" w:cstheme="minorHAnsi"/>
          <w:bCs/>
          <w:lang w:val="en-AU"/>
        </w:rPr>
        <w:t>ed to be carefully planned for.</w:t>
      </w:r>
    </w:p>
    <w:p w14:paraId="21E0F2FF" w14:textId="45470DC6" w:rsidR="00150701" w:rsidRPr="003F79CF" w:rsidRDefault="005A493D" w:rsidP="00A56021">
      <w:pPr>
        <w:pStyle w:val="BodyText"/>
        <w:rPr>
          <w:rFonts w:asciiTheme="minorHAnsi" w:hAnsiTheme="minorHAnsi" w:cs="RijksoverheidSerif"/>
          <w:color w:val="000000"/>
          <w:lang w:val="en-AU"/>
        </w:rPr>
      </w:pPr>
      <w:r w:rsidRPr="003F79CF">
        <w:rPr>
          <w:rFonts w:asciiTheme="minorHAnsi" w:hAnsiTheme="minorHAnsi" w:cs="Arial"/>
          <w:b/>
          <w:iCs/>
          <w:lang w:val="en-AU" w:bidi="th-TH"/>
        </w:rPr>
        <w:t>16.</w:t>
      </w:r>
      <w:r w:rsidR="002F2F7B">
        <w:rPr>
          <w:rFonts w:asciiTheme="minorHAnsi" w:hAnsiTheme="minorHAnsi" w:cs="Arial"/>
          <w:b/>
          <w:iCs/>
          <w:lang w:val="en-AU" w:bidi="th-TH"/>
        </w:rPr>
        <w:t xml:space="preserve"> </w:t>
      </w:r>
      <w:r w:rsidR="00524F13" w:rsidRPr="003F79CF">
        <w:rPr>
          <w:rFonts w:asciiTheme="minorHAnsi" w:hAnsiTheme="minorHAnsi" w:cs="Arial"/>
          <w:b/>
          <w:iCs/>
          <w:lang w:val="en-AU" w:bidi="th-TH"/>
        </w:rPr>
        <w:t>Sust</w:t>
      </w:r>
      <w:r w:rsidR="006B455F">
        <w:rPr>
          <w:rFonts w:asciiTheme="minorHAnsi" w:hAnsiTheme="minorHAnsi" w:cs="Arial"/>
          <w:b/>
          <w:iCs/>
          <w:lang w:val="en-AU" w:bidi="th-TH"/>
        </w:rPr>
        <w:t>aining e</w:t>
      </w:r>
      <w:r w:rsidR="00524F13" w:rsidRPr="003F79CF">
        <w:rPr>
          <w:rFonts w:asciiTheme="minorHAnsi" w:hAnsiTheme="minorHAnsi" w:cs="Arial"/>
          <w:b/>
          <w:iCs/>
          <w:lang w:val="en-AU" w:bidi="th-TH"/>
        </w:rPr>
        <w:t>ngagement</w:t>
      </w:r>
      <w:r w:rsidR="00524F13" w:rsidRPr="003F79CF">
        <w:rPr>
          <w:rFonts w:asciiTheme="minorHAnsi" w:hAnsiTheme="minorHAnsi" w:cs="Arial"/>
          <w:iCs/>
          <w:lang w:val="en-AU" w:bidi="th-TH"/>
        </w:rPr>
        <w:t>: Achieving effective river basin governance and management requires 20-30 year engagements</w:t>
      </w:r>
      <w:r w:rsidR="00096BCB">
        <w:rPr>
          <w:rFonts w:asciiTheme="minorHAnsi" w:hAnsiTheme="minorHAnsi" w:cs="Arial"/>
          <w:iCs/>
          <w:lang w:val="en-AU" w:bidi="th-TH"/>
        </w:rPr>
        <w:t>.</w:t>
      </w:r>
    </w:p>
    <w:p w14:paraId="195AFDD7" w14:textId="7409EBC0" w:rsidR="001F2D58" w:rsidRPr="002E0D8A" w:rsidRDefault="001F2D58" w:rsidP="00A56021">
      <w:pPr>
        <w:pStyle w:val="BodyText"/>
        <w:rPr>
          <w:rFonts w:asciiTheme="minorHAnsi" w:hAnsiTheme="minorHAnsi"/>
          <w:lang w:val="en-AU"/>
        </w:rPr>
        <w:sectPr w:rsidR="001F2D58" w:rsidRPr="002E0D8A" w:rsidSect="00A26CC6">
          <w:headerReference w:type="default" r:id="rId16"/>
          <w:footerReference w:type="default" r:id="rId17"/>
          <w:pgSz w:w="11909" w:h="16834" w:code="9"/>
          <w:pgMar w:top="1134" w:right="990" w:bottom="1440" w:left="1440" w:header="720" w:footer="720" w:gutter="0"/>
          <w:pgNumType w:fmt="lowerRoman" w:start="1"/>
          <w:cols w:space="720"/>
          <w:docGrid w:linePitch="360"/>
        </w:sectPr>
      </w:pPr>
    </w:p>
    <w:p w14:paraId="29320CD4" w14:textId="4A91BC6E" w:rsidR="00E40FA4" w:rsidRPr="002E0D8A" w:rsidRDefault="00C32435" w:rsidP="00E40FA4">
      <w:pPr>
        <w:pStyle w:val="Heading1"/>
        <w:tabs>
          <w:tab w:val="clear" w:pos="851"/>
          <w:tab w:val="num" w:pos="1080"/>
        </w:tabs>
        <w:spacing w:after="140"/>
        <w:ind w:left="1080" w:hanging="1080"/>
        <w:rPr>
          <w:lang w:val="en-AU"/>
        </w:rPr>
      </w:pPr>
      <w:bookmarkStart w:id="16" w:name="_Toc470715844"/>
      <w:bookmarkStart w:id="17" w:name="_Toc475358463"/>
      <w:bookmarkStart w:id="18" w:name="_Ref428871669"/>
      <w:bookmarkStart w:id="19" w:name="_Toc373100527"/>
      <w:bookmarkStart w:id="20" w:name="_Toc373100497"/>
      <w:bookmarkEnd w:id="15"/>
      <w:r>
        <w:rPr>
          <w:lang w:val="en-AU"/>
        </w:rPr>
        <w:lastRenderedPageBreak/>
        <w:t>I</w:t>
      </w:r>
      <w:r w:rsidR="00E40FA4" w:rsidRPr="002E0D8A">
        <w:rPr>
          <w:lang w:val="en-AU"/>
        </w:rPr>
        <w:t>ntroduction</w:t>
      </w:r>
      <w:bookmarkEnd w:id="16"/>
      <w:bookmarkEnd w:id="17"/>
    </w:p>
    <w:p w14:paraId="17B86B97" w14:textId="16F77BBD" w:rsidR="007C7EEC" w:rsidRPr="002E0D8A" w:rsidRDefault="007C7EEC" w:rsidP="005C6D4B">
      <w:pPr>
        <w:pStyle w:val="BodyText"/>
        <w:rPr>
          <w:lang w:val="en-AU"/>
        </w:rPr>
      </w:pPr>
      <w:r w:rsidRPr="002E0D8A">
        <w:rPr>
          <w:lang w:val="en-AU"/>
        </w:rPr>
        <w:t>This evaluative study</w:t>
      </w:r>
      <w:r w:rsidR="00E953C7">
        <w:rPr>
          <w:lang w:val="en-AU"/>
        </w:rPr>
        <w:t xml:space="preserve"> of policy dialogue approaches</w:t>
      </w:r>
      <w:r w:rsidRPr="002E0D8A">
        <w:rPr>
          <w:lang w:val="en-AU"/>
        </w:rPr>
        <w:t xml:space="preserve"> of Australia’s Greater Mekong Water Resources Program (GMWRP) is </w:t>
      </w:r>
      <w:r w:rsidRPr="002E0D8A">
        <w:rPr>
          <w:bCs/>
          <w:lang w:val="en-AU"/>
        </w:rPr>
        <w:t>commissioned by the Department of Foreign Affairs and Trade</w:t>
      </w:r>
      <w:r w:rsidR="00794F53" w:rsidRPr="002E0D8A">
        <w:rPr>
          <w:lang w:val="en-AU"/>
        </w:rPr>
        <w:t xml:space="preserve"> (DFAT)</w:t>
      </w:r>
      <w:r w:rsidRPr="002E0D8A">
        <w:rPr>
          <w:lang w:val="en-AU"/>
        </w:rPr>
        <w:t>. Lessons and recommendations are intended to be integrated into the ongoing management of the program (by both DFAT and its implementing partners) and provide valuable reflections for other governance programs.</w:t>
      </w:r>
    </w:p>
    <w:p w14:paraId="44D862E6" w14:textId="042C843E" w:rsidR="00E40FA4" w:rsidRPr="002E0D8A" w:rsidRDefault="00E40FA4" w:rsidP="005C6D4B">
      <w:pPr>
        <w:pStyle w:val="BodyText"/>
        <w:rPr>
          <w:color w:val="000000"/>
          <w:lang w:val="en-AU"/>
        </w:rPr>
      </w:pPr>
      <w:r w:rsidRPr="002E0D8A">
        <w:rPr>
          <w:color w:val="000000"/>
          <w:lang w:val="en-AU"/>
        </w:rPr>
        <w:t xml:space="preserve">Australia has been supporting Mekong societies to manage their water resources since the 1990s. Australia’s </w:t>
      </w:r>
      <w:r w:rsidRPr="002E0D8A">
        <w:rPr>
          <w:b/>
          <w:bCs/>
          <w:color w:val="000000"/>
          <w:lang w:val="en-AU"/>
        </w:rPr>
        <w:t>DFAT Greater Mekong Water Resources Program (GMWRP)</w:t>
      </w:r>
      <w:r w:rsidRPr="002E0D8A">
        <w:rPr>
          <w:color w:val="000000"/>
          <w:lang w:val="en-AU"/>
        </w:rPr>
        <w:t xml:space="preserve"> 2014–201</w:t>
      </w:r>
      <w:r w:rsidR="00E953C7">
        <w:rPr>
          <w:color w:val="000000"/>
          <w:lang w:val="en-AU"/>
        </w:rPr>
        <w:t>9</w:t>
      </w:r>
      <w:r w:rsidRPr="002E0D8A">
        <w:rPr>
          <w:color w:val="000000"/>
          <w:lang w:val="en-AU"/>
        </w:rPr>
        <w:t xml:space="preserve"> is a five-year program that aims to strengthen water governance across the region. The strategic focus of the </w:t>
      </w:r>
      <w:r w:rsidRPr="002E0D8A">
        <w:rPr>
          <w:b/>
          <w:bCs/>
          <w:color w:val="000000"/>
          <w:lang w:val="en-AU"/>
        </w:rPr>
        <w:t>GMWRP</w:t>
      </w:r>
      <w:r w:rsidRPr="002E0D8A">
        <w:rPr>
          <w:color w:val="000000"/>
          <w:lang w:val="en-AU"/>
        </w:rPr>
        <w:t xml:space="preserve"> is guided by the DFAT South East Asia Aid Investment Plan, which frames Australian regional aid investments around two pillars: economic growth and human security. Effective water resources management is critical to water, food and energy security in the region and is increasingly becoming one of the key political-economic issues of the region. It is also central to economic development and local livelihoods. The overarching challenge is to meet the region’s growing demand for food, energy and water through use of its abundant resources, while minimising negative social and environmental consequences.</w:t>
      </w:r>
    </w:p>
    <w:p w14:paraId="3C56F150" w14:textId="3AD9F4D9" w:rsidR="00E40FA4" w:rsidRPr="002E0D8A" w:rsidRDefault="00E40FA4" w:rsidP="005C6D4B">
      <w:pPr>
        <w:pStyle w:val="BodyText"/>
        <w:rPr>
          <w:color w:val="000000"/>
          <w:lang w:val="en-AU"/>
        </w:rPr>
      </w:pPr>
      <w:r w:rsidRPr="002E0D8A">
        <w:rPr>
          <w:color w:val="000000"/>
          <w:lang w:val="en-AU"/>
        </w:rPr>
        <w:t xml:space="preserve">The </w:t>
      </w:r>
      <w:r w:rsidRPr="002E0D8A">
        <w:rPr>
          <w:b/>
          <w:bCs/>
          <w:color w:val="000000"/>
          <w:lang w:val="en-AU"/>
        </w:rPr>
        <w:t>GMWRP</w:t>
      </w:r>
      <w:r w:rsidRPr="002E0D8A">
        <w:rPr>
          <w:color w:val="000000"/>
          <w:lang w:val="en-AU"/>
        </w:rPr>
        <w:t xml:space="preserve"> covers the Mekong River and its tributaries flowing through China, Myanmar, Laos, Thailand, Cambodia and Vietnam, as well as the other major rivers of the region, including the </w:t>
      </w:r>
      <w:r w:rsidR="00E953C7" w:rsidRPr="003D0B4B">
        <w:rPr>
          <w:rFonts w:asciiTheme="minorHAnsi" w:hAnsiTheme="minorHAnsi"/>
          <w:lang w:val="en-AU"/>
        </w:rPr>
        <w:t>A</w:t>
      </w:r>
      <w:r w:rsidR="0040147F" w:rsidRPr="0040147F">
        <w:rPr>
          <w:rFonts w:asciiTheme="minorHAnsi" w:hAnsiTheme="minorHAnsi"/>
          <w:lang w:val="en-AU"/>
        </w:rPr>
        <w:t>yeyarwa</w:t>
      </w:r>
      <w:r w:rsidR="007F11D7">
        <w:rPr>
          <w:rFonts w:asciiTheme="minorHAnsi" w:hAnsiTheme="minorHAnsi"/>
          <w:lang w:val="en-AU"/>
        </w:rPr>
        <w:t>d</w:t>
      </w:r>
      <w:r w:rsidR="00E953C7" w:rsidRPr="003D0B4B">
        <w:rPr>
          <w:rFonts w:asciiTheme="minorHAnsi" w:hAnsiTheme="minorHAnsi"/>
          <w:lang w:val="en-AU"/>
        </w:rPr>
        <w:t>dy</w:t>
      </w:r>
      <w:r w:rsidRPr="002E0D8A">
        <w:rPr>
          <w:color w:val="000000"/>
          <w:lang w:val="en-AU"/>
        </w:rPr>
        <w:t>, Salween, Chao Phraya, Nam Ou and Red rivers. It focusses on strengthening policy dialogue and constructive engagement of the main actors important to regional water governance: national governments; regional institutions; the private sector; civil society</w:t>
      </w:r>
      <w:r w:rsidR="00E953C7">
        <w:rPr>
          <w:color w:val="000000"/>
          <w:lang w:val="en-AU"/>
        </w:rPr>
        <w:t xml:space="preserve"> organisations</w:t>
      </w:r>
      <w:r w:rsidRPr="002E0D8A">
        <w:rPr>
          <w:color w:val="000000"/>
          <w:lang w:val="en-AU"/>
        </w:rPr>
        <w:t xml:space="preserve">; and local researchers (to strengthen water governance outcomes). The objective of the </w:t>
      </w:r>
      <w:r w:rsidR="00F14BDF" w:rsidRPr="002E0D8A">
        <w:rPr>
          <w:color w:val="000000"/>
          <w:lang w:val="en-AU"/>
        </w:rPr>
        <w:t>program</w:t>
      </w:r>
      <w:r w:rsidRPr="002E0D8A">
        <w:rPr>
          <w:color w:val="000000"/>
          <w:lang w:val="en-AU"/>
        </w:rPr>
        <w:t xml:space="preserve"> is to achieve water governance that is fairer and more effective.</w:t>
      </w:r>
    </w:p>
    <w:p w14:paraId="6E746925" w14:textId="169C4BFD" w:rsidR="00E40FA4" w:rsidRPr="002E0D8A" w:rsidRDefault="00E40FA4" w:rsidP="005C6D4B">
      <w:pPr>
        <w:pStyle w:val="BodyText"/>
        <w:rPr>
          <w:color w:val="000000"/>
          <w:lang w:val="en-AU"/>
        </w:rPr>
      </w:pPr>
      <w:r w:rsidRPr="002E0D8A">
        <w:rPr>
          <w:color w:val="000000"/>
          <w:lang w:val="en-AU"/>
        </w:rPr>
        <w:t xml:space="preserve">The </w:t>
      </w:r>
      <w:r w:rsidR="00F14BDF" w:rsidRPr="002E0D8A">
        <w:rPr>
          <w:color w:val="000000"/>
          <w:lang w:val="en-AU"/>
        </w:rPr>
        <w:t>program</w:t>
      </w:r>
      <w:r w:rsidRPr="002E0D8A">
        <w:rPr>
          <w:color w:val="000000"/>
          <w:lang w:val="en-AU"/>
        </w:rPr>
        <w:t xml:space="preserve">’s five main pillars include: </w:t>
      </w:r>
    </w:p>
    <w:p w14:paraId="02F29D8B" w14:textId="77777777" w:rsidR="00E40FA4" w:rsidRPr="002E0D8A" w:rsidRDefault="00E40FA4" w:rsidP="005C6D4B">
      <w:pPr>
        <w:pStyle w:val="BodyText"/>
        <w:rPr>
          <w:color w:val="000000"/>
          <w:lang w:val="en-AU"/>
        </w:rPr>
      </w:pPr>
      <w:r w:rsidRPr="002E0D8A">
        <w:rPr>
          <w:b/>
          <w:color w:val="000000"/>
          <w:lang w:val="en-AU"/>
        </w:rPr>
        <w:t>Pillar 1:</w:t>
      </w:r>
      <w:r w:rsidRPr="002E0D8A">
        <w:rPr>
          <w:color w:val="000000"/>
          <w:lang w:val="en-AU"/>
        </w:rPr>
        <w:t xml:space="preserve"> </w:t>
      </w:r>
      <w:r w:rsidRPr="002E0D8A">
        <w:rPr>
          <w:b/>
          <w:color w:val="000000"/>
          <w:lang w:val="en-AU"/>
        </w:rPr>
        <w:t>Effectively managed</w:t>
      </w:r>
      <w:r w:rsidRPr="002E0D8A">
        <w:rPr>
          <w:color w:val="000000"/>
          <w:lang w:val="en-AU"/>
        </w:rPr>
        <w:t xml:space="preserve">: Strengthening the institutional frameworks and capacity of regional, national and local actors to manage their water resources more effectively: </w:t>
      </w:r>
      <w:r w:rsidRPr="002E0D8A">
        <w:rPr>
          <w:b/>
          <w:color w:val="000000"/>
          <w:lang w:val="en-AU"/>
        </w:rPr>
        <w:t>Key partners</w:t>
      </w:r>
      <w:r w:rsidRPr="002E0D8A">
        <w:rPr>
          <w:color w:val="000000"/>
          <w:lang w:val="en-AU"/>
        </w:rPr>
        <w:t>: the Mekong River commission (MRC), and Governments of Cambodia, Laos, Vietnam, and tripartite collaboration involving e.g. Thailand, Cambodia, Australia and China etc.</w:t>
      </w:r>
    </w:p>
    <w:p w14:paraId="30927C98" w14:textId="5BBC6AFB" w:rsidR="00E40FA4" w:rsidRPr="002E0D8A" w:rsidRDefault="00E40FA4" w:rsidP="005C6D4B">
      <w:pPr>
        <w:pStyle w:val="BodyText"/>
        <w:rPr>
          <w:color w:val="000000"/>
          <w:lang w:val="en-AU"/>
        </w:rPr>
      </w:pPr>
      <w:r w:rsidRPr="002E0D8A">
        <w:rPr>
          <w:b/>
          <w:color w:val="000000"/>
          <w:lang w:val="en-AU"/>
        </w:rPr>
        <w:t>Pillar 2: Accountable</w:t>
      </w:r>
      <w:r w:rsidRPr="002E0D8A">
        <w:rPr>
          <w:color w:val="000000"/>
          <w:lang w:val="en-AU"/>
        </w:rPr>
        <w:t>: Raising the accountability of governments, financiers and private sector; normali</w:t>
      </w:r>
      <w:r w:rsidR="00340706">
        <w:rPr>
          <w:color w:val="000000"/>
          <w:lang w:val="en-AU"/>
        </w:rPr>
        <w:t>s</w:t>
      </w:r>
      <w:r w:rsidRPr="002E0D8A">
        <w:rPr>
          <w:color w:val="000000"/>
          <w:lang w:val="en-AU"/>
        </w:rPr>
        <w:t xml:space="preserve">ing high standards for water investments; and promoting more transparent decision-making: </w:t>
      </w:r>
      <w:r w:rsidRPr="002E0D8A">
        <w:rPr>
          <w:b/>
          <w:color w:val="000000"/>
          <w:lang w:val="en-AU"/>
        </w:rPr>
        <w:t>Key partners</w:t>
      </w:r>
      <w:r w:rsidRPr="002E0D8A">
        <w:rPr>
          <w:color w:val="000000"/>
          <w:lang w:val="en-AU"/>
        </w:rPr>
        <w:t>:  IFC (World Bank Group), Government of Lao PDR, Government of Myanmar, and relevant private sectors in these two countries. It is focused particularly on improving governance in the hydropower sector.</w:t>
      </w:r>
    </w:p>
    <w:p w14:paraId="7EC2954E" w14:textId="2986893F" w:rsidR="00E40FA4" w:rsidRPr="002E0D8A" w:rsidRDefault="00E40FA4" w:rsidP="005C6D4B">
      <w:pPr>
        <w:pStyle w:val="BodyText"/>
        <w:rPr>
          <w:color w:val="000000"/>
          <w:lang w:val="en-AU"/>
        </w:rPr>
      </w:pPr>
      <w:r w:rsidRPr="002E0D8A">
        <w:rPr>
          <w:b/>
          <w:color w:val="000000"/>
          <w:lang w:val="en-AU"/>
        </w:rPr>
        <w:t>Pillar 3: Informed</w:t>
      </w:r>
      <w:r w:rsidRPr="002E0D8A">
        <w:rPr>
          <w:color w:val="000000"/>
          <w:lang w:val="en-AU"/>
        </w:rPr>
        <w:t xml:space="preserve">: Enhancing the availability and influence of research to improve water resources management and water investment decision-making. </w:t>
      </w:r>
      <w:r w:rsidRPr="002E0D8A">
        <w:rPr>
          <w:b/>
          <w:color w:val="000000"/>
          <w:lang w:val="en-AU"/>
        </w:rPr>
        <w:t>Key partners</w:t>
      </w:r>
      <w:r w:rsidRPr="002E0D8A">
        <w:rPr>
          <w:color w:val="000000"/>
          <w:lang w:val="en-AU"/>
        </w:rPr>
        <w:t xml:space="preserve">:  International Water Management Institute (IWMI) (through the change coordination team, and 15 Water Land and Ecosystem (WLE) Research for Development (R4D) projects, coordinated out of Naga House (Greater Mekong </w:t>
      </w:r>
      <w:r w:rsidR="00DD51F2" w:rsidRPr="002E0D8A">
        <w:rPr>
          <w:color w:val="000000"/>
          <w:lang w:val="en-AU"/>
        </w:rPr>
        <w:t>Centre</w:t>
      </w:r>
      <w:r w:rsidRPr="002E0D8A">
        <w:rPr>
          <w:color w:val="000000"/>
          <w:lang w:val="en-AU"/>
        </w:rPr>
        <w:t xml:space="preserve">) in Vientiane, aiming to make regional water governance </w:t>
      </w:r>
      <w:r w:rsidRPr="006B455F">
        <w:rPr>
          <w:color w:val="000000"/>
          <w:lang w:val="en-AU"/>
        </w:rPr>
        <w:t>more</w:t>
      </w:r>
      <w:r w:rsidRPr="006B455F">
        <w:rPr>
          <w:rStyle w:val="apple-converted-space"/>
          <w:rFonts w:eastAsiaTheme="majorEastAsia"/>
          <w:color w:val="000000"/>
          <w:lang w:val="en-AU"/>
        </w:rPr>
        <w:t> </w:t>
      </w:r>
      <w:r w:rsidRPr="006B455F">
        <w:rPr>
          <w:bCs/>
          <w:iCs/>
          <w:color w:val="000000"/>
          <w:lang w:val="en-AU"/>
        </w:rPr>
        <w:t>informed.</w:t>
      </w:r>
    </w:p>
    <w:p w14:paraId="09E6CA20" w14:textId="21ECAF08" w:rsidR="00E40FA4" w:rsidRPr="002E0D8A" w:rsidRDefault="00E40FA4" w:rsidP="005C6D4B">
      <w:pPr>
        <w:pStyle w:val="BodyText"/>
        <w:rPr>
          <w:color w:val="000000"/>
          <w:lang w:val="en-AU"/>
        </w:rPr>
      </w:pPr>
      <w:r w:rsidRPr="002E0D8A">
        <w:rPr>
          <w:b/>
          <w:color w:val="000000"/>
          <w:lang w:val="en-AU"/>
        </w:rPr>
        <w:t xml:space="preserve">Pillar 4: Inclusive: </w:t>
      </w:r>
      <w:r w:rsidRPr="002E0D8A">
        <w:rPr>
          <w:color w:val="000000"/>
          <w:lang w:val="en-AU"/>
        </w:rPr>
        <w:t xml:space="preserve">Supporting civil society and local community input into water decisions and management at all levels. </w:t>
      </w:r>
      <w:r w:rsidRPr="002E0D8A">
        <w:rPr>
          <w:b/>
          <w:color w:val="000000"/>
          <w:lang w:val="en-AU"/>
        </w:rPr>
        <w:t>Key partners</w:t>
      </w:r>
      <w:r w:rsidR="00B234AD">
        <w:rPr>
          <w:color w:val="000000"/>
          <w:lang w:val="en-AU"/>
        </w:rPr>
        <w:t>:</w:t>
      </w:r>
      <w:r w:rsidRPr="002E0D8A">
        <w:rPr>
          <w:color w:val="000000"/>
          <w:lang w:val="en-AU"/>
        </w:rPr>
        <w:t xml:space="preserve"> Oxfam Australia, focusing on making regional water-related governance more</w:t>
      </w:r>
      <w:r w:rsidRPr="002E0D8A">
        <w:rPr>
          <w:rStyle w:val="apple-converted-space"/>
          <w:rFonts w:eastAsiaTheme="majorEastAsia"/>
          <w:color w:val="000000"/>
          <w:lang w:val="en-AU"/>
        </w:rPr>
        <w:t> </w:t>
      </w:r>
      <w:r w:rsidRPr="002E0D8A">
        <w:rPr>
          <w:b/>
          <w:bCs/>
          <w:i/>
          <w:iCs/>
          <w:color w:val="000000"/>
          <w:lang w:val="en-AU"/>
        </w:rPr>
        <w:t xml:space="preserve">inclusive </w:t>
      </w:r>
      <w:r w:rsidRPr="002E0D8A">
        <w:rPr>
          <w:bCs/>
          <w:iCs/>
          <w:color w:val="000000"/>
          <w:lang w:val="en-AU"/>
        </w:rPr>
        <w:t>particularly with respect to gender</w:t>
      </w:r>
      <w:r w:rsidRPr="002E0D8A">
        <w:rPr>
          <w:color w:val="000000"/>
          <w:lang w:val="en-AU"/>
        </w:rPr>
        <w:t>.</w:t>
      </w:r>
    </w:p>
    <w:p w14:paraId="4502E45B" w14:textId="77777777" w:rsidR="00AB58DA" w:rsidRDefault="00E40FA4" w:rsidP="00AB58DA">
      <w:pPr>
        <w:pStyle w:val="BodyText"/>
        <w:rPr>
          <w:lang w:val="en-AU"/>
        </w:rPr>
      </w:pPr>
      <w:r w:rsidRPr="002E0D8A">
        <w:rPr>
          <w:b/>
          <w:lang w:val="en-AU"/>
        </w:rPr>
        <w:t xml:space="preserve">Pillar 5: </w:t>
      </w:r>
      <w:r w:rsidR="009C440B" w:rsidRPr="002E0D8A">
        <w:rPr>
          <w:b/>
          <w:lang w:val="en-AU"/>
        </w:rPr>
        <w:t>Policy dialogue</w:t>
      </w:r>
      <w:r w:rsidRPr="002E0D8A">
        <w:rPr>
          <w:lang w:val="en-AU"/>
        </w:rPr>
        <w:t xml:space="preserve">: Through a crosscutting focus, support policy dialogue that fosters trust and open discussion between </w:t>
      </w:r>
      <w:r w:rsidR="00E037C1">
        <w:rPr>
          <w:lang w:val="en-AU"/>
        </w:rPr>
        <w:t xml:space="preserve">Greater </w:t>
      </w:r>
      <w:r w:rsidRPr="002E0D8A">
        <w:rPr>
          <w:lang w:val="en-AU"/>
        </w:rPr>
        <w:t>Mekong governments and other actors on transboundary water issues.</w:t>
      </w:r>
      <w:bookmarkStart w:id="21" w:name="_Toc475254237"/>
    </w:p>
    <w:p w14:paraId="4E5C89E9" w14:textId="77777777" w:rsidR="00AB58DA" w:rsidRDefault="00AB58DA" w:rsidP="00AB58DA">
      <w:pPr>
        <w:pStyle w:val="BodyText"/>
        <w:rPr>
          <w:lang w:val="en-AU"/>
        </w:rPr>
      </w:pPr>
    </w:p>
    <w:p w14:paraId="4F238390" w14:textId="77777777" w:rsidR="00AB58DA" w:rsidRDefault="00AB58DA" w:rsidP="00AB58DA">
      <w:pPr>
        <w:pStyle w:val="BodyText"/>
        <w:rPr>
          <w:lang w:val="en-AU"/>
        </w:rPr>
      </w:pPr>
    </w:p>
    <w:p w14:paraId="207B15F0" w14:textId="77777777" w:rsidR="00AB58DA" w:rsidRDefault="00AB58DA" w:rsidP="00AB58DA">
      <w:pPr>
        <w:pStyle w:val="BodyText"/>
        <w:rPr>
          <w:lang w:val="en-AU"/>
        </w:rPr>
      </w:pPr>
    </w:p>
    <w:p w14:paraId="2D055DDF" w14:textId="77777777" w:rsidR="00AB58DA" w:rsidRDefault="00AB58DA" w:rsidP="00AB58DA">
      <w:pPr>
        <w:pStyle w:val="BodyText"/>
        <w:rPr>
          <w:lang w:val="en-AU"/>
        </w:rPr>
      </w:pPr>
    </w:p>
    <w:p w14:paraId="419E1F5F" w14:textId="5C7F478F" w:rsidR="00E40FA4" w:rsidRPr="00AB58DA" w:rsidRDefault="00E40FA4" w:rsidP="00AB58DA">
      <w:pPr>
        <w:pStyle w:val="BodyText"/>
        <w:rPr>
          <w:lang w:val="en-AU"/>
        </w:rPr>
      </w:pPr>
      <w:r w:rsidRPr="002E0D8A">
        <w:rPr>
          <w:rFonts w:ascii="Arial" w:hAnsi="Arial" w:cs="Arial"/>
          <w:b/>
          <w:bCs/>
          <w:color w:val="365F91" w:themeColor="accent1" w:themeShade="BF"/>
          <w:lang w:val="en-AU"/>
        </w:rPr>
        <w:lastRenderedPageBreak/>
        <w:t xml:space="preserve">Figure </w:t>
      </w:r>
      <w:r w:rsidRPr="002E0D8A">
        <w:rPr>
          <w:rFonts w:ascii="Arial" w:hAnsi="Arial" w:cs="Arial"/>
          <w:b/>
          <w:bCs/>
          <w:color w:val="365F91" w:themeColor="accent1" w:themeShade="BF"/>
          <w:lang w:val="en-AU"/>
        </w:rPr>
        <w:fldChar w:fldCharType="begin"/>
      </w:r>
      <w:r w:rsidRPr="002E0D8A">
        <w:rPr>
          <w:rFonts w:ascii="Arial" w:hAnsi="Arial" w:cs="Arial"/>
          <w:b/>
          <w:bCs/>
          <w:color w:val="365F91" w:themeColor="accent1" w:themeShade="BF"/>
          <w:lang w:val="en-AU"/>
        </w:rPr>
        <w:instrText xml:space="preserve"> STYLEREF 1 \s </w:instrText>
      </w:r>
      <w:r w:rsidRPr="002E0D8A">
        <w:rPr>
          <w:rFonts w:ascii="Arial" w:hAnsi="Arial" w:cs="Arial"/>
          <w:b/>
          <w:bCs/>
          <w:color w:val="365F91" w:themeColor="accent1" w:themeShade="BF"/>
          <w:lang w:val="en-AU"/>
        </w:rPr>
        <w:fldChar w:fldCharType="separate"/>
      </w:r>
      <w:r w:rsidR="00E703DB">
        <w:rPr>
          <w:rFonts w:ascii="Arial" w:hAnsi="Arial" w:cs="Arial"/>
          <w:b/>
          <w:bCs/>
          <w:noProof/>
          <w:color w:val="365F91" w:themeColor="accent1" w:themeShade="BF"/>
          <w:lang w:val="en-AU"/>
        </w:rPr>
        <w:t>1</w:t>
      </w:r>
      <w:r w:rsidRPr="002E0D8A">
        <w:rPr>
          <w:rFonts w:ascii="Arial" w:hAnsi="Arial" w:cs="Arial"/>
          <w:b/>
          <w:bCs/>
          <w:color w:val="365F91" w:themeColor="accent1" w:themeShade="BF"/>
          <w:lang w:val="en-AU"/>
        </w:rPr>
        <w:fldChar w:fldCharType="end"/>
      </w:r>
      <w:r w:rsidRPr="002E0D8A">
        <w:rPr>
          <w:rFonts w:ascii="Arial" w:hAnsi="Arial" w:cs="Arial"/>
          <w:b/>
          <w:bCs/>
          <w:color w:val="365F91" w:themeColor="accent1" w:themeShade="BF"/>
          <w:lang w:val="en-AU"/>
        </w:rPr>
        <w:noBreakHyphen/>
      </w:r>
      <w:r w:rsidRPr="002E0D8A">
        <w:rPr>
          <w:rFonts w:ascii="Arial" w:hAnsi="Arial" w:cs="Arial"/>
          <w:b/>
          <w:bCs/>
          <w:color w:val="365F91" w:themeColor="accent1" w:themeShade="BF"/>
          <w:lang w:val="en-AU"/>
        </w:rPr>
        <w:fldChar w:fldCharType="begin"/>
      </w:r>
      <w:r w:rsidRPr="002E0D8A">
        <w:rPr>
          <w:rFonts w:ascii="Arial" w:hAnsi="Arial" w:cs="Arial"/>
          <w:b/>
          <w:bCs/>
          <w:color w:val="365F91" w:themeColor="accent1" w:themeShade="BF"/>
          <w:lang w:val="en-AU"/>
        </w:rPr>
        <w:instrText xml:space="preserve"> SEQ Figure \* ARABIC \s 1 </w:instrText>
      </w:r>
      <w:r w:rsidRPr="002E0D8A">
        <w:rPr>
          <w:rFonts w:ascii="Arial" w:hAnsi="Arial" w:cs="Arial"/>
          <w:b/>
          <w:bCs/>
          <w:color w:val="365F91" w:themeColor="accent1" w:themeShade="BF"/>
          <w:lang w:val="en-AU"/>
        </w:rPr>
        <w:fldChar w:fldCharType="separate"/>
      </w:r>
      <w:r w:rsidR="00E703DB">
        <w:rPr>
          <w:rFonts w:ascii="Arial" w:hAnsi="Arial" w:cs="Arial"/>
          <w:b/>
          <w:bCs/>
          <w:noProof/>
          <w:color w:val="365F91" w:themeColor="accent1" w:themeShade="BF"/>
          <w:lang w:val="en-AU"/>
        </w:rPr>
        <w:t>1</w:t>
      </w:r>
      <w:r w:rsidRPr="002E0D8A">
        <w:rPr>
          <w:rFonts w:ascii="Arial" w:hAnsi="Arial" w:cs="Arial"/>
          <w:b/>
          <w:bCs/>
          <w:color w:val="365F91" w:themeColor="accent1" w:themeShade="BF"/>
          <w:lang w:val="en-AU"/>
        </w:rPr>
        <w:fldChar w:fldCharType="end"/>
      </w:r>
      <w:r w:rsidR="005C6D4B">
        <w:rPr>
          <w:rFonts w:ascii="Arial" w:hAnsi="Arial" w:cs="Arial"/>
          <w:b/>
          <w:bCs/>
          <w:color w:val="365F91" w:themeColor="accent1" w:themeShade="BF"/>
          <w:lang w:val="en-AU"/>
        </w:rPr>
        <w:t xml:space="preserve">  </w:t>
      </w:r>
      <w:r w:rsidRPr="002E0D8A">
        <w:rPr>
          <w:rFonts w:ascii="Arial" w:hAnsi="Arial" w:cs="Arial"/>
          <w:b/>
          <w:bCs/>
          <w:color w:val="17365D" w:themeColor="text2" w:themeShade="BF"/>
          <w:lang w:val="en-AU"/>
        </w:rPr>
        <w:t>DFAT Greater Mekong Water Resources Program</w:t>
      </w:r>
      <w:bookmarkEnd w:id="21"/>
      <w:r w:rsidRPr="002E0D8A">
        <w:rPr>
          <w:rFonts w:ascii="Arial" w:hAnsi="Arial" w:cs="Arial"/>
          <w:lang w:val="en-AU"/>
        </w:rPr>
        <w:t xml:space="preserve"> </w:t>
      </w:r>
    </w:p>
    <w:p w14:paraId="6A265C92" w14:textId="14CA7C86" w:rsidR="00E40FA4" w:rsidRPr="002E0D8A" w:rsidRDefault="00DA763F" w:rsidP="00E40FA4">
      <w:pPr>
        <w:pStyle w:val="yiv8033760514msoplaintext"/>
        <w:shd w:val="clear" w:color="auto" w:fill="FFFFFF"/>
        <w:spacing w:before="120" w:beforeAutospacing="0" w:after="0" w:afterAutospacing="0"/>
        <w:jc w:val="both"/>
        <w:rPr>
          <w:rFonts w:asciiTheme="minorHAnsi" w:hAnsiTheme="minorHAnsi" w:cs="Calibri"/>
          <w:color w:val="000000"/>
          <w:sz w:val="22"/>
          <w:szCs w:val="22"/>
          <w:lang w:val="en-AU"/>
        </w:rPr>
      </w:pPr>
      <w:r w:rsidRPr="002E0D8A">
        <w:rPr>
          <w:rFonts w:asciiTheme="minorHAnsi" w:hAnsiTheme="minorHAnsi" w:cs="Calibri"/>
          <w:noProof/>
          <w:color w:val="000000"/>
          <w:sz w:val="22"/>
          <w:szCs w:val="22"/>
          <w:lang w:val="en-AU" w:eastAsia="en-AU"/>
        </w:rPr>
        <w:drawing>
          <wp:inline distT="0" distB="0" distL="0" distR="0" wp14:anchorId="3717E816" wp14:editId="34F2CDA4">
            <wp:extent cx="6388100" cy="359348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90839" cy="3595029"/>
                    </a:xfrm>
                    <a:prstGeom prst="rect">
                      <a:avLst/>
                    </a:prstGeom>
                  </pic:spPr>
                </pic:pic>
              </a:graphicData>
            </a:graphic>
          </wp:inline>
        </w:drawing>
      </w:r>
    </w:p>
    <w:p w14:paraId="6FE1EFD5" w14:textId="1C88826E" w:rsidR="00E40FA4" w:rsidRPr="002E0D8A" w:rsidRDefault="00C32435" w:rsidP="00E40FA4">
      <w:pPr>
        <w:pStyle w:val="Heading1"/>
        <w:spacing w:after="120"/>
        <w:rPr>
          <w:lang w:val="en-AU"/>
        </w:rPr>
      </w:pPr>
      <w:bookmarkStart w:id="22" w:name="_Toc475358464"/>
      <w:r>
        <w:rPr>
          <w:lang w:val="en-AU"/>
        </w:rPr>
        <w:t>Evaluative Study</w:t>
      </w:r>
      <w:bookmarkEnd w:id="22"/>
    </w:p>
    <w:p w14:paraId="49BAC314" w14:textId="0233C995" w:rsidR="00E40FA4" w:rsidRPr="002E0D8A" w:rsidRDefault="00E40FA4" w:rsidP="005C6D4B">
      <w:pPr>
        <w:pStyle w:val="BodyText"/>
        <w:rPr>
          <w:lang w:val="en-AU"/>
        </w:rPr>
      </w:pPr>
      <w:r w:rsidRPr="002E0D8A">
        <w:rPr>
          <w:lang w:val="en-AU"/>
        </w:rPr>
        <w:t xml:space="preserve">The purpose of this </w:t>
      </w:r>
      <w:r w:rsidR="004C5B24">
        <w:rPr>
          <w:lang w:val="en-AU"/>
        </w:rPr>
        <w:t>evaluative study</w:t>
      </w:r>
      <w:r w:rsidRPr="002E0D8A">
        <w:rPr>
          <w:lang w:val="en-AU"/>
        </w:rPr>
        <w:t xml:space="preserve"> is to inform and improve the effectiveness of the </w:t>
      </w:r>
      <w:r w:rsidR="004C5B24">
        <w:rPr>
          <w:lang w:val="en-AU"/>
        </w:rPr>
        <w:t>GMWRP</w:t>
      </w:r>
      <w:r w:rsidR="004C5B24" w:rsidRPr="002E0D8A">
        <w:rPr>
          <w:lang w:val="en-AU"/>
        </w:rPr>
        <w:t xml:space="preserve"> </w:t>
      </w:r>
      <w:r w:rsidRPr="002E0D8A">
        <w:rPr>
          <w:lang w:val="en-AU"/>
        </w:rPr>
        <w:t>policy dialogue approach with both implementing partners and target stakeholders (including governments, civil society, the private sector, financiers and researchers).</w:t>
      </w:r>
    </w:p>
    <w:p w14:paraId="1CDAA41E" w14:textId="79F03BCB" w:rsidR="00E40FA4" w:rsidRPr="002E0D8A" w:rsidRDefault="00C32435" w:rsidP="00EB1DCA">
      <w:pPr>
        <w:pStyle w:val="Heading2"/>
        <w:tabs>
          <w:tab w:val="clear" w:pos="401"/>
          <w:tab w:val="num" w:pos="851"/>
        </w:tabs>
        <w:spacing w:after="120"/>
        <w:ind w:left="851"/>
        <w:rPr>
          <w:rFonts w:eastAsia="Arial"/>
          <w:lang w:val="en-AU"/>
        </w:rPr>
      </w:pPr>
      <w:bookmarkStart w:id="23" w:name="_Toc470715847"/>
      <w:bookmarkStart w:id="24" w:name="_Toc475358465"/>
      <w:r>
        <w:rPr>
          <w:rFonts w:eastAsia="Arial"/>
          <w:lang w:val="en-AU"/>
        </w:rPr>
        <w:t>O</w:t>
      </w:r>
      <w:r w:rsidR="00E40FA4" w:rsidRPr="002E0D8A">
        <w:rPr>
          <w:rFonts w:eastAsia="Arial"/>
          <w:lang w:val="en-AU"/>
        </w:rPr>
        <w:t>bjectives</w:t>
      </w:r>
      <w:bookmarkEnd w:id="23"/>
      <w:bookmarkEnd w:id="24"/>
    </w:p>
    <w:p w14:paraId="68CEAD34" w14:textId="26C86EE3" w:rsidR="00B90C65" w:rsidRPr="002E0D8A" w:rsidRDefault="00B90C65" w:rsidP="005C6D4B">
      <w:pPr>
        <w:pStyle w:val="BodyText"/>
        <w:rPr>
          <w:lang w:val="en-AU"/>
        </w:rPr>
      </w:pPr>
      <w:r w:rsidRPr="002E0D8A">
        <w:rPr>
          <w:lang w:val="en-AU"/>
        </w:rPr>
        <w:t xml:space="preserve">The </w:t>
      </w:r>
      <w:r>
        <w:rPr>
          <w:lang w:val="en-AU"/>
        </w:rPr>
        <w:t>objectives</w:t>
      </w:r>
      <w:r w:rsidRPr="002E0D8A">
        <w:rPr>
          <w:lang w:val="en-AU"/>
        </w:rPr>
        <w:t xml:space="preserve"> of this </w:t>
      </w:r>
      <w:r w:rsidRPr="002E0D8A">
        <w:rPr>
          <w:b/>
          <w:lang w:val="en-AU"/>
        </w:rPr>
        <w:t>evaluative study</w:t>
      </w:r>
      <w:r w:rsidRPr="002E0D8A">
        <w:rPr>
          <w:lang w:val="en-AU"/>
        </w:rPr>
        <w:t xml:space="preserve"> </w:t>
      </w:r>
      <w:r>
        <w:rPr>
          <w:lang w:val="en-AU"/>
        </w:rPr>
        <w:t>are</w:t>
      </w:r>
      <w:r w:rsidRPr="002E0D8A">
        <w:rPr>
          <w:lang w:val="en-AU"/>
        </w:rPr>
        <w:t xml:space="preserve"> to:</w:t>
      </w:r>
    </w:p>
    <w:p w14:paraId="5BD795DB" w14:textId="77777777" w:rsidR="00B90C65" w:rsidRPr="002E0D8A" w:rsidRDefault="00B90C65" w:rsidP="009228CA">
      <w:pPr>
        <w:pStyle w:val="BodyText"/>
        <w:numPr>
          <w:ilvl w:val="0"/>
          <w:numId w:val="30"/>
        </w:numPr>
        <w:rPr>
          <w:lang w:val="en-AU"/>
        </w:rPr>
      </w:pPr>
      <w:r w:rsidRPr="002E0D8A">
        <w:rPr>
          <w:lang w:val="en-AU"/>
        </w:rPr>
        <w:t>Test the logic of the GMWRP and the effectiveness of various policy dialogue initiatives by DFAT and program implementation partners;</w:t>
      </w:r>
    </w:p>
    <w:p w14:paraId="789CD6F6" w14:textId="77777777" w:rsidR="00B90C65" w:rsidRPr="002E0D8A" w:rsidRDefault="00B90C65" w:rsidP="009228CA">
      <w:pPr>
        <w:pStyle w:val="BodyText"/>
        <w:numPr>
          <w:ilvl w:val="0"/>
          <w:numId w:val="30"/>
        </w:numPr>
        <w:rPr>
          <w:lang w:val="en-AU"/>
        </w:rPr>
      </w:pPr>
      <w:r w:rsidRPr="002E0D8A">
        <w:rPr>
          <w:lang w:val="en-AU"/>
        </w:rPr>
        <w:t>Seek out and learn from innovative and successful policy dialogue contributed to by the GMWRP to enable wider replication; and</w:t>
      </w:r>
    </w:p>
    <w:p w14:paraId="33EF847E" w14:textId="77777777" w:rsidR="00B90C65" w:rsidRPr="002E0D8A" w:rsidRDefault="00B90C65" w:rsidP="009228CA">
      <w:pPr>
        <w:pStyle w:val="BodyText"/>
        <w:numPr>
          <w:ilvl w:val="0"/>
          <w:numId w:val="30"/>
        </w:numPr>
        <w:rPr>
          <w:lang w:val="en-AU"/>
        </w:rPr>
      </w:pPr>
      <w:r w:rsidRPr="002E0D8A">
        <w:rPr>
          <w:lang w:val="en-AU"/>
        </w:rPr>
        <w:t>Identify other policy dialogue approaches that could be used by GWMWRP partners.</w:t>
      </w:r>
    </w:p>
    <w:p w14:paraId="4153122B" w14:textId="72618572" w:rsidR="00E40FA4" w:rsidRPr="002E0D8A" w:rsidRDefault="00B90C65" w:rsidP="005C6D4B">
      <w:pPr>
        <w:pStyle w:val="BodyText"/>
        <w:rPr>
          <w:lang w:val="en-AU"/>
        </w:rPr>
      </w:pPr>
      <w:r>
        <w:rPr>
          <w:lang w:val="en-AU"/>
        </w:rPr>
        <w:t>G</w:t>
      </w:r>
      <w:r w:rsidR="00E40FA4" w:rsidRPr="002E0D8A">
        <w:rPr>
          <w:lang w:val="en-AU"/>
        </w:rPr>
        <w:t xml:space="preserve">ender equality and social inclusion issues are investigated as an integral part of addressing other questions of effectiveness, efficiency, sustainability and so on. The detailed questions and sub-questions, and the data methods are provided in </w:t>
      </w:r>
      <w:r w:rsidR="00E40FA4" w:rsidRPr="002E0D8A">
        <w:rPr>
          <w:b/>
          <w:lang w:val="en-AU"/>
        </w:rPr>
        <w:t>Appendix A2</w:t>
      </w:r>
      <w:r w:rsidR="00E40FA4" w:rsidRPr="002E0D8A">
        <w:rPr>
          <w:lang w:val="en-AU"/>
        </w:rPr>
        <w:t xml:space="preserve"> of the work plan.</w:t>
      </w:r>
    </w:p>
    <w:p w14:paraId="2AECE100" w14:textId="06D8F28D" w:rsidR="00E40FA4" w:rsidRPr="002E0D8A" w:rsidRDefault="00E40FA4" w:rsidP="00794F53">
      <w:pPr>
        <w:pStyle w:val="Heading2"/>
        <w:tabs>
          <w:tab w:val="clear" w:pos="401"/>
          <w:tab w:val="num" w:pos="851"/>
        </w:tabs>
        <w:spacing w:before="120" w:after="120"/>
        <w:ind w:left="851"/>
        <w:rPr>
          <w:lang w:val="en-AU"/>
        </w:rPr>
      </w:pPr>
      <w:bookmarkStart w:id="25" w:name="_Toc470715848"/>
      <w:bookmarkStart w:id="26" w:name="_Toc475358466"/>
      <w:r w:rsidRPr="002E0D8A">
        <w:rPr>
          <w:lang w:val="en-AU"/>
        </w:rPr>
        <w:t>Approach</w:t>
      </w:r>
      <w:bookmarkEnd w:id="25"/>
      <w:bookmarkEnd w:id="26"/>
    </w:p>
    <w:p w14:paraId="6C129CDB" w14:textId="633EC59B" w:rsidR="00E40FA4" w:rsidRPr="005C6D4B" w:rsidRDefault="00E40FA4" w:rsidP="005C6D4B">
      <w:pPr>
        <w:pStyle w:val="BodyText"/>
        <w:rPr>
          <w:rFonts w:asciiTheme="minorHAnsi" w:hAnsiTheme="minorHAnsi"/>
          <w:lang w:val="en-AU"/>
        </w:rPr>
      </w:pPr>
      <w:r w:rsidRPr="002E0D8A">
        <w:rPr>
          <w:rFonts w:asciiTheme="minorHAnsi" w:hAnsiTheme="minorHAnsi" w:cstheme="minorHAnsi"/>
          <w:lang w:val="en-AU"/>
        </w:rPr>
        <w:t>The evaluation is exploratory</w:t>
      </w:r>
      <w:r w:rsidR="004C5B24">
        <w:rPr>
          <w:rFonts w:asciiTheme="minorHAnsi" w:hAnsiTheme="minorHAnsi" w:cstheme="minorHAnsi"/>
          <w:lang w:val="en-AU"/>
        </w:rPr>
        <w:t xml:space="preserve">, </w:t>
      </w:r>
      <w:r w:rsidRPr="002E0D8A">
        <w:rPr>
          <w:rFonts w:asciiTheme="minorHAnsi" w:hAnsiTheme="minorHAnsi" w:cstheme="minorHAnsi"/>
          <w:lang w:val="en-AU"/>
        </w:rPr>
        <w:t xml:space="preserve">descriptive and </w:t>
      </w:r>
      <w:r w:rsidR="004C5B24">
        <w:rPr>
          <w:rFonts w:asciiTheme="minorHAnsi" w:hAnsiTheme="minorHAnsi" w:cstheme="minorHAnsi"/>
          <w:lang w:val="en-AU"/>
        </w:rPr>
        <w:t xml:space="preserve">includes </w:t>
      </w:r>
      <w:r w:rsidRPr="002E0D8A">
        <w:rPr>
          <w:rFonts w:asciiTheme="minorHAnsi" w:hAnsiTheme="minorHAnsi" w:cstheme="minorHAnsi"/>
          <w:lang w:val="en-AU"/>
        </w:rPr>
        <w:t xml:space="preserve">case studies. </w:t>
      </w:r>
      <w:r w:rsidRPr="002E0D8A">
        <w:rPr>
          <w:lang w:val="en-AU"/>
        </w:rPr>
        <w:t xml:space="preserve">A methodology was developed and agreed upon in the </w:t>
      </w:r>
      <w:r w:rsidR="004C5B24">
        <w:rPr>
          <w:lang w:val="en-AU"/>
        </w:rPr>
        <w:t>w</w:t>
      </w:r>
      <w:r w:rsidRPr="002E0D8A">
        <w:rPr>
          <w:lang w:val="en-AU"/>
        </w:rPr>
        <w:t xml:space="preserve">ork </w:t>
      </w:r>
      <w:r w:rsidR="004C5B24">
        <w:rPr>
          <w:lang w:val="en-AU"/>
        </w:rPr>
        <w:t>p</w:t>
      </w:r>
      <w:r w:rsidRPr="002E0D8A">
        <w:rPr>
          <w:lang w:val="en-AU"/>
        </w:rPr>
        <w:t xml:space="preserve">lan at the beginning of the </w:t>
      </w:r>
      <w:r w:rsidR="004C5B24">
        <w:rPr>
          <w:lang w:val="en-AU"/>
        </w:rPr>
        <w:t>study</w:t>
      </w:r>
      <w:r w:rsidR="004C5B24" w:rsidRPr="002E0D8A">
        <w:rPr>
          <w:lang w:val="en-AU"/>
        </w:rPr>
        <w:t xml:space="preserve"> </w:t>
      </w:r>
      <w:r w:rsidRPr="002E0D8A">
        <w:rPr>
          <w:lang w:val="en-AU"/>
        </w:rPr>
        <w:t xml:space="preserve">on November 4, 2016. </w:t>
      </w:r>
      <w:r w:rsidRPr="002E0D8A">
        <w:rPr>
          <w:rFonts w:asciiTheme="minorHAnsi" w:hAnsiTheme="minorHAnsi" w:cstheme="minorHAnsi"/>
          <w:lang w:val="en-AU"/>
        </w:rPr>
        <w:t xml:space="preserve">Beside an extensive review of the relevant literature, the </w:t>
      </w:r>
      <w:r w:rsidR="004C5B24">
        <w:rPr>
          <w:rFonts w:asciiTheme="minorHAnsi" w:hAnsiTheme="minorHAnsi" w:cstheme="minorHAnsi"/>
          <w:lang w:val="en-AU"/>
        </w:rPr>
        <w:t>study</w:t>
      </w:r>
      <w:r w:rsidR="004C5B24" w:rsidRPr="002E0D8A">
        <w:rPr>
          <w:rFonts w:asciiTheme="minorHAnsi" w:hAnsiTheme="minorHAnsi" w:cstheme="minorHAnsi"/>
          <w:lang w:val="en-AU"/>
        </w:rPr>
        <w:t xml:space="preserve"> </w:t>
      </w:r>
      <w:r w:rsidRPr="002E0D8A">
        <w:rPr>
          <w:rFonts w:asciiTheme="minorHAnsi" w:hAnsiTheme="minorHAnsi" w:cstheme="minorHAnsi"/>
          <w:lang w:val="en-AU"/>
        </w:rPr>
        <w:t xml:space="preserve">team apply major methods for data collection and analysis through conducting field observation and </w:t>
      </w:r>
      <w:r w:rsidRPr="002E0D8A">
        <w:rPr>
          <w:rFonts w:asciiTheme="minorHAnsi" w:hAnsiTheme="minorHAnsi" w:cstheme="minorHAnsi"/>
          <w:color w:val="000000"/>
          <w:lang w:val="en-AU"/>
        </w:rPr>
        <w:t>key informant interviews at:</w:t>
      </w:r>
    </w:p>
    <w:p w14:paraId="21187AD7" w14:textId="34D2DD4E" w:rsidR="00E40FA4" w:rsidRPr="002E0D8A" w:rsidRDefault="00E40FA4" w:rsidP="009228CA">
      <w:pPr>
        <w:pStyle w:val="BodyText"/>
        <w:numPr>
          <w:ilvl w:val="0"/>
          <w:numId w:val="31"/>
        </w:numPr>
        <w:rPr>
          <w:rFonts w:asciiTheme="minorHAnsi" w:eastAsia="MS Mincho" w:hAnsiTheme="minorHAnsi" w:cstheme="minorHAnsi"/>
          <w:lang w:val="en-AU" w:eastAsia="ja-JP"/>
        </w:rPr>
      </w:pPr>
      <w:r w:rsidRPr="002E0D8A">
        <w:rPr>
          <w:rFonts w:asciiTheme="minorHAnsi" w:hAnsiTheme="minorHAnsi" w:cstheme="minorHAnsi"/>
          <w:color w:val="000000"/>
          <w:lang w:val="en-AU"/>
        </w:rPr>
        <w:lastRenderedPageBreak/>
        <w:t xml:space="preserve">Major regional events in Thailand 7-12 November 2016 – the Greater Mekong Forum, DFAT’s GMWRP Partners meeting, DFAT’s Development Partners Round-Table, and </w:t>
      </w:r>
      <w:r w:rsidRPr="002E0D8A">
        <w:rPr>
          <w:rFonts w:asciiTheme="minorHAnsi" w:hAnsiTheme="minorHAnsi" w:cstheme="minorHAnsi"/>
          <w:lang w:val="en-AU"/>
        </w:rPr>
        <w:t>Mekong/Salween /Ayeyarwa</w:t>
      </w:r>
      <w:r w:rsidR="007F11D7">
        <w:rPr>
          <w:rFonts w:asciiTheme="minorHAnsi" w:hAnsiTheme="minorHAnsi" w:cstheme="minorHAnsi"/>
          <w:lang w:val="en-AU"/>
        </w:rPr>
        <w:t>d</w:t>
      </w:r>
      <w:r w:rsidRPr="002E0D8A">
        <w:rPr>
          <w:rFonts w:asciiTheme="minorHAnsi" w:hAnsiTheme="minorHAnsi" w:cstheme="minorHAnsi"/>
          <w:lang w:val="en-AU"/>
        </w:rPr>
        <w:t>dy /Red Water Governance Fellows conference. The k</w:t>
      </w:r>
      <w:r w:rsidRPr="002E0D8A">
        <w:rPr>
          <w:rFonts w:asciiTheme="minorHAnsi" w:hAnsiTheme="minorHAnsi" w:cstheme="minorHAnsi"/>
          <w:color w:val="000000"/>
          <w:lang w:val="en-AU"/>
        </w:rPr>
        <w:t xml:space="preserve">ey informants included the </w:t>
      </w:r>
      <w:r w:rsidRPr="002E0D8A">
        <w:rPr>
          <w:rFonts w:asciiTheme="minorHAnsi" w:hAnsiTheme="minorHAnsi" w:cstheme="minorHAnsi"/>
          <w:lang w:val="en-AU"/>
        </w:rPr>
        <w:t xml:space="preserve">senior members of MRC, IFC, IWMI-WLE-Naga House, Oxfam Australia, National Mekong Committees, WorldFish </w:t>
      </w:r>
      <w:r w:rsidR="00DD51F2" w:rsidRPr="002E0D8A">
        <w:rPr>
          <w:rFonts w:asciiTheme="minorHAnsi" w:hAnsiTheme="minorHAnsi" w:cstheme="minorHAnsi"/>
          <w:lang w:val="en-AU"/>
        </w:rPr>
        <w:t>Centre</w:t>
      </w:r>
      <w:r w:rsidRPr="002E0D8A">
        <w:rPr>
          <w:rFonts w:asciiTheme="minorHAnsi" w:hAnsiTheme="minorHAnsi" w:cstheme="minorHAnsi"/>
          <w:lang w:val="en-AU"/>
        </w:rPr>
        <w:t xml:space="preserve">, Stockholm Environment </w:t>
      </w:r>
      <w:r w:rsidR="0040147F" w:rsidRPr="002E0D8A">
        <w:rPr>
          <w:rFonts w:asciiTheme="minorHAnsi" w:hAnsiTheme="minorHAnsi" w:cstheme="minorHAnsi"/>
          <w:lang w:val="en-AU"/>
        </w:rPr>
        <w:t>Institute,</w:t>
      </w:r>
      <w:r w:rsidRPr="002E0D8A">
        <w:rPr>
          <w:rFonts w:asciiTheme="minorHAnsi" w:hAnsiTheme="minorHAnsi" w:cstheme="minorHAnsi"/>
          <w:lang w:val="en-AU"/>
        </w:rPr>
        <w:t xml:space="preserve"> Stockholm International Water </w:t>
      </w:r>
      <w:r w:rsidR="0040147F" w:rsidRPr="002E0D8A">
        <w:rPr>
          <w:rFonts w:asciiTheme="minorHAnsi" w:hAnsiTheme="minorHAnsi" w:cstheme="minorHAnsi"/>
          <w:lang w:val="en-AU"/>
        </w:rPr>
        <w:t>Institute,</w:t>
      </w:r>
      <w:r w:rsidRPr="002E0D8A">
        <w:rPr>
          <w:rFonts w:asciiTheme="minorHAnsi" w:hAnsiTheme="minorHAnsi" w:cstheme="minorHAnsi"/>
          <w:lang w:val="en-AU"/>
        </w:rPr>
        <w:t xml:space="preserve"> eWater, ICEM, and relevant development partners such as EU, Sweden, Switzerland, World Bank, USA, GIZ, etc.</w:t>
      </w:r>
    </w:p>
    <w:p w14:paraId="432D588E" w14:textId="580C024F" w:rsidR="00E40FA4" w:rsidRPr="002E0D8A" w:rsidRDefault="00E40FA4" w:rsidP="009228CA">
      <w:pPr>
        <w:pStyle w:val="BodyText"/>
        <w:numPr>
          <w:ilvl w:val="0"/>
          <w:numId w:val="31"/>
        </w:numPr>
        <w:rPr>
          <w:rFonts w:asciiTheme="minorHAnsi" w:eastAsia="MS Mincho" w:hAnsiTheme="minorHAnsi" w:cstheme="minorHAnsi"/>
          <w:lang w:val="en-AU" w:eastAsia="ja-JP"/>
        </w:rPr>
      </w:pPr>
      <w:r w:rsidRPr="002E0D8A">
        <w:rPr>
          <w:rFonts w:asciiTheme="minorHAnsi" w:hAnsiTheme="minorHAnsi" w:cstheme="minorHAnsi"/>
          <w:color w:val="000000"/>
          <w:lang w:val="en-AU"/>
        </w:rPr>
        <w:t xml:space="preserve">In-country visits to Vietnam on November 13-16, Cambodia on November 17-20, and Laos 21-25 November 2016, and Myanmar on November 12 to 16, 2016. The key informants include the </w:t>
      </w:r>
      <w:r w:rsidR="0040147F">
        <w:rPr>
          <w:rFonts w:asciiTheme="minorHAnsi" w:hAnsiTheme="minorHAnsi" w:cstheme="minorHAnsi"/>
          <w:color w:val="000000"/>
          <w:lang w:val="en-AU"/>
        </w:rPr>
        <w:t xml:space="preserve">DFAT Greater </w:t>
      </w:r>
      <w:r w:rsidRPr="002E0D8A">
        <w:rPr>
          <w:rFonts w:asciiTheme="minorHAnsi" w:hAnsiTheme="minorHAnsi" w:cstheme="minorHAnsi"/>
          <w:color w:val="000000"/>
          <w:lang w:val="en-AU"/>
        </w:rPr>
        <w:t xml:space="preserve">Mekong Water Team, program’s key partners and development partners, e.g. AWP, IFC, the </w:t>
      </w:r>
      <w:r w:rsidRPr="002E0D8A">
        <w:rPr>
          <w:rFonts w:asciiTheme="minorHAnsi" w:hAnsiTheme="minorHAnsi" w:cstheme="minorHAnsi"/>
          <w:lang w:val="en-AU"/>
        </w:rPr>
        <w:t xml:space="preserve">National Mekong Committees, Governments’ </w:t>
      </w:r>
      <w:r w:rsidR="00B90C65">
        <w:rPr>
          <w:rFonts w:asciiTheme="minorHAnsi" w:hAnsiTheme="minorHAnsi" w:cstheme="minorHAnsi"/>
          <w:lang w:val="en-AU"/>
        </w:rPr>
        <w:t>a</w:t>
      </w:r>
      <w:r w:rsidRPr="002E0D8A">
        <w:rPr>
          <w:rFonts w:asciiTheme="minorHAnsi" w:hAnsiTheme="minorHAnsi" w:cstheme="minorHAnsi"/>
          <w:lang w:val="en-AU"/>
        </w:rPr>
        <w:t xml:space="preserve">gencies in charge of </w:t>
      </w:r>
      <w:r w:rsidR="00B90C65">
        <w:rPr>
          <w:rFonts w:asciiTheme="minorHAnsi" w:hAnsiTheme="minorHAnsi" w:cstheme="minorHAnsi"/>
          <w:lang w:val="en-AU"/>
        </w:rPr>
        <w:t>w</w:t>
      </w:r>
      <w:r w:rsidRPr="002E0D8A">
        <w:rPr>
          <w:rFonts w:asciiTheme="minorHAnsi" w:hAnsiTheme="minorHAnsi" w:cstheme="minorHAnsi"/>
          <w:lang w:val="en-AU"/>
        </w:rPr>
        <w:t xml:space="preserve">ater, </w:t>
      </w:r>
      <w:r w:rsidR="00B90C65">
        <w:rPr>
          <w:rFonts w:asciiTheme="minorHAnsi" w:hAnsiTheme="minorHAnsi" w:cstheme="minorHAnsi"/>
          <w:lang w:val="en-AU"/>
        </w:rPr>
        <w:t>e</w:t>
      </w:r>
      <w:r w:rsidRPr="002E0D8A">
        <w:rPr>
          <w:rFonts w:asciiTheme="minorHAnsi" w:hAnsiTheme="minorHAnsi" w:cstheme="minorHAnsi"/>
          <w:lang w:val="en-AU"/>
        </w:rPr>
        <w:t>nvironment</w:t>
      </w:r>
      <w:r w:rsidR="00B90C65">
        <w:rPr>
          <w:rFonts w:asciiTheme="minorHAnsi" w:hAnsiTheme="minorHAnsi" w:cstheme="minorHAnsi"/>
          <w:lang w:val="en-AU"/>
        </w:rPr>
        <w:t>, energy, n</w:t>
      </w:r>
      <w:r w:rsidRPr="002E0D8A">
        <w:rPr>
          <w:rFonts w:asciiTheme="minorHAnsi" w:hAnsiTheme="minorHAnsi" w:cstheme="minorHAnsi"/>
          <w:lang w:val="en-AU"/>
        </w:rPr>
        <w:t xml:space="preserve">atural </w:t>
      </w:r>
      <w:r w:rsidR="00B90C65">
        <w:rPr>
          <w:rFonts w:asciiTheme="minorHAnsi" w:hAnsiTheme="minorHAnsi" w:cstheme="minorHAnsi"/>
          <w:lang w:val="en-AU"/>
        </w:rPr>
        <w:t>r</w:t>
      </w:r>
      <w:r w:rsidRPr="002E0D8A">
        <w:rPr>
          <w:rFonts w:asciiTheme="minorHAnsi" w:hAnsiTheme="minorHAnsi" w:cstheme="minorHAnsi"/>
          <w:lang w:val="en-AU"/>
        </w:rPr>
        <w:t xml:space="preserve">esources, and </w:t>
      </w:r>
      <w:r w:rsidR="00B90C65">
        <w:rPr>
          <w:rFonts w:asciiTheme="minorHAnsi" w:hAnsiTheme="minorHAnsi" w:cstheme="minorHAnsi"/>
          <w:lang w:val="en-AU"/>
        </w:rPr>
        <w:t>a</w:t>
      </w:r>
      <w:r w:rsidRPr="002E0D8A">
        <w:rPr>
          <w:rFonts w:asciiTheme="minorHAnsi" w:hAnsiTheme="minorHAnsi" w:cstheme="minorHAnsi"/>
          <w:lang w:val="en-AU"/>
        </w:rPr>
        <w:t>griculture.</w:t>
      </w:r>
    </w:p>
    <w:p w14:paraId="6900D080" w14:textId="35E56DE1" w:rsidR="00E40FA4" w:rsidRPr="005C6D4B" w:rsidRDefault="00E40FA4" w:rsidP="005C6D4B">
      <w:pPr>
        <w:pStyle w:val="BodyText"/>
        <w:rPr>
          <w:rFonts w:asciiTheme="minorHAnsi" w:hAnsiTheme="minorHAnsi" w:cstheme="minorHAnsi"/>
          <w:lang w:val="en-AU"/>
        </w:rPr>
      </w:pPr>
      <w:r w:rsidRPr="002E0D8A">
        <w:rPr>
          <w:rFonts w:asciiTheme="minorHAnsi" w:hAnsiTheme="minorHAnsi" w:cstheme="minorHAnsi"/>
          <w:lang w:val="en-AU"/>
        </w:rPr>
        <w:t xml:space="preserve">A list of persons met and interviewed is provided as </w:t>
      </w:r>
      <w:r w:rsidRPr="006B455F">
        <w:rPr>
          <w:rFonts w:asciiTheme="minorHAnsi" w:hAnsiTheme="minorHAnsi" w:cstheme="minorHAnsi"/>
          <w:lang w:val="en-AU"/>
        </w:rPr>
        <w:t xml:space="preserve">an </w:t>
      </w:r>
      <w:r w:rsidR="006B455F" w:rsidRPr="006B455F">
        <w:rPr>
          <w:rFonts w:asciiTheme="minorHAnsi" w:hAnsiTheme="minorHAnsi" w:cstheme="minorHAnsi"/>
          <w:lang w:val="en-AU"/>
        </w:rPr>
        <w:t>Annex</w:t>
      </w:r>
      <w:r w:rsidR="005C6D4B" w:rsidRPr="006B455F">
        <w:rPr>
          <w:rFonts w:asciiTheme="minorHAnsi" w:hAnsiTheme="minorHAnsi" w:cstheme="minorHAnsi"/>
          <w:lang w:val="en-AU"/>
        </w:rPr>
        <w:t>.</w:t>
      </w:r>
      <w:r w:rsidR="005C6D4B">
        <w:rPr>
          <w:rFonts w:asciiTheme="minorHAnsi" w:hAnsiTheme="minorHAnsi" w:cstheme="minorHAnsi"/>
          <w:lang w:val="en-AU"/>
        </w:rPr>
        <w:t xml:space="preserve"> </w:t>
      </w:r>
      <w:r w:rsidRPr="002E0D8A">
        <w:rPr>
          <w:rFonts w:asciiTheme="minorHAnsi" w:eastAsia="MS Mincho" w:hAnsiTheme="minorHAnsi" w:cstheme="minorHAnsi"/>
          <w:lang w:val="en-AU" w:eastAsia="ja-JP"/>
        </w:rPr>
        <w:t>The information collection using semi-structured interviews is structured around the respondents’ personal and professional experiences and views on the program intervention such as:</w:t>
      </w:r>
    </w:p>
    <w:p w14:paraId="5F4BA081" w14:textId="77777777" w:rsidR="00E40FA4" w:rsidRPr="002E0D8A" w:rsidRDefault="00E40FA4" w:rsidP="009228CA">
      <w:pPr>
        <w:pStyle w:val="BodyText"/>
        <w:numPr>
          <w:ilvl w:val="0"/>
          <w:numId w:val="32"/>
        </w:numPr>
        <w:rPr>
          <w:rFonts w:asciiTheme="minorHAnsi" w:hAnsiTheme="minorHAnsi" w:cstheme="minorHAnsi"/>
          <w:lang w:val="en-AU"/>
        </w:rPr>
      </w:pPr>
      <w:r w:rsidRPr="002E0D8A">
        <w:rPr>
          <w:rFonts w:asciiTheme="minorHAnsi" w:hAnsiTheme="minorHAnsi" w:cstheme="minorHAnsi"/>
          <w:lang w:val="en-AU"/>
        </w:rPr>
        <w:t xml:space="preserve">How the program(s) policy dialogue was designed and has been delivered, examining </w:t>
      </w:r>
      <w:r w:rsidRPr="002E0D8A">
        <w:rPr>
          <w:rFonts w:asciiTheme="minorHAnsi" w:hAnsiTheme="minorHAnsi" w:cstheme="minorHAnsi"/>
          <w:color w:val="000000"/>
          <w:lang w:val="en-AU"/>
        </w:rPr>
        <w:t xml:space="preserve">overarching program design, design of individual investments, and human resourcing, </w:t>
      </w:r>
      <w:r w:rsidRPr="002E0D8A">
        <w:rPr>
          <w:rFonts w:asciiTheme="minorHAnsi" w:hAnsiTheme="minorHAnsi" w:cstheme="minorHAnsi"/>
          <w:lang w:val="en-AU"/>
        </w:rPr>
        <w:t>results implementation (based on established theory of change), and monitoring and evaluation;</w:t>
      </w:r>
    </w:p>
    <w:p w14:paraId="7359652E" w14:textId="77777777" w:rsidR="00E40FA4" w:rsidRPr="002E0D8A" w:rsidRDefault="00E40FA4" w:rsidP="009228CA">
      <w:pPr>
        <w:pStyle w:val="BodyText"/>
        <w:numPr>
          <w:ilvl w:val="0"/>
          <w:numId w:val="32"/>
        </w:numPr>
        <w:rPr>
          <w:rFonts w:asciiTheme="minorHAnsi" w:hAnsiTheme="minorHAnsi" w:cstheme="minorHAnsi"/>
          <w:lang w:val="en-AU"/>
        </w:rPr>
      </w:pPr>
      <w:r w:rsidRPr="002E0D8A">
        <w:rPr>
          <w:rFonts w:asciiTheme="minorHAnsi" w:hAnsiTheme="minorHAnsi"/>
          <w:lang w:val="en-AU"/>
        </w:rPr>
        <w:t>Exploring with key stakeholders the essential strengths or opportunities and areas for improvement. It was also informed by literature to identify best practices;</w:t>
      </w:r>
    </w:p>
    <w:p w14:paraId="478B7A44" w14:textId="331B5762" w:rsidR="00E40FA4" w:rsidRPr="002E0D8A" w:rsidRDefault="00E40FA4" w:rsidP="009228CA">
      <w:pPr>
        <w:pStyle w:val="BodyText"/>
        <w:numPr>
          <w:ilvl w:val="0"/>
          <w:numId w:val="32"/>
        </w:numPr>
        <w:rPr>
          <w:rFonts w:asciiTheme="minorHAnsi" w:hAnsiTheme="minorHAnsi" w:cstheme="minorHAnsi"/>
          <w:lang w:val="en-AU"/>
        </w:rPr>
      </w:pPr>
      <w:r w:rsidRPr="002E0D8A">
        <w:rPr>
          <w:rFonts w:asciiTheme="minorHAnsi" w:hAnsiTheme="minorHAnsi" w:cstheme="minorHAnsi"/>
          <w:color w:val="000000"/>
          <w:lang w:val="en-AU"/>
        </w:rPr>
        <w:t>Collecting significant change stories from a vari</w:t>
      </w:r>
      <w:r w:rsidRPr="002E0D8A">
        <w:rPr>
          <w:rFonts w:asciiTheme="minorHAnsi" w:hAnsiTheme="minorHAnsi" w:cstheme="minorHAnsi"/>
          <w:color w:val="000000"/>
          <w:lang w:val="en-AU"/>
        </w:rPr>
        <w:softHyphen/>
        <w:t>ety of stakeholders</w:t>
      </w:r>
      <w:r w:rsidRPr="002E0D8A">
        <w:rPr>
          <w:rFonts w:asciiTheme="minorHAnsi" w:hAnsiTheme="minorHAnsi" w:cstheme="minorHAnsi"/>
          <w:lang w:val="en-AU"/>
        </w:rPr>
        <w:t xml:space="preserve"> in a combination of synthesi</w:t>
      </w:r>
      <w:r w:rsidR="00340706">
        <w:rPr>
          <w:rFonts w:asciiTheme="minorHAnsi" w:hAnsiTheme="minorHAnsi" w:cstheme="minorHAnsi"/>
          <w:lang w:val="en-AU"/>
        </w:rPr>
        <w:t>s</w:t>
      </w:r>
      <w:r w:rsidRPr="002E0D8A">
        <w:rPr>
          <w:rFonts w:asciiTheme="minorHAnsi" w:hAnsiTheme="minorHAnsi" w:cstheme="minorHAnsi"/>
          <w:lang w:val="en-AU"/>
        </w:rPr>
        <w:t>ed data to identify lessons learned; and</w:t>
      </w:r>
    </w:p>
    <w:p w14:paraId="4CDE538D" w14:textId="77777777" w:rsidR="00E40FA4" w:rsidRPr="002E0D8A" w:rsidRDefault="00E40FA4" w:rsidP="009228CA">
      <w:pPr>
        <w:pStyle w:val="BodyText"/>
        <w:numPr>
          <w:ilvl w:val="0"/>
          <w:numId w:val="32"/>
        </w:numPr>
        <w:rPr>
          <w:rFonts w:asciiTheme="minorHAnsi" w:hAnsiTheme="minorHAnsi" w:cstheme="minorHAnsi"/>
          <w:lang w:val="en-AU"/>
        </w:rPr>
      </w:pPr>
      <w:r w:rsidRPr="002E0D8A">
        <w:rPr>
          <w:rFonts w:asciiTheme="minorHAnsi" w:hAnsiTheme="minorHAnsi" w:cstheme="minorHAnsi"/>
          <w:lang w:val="en-AU"/>
        </w:rPr>
        <w:t xml:space="preserve">Drawing on evidence from both process and theory-based elements detailed above to provide a clear direction for management of DFAT GMWRP going forward. The current reform environment and policy context was considered in the development of recommendations on the future management. </w:t>
      </w:r>
    </w:p>
    <w:p w14:paraId="6C713221" w14:textId="27B1E06B" w:rsidR="00E40FA4" w:rsidRPr="002E0D8A" w:rsidRDefault="00E40FA4" w:rsidP="005C6D4B">
      <w:pPr>
        <w:pStyle w:val="BodyText"/>
        <w:rPr>
          <w:rFonts w:asciiTheme="minorHAnsi" w:hAnsiTheme="minorHAnsi"/>
          <w:lang w:val="en-AU"/>
        </w:rPr>
      </w:pPr>
      <w:r w:rsidRPr="002E0D8A">
        <w:rPr>
          <w:rFonts w:asciiTheme="minorHAnsi" w:hAnsiTheme="minorHAnsi"/>
          <w:lang w:val="en-AU"/>
        </w:rPr>
        <w:t xml:space="preserve">The </w:t>
      </w:r>
      <w:r w:rsidR="004C5B24">
        <w:rPr>
          <w:rFonts w:asciiTheme="minorHAnsi" w:hAnsiTheme="minorHAnsi"/>
          <w:lang w:val="en-AU"/>
        </w:rPr>
        <w:t>evaluative study</w:t>
      </w:r>
      <w:r w:rsidRPr="002E0D8A">
        <w:rPr>
          <w:rFonts w:asciiTheme="minorHAnsi" w:hAnsiTheme="minorHAnsi"/>
          <w:lang w:val="en-AU"/>
        </w:rPr>
        <w:t xml:space="preserve"> was conducted in accordance with the Code of Ethics including: </w:t>
      </w:r>
    </w:p>
    <w:p w14:paraId="4D9D09FC" w14:textId="77777777" w:rsidR="00E40FA4" w:rsidRPr="002E0D8A" w:rsidRDefault="00E40FA4" w:rsidP="009228CA">
      <w:pPr>
        <w:pStyle w:val="BodyText"/>
        <w:numPr>
          <w:ilvl w:val="0"/>
          <w:numId w:val="33"/>
        </w:numPr>
        <w:rPr>
          <w:rFonts w:asciiTheme="minorHAnsi" w:hAnsiTheme="minorHAnsi"/>
          <w:lang w:val="en-AU"/>
        </w:rPr>
      </w:pPr>
      <w:r w:rsidRPr="002E0D8A">
        <w:rPr>
          <w:rFonts w:asciiTheme="minorHAnsi" w:hAnsiTheme="minorHAnsi"/>
          <w:lang w:val="en-AU"/>
        </w:rPr>
        <w:t xml:space="preserve">Ensuring all those who participate in the review as informants are provided with clear information about the review and what would happen to the information. </w:t>
      </w:r>
    </w:p>
    <w:p w14:paraId="1C94D4E7" w14:textId="77777777" w:rsidR="00E40FA4" w:rsidRPr="002E0D8A" w:rsidRDefault="00E40FA4" w:rsidP="009228CA">
      <w:pPr>
        <w:pStyle w:val="BodyText"/>
        <w:numPr>
          <w:ilvl w:val="0"/>
          <w:numId w:val="33"/>
        </w:numPr>
        <w:rPr>
          <w:rFonts w:asciiTheme="minorHAnsi" w:hAnsiTheme="minorHAnsi"/>
          <w:lang w:val="en-AU"/>
        </w:rPr>
      </w:pPr>
      <w:r w:rsidRPr="002E0D8A">
        <w:rPr>
          <w:rFonts w:asciiTheme="minorHAnsi" w:hAnsiTheme="minorHAnsi"/>
          <w:lang w:val="en-AU"/>
        </w:rPr>
        <w:t xml:space="preserve">Confidentiality is assured. </w:t>
      </w:r>
    </w:p>
    <w:p w14:paraId="14B858EB" w14:textId="77777777" w:rsidR="00E40FA4" w:rsidRPr="002E0D8A" w:rsidRDefault="00E40FA4" w:rsidP="009228CA">
      <w:pPr>
        <w:pStyle w:val="BodyText"/>
        <w:numPr>
          <w:ilvl w:val="0"/>
          <w:numId w:val="33"/>
        </w:numPr>
        <w:rPr>
          <w:rFonts w:asciiTheme="minorHAnsi" w:hAnsiTheme="minorHAnsi"/>
          <w:lang w:val="en-AU"/>
        </w:rPr>
      </w:pPr>
      <w:r w:rsidRPr="002E0D8A">
        <w:rPr>
          <w:rFonts w:asciiTheme="minorHAnsi" w:hAnsiTheme="minorHAnsi"/>
          <w:lang w:val="en-AU"/>
        </w:rPr>
        <w:t xml:space="preserve">Data is displayed in ways that do not permit identification of the informant. </w:t>
      </w:r>
    </w:p>
    <w:p w14:paraId="7F37EF48" w14:textId="77777777" w:rsidR="00E40FA4" w:rsidRPr="002E0D8A" w:rsidRDefault="00E40FA4" w:rsidP="009228CA">
      <w:pPr>
        <w:pStyle w:val="BodyText"/>
        <w:numPr>
          <w:ilvl w:val="0"/>
          <w:numId w:val="33"/>
        </w:numPr>
        <w:rPr>
          <w:rFonts w:asciiTheme="minorHAnsi" w:hAnsiTheme="minorHAnsi"/>
          <w:lang w:val="en-AU"/>
        </w:rPr>
      </w:pPr>
      <w:r w:rsidRPr="002E0D8A">
        <w:rPr>
          <w:rFonts w:asciiTheme="minorHAnsi" w:hAnsiTheme="minorHAnsi"/>
          <w:lang w:val="en-AU"/>
        </w:rPr>
        <w:t xml:space="preserve">Where negative findings emerge, these are discussed with the relevant partners (as a courtesy) prior to their presentation. </w:t>
      </w:r>
    </w:p>
    <w:p w14:paraId="43D5337F" w14:textId="5539B578" w:rsidR="00E40FA4" w:rsidRPr="002E0D8A" w:rsidRDefault="00472630" w:rsidP="005C6D4B">
      <w:pPr>
        <w:pStyle w:val="BodyText"/>
        <w:rPr>
          <w:rFonts w:cstheme="minorHAnsi"/>
          <w:lang w:val="en-AU"/>
        </w:rPr>
      </w:pPr>
      <w:r w:rsidRPr="002E0D8A">
        <w:rPr>
          <w:lang w:val="en-AU"/>
        </w:rPr>
        <w:t>Data, theory and methodological t</w:t>
      </w:r>
      <w:r w:rsidR="00E40FA4" w:rsidRPr="002E0D8A">
        <w:rPr>
          <w:rFonts w:cstheme="minorHAnsi"/>
          <w:lang w:val="en-AU"/>
        </w:rPr>
        <w:t xml:space="preserve">riangulation was applied: </w:t>
      </w:r>
    </w:p>
    <w:p w14:paraId="65257842" w14:textId="77777777" w:rsidR="00E40FA4" w:rsidRPr="002E0D8A" w:rsidRDefault="00E40FA4" w:rsidP="009228CA">
      <w:pPr>
        <w:pStyle w:val="BodyText"/>
        <w:numPr>
          <w:ilvl w:val="0"/>
          <w:numId w:val="34"/>
        </w:numPr>
        <w:rPr>
          <w:lang w:val="en-AU"/>
        </w:rPr>
      </w:pPr>
      <w:r w:rsidRPr="002E0D8A">
        <w:rPr>
          <w:lang w:val="en-AU"/>
        </w:rPr>
        <w:t xml:space="preserve">Data triangulation – the use of a variety of data sources – primary data from interviews, secondary data from literature review, and professional/personal observation and experience; </w:t>
      </w:r>
    </w:p>
    <w:p w14:paraId="6983761C" w14:textId="77777777" w:rsidR="00E40FA4" w:rsidRPr="002E0D8A" w:rsidRDefault="00E40FA4" w:rsidP="009228CA">
      <w:pPr>
        <w:pStyle w:val="BodyText"/>
        <w:numPr>
          <w:ilvl w:val="0"/>
          <w:numId w:val="34"/>
        </w:numPr>
        <w:rPr>
          <w:lang w:val="en-AU"/>
        </w:rPr>
      </w:pPr>
      <w:r w:rsidRPr="002E0D8A">
        <w:rPr>
          <w:lang w:val="en-AU"/>
        </w:rPr>
        <w:t xml:space="preserve">Investigator triangulation – the use of different evaluators; </w:t>
      </w:r>
    </w:p>
    <w:p w14:paraId="7356ECDB" w14:textId="77777777" w:rsidR="00E40FA4" w:rsidRPr="002E0D8A" w:rsidRDefault="00E40FA4" w:rsidP="009228CA">
      <w:pPr>
        <w:pStyle w:val="BodyText"/>
        <w:numPr>
          <w:ilvl w:val="0"/>
          <w:numId w:val="34"/>
        </w:numPr>
        <w:rPr>
          <w:lang w:val="en-AU"/>
        </w:rPr>
      </w:pPr>
      <w:r w:rsidRPr="002E0D8A">
        <w:rPr>
          <w:lang w:val="en-AU"/>
        </w:rPr>
        <w:t xml:space="preserve">Theory triangulation – the use of multiple perspectives to interpret the data; and </w:t>
      </w:r>
    </w:p>
    <w:p w14:paraId="3CEF1127" w14:textId="77777777" w:rsidR="00472630" w:rsidRPr="002E0D8A" w:rsidRDefault="00E40FA4" w:rsidP="009228CA">
      <w:pPr>
        <w:pStyle w:val="BodyText"/>
        <w:numPr>
          <w:ilvl w:val="0"/>
          <w:numId w:val="34"/>
        </w:numPr>
        <w:rPr>
          <w:lang w:val="en-AU"/>
        </w:rPr>
      </w:pPr>
      <w:r w:rsidRPr="002E0D8A">
        <w:rPr>
          <w:lang w:val="en-AU"/>
        </w:rPr>
        <w:t xml:space="preserve">Methodological triangulation – the use of a mix of methods. </w:t>
      </w:r>
    </w:p>
    <w:p w14:paraId="7D8CA147" w14:textId="4E0BFB57" w:rsidR="00472630" w:rsidRPr="002E0D8A" w:rsidRDefault="00472630" w:rsidP="009228CA">
      <w:pPr>
        <w:pStyle w:val="BodyText"/>
        <w:numPr>
          <w:ilvl w:val="0"/>
          <w:numId w:val="34"/>
        </w:numPr>
        <w:rPr>
          <w:lang w:val="en-AU"/>
        </w:rPr>
      </w:pPr>
      <w:r w:rsidRPr="002E0D8A">
        <w:rPr>
          <w:lang w:val="en-AU"/>
        </w:rPr>
        <w:t>As part of additional triangulation, the draft final report incorporates co</w:t>
      </w:r>
      <w:r w:rsidR="00FB7653">
        <w:rPr>
          <w:lang w:val="en-AU"/>
        </w:rPr>
        <w:t>mments from DFAT and partners.</w:t>
      </w:r>
    </w:p>
    <w:p w14:paraId="5EDC61E1" w14:textId="476D004A" w:rsidR="00562213" w:rsidRPr="002E0D8A" w:rsidRDefault="00C32435" w:rsidP="005F57A8">
      <w:pPr>
        <w:pStyle w:val="Heading2"/>
        <w:tabs>
          <w:tab w:val="clear" w:pos="401"/>
          <w:tab w:val="num" w:pos="851"/>
        </w:tabs>
        <w:spacing w:before="120" w:after="120"/>
        <w:ind w:left="-5" w:right="423" w:firstLine="5"/>
        <w:rPr>
          <w:lang w:val="en-AU"/>
        </w:rPr>
      </w:pPr>
      <w:bookmarkStart w:id="27" w:name="_Toc475358467"/>
      <w:bookmarkStart w:id="28" w:name="_Toc470715850"/>
      <w:r>
        <w:rPr>
          <w:lang w:val="en-AU"/>
        </w:rPr>
        <w:lastRenderedPageBreak/>
        <w:t>L</w:t>
      </w:r>
      <w:r w:rsidR="00E40FA4" w:rsidRPr="002E0D8A">
        <w:rPr>
          <w:lang w:val="en-AU"/>
        </w:rPr>
        <w:t>imitations</w:t>
      </w:r>
      <w:bookmarkEnd w:id="27"/>
    </w:p>
    <w:bookmarkEnd w:id="28"/>
    <w:p w14:paraId="161DB44A" w14:textId="57FC572A" w:rsidR="001C6D20" w:rsidRPr="002E0D8A" w:rsidRDefault="001C6D20" w:rsidP="005C6D4B">
      <w:pPr>
        <w:pStyle w:val="BodyText"/>
        <w:rPr>
          <w:lang w:val="en-AU"/>
        </w:rPr>
      </w:pPr>
      <w:r w:rsidRPr="002E0D8A">
        <w:rPr>
          <w:lang w:val="en-AU"/>
        </w:rPr>
        <w:t xml:space="preserve">The </w:t>
      </w:r>
      <w:r w:rsidR="004C5B24">
        <w:rPr>
          <w:lang w:val="en-AU"/>
        </w:rPr>
        <w:t>study</w:t>
      </w:r>
      <w:r w:rsidRPr="002E0D8A">
        <w:rPr>
          <w:lang w:val="en-AU"/>
        </w:rPr>
        <w:t xml:space="preserve"> team believes that the approach and methodology employed has made for a robust evaluat</w:t>
      </w:r>
      <w:r w:rsidR="004C5B24">
        <w:rPr>
          <w:lang w:val="en-AU"/>
        </w:rPr>
        <w:t>ive study</w:t>
      </w:r>
      <w:r w:rsidRPr="002E0D8A">
        <w:rPr>
          <w:lang w:val="en-AU"/>
        </w:rPr>
        <w:t xml:space="preserve"> of the GMWRP, with a specific focus on policy dialogue approaches. </w:t>
      </w:r>
      <w:r w:rsidR="00794F53" w:rsidRPr="002E0D8A">
        <w:rPr>
          <w:lang w:val="en-AU"/>
        </w:rPr>
        <w:t>However,</w:t>
      </w:r>
      <w:r w:rsidRPr="002E0D8A">
        <w:rPr>
          <w:lang w:val="en-AU"/>
        </w:rPr>
        <w:t xml:space="preserve"> there are some limitations as discussed below:</w:t>
      </w:r>
    </w:p>
    <w:p w14:paraId="08E4BC4E" w14:textId="098527BE" w:rsidR="00E40FA4" w:rsidRPr="002E0D8A" w:rsidRDefault="00E40FA4" w:rsidP="009228CA">
      <w:pPr>
        <w:pStyle w:val="BodyText"/>
        <w:numPr>
          <w:ilvl w:val="0"/>
          <w:numId w:val="35"/>
        </w:numPr>
        <w:rPr>
          <w:lang w:val="en-AU"/>
        </w:rPr>
      </w:pPr>
      <w:r w:rsidRPr="002E0D8A">
        <w:rPr>
          <w:lang w:val="en-AU"/>
        </w:rPr>
        <w:t xml:space="preserve">The </w:t>
      </w:r>
      <w:r w:rsidR="004C5B24">
        <w:rPr>
          <w:lang w:val="en-AU"/>
        </w:rPr>
        <w:t>evaluative study</w:t>
      </w:r>
      <w:r w:rsidRPr="002E0D8A">
        <w:rPr>
          <w:lang w:val="en-AU"/>
        </w:rPr>
        <w:t xml:space="preserve"> includes a significant amount of qualitative/perception-based enquiry including interviews and focus groups, and many of the stakeholders consulted as part of the </w:t>
      </w:r>
      <w:r w:rsidR="004C5B24">
        <w:rPr>
          <w:lang w:val="en-AU"/>
        </w:rPr>
        <w:t>evaluative study</w:t>
      </w:r>
      <w:r w:rsidRPr="002E0D8A">
        <w:rPr>
          <w:lang w:val="en-AU"/>
        </w:rPr>
        <w:t xml:space="preserve"> have a close association with the GMWRP. In an attempt to be more objective a number of other stakeholders were consulted who are not directly linked to GMWRP such as S</w:t>
      </w:r>
      <w:r w:rsidR="004C5B24">
        <w:rPr>
          <w:lang w:val="en-AU"/>
        </w:rPr>
        <w:t>ida</w:t>
      </w:r>
      <w:r w:rsidRPr="002E0D8A">
        <w:rPr>
          <w:lang w:val="en-AU"/>
        </w:rPr>
        <w:t>, World Bank</w:t>
      </w:r>
      <w:r w:rsidR="004C5B24">
        <w:rPr>
          <w:lang w:val="en-AU"/>
        </w:rPr>
        <w:t xml:space="preserve"> Group</w:t>
      </w:r>
      <w:r w:rsidRPr="002E0D8A">
        <w:rPr>
          <w:lang w:val="en-AU"/>
        </w:rPr>
        <w:t xml:space="preserve">, </w:t>
      </w:r>
      <w:r w:rsidR="0080201D" w:rsidRPr="002E0D8A">
        <w:rPr>
          <w:lang w:val="en-AU"/>
        </w:rPr>
        <w:t xml:space="preserve">ADB, </w:t>
      </w:r>
      <w:r w:rsidRPr="002E0D8A">
        <w:rPr>
          <w:lang w:val="en-AU"/>
        </w:rPr>
        <w:t xml:space="preserve">SEI, SIWI, USAID, </w:t>
      </w:r>
      <w:r w:rsidR="009C440B" w:rsidRPr="002E0D8A">
        <w:rPr>
          <w:lang w:val="en-AU"/>
        </w:rPr>
        <w:t xml:space="preserve">Dutch Embassy, </w:t>
      </w:r>
      <w:r w:rsidRPr="002E0D8A">
        <w:rPr>
          <w:lang w:val="en-AU"/>
        </w:rPr>
        <w:t xml:space="preserve">GIZ and staff at DFAT posts in Cambodia, Vietnam, and Myanmar. Additionally, where possible the </w:t>
      </w:r>
      <w:r w:rsidR="004C5B24">
        <w:rPr>
          <w:lang w:val="en-AU"/>
        </w:rPr>
        <w:t>evaluative study</w:t>
      </w:r>
      <w:r w:rsidRPr="002E0D8A">
        <w:rPr>
          <w:lang w:val="en-AU"/>
        </w:rPr>
        <w:t xml:space="preserve"> team sought data from more than one source, and drew on the secondary data and attempted to collect quantitative data to support perception-based findings. </w:t>
      </w:r>
    </w:p>
    <w:p w14:paraId="4A18B847" w14:textId="77777777" w:rsidR="00E40FA4" w:rsidRPr="002E0D8A" w:rsidRDefault="00E40FA4" w:rsidP="009228CA">
      <w:pPr>
        <w:pStyle w:val="BodyText"/>
        <w:numPr>
          <w:ilvl w:val="0"/>
          <w:numId w:val="35"/>
        </w:numPr>
        <w:rPr>
          <w:lang w:val="en-AU"/>
        </w:rPr>
      </w:pPr>
      <w:r w:rsidRPr="002E0D8A">
        <w:rPr>
          <w:lang w:val="en-AU"/>
        </w:rPr>
        <w:t>It is challenging to adequately evaluate the attribution or contribution of the projects to achieving cross-cutting outcomes, especially policy change, and more effective/fairer regional water governance, which is influenced by so many different factors and contributions of many different actors.</w:t>
      </w:r>
    </w:p>
    <w:p w14:paraId="3162619F" w14:textId="545256C0" w:rsidR="00E40FA4" w:rsidRPr="002E0D8A" w:rsidRDefault="00E40FA4" w:rsidP="009228CA">
      <w:pPr>
        <w:pStyle w:val="BodyText"/>
        <w:numPr>
          <w:ilvl w:val="0"/>
          <w:numId w:val="35"/>
        </w:numPr>
        <w:rPr>
          <w:lang w:val="en-AU"/>
        </w:rPr>
      </w:pPr>
      <w:r w:rsidRPr="002E0D8A">
        <w:rPr>
          <w:lang w:val="en-AU"/>
        </w:rPr>
        <w:t xml:space="preserve">However, the </w:t>
      </w:r>
      <w:r w:rsidR="004C5B24">
        <w:rPr>
          <w:lang w:val="en-AU"/>
        </w:rPr>
        <w:t>evaluative study</w:t>
      </w:r>
      <w:r w:rsidRPr="002E0D8A">
        <w:rPr>
          <w:lang w:val="en-AU"/>
        </w:rPr>
        <w:t xml:space="preserve"> team did benefit from observing the GMWRP consultations and meetings. Participating in the sessions provided useful insights into how partners and DFAT view GMWRP in terms of its purpose and objectives. </w:t>
      </w:r>
    </w:p>
    <w:p w14:paraId="2647E4D5" w14:textId="5FC17793" w:rsidR="00E40FA4" w:rsidRPr="002E0D8A" w:rsidRDefault="00E40FA4" w:rsidP="009228CA">
      <w:pPr>
        <w:pStyle w:val="BodyText"/>
        <w:numPr>
          <w:ilvl w:val="0"/>
          <w:numId w:val="35"/>
        </w:numPr>
        <w:rPr>
          <w:lang w:val="en-AU"/>
        </w:rPr>
      </w:pPr>
      <w:r w:rsidRPr="002E0D8A">
        <w:rPr>
          <w:lang w:val="en-AU"/>
        </w:rPr>
        <w:t>The review was occurring during the end of the year where partners and related organi</w:t>
      </w:r>
      <w:r w:rsidR="00340706">
        <w:rPr>
          <w:lang w:val="en-AU"/>
        </w:rPr>
        <w:t>s</w:t>
      </w:r>
      <w:r w:rsidRPr="002E0D8A">
        <w:rPr>
          <w:lang w:val="en-AU"/>
        </w:rPr>
        <w:t xml:space="preserve">ations are extremely busy with their annual work-plans before the year-end holidays. The </w:t>
      </w:r>
      <w:r w:rsidR="0040147F">
        <w:rPr>
          <w:lang w:val="en-AU"/>
        </w:rPr>
        <w:t xml:space="preserve">Greater </w:t>
      </w:r>
      <w:r w:rsidRPr="002E0D8A">
        <w:rPr>
          <w:lang w:val="en-AU"/>
        </w:rPr>
        <w:t xml:space="preserve">Mekong Water Team built a good network and partnership with our key stakeholders and interviewees that helped the </w:t>
      </w:r>
      <w:r w:rsidR="004C5B24">
        <w:rPr>
          <w:lang w:val="en-AU"/>
        </w:rPr>
        <w:t>evaluative study</w:t>
      </w:r>
      <w:r w:rsidRPr="002E0D8A">
        <w:rPr>
          <w:lang w:val="en-AU"/>
        </w:rPr>
        <w:t xml:space="preserve"> overcome these constraints.</w:t>
      </w:r>
    </w:p>
    <w:p w14:paraId="5C379835" w14:textId="2C45CD14" w:rsidR="00E40FA4" w:rsidRPr="002E0D8A" w:rsidRDefault="00C32435" w:rsidP="00E40FA4">
      <w:pPr>
        <w:pStyle w:val="Heading1"/>
        <w:spacing w:after="120"/>
        <w:rPr>
          <w:lang w:val="en-AU"/>
        </w:rPr>
      </w:pPr>
      <w:bookmarkStart w:id="29" w:name="_Toc470715851"/>
      <w:bookmarkStart w:id="30" w:name="_Toc475358468"/>
      <w:r>
        <w:rPr>
          <w:lang w:val="en-AU"/>
        </w:rPr>
        <w:t>K</w:t>
      </w:r>
      <w:r w:rsidR="00E40FA4" w:rsidRPr="002E0D8A">
        <w:rPr>
          <w:lang w:val="en-AU"/>
        </w:rPr>
        <w:t>ey findings</w:t>
      </w:r>
      <w:bookmarkEnd w:id="29"/>
      <w:bookmarkEnd w:id="30"/>
    </w:p>
    <w:p w14:paraId="5BD700FE" w14:textId="7920C354" w:rsidR="00E40FA4" w:rsidRPr="002E0D8A" w:rsidRDefault="00E40FA4" w:rsidP="007873C5">
      <w:pPr>
        <w:pStyle w:val="BodyText"/>
        <w:rPr>
          <w:lang w:val="en-AU"/>
        </w:rPr>
      </w:pPr>
      <w:r w:rsidRPr="002E0D8A">
        <w:rPr>
          <w:lang w:val="en-AU"/>
        </w:rPr>
        <w:t xml:space="preserve">The following sections identify key findings of each of the questions in the </w:t>
      </w:r>
      <w:r w:rsidR="004C5B24">
        <w:rPr>
          <w:lang w:val="en-AU"/>
        </w:rPr>
        <w:t>evaluative study</w:t>
      </w:r>
      <w:r w:rsidRPr="002E0D8A">
        <w:rPr>
          <w:lang w:val="en-AU"/>
        </w:rPr>
        <w:t xml:space="preserve"> </w:t>
      </w:r>
      <w:r w:rsidR="004C5B24">
        <w:rPr>
          <w:lang w:val="en-AU"/>
        </w:rPr>
        <w:t>p</w:t>
      </w:r>
      <w:r w:rsidRPr="002E0D8A">
        <w:rPr>
          <w:lang w:val="en-AU"/>
        </w:rPr>
        <w:t>lan.</w:t>
      </w:r>
    </w:p>
    <w:p w14:paraId="182635E4" w14:textId="581186D2" w:rsidR="002D486D" w:rsidRPr="007873C5" w:rsidRDefault="00B469A1" w:rsidP="007873C5">
      <w:pPr>
        <w:pStyle w:val="BodyText"/>
        <w:rPr>
          <w:rFonts w:asciiTheme="minorHAnsi" w:hAnsiTheme="minorHAnsi" w:cstheme="minorHAnsi"/>
          <w:b/>
          <w:bCs/>
          <w:color w:val="000000"/>
          <w:lang w:val="en-AU"/>
        </w:rPr>
      </w:pPr>
      <w:r>
        <w:rPr>
          <w:b/>
          <w:lang w:val="en-AU"/>
        </w:rPr>
        <w:t>Governance program</w:t>
      </w:r>
      <w:r>
        <w:rPr>
          <w:rFonts w:asciiTheme="minorHAnsi" w:hAnsiTheme="minorHAnsi" w:cstheme="minorHAnsi"/>
          <w:b/>
          <w:bCs/>
          <w:color w:val="000000"/>
          <w:lang w:val="en-AU"/>
        </w:rPr>
        <w:t xml:space="preserve">: </w:t>
      </w:r>
      <w:r w:rsidR="00E40FA4" w:rsidRPr="002E0D8A">
        <w:rPr>
          <w:rFonts w:asciiTheme="minorHAnsi" w:hAnsiTheme="minorHAnsi" w:cstheme="minorHAnsi"/>
          <w:lang w:val="en-AU"/>
        </w:rPr>
        <w:t xml:space="preserve">GMWRP is primarily a governance </w:t>
      </w:r>
      <w:r w:rsidR="00F14BDF" w:rsidRPr="002E0D8A">
        <w:rPr>
          <w:rFonts w:asciiTheme="minorHAnsi" w:hAnsiTheme="minorHAnsi" w:cstheme="minorHAnsi"/>
          <w:lang w:val="en-AU"/>
        </w:rPr>
        <w:t>program</w:t>
      </w:r>
      <w:r w:rsidR="00E40FA4" w:rsidRPr="002E0D8A">
        <w:rPr>
          <w:rFonts w:asciiTheme="minorHAnsi" w:hAnsiTheme="minorHAnsi" w:cstheme="minorHAnsi"/>
          <w:lang w:val="en-AU"/>
        </w:rPr>
        <w:t xml:space="preserve"> where DFAT </w:t>
      </w:r>
      <w:r w:rsidR="00A67D29" w:rsidRPr="002E0D8A">
        <w:rPr>
          <w:rFonts w:asciiTheme="minorHAnsi" w:hAnsiTheme="minorHAnsi" w:cstheme="minorHAnsi"/>
          <w:lang w:val="en-AU"/>
        </w:rPr>
        <w:t xml:space="preserve">has </w:t>
      </w:r>
      <w:r w:rsidR="00E40FA4" w:rsidRPr="002E0D8A">
        <w:rPr>
          <w:rFonts w:asciiTheme="minorHAnsi" w:hAnsiTheme="minorHAnsi" w:cstheme="minorHAnsi"/>
          <w:lang w:val="en-AU"/>
        </w:rPr>
        <w:t>work</w:t>
      </w:r>
      <w:r w:rsidR="00A67D29" w:rsidRPr="002E0D8A">
        <w:rPr>
          <w:rFonts w:asciiTheme="minorHAnsi" w:hAnsiTheme="minorHAnsi" w:cstheme="minorHAnsi"/>
          <w:lang w:val="en-AU"/>
        </w:rPr>
        <w:t>ed</w:t>
      </w:r>
      <w:r w:rsidR="00E40FA4" w:rsidRPr="002E0D8A">
        <w:rPr>
          <w:rFonts w:asciiTheme="minorHAnsi" w:hAnsiTheme="minorHAnsi" w:cstheme="minorHAnsi"/>
          <w:lang w:val="en-AU"/>
        </w:rPr>
        <w:t xml:space="preserve"> closely with a number of partners to make strategic intervention</w:t>
      </w:r>
      <w:r w:rsidR="00D66A48" w:rsidRPr="002E0D8A">
        <w:rPr>
          <w:rFonts w:asciiTheme="minorHAnsi" w:hAnsiTheme="minorHAnsi" w:cstheme="minorHAnsi"/>
          <w:lang w:val="en-AU"/>
        </w:rPr>
        <w:t xml:space="preserve">s into different regional, </w:t>
      </w:r>
      <w:r w:rsidR="00E40FA4" w:rsidRPr="002E0D8A">
        <w:rPr>
          <w:rFonts w:asciiTheme="minorHAnsi" w:hAnsiTheme="minorHAnsi" w:cstheme="minorHAnsi"/>
          <w:lang w:val="en-AU"/>
        </w:rPr>
        <w:t>transboundary</w:t>
      </w:r>
      <w:r w:rsidR="00D66A48" w:rsidRPr="002E0D8A">
        <w:rPr>
          <w:rFonts w:asciiTheme="minorHAnsi" w:hAnsiTheme="minorHAnsi" w:cstheme="minorHAnsi"/>
          <w:lang w:val="en-AU"/>
        </w:rPr>
        <w:t xml:space="preserve"> and national water governance</w:t>
      </w:r>
      <w:r>
        <w:rPr>
          <w:rFonts w:asciiTheme="minorHAnsi" w:hAnsiTheme="minorHAnsi" w:cstheme="minorHAnsi"/>
          <w:lang w:val="en-AU"/>
        </w:rPr>
        <w:t xml:space="preserve"> arenas</w:t>
      </w:r>
      <w:r w:rsidR="001C6D20" w:rsidRPr="002E0D8A">
        <w:rPr>
          <w:rFonts w:asciiTheme="minorHAnsi" w:hAnsiTheme="minorHAnsi" w:cstheme="minorHAnsi"/>
          <w:lang w:val="en-AU"/>
        </w:rPr>
        <w:t xml:space="preserve">. GMWRP </w:t>
      </w:r>
      <w:r w:rsidR="002D486D" w:rsidRPr="002E0D8A">
        <w:rPr>
          <w:rFonts w:asciiTheme="minorHAnsi" w:hAnsiTheme="minorHAnsi" w:cstheme="minorHAnsi"/>
          <w:lang w:val="en-AU"/>
        </w:rPr>
        <w:t>is clearly supporting the creation and nurturing of preconditions for positive changes and their institutionali</w:t>
      </w:r>
      <w:r w:rsidR="00340706">
        <w:rPr>
          <w:rFonts w:asciiTheme="minorHAnsi" w:hAnsiTheme="minorHAnsi" w:cstheme="minorHAnsi"/>
          <w:lang w:val="en-AU"/>
        </w:rPr>
        <w:t>s</w:t>
      </w:r>
      <w:r w:rsidR="002D486D" w:rsidRPr="002E0D8A">
        <w:rPr>
          <w:rFonts w:asciiTheme="minorHAnsi" w:hAnsiTheme="minorHAnsi" w:cstheme="minorHAnsi"/>
          <w:lang w:val="en-AU"/>
        </w:rPr>
        <w:t>ation by strategic nudging - policies and actions that change incentives, opportunities and institutional frameworks in order to achieve fairer and more effective governance.</w:t>
      </w:r>
    </w:p>
    <w:p w14:paraId="248D026F" w14:textId="2931BDAF" w:rsidR="002D486D" w:rsidRPr="007873C5" w:rsidRDefault="007873C5" w:rsidP="007873C5">
      <w:pPr>
        <w:pStyle w:val="BodyText"/>
        <w:rPr>
          <w:rFonts w:asciiTheme="minorHAnsi" w:hAnsiTheme="minorHAnsi"/>
          <w:b/>
          <w:lang w:val="en-AU" w:bidi="th-TH"/>
        </w:rPr>
      </w:pPr>
      <w:bookmarkStart w:id="31" w:name="_Toc470715853"/>
      <w:r>
        <w:rPr>
          <w:rFonts w:asciiTheme="minorHAnsi" w:hAnsiTheme="minorHAnsi"/>
          <w:b/>
          <w:lang w:val="en-AU" w:bidi="th-TH"/>
        </w:rPr>
        <w:t>Logic evident in key p</w:t>
      </w:r>
      <w:r w:rsidR="00900565" w:rsidRPr="003F79CF">
        <w:rPr>
          <w:rFonts w:asciiTheme="minorHAnsi" w:hAnsiTheme="minorHAnsi"/>
          <w:b/>
          <w:lang w:val="en-AU" w:bidi="th-TH"/>
        </w:rPr>
        <w:t>rogra</w:t>
      </w:r>
      <w:r>
        <w:rPr>
          <w:rFonts w:asciiTheme="minorHAnsi" w:hAnsiTheme="minorHAnsi"/>
          <w:b/>
          <w:lang w:val="en-AU" w:bidi="th-TH"/>
        </w:rPr>
        <w:t>mm</w:t>
      </w:r>
      <w:r w:rsidR="00B469A1">
        <w:rPr>
          <w:rFonts w:asciiTheme="minorHAnsi" w:hAnsiTheme="minorHAnsi"/>
          <w:b/>
          <w:lang w:val="en-AU" w:bidi="th-TH"/>
        </w:rPr>
        <w:t>atic elements and achievements:</w:t>
      </w:r>
      <w:r>
        <w:rPr>
          <w:rFonts w:asciiTheme="minorHAnsi" w:hAnsiTheme="minorHAnsi"/>
          <w:b/>
          <w:lang w:val="en-AU" w:bidi="th-TH"/>
        </w:rPr>
        <w:t xml:space="preserve"> </w:t>
      </w:r>
      <w:r w:rsidR="002D486D" w:rsidRPr="003F79CF">
        <w:rPr>
          <w:rFonts w:asciiTheme="minorHAnsi" w:hAnsiTheme="minorHAnsi" w:cs="Arial"/>
          <w:lang w:val="en-AU" w:bidi="th-TH"/>
        </w:rPr>
        <w:t>The overall DFAT GMWRM program approach is commendable. Key elements and achievement of the GMWRP presented below explain the GMWRM program logic of the policy dialogue approaches using relatively small amounts of funding wisely, and is more relationship focused, building trust rather than coming in with big money and ready-made technical solutions.</w:t>
      </w:r>
    </w:p>
    <w:p w14:paraId="1AEAFDF7" w14:textId="4D9C1386" w:rsidR="002D486D" w:rsidRPr="003F79CF" w:rsidRDefault="002D486D" w:rsidP="009228CA">
      <w:pPr>
        <w:pStyle w:val="BodyText"/>
        <w:numPr>
          <w:ilvl w:val="0"/>
          <w:numId w:val="36"/>
        </w:numPr>
        <w:rPr>
          <w:rFonts w:asciiTheme="minorHAnsi" w:hAnsiTheme="minorHAnsi" w:cs="Arial"/>
          <w:lang w:val="en-AU" w:bidi="th-TH"/>
        </w:rPr>
      </w:pPr>
      <w:r w:rsidRPr="003F79CF">
        <w:rPr>
          <w:rFonts w:asciiTheme="minorHAnsi" w:hAnsiTheme="minorHAnsi" w:cs="Arial"/>
          <w:lang w:val="en-AU" w:bidi="th-TH"/>
        </w:rPr>
        <w:t>Provision of core support (including specialist support, and basket funding of AUD 6 million) to the Mekong River Commission during a period of intensive reform, downsizing and decentrali</w:t>
      </w:r>
      <w:r w:rsidR="00340706">
        <w:rPr>
          <w:rFonts w:asciiTheme="minorHAnsi" w:hAnsiTheme="minorHAnsi" w:cs="Arial"/>
          <w:lang w:val="en-AU" w:bidi="th-TH"/>
        </w:rPr>
        <w:t>s</w:t>
      </w:r>
      <w:r w:rsidRPr="003F79CF">
        <w:rPr>
          <w:rFonts w:asciiTheme="minorHAnsi" w:hAnsiTheme="minorHAnsi" w:cs="Arial"/>
          <w:lang w:val="en-AU" w:bidi="th-TH"/>
        </w:rPr>
        <w:t>ation, resulting in a more focused organi</w:t>
      </w:r>
      <w:r w:rsidR="00340706">
        <w:rPr>
          <w:rFonts w:asciiTheme="minorHAnsi" w:hAnsiTheme="minorHAnsi" w:cs="Arial"/>
          <w:lang w:val="en-AU" w:bidi="th-TH"/>
        </w:rPr>
        <w:t>s</w:t>
      </w:r>
      <w:r w:rsidRPr="003F79CF">
        <w:rPr>
          <w:rFonts w:asciiTheme="minorHAnsi" w:hAnsiTheme="minorHAnsi" w:cs="Arial"/>
          <w:lang w:val="en-AU" w:bidi="th-TH"/>
        </w:rPr>
        <w:t>ation now implementing the MRC Strategic Plan 2016-2020, which has a USD 65 million budget that in early 2017 is 90%+ financed.</w:t>
      </w:r>
    </w:p>
    <w:p w14:paraId="42696277" w14:textId="3753E232" w:rsidR="002D486D" w:rsidRPr="003F79CF" w:rsidRDefault="002D486D" w:rsidP="009228CA">
      <w:pPr>
        <w:pStyle w:val="BodyText"/>
        <w:numPr>
          <w:ilvl w:val="0"/>
          <w:numId w:val="36"/>
        </w:numPr>
        <w:rPr>
          <w:rFonts w:asciiTheme="minorHAnsi" w:hAnsiTheme="minorHAnsi" w:cs="Arial"/>
          <w:lang w:val="en-AU" w:bidi="th-TH"/>
        </w:rPr>
      </w:pPr>
      <w:r w:rsidRPr="003F79CF">
        <w:rPr>
          <w:rFonts w:asciiTheme="minorHAnsi" w:hAnsiTheme="minorHAnsi" w:cs="Arial"/>
          <w:lang w:val="en-AU" w:bidi="th-TH"/>
        </w:rPr>
        <w:lastRenderedPageBreak/>
        <w:t xml:space="preserve">Provision of core support to the IFC Hydro Advisory program in Laos, now expanding to Myanmar, that is focused on improving the quality of the hydropower sector particularly with respect to social, environmental and governance performance.  Hydropower developer working groups </w:t>
      </w:r>
      <w:r w:rsidR="002D480A">
        <w:rPr>
          <w:rFonts w:asciiTheme="minorHAnsi" w:hAnsiTheme="minorHAnsi" w:cs="Arial"/>
          <w:lang w:val="en-AU" w:bidi="th-TH"/>
        </w:rPr>
        <w:t xml:space="preserve">(HDWGs) </w:t>
      </w:r>
      <w:r w:rsidRPr="003F79CF">
        <w:rPr>
          <w:rFonts w:asciiTheme="minorHAnsi" w:hAnsiTheme="minorHAnsi" w:cs="Arial"/>
          <w:lang w:val="en-AU" w:bidi="th-TH"/>
        </w:rPr>
        <w:t>have been established, and efforts are well-advanced with the adoption by governments of new tools (for Laos and Myanmar) such as River Basin Profiling (Nam Ou in Laos), Cumulative Impact Assessment (in Laos), Strategic Environment Assessment (in Myanmar).</w:t>
      </w:r>
    </w:p>
    <w:p w14:paraId="57397F9A" w14:textId="77275FE2" w:rsidR="00A170BF" w:rsidRPr="00A170BF" w:rsidRDefault="002D486D" w:rsidP="009228CA">
      <w:pPr>
        <w:pStyle w:val="BodyText"/>
        <w:numPr>
          <w:ilvl w:val="0"/>
          <w:numId w:val="36"/>
        </w:numPr>
        <w:rPr>
          <w:rFonts w:asciiTheme="minorHAnsi" w:hAnsiTheme="minorHAnsi" w:cstheme="minorHAnsi"/>
          <w:color w:val="000000"/>
          <w:lang w:val="en-AU"/>
        </w:rPr>
      </w:pPr>
      <w:r w:rsidRPr="00A170BF">
        <w:rPr>
          <w:rFonts w:asciiTheme="minorHAnsi" w:hAnsiTheme="minorHAnsi" w:cs="Arial"/>
          <w:lang w:val="en-AU" w:bidi="th-TH"/>
        </w:rPr>
        <w:t>Provision of core support to Oxfam Australia’s regional water governance initiatives, specifically a multi-level Inclusion Project</w:t>
      </w:r>
      <w:r w:rsidR="00A170BF" w:rsidRPr="00A170BF">
        <w:rPr>
          <w:rFonts w:asciiTheme="minorHAnsi" w:hAnsiTheme="minorHAnsi" w:cs="Arial"/>
          <w:lang w:val="en-AU" w:bidi="th-TH"/>
        </w:rPr>
        <w:t xml:space="preserve">. </w:t>
      </w:r>
      <w:r w:rsidR="00A170BF" w:rsidRPr="00A170BF">
        <w:rPr>
          <w:rFonts w:asciiTheme="minorHAnsi" w:hAnsiTheme="minorHAnsi" w:cstheme="minorHAnsi"/>
          <w:color w:val="000000"/>
          <w:lang w:val="en-AU"/>
        </w:rPr>
        <w:t xml:space="preserve">It contributes to </w:t>
      </w:r>
      <w:r w:rsidR="00875EE8">
        <w:rPr>
          <w:rFonts w:asciiTheme="minorHAnsi" w:hAnsiTheme="minorHAnsi" w:cstheme="minorHAnsi"/>
          <w:color w:val="000000"/>
          <w:lang w:val="en-AU"/>
        </w:rPr>
        <w:t xml:space="preserve">strengthening </w:t>
      </w:r>
      <w:r w:rsidR="00A170BF" w:rsidRPr="00A170BF">
        <w:rPr>
          <w:rFonts w:asciiTheme="minorHAnsi" w:hAnsiTheme="minorHAnsi" w:cstheme="minorHAnsi"/>
          <w:color w:val="000000"/>
          <w:lang w:val="en-AU"/>
        </w:rPr>
        <w:t>gender and women’s leadership, a</w:t>
      </w:r>
      <w:r w:rsidR="00A170BF" w:rsidRPr="00A170BF">
        <w:rPr>
          <w:rFonts w:asciiTheme="minorHAnsi" w:hAnsiTheme="minorHAnsi" w:cstheme="minorHAnsi"/>
          <w:iCs/>
          <w:color w:val="000000"/>
          <w:lang w:val="en-AU"/>
        </w:rPr>
        <w:t xml:space="preserve">ctive participation of women in water civil society groups; </w:t>
      </w:r>
      <w:r w:rsidR="00A170BF" w:rsidRPr="00A170BF">
        <w:rPr>
          <w:rFonts w:asciiTheme="minorHAnsi" w:hAnsiTheme="minorHAnsi" w:cstheme="minorHAnsi"/>
          <w:color w:val="000000"/>
          <w:lang w:val="en-AU"/>
        </w:rPr>
        <w:t xml:space="preserve">civil society to manage water resources and participate in water decision making; </w:t>
      </w:r>
      <w:r w:rsidR="00A170BF" w:rsidRPr="00A170BF">
        <w:rPr>
          <w:rFonts w:asciiTheme="minorHAnsi" w:hAnsiTheme="minorHAnsi" w:cstheme="minorHAnsi"/>
          <w:iCs/>
          <w:color w:val="000000"/>
          <w:lang w:val="en-AU"/>
        </w:rPr>
        <w:t>Improved skills and capabilities of civil society to influence water decision-making; and co</w:t>
      </w:r>
      <w:r w:rsidR="00A170BF" w:rsidRPr="00A170BF">
        <w:rPr>
          <w:rFonts w:asciiTheme="minorHAnsi" w:hAnsiTheme="minorHAnsi" w:cstheme="minorHAnsi"/>
          <w:color w:val="000000"/>
          <w:lang w:val="en-AU"/>
        </w:rPr>
        <w:t>nvening and promoting policy dialogue</w:t>
      </w:r>
      <w:r w:rsidR="00A170BF" w:rsidRPr="00A170BF">
        <w:rPr>
          <w:rFonts w:asciiTheme="minorHAnsi" w:hAnsiTheme="minorHAnsi" w:cstheme="minorHAnsi"/>
          <w:iCs/>
          <w:color w:val="000000"/>
          <w:lang w:val="en-AU"/>
        </w:rPr>
        <w:t>.</w:t>
      </w:r>
    </w:p>
    <w:p w14:paraId="136C6788" w14:textId="54AA3F80" w:rsidR="002D486D" w:rsidRPr="003F79CF" w:rsidRDefault="002D486D" w:rsidP="009228CA">
      <w:pPr>
        <w:pStyle w:val="BodyText"/>
        <w:numPr>
          <w:ilvl w:val="0"/>
          <w:numId w:val="36"/>
        </w:numPr>
        <w:rPr>
          <w:rFonts w:asciiTheme="minorHAnsi" w:hAnsiTheme="minorHAnsi" w:cs="Arial"/>
          <w:lang w:val="en-AU" w:bidi="th-TH"/>
        </w:rPr>
      </w:pPr>
      <w:r w:rsidRPr="003F79CF">
        <w:rPr>
          <w:rFonts w:asciiTheme="minorHAnsi" w:hAnsiTheme="minorHAnsi" w:cs="Arial"/>
          <w:lang w:val="en-AU" w:bidi="th-TH"/>
        </w:rPr>
        <w:t>Provision of core support to International Water Management Institute’s Water Land and Ecosystems Program in the Greater Mekong that has built a portfolio of thirty-three projects across the Ayeyarwa</w:t>
      </w:r>
      <w:r w:rsidR="007F11D7">
        <w:rPr>
          <w:rFonts w:asciiTheme="minorHAnsi" w:hAnsiTheme="minorHAnsi" w:cs="Arial"/>
          <w:lang w:val="en-AU" w:bidi="th-TH"/>
        </w:rPr>
        <w:t>d</w:t>
      </w:r>
      <w:r w:rsidRPr="003F79CF">
        <w:rPr>
          <w:rFonts w:asciiTheme="minorHAnsi" w:hAnsiTheme="minorHAnsi" w:cs="Arial"/>
          <w:lang w:val="en-AU" w:bidi="th-TH"/>
        </w:rPr>
        <w:t>dy, Salween, Mekong and Red river basins.  The project teams connect across borders in a peer network that strengthens the regional research</w:t>
      </w:r>
      <w:r w:rsidR="00875EE8">
        <w:rPr>
          <w:rFonts w:asciiTheme="minorHAnsi" w:hAnsiTheme="minorHAnsi" w:cs="Arial"/>
          <w:lang w:val="en-AU" w:bidi="th-TH"/>
        </w:rPr>
        <w:t xml:space="preserve"> and young water professionals</w:t>
      </w:r>
      <w:r w:rsidRPr="003F79CF">
        <w:rPr>
          <w:rFonts w:asciiTheme="minorHAnsi" w:hAnsiTheme="minorHAnsi" w:cs="Arial"/>
          <w:lang w:val="en-AU" w:bidi="th-TH"/>
        </w:rPr>
        <w:t xml:space="preserve"> for development community, which has a major assembly each year at the Greater Mekong Forum on Water Food and Energy </w:t>
      </w:r>
      <w:r w:rsidR="00875EE8">
        <w:rPr>
          <w:rFonts w:asciiTheme="minorHAnsi" w:hAnsiTheme="minorHAnsi" w:cs="Arial"/>
          <w:lang w:val="en-AU" w:bidi="th-TH"/>
        </w:rPr>
        <w:t>(2011 China, 2012 Cambodia, 2013 and 2014 Vietnam, 2015 Cambodia, 2016 Thailand, and 2017 Myanmar).</w:t>
      </w:r>
    </w:p>
    <w:p w14:paraId="40CC9696" w14:textId="457C0BA9" w:rsidR="002D486D" w:rsidRPr="003F79CF" w:rsidRDefault="002D486D" w:rsidP="009228CA">
      <w:pPr>
        <w:pStyle w:val="BodyText"/>
        <w:numPr>
          <w:ilvl w:val="0"/>
          <w:numId w:val="36"/>
        </w:numPr>
        <w:rPr>
          <w:rFonts w:asciiTheme="minorHAnsi" w:hAnsiTheme="minorHAnsi" w:cs="Arial"/>
          <w:lang w:val="en-AU" w:bidi="th-TH"/>
        </w:rPr>
      </w:pPr>
      <w:r w:rsidRPr="003F79CF">
        <w:rPr>
          <w:rFonts w:asciiTheme="minorHAnsi" w:hAnsiTheme="minorHAnsi" w:cs="Arial"/>
          <w:lang w:val="en-AU" w:bidi="th-TH"/>
        </w:rPr>
        <w:t>Enlisting the DFAT-funded Australian Water Partnership to further strengthen the Australian contribution by provision of carefully selected Australian expertise to join particular initiatives of Mekong governments. Experience in partnering with Australia’s eWater and Australia’s Hanoi-based International Centre of Environmental Management across the region, and more recently the AWP in Myanmar, is leading to a rapidly growing new portfolio of Mekong-Australia water partnership work.</w:t>
      </w:r>
    </w:p>
    <w:p w14:paraId="03B9CB97" w14:textId="77777777" w:rsidR="002D486D" w:rsidRPr="003F79CF" w:rsidRDefault="002D486D" w:rsidP="009228CA">
      <w:pPr>
        <w:pStyle w:val="BodyText"/>
        <w:numPr>
          <w:ilvl w:val="0"/>
          <w:numId w:val="36"/>
        </w:numPr>
        <w:rPr>
          <w:rFonts w:asciiTheme="minorHAnsi" w:hAnsiTheme="minorHAnsi" w:cs="Arial"/>
          <w:lang w:val="en-AU" w:bidi="th-TH"/>
        </w:rPr>
      </w:pPr>
      <w:r w:rsidRPr="003F79CF">
        <w:rPr>
          <w:rFonts w:asciiTheme="minorHAnsi" w:hAnsiTheme="minorHAnsi" w:cs="Arial"/>
          <w:lang w:val="en-AU" w:bidi="th-TH"/>
        </w:rPr>
        <w:t>In early 2017 GMWRP has also agreed to provide support to World Bank’s future management of a diverse Greater Mekong water resources investment portfolio with Governments of Laos, Cambodia, Vietnam and Myanmar valued at approximately USD 165 million.</w:t>
      </w:r>
    </w:p>
    <w:p w14:paraId="6484F90B" w14:textId="084312EF" w:rsidR="002D486D" w:rsidRPr="002E0D8A" w:rsidRDefault="002D486D" w:rsidP="007873C5">
      <w:pPr>
        <w:pStyle w:val="BodyText"/>
        <w:rPr>
          <w:rFonts w:asciiTheme="minorHAnsi" w:hAnsiTheme="minorHAnsi" w:cstheme="minorHAnsi"/>
          <w:lang w:val="en-AU"/>
        </w:rPr>
      </w:pPr>
      <w:r w:rsidRPr="0010016C">
        <w:rPr>
          <w:rFonts w:asciiTheme="minorHAnsi" w:hAnsiTheme="minorHAnsi" w:cs="Arial"/>
          <w:lang w:val="en-AU" w:bidi="th-TH"/>
        </w:rPr>
        <w:t xml:space="preserve">The specific achievements of individual partners are addressed in Section </w:t>
      </w:r>
      <w:r w:rsidRPr="0010016C">
        <w:rPr>
          <w:rFonts w:asciiTheme="minorHAnsi" w:hAnsiTheme="minorHAnsi" w:cs="Arial"/>
          <w:lang w:val="en-AU" w:bidi="th-TH"/>
        </w:rPr>
        <w:fldChar w:fldCharType="begin"/>
      </w:r>
      <w:r w:rsidRPr="0010016C">
        <w:rPr>
          <w:rFonts w:asciiTheme="minorHAnsi" w:hAnsiTheme="minorHAnsi" w:cs="Arial"/>
          <w:lang w:val="en-AU" w:bidi="th-TH"/>
        </w:rPr>
        <w:instrText xml:space="preserve"> REF _Ref474829332 \r \h </w:instrText>
      </w:r>
      <w:r w:rsidR="001700F2" w:rsidRPr="0010016C">
        <w:rPr>
          <w:rFonts w:asciiTheme="minorHAnsi" w:hAnsiTheme="minorHAnsi" w:cs="Arial"/>
          <w:lang w:val="en-AU" w:bidi="th-TH"/>
        </w:rPr>
        <w:instrText xml:space="preserve"> \* MERGEFORMAT </w:instrText>
      </w:r>
      <w:r w:rsidRPr="0010016C">
        <w:rPr>
          <w:rFonts w:asciiTheme="minorHAnsi" w:hAnsiTheme="minorHAnsi" w:cs="Arial"/>
          <w:lang w:val="en-AU" w:bidi="th-TH"/>
        </w:rPr>
        <w:fldChar w:fldCharType="separate"/>
      </w:r>
      <w:r w:rsidR="00E703DB">
        <w:rPr>
          <w:rFonts w:asciiTheme="minorHAnsi" w:hAnsiTheme="minorHAnsi" w:cs="Arial"/>
          <w:b/>
          <w:bCs/>
          <w:lang w:bidi="th-TH"/>
        </w:rPr>
        <w:t>Error! Reference source not found.</w:t>
      </w:r>
      <w:r w:rsidRPr="0010016C">
        <w:rPr>
          <w:rFonts w:asciiTheme="minorHAnsi" w:hAnsiTheme="minorHAnsi" w:cs="Arial"/>
          <w:lang w:val="en-AU" w:bidi="th-TH"/>
        </w:rPr>
        <w:fldChar w:fldCharType="end"/>
      </w:r>
      <w:r w:rsidRPr="0010016C">
        <w:rPr>
          <w:rFonts w:asciiTheme="minorHAnsi" w:hAnsiTheme="minorHAnsi" w:cs="Arial"/>
          <w:lang w:val="en-AU" w:bidi="th-TH"/>
        </w:rPr>
        <w:t>.</w:t>
      </w:r>
      <w:r w:rsidRPr="002E0D8A">
        <w:rPr>
          <w:rFonts w:asciiTheme="minorHAnsi" w:hAnsiTheme="minorHAnsi" w:cs="Arial"/>
          <w:lang w:val="en-AU" w:bidi="th-TH"/>
        </w:rPr>
        <w:t xml:space="preserve"> </w:t>
      </w:r>
    </w:p>
    <w:bookmarkEnd w:id="31"/>
    <w:p w14:paraId="509FA93B" w14:textId="1B72091F" w:rsidR="00D66A48" w:rsidRPr="002E0D8A" w:rsidRDefault="00900565" w:rsidP="007873C5">
      <w:pPr>
        <w:pStyle w:val="BodyText"/>
        <w:rPr>
          <w:rFonts w:asciiTheme="minorHAnsi" w:hAnsiTheme="minorHAnsi" w:cstheme="minorHAnsi"/>
          <w:lang w:val="en-AU"/>
        </w:rPr>
      </w:pPr>
      <w:r w:rsidRPr="002E0D8A">
        <w:rPr>
          <w:rFonts w:asciiTheme="minorHAnsi" w:hAnsiTheme="minorHAnsi" w:cs="Arial"/>
          <w:lang w:val="en-AU" w:bidi="th-TH"/>
        </w:rPr>
        <w:t xml:space="preserve">The consultants consider this approach has been rightly selected as the most viable strategy for the GMWRP in the </w:t>
      </w:r>
      <w:r w:rsidR="007873C5">
        <w:rPr>
          <w:rFonts w:asciiTheme="minorHAnsi" w:hAnsiTheme="minorHAnsi" w:cs="Arial"/>
          <w:lang w:val="en-AU" w:bidi="th-TH"/>
        </w:rPr>
        <w:t>Greater Mekong.</w:t>
      </w:r>
    </w:p>
    <w:p w14:paraId="10D020EC" w14:textId="3B579A1D" w:rsidR="00E40FA4" w:rsidRPr="007873C5" w:rsidRDefault="00D66A48" w:rsidP="007873C5">
      <w:pPr>
        <w:pStyle w:val="BodyText"/>
        <w:rPr>
          <w:rFonts w:asciiTheme="minorHAnsi" w:hAnsiTheme="minorHAnsi" w:cstheme="minorHAnsi"/>
          <w:b/>
          <w:bCs/>
          <w:lang w:val="en-AU"/>
        </w:rPr>
      </w:pPr>
      <w:r w:rsidRPr="002E0D8A">
        <w:rPr>
          <w:rFonts w:asciiTheme="minorHAnsi" w:hAnsiTheme="minorHAnsi" w:cstheme="minorHAnsi"/>
          <w:b/>
          <w:bCs/>
          <w:lang w:val="en-AU"/>
        </w:rPr>
        <w:t xml:space="preserve">Need for a </w:t>
      </w:r>
      <w:r w:rsidR="001F558B">
        <w:rPr>
          <w:rFonts w:asciiTheme="minorHAnsi" w:hAnsiTheme="minorHAnsi" w:cstheme="minorHAnsi"/>
          <w:b/>
          <w:bCs/>
          <w:lang w:val="en-AU"/>
        </w:rPr>
        <w:t>m</w:t>
      </w:r>
      <w:r w:rsidRPr="002E0D8A">
        <w:rPr>
          <w:rFonts w:asciiTheme="minorHAnsi" w:hAnsiTheme="minorHAnsi" w:cstheme="minorHAnsi"/>
          <w:b/>
          <w:bCs/>
          <w:lang w:val="en-AU"/>
        </w:rPr>
        <w:t xml:space="preserve">ore </w:t>
      </w:r>
      <w:r w:rsidR="001F558B">
        <w:rPr>
          <w:rFonts w:asciiTheme="minorHAnsi" w:hAnsiTheme="minorHAnsi" w:cstheme="minorHAnsi"/>
          <w:b/>
          <w:bCs/>
          <w:lang w:val="en-AU"/>
        </w:rPr>
        <w:t>uniformed u</w:t>
      </w:r>
      <w:r w:rsidRPr="002E0D8A">
        <w:rPr>
          <w:rFonts w:asciiTheme="minorHAnsi" w:hAnsiTheme="minorHAnsi" w:cstheme="minorHAnsi"/>
          <w:b/>
          <w:bCs/>
          <w:lang w:val="en-AU"/>
        </w:rPr>
        <w:t xml:space="preserve">nderstanding of </w:t>
      </w:r>
      <w:r w:rsidR="001F558B">
        <w:rPr>
          <w:rFonts w:asciiTheme="minorHAnsi" w:hAnsiTheme="minorHAnsi" w:cstheme="minorHAnsi"/>
          <w:b/>
          <w:bCs/>
          <w:lang w:val="en-AU"/>
        </w:rPr>
        <w:t>p</w:t>
      </w:r>
      <w:r w:rsidRPr="002E0D8A">
        <w:rPr>
          <w:rFonts w:asciiTheme="minorHAnsi" w:hAnsiTheme="minorHAnsi" w:cstheme="minorHAnsi"/>
          <w:b/>
          <w:bCs/>
          <w:lang w:val="en-AU"/>
        </w:rPr>
        <w:t xml:space="preserve">olicy </w:t>
      </w:r>
      <w:r w:rsidR="001F558B">
        <w:rPr>
          <w:rFonts w:asciiTheme="minorHAnsi" w:hAnsiTheme="minorHAnsi" w:cstheme="minorHAnsi"/>
          <w:b/>
          <w:bCs/>
          <w:lang w:val="en-AU"/>
        </w:rPr>
        <w:t>d</w:t>
      </w:r>
      <w:r w:rsidR="00B469A1">
        <w:rPr>
          <w:rFonts w:asciiTheme="minorHAnsi" w:hAnsiTheme="minorHAnsi" w:cstheme="minorHAnsi"/>
          <w:b/>
          <w:bCs/>
          <w:lang w:val="en-AU"/>
        </w:rPr>
        <w:t>ialogue:</w:t>
      </w:r>
      <w:r w:rsidR="007873C5">
        <w:rPr>
          <w:rFonts w:asciiTheme="minorHAnsi" w:hAnsiTheme="minorHAnsi" w:cstheme="minorHAnsi"/>
          <w:b/>
          <w:bCs/>
          <w:lang w:val="en-AU"/>
        </w:rPr>
        <w:t xml:space="preserve"> </w:t>
      </w:r>
      <w:r w:rsidR="00E40FA4" w:rsidRPr="002E0D8A">
        <w:rPr>
          <w:rFonts w:asciiTheme="minorHAnsi" w:hAnsiTheme="minorHAnsi" w:cstheme="minorHAnsi"/>
          <w:lang w:val="en-AU"/>
        </w:rPr>
        <w:t xml:space="preserve">Policy dialogue is defined variously by different agencies, with each describing different processes and outcomes. The </w:t>
      </w:r>
      <w:r w:rsidR="005C6542" w:rsidRPr="002E0D8A">
        <w:rPr>
          <w:rFonts w:asciiTheme="minorHAnsi" w:hAnsiTheme="minorHAnsi" w:cstheme="minorHAnsi"/>
          <w:lang w:val="en-AU"/>
        </w:rPr>
        <w:t xml:space="preserve">capacity for and </w:t>
      </w:r>
      <w:r w:rsidR="00E40FA4" w:rsidRPr="002E0D8A">
        <w:rPr>
          <w:rFonts w:asciiTheme="minorHAnsi" w:hAnsiTheme="minorHAnsi" w:cstheme="minorHAnsi"/>
          <w:lang w:val="en-AU"/>
        </w:rPr>
        <w:t>understanding of policy dialogue among the key implementin</w:t>
      </w:r>
      <w:r w:rsidRPr="002E0D8A">
        <w:rPr>
          <w:rFonts w:asciiTheme="minorHAnsi" w:hAnsiTheme="minorHAnsi" w:cstheme="minorHAnsi"/>
          <w:lang w:val="en-AU"/>
        </w:rPr>
        <w:t>g partners is also diverse. Some</w:t>
      </w:r>
      <w:r w:rsidR="00E40FA4" w:rsidRPr="002E0D8A">
        <w:rPr>
          <w:rFonts w:asciiTheme="minorHAnsi" w:hAnsiTheme="minorHAnsi" w:cstheme="minorHAnsi"/>
          <w:lang w:val="en-AU"/>
        </w:rPr>
        <w:t xml:space="preserve"> of them understood it as a form of dialogue that is a process guided by a non-partisan facilitator to find common ground on policy issues between parties with different perspectives, points of view, or aspirations; while others understood it more in terms of the form of policy instruments or outcomes delivered. This diversity may arise from different organi</w:t>
      </w:r>
      <w:r w:rsidR="00340706">
        <w:rPr>
          <w:rFonts w:asciiTheme="minorHAnsi" w:hAnsiTheme="minorHAnsi" w:cstheme="minorHAnsi"/>
          <w:lang w:val="en-AU"/>
        </w:rPr>
        <w:t>s</w:t>
      </w:r>
      <w:r w:rsidR="00E40FA4" w:rsidRPr="002E0D8A">
        <w:rPr>
          <w:rFonts w:asciiTheme="minorHAnsi" w:hAnsiTheme="minorHAnsi" w:cstheme="minorHAnsi"/>
          <w:lang w:val="en-AU"/>
        </w:rPr>
        <w:t>ational and even individual perspectives of key implementing partners, and may be also partly due to the different steps and time-lines for the detailed formulation of the program documents for each pillar by each of the implementing partners.</w:t>
      </w:r>
    </w:p>
    <w:p w14:paraId="5917566B" w14:textId="6692EA7D" w:rsidR="00E40FA4" w:rsidRPr="002E0D8A" w:rsidRDefault="00E40FA4" w:rsidP="007873C5">
      <w:pPr>
        <w:pStyle w:val="BodyText"/>
        <w:rPr>
          <w:rFonts w:asciiTheme="minorHAnsi" w:hAnsiTheme="minorHAnsi" w:cstheme="minorHAnsi"/>
          <w:lang w:val="en-AU"/>
        </w:rPr>
      </w:pPr>
      <w:r w:rsidRPr="002E0D8A">
        <w:rPr>
          <w:rFonts w:asciiTheme="minorHAnsi" w:hAnsiTheme="minorHAnsi" w:cstheme="minorHAnsi"/>
          <w:lang w:val="en-AU"/>
        </w:rPr>
        <w:t xml:space="preserve">While it is not likely that 100% agreement on all aspects will be achieved with such a diverse group, however it would have been useful during the inception period of </w:t>
      </w:r>
      <w:r w:rsidR="00F14BDF" w:rsidRPr="002E0D8A">
        <w:rPr>
          <w:rFonts w:asciiTheme="minorHAnsi" w:hAnsiTheme="minorHAnsi" w:cstheme="minorHAnsi"/>
          <w:lang w:val="en-AU"/>
        </w:rPr>
        <w:t>program</w:t>
      </w:r>
      <w:r w:rsidRPr="002E0D8A">
        <w:rPr>
          <w:rFonts w:asciiTheme="minorHAnsi" w:hAnsiTheme="minorHAnsi" w:cstheme="minorHAnsi"/>
          <w:lang w:val="en-AU"/>
        </w:rPr>
        <w:t xml:space="preserve"> implementation to bring the key players together and agree on a common definition and understanding of policy, policy influencing, and  policy dialogue as one approach to influencing policy, </w:t>
      </w:r>
      <w:r w:rsidRPr="002E0D8A">
        <w:rPr>
          <w:rFonts w:asciiTheme="minorHAnsi" w:hAnsiTheme="minorHAnsi" w:cstheme="minorHAnsi"/>
          <w:i/>
          <w:iCs/>
          <w:lang w:val="en-AU"/>
        </w:rPr>
        <w:t xml:space="preserve">to be used for this </w:t>
      </w:r>
      <w:r w:rsidR="00F14BDF" w:rsidRPr="002E0D8A">
        <w:rPr>
          <w:rFonts w:asciiTheme="minorHAnsi" w:hAnsiTheme="minorHAnsi" w:cstheme="minorHAnsi"/>
          <w:i/>
          <w:iCs/>
          <w:lang w:val="en-AU"/>
        </w:rPr>
        <w:t>program</w:t>
      </w:r>
      <w:r w:rsidRPr="002E0D8A">
        <w:rPr>
          <w:rFonts w:asciiTheme="minorHAnsi" w:hAnsiTheme="minorHAnsi" w:cstheme="minorHAnsi"/>
          <w:i/>
          <w:iCs/>
          <w:lang w:val="en-AU"/>
        </w:rPr>
        <w:t xml:space="preserve"> – </w:t>
      </w:r>
      <w:r w:rsidRPr="002E0D8A">
        <w:rPr>
          <w:rFonts w:asciiTheme="minorHAnsi" w:hAnsiTheme="minorHAnsi" w:cstheme="minorHAnsi"/>
          <w:lang w:val="en-AU"/>
        </w:rPr>
        <w:t>meaning that in other contexts and other work, IWMI, IFC, Oxfam and MRC can all have different definitions and understandings, but when they are working together as part of the DFAT GMWRP they should be using the same commonly understood definitions.</w:t>
      </w:r>
    </w:p>
    <w:p w14:paraId="6F5B2461" w14:textId="4300D410" w:rsidR="00E40FA4" w:rsidRPr="002E0D8A" w:rsidRDefault="00E40FA4" w:rsidP="007873C5">
      <w:pPr>
        <w:pStyle w:val="BodyText"/>
        <w:rPr>
          <w:rFonts w:asciiTheme="minorHAnsi" w:hAnsiTheme="minorHAnsi" w:cstheme="minorHAnsi"/>
          <w:lang w:val="en-AU"/>
        </w:rPr>
      </w:pPr>
      <w:r w:rsidRPr="002E0D8A">
        <w:rPr>
          <w:rFonts w:asciiTheme="minorHAnsi" w:hAnsiTheme="minorHAnsi" w:cstheme="minorHAnsi"/>
          <w:lang w:val="en-AU"/>
        </w:rPr>
        <w:lastRenderedPageBreak/>
        <w:t>AusAID (</w:t>
      </w:r>
      <w:r w:rsidR="00CA6538" w:rsidRPr="002E0D8A">
        <w:rPr>
          <w:rFonts w:asciiTheme="minorHAnsi" w:hAnsiTheme="minorHAnsi" w:cstheme="minorHAnsi"/>
          <w:lang w:val="en-AU"/>
        </w:rPr>
        <w:t>integrated into</w:t>
      </w:r>
      <w:r w:rsidRPr="002E0D8A">
        <w:rPr>
          <w:rFonts w:asciiTheme="minorHAnsi" w:hAnsiTheme="minorHAnsi" w:cstheme="minorHAnsi"/>
          <w:lang w:val="en-AU"/>
        </w:rPr>
        <w:t xml:space="preserve"> DFAT) (2013)</w:t>
      </w:r>
      <w:r w:rsidRPr="002E0D8A">
        <w:rPr>
          <w:rStyle w:val="FootnoteReference"/>
          <w:rFonts w:asciiTheme="minorHAnsi" w:hAnsiTheme="minorHAnsi" w:cstheme="minorHAnsi"/>
          <w:lang w:val="en-AU"/>
        </w:rPr>
        <w:footnoteReference w:id="1"/>
      </w:r>
      <w:r w:rsidR="001C6D20" w:rsidRPr="002E0D8A">
        <w:rPr>
          <w:rFonts w:asciiTheme="minorHAnsi" w:hAnsiTheme="minorHAnsi" w:cstheme="minorHAnsi"/>
          <w:lang w:val="en-AU"/>
        </w:rPr>
        <w:t xml:space="preserve"> defines </w:t>
      </w:r>
      <w:r w:rsidRPr="002E0D8A">
        <w:rPr>
          <w:rFonts w:asciiTheme="minorHAnsi" w:hAnsiTheme="minorHAnsi" w:cstheme="minorHAnsi"/>
          <w:lang w:val="en-AU"/>
        </w:rPr>
        <w:t>policy as “fundamentally the expression of a set of values or principles that the leadership of an organi</w:t>
      </w:r>
      <w:r w:rsidR="00340706">
        <w:rPr>
          <w:rFonts w:asciiTheme="minorHAnsi" w:hAnsiTheme="minorHAnsi" w:cstheme="minorHAnsi"/>
          <w:lang w:val="en-AU"/>
        </w:rPr>
        <w:t>s</w:t>
      </w:r>
      <w:r w:rsidRPr="002E0D8A">
        <w:rPr>
          <w:rFonts w:asciiTheme="minorHAnsi" w:hAnsiTheme="minorHAnsi" w:cstheme="minorHAnsi"/>
          <w:lang w:val="en-AU"/>
        </w:rPr>
        <w:t>ation holds to be important in delivering its mandate and in bringing about change</w:t>
      </w:r>
      <w:r w:rsidRPr="002E0D8A">
        <w:rPr>
          <w:rFonts w:asciiTheme="minorHAnsi" w:hAnsiTheme="minorHAnsi" w:cstheme="minorHAnsi"/>
          <w:b/>
          <w:lang w:val="en-AU"/>
        </w:rPr>
        <w:t xml:space="preserve">.” </w:t>
      </w:r>
      <w:r w:rsidRPr="002E0D8A">
        <w:rPr>
          <w:rFonts w:asciiTheme="minorHAnsi" w:hAnsiTheme="minorHAnsi" w:cstheme="minorHAnsi"/>
          <w:lang w:val="en-AU"/>
        </w:rPr>
        <w:t xml:space="preserve">Policy dialogue, therefore, “is a continuous discussion between interested parties about the relative importance of those values to each party, and about establishing a commonly agreed program of action that properly reflects those values (AusAID, 2013). However, through this </w:t>
      </w:r>
      <w:r w:rsidR="004C5B24">
        <w:rPr>
          <w:rFonts w:asciiTheme="minorHAnsi" w:hAnsiTheme="minorHAnsi" w:cstheme="minorHAnsi"/>
          <w:lang w:val="en-AU"/>
        </w:rPr>
        <w:t>evaluative study</w:t>
      </w:r>
      <w:r w:rsidRPr="002E0D8A">
        <w:rPr>
          <w:rFonts w:asciiTheme="minorHAnsi" w:hAnsiTheme="minorHAnsi" w:cstheme="minorHAnsi"/>
          <w:lang w:val="en-AU"/>
        </w:rPr>
        <w:t xml:space="preserve">, we did not find any consistent attempt to document the agreement and monitoring </w:t>
      </w:r>
      <w:r w:rsidR="00DD7236" w:rsidRPr="002E0D8A">
        <w:rPr>
          <w:rFonts w:asciiTheme="minorHAnsi" w:hAnsiTheme="minorHAnsi" w:cstheme="minorHAnsi"/>
          <w:lang w:val="en-AU"/>
        </w:rPr>
        <w:t xml:space="preserve">by all the partners </w:t>
      </w:r>
      <w:r w:rsidRPr="002E0D8A">
        <w:rPr>
          <w:rFonts w:asciiTheme="minorHAnsi" w:hAnsiTheme="minorHAnsi" w:cstheme="minorHAnsi"/>
          <w:lang w:val="en-AU"/>
        </w:rPr>
        <w:t xml:space="preserve">on what is important and why, prior to doing something about it. </w:t>
      </w:r>
    </w:p>
    <w:p w14:paraId="168F9174" w14:textId="508ED874" w:rsidR="00E40FA4" w:rsidRPr="002E0D8A" w:rsidRDefault="00EB1B45" w:rsidP="007873C5">
      <w:pPr>
        <w:pStyle w:val="BodyText"/>
        <w:rPr>
          <w:rFonts w:asciiTheme="minorHAnsi" w:hAnsiTheme="minorHAnsi" w:cstheme="minorHAnsi"/>
          <w:lang w:val="en-AU"/>
        </w:rPr>
      </w:pPr>
      <w:r w:rsidRPr="002E0D8A">
        <w:rPr>
          <w:rFonts w:asciiTheme="minorHAnsi" w:hAnsiTheme="minorHAnsi" w:cstheme="minorHAnsi"/>
          <w:lang w:val="en-AU"/>
        </w:rPr>
        <w:t xml:space="preserve">Other </w:t>
      </w:r>
      <w:r w:rsidR="00E40FA4" w:rsidRPr="002E0D8A">
        <w:rPr>
          <w:rFonts w:asciiTheme="minorHAnsi" w:hAnsiTheme="minorHAnsi" w:cstheme="minorHAnsi"/>
          <w:lang w:val="en-AU"/>
        </w:rPr>
        <w:t>definition</w:t>
      </w:r>
      <w:r w:rsidRPr="002E0D8A">
        <w:rPr>
          <w:rFonts w:asciiTheme="minorHAnsi" w:hAnsiTheme="minorHAnsi" w:cstheme="minorHAnsi"/>
          <w:lang w:val="en-AU"/>
        </w:rPr>
        <w:t>s of policy dialogue could be further considered</w:t>
      </w:r>
      <w:r w:rsidR="00265815" w:rsidRPr="002E0D8A">
        <w:rPr>
          <w:rFonts w:asciiTheme="minorHAnsi" w:hAnsiTheme="minorHAnsi" w:cstheme="minorHAnsi"/>
          <w:lang w:val="en-AU"/>
        </w:rPr>
        <w:t xml:space="preserve"> in order to develop a common understanding, </w:t>
      </w:r>
      <w:r w:rsidR="00E40FA4" w:rsidRPr="002E0D8A">
        <w:rPr>
          <w:rFonts w:asciiTheme="minorHAnsi" w:hAnsiTheme="minorHAnsi" w:cstheme="minorHAnsi"/>
          <w:lang w:val="en-AU"/>
        </w:rPr>
        <w:t xml:space="preserve">which could be done based on </w:t>
      </w:r>
      <w:r w:rsidR="00265815" w:rsidRPr="002E0D8A">
        <w:rPr>
          <w:rFonts w:asciiTheme="minorHAnsi" w:hAnsiTheme="minorHAnsi" w:cstheme="minorHAnsi"/>
          <w:lang w:val="en-AU"/>
        </w:rPr>
        <w:t xml:space="preserve">e.g. </w:t>
      </w:r>
      <w:r w:rsidR="00E40FA4" w:rsidRPr="002E0D8A">
        <w:rPr>
          <w:rFonts w:asciiTheme="minorHAnsi" w:hAnsiTheme="minorHAnsi" w:cstheme="minorHAnsi"/>
          <w:lang w:val="en-AU"/>
        </w:rPr>
        <w:t>the Dutch Ministry of Foreign Affairs (2016)</w:t>
      </w:r>
      <w:r w:rsidR="00E40FA4" w:rsidRPr="002E0D8A">
        <w:rPr>
          <w:rStyle w:val="FootnoteReference"/>
          <w:rFonts w:asciiTheme="minorHAnsi" w:hAnsiTheme="minorHAnsi" w:cstheme="minorHAnsi"/>
          <w:lang w:val="en-AU"/>
        </w:rPr>
        <w:footnoteReference w:id="2"/>
      </w:r>
      <w:r w:rsidR="00E40FA4" w:rsidRPr="002E0D8A">
        <w:rPr>
          <w:rFonts w:asciiTheme="minorHAnsi" w:hAnsiTheme="minorHAnsi" w:cstheme="minorHAnsi"/>
          <w:lang w:val="en-AU"/>
        </w:rPr>
        <w:t xml:space="preserve"> </w:t>
      </w:r>
      <w:r w:rsidR="00E40FA4" w:rsidRPr="002E0D8A">
        <w:rPr>
          <w:rFonts w:asciiTheme="minorHAnsi" w:hAnsiTheme="minorHAnsi" w:cstheme="minorHAnsi"/>
          <w:color w:val="000000" w:themeColor="text1"/>
          <w:lang w:val="en-AU"/>
        </w:rPr>
        <w:t>and the Oversea Development Institute (2011)</w:t>
      </w:r>
      <w:r w:rsidR="00E40FA4" w:rsidRPr="002E0D8A">
        <w:rPr>
          <w:rStyle w:val="FootnoteReference"/>
          <w:rFonts w:asciiTheme="minorHAnsi" w:hAnsiTheme="minorHAnsi" w:cstheme="minorHAnsi"/>
          <w:color w:val="000000" w:themeColor="text1"/>
          <w:lang w:val="en-AU"/>
        </w:rPr>
        <w:footnoteReference w:id="3"/>
      </w:r>
      <w:r w:rsidR="00E40FA4" w:rsidRPr="002E0D8A">
        <w:rPr>
          <w:rFonts w:asciiTheme="minorHAnsi" w:hAnsiTheme="minorHAnsi" w:cstheme="minorHAnsi"/>
          <w:color w:val="000000" w:themeColor="text1"/>
          <w:lang w:val="en-AU"/>
        </w:rPr>
        <w:t xml:space="preserve"> </w:t>
      </w:r>
      <w:r w:rsidR="00265815" w:rsidRPr="002E0D8A">
        <w:rPr>
          <w:rFonts w:asciiTheme="minorHAnsi" w:hAnsiTheme="minorHAnsi" w:cstheme="minorHAnsi"/>
          <w:lang w:val="en-AU"/>
        </w:rPr>
        <w:t>definitions which provide</w:t>
      </w:r>
      <w:r w:rsidR="00E40FA4" w:rsidRPr="002E0D8A">
        <w:rPr>
          <w:rFonts w:asciiTheme="minorHAnsi" w:hAnsiTheme="minorHAnsi" w:cstheme="minorHAnsi"/>
          <w:lang w:val="en-AU"/>
        </w:rPr>
        <w:t xml:space="preserve"> a very comprehensive understanding of policy dialogue as a continuous process for policy influencing/advising, lobbying and advocacy through evidence-based and interest and value based approaches using cooperation/inside track and/or outside track. Building on that broad definition, the success of policy dialogue can be measured in terms of both its process and its results, and relevant social and political context.</w:t>
      </w:r>
    </w:p>
    <w:p w14:paraId="5383D668" w14:textId="19AC92E4" w:rsidR="00794F53" w:rsidRPr="002E0D8A" w:rsidRDefault="00794F53" w:rsidP="007873C5">
      <w:pPr>
        <w:pStyle w:val="BodyText"/>
        <w:rPr>
          <w:rFonts w:asciiTheme="minorHAnsi" w:hAnsiTheme="minorHAnsi" w:cstheme="minorHAnsi"/>
          <w:lang w:val="en-AU"/>
        </w:rPr>
      </w:pPr>
      <w:r w:rsidRPr="002E0D8A">
        <w:rPr>
          <w:rFonts w:asciiTheme="minorHAnsi" w:hAnsiTheme="minorHAnsi" w:cstheme="minorHAnsi"/>
          <w:lang w:val="en-AU"/>
        </w:rPr>
        <w:t>A successful policy dialogue suggests a sustained interchange of ideas, perspectives and analysis between the DPs and their counterparts, conducted in such a way that the process is focused on a clearly defined purpose or endgame; promotes mutual trust and confidence between parties; generates an understanding of each party’s genuinely expressed values; incorporates evidence; and recogni</w:t>
      </w:r>
      <w:r w:rsidR="00340706">
        <w:rPr>
          <w:rFonts w:asciiTheme="minorHAnsi" w:hAnsiTheme="minorHAnsi" w:cstheme="minorHAnsi"/>
          <w:lang w:val="en-AU"/>
        </w:rPr>
        <w:t>s</w:t>
      </w:r>
      <w:r w:rsidRPr="002E0D8A">
        <w:rPr>
          <w:rFonts w:asciiTheme="minorHAnsi" w:hAnsiTheme="minorHAnsi" w:cstheme="minorHAnsi"/>
          <w:lang w:val="en-AU"/>
        </w:rPr>
        <w:t>es the political as well as technical dimensions of policy reform.</w:t>
      </w:r>
    </w:p>
    <w:p w14:paraId="28936F69" w14:textId="7A5764F9" w:rsidR="00B469A1" w:rsidRPr="002E0D8A" w:rsidRDefault="00794F53" w:rsidP="007873C5">
      <w:pPr>
        <w:pStyle w:val="BodyText"/>
        <w:rPr>
          <w:rFonts w:asciiTheme="minorHAnsi" w:hAnsiTheme="minorHAnsi" w:cstheme="minorHAnsi"/>
          <w:color w:val="000000" w:themeColor="text1"/>
          <w:lang w:val="en-AU"/>
        </w:rPr>
      </w:pPr>
      <w:r w:rsidRPr="002E0D8A">
        <w:rPr>
          <w:rFonts w:asciiTheme="minorHAnsi" w:hAnsiTheme="minorHAnsi" w:cstheme="minorHAnsi"/>
          <w:color w:val="000000" w:themeColor="text1"/>
          <w:lang w:val="en-AU"/>
        </w:rPr>
        <w:t>The sev</w:t>
      </w:r>
      <w:r w:rsidR="0049563C">
        <w:rPr>
          <w:rFonts w:asciiTheme="minorHAnsi" w:hAnsiTheme="minorHAnsi" w:cstheme="minorHAnsi"/>
          <w:color w:val="000000" w:themeColor="text1"/>
          <w:lang w:val="en-AU"/>
        </w:rPr>
        <w:t xml:space="preserve">en case-studies in this </w:t>
      </w:r>
      <w:r w:rsidR="004C5B24">
        <w:rPr>
          <w:rFonts w:asciiTheme="minorHAnsi" w:hAnsiTheme="minorHAnsi" w:cstheme="minorHAnsi"/>
          <w:color w:val="000000" w:themeColor="text1"/>
          <w:lang w:val="en-AU"/>
        </w:rPr>
        <w:t>evaluative study</w:t>
      </w:r>
      <w:r w:rsidRPr="002E0D8A">
        <w:rPr>
          <w:rFonts w:asciiTheme="minorHAnsi" w:hAnsiTheme="minorHAnsi" w:cstheme="minorHAnsi"/>
          <w:color w:val="000000" w:themeColor="text1"/>
          <w:lang w:val="en-AU"/>
        </w:rPr>
        <w:t xml:space="preserve"> report provide more details about the policy dialogue approaches used by the GMWRP and its </w:t>
      </w:r>
      <w:r w:rsidRPr="00B469A1">
        <w:rPr>
          <w:rFonts w:asciiTheme="minorHAnsi" w:hAnsiTheme="minorHAnsi" w:cstheme="minorHAnsi"/>
          <w:color w:val="000000" w:themeColor="text1"/>
          <w:lang w:val="en-AU"/>
        </w:rPr>
        <w:t>partners</w:t>
      </w:r>
      <w:r w:rsidR="00B469A1" w:rsidRPr="00B469A1">
        <w:rPr>
          <w:rFonts w:asciiTheme="minorHAnsi" w:hAnsiTheme="minorHAnsi" w:cstheme="minorHAnsi"/>
          <w:color w:val="000000" w:themeColor="text1"/>
          <w:lang w:val="en-AU"/>
        </w:rPr>
        <w:t xml:space="preserve"> (s</w:t>
      </w:r>
      <w:r w:rsidR="00D66A48" w:rsidRPr="00B469A1">
        <w:rPr>
          <w:rFonts w:asciiTheme="minorHAnsi" w:hAnsiTheme="minorHAnsi" w:cstheme="minorHAnsi"/>
          <w:color w:val="000000" w:themeColor="text1"/>
          <w:lang w:val="en-AU"/>
        </w:rPr>
        <w:t xml:space="preserve">ee </w:t>
      </w:r>
      <w:r w:rsidR="00B469A1" w:rsidRPr="00B469A1">
        <w:rPr>
          <w:rFonts w:asciiTheme="minorHAnsi" w:hAnsiTheme="minorHAnsi" w:cstheme="minorHAnsi"/>
          <w:color w:val="000000" w:themeColor="text1"/>
          <w:lang w:val="en-AU"/>
        </w:rPr>
        <w:t>Annex).</w:t>
      </w:r>
    </w:p>
    <w:p w14:paraId="2A8381D7" w14:textId="3C3D7BDA" w:rsidR="00E40FA4" w:rsidRPr="002E0D8A" w:rsidRDefault="00E40FA4" w:rsidP="00C32435">
      <w:pPr>
        <w:pStyle w:val="BodyText1"/>
        <w:keepNext/>
        <w:spacing w:before="120" w:after="120"/>
        <w:ind w:left="0"/>
        <w:jc w:val="left"/>
        <w:rPr>
          <w:rFonts w:ascii="Arial" w:hAnsi="Arial" w:cs="Arial"/>
          <w:lang w:val="en-AU"/>
        </w:rPr>
      </w:pPr>
      <w:bookmarkStart w:id="32" w:name="_Toc475254238"/>
      <w:bookmarkStart w:id="33" w:name="_Ref429031852"/>
      <w:bookmarkStart w:id="34" w:name="_Ref429031860"/>
      <w:bookmarkEnd w:id="18"/>
      <w:bookmarkEnd w:id="19"/>
      <w:r w:rsidRPr="002E0D8A">
        <w:rPr>
          <w:rFonts w:ascii="Arial" w:hAnsi="Arial" w:cs="Arial"/>
          <w:b/>
          <w:bCs/>
          <w:color w:val="365F91" w:themeColor="accent1" w:themeShade="BF"/>
          <w:lang w:val="en-AU"/>
        </w:rPr>
        <w:t xml:space="preserve">Figure </w:t>
      </w:r>
      <w:r w:rsidRPr="002E0D8A">
        <w:rPr>
          <w:rFonts w:ascii="Arial" w:hAnsi="Arial" w:cs="Arial"/>
          <w:b/>
          <w:bCs/>
          <w:color w:val="365F91" w:themeColor="accent1" w:themeShade="BF"/>
          <w:lang w:val="en-AU"/>
        </w:rPr>
        <w:fldChar w:fldCharType="begin"/>
      </w:r>
      <w:r w:rsidRPr="002E0D8A">
        <w:rPr>
          <w:rFonts w:ascii="Arial" w:hAnsi="Arial" w:cs="Arial"/>
          <w:b/>
          <w:bCs/>
          <w:color w:val="365F91" w:themeColor="accent1" w:themeShade="BF"/>
          <w:lang w:val="en-AU"/>
        </w:rPr>
        <w:instrText xml:space="preserve"> STYLEREF 1 \s </w:instrText>
      </w:r>
      <w:r w:rsidRPr="002E0D8A">
        <w:rPr>
          <w:rFonts w:ascii="Arial" w:hAnsi="Arial" w:cs="Arial"/>
          <w:b/>
          <w:bCs/>
          <w:color w:val="365F91" w:themeColor="accent1" w:themeShade="BF"/>
          <w:lang w:val="en-AU"/>
        </w:rPr>
        <w:fldChar w:fldCharType="separate"/>
      </w:r>
      <w:r w:rsidR="00E703DB">
        <w:rPr>
          <w:rFonts w:ascii="Arial" w:hAnsi="Arial" w:cs="Arial"/>
          <w:b/>
          <w:bCs/>
          <w:noProof/>
          <w:color w:val="365F91" w:themeColor="accent1" w:themeShade="BF"/>
          <w:lang w:val="en-AU"/>
        </w:rPr>
        <w:t>3</w:t>
      </w:r>
      <w:r w:rsidRPr="002E0D8A">
        <w:rPr>
          <w:rFonts w:ascii="Arial" w:hAnsi="Arial" w:cs="Arial"/>
          <w:b/>
          <w:bCs/>
          <w:color w:val="365F91" w:themeColor="accent1" w:themeShade="BF"/>
          <w:lang w:val="en-AU"/>
        </w:rPr>
        <w:fldChar w:fldCharType="end"/>
      </w:r>
      <w:r w:rsidRPr="002E0D8A">
        <w:rPr>
          <w:rFonts w:ascii="Arial" w:hAnsi="Arial" w:cs="Arial"/>
          <w:b/>
          <w:bCs/>
          <w:color w:val="365F91" w:themeColor="accent1" w:themeShade="BF"/>
          <w:lang w:val="en-AU"/>
        </w:rPr>
        <w:noBreakHyphen/>
      </w:r>
      <w:r w:rsidRPr="002E0D8A">
        <w:rPr>
          <w:rFonts w:ascii="Arial" w:hAnsi="Arial" w:cs="Arial"/>
          <w:b/>
          <w:bCs/>
          <w:color w:val="365F91" w:themeColor="accent1" w:themeShade="BF"/>
          <w:lang w:val="en-AU"/>
        </w:rPr>
        <w:fldChar w:fldCharType="begin"/>
      </w:r>
      <w:r w:rsidRPr="002E0D8A">
        <w:rPr>
          <w:rFonts w:ascii="Arial" w:hAnsi="Arial" w:cs="Arial"/>
          <w:b/>
          <w:bCs/>
          <w:color w:val="365F91" w:themeColor="accent1" w:themeShade="BF"/>
          <w:lang w:val="en-AU"/>
        </w:rPr>
        <w:instrText xml:space="preserve"> SEQ Figure \* ARABIC \s 1 </w:instrText>
      </w:r>
      <w:r w:rsidRPr="002E0D8A">
        <w:rPr>
          <w:rFonts w:ascii="Arial" w:hAnsi="Arial" w:cs="Arial"/>
          <w:b/>
          <w:bCs/>
          <w:color w:val="365F91" w:themeColor="accent1" w:themeShade="BF"/>
          <w:lang w:val="en-AU"/>
        </w:rPr>
        <w:fldChar w:fldCharType="separate"/>
      </w:r>
      <w:r w:rsidR="00E703DB">
        <w:rPr>
          <w:rFonts w:ascii="Arial" w:hAnsi="Arial" w:cs="Arial"/>
          <w:b/>
          <w:bCs/>
          <w:noProof/>
          <w:color w:val="365F91" w:themeColor="accent1" w:themeShade="BF"/>
          <w:lang w:val="en-AU"/>
        </w:rPr>
        <w:t>1</w:t>
      </w:r>
      <w:r w:rsidRPr="002E0D8A">
        <w:rPr>
          <w:rFonts w:ascii="Arial" w:hAnsi="Arial" w:cs="Arial"/>
          <w:b/>
          <w:bCs/>
          <w:color w:val="365F91" w:themeColor="accent1" w:themeShade="BF"/>
          <w:lang w:val="en-AU"/>
        </w:rPr>
        <w:fldChar w:fldCharType="end"/>
      </w:r>
      <w:r w:rsidR="00C32435">
        <w:rPr>
          <w:rFonts w:ascii="Arial" w:hAnsi="Arial" w:cs="Arial"/>
          <w:b/>
          <w:bCs/>
          <w:color w:val="365F91" w:themeColor="accent1" w:themeShade="BF"/>
          <w:lang w:val="en-AU"/>
        </w:rPr>
        <w:t xml:space="preserve">  </w:t>
      </w:r>
      <w:r w:rsidR="005C6D4B">
        <w:rPr>
          <w:rFonts w:ascii="Arial" w:hAnsi="Arial" w:cs="Arial"/>
          <w:b/>
          <w:color w:val="17365D" w:themeColor="text2" w:themeShade="BF"/>
          <w:lang w:val="en-AU"/>
        </w:rPr>
        <w:t>Policy dialogue a</w:t>
      </w:r>
      <w:r w:rsidRPr="002E0D8A">
        <w:rPr>
          <w:rFonts w:ascii="Arial" w:hAnsi="Arial" w:cs="Arial"/>
          <w:b/>
          <w:color w:val="17365D" w:themeColor="text2" w:themeShade="BF"/>
          <w:lang w:val="en-AU"/>
        </w:rPr>
        <w:t>pproaches</w:t>
      </w:r>
      <w:bookmarkEnd w:id="32"/>
      <w:r w:rsidRPr="002E0D8A">
        <w:rPr>
          <w:rFonts w:ascii="Arial" w:hAnsi="Arial" w:cs="Arial"/>
          <w:lang w:val="en-AU"/>
        </w:rPr>
        <w:t xml:space="preserve"> </w:t>
      </w:r>
    </w:p>
    <w:p w14:paraId="1218CCDB" w14:textId="77777777" w:rsidR="00E40FA4" w:rsidRPr="002E0D8A" w:rsidRDefault="00E40FA4" w:rsidP="00E40FA4">
      <w:pPr>
        <w:pStyle w:val="BodyText1"/>
        <w:spacing w:after="120"/>
        <w:ind w:left="0"/>
        <w:jc w:val="left"/>
        <w:rPr>
          <w:rFonts w:ascii="Arial" w:hAnsi="Arial" w:cs="Arial"/>
          <w:lang w:val="en-AU"/>
        </w:rPr>
      </w:pPr>
      <w:r w:rsidRPr="002E0D8A">
        <w:rPr>
          <w:rFonts w:ascii="Arial" w:hAnsi="Arial" w:cs="Arial"/>
          <w:noProof/>
          <w:lang w:val="en-AU" w:eastAsia="en-AU"/>
        </w:rPr>
        <w:drawing>
          <wp:inline distT="0" distB="0" distL="0" distR="0" wp14:anchorId="1733AF73" wp14:editId="34DE8720">
            <wp:extent cx="5550535" cy="342174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0535" cy="3421744"/>
                    </a:xfrm>
                    <a:prstGeom prst="rect">
                      <a:avLst/>
                    </a:prstGeom>
                    <a:noFill/>
                    <a:ln>
                      <a:noFill/>
                    </a:ln>
                  </pic:spPr>
                </pic:pic>
              </a:graphicData>
            </a:graphic>
          </wp:inline>
        </w:drawing>
      </w:r>
    </w:p>
    <w:p w14:paraId="5C77A66E" w14:textId="77777777" w:rsidR="00E40FA4" w:rsidRPr="005C6D4B" w:rsidRDefault="00E40FA4" w:rsidP="005C6D4B">
      <w:pPr>
        <w:spacing w:before="120" w:after="120"/>
        <w:ind w:left="-4"/>
        <w:jc w:val="center"/>
        <w:rPr>
          <w:rFonts w:asciiTheme="minorHAnsi" w:hAnsiTheme="minorHAnsi" w:cstheme="minorHAnsi"/>
          <w:lang w:val="en-AU"/>
        </w:rPr>
      </w:pPr>
      <w:r w:rsidRPr="005C6D4B">
        <w:rPr>
          <w:rFonts w:asciiTheme="minorHAnsi" w:hAnsiTheme="minorHAnsi" w:cstheme="minorHAnsi"/>
          <w:lang w:val="en-AU"/>
        </w:rPr>
        <w:t>(</w:t>
      </w:r>
      <w:r w:rsidRPr="005C6D4B">
        <w:rPr>
          <w:rFonts w:asciiTheme="minorHAnsi" w:hAnsiTheme="minorHAnsi" w:cstheme="minorHAnsi"/>
          <w:sz w:val="18"/>
          <w:szCs w:val="18"/>
          <w:lang w:val="en-AU"/>
        </w:rPr>
        <w:t>Source: A. Pellini and A Datta, 2010. Monitoring and Evaluation of Policy Influencing, ODI, UNDP Viet Nam</w:t>
      </w:r>
      <w:r w:rsidRPr="005C6D4B">
        <w:rPr>
          <w:rFonts w:asciiTheme="minorHAnsi" w:hAnsiTheme="minorHAnsi" w:cstheme="minorHAnsi"/>
          <w:lang w:val="en-AU"/>
        </w:rPr>
        <w:t>).</w:t>
      </w:r>
    </w:p>
    <w:p w14:paraId="72FBA3F9" w14:textId="1C152B4E" w:rsidR="00E40FA4" w:rsidRPr="007873C5" w:rsidRDefault="00E40FA4" w:rsidP="007873C5">
      <w:pPr>
        <w:pStyle w:val="BodyText"/>
        <w:rPr>
          <w:rFonts w:asciiTheme="minorHAnsi" w:hAnsiTheme="minorHAnsi"/>
          <w:b/>
          <w:lang w:val="en-AU"/>
        </w:rPr>
      </w:pPr>
      <w:bookmarkStart w:id="35" w:name="_Ref470700348"/>
      <w:bookmarkStart w:id="36" w:name="_Toc470715854"/>
      <w:r w:rsidRPr="002E0D8A">
        <w:rPr>
          <w:rFonts w:asciiTheme="minorHAnsi" w:hAnsiTheme="minorHAnsi"/>
          <w:b/>
          <w:lang w:val="en-AU"/>
        </w:rPr>
        <w:lastRenderedPageBreak/>
        <w:t>Theory of Change</w:t>
      </w:r>
      <w:r w:rsidR="001F558B">
        <w:rPr>
          <w:rFonts w:asciiTheme="minorHAnsi" w:hAnsiTheme="minorHAnsi"/>
          <w:b/>
          <w:lang w:val="en-AU"/>
        </w:rPr>
        <w:t xml:space="preserve"> (ToC)</w:t>
      </w:r>
      <w:r w:rsidRPr="002E0D8A">
        <w:rPr>
          <w:rFonts w:asciiTheme="minorHAnsi" w:hAnsiTheme="minorHAnsi"/>
          <w:b/>
          <w:lang w:val="en-AU"/>
        </w:rPr>
        <w:t xml:space="preserve"> based on political economy analysis is imperative</w:t>
      </w:r>
      <w:bookmarkEnd w:id="35"/>
      <w:bookmarkEnd w:id="36"/>
      <w:r w:rsidR="00B469A1">
        <w:rPr>
          <w:rFonts w:asciiTheme="minorHAnsi" w:hAnsiTheme="minorHAnsi"/>
          <w:b/>
          <w:lang w:val="en-AU"/>
        </w:rPr>
        <w:t>:</w:t>
      </w:r>
      <w:r w:rsidR="007873C5">
        <w:rPr>
          <w:rFonts w:asciiTheme="minorHAnsi" w:hAnsiTheme="minorHAnsi"/>
          <w:b/>
          <w:lang w:val="en-AU"/>
        </w:rPr>
        <w:t xml:space="preserve"> </w:t>
      </w:r>
      <w:r w:rsidRPr="002E0D8A">
        <w:rPr>
          <w:lang w:val="en-AU"/>
        </w:rPr>
        <w:t>It was found that the DFAT</w:t>
      </w:r>
      <w:r w:rsidR="0040147F">
        <w:rPr>
          <w:lang w:val="en-AU"/>
        </w:rPr>
        <w:t xml:space="preserve"> Greater Mekong</w:t>
      </w:r>
      <w:r w:rsidRPr="002E0D8A">
        <w:rPr>
          <w:lang w:val="en-AU"/>
        </w:rPr>
        <w:t xml:space="preserve"> background paper (providing initial policy economy analysis and summary theory of changes – more ‘</w:t>
      </w:r>
      <w:r w:rsidRPr="002E0D8A">
        <w:rPr>
          <w:bCs/>
          <w:lang w:val="en-AU"/>
        </w:rPr>
        <w:t>fair and effective water, food and energy governance in the GMS’</w:t>
      </w:r>
      <w:r w:rsidRPr="002E0D8A">
        <w:rPr>
          <w:lang w:val="en-AU"/>
        </w:rPr>
        <w:t>)</w:t>
      </w:r>
      <w:r w:rsidRPr="002E0D8A">
        <w:rPr>
          <w:rStyle w:val="FootnoteReference"/>
          <w:rFonts w:asciiTheme="minorHAnsi" w:hAnsiTheme="minorHAnsi" w:cstheme="minorHAnsi"/>
          <w:color w:val="000000" w:themeColor="text1"/>
          <w:lang w:val="en-AU"/>
        </w:rPr>
        <w:footnoteReference w:id="4"/>
      </w:r>
      <w:r w:rsidRPr="002E0D8A">
        <w:rPr>
          <w:lang w:val="en-AU"/>
        </w:rPr>
        <w:t xml:space="preserve">, overall program design and design of the pillar investments were carried out rather inconsistently, considering </w:t>
      </w:r>
      <w:r w:rsidR="00265815" w:rsidRPr="002E0D8A">
        <w:rPr>
          <w:lang w:val="en-AU"/>
        </w:rPr>
        <w:t xml:space="preserve">the diversity of </w:t>
      </w:r>
      <w:r w:rsidRPr="002E0D8A">
        <w:rPr>
          <w:lang w:val="en-AU"/>
        </w:rPr>
        <w:t xml:space="preserve">partners ranging from </w:t>
      </w:r>
      <w:r w:rsidR="00265815" w:rsidRPr="002E0D8A">
        <w:rPr>
          <w:lang w:val="en-AU"/>
        </w:rPr>
        <w:t xml:space="preserve">an </w:t>
      </w:r>
      <w:r w:rsidRPr="002E0D8A">
        <w:rPr>
          <w:lang w:val="en-AU"/>
        </w:rPr>
        <w:t>inter-government</w:t>
      </w:r>
      <w:r w:rsidR="00265815" w:rsidRPr="002E0D8A">
        <w:rPr>
          <w:lang w:val="en-AU"/>
        </w:rPr>
        <w:t>al organi</w:t>
      </w:r>
      <w:r w:rsidR="00340706">
        <w:rPr>
          <w:lang w:val="en-AU"/>
        </w:rPr>
        <w:t>s</w:t>
      </w:r>
      <w:r w:rsidR="00265815" w:rsidRPr="002E0D8A">
        <w:rPr>
          <w:lang w:val="en-AU"/>
        </w:rPr>
        <w:t>ation</w:t>
      </w:r>
      <w:r w:rsidRPr="002E0D8A">
        <w:rPr>
          <w:lang w:val="en-AU"/>
        </w:rPr>
        <w:t>, financing in</w:t>
      </w:r>
      <w:r w:rsidR="00265815" w:rsidRPr="002E0D8A">
        <w:rPr>
          <w:lang w:val="en-AU"/>
        </w:rPr>
        <w:t>stitution, research institution</w:t>
      </w:r>
      <w:r w:rsidRPr="002E0D8A">
        <w:rPr>
          <w:lang w:val="en-AU"/>
        </w:rPr>
        <w:t xml:space="preserve"> and Non-Governmental Organi</w:t>
      </w:r>
      <w:r w:rsidR="00340706">
        <w:rPr>
          <w:lang w:val="en-AU"/>
        </w:rPr>
        <w:t>s</w:t>
      </w:r>
      <w:r w:rsidRPr="002E0D8A">
        <w:rPr>
          <w:lang w:val="en-AU"/>
        </w:rPr>
        <w:t>ation with different organi</w:t>
      </w:r>
      <w:r w:rsidR="00340706">
        <w:rPr>
          <w:lang w:val="en-AU"/>
        </w:rPr>
        <w:t>s</w:t>
      </w:r>
      <w:r w:rsidRPr="002E0D8A">
        <w:rPr>
          <w:lang w:val="en-AU"/>
        </w:rPr>
        <w:t xml:space="preserve">ational set-up and practices. </w:t>
      </w:r>
    </w:p>
    <w:p w14:paraId="3ACE876F" w14:textId="1813DE12" w:rsidR="00E40FA4" w:rsidRPr="002E0D8A" w:rsidRDefault="00E40FA4" w:rsidP="005C6D4B">
      <w:pPr>
        <w:pStyle w:val="BodyText"/>
        <w:rPr>
          <w:lang w:val="en-AU"/>
        </w:rPr>
      </w:pPr>
      <w:r w:rsidRPr="002E0D8A">
        <w:rPr>
          <w:lang w:val="en-AU"/>
        </w:rPr>
        <w:t>This inconsistency can be addressed by agreeing on the definition of policy dialogue and overall theory of change and developing approp</w:t>
      </w:r>
      <w:r w:rsidR="001C6D20" w:rsidRPr="002E0D8A">
        <w:rPr>
          <w:lang w:val="en-AU"/>
        </w:rPr>
        <w:t>riate monitoring based on these</w:t>
      </w:r>
      <w:r w:rsidR="00CA6538" w:rsidRPr="002E0D8A">
        <w:rPr>
          <w:lang w:val="en-AU"/>
        </w:rPr>
        <w:t xml:space="preserve">, </w:t>
      </w:r>
      <w:r w:rsidRPr="002E0D8A">
        <w:rPr>
          <w:lang w:val="en-AU"/>
        </w:rPr>
        <w:t xml:space="preserve">informed by a regular update (annually) of a more comprehensive policy economy analysis (PEAs) and regular updates/revision of assumptions. </w:t>
      </w:r>
    </w:p>
    <w:p w14:paraId="356897E5" w14:textId="6780C915" w:rsidR="00E40FA4" w:rsidRPr="002E0D8A" w:rsidRDefault="00E40FA4" w:rsidP="005C6D4B">
      <w:pPr>
        <w:pStyle w:val="BodyText"/>
        <w:rPr>
          <w:lang w:val="en-AU"/>
        </w:rPr>
      </w:pPr>
      <w:r w:rsidRPr="002E0D8A">
        <w:rPr>
          <w:lang w:val="en-AU"/>
        </w:rPr>
        <w:t xml:space="preserve">The </w:t>
      </w:r>
      <w:r w:rsidRPr="002E0D8A">
        <w:rPr>
          <w:rFonts w:cs="TT15Ct00"/>
          <w:lang w:val="en-AU"/>
        </w:rPr>
        <w:t>report commissioned by the UK Department for International Development (DFID) in 2012 provides a very good overview of the use of ‘Theory of Change’ in international development.</w:t>
      </w:r>
      <w:r w:rsidRPr="002E0D8A">
        <w:rPr>
          <w:rStyle w:val="FootnoteReference"/>
          <w:rFonts w:asciiTheme="minorHAnsi" w:hAnsiTheme="minorHAnsi" w:cs="TT15Ct00"/>
          <w:color w:val="000000" w:themeColor="text1"/>
          <w:lang w:val="en-AU"/>
        </w:rPr>
        <w:footnoteReference w:id="5"/>
      </w:r>
      <w:r w:rsidRPr="002E0D8A">
        <w:rPr>
          <w:rFonts w:cs="TT15Ct00"/>
          <w:lang w:val="en-AU"/>
        </w:rPr>
        <w:t xml:space="preserve"> The </w:t>
      </w:r>
      <w:r w:rsidR="00DD51F2">
        <w:rPr>
          <w:rFonts w:cs="TT15Ct00"/>
          <w:lang w:val="en-AU"/>
        </w:rPr>
        <w:t>Theory of Change (</w:t>
      </w:r>
      <w:r w:rsidRPr="002E0D8A">
        <w:rPr>
          <w:rFonts w:cs="TT15Ct00"/>
          <w:lang w:val="en-AU"/>
        </w:rPr>
        <w:t>ToC</w:t>
      </w:r>
      <w:r w:rsidR="00DD51F2">
        <w:rPr>
          <w:rFonts w:cs="TT15Ct00"/>
          <w:lang w:val="en-AU"/>
        </w:rPr>
        <w:t>)</w:t>
      </w:r>
      <w:r w:rsidRPr="002E0D8A">
        <w:rPr>
          <w:rFonts w:cs="TT15Ct00"/>
          <w:lang w:val="en-AU"/>
        </w:rPr>
        <w:t xml:space="preserve"> is increasingly used for evaluation and for </w:t>
      </w:r>
      <w:r w:rsidR="00F14BDF" w:rsidRPr="002E0D8A">
        <w:rPr>
          <w:rFonts w:cs="TT15Ct00"/>
          <w:lang w:val="en-AU"/>
        </w:rPr>
        <w:t>program</w:t>
      </w:r>
      <w:r w:rsidRPr="002E0D8A">
        <w:rPr>
          <w:rFonts w:cs="TT15Ct00"/>
          <w:lang w:val="en-AU"/>
        </w:rPr>
        <w:t xml:space="preserve"> design and to guide implementation, and requires both logical thinking and deeper critical reflection – a deeper reflective process and dialogue amongst colleagues and stakeholders for empowerment and social change. </w:t>
      </w:r>
    </w:p>
    <w:p w14:paraId="2E129623" w14:textId="5B18776C" w:rsidR="00C0036A" w:rsidRPr="002E0D8A" w:rsidRDefault="00DD7236" w:rsidP="005C6D4B">
      <w:pPr>
        <w:pStyle w:val="BodyText"/>
        <w:rPr>
          <w:lang w:val="en-AU"/>
        </w:rPr>
      </w:pPr>
      <w:r w:rsidRPr="007873C5">
        <w:rPr>
          <w:lang w:val="en-AU"/>
        </w:rPr>
        <w:t>Learning-by-doing, supported by regular reflection based on a ToC, helps to systemati</w:t>
      </w:r>
      <w:r w:rsidR="00340706" w:rsidRPr="007873C5">
        <w:rPr>
          <w:lang w:val="en-AU"/>
        </w:rPr>
        <w:t>s</w:t>
      </w:r>
      <w:r w:rsidRPr="007873C5">
        <w:rPr>
          <w:lang w:val="en-AU"/>
        </w:rPr>
        <w:t>e this knowledge and make it available for broader application</w:t>
      </w:r>
      <w:r w:rsidRPr="007873C5">
        <w:rPr>
          <w:color w:val="FF0000"/>
          <w:lang w:val="en-AU"/>
        </w:rPr>
        <w:t xml:space="preserve">. </w:t>
      </w:r>
      <w:r w:rsidR="00E40FA4" w:rsidRPr="007873C5">
        <w:rPr>
          <w:rFonts w:cs="RijksoverheidSerif"/>
          <w:lang w:val="en-AU"/>
        </w:rPr>
        <w:t>It</w:t>
      </w:r>
      <w:r w:rsidR="00E40FA4" w:rsidRPr="002E0D8A">
        <w:rPr>
          <w:rFonts w:cs="RijksoverheidSerif"/>
          <w:lang w:val="en-AU"/>
        </w:rPr>
        <w:t xml:space="preserve"> is therefore imperative that </w:t>
      </w:r>
      <w:r w:rsidR="00D86B85" w:rsidRPr="002E0D8A">
        <w:rPr>
          <w:rFonts w:cs="RijksoverheidSerif"/>
          <w:lang w:val="en-AU"/>
        </w:rPr>
        <w:t xml:space="preserve">the DFAT </w:t>
      </w:r>
      <w:r w:rsidR="007F11D7">
        <w:rPr>
          <w:rFonts w:cs="RijksoverheidSerif"/>
          <w:lang w:val="en-AU"/>
        </w:rPr>
        <w:t xml:space="preserve">Greater </w:t>
      </w:r>
      <w:r w:rsidR="00D86B85" w:rsidRPr="002E0D8A">
        <w:rPr>
          <w:rFonts w:cs="RijksoverheidSerif"/>
          <w:lang w:val="en-AU"/>
        </w:rPr>
        <w:t xml:space="preserve">Mekong Water Team </w:t>
      </w:r>
      <w:r w:rsidR="00E40FA4" w:rsidRPr="002E0D8A">
        <w:rPr>
          <w:rFonts w:cs="RijksoverheidSerif"/>
          <w:lang w:val="en-AU"/>
        </w:rPr>
        <w:t xml:space="preserve">conduct and biannually or annually revise the political economy analyses (PEAs). PEAs </w:t>
      </w:r>
      <w:r w:rsidR="00DD51F2" w:rsidRPr="002E0D8A">
        <w:rPr>
          <w:rFonts w:cs="RijksoverheidSerif"/>
          <w:lang w:val="en-AU"/>
        </w:rPr>
        <w:t>analyse</w:t>
      </w:r>
      <w:r w:rsidR="00E40FA4" w:rsidRPr="002E0D8A">
        <w:rPr>
          <w:rFonts w:cs="RijksoverheidSerif"/>
          <w:lang w:val="en-AU"/>
        </w:rPr>
        <w:t xml:space="preserve"> the broader context, including the culture and existing power relations, before placing a demarcated intervention in that context. Assumptions about </w:t>
      </w:r>
      <w:r w:rsidR="00875EE8" w:rsidRPr="002E0D8A">
        <w:rPr>
          <w:rFonts w:cs="RijksoverheidSerif"/>
          <w:lang w:val="en-AU"/>
        </w:rPr>
        <w:t>behaviour</w:t>
      </w:r>
      <w:r w:rsidR="00E40FA4" w:rsidRPr="002E0D8A">
        <w:rPr>
          <w:rFonts w:cs="RijksoverheidSerif"/>
          <w:lang w:val="en-AU"/>
        </w:rPr>
        <w:t xml:space="preserve">, the underlying mechanisms at work and the context that supports an intervention </w:t>
      </w:r>
      <w:r w:rsidR="007926E7" w:rsidRPr="002E0D8A">
        <w:rPr>
          <w:rFonts w:cs="RijksoverheidSerif"/>
          <w:lang w:val="en-AU"/>
        </w:rPr>
        <w:t xml:space="preserve">need to be made explicit and </w:t>
      </w:r>
      <w:r w:rsidR="00E40FA4" w:rsidRPr="002E0D8A">
        <w:rPr>
          <w:rFonts w:cs="RijksoverheidSerif"/>
          <w:lang w:val="en-AU"/>
        </w:rPr>
        <w:t>supported by evidence as much as possible.</w:t>
      </w:r>
      <w:r w:rsidR="00E40FA4" w:rsidRPr="002E0D8A">
        <w:rPr>
          <w:lang w:val="en-AU"/>
        </w:rPr>
        <w:t xml:space="preserve"> </w:t>
      </w:r>
    </w:p>
    <w:p w14:paraId="7813A17D" w14:textId="6AF33A8E" w:rsidR="00E40FA4" w:rsidRPr="002E0D8A" w:rsidRDefault="00B234AD" w:rsidP="005F57A8">
      <w:pPr>
        <w:pStyle w:val="Heading2"/>
        <w:tabs>
          <w:tab w:val="clear" w:pos="401"/>
          <w:tab w:val="num" w:pos="1134"/>
        </w:tabs>
        <w:spacing w:after="120"/>
        <w:ind w:left="1134" w:hanging="1134"/>
        <w:rPr>
          <w:rFonts w:cs="Arial"/>
          <w:lang w:val="en-AU"/>
        </w:rPr>
      </w:pPr>
      <w:bookmarkStart w:id="37" w:name="_Toc475358469"/>
      <w:r>
        <w:rPr>
          <w:rFonts w:cs="Arial"/>
          <w:lang w:val="en-AU"/>
        </w:rPr>
        <w:t>Overall approach</w:t>
      </w:r>
      <w:bookmarkEnd w:id="37"/>
    </w:p>
    <w:p w14:paraId="4CF60CF3" w14:textId="1880D8B9" w:rsidR="0075518E" w:rsidRPr="002E0D8A" w:rsidRDefault="00BF3515" w:rsidP="002C0AD1">
      <w:pPr>
        <w:pStyle w:val="BodyText"/>
        <w:rPr>
          <w:lang w:val="en-AU"/>
        </w:rPr>
      </w:pPr>
      <w:r w:rsidRPr="002E0D8A">
        <w:rPr>
          <w:lang w:val="en-AU"/>
        </w:rPr>
        <w:t xml:space="preserve">In its overall approach, </w:t>
      </w:r>
      <w:r w:rsidR="0075518E" w:rsidRPr="002E0D8A">
        <w:rPr>
          <w:lang w:val="en-AU"/>
        </w:rPr>
        <w:t xml:space="preserve">DFAT GMWRP has maintained direct and consistent water diplomacy engagement with Greater Mekong government representatives from Cambodia, China, Laos, Myanmar, Thailand and Vietnam. In addition, DFAT has contracted relationships with key implementation partners: Mekong River Commission (MRC), World Bank Group - The World Bank (WB) and the International Finance Corporation (IFC), Oxfam Australia, International Water Management Institute (IWMI), and the Australian Water Partnership (AWP). Since 2016 the AWP is providing additional people/companies/resources when requested, with early support to DFAT focused on Myanmar.  </w:t>
      </w:r>
    </w:p>
    <w:p w14:paraId="5C33EF56" w14:textId="3F065726" w:rsidR="00BF3515" w:rsidRPr="002E0D8A" w:rsidRDefault="00BF3515" w:rsidP="002C0AD1">
      <w:pPr>
        <w:pStyle w:val="BodyText"/>
        <w:rPr>
          <w:lang w:val="en-AU"/>
        </w:rPr>
      </w:pPr>
      <w:r w:rsidRPr="002E0D8A">
        <w:rPr>
          <w:lang w:val="en-AU"/>
        </w:rPr>
        <w:t>The DFAT approach to water-related policy dialogue (as noted above) has been to concentrate – with its contracted partners - on fostering trust and open discussion between Greater Mekong governments and other water-related stakeholders.  Partner organisations have their own niches, methods and emphases – MRC being inter-governmental, World Bank working very closely with governments and improving management, IFC working very closely with governments and the private sector, Oxfam Australia predominantly with civil society organisations, IWMI resourcing the regional research community in its diverse engagements.</w:t>
      </w:r>
    </w:p>
    <w:p w14:paraId="5B894A2B" w14:textId="1943B5CA" w:rsidR="0075518E" w:rsidRPr="002E0D8A" w:rsidRDefault="0075518E" w:rsidP="002C0AD1">
      <w:pPr>
        <w:pStyle w:val="BodyText"/>
        <w:rPr>
          <w:lang w:val="en-AU"/>
        </w:rPr>
      </w:pPr>
      <w:r w:rsidRPr="00875EE8">
        <w:rPr>
          <w:rFonts w:cs="Arial"/>
          <w:b/>
          <w:lang w:val="en-AU" w:bidi="th-TH"/>
        </w:rPr>
        <w:t>The logic of the approach to engagement, and the selection of partners are both considered as being sound and appropriate, but at the same time, very demanding</w:t>
      </w:r>
      <w:r w:rsidR="00B469A1">
        <w:rPr>
          <w:rFonts w:cs="Arial"/>
          <w:lang w:val="en-AU" w:bidi="th-TH"/>
        </w:rPr>
        <w:t xml:space="preserve">: </w:t>
      </w:r>
      <w:r w:rsidRPr="00875EE8">
        <w:rPr>
          <w:color w:val="000000" w:themeColor="text1"/>
          <w:lang w:val="en-AU"/>
        </w:rPr>
        <w:t>The diversity of partners ranging from an inter-governmental organi</w:t>
      </w:r>
      <w:r w:rsidR="00340706">
        <w:rPr>
          <w:color w:val="000000" w:themeColor="text1"/>
          <w:lang w:val="en-AU"/>
        </w:rPr>
        <w:t>s</w:t>
      </w:r>
      <w:r w:rsidRPr="00875EE8">
        <w:rPr>
          <w:color w:val="000000" w:themeColor="text1"/>
          <w:lang w:val="en-AU"/>
        </w:rPr>
        <w:t>ation, financing institution, research institution, Non-Governmental Organi</w:t>
      </w:r>
      <w:r w:rsidR="00340706">
        <w:rPr>
          <w:color w:val="000000" w:themeColor="text1"/>
          <w:lang w:val="en-AU"/>
        </w:rPr>
        <w:t>s</w:t>
      </w:r>
      <w:r w:rsidRPr="00875EE8">
        <w:rPr>
          <w:color w:val="000000" w:themeColor="text1"/>
          <w:lang w:val="en-AU"/>
        </w:rPr>
        <w:t>ation and advocacy organi</w:t>
      </w:r>
      <w:r w:rsidR="00340706">
        <w:rPr>
          <w:color w:val="000000" w:themeColor="text1"/>
          <w:lang w:val="en-AU"/>
        </w:rPr>
        <w:t>s</w:t>
      </w:r>
      <w:r w:rsidRPr="00875EE8">
        <w:rPr>
          <w:color w:val="000000" w:themeColor="text1"/>
          <w:lang w:val="en-AU"/>
        </w:rPr>
        <w:t>ations with different organi</w:t>
      </w:r>
      <w:r w:rsidR="00340706">
        <w:rPr>
          <w:color w:val="000000" w:themeColor="text1"/>
          <w:lang w:val="en-AU"/>
        </w:rPr>
        <w:t>s</w:t>
      </w:r>
      <w:r w:rsidRPr="00875EE8">
        <w:rPr>
          <w:color w:val="000000" w:themeColor="text1"/>
          <w:lang w:val="en-AU"/>
        </w:rPr>
        <w:t xml:space="preserve">ational set-up and practices, </w:t>
      </w:r>
      <w:r w:rsidR="005A493D" w:rsidRPr="00875EE8">
        <w:rPr>
          <w:color w:val="000000" w:themeColor="text1"/>
          <w:lang w:val="en-AU"/>
        </w:rPr>
        <w:t xml:space="preserve">is both a </w:t>
      </w:r>
      <w:r w:rsidRPr="00875EE8">
        <w:rPr>
          <w:color w:val="000000" w:themeColor="text1"/>
          <w:lang w:val="en-AU"/>
        </w:rPr>
        <w:t>strength</w:t>
      </w:r>
      <w:r w:rsidR="00875EE8">
        <w:rPr>
          <w:color w:val="000000" w:themeColor="text1"/>
          <w:lang w:val="en-AU"/>
        </w:rPr>
        <w:t>,</w:t>
      </w:r>
      <w:r w:rsidRPr="00875EE8">
        <w:rPr>
          <w:color w:val="000000" w:themeColor="text1"/>
          <w:lang w:val="en-AU"/>
        </w:rPr>
        <w:t xml:space="preserve"> and </w:t>
      </w:r>
      <w:r w:rsidR="005A493D" w:rsidRPr="00875EE8">
        <w:rPr>
          <w:color w:val="000000" w:themeColor="text1"/>
          <w:lang w:val="en-AU"/>
        </w:rPr>
        <w:t>a</w:t>
      </w:r>
      <w:r w:rsidR="00875EE8">
        <w:rPr>
          <w:color w:val="000000" w:themeColor="text1"/>
          <w:lang w:val="en-AU"/>
        </w:rPr>
        <w:t xml:space="preserve"> </w:t>
      </w:r>
      <w:r w:rsidRPr="00875EE8">
        <w:rPr>
          <w:color w:val="000000" w:themeColor="text1"/>
          <w:lang w:val="en-AU"/>
        </w:rPr>
        <w:t>strategic and operational challenge</w:t>
      </w:r>
      <w:r w:rsidR="005A493D" w:rsidRPr="00875EE8">
        <w:rPr>
          <w:color w:val="000000" w:themeColor="text1"/>
          <w:lang w:val="en-AU"/>
        </w:rPr>
        <w:t xml:space="preserve"> for the program.</w:t>
      </w:r>
      <w:r w:rsidRPr="00875EE8">
        <w:rPr>
          <w:color w:val="000000" w:themeColor="text1"/>
          <w:lang w:val="en-AU"/>
        </w:rPr>
        <w:t xml:space="preserve"> T</w:t>
      </w:r>
      <w:r w:rsidR="0045453C" w:rsidRPr="00875EE8">
        <w:rPr>
          <w:lang w:val="en-AU"/>
        </w:rPr>
        <w:t xml:space="preserve">he </w:t>
      </w:r>
      <w:r w:rsidR="00E40FA4" w:rsidRPr="00875EE8">
        <w:rPr>
          <w:lang w:val="en-AU"/>
        </w:rPr>
        <w:t xml:space="preserve">diverse governance arrangements and priority inclinations </w:t>
      </w:r>
      <w:r w:rsidR="0045453C" w:rsidRPr="00875EE8">
        <w:rPr>
          <w:lang w:val="en-AU"/>
        </w:rPr>
        <w:t xml:space="preserve">of different partners </w:t>
      </w:r>
      <w:r w:rsidR="00E40FA4" w:rsidRPr="00875EE8">
        <w:rPr>
          <w:lang w:val="en-AU"/>
        </w:rPr>
        <w:t>presents challenges for effective synergy and collaboration to achieve timely policy changes.</w:t>
      </w:r>
      <w:r w:rsidR="00E40FA4" w:rsidRPr="002E0D8A">
        <w:rPr>
          <w:lang w:val="en-AU"/>
        </w:rPr>
        <w:t xml:space="preserve"> </w:t>
      </w:r>
    </w:p>
    <w:p w14:paraId="0FB97087" w14:textId="6F78D36E" w:rsidR="00E40FA4" w:rsidRPr="002E0D8A" w:rsidRDefault="00E40FA4" w:rsidP="002C0AD1">
      <w:pPr>
        <w:pStyle w:val="BodyText"/>
        <w:rPr>
          <w:color w:val="000000" w:themeColor="text1"/>
          <w:lang w:val="en-AU"/>
        </w:rPr>
      </w:pPr>
      <w:r w:rsidRPr="002E0D8A">
        <w:rPr>
          <w:lang w:val="en-AU"/>
        </w:rPr>
        <w:lastRenderedPageBreak/>
        <w:t>The cohesiveness among different pillars and components within each pillar, and with the regional, national and sub-national needs and priorities ne</w:t>
      </w:r>
      <w:r w:rsidR="0049563C">
        <w:rPr>
          <w:lang w:val="en-AU"/>
        </w:rPr>
        <w:t xml:space="preserve">ed to be further improved. </w:t>
      </w:r>
      <w:r w:rsidRPr="002E0D8A">
        <w:rPr>
          <w:lang w:val="en-AU"/>
        </w:rPr>
        <w:t xml:space="preserve">The level of synergy and collaboration </w:t>
      </w:r>
      <w:r w:rsidR="0045453C" w:rsidRPr="002E0D8A">
        <w:rPr>
          <w:lang w:val="en-AU"/>
        </w:rPr>
        <w:t xml:space="preserve">that is actually achieved </w:t>
      </w:r>
      <w:r w:rsidRPr="002E0D8A">
        <w:rPr>
          <w:lang w:val="en-AU"/>
        </w:rPr>
        <w:t xml:space="preserve">within the GMWRP depends a lot </w:t>
      </w:r>
      <w:r w:rsidR="0045453C" w:rsidRPr="002E0D8A">
        <w:rPr>
          <w:lang w:val="en-AU"/>
        </w:rPr>
        <w:t>on each organi</w:t>
      </w:r>
      <w:r w:rsidR="00340706">
        <w:rPr>
          <w:lang w:val="en-AU"/>
        </w:rPr>
        <w:t>s</w:t>
      </w:r>
      <w:r w:rsidR="0045453C" w:rsidRPr="002E0D8A">
        <w:rPr>
          <w:lang w:val="en-AU"/>
        </w:rPr>
        <w:t xml:space="preserve">ation’s </w:t>
      </w:r>
      <w:r w:rsidRPr="002E0D8A">
        <w:rPr>
          <w:lang w:val="en-AU"/>
        </w:rPr>
        <w:t xml:space="preserve">inclination and the personality of key team members. For example, Oxfam supported regional and local CSOs and government in the Mekong Delta Study, PNPCA, etc. and worked closely with IFC in Laos in the Hydropower </w:t>
      </w:r>
      <w:r w:rsidR="00B469A1">
        <w:rPr>
          <w:lang w:val="en-AU"/>
        </w:rPr>
        <w:t xml:space="preserve">Developers ‘ Working Group </w:t>
      </w:r>
      <w:r w:rsidRPr="002E0D8A">
        <w:rPr>
          <w:lang w:val="en-AU"/>
        </w:rPr>
        <w:t>meetings, but not so in Myanmar</w:t>
      </w:r>
      <w:r w:rsidR="00B469A1">
        <w:rPr>
          <w:lang w:val="en-AU"/>
        </w:rPr>
        <w:t>, yet,</w:t>
      </w:r>
      <w:r w:rsidRPr="002E0D8A">
        <w:rPr>
          <w:lang w:val="en-AU"/>
        </w:rPr>
        <w:t xml:space="preserve"> because of certain sensitivities and challenges. Oxfam could assist the MRC in its MRC Council Study with the gender aspects and public engagement, and IFC team could help Oxfam and WLE in the policy-interface. </w:t>
      </w:r>
      <w:r w:rsidRPr="002E0D8A">
        <w:rPr>
          <w:color w:val="000000" w:themeColor="text1"/>
          <w:lang w:val="en-AU"/>
        </w:rPr>
        <w:t>But this synergy and collaboration opportunity for a better policy dialogue has</w:t>
      </w:r>
      <w:r w:rsidR="0045453C" w:rsidRPr="002E0D8A">
        <w:rPr>
          <w:color w:val="000000" w:themeColor="text1"/>
          <w:lang w:val="en-AU"/>
        </w:rPr>
        <w:t xml:space="preserve"> not been used to maximum effectiveness </w:t>
      </w:r>
      <w:r w:rsidR="0049563C">
        <w:rPr>
          <w:color w:val="000000" w:themeColor="text1"/>
          <w:lang w:val="en-AU"/>
        </w:rPr>
        <w:t>yet.</w:t>
      </w:r>
    </w:p>
    <w:p w14:paraId="581E9CCB" w14:textId="6BF167C2" w:rsidR="00E40FA4" w:rsidRPr="002E0D8A" w:rsidRDefault="00E40FA4" w:rsidP="002C0AD1">
      <w:pPr>
        <w:pStyle w:val="BodyText"/>
        <w:rPr>
          <w:lang w:val="en-AU"/>
        </w:rPr>
      </w:pPr>
      <w:r w:rsidRPr="002E0D8A">
        <w:rPr>
          <w:lang w:val="en-AU"/>
        </w:rPr>
        <w:t>The IFC (2016) Progress Report identified the challenge of low capacity</w:t>
      </w:r>
      <w:r w:rsidR="0045453C" w:rsidRPr="002E0D8A">
        <w:rPr>
          <w:lang w:val="en-AU"/>
        </w:rPr>
        <w:t xml:space="preserve"> in government agencies</w:t>
      </w:r>
      <w:r w:rsidRPr="002E0D8A">
        <w:rPr>
          <w:lang w:val="en-AU"/>
        </w:rPr>
        <w:t xml:space="preserve"> and the fact that several development partners are targeting the same departments and thus the ability of government agencies to absorb and deliver the necessary elements of the program became extremely challenging</w:t>
      </w:r>
      <w:r w:rsidRPr="002E0D8A">
        <w:rPr>
          <w:rStyle w:val="FootnoteReference"/>
          <w:rFonts w:asciiTheme="minorHAnsi" w:hAnsiTheme="minorHAnsi"/>
          <w:lang w:val="en-AU"/>
        </w:rPr>
        <w:footnoteReference w:id="6"/>
      </w:r>
      <w:r w:rsidRPr="002E0D8A">
        <w:rPr>
          <w:lang w:val="en-AU"/>
        </w:rPr>
        <w:t xml:space="preserve">. As result, more junior staff with limited knowledge of proposed topics (e.g. cumulative impact assessment and management and environmental flows) have been assigned to work on the project. Moreover, hydropower dam topics are sensitive for the government to address, and the government partner agencies tried to dilute the project objectives, aiming to focus on more general water management tools and not specifically hydropower and the most relevant impacts facing river basins today. </w:t>
      </w:r>
    </w:p>
    <w:p w14:paraId="297208F7" w14:textId="2206ED74" w:rsidR="00E40FA4" w:rsidRPr="002E0D8A" w:rsidRDefault="00E40FA4" w:rsidP="002C0AD1">
      <w:pPr>
        <w:pStyle w:val="BodyText"/>
        <w:rPr>
          <w:lang w:val="en-AU"/>
        </w:rPr>
      </w:pPr>
      <w:r w:rsidRPr="002E0D8A">
        <w:rPr>
          <w:lang w:val="en-AU"/>
        </w:rPr>
        <w:t xml:space="preserve">Oxfam has placed particular focus on supporting CSOs and building capacity at the grass roots, and creating spaces for the CSOs at regional, national and local levels to engage in the transboundary and national mega-infrastructure issues (e.g. </w:t>
      </w:r>
      <w:r w:rsidRPr="003D0B4B">
        <w:rPr>
          <w:lang w:val="en-AU"/>
        </w:rPr>
        <w:t>Xayabur</w:t>
      </w:r>
      <w:r w:rsidR="00766D79" w:rsidRPr="003D0B4B">
        <w:rPr>
          <w:lang w:val="en-AU"/>
        </w:rPr>
        <w:t>i</w:t>
      </w:r>
      <w:r w:rsidRPr="002E0D8A">
        <w:rPr>
          <w:lang w:val="en-AU"/>
        </w:rPr>
        <w:t xml:space="preserve"> and Don Sahong Dams </w:t>
      </w:r>
      <w:r w:rsidR="007826FD" w:rsidRPr="002E0D8A">
        <w:rPr>
          <w:lang w:val="en-AU"/>
        </w:rPr>
        <w:t>Prior</w:t>
      </w:r>
      <w:r w:rsidRPr="002E0D8A">
        <w:rPr>
          <w:lang w:val="en-AU"/>
        </w:rPr>
        <w:t xml:space="preserve"> Notifications, Lower Se San 2, and the Mekong Delta Study etc.)</w:t>
      </w:r>
      <w:r w:rsidR="00104C57" w:rsidRPr="002E0D8A">
        <w:rPr>
          <w:lang w:val="en-AU"/>
        </w:rPr>
        <w:t>. A</w:t>
      </w:r>
      <w:r w:rsidRPr="002E0D8A">
        <w:rPr>
          <w:lang w:val="en-AU"/>
        </w:rPr>
        <w:t>ccording to Oxfam’s external review (2016), it has the potential to work much more effectively with these partners and stakeholders at regional and national level.</w:t>
      </w:r>
      <w:r w:rsidRPr="002E0D8A">
        <w:rPr>
          <w:rStyle w:val="FootnoteReference"/>
          <w:rFonts w:asciiTheme="minorHAnsi" w:hAnsiTheme="minorHAnsi"/>
          <w:lang w:val="en-AU"/>
        </w:rPr>
        <w:footnoteReference w:id="7"/>
      </w:r>
    </w:p>
    <w:p w14:paraId="69489788" w14:textId="7ED0301D" w:rsidR="007D6877" w:rsidRPr="00206B14" w:rsidRDefault="007D6877" w:rsidP="002C0AD1">
      <w:pPr>
        <w:pStyle w:val="BodyText"/>
        <w:rPr>
          <w:lang w:val="en-AU"/>
        </w:rPr>
      </w:pPr>
      <w:r w:rsidRPr="00206B14">
        <w:t>Soon after signing of contracts between DFAT and IWMI/WLE, Naga House moved quickly to prepare and issue a call for Expressions of Interest (EOIs) for projects to address five topic areas (water governance, healthy rivers, river food systems, healthy landscapes and ecosystems, capacity building and professional development) across four basins (</w:t>
      </w:r>
      <w:r w:rsidRPr="007F11D7">
        <w:t>Ayeyarwaddy</w:t>
      </w:r>
      <w:r w:rsidRPr="00206B14">
        <w:t>, Salween, Mekong, Red).  The call closed in September 2014.  All EOIs were then assessed by a roster of independent professionals invited by Naga House.  The assessments were undertaken in good time and all EOIs were scored against a range of criteria.  Those with the highest scores were selected.  There was no separate direct sourcing by IWMI/Naga House.  From DFAT’s perspective the call, assessment, proposal writing workshop (bringing together all the highest scoring consortia) and contracting was undertaken professionally in a relatively short time.  Many excellent proposals were unsuccessful, including from many excellent organisations who were already Naga partners, having led Mekong projects in the prior funding round under Challenge Program on Water and Food.  This caused some disappointment.  More direct commissioning would have enabled IWMI/Naga House to contract more pre-existing partners.  DFAT supported the process that was selected by IWMI/Naga House.  There are pros and cons to all contracting processes.  In future, a mixture of direct sourcing proven performers and open call might be considered.</w:t>
      </w:r>
    </w:p>
    <w:p w14:paraId="1262078A" w14:textId="149CC466" w:rsidR="00E40FA4" w:rsidRPr="002E0D8A" w:rsidRDefault="00A34494" w:rsidP="002C0AD1">
      <w:pPr>
        <w:pStyle w:val="BodyText"/>
        <w:rPr>
          <w:lang w:val="en-AU"/>
        </w:rPr>
      </w:pPr>
      <w:r w:rsidRPr="002E0D8A">
        <w:rPr>
          <w:lang w:val="en-AU"/>
        </w:rPr>
        <w:t xml:space="preserve">Even though </w:t>
      </w:r>
      <w:r w:rsidR="00E40FA4" w:rsidRPr="002E0D8A">
        <w:rPr>
          <w:lang w:val="en-AU"/>
        </w:rPr>
        <w:t xml:space="preserve">the fellowships are principally for capacity building, coaching, mentoring, exposure to regional experience, etc. it is important for them to bear in mind the need for influencing changes as much as possible. The original requirement for each fellow to identify and work with their boundary decision-makers </w:t>
      </w:r>
      <w:r w:rsidR="007D6877">
        <w:rPr>
          <w:lang w:val="en-AU"/>
        </w:rPr>
        <w:t>could have been applied more consistently</w:t>
      </w:r>
      <w:r w:rsidR="00E40FA4" w:rsidRPr="002E0D8A">
        <w:rPr>
          <w:lang w:val="en-AU"/>
        </w:rPr>
        <w:t xml:space="preserve">. </w:t>
      </w:r>
    </w:p>
    <w:p w14:paraId="6FD84FAE" w14:textId="50081052" w:rsidR="00E40FA4" w:rsidRPr="002E0D8A" w:rsidRDefault="00E40FA4" w:rsidP="002C0AD1">
      <w:pPr>
        <w:pStyle w:val="BodyText"/>
        <w:rPr>
          <w:lang w:val="en-AU"/>
        </w:rPr>
      </w:pPr>
      <w:r w:rsidRPr="002E0D8A">
        <w:rPr>
          <w:lang w:val="en-AU"/>
        </w:rPr>
        <w:lastRenderedPageBreak/>
        <w:t xml:space="preserve">The resources available for the policy dialogue work of the coordination for change (C4C) team of WLE were severely affected by the budget cut from IWMI and dollar exchange loss.  In addition to this, other </w:t>
      </w:r>
      <w:r w:rsidR="00491AA0">
        <w:rPr>
          <w:lang w:val="en-AU"/>
        </w:rPr>
        <w:t>factors may have</w:t>
      </w:r>
      <w:r w:rsidRPr="002E0D8A">
        <w:rPr>
          <w:lang w:val="en-AU"/>
        </w:rPr>
        <w:t xml:space="preserve"> limited ability of the C4C team to achieve policy influence and policy change. The C4C team </w:t>
      </w:r>
      <w:r w:rsidR="00491AA0">
        <w:rPr>
          <w:lang w:val="en-AU"/>
        </w:rPr>
        <w:t>members</w:t>
      </w:r>
      <w:r w:rsidRPr="002E0D8A">
        <w:rPr>
          <w:lang w:val="en-AU"/>
        </w:rPr>
        <w:t xml:space="preserve"> </w:t>
      </w:r>
      <w:r w:rsidR="004E3E6E" w:rsidRPr="002E0D8A">
        <w:rPr>
          <w:lang w:val="en-AU"/>
        </w:rPr>
        <w:t>might</w:t>
      </w:r>
      <w:r w:rsidRPr="002E0D8A">
        <w:rPr>
          <w:lang w:val="en-AU"/>
        </w:rPr>
        <w:t xml:space="preserve"> not </w:t>
      </w:r>
      <w:r w:rsidR="00491AA0">
        <w:rPr>
          <w:lang w:val="en-AU"/>
        </w:rPr>
        <w:t xml:space="preserve">all </w:t>
      </w:r>
      <w:r w:rsidRPr="002E0D8A">
        <w:rPr>
          <w:lang w:val="en-AU"/>
        </w:rPr>
        <w:t>have a sufficiently extensive and high level network of political connections at the decision-making level, to provide high level entry points and access to decision-making processes, and m</w:t>
      </w:r>
      <w:r w:rsidR="004E3E6E" w:rsidRPr="002E0D8A">
        <w:rPr>
          <w:lang w:val="en-AU"/>
        </w:rPr>
        <w:t>ight</w:t>
      </w:r>
      <w:r w:rsidRPr="002E0D8A">
        <w:rPr>
          <w:lang w:val="en-AU"/>
        </w:rPr>
        <w:t xml:space="preserve"> not </w:t>
      </w:r>
      <w:r w:rsidR="00491AA0">
        <w:rPr>
          <w:lang w:val="en-AU"/>
        </w:rPr>
        <w:t xml:space="preserve">all </w:t>
      </w:r>
      <w:r w:rsidRPr="002E0D8A">
        <w:rPr>
          <w:lang w:val="en-AU"/>
        </w:rPr>
        <w:t xml:space="preserve">necessarily have the right </w:t>
      </w:r>
      <w:r w:rsidR="00491AA0">
        <w:rPr>
          <w:lang w:val="en-AU"/>
        </w:rPr>
        <w:t>skillset</w:t>
      </w:r>
      <w:r w:rsidR="00491AA0" w:rsidRPr="002E0D8A">
        <w:rPr>
          <w:lang w:val="en-AU"/>
        </w:rPr>
        <w:t xml:space="preserve"> </w:t>
      </w:r>
      <w:r w:rsidRPr="002E0D8A">
        <w:rPr>
          <w:lang w:val="en-AU"/>
        </w:rPr>
        <w:t>to be an effective policy lobbyist/influencer.</w:t>
      </w:r>
    </w:p>
    <w:p w14:paraId="5A3FCB95" w14:textId="3B27F6F4" w:rsidR="004E3E6E" w:rsidRPr="002E0D8A" w:rsidRDefault="00491AA0" w:rsidP="002C0AD1">
      <w:pPr>
        <w:pStyle w:val="BodyText"/>
        <w:rPr>
          <w:lang w:val="en-AU"/>
        </w:rPr>
      </w:pPr>
      <w:r>
        <w:rPr>
          <w:lang w:val="en-AU"/>
        </w:rPr>
        <w:t>Some</w:t>
      </w:r>
      <w:r w:rsidRPr="002E0D8A">
        <w:rPr>
          <w:lang w:val="en-AU"/>
        </w:rPr>
        <w:t xml:space="preserve"> </w:t>
      </w:r>
      <w:r w:rsidR="004E3E6E" w:rsidRPr="002E0D8A">
        <w:rPr>
          <w:lang w:val="en-AU"/>
        </w:rPr>
        <w:t>R4D project</w:t>
      </w:r>
      <w:r>
        <w:rPr>
          <w:lang w:val="en-AU"/>
        </w:rPr>
        <w:t>s</w:t>
      </w:r>
      <w:r w:rsidR="004E3E6E" w:rsidRPr="002E0D8A">
        <w:rPr>
          <w:lang w:val="en-AU"/>
        </w:rPr>
        <w:t xml:space="preserve"> ha</w:t>
      </w:r>
      <w:r>
        <w:rPr>
          <w:lang w:val="en-AU"/>
        </w:rPr>
        <w:t>ve</w:t>
      </w:r>
      <w:r w:rsidR="004E3E6E" w:rsidRPr="002E0D8A">
        <w:rPr>
          <w:lang w:val="en-AU"/>
        </w:rPr>
        <w:t xml:space="preserve"> limited ability and capacity to communicate or interface with the right “boundary” decision-makers and lack a strategy to engage them regularly to achieve better policy changes. WLE and its 15 MKs deal with boundary partners differently (from extremely limited to highly visible) – e.g. some MKs in Myanmar brought some of their boundary partners with them to the Forum, while others only invited their project teams to come. </w:t>
      </w:r>
      <w:r>
        <w:rPr>
          <w:lang w:val="en-AU"/>
        </w:rPr>
        <w:t xml:space="preserve">Different ways of </w:t>
      </w:r>
      <w:r w:rsidR="004E3E6E" w:rsidRPr="002E0D8A">
        <w:rPr>
          <w:lang w:val="en-AU"/>
        </w:rPr>
        <w:t>effectively engag</w:t>
      </w:r>
      <w:r>
        <w:rPr>
          <w:lang w:val="en-AU"/>
        </w:rPr>
        <w:t>ing</w:t>
      </w:r>
      <w:r w:rsidR="004E3E6E" w:rsidRPr="002E0D8A">
        <w:rPr>
          <w:lang w:val="en-AU"/>
        </w:rPr>
        <w:t xml:space="preserve"> boundary partners can be </w:t>
      </w:r>
      <w:r>
        <w:rPr>
          <w:lang w:val="en-AU"/>
        </w:rPr>
        <w:t>learned from</w:t>
      </w:r>
      <w:r w:rsidR="004E3E6E" w:rsidRPr="002E0D8A">
        <w:rPr>
          <w:lang w:val="en-AU"/>
        </w:rPr>
        <w:t xml:space="preserve"> other regional initiatives such as </w:t>
      </w:r>
      <w:r w:rsidR="00F57F9D" w:rsidRPr="002E0D8A">
        <w:rPr>
          <w:lang w:val="en-AU"/>
        </w:rPr>
        <w:t xml:space="preserve">the </w:t>
      </w:r>
      <w:r w:rsidR="004E3E6E" w:rsidRPr="002E0D8A">
        <w:rPr>
          <w:lang w:val="en-AU"/>
        </w:rPr>
        <w:t>SEI</w:t>
      </w:r>
      <w:r w:rsidR="00F57F9D" w:rsidRPr="002E0D8A">
        <w:rPr>
          <w:lang w:val="en-AU"/>
        </w:rPr>
        <w:t>-led</w:t>
      </w:r>
      <w:r w:rsidR="004E3E6E" w:rsidRPr="002E0D8A">
        <w:rPr>
          <w:lang w:val="en-AU"/>
        </w:rPr>
        <w:t xml:space="preserve"> </w:t>
      </w:r>
      <w:r w:rsidR="004E3E6E" w:rsidRPr="002E0D8A">
        <w:rPr>
          <w:rFonts w:cs="Arial"/>
          <w:bCs/>
          <w:shd w:val="clear" w:color="auto" w:fill="FFFFFF"/>
          <w:lang w:val="en-AU"/>
        </w:rPr>
        <w:t>Sustainable Mekong Research Network</w:t>
      </w:r>
      <w:r w:rsidR="004E3E6E" w:rsidRPr="002E0D8A">
        <w:rPr>
          <w:rStyle w:val="apple-converted-space"/>
          <w:rFonts w:asciiTheme="minorHAnsi" w:hAnsiTheme="minorHAnsi" w:cs="Arial"/>
          <w:shd w:val="clear" w:color="auto" w:fill="FFFFFF"/>
          <w:lang w:val="en-AU"/>
        </w:rPr>
        <w:t> </w:t>
      </w:r>
      <w:r w:rsidR="004E3E6E" w:rsidRPr="002E0D8A">
        <w:rPr>
          <w:rFonts w:cs="Arial"/>
          <w:shd w:val="clear" w:color="auto" w:fill="FFFFFF"/>
          <w:lang w:val="en-AU"/>
        </w:rPr>
        <w:t>(</w:t>
      </w:r>
      <w:r w:rsidR="004E3E6E" w:rsidRPr="002E0D8A">
        <w:rPr>
          <w:rFonts w:cs="Arial"/>
          <w:bCs/>
          <w:shd w:val="clear" w:color="auto" w:fill="FFFFFF"/>
          <w:lang w:val="en-AU"/>
        </w:rPr>
        <w:t>SUMERNET</w:t>
      </w:r>
      <w:r w:rsidR="004E3E6E" w:rsidRPr="002E0D8A">
        <w:rPr>
          <w:rFonts w:cs="Arial"/>
          <w:shd w:val="clear" w:color="auto" w:fill="FFFFFF"/>
          <w:lang w:val="en-AU"/>
        </w:rPr>
        <w:t>)</w:t>
      </w:r>
      <w:r w:rsidR="004E3E6E" w:rsidRPr="002E0D8A">
        <w:rPr>
          <w:lang w:val="en-AU"/>
        </w:rPr>
        <w:t>.</w:t>
      </w:r>
    </w:p>
    <w:p w14:paraId="5875B03C" w14:textId="2F59BEEB" w:rsidR="00E40FA4" w:rsidRPr="002E0D8A" w:rsidRDefault="00E40FA4" w:rsidP="002C0AD1">
      <w:pPr>
        <w:pStyle w:val="BodyText"/>
        <w:rPr>
          <w:lang w:val="en-AU"/>
        </w:rPr>
      </w:pPr>
      <w:r w:rsidRPr="002E0D8A">
        <w:rPr>
          <w:lang w:val="en-AU"/>
        </w:rPr>
        <w:t>Some of the partners viewed that WLE’s policy influencing ability within the broader GMWRP and with other sister programs, and with government agencies is further constra</w:t>
      </w:r>
      <w:r w:rsidR="009A05B2">
        <w:rPr>
          <w:lang w:val="en-AU"/>
        </w:rPr>
        <w:t>ined by the lack of consistent p</w:t>
      </w:r>
      <w:r w:rsidRPr="002E0D8A">
        <w:rPr>
          <w:lang w:val="en-AU"/>
        </w:rPr>
        <w:t xml:space="preserve">olicy dialogue understanding and commitment. </w:t>
      </w:r>
    </w:p>
    <w:p w14:paraId="4AD16822" w14:textId="77777777" w:rsidR="00C30373" w:rsidRDefault="00C30373" w:rsidP="00C30373">
      <w:pPr>
        <w:pStyle w:val="Heading2"/>
        <w:rPr>
          <w:lang w:val="en-AU"/>
        </w:rPr>
      </w:pPr>
      <w:bookmarkStart w:id="38" w:name="_Toc475358470"/>
      <w:r>
        <w:rPr>
          <w:lang w:val="en-AU"/>
        </w:rPr>
        <w:t>Policy Dialogue Capacity</w:t>
      </w:r>
      <w:bookmarkEnd w:id="38"/>
    </w:p>
    <w:p w14:paraId="797E2A5E" w14:textId="5E94AD87" w:rsidR="001700F2" w:rsidRPr="002E0D8A" w:rsidRDefault="009A05B2" w:rsidP="002C0AD1">
      <w:pPr>
        <w:pStyle w:val="BodyText"/>
        <w:rPr>
          <w:lang w:val="en-AU"/>
        </w:rPr>
      </w:pPr>
      <w:r w:rsidRPr="002C0AD1">
        <w:rPr>
          <w:lang w:val="en-AU"/>
        </w:rPr>
        <w:t>GMWRP is one program with many partners</w:t>
      </w:r>
      <w:r w:rsidR="001700F2" w:rsidRPr="002C0AD1">
        <w:rPr>
          <w:lang w:val="en-AU"/>
        </w:rPr>
        <w:t xml:space="preserve"> – </w:t>
      </w:r>
      <w:r w:rsidRPr="002C0AD1">
        <w:rPr>
          <w:lang w:val="en-AU"/>
        </w:rPr>
        <w:t>this</w:t>
      </w:r>
      <w:r w:rsidR="001700F2" w:rsidRPr="002C0AD1">
        <w:rPr>
          <w:lang w:val="en-AU"/>
        </w:rPr>
        <w:t xml:space="preserve"> is both </w:t>
      </w:r>
      <w:r w:rsidRPr="002C0AD1">
        <w:rPr>
          <w:lang w:val="en-AU"/>
        </w:rPr>
        <w:t xml:space="preserve">a key </w:t>
      </w:r>
      <w:r w:rsidR="001700F2" w:rsidRPr="002C0AD1">
        <w:rPr>
          <w:lang w:val="en-AU"/>
        </w:rPr>
        <w:t xml:space="preserve">strength of the </w:t>
      </w:r>
      <w:r w:rsidRPr="002C0AD1">
        <w:rPr>
          <w:lang w:val="en-AU"/>
        </w:rPr>
        <w:t>program, and a major</w:t>
      </w:r>
      <w:r>
        <w:rPr>
          <w:lang w:val="en-AU"/>
        </w:rPr>
        <w:t xml:space="preserve"> </w:t>
      </w:r>
      <w:r w:rsidR="001700F2" w:rsidRPr="00D334F4">
        <w:rPr>
          <w:lang w:val="en-AU"/>
        </w:rPr>
        <w:t>challenge.</w:t>
      </w:r>
      <w:r w:rsidR="00A968F6" w:rsidRPr="00D334F4">
        <w:rPr>
          <w:rStyle w:val="FootnoteReference"/>
          <w:rFonts w:asciiTheme="minorHAnsi" w:hAnsiTheme="minorHAnsi" w:cstheme="minorHAnsi"/>
          <w:color w:val="000000"/>
          <w:lang w:val="en-AU"/>
        </w:rPr>
        <w:footnoteReference w:id="8"/>
      </w:r>
    </w:p>
    <w:p w14:paraId="55B52CF8" w14:textId="507F73A6" w:rsidR="00E40FA4" w:rsidRPr="002E0D8A" w:rsidRDefault="00E40FA4" w:rsidP="00EA3C9F">
      <w:pPr>
        <w:pStyle w:val="Heading3"/>
        <w:tabs>
          <w:tab w:val="num" w:pos="851"/>
        </w:tabs>
        <w:ind w:left="851"/>
        <w:rPr>
          <w:lang w:val="en-AU"/>
        </w:rPr>
      </w:pPr>
      <w:bookmarkStart w:id="39" w:name="_Toc470715861"/>
      <w:bookmarkStart w:id="40" w:name="_Toc475358471"/>
      <w:r w:rsidRPr="002E0D8A">
        <w:rPr>
          <w:lang w:val="en-AU"/>
        </w:rPr>
        <w:t xml:space="preserve">DFAT </w:t>
      </w:r>
      <w:r w:rsidR="007F11D7">
        <w:rPr>
          <w:lang w:val="en-AU"/>
        </w:rPr>
        <w:t xml:space="preserve">Greater </w:t>
      </w:r>
      <w:r w:rsidRPr="002E0D8A">
        <w:rPr>
          <w:lang w:val="en-AU"/>
        </w:rPr>
        <w:t>Mekong Water Team</w:t>
      </w:r>
      <w:bookmarkEnd w:id="39"/>
      <w:bookmarkEnd w:id="40"/>
    </w:p>
    <w:p w14:paraId="228B11C5" w14:textId="13D2B27D" w:rsidR="00E40FA4" w:rsidRPr="002E0D8A" w:rsidRDefault="00E40FA4" w:rsidP="002C0AD1">
      <w:pPr>
        <w:pStyle w:val="BodyText"/>
        <w:rPr>
          <w:lang w:val="en-AU"/>
        </w:rPr>
      </w:pPr>
      <w:r w:rsidRPr="002E0D8A">
        <w:rPr>
          <w:lang w:val="en-AU"/>
        </w:rPr>
        <w:t>The DFAT</w:t>
      </w:r>
      <w:r w:rsidR="00F7090B">
        <w:rPr>
          <w:lang w:val="en-AU"/>
        </w:rPr>
        <w:t xml:space="preserve"> Greater</w:t>
      </w:r>
      <w:r w:rsidRPr="002E0D8A">
        <w:rPr>
          <w:lang w:val="en-AU"/>
        </w:rPr>
        <w:t xml:space="preserve"> Mekong Water Team is actively supported by the DFAT Posts including the Ambassadors in Vientiane and other Mekong capitals. </w:t>
      </w:r>
      <w:r w:rsidR="00491AA0">
        <w:rPr>
          <w:lang w:val="en-AU"/>
        </w:rPr>
        <w:t>The team is</w:t>
      </w:r>
      <w:r w:rsidRPr="002E0D8A">
        <w:rPr>
          <w:lang w:val="en-AU"/>
        </w:rPr>
        <w:t xml:space="preserve"> highly capable and proactive</w:t>
      </w:r>
      <w:r w:rsidR="00491AA0">
        <w:rPr>
          <w:lang w:val="en-AU"/>
        </w:rPr>
        <w:t>, and</w:t>
      </w:r>
      <w:r w:rsidR="004446C8">
        <w:rPr>
          <w:lang w:val="en-AU"/>
        </w:rPr>
        <w:t xml:space="preserve"> </w:t>
      </w:r>
      <w:r w:rsidRPr="002E0D8A">
        <w:rPr>
          <w:lang w:val="en-AU"/>
        </w:rPr>
        <w:t>ha</w:t>
      </w:r>
      <w:r w:rsidR="004446C8">
        <w:rPr>
          <w:lang w:val="en-AU"/>
        </w:rPr>
        <w:t>s</w:t>
      </w:r>
      <w:r w:rsidRPr="002E0D8A">
        <w:rPr>
          <w:lang w:val="en-AU"/>
        </w:rPr>
        <w:t xml:space="preserve"> been instrumental in the development of the </w:t>
      </w:r>
      <w:r w:rsidR="00F14BDF" w:rsidRPr="002E0D8A">
        <w:rPr>
          <w:lang w:val="en-AU"/>
        </w:rPr>
        <w:t>program</w:t>
      </w:r>
      <w:r w:rsidRPr="002E0D8A">
        <w:rPr>
          <w:lang w:val="en-AU"/>
        </w:rPr>
        <w:t xml:space="preserve"> and promotion of the policy dialogue. </w:t>
      </w:r>
    </w:p>
    <w:p w14:paraId="37B26481" w14:textId="4484808B" w:rsidR="00E40FA4" w:rsidRPr="002E0D8A" w:rsidRDefault="00E40FA4" w:rsidP="002C0AD1">
      <w:pPr>
        <w:pStyle w:val="BodyText"/>
        <w:rPr>
          <w:lang w:val="en-AU"/>
        </w:rPr>
      </w:pPr>
      <w:r w:rsidRPr="002E0D8A">
        <w:rPr>
          <w:lang w:val="en-AU"/>
        </w:rPr>
        <w:t xml:space="preserve">The </w:t>
      </w:r>
      <w:r w:rsidR="007F11D7">
        <w:rPr>
          <w:lang w:val="en-AU"/>
        </w:rPr>
        <w:t xml:space="preserve">Greater </w:t>
      </w:r>
      <w:r w:rsidRPr="002E0D8A">
        <w:rPr>
          <w:lang w:val="en-AU"/>
        </w:rPr>
        <w:t xml:space="preserve">Mekong </w:t>
      </w:r>
      <w:r w:rsidR="00304E04" w:rsidRPr="002E0D8A">
        <w:rPr>
          <w:lang w:val="en-AU"/>
        </w:rPr>
        <w:t xml:space="preserve">Water </w:t>
      </w:r>
      <w:r w:rsidRPr="002E0D8A">
        <w:rPr>
          <w:lang w:val="en-AU"/>
        </w:rPr>
        <w:t>Team has been instrumental in start-up of the Australian partnership and policy dialogue work in Myanmar</w:t>
      </w:r>
      <w:r w:rsidR="00E13E69" w:rsidRPr="002E0D8A">
        <w:rPr>
          <w:lang w:val="en-AU"/>
        </w:rPr>
        <w:t xml:space="preserve"> </w:t>
      </w:r>
      <w:r w:rsidR="00304E04" w:rsidRPr="002E0D8A">
        <w:rPr>
          <w:lang w:val="en-AU"/>
        </w:rPr>
        <w:t xml:space="preserve">and </w:t>
      </w:r>
      <w:r w:rsidRPr="002E0D8A">
        <w:rPr>
          <w:lang w:val="en-AU"/>
        </w:rPr>
        <w:t>in promoting coordination among all implementing partners and all water related Development Partners (See</w:t>
      </w:r>
      <w:r w:rsidRPr="00B234AD">
        <w:rPr>
          <w:lang w:val="en-AU"/>
        </w:rPr>
        <w:t xml:space="preserve"> case</w:t>
      </w:r>
      <w:r w:rsidRPr="002E0D8A">
        <w:rPr>
          <w:lang w:val="en-AU"/>
        </w:rPr>
        <w:t xml:space="preserve"> </w:t>
      </w:r>
      <w:r w:rsidR="00B234AD" w:rsidRPr="00B234AD">
        <w:rPr>
          <w:lang w:val="en-AU"/>
        </w:rPr>
        <w:t>studies in Annex</w:t>
      </w:r>
      <w:r w:rsidR="00B234AD">
        <w:rPr>
          <w:b/>
          <w:lang w:val="en-AU"/>
        </w:rPr>
        <w:t xml:space="preserve"> </w:t>
      </w:r>
      <w:r w:rsidR="00A34494" w:rsidRPr="002E0D8A">
        <w:rPr>
          <w:lang w:val="en-AU"/>
        </w:rPr>
        <w:t>for further</w:t>
      </w:r>
      <w:r w:rsidRPr="002E0D8A">
        <w:rPr>
          <w:lang w:val="en-AU"/>
        </w:rPr>
        <w:t xml:space="preserve"> discussion).</w:t>
      </w:r>
    </w:p>
    <w:p w14:paraId="47B0A3A4" w14:textId="31A8888C" w:rsidR="00E40FA4" w:rsidRPr="002E0D8A" w:rsidRDefault="00E40FA4" w:rsidP="002C0AD1">
      <w:pPr>
        <w:pStyle w:val="BodyText"/>
        <w:rPr>
          <w:iCs/>
          <w:lang w:val="en-AU"/>
        </w:rPr>
      </w:pPr>
      <w:r w:rsidRPr="002E0D8A">
        <w:rPr>
          <w:lang w:val="en-AU"/>
        </w:rPr>
        <w:t>DFAT has a strong convening power to organi</w:t>
      </w:r>
      <w:r w:rsidR="00340706">
        <w:rPr>
          <w:lang w:val="en-AU"/>
        </w:rPr>
        <w:t>s</w:t>
      </w:r>
      <w:r w:rsidRPr="002E0D8A">
        <w:rPr>
          <w:lang w:val="en-AU"/>
        </w:rPr>
        <w:t xml:space="preserve">e partners' meetings, donor mapping and collaboration exercises, and fellowship conferences etc. </w:t>
      </w:r>
    </w:p>
    <w:p w14:paraId="5E829CFF" w14:textId="41EF0B01" w:rsidR="00E40FA4" w:rsidRPr="002E0D8A" w:rsidRDefault="00E40FA4" w:rsidP="002C0AD1">
      <w:pPr>
        <w:pStyle w:val="BodyText"/>
        <w:rPr>
          <w:iCs/>
          <w:lang w:val="en-AU"/>
        </w:rPr>
      </w:pPr>
      <w:r w:rsidRPr="002E0D8A">
        <w:rPr>
          <w:iCs/>
          <w:lang w:val="en-AU"/>
        </w:rPr>
        <w:t>The staff level of effort and staff turn-over need to be carefully planned for, as the current expertise and efficiency of the policy dialogue and engagements are strongly built around two individuals and their network</w:t>
      </w:r>
      <w:r w:rsidR="00AB58DA">
        <w:rPr>
          <w:iCs/>
          <w:lang w:val="en-AU"/>
        </w:rPr>
        <w:t>s</w:t>
      </w:r>
      <w:r w:rsidRPr="002E0D8A">
        <w:rPr>
          <w:iCs/>
          <w:lang w:val="en-AU"/>
        </w:rPr>
        <w:t>.</w:t>
      </w:r>
    </w:p>
    <w:p w14:paraId="4A62C6E0" w14:textId="77777777" w:rsidR="00E40FA4" w:rsidRPr="002E0D8A" w:rsidRDefault="00E40FA4" w:rsidP="00BB4F7E">
      <w:pPr>
        <w:pStyle w:val="Heading3"/>
        <w:tabs>
          <w:tab w:val="num" w:pos="851"/>
        </w:tabs>
        <w:ind w:left="851"/>
        <w:rPr>
          <w:lang w:val="en-AU"/>
        </w:rPr>
      </w:pPr>
      <w:bookmarkStart w:id="41" w:name="_Toc470715863"/>
      <w:bookmarkStart w:id="42" w:name="_Toc475358472"/>
      <w:r w:rsidRPr="002E0D8A">
        <w:rPr>
          <w:lang w:val="en-AU"/>
        </w:rPr>
        <w:t>Oxfam Australia</w:t>
      </w:r>
      <w:bookmarkEnd w:id="41"/>
      <w:bookmarkEnd w:id="42"/>
    </w:p>
    <w:p w14:paraId="16E662C6" w14:textId="4EF82C4F" w:rsidR="001700F2" w:rsidRPr="00D334F4" w:rsidRDefault="001700F2" w:rsidP="002C0AD1">
      <w:pPr>
        <w:pStyle w:val="BodyText"/>
        <w:rPr>
          <w:color w:val="000000"/>
          <w:lang w:val="en-AU"/>
        </w:rPr>
      </w:pPr>
      <w:r w:rsidRPr="00D334F4">
        <w:rPr>
          <w:iCs/>
          <w:lang w:val="en-AU"/>
        </w:rPr>
        <w:t>DFAT is partnering with Oxfam Australia to support civil society input into water planning and decision-making</w:t>
      </w:r>
      <w:r w:rsidRPr="00D334F4">
        <w:rPr>
          <w:i/>
          <w:iCs/>
          <w:lang w:val="en-AU"/>
        </w:rPr>
        <w:t xml:space="preserve">. </w:t>
      </w:r>
      <w:r w:rsidR="00343715" w:rsidRPr="00343715">
        <w:rPr>
          <w:bCs/>
          <w:lang w:val="en-AU"/>
        </w:rPr>
        <w:t>Inclusive water g</w:t>
      </w:r>
      <w:r w:rsidRPr="00343715">
        <w:rPr>
          <w:bCs/>
          <w:lang w:val="en-AU"/>
        </w:rPr>
        <w:t xml:space="preserve">overnance </w:t>
      </w:r>
      <w:r w:rsidRPr="00343715">
        <w:rPr>
          <w:color w:val="000000"/>
          <w:lang w:val="en-AU"/>
        </w:rPr>
        <w:t>is</w:t>
      </w:r>
      <w:r w:rsidRPr="00D334F4">
        <w:rPr>
          <w:color w:val="000000"/>
          <w:lang w:val="en-AU"/>
        </w:rPr>
        <w:t xml:space="preserve"> one of five pillars within the </w:t>
      </w:r>
      <w:r w:rsidR="00D334F4" w:rsidRPr="00D334F4">
        <w:rPr>
          <w:color w:val="000000"/>
          <w:lang w:val="en-AU"/>
        </w:rPr>
        <w:t>GMWRP</w:t>
      </w:r>
      <w:r w:rsidR="0021245F">
        <w:rPr>
          <w:color w:val="000000"/>
          <w:lang w:val="en-AU"/>
        </w:rPr>
        <w:t>, and the Inclusion Project is</w:t>
      </w:r>
      <w:r w:rsidRPr="00D334F4">
        <w:rPr>
          <w:color w:val="000000"/>
          <w:lang w:val="en-AU"/>
        </w:rPr>
        <w:t xml:space="preserve"> part of Oxfam’s Mekong Regional Water Governance Program.</w:t>
      </w:r>
      <w:r w:rsidRPr="00D334F4">
        <w:rPr>
          <w:rStyle w:val="FootnoteReference"/>
          <w:rFonts w:asciiTheme="minorHAnsi" w:hAnsiTheme="minorHAnsi" w:cstheme="minorHAnsi"/>
          <w:color w:val="000000"/>
          <w:lang w:val="en-AU"/>
        </w:rPr>
        <w:footnoteReference w:id="9"/>
      </w:r>
      <w:r w:rsidRPr="00D334F4">
        <w:rPr>
          <w:color w:val="000000"/>
          <w:lang w:val="en-AU"/>
        </w:rPr>
        <w:t xml:space="preserve"> The </w:t>
      </w:r>
      <w:r w:rsidR="00343715">
        <w:rPr>
          <w:color w:val="000000"/>
          <w:lang w:val="en-AU"/>
        </w:rPr>
        <w:t xml:space="preserve">project </w:t>
      </w:r>
      <w:r w:rsidRPr="00D334F4">
        <w:rPr>
          <w:color w:val="000000"/>
          <w:lang w:val="en-AU"/>
        </w:rPr>
        <w:t xml:space="preserve">has three components, which contribute to three outcomes: </w:t>
      </w:r>
    </w:p>
    <w:p w14:paraId="1F68114F" w14:textId="3B8F972B" w:rsidR="001700F2" w:rsidRPr="00D334F4" w:rsidRDefault="001700F2" w:rsidP="009228CA">
      <w:pPr>
        <w:pStyle w:val="BodyText"/>
        <w:numPr>
          <w:ilvl w:val="0"/>
          <w:numId w:val="41"/>
        </w:numPr>
        <w:rPr>
          <w:color w:val="000000"/>
          <w:lang w:val="en-AU"/>
        </w:rPr>
      </w:pPr>
      <w:r w:rsidRPr="00D334F4">
        <w:rPr>
          <w:color w:val="000000"/>
          <w:lang w:val="en-AU"/>
        </w:rPr>
        <w:t xml:space="preserve">Gender and women’s leadership; </w:t>
      </w:r>
      <w:r w:rsidRPr="00D334F4">
        <w:rPr>
          <w:iCs/>
          <w:color w:val="000000"/>
          <w:lang w:val="en-AU"/>
        </w:rPr>
        <w:t xml:space="preserve">Active participation of women in water civil society groups; </w:t>
      </w:r>
    </w:p>
    <w:p w14:paraId="766CD332" w14:textId="7A93AA09" w:rsidR="001700F2" w:rsidRPr="00D334F4" w:rsidRDefault="001700F2" w:rsidP="009228CA">
      <w:pPr>
        <w:pStyle w:val="BodyText"/>
        <w:numPr>
          <w:ilvl w:val="0"/>
          <w:numId w:val="41"/>
        </w:numPr>
        <w:rPr>
          <w:color w:val="000000"/>
          <w:lang w:val="en-AU"/>
        </w:rPr>
      </w:pPr>
      <w:r w:rsidRPr="00D334F4">
        <w:rPr>
          <w:color w:val="000000"/>
          <w:lang w:val="en-AU"/>
        </w:rPr>
        <w:t xml:space="preserve">Strengthening </w:t>
      </w:r>
      <w:r w:rsidR="00E06983" w:rsidRPr="00E06983">
        <w:rPr>
          <w:lang w:val="en-AU"/>
        </w:rPr>
        <w:t xml:space="preserve">civil society organisations </w:t>
      </w:r>
      <w:r w:rsidR="00E06983">
        <w:rPr>
          <w:lang w:val="en-AU"/>
        </w:rPr>
        <w:t>(</w:t>
      </w:r>
      <w:r w:rsidR="00E06983">
        <w:rPr>
          <w:color w:val="000000"/>
          <w:lang w:val="en-AU"/>
        </w:rPr>
        <w:t>CSOs)</w:t>
      </w:r>
      <w:r w:rsidRPr="00D334F4">
        <w:rPr>
          <w:color w:val="000000"/>
          <w:lang w:val="en-AU"/>
        </w:rPr>
        <w:t xml:space="preserve"> to manage water resources and participate in water decision making; </w:t>
      </w:r>
      <w:r w:rsidRPr="00D334F4">
        <w:rPr>
          <w:iCs/>
          <w:color w:val="000000"/>
          <w:lang w:val="en-AU"/>
        </w:rPr>
        <w:t xml:space="preserve">Improved skills and capabilities of civil society to influence water decision-making; and </w:t>
      </w:r>
    </w:p>
    <w:p w14:paraId="47EF1AA7" w14:textId="11F3EE21" w:rsidR="001700F2" w:rsidRPr="00D334F4" w:rsidRDefault="001700F2" w:rsidP="009228CA">
      <w:pPr>
        <w:pStyle w:val="BodyText"/>
        <w:numPr>
          <w:ilvl w:val="0"/>
          <w:numId w:val="41"/>
        </w:numPr>
        <w:rPr>
          <w:color w:val="000000"/>
          <w:lang w:val="en-AU"/>
        </w:rPr>
      </w:pPr>
      <w:r w:rsidRPr="00D334F4">
        <w:rPr>
          <w:color w:val="000000"/>
          <w:lang w:val="en-AU"/>
        </w:rPr>
        <w:lastRenderedPageBreak/>
        <w:t xml:space="preserve">Convening and promoting policy dialogue; </w:t>
      </w:r>
      <w:r w:rsidRPr="00D334F4">
        <w:rPr>
          <w:iCs/>
          <w:color w:val="000000"/>
          <w:lang w:val="en-AU"/>
        </w:rPr>
        <w:t>Government agencies and development partners facilitate public participation in reviewing, developing, and implementing water and natural resource management policy.</w:t>
      </w:r>
    </w:p>
    <w:p w14:paraId="3ADE4B51" w14:textId="5EAB2BEE" w:rsidR="001700F2" w:rsidRPr="00D334F4" w:rsidRDefault="001700F2" w:rsidP="002C0AD1">
      <w:pPr>
        <w:pStyle w:val="BodyText"/>
        <w:rPr>
          <w:lang w:val="en-AU"/>
        </w:rPr>
      </w:pPr>
      <w:r w:rsidRPr="0021245F">
        <w:rPr>
          <w:lang w:val="en-AU"/>
        </w:rPr>
        <w:t>The program has</w:t>
      </w:r>
      <w:r w:rsidRPr="00D334F4">
        <w:rPr>
          <w:lang w:val="en-AU"/>
        </w:rPr>
        <w:t xml:space="preserve"> a strong portfolio of partnerships with about 22 key </w:t>
      </w:r>
      <w:r w:rsidR="00E06983">
        <w:rPr>
          <w:lang w:val="en-AU"/>
        </w:rPr>
        <w:t>CSOs</w:t>
      </w:r>
      <w:r w:rsidRPr="00D334F4">
        <w:rPr>
          <w:lang w:val="en-AU"/>
        </w:rPr>
        <w:t xml:space="preserve"> actors/partner organisations across the Mekong region. They include national and local partners as well as at the regional level such as Asia</w:t>
      </w:r>
      <w:r w:rsidR="00343715">
        <w:rPr>
          <w:lang w:val="en-AU"/>
        </w:rPr>
        <w:t>n Indigenous Peoples Pact</w:t>
      </w:r>
      <w:r w:rsidRPr="00D334F4">
        <w:rPr>
          <w:lang w:val="en-AU"/>
        </w:rPr>
        <w:t>, Mae Fah Luang University, Austr</w:t>
      </w:r>
      <w:r w:rsidR="00343715">
        <w:rPr>
          <w:lang w:val="en-AU"/>
        </w:rPr>
        <w:t>alian National University</w:t>
      </w:r>
      <w:r w:rsidRPr="00D334F4">
        <w:rPr>
          <w:lang w:val="en-AU"/>
        </w:rPr>
        <w:t>, and Stockholm Inte</w:t>
      </w:r>
      <w:r w:rsidR="00343715">
        <w:rPr>
          <w:lang w:val="en-AU"/>
        </w:rPr>
        <w:t>rnational Water Institute</w:t>
      </w:r>
      <w:r w:rsidRPr="00D334F4">
        <w:rPr>
          <w:lang w:val="en-AU"/>
        </w:rPr>
        <w:t xml:space="preserve">. </w:t>
      </w:r>
    </w:p>
    <w:p w14:paraId="4A745252" w14:textId="71DEB5C1" w:rsidR="00E40FA4" w:rsidRPr="002E0D8A" w:rsidRDefault="00E40FA4" w:rsidP="002C0AD1">
      <w:pPr>
        <w:pStyle w:val="BodyText"/>
        <w:rPr>
          <w:lang w:val="en-AU"/>
        </w:rPr>
      </w:pPr>
      <w:r w:rsidRPr="00E06983">
        <w:rPr>
          <w:lang w:val="en-AU"/>
        </w:rPr>
        <w:t xml:space="preserve">Oxfam's capacity for governance, policy dialogue, capacity building, youth and women's capacity is in place in spite of the recent departure of a senior/influential team member for the International Rivers. </w:t>
      </w:r>
      <w:r w:rsidR="00E06983" w:rsidRPr="00E06983">
        <w:rPr>
          <w:lang w:val="en-AU"/>
        </w:rPr>
        <w:t>Oxfam has worked closely with its partners to facilitate the participation of CSOs and local communities in different policy spaces (including meetings, forums, and stakeholder consultations) on policy issues at regional and national levels to strengthen the voices of and better understanding of complex issues by the CSOs and communities, and local and national governmental authorities.</w:t>
      </w:r>
      <w:r w:rsidRPr="002E0D8A">
        <w:rPr>
          <w:lang w:val="en-AU"/>
        </w:rPr>
        <w:t xml:space="preserve"> </w:t>
      </w:r>
    </w:p>
    <w:p w14:paraId="6B86F08C" w14:textId="6002FF6F" w:rsidR="00E40FA4" w:rsidRPr="002E0D8A" w:rsidRDefault="00AE7FA2" w:rsidP="002C0AD1">
      <w:pPr>
        <w:pStyle w:val="BodyText"/>
        <w:rPr>
          <w:color w:val="000000"/>
          <w:lang w:val="en-AU"/>
        </w:rPr>
      </w:pPr>
      <w:r>
        <w:rPr>
          <w:color w:val="000000"/>
          <w:lang w:val="en-AU"/>
        </w:rPr>
        <w:t xml:space="preserve">However, </w:t>
      </w:r>
      <w:r w:rsidR="00E40FA4" w:rsidRPr="002E0D8A">
        <w:rPr>
          <w:color w:val="000000"/>
          <w:lang w:val="en-AU"/>
        </w:rPr>
        <w:t>with the</w:t>
      </w:r>
      <w:r w:rsidR="000B4228" w:rsidRPr="002E0D8A">
        <w:rPr>
          <w:color w:val="000000"/>
          <w:lang w:val="en-AU"/>
        </w:rPr>
        <w:t>ir</w:t>
      </w:r>
      <w:r w:rsidR="00E40FA4" w:rsidRPr="002E0D8A">
        <w:rPr>
          <w:color w:val="000000"/>
          <w:lang w:val="en-AU"/>
        </w:rPr>
        <w:t xml:space="preserve"> </w:t>
      </w:r>
      <w:r>
        <w:rPr>
          <w:color w:val="000000"/>
          <w:lang w:val="en-AU"/>
        </w:rPr>
        <w:t xml:space="preserve">recent success in securing multi-million-dollar funding </w:t>
      </w:r>
      <w:r w:rsidR="00E40FA4" w:rsidRPr="002E0D8A">
        <w:rPr>
          <w:color w:val="000000"/>
          <w:lang w:val="en-AU"/>
        </w:rPr>
        <w:t>from</w:t>
      </w:r>
      <w:r w:rsidR="00343715">
        <w:rPr>
          <w:color w:val="000000"/>
          <w:lang w:val="en-AU"/>
        </w:rPr>
        <w:t xml:space="preserve"> Sida</w:t>
      </w:r>
      <w:r w:rsidR="00E40FA4" w:rsidRPr="002E0D8A">
        <w:rPr>
          <w:color w:val="000000"/>
          <w:lang w:val="en-AU"/>
        </w:rPr>
        <w:t xml:space="preserve"> for a</w:t>
      </w:r>
      <w:r w:rsidR="00EA3C9F" w:rsidRPr="002E0D8A">
        <w:rPr>
          <w:color w:val="000000"/>
          <w:lang w:val="en-AU"/>
        </w:rPr>
        <w:t>n</w:t>
      </w:r>
      <w:r w:rsidR="00E40FA4" w:rsidRPr="002E0D8A">
        <w:rPr>
          <w:color w:val="000000"/>
          <w:lang w:val="en-AU"/>
        </w:rPr>
        <w:t xml:space="preserve"> Asian Transboundary Water governance project will require splitting the time of the key senior team members (program manager and senior water governance advisor etc.).   </w:t>
      </w:r>
    </w:p>
    <w:p w14:paraId="54BDF3AD" w14:textId="614CA930" w:rsidR="00E40FA4" w:rsidRPr="002E0D8A" w:rsidRDefault="00C32435" w:rsidP="00EA3C9F">
      <w:pPr>
        <w:pStyle w:val="Heading3"/>
        <w:tabs>
          <w:tab w:val="num" w:pos="851"/>
        </w:tabs>
        <w:spacing w:before="120"/>
        <w:ind w:left="851"/>
        <w:rPr>
          <w:lang w:val="en-AU"/>
        </w:rPr>
      </w:pPr>
      <w:bookmarkStart w:id="43" w:name="_Toc475358473"/>
      <w:r>
        <w:rPr>
          <w:lang w:val="en-AU"/>
        </w:rPr>
        <w:t>International Water Management Institute</w:t>
      </w:r>
      <w:bookmarkEnd w:id="43"/>
    </w:p>
    <w:p w14:paraId="24DDE260" w14:textId="6DE7CE2E" w:rsidR="00A968F6" w:rsidRPr="00AE7FA2" w:rsidRDefault="00AE7FA2" w:rsidP="002C0AD1">
      <w:pPr>
        <w:pStyle w:val="BodyText"/>
        <w:rPr>
          <w:lang w:val="en-AU"/>
        </w:rPr>
      </w:pPr>
      <w:r>
        <w:rPr>
          <w:lang w:val="en-AU"/>
        </w:rPr>
        <w:t xml:space="preserve">The </w:t>
      </w:r>
      <w:r w:rsidR="00A968F6" w:rsidRPr="00AE7FA2">
        <w:rPr>
          <w:lang w:val="en-AU"/>
        </w:rPr>
        <w:t>GMWRP’s</w:t>
      </w:r>
      <w:r w:rsidRPr="00AE7FA2">
        <w:rPr>
          <w:lang w:val="en-AU"/>
        </w:rPr>
        <w:t xml:space="preserve"> </w:t>
      </w:r>
      <w:r w:rsidR="00A968F6" w:rsidRPr="00AE7FA2">
        <w:rPr>
          <w:lang w:val="en-AU"/>
        </w:rPr>
        <w:t>major investment</w:t>
      </w:r>
      <w:r w:rsidR="005A493D" w:rsidRPr="00AE7FA2">
        <w:rPr>
          <w:lang w:val="en-AU"/>
        </w:rPr>
        <w:t>s</w:t>
      </w:r>
      <w:r w:rsidR="00343715">
        <w:rPr>
          <w:lang w:val="en-AU"/>
        </w:rPr>
        <w:t xml:space="preserve"> to better inform</w:t>
      </w:r>
      <w:r w:rsidR="00A968F6" w:rsidRPr="00AE7FA2">
        <w:rPr>
          <w:lang w:val="en-AU"/>
        </w:rPr>
        <w:t xml:space="preserve"> water governance is through </w:t>
      </w:r>
      <w:r w:rsidR="00A56021">
        <w:rPr>
          <w:lang w:val="en-AU"/>
        </w:rPr>
        <w:t xml:space="preserve">International Water Management Institute (IWMI) and </w:t>
      </w:r>
      <w:r w:rsidR="00A968F6" w:rsidRPr="00AE7FA2">
        <w:rPr>
          <w:lang w:val="en-AU"/>
        </w:rPr>
        <w:t xml:space="preserve">the Water, Land and Ecosystems (WLE) Greater Mekong Program. </w:t>
      </w:r>
      <w:r w:rsidR="00343715">
        <w:rPr>
          <w:noProof/>
          <w:lang w:val="en-AU"/>
        </w:rPr>
        <w:t>The program</w:t>
      </w:r>
      <w:r w:rsidR="00A968F6" w:rsidRPr="00AE7FA2">
        <w:rPr>
          <w:noProof/>
          <w:lang w:val="en-AU"/>
        </w:rPr>
        <w:t xml:space="preserve"> builds upon, and is in many respects, a continuation of, DFAT’s previous investment in the CGIAR Challenge Program</w:t>
      </w:r>
      <w:r>
        <w:rPr>
          <w:noProof/>
          <w:lang w:val="en-AU"/>
        </w:rPr>
        <w:t>me</w:t>
      </w:r>
      <w:r w:rsidR="00A968F6" w:rsidRPr="00AE7FA2">
        <w:rPr>
          <w:noProof/>
          <w:lang w:val="en-AU"/>
        </w:rPr>
        <w:t xml:space="preserve"> on Water and Food (CPWF). </w:t>
      </w:r>
      <w:r w:rsidR="00A968F6" w:rsidRPr="00AE7FA2">
        <w:rPr>
          <w:lang w:val="en-AU"/>
        </w:rPr>
        <w:t>It supports target</w:t>
      </w:r>
      <w:r w:rsidR="005A493D" w:rsidRPr="00AE7FA2">
        <w:rPr>
          <w:lang w:val="en-AU"/>
        </w:rPr>
        <w:t>ed</w:t>
      </w:r>
      <w:r w:rsidR="00A968F6" w:rsidRPr="00AE7FA2">
        <w:rPr>
          <w:lang w:val="en-AU"/>
        </w:rPr>
        <w:t xml:space="preserve"> research that </w:t>
      </w:r>
      <w:r w:rsidR="00724E32">
        <w:rPr>
          <w:lang w:val="en-AU"/>
        </w:rPr>
        <w:t xml:space="preserve">would </w:t>
      </w:r>
      <w:r w:rsidR="00A968F6" w:rsidRPr="00AE7FA2">
        <w:rPr>
          <w:lang w:val="en-AU"/>
        </w:rPr>
        <w:t xml:space="preserve">inform decision-makers and support the capacity of local institutions to provide the evidence-base for </w:t>
      </w:r>
      <w:r w:rsidR="005A493D" w:rsidRPr="00AE7FA2">
        <w:rPr>
          <w:lang w:val="en-AU"/>
        </w:rPr>
        <w:t xml:space="preserve">sustainable and equitable </w:t>
      </w:r>
      <w:r w:rsidR="00A968F6" w:rsidRPr="00AE7FA2">
        <w:rPr>
          <w:lang w:val="en-AU"/>
        </w:rPr>
        <w:t>development of the region’s rivers.</w:t>
      </w:r>
      <w:r w:rsidR="00A968F6" w:rsidRPr="00AE7FA2">
        <w:rPr>
          <w:rStyle w:val="FootnoteReference"/>
          <w:rFonts w:asciiTheme="minorHAnsi" w:hAnsiTheme="minorHAnsi" w:cstheme="minorHAnsi"/>
          <w:noProof/>
          <w:lang w:val="en-AU"/>
        </w:rPr>
        <w:footnoteReference w:id="10"/>
      </w:r>
      <w:r w:rsidR="00A968F6" w:rsidRPr="00AE7FA2">
        <w:rPr>
          <w:noProof/>
          <w:lang w:val="en-AU"/>
        </w:rPr>
        <w:t xml:space="preserve"> </w:t>
      </w:r>
      <w:r w:rsidR="00A968F6" w:rsidRPr="00AE7FA2">
        <w:rPr>
          <w:lang w:val="en-AU"/>
        </w:rPr>
        <w:t>The WLE Greater Mekong program</w:t>
      </w:r>
      <w:r>
        <w:rPr>
          <w:lang w:val="en-AU"/>
        </w:rPr>
        <w:t>me</w:t>
      </w:r>
      <w:r w:rsidR="00A968F6" w:rsidRPr="00AE7FA2">
        <w:rPr>
          <w:lang w:val="en-AU"/>
        </w:rPr>
        <w:t xml:space="preserve"> focuses on three areas: </w:t>
      </w:r>
    </w:p>
    <w:p w14:paraId="6F42306C" w14:textId="6713ACA4" w:rsidR="00A968F6" w:rsidRPr="00AE7FA2" w:rsidRDefault="00A968F6" w:rsidP="009228CA">
      <w:pPr>
        <w:pStyle w:val="BodyText"/>
        <w:numPr>
          <w:ilvl w:val="0"/>
          <w:numId w:val="40"/>
        </w:numPr>
        <w:rPr>
          <w:lang w:val="en-AU"/>
        </w:rPr>
      </w:pPr>
      <w:r w:rsidRPr="00AE7FA2">
        <w:rPr>
          <w:lang w:val="en-AU"/>
        </w:rPr>
        <w:t>Building knowledge about regional rivers, their ecosyste</w:t>
      </w:r>
      <w:r w:rsidR="00A56021">
        <w:rPr>
          <w:lang w:val="en-AU"/>
        </w:rPr>
        <w:t>ms, their value and governance;</w:t>
      </w:r>
    </w:p>
    <w:p w14:paraId="59489E3D" w14:textId="69A9F673" w:rsidR="00A968F6" w:rsidRPr="00AE7FA2" w:rsidRDefault="00A968F6" w:rsidP="009228CA">
      <w:pPr>
        <w:pStyle w:val="BodyText"/>
        <w:numPr>
          <w:ilvl w:val="0"/>
          <w:numId w:val="40"/>
        </w:numPr>
        <w:rPr>
          <w:lang w:val="en-AU"/>
        </w:rPr>
      </w:pPr>
      <w:r w:rsidRPr="00AE7FA2">
        <w:rPr>
          <w:lang w:val="en-AU"/>
        </w:rPr>
        <w:t>Fresh and evidence-based approaches for governing rive</w:t>
      </w:r>
      <w:r w:rsidR="00A56021">
        <w:rPr>
          <w:lang w:val="en-AU"/>
        </w:rPr>
        <w:t>rs and monitoring their health;</w:t>
      </w:r>
    </w:p>
    <w:p w14:paraId="51EB5F81" w14:textId="77777777" w:rsidR="00A968F6" w:rsidRPr="00AE7FA2" w:rsidRDefault="00A968F6" w:rsidP="009228CA">
      <w:pPr>
        <w:pStyle w:val="BodyText"/>
        <w:numPr>
          <w:ilvl w:val="0"/>
          <w:numId w:val="40"/>
        </w:numPr>
        <w:rPr>
          <w:lang w:val="en-AU"/>
        </w:rPr>
      </w:pPr>
      <w:r w:rsidRPr="00AE7FA2">
        <w:rPr>
          <w:lang w:val="en-AU"/>
        </w:rPr>
        <w:t xml:space="preserve">Forging partnerships to strengthen learning and the exchange of information within and across governments, but also with the academic sector, civil society and the private sector. </w:t>
      </w:r>
    </w:p>
    <w:p w14:paraId="4F7195AC" w14:textId="77777777" w:rsidR="00A968F6" w:rsidRPr="00AE7FA2" w:rsidRDefault="00A968F6" w:rsidP="002C0AD1">
      <w:pPr>
        <w:pStyle w:val="BodyText"/>
        <w:rPr>
          <w:lang w:val="en-AU" w:bidi="th-TH"/>
        </w:rPr>
      </w:pPr>
      <w:r w:rsidRPr="00AE7FA2">
        <w:rPr>
          <w:lang w:val="en-AU" w:bidi="th-TH"/>
        </w:rPr>
        <w:t xml:space="preserve">Its programmatic framework is built upon five ‘topic areas’: (a) water governance; (b) healthy rivers; (c) river food systems; (d) healthy landscapes and ecosystems; and (e) capacity building and professional development. These are organised around a nucleus comprising the ‘Coordination and Change’ (C&amp;C) project. </w:t>
      </w:r>
    </w:p>
    <w:p w14:paraId="33F93F6F" w14:textId="151612BF" w:rsidR="00A968F6" w:rsidRPr="00AE7FA2" w:rsidRDefault="007B0695" w:rsidP="002C0AD1">
      <w:pPr>
        <w:pStyle w:val="BodyText"/>
        <w:rPr>
          <w:lang w:val="en-AU" w:bidi="th-TH"/>
        </w:rPr>
      </w:pPr>
      <w:r>
        <w:rPr>
          <w:lang w:val="en-AU" w:bidi="th-TH"/>
        </w:rPr>
        <w:t xml:space="preserve">The </w:t>
      </w:r>
      <w:r w:rsidR="00A968F6" w:rsidRPr="00AE7FA2">
        <w:rPr>
          <w:lang w:val="en-AU" w:bidi="th-TH"/>
        </w:rPr>
        <w:t>14</w:t>
      </w:r>
      <w:r>
        <w:rPr>
          <w:lang w:val="en-AU" w:bidi="th-TH"/>
        </w:rPr>
        <w:t xml:space="preserve"> research for development (R4D)</w:t>
      </w:r>
      <w:r w:rsidR="00A968F6" w:rsidRPr="00AE7FA2">
        <w:rPr>
          <w:lang w:val="en-AU" w:bidi="th-TH"/>
        </w:rPr>
        <w:t xml:space="preserve"> projects focusing on four transboundary river basins: the Salween, the </w:t>
      </w:r>
      <w:r w:rsidR="00B379AF" w:rsidRPr="007F11D7">
        <w:t>Ayeyarwaddy</w:t>
      </w:r>
      <w:r w:rsidR="00A968F6" w:rsidRPr="00AE7FA2">
        <w:rPr>
          <w:lang w:val="en-AU" w:bidi="th-TH"/>
        </w:rPr>
        <w:t>, the Mekong and the Red,</w:t>
      </w:r>
      <w:r>
        <w:rPr>
          <w:lang w:val="en-AU" w:bidi="th-TH"/>
        </w:rPr>
        <w:t xml:space="preserve"> were</w:t>
      </w:r>
      <w:r w:rsidR="00A968F6" w:rsidRPr="00AE7FA2">
        <w:rPr>
          <w:lang w:val="en-AU" w:bidi="th-TH"/>
        </w:rPr>
        <w:t xml:space="preserve"> identified</w:t>
      </w:r>
      <w:r>
        <w:rPr>
          <w:lang w:val="en-AU" w:bidi="th-TH"/>
        </w:rPr>
        <w:t xml:space="preserve"> and funded</w:t>
      </w:r>
      <w:r w:rsidR="00A968F6" w:rsidRPr="00AE7FA2">
        <w:rPr>
          <w:lang w:val="en-AU" w:bidi="th-TH"/>
        </w:rPr>
        <w:t xml:space="preserve"> following the open call for Expressions of Interest. </w:t>
      </w:r>
      <w:r>
        <w:rPr>
          <w:lang w:val="en-AU" w:bidi="th-TH"/>
        </w:rPr>
        <w:t>The WLE R4D’s s</w:t>
      </w:r>
      <w:r w:rsidR="00A968F6" w:rsidRPr="00AE7FA2">
        <w:rPr>
          <w:lang w:val="en-AU" w:bidi="th-TH"/>
        </w:rPr>
        <w:t>takeholder and partner engagement has focussed on consolidating the ‘formal’ partnership base</w:t>
      </w:r>
      <w:r w:rsidRPr="007B0695">
        <w:rPr>
          <w:lang w:val="en-AU" w:bidi="th-TH"/>
        </w:rPr>
        <w:t xml:space="preserve"> </w:t>
      </w:r>
      <w:r w:rsidRPr="00AE7FA2">
        <w:rPr>
          <w:lang w:val="en-AU" w:bidi="th-TH"/>
        </w:rPr>
        <w:t>and broadening the programme’s ‘informal’ network of relationships that can serve to advance the programme’s goals and as an uptake audience</w:t>
      </w:r>
      <w:r>
        <w:rPr>
          <w:lang w:val="en-AU" w:bidi="th-TH"/>
        </w:rPr>
        <w:t xml:space="preserve">. </w:t>
      </w:r>
      <w:r w:rsidR="00A968F6" w:rsidRPr="00AE7FA2">
        <w:rPr>
          <w:lang w:val="en-AU" w:bidi="th-TH"/>
        </w:rPr>
        <w:t>80 partners</w:t>
      </w:r>
      <w:r w:rsidR="00D822FB" w:rsidRPr="00AE7FA2">
        <w:rPr>
          <w:lang w:val="en-AU" w:bidi="th-TH"/>
        </w:rPr>
        <w:t xml:space="preserve"> - about 22% of which are international partners, and the remainder regional </w:t>
      </w:r>
      <w:r w:rsidR="00A968F6" w:rsidRPr="00AE7FA2">
        <w:rPr>
          <w:lang w:val="en-AU" w:bidi="th-TH"/>
        </w:rPr>
        <w:t xml:space="preserve">are either directly contracted or </w:t>
      </w:r>
      <w:r>
        <w:rPr>
          <w:lang w:val="en-AU" w:bidi="th-TH"/>
        </w:rPr>
        <w:t>sub-contracted to the programme.</w:t>
      </w:r>
      <w:r w:rsidRPr="007B0695">
        <w:rPr>
          <w:lang w:val="en-AU"/>
        </w:rPr>
        <w:t xml:space="preserve"> </w:t>
      </w:r>
      <w:r w:rsidRPr="00AE7FA2">
        <w:rPr>
          <w:lang w:val="en-AU"/>
        </w:rPr>
        <w:t>There are currently 55 fellows distributed across the four projects. 58% of these are women. Across all of the fellowships projects, 44% of fellows are Myanmar, 33% are Vietnamese, while the remainder are Thai, Lao, Chinese, Cambodian and a single international fellow.</w:t>
      </w:r>
      <w:r w:rsidR="00B379AF">
        <w:rPr>
          <w:lang w:val="en-AU"/>
        </w:rPr>
        <w:t xml:space="preserve"> </w:t>
      </w:r>
    </w:p>
    <w:p w14:paraId="6C07073B" w14:textId="77777777" w:rsidR="00F42ABF" w:rsidRPr="002E0D8A" w:rsidRDefault="00F42ABF" w:rsidP="002C0AD1">
      <w:pPr>
        <w:pStyle w:val="BodyText"/>
        <w:rPr>
          <w:lang w:val="en-AU" w:bidi="th-TH"/>
        </w:rPr>
      </w:pPr>
      <w:r w:rsidRPr="00AE7FA2">
        <w:rPr>
          <w:lang w:val="en-AU" w:bidi="th-TH"/>
        </w:rPr>
        <w:t>Engagement is organised around small roundtable meetings at project levels, national level engagements and, finally, the programme’s annual Greater Mekong Forum on Water, Food and Energy.</w:t>
      </w:r>
    </w:p>
    <w:p w14:paraId="267C9837" w14:textId="22789974" w:rsidR="00D822FB" w:rsidRPr="00AE7FA2" w:rsidRDefault="00A968F6" w:rsidP="002C0AD1">
      <w:pPr>
        <w:pStyle w:val="BodyText"/>
        <w:rPr>
          <w:lang w:val="en-AU"/>
        </w:rPr>
      </w:pPr>
      <w:r w:rsidRPr="00AE7FA2">
        <w:rPr>
          <w:lang w:val="en-AU" w:bidi="th-TH"/>
        </w:rPr>
        <w:lastRenderedPageBreak/>
        <w:t>The</w:t>
      </w:r>
      <w:r w:rsidR="007B0695">
        <w:rPr>
          <w:lang w:val="en-AU" w:bidi="th-TH"/>
        </w:rPr>
        <w:t xml:space="preserve"> WLE </w:t>
      </w:r>
      <w:r w:rsidRPr="00AE7FA2">
        <w:rPr>
          <w:lang w:val="en-AU" w:bidi="th-TH"/>
        </w:rPr>
        <w:t>also runs ‘Opportunity Fund’ projects intended as (a) a small grants facility</w:t>
      </w:r>
      <w:r w:rsidR="00D822FB" w:rsidRPr="00AE7FA2">
        <w:rPr>
          <w:lang w:val="en-AU" w:bidi="th-TH"/>
        </w:rPr>
        <w:t xml:space="preserve"> </w:t>
      </w:r>
      <w:r w:rsidRPr="00AE7FA2">
        <w:rPr>
          <w:lang w:val="en-AU" w:bidi="th-TH"/>
        </w:rPr>
        <w:t>to allow it to ta</w:t>
      </w:r>
      <w:r w:rsidR="0096268C">
        <w:rPr>
          <w:lang w:val="en-AU" w:bidi="th-TH"/>
        </w:rPr>
        <w:t>ke advantage of some opportunities</w:t>
      </w:r>
      <w:r w:rsidRPr="00AE7FA2">
        <w:rPr>
          <w:lang w:val="en-AU" w:bidi="th-TH"/>
        </w:rPr>
        <w:t xml:space="preserve">; (b) to allow for rapid assessments or research of some emerging strategic issue; and/or (c) to enable new relationships to be forged with </w:t>
      </w:r>
      <w:r w:rsidR="00D822FB" w:rsidRPr="00AE7FA2">
        <w:rPr>
          <w:lang w:val="en-AU" w:bidi="th-TH"/>
        </w:rPr>
        <w:t xml:space="preserve">new </w:t>
      </w:r>
      <w:r w:rsidRPr="00AE7FA2">
        <w:rPr>
          <w:lang w:val="en-AU" w:bidi="th-TH"/>
        </w:rPr>
        <w:t>strategically important partners.</w:t>
      </w:r>
      <w:r w:rsidR="00D822FB" w:rsidRPr="00AE7FA2">
        <w:rPr>
          <w:lang w:val="en-AU"/>
        </w:rPr>
        <w:t xml:space="preserve"> </w:t>
      </w:r>
    </w:p>
    <w:p w14:paraId="10042563" w14:textId="58C56823" w:rsidR="00E40FA4" w:rsidRDefault="00F42ABF" w:rsidP="002C0AD1">
      <w:pPr>
        <w:pStyle w:val="BodyText"/>
        <w:rPr>
          <w:lang w:val="en-AU"/>
        </w:rPr>
      </w:pPr>
      <w:r w:rsidRPr="002E0D8A">
        <w:rPr>
          <w:lang w:val="en-AU"/>
        </w:rPr>
        <w:t xml:space="preserve">The R4D project partners often find it challenging to interface with the policy-makers. The WLE communication function is called upon to support and address these gaps. </w:t>
      </w:r>
      <w:r w:rsidR="00E40FA4" w:rsidRPr="002E0D8A">
        <w:rPr>
          <w:lang w:val="en-AU"/>
        </w:rPr>
        <w:t>Internal cohesiveness is supposed to be promoted by the</w:t>
      </w:r>
      <w:r w:rsidR="00D822FB" w:rsidRPr="002E0D8A">
        <w:rPr>
          <w:lang w:val="en-AU"/>
        </w:rPr>
        <w:t xml:space="preserve"> Coordination for Change (C4C) </w:t>
      </w:r>
      <w:r w:rsidR="00E40FA4" w:rsidRPr="002E0D8A">
        <w:rPr>
          <w:lang w:val="en-AU"/>
        </w:rPr>
        <w:t xml:space="preserve">team in the Greater Mekong </w:t>
      </w:r>
      <w:r w:rsidRPr="002E0D8A">
        <w:rPr>
          <w:lang w:val="en-AU"/>
        </w:rPr>
        <w:t>Centre</w:t>
      </w:r>
      <w:r w:rsidR="00E40FA4" w:rsidRPr="002E0D8A">
        <w:rPr>
          <w:lang w:val="en-AU"/>
        </w:rPr>
        <w:t xml:space="preserve">/Naga </w:t>
      </w:r>
      <w:r w:rsidR="00AB52C9" w:rsidRPr="002E0D8A">
        <w:rPr>
          <w:lang w:val="en-AU"/>
        </w:rPr>
        <w:t>H</w:t>
      </w:r>
      <w:r w:rsidR="00E40FA4" w:rsidRPr="002E0D8A">
        <w:rPr>
          <w:lang w:val="en-AU"/>
        </w:rPr>
        <w:t xml:space="preserve">ouse. </w:t>
      </w:r>
      <w:r w:rsidR="00ED3A41" w:rsidRPr="002E0D8A">
        <w:rPr>
          <w:lang w:val="en-AU"/>
        </w:rPr>
        <w:t>The original design was for some stronger regional specialists in the</w:t>
      </w:r>
      <w:r>
        <w:rPr>
          <w:lang w:val="en-AU"/>
        </w:rPr>
        <w:t xml:space="preserve"> WLE</w:t>
      </w:r>
      <w:r w:rsidR="00ED3A41" w:rsidRPr="002E0D8A">
        <w:rPr>
          <w:lang w:val="en-AU"/>
        </w:rPr>
        <w:t xml:space="preserve"> team. However, the initially proposed six thematic leaders (regional positions) were not brought on board as planned, and as a result, most of the team members are from outside of the region. </w:t>
      </w:r>
    </w:p>
    <w:p w14:paraId="1322BBD1" w14:textId="0AD9D8BF" w:rsidR="00491AA0" w:rsidRPr="00206B14" w:rsidRDefault="00491AA0" w:rsidP="002C0AD1">
      <w:pPr>
        <w:pStyle w:val="BodyText"/>
        <w:rPr>
          <w:lang w:val="en-AU"/>
        </w:rPr>
      </w:pPr>
      <w:r w:rsidRPr="00206B14">
        <w:rPr>
          <w:rFonts w:cs="Times New Roman"/>
        </w:rPr>
        <w:t xml:space="preserve">The WLE budget cut and the devaluation of the AUD versus USD meant that IWMI (and the Naga House team) had less funds to </w:t>
      </w:r>
      <w:r w:rsidR="00B379AF">
        <w:rPr>
          <w:rFonts w:cs="Times New Roman"/>
        </w:rPr>
        <w:t>implement the program</w:t>
      </w:r>
      <w:r w:rsidRPr="00206B14">
        <w:rPr>
          <w:rFonts w:cs="Times New Roman"/>
        </w:rPr>
        <w:t>.  DFAT supported the decision by IWMI/Naga House to not pass on the cuts to already contracted project teams.  To have done so would have been damaging to the reputation of IWMI/WLE/Naga House and Australia.  A consequence is that Naga House has had less funds to use in the C4C unit and outreach to policy arenas has been less than Australia had expected.</w:t>
      </w:r>
    </w:p>
    <w:p w14:paraId="0A1B0396" w14:textId="5AEED134" w:rsidR="00E40FA4" w:rsidRPr="002E0D8A" w:rsidRDefault="00E40FA4" w:rsidP="002C0AD1">
      <w:pPr>
        <w:pStyle w:val="BodyText"/>
        <w:rPr>
          <w:lang w:val="en-AU"/>
        </w:rPr>
      </w:pPr>
      <w:r w:rsidRPr="002E0D8A">
        <w:rPr>
          <w:lang w:val="en-AU"/>
        </w:rPr>
        <w:t xml:space="preserve">WLE in the </w:t>
      </w:r>
      <w:r w:rsidR="0021245F">
        <w:rPr>
          <w:lang w:val="en-AU"/>
        </w:rPr>
        <w:t>Greater Mekong</w:t>
      </w:r>
      <w:r w:rsidRPr="002E0D8A">
        <w:rPr>
          <w:lang w:val="en-AU"/>
        </w:rPr>
        <w:t xml:space="preserve"> </w:t>
      </w:r>
      <w:r w:rsidR="00E4535D">
        <w:rPr>
          <w:lang w:val="en-AU"/>
        </w:rPr>
        <w:t>could look at what WLE has</w:t>
      </w:r>
      <w:r w:rsidRPr="002E0D8A">
        <w:rPr>
          <w:lang w:val="en-AU"/>
        </w:rPr>
        <w:t xml:space="preserve"> </w:t>
      </w:r>
      <w:r w:rsidR="00E4535D">
        <w:rPr>
          <w:lang w:val="en-AU"/>
        </w:rPr>
        <w:t>i</w:t>
      </w:r>
      <w:r w:rsidRPr="002E0D8A">
        <w:rPr>
          <w:lang w:val="en-AU"/>
        </w:rPr>
        <w:t>n Latin America</w:t>
      </w:r>
      <w:r w:rsidR="00E4535D">
        <w:rPr>
          <w:lang w:val="en-AU"/>
        </w:rPr>
        <w:t xml:space="preserve">, where the use </w:t>
      </w:r>
      <w:r w:rsidRPr="002E0D8A">
        <w:rPr>
          <w:lang w:val="en-AU"/>
        </w:rPr>
        <w:t>of short targeted documentary films</w:t>
      </w:r>
      <w:r w:rsidR="00E4535D">
        <w:rPr>
          <w:lang w:val="en-AU"/>
        </w:rPr>
        <w:t xml:space="preserve"> has allowed effective policy influence</w:t>
      </w:r>
      <w:r w:rsidRPr="002E0D8A">
        <w:rPr>
          <w:lang w:val="en-AU"/>
        </w:rPr>
        <w:t>, bringing the key issues in water management directly to the eyes and ears of the policy-makers in parliament</w:t>
      </w:r>
      <w:r w:rsidR="00AB52C9" w:rsidRPr="002E0D8A">
        <w:rPr>
          <w:lang w:val="en-AU"/>
        </w:rPr>
        <w:t>s</w:t>
      </w:r>
      <w:r w:rsidRPr="002E0D8A">
        <w:rPr>
          <w:lang w:val="en-AU"/>
        </w:rPr>
        <w:t>.</w:t>
      </w:r>
    </w:p>
    <w:p w14:paraId="36EE10D7" w14:textId="2AA69861" w:rsidR="00911DFC" w:rsidRPr="002E0D8A" w:rsidRDefault="00E40FA4" w:rsidP="002C0AD1">
      <w:pPr>
        <w:pStyle w:val="BodyText"/>
        <w:rPr>
          <w:lang w:val="en-AU"/>
        </w:rPr>
      </w:pPr>
      <w:r w:rsidRPr="002E0D8A">
        <w:rPr>
          <w:lang w:val="en-AU"/>
        </w:rPr>
        <w:t xml:space="preserve">WLE convening power for the annual </w:t>
      </w:r>
      <w:r w:rsidR="0021245F">
        <w:rPr>
          <w:lang w:val="en-AU"/>
        </w:rPr>
        <w:t xml:space="preserve">Greater </w:t>
      </w:r>
      <w:r w:rsidRPr="002E0D8A">
        <w:rPr>
          <w:lang w:val="en-AU"/>
        </w:rPr>
        <w:t xml:space="preserve">Mekong Forum is strong and tends to be getting even stronger judging from the rapidly growing interest from the researchers and practitioners from </w:t>
      </w:r>
      <w:r w:rsidR="00AB52C9" w:rsidRPr="002E0D8A">
        <w:rPr>
          <w:lang w:val="en-AU"/>
        </w:rPr>
        <w:t>across the</w:t>
      </w:r>
      <w:r w:rsidRPr="002E0D8A">
        <w:rPr>
          <w:lang w:val="en-AU"/>
        </w:rPr>
        <w:t xml:space="preserve"> </w:t>
      </w:r>
      <w:r w:rsidR="00AB52C9" w:rsidRPr="002E0D8A">
        <w:rPr>
          <w:lang w:val="en-AU"/>
        </w:rPr>
        <w:t xml:space="preserve">Greater </w:t>
      </w:r>
      <w:r w:rsidRPr="002E0D8A">
        <w:rPr>
          <w:lang w:val="en-AU"/>
        </w:rPr>
        <w:t xml:space="preserve">Mekong and other parts of the world. </w:t>
      </w:r>
      <w:r w:rsidR="00911DFC" w:rsidRPr="002E0D8A">
        <w:rPr>
          <w:iCs/>
          <w:lang w:val="en-AU"/>
        </w:rPr>
        <w:t>The growing interest in the Forum from overseas participants, and the willingness to pay registration fees to attend, are good signs.</w:t>
      </w:r>
      <w:r w:rsidR="00911DFC" w:rsidRPr="002E0D8A">
        <w:rPr>
          <w:lang w:val="en-AU"/>
        </w:rPr>
        <w:t xml:space="preserve"> Given that the language of the Forum is English, </w:t>
      </w:r>
      <w:r w:rsidR="00E4535D">
        <w:rPr>
          <w:lang w:val="en-AU"/>
        </w:rPr>
        <w:t xml:space="preserve">attention should be given to ensuring strong participation from people from </w:t>
      </w:r>
      <w:r w:rsidR="00911DFC" w:rsidRPr="002E0D8A">
        <w:rPr>
          <w:lang w:val="en-AU"/>
        </w:rPr>
        <w:t>the region.</w:t>
      </w:r>
    </w:p>
    <w:p w14:paraId="28C611A9" w14:textId="636A5199" w:rsidR="006C5934" w:rsidRPr="002E0D8A" w:rsidRDefault="00E40FA4" w:rsidP="002C0AD1">
      <w:pPr>
        <w:pStyle w:val="BodyText"/>
        <w:rPr>
          <w:lang w:val="en-AU"/>
        </w:rPr>
      </w:pPr>
      <w:r w:rsidRPr="002E0D8A">
        <w:rPr>
          <w:iCs/>
          <w:lang w:val="en-AU"/>
        </w:rPr>
        <w:t>Again, after many years of capacity development, it is critical to design and conduct the forum with a more “regionally empowering” look and the themes and form of presentation and deliberation need to move beyond “sharing of research results and networking” to more policy deliberation and informed decision-making setting.</w:t>
      </w:r>
      <w:r w:rsidRPr="002E0D8A">
        <w:rPr>
          <w:lang w:val="en-AU"/>
        </w:rPr>
        <w:t xml:space="preserve"> </w:t>
      </w:r>
    </w:p>
    <w:p w14:paraId="4CC61342" w14:textId="76910B3D" w:rsidR="00E40FA4" w:rsidRPr="002E0D8A" w:rsidRDefault="00E40FA4" w:rsidP="002C0AD1">
      <w:pPr>
        <w:pStyle w:val="BodyText"/>
        <w:rPr>
          <w:iCs/>
          <w:lang w:val="en-AU"/>
        </w:rPr>
      </w:pPr>
      <w:r w:rsidRPr="002E0D8A">
        <w:rPr>
          <w:iCs/>
          <w:lang w:val="en-AU"/>
        </w:rPr>
        <w:t>It is also noticeable that the Forum does not attract higher level policy makers (either from government or the private sector)</w:t>
      </w:r>
      <w:r w:rsidR="00A31B83" w:rsidRPr="002E0D8A">
        <w:rPr>
          <w:iCs/>
          <w:lang w:val="en-AU"/>
        </w:rPr>
        <w:t xml:space="preserve"> </w:t>
      </w:r>
      <w:r w:rsidR="00E4535D">
        <w:rPr>
          <w:iCs/>
          <w:lang w:val="en-AU"/>
        </w:rPr>
        <w:t xml:space="preserve">and </w:t>
      </w:r>
      <w:r w:rsidR="00A31B83" w:rsidRPr="002E0D8A">
        <w:rPr>
          <w:iCs/>
          <w:lang w:val="en-AU"/>
        </w:rPr>
        <w:t xml:space="preserve">some </w:t>
      </w:r>
      <w:r w:rsidRPr="002E0D8A">
        <w:rPr>
          <w:iCs/>
          <w:lang w:val="en-AU"/>
        </w:rPr>
        <w:t xml:space="preserve">thought should be given to </w:t>
      </w:r>
      <w:r w:rsidR="00A31B83" w:rsidRPr="002E0D8A">
        <w:rPr>
          <w:iCs/>
          <w:lang w:val="en-AU"/>
        </w:rPr>
        <w:t xml:space="preserve">an appropriate forum or </w:t>
      </w:r>
      <w:r w:rsidRPr="002E0D8A">
        <w:rPr>
          <w:iCs/>
          <w:lang w:val="en-AU"/>
        </w:rPr>
        <w:t>session for policy makers, designed around some key policy issues.</w:t>
      </w:r>
    </w:p>
    <w:p w14:paraId="0264DEF9" w14:textId="3AE0AB59" w:rsidR="00E40FA4" w:rsidRPr="002E0D8A" w:rsidRDefault="00C32435" w:rsidP="00A31B83">
      <w:pPr>
        <w:pStyle w:val="Heading3"/>
        <w:tabs>
          <w:tab w:val="num" w:pos="851"/>
        </w:tabs>
        <w:ind w:left="851"/>
        <w:rPr>
          <w:lang w:val="en-AU"/>
        </w:rPr>
      </w:pPr>
      <w:bookmarkStart w:id="44" w:name="_Toc475358474"/>
      <w:r>
        <w:rPr>
          <w:lang w:val="en-AU"/>
        </w:rPr>
        <w:t>International Finance Corporation</w:t>
      </w:r>
      <w:bookmarkEnd w:id="44"/>
    </w:p>
    <w:p w14:paraId="6E77C722" w14:textId="44649A28" w:rsidR="009409DF" w:rsidRPr="00F42ABF" w:rsidRDefault="009409DF" w:rsidP="002C0AD1">
      <w:pPr>
        <w:pStyle w:val="BodyText"/>
        <w:rPr>
          <w:lang w:val="en-AU"/>
        </w:rPr>
      </w:pPr>
      <w:r w:rsidRPr="00F42ABF">
        <w:rPr>
          <w:lang w:val="en-AU"/>
        </w:rPr>
        <w:t xml:space="preserve">DFAT is partnering with the International Finance Corporation (IFC) in implementing the </w:t>
      </w:r>
      <w:r w:rsidRPr="00F42ABF">
        <w:rPr>
          <w:bCs/>
          <w:lang w:val="en-AU"/>
        </w:rPr>
        <w:t>Accountable Water Governance</w:t>
      </w:r>
      <w:r w:rsidRPr="00F42ABF">
        <w:rPr>
          <w:lang w:val="en-AU"/>
        </w:rPr>
        <w:t xml:space="preserve"> program</w:t>
      </w:r>
      <w:r w:rsidR="00F42ABF">
        <w:rPr>
          <w:lang w:val="en-AU"/>
        </w:rPr>
        <w:t>me. IFC has implemented it</w:t>
      </w:r>
      <w:r w:rsidRPr="00F42ABF">
        <w:rPr>
          <w:lang w:val="en-AU"/>
        </w:rPr>
        <w:t xml:space="preserve"> in collaboration with the Mekong governments (Laos PDR and Myanmar) and the private sector to jointly contribute to r</w:t>
      </w:r>
      <w:r w:rsidRPr="00F42ABF">
        <w:rPr>
          <w:iCs/>
          <w:lang w:val="en-AU"/>
        </w:rPr>
        <w:t xml:space="preserve">aising the accountability of government and the private sector, and normalise better standards for water investments and more transparent decision-making. Its main outcome </w:t>
      </w:r>
      <w:r w:rsidR="008F49BA">
        <w:rPr>
          <w:iCs/>
          <w:lang w:val="en-AU"/>
        </w:rPr>
        <w:t xml:space="preserve">would be </w:t>
      </w:r>
      <w:r w:rsidRPr="00F42ABF">
        <w:rPr>
          <w:lang w:val="en-AU"/>
        </w:rPr>
        <w:t>the share of new private sector investments in the hydropower sector in the Greater Mekong region in adhering to good industry practice on E&amp;S standards is increased.</w:t>
      </w:r>
      <w:r w:rsidRPr="00F42ABF">
        <w:rPr>
          <w:rStyle w:val="FootnoteReference"/>
          <w:rFonts w:asciiTheme="minorHAnsi" w:hAnsiTheme="minorHAnsi" w:cstheme="minorHAnsi"/>
          <w:lang w:val="en-AU"/>
        </w:rPr>
        <w:footnoteReference w:id="11"/>
      </w:r>
      <w:r w:rsidRPr="00F42ABF">
        <w:rPr>
          <w:lang w:val="en-AU"/>
        </w:rPr>
        <w:t xml:space="preserve">   </w:t>
      </w:r>
    </w:p>
    <w:p w14:paraId="1436C266" w14:textId="4021226A" w:rsidR="008F49BA" w:rsidRDefault="009409DF" w:rsidP="002C0AD1">
      <w:pPr>
        <w:pStyle w:val="BodyText"/>
        <w:rPr>
          <w:lang w:val="en-AU"/>
        </w:rPr>
      </w:pPr>
      <w:r w:rsidRPr="00F42ABF">
        <w:rPr>
          <w:lang w:val="en-AU"/>
        </w:rPr>
        <w:t>The program</w:t>
      </w:r>
      <w:r w:rsidR="008F49BA">
        <w:rPr>
          <w:lang w:val="en-AU"/>
        </w:rPr>
        <w:t>me</w:t>
      </w:r>
      <w:r w:rsidRPr="00F42ABF">
        <w:rPr>
          <w:lang w:val="en-AU"/>
        </w:rPr>
        <w:t xml:space="preserve"> began in Lao PDR </w:t>
      </w:r>
      <w:r w:rsidR="00B379AF">
        <w:rPr>
          <w:lang w:val="en-AU"/>
        </w:rPr>
        <w:t xml:space="preserve">in 2014 </w:t>
      </w:r>
      <w:r w:rsidRPr="00F42ABF">
        <w:rPr>
          <w:lang w:val="en-AU"/>
        </w:rPr>
        <w:t>and expanded further to Myanmar in January 2015. The Program</w:t>
      </w:r>
      <w:r w:rsidR="008F49BA">
        <w:rPr>
          <w:lang w:val="en-AU"/>
        </w:rPr>
        <w:t>me</w:t>
      </w:r>
      <w:r w:rsidRPr="00F42ABF">
        <w:rPr>
          <w:lang w:val="en-AU"/>
        </w:rPr>
        <w:t xml:space="preserve"> has placed significant emphasis on contributing to policy change and has drafted new and improved existing policies/guidelines to ensure that integrated water resources management and issues facing the hydropower sector are incorporated into regulatory frameworks. </w:t>
      </w:r>
    </w:p>
    <w:p w14:paraId="275566C5" w14:textId="625CC311" w:rsidR="009409DF" w:rsidRPr="00F42ABF" w:rsidRDefault="009409DF" w:rsidP="002C0AD1">
      <w:pPr>
        <w:pStyle w:val="BodyText"/>
        <w:rPr>
          <w:lang w:val="en-AU"/>
        </w:rPr>
      </w:pPr>
      <w:r w:rsidRPr="00F42ABF">
        <w:rPr>
          <w:lang w:val="en-AU"/>
        </w:rPr>
        <w:t xml:space="preserve">The </w:t>
      </w:r>
      <w:r w:rsidRPr="00F42ABF">
        <w:rPr>
          <w:bCs/>
          <w:lang w:val="en-AU"/>
        </w:rPr>
        <w:t>Accountable Water Governance</w:t>
      </w:r>
      <w:r w:rsidRPr="00F42ABF">
        <w:rPr>
          <w:lang w:val="en-AU"/>
        </w:rPr>
        <w:t xml:space="preserve"> program</w:t>
      </w:r>
      <w:r w:rsidR="008F49BA">
        <w:rPr>
          <w:lang w:val="en-AU"/>
        </w:rPr>
        <w:t>me</w:t>
      </w:r>
      <w:r w:rsidRPr="00F42ABF">
        <w:rPr>
          <w:lang w:val="en-AU"/>
        </w:rPr>
        <w:t xml:space="preserve"> has supported the establishment and operation of the Hydropower Developers’ Working Group (HDWG) since 2013 in Lao PDR and 2016 in Myanmar. Th</w:t>
      </w:r>
      <w:r w:rsidR="00B379AF">
        <w:rPr>
          <w:lang w:val="en-AU"/>
        </w:rPr>
        <w:t>is</w:t>
      </w:r>
      <w:r w:rsidRPr="00F42ABF">
        <w:rPr>
          <w:lang w:val="en-AU"/>
        </w:rPr>
        <w:t xml:space="preserve"> is an innovative platform for companies to influence policy, network, and identify solutions to improve sustainability and business operations. </w:t>
      </w:r>
    </w:p>
    <w:p w14:paraId="7F118724" w14:textId="59C1DD72" w:rsidR="002E76FD" w:rsidRPr="002E0D8A" w:rsidRDefault="009409DF" w:rsidP="002C0AD1">
      <w:pPr>
        <w:pStyle w:val="BodyText"/>
        <w:rPr>
          <w:lang w:val="en-AU"/>
        </w:rPr>
      </w:pPr>
      <w:r w:rsidRPr="002E0D8A">
        <w:rPr>
          <w:lang w:val="en-AU"/>
        </w:rPr>
        <w:lastRenderedPageBreak/>
        <w:t>As far as the policy dialogue capacity is concerned, a</w:t>
      </w:r>
      <w:r w:rsidR="00E40FA4" w:rsidRPr="002E0D8A">
        <w:rPr>
          <w:lang w:val="en-AU"/>
        </w:rPr>
        <w:t xml:space="preserve"> strong team </w:t>
      </w:r>
      <w:r w:rsidRPr="002E0D8A">
        <w:rPr>
          <w:lang w:val="en-AU"/>
        </w:rPr>
        <w:t>has been</w:t>
      </w:r>
      <w:r w:rsidR="00E40FA4" w:rsidRPr="002E0D8A">
        <w:rPr>
          <w:lang w:val="en-AU"/>
        </w:rPr>
        <w:t xml:space="preserve"> mobili</w:t>
      </w:r>
      <w:r w:rsidR="00340706">
        <w:rPr>
          <w:lang w:val="en-AU"/>
        </w:rPr>
        <w:t>s</w:t>
      </w:r>
      <w:r w:rsidR="00E40FA4" w:rsidRPr="002E0D8A">
        <w:rPr>
          <w:lang w:val="en-AU"/>
        </w:rPr>
        <w:t xml:space="preserve">ed for the program activities aiming at addressing the sustainability challenges of the hydro sector in Lao PDR through building capacity and enabling adoption of good international industry practices on environmental and social standards. </w:t>
      </w:r>
    </w:p>
    <w:p w14:paraId="6489E020" w14:textId="249007EE" w:rsidR="00E40FA4" w:rsidRPr="002E0D8A" w:rsidRDefault="00E40FA4" w:rsidP="002C0AD1">
      <w:pPr>
        <w:pStyle w:val="BodyText"/>
        <w:rPr>
          <w:lang w:val="en-AU"/>
        </w:rPr>
      </w:pPr>
      <w:r w:rsidRPr="002E0D8A">
        <w:rPr>
          <w:lang w:val="en-AU"/>
        </w:rPr>
        <w:t xml:space="preserve">Starting from 2016, the Myanmar-specific program began its implementation phase. The Team Manager was consequently relocated from Vientiane to Yangon. She has been extremely effective and instrumental in the policy dialogue and engagement works with relevant stakeholders from the government, private sectors and other sister programs within the GMWRP. </w:t>
      </w:r>
    </w:p>
    <w:p w14:paraId="6C22A260" w14:textId="63B5DCF0" w:rsidR="002E76FD" w:rsidRPr="002E0D8A" w:rsidRDefault="00A31B83" w:rsidP="002C0AD1">
      <w:pPr>
        <w:pStyle w:val="BodyText"/>
        <w:rPr>
          <w:bCs/>
          <w:lang w:val="en-AU"/>
        </w:rPr>
      </w:pPr>
      <w:r w:rsidRPr="002E0D8A">
        <w:rPr>
          <w:iCs/>
          <w:lang w:val="en-AU"/>
        </w:rPr>
        <w:t xml:space="preserve">IFC is working an extension </w:t>
      </w:r>
      <w:r w:rsidR="00E40FA4" w:rsidRPr="002E0D8A">
        <w:rPr>
          <w:iCs/>
          <w:lang w:val="en-AU"/>
        </w:rPr>
        <w:t>in Laos to achieve finali</w:t>
      </w:r>
      <w:r w:rsidR="00340706">
        <w:rPr>
          <w:iCs/>
          <w:lang w:val="en-AU"/>
        </w:rPr>
        <w:t>s</w:t>
      </w:r>
      <w:r w:rsidR="00E40FA4" w:rsidRPr="002E0D8A">
        <w:rPr>
          <w:iCs/>
          <w:lang w:val="en-AU"/>
        </w:rPr>
        <w:t xml:space="preserve">ation and acceptance of some key policy and legislative related pieces such as the Nam Ou river basin profile and revision of the draft Water Law etc., and </w:t>
      </w:r>
      <w:r w:rsidRPr="002E0D8A">
        <w:rPr>
          <w:iCs/>
          <w:lang w:val="en-AU"/>
        </w:rPr>
        <w:t xml:space="preserve">expanding </w:t>
      </w:r>
      <w:r w:rsidR="00E40FA4" w:rsidRPr="002E0D8A">
        <w:rPr>
          <w:iCs/>
          <w:lang w:val="en-AU"/>
        </w:rPr>
        <w:t>workload in Myanmar</w:t>
      </w:r>
      <w:r w:rsidRPr="002E0D8A">
        <w:rPr>
          <w:iCs/>
          <w:lang w:val="en-AU"/>
        </w:rPr>
        <w:t xml:space="preserve">. </w:t>
      </w:r>
      <w:r w:rsidR="00E40FA4" w:rsidRPr="002E0D8A">
        <w:rPr>
          <w:iCs/>
          <w:lang w:val="en-AU"/>
        </w:rPr>
        <w:t xml:space="preserve"> </w:t>
      </w:r>
      <w:r w:rsidR="002E76FD" w:rsidRPr="002E0D8A">
        <w:rPr>
          <w:bCs/>
          <w:lang w:val="en-AU"/>
        </w:rPr>
        <w:t>The IFC team needs to be strengthened and would especially benefit from the addition of a senior policy officer/deputy team leader level position, considering its increasing work-load.</w:t>
      </w:r>
    </w:p>
    <w:p w14:paraId="53BFE003" w14:textId="15D104FB" w:rsidR="00E40FA4" w:rsidRPr="002E0D8A" w:rsidRDefault="00E40FA4" w:rsidP="002E76FD">
      <w:pPr>
        <w:pStyle w:val="Heading3"/>
        <w:tabs>
          <w:tab w:val="num" w:pos="851"/>
        </w:tabs>
        <w:spacing w:before="120"/>
        <w:ind w:left="851"/>
        <w:rPr>
          <w:lang w:val="en-AU"/>
        </w:rPr>
      </w:pPr>
      <w:bookmarkStart w:id="45" w:name="_Toc470715868"/>
      <w:bookmarkStart w:id="46" w:name="_Toc475358475"/>
      <w:r w:rsidRPr="002E0D8A">
        <w:rPr>
          <w:lang w:val="en-AU"/>
        </w:rPr>
        <w:t>M</w:t>
      </w:r>
      <w:bookmarkEnd w:id="45"/>
      <w:r w:rsidR="00C32435">
        <w:rPr>
          <w:lang w:val="en-AU"/>
        </w:rPr>
        <w:t>ekong River Commission</w:t>
      </w:r>
      <w:bookmarkEnd w:id="46"/>
    </w:p>
    <w:p w14:paraId="24E2D9EF" w14:textId="758E7935" w:rsidR="00713633" w:rsidRPr="008D6975" w:rsidRDefault="008F49BA" w:rsidP="002C0AD1">
      <w:pPr>
        <w:pStyle w:val="BodyText"/>
        <w:rPr>
          <w:lang w:val="en-AU"/>
        </w:rPr>
      </w:pPr>
      <w:r w:rsidRPr="008D6975">
        <w:rPr>
          <w:lang w:val="en-AU"/>
        </w:rPr>
        <w:t xml:space="preserve">DFAT has been supporting the Mekong River Commission (MRC) for quite a long time since </w:t>
      </w:r>
      <w:r w:rsidR="001F558B">
        <w:rPr>
          <w:lang w:val="en-AU"/>
        </w:rPr>
        <w:t xml:space="preserve">late </w:t>
      </w:r>
      <w:r w:rsidRPr="008D6975">
        <w:rPr>
          <w:lang w:val="en-AU"/>
        </w:rPr>
        <w:t xml:space="preserve">1990s. </w:t>
      </w:r>
      <w:r w:rsidRPr="008D6975">
        <w:rPr>
          <w:color w:val="000000"/>
          <w:lang w:val="en-AU"/>
        </w:rPr>
        <w:t>GMWRP’s support to MRC has been provided u</w:t>
      </w:r>
      <w:r w:rsidR="000E01AF" w:rsidRPr="008D6975">
        <w:rPr>
          <w:color w:val="000000"/>
          <w:lang w:val="en-AU"/>
        </w:rPr>
        <w:t xml:space="preserve">nder </w:t>
      </w:r>
      <w:r w:rsidRPr="008D6975">
        <w:rPr>
          <w:color w:val="000000"/>
          <w:lang w:val="en-AU"/>
        </w:rPr>
        <w:t xml:space="preserve">the programme </w:t>
      </w:r>
      <w:r w:rsidR="000E01AF" w:rsidRPr="008D6975">
        <w:rPr>
          <w:color w:val="000000"/>
          <w:lang w:val="en-AU"/>
        </w:rPr>
        <w:t>Pillar 1</w:t>
      </w:r>
      <w:r w:rsidRPr="008D6975">
        <w:rPr>
          <w:color w:val="000000"/>
          <w:lang w:val="en-AU"/>
        </w:rPr>
        <w:t xml:space="preserve"> whose</w:t>
      </w:r>
      <w:r w:rsidR="00713633" w:rsidRPr="008D6975">
        <w:rPr>
          <w:color w:val="000000"/>
          <w:lang w:val="en-AU"/>
        </w:rPr>
        <w:t xml:space="preserve"> expected outcome is </w:t>
      </w:r>
      <w:r w:rsidR="00713633" w:rsidRPr="008D6975">
        <w:rPr>
          <w:i/>
          <w:iCs/>
          <w:lang w:val="en-AU"/>
        </w:rPr>
        <w:t>the institutional frameworks and capacity of regional, national and local actors to manage their resources more effectively</w:t>
      </w:r>
      <w:r w:rsidR="00713633" w:rsidRPr="008D6975">
        <w:rPr>
          <w:color w:val="000000"/>
          <w:lang w:val="en-AU"/>
        </w:rPr>
        <w:t xml:space="preserve"> is strengthened. </w:t>
      </w:r>
      <w:r w:rsidR="00713633" w:rsidRPr="008D6975">
        <w:rPr>
          <w:lang w:val="en-AU"/>
        </w:rPr>
        <w:t xml:space="preserve">DFAT’s interventions </w:t>
      </w:r>
      <w:r w:rsidRPr="008D6975">
        <w:rPr>
          <w:lang w:val="en-AU"/>
        </w:rPr>
        <w:t xml:space="preserve">also </w:t>
      </w:r>
      <w:r w:rsidR="00713633" w:rsidRPr="008D6975">
        <w:rPr>
          <w:lang w:val="en-AU"/>
        </w:rPr>
        <w:t>seek to plug critical resource gaps and improve institutional arrangements in each of the Mekong countries.</w:t>
      </w:r>
    </w:p>
    <w:p w14:paraId="14F05D25" w14:textId="780C3818" w:rsidR="000E01AF" w:rsidRPr="008D6975" w:rsidRDefault="00F37FB1" w:rsidP="002C0AD1">
      <w:pPr>
        <w:pStyle w:val="BodyText"/>
        <w:rPr>
          <w:lang w:val="en-AU"/>
        </w:rPr>
      </w:pPr>
      <w:r w:rsidRPr="008D6975">
        <w:rPr>
          <w:lang w:val="en-AU"/>
        </w:rPr>
        <w:t xml:space="preserve">Given the scale of planned investment and its importance to food production, power generation and local livelihoods, supporting the MRC remains important for the pursuit of sustainable development and the maintenance of regional stability. </w:t>
      </w:r>
      <w:r w:rsidR="00713633" w:rsidRPr="008D6975">
        <w:rPr>
          <w:lang w:val="en-AU"/>
        </w:rPr>
        <w:t xml:space="preserve">Australia’s support to the MRC includes implementing the MRC’s five procedures governing shared water use in the Mekong Basin. Implementation of these procedures aims to normalise mechanisms for sharing water data across borders, consulting on new dam projects on the Mekong River and monitoring water flows and quality across borders. An agreed regional approach to managing this transboundary river is critical for sustainable development, a coordinated approach to flooding and natural disasters as well as managing the transboundary impacts of development. </w:t>
      </w:r>
    </w:p>
    <w:p w14:paraId="32E6D875" w14:textId="065973F4" w:rsidR="00713633" w:rsidRPr="008D6975" w:rsidRDefault="00713633" w:rsidP="002C0AD1">
      <w:pPr>
        <w:pStyle w:val="BodyText"/>
        <w:rPr>
          <w:rFonts w:cs="DIN-Regular"/>
          <w:color w:val="000000"/>
          <w:lang w:val="en-AU"/>
        </w:rPr>
      </w:pPr>
      <w:r w:rsidRPr="008D6975">
        <w:rPr>
          <w:rFonts w:cs="DIN-Regular"/>
          <w:color w:val="000000"/>
          <w:lang w:val="en-AU"/>
        </w:rPr>
        <w:t xml:space="preserve">The MRC </w:t>
      </w:r>
      <w:r w:rsidR="008D6975" w:rsidRPr="008D6975">
        <w:rPr>
          <w:rFonts w:cs="DIN-Regular"/>
          <w:color w:val="000000"/>
          <w:lang w:val="en-AU"/>
        </w:rPr>
        <w:t>has been</w:t>
      </w:r>
      <w:r w:rsidRPr="008D6975">
        <w:rPr>
          <w:rFonts w:cs="DIN-Regular"/>
          <w:color w:val="000000"/>
          <w:lang w:val="en-AU"/>
        </w:rPr>
        <w:t xml:space="preserve"> undergoing reform </w:t>
      </w:r>
      <w:r w:rsidR="008D6975" w:rsidRPr="008D6975">
        <w:rPr>
          <w:rFonts w:cs="DIN-Regular"/>
          <w:color w:val="000000"/>
          <w:lang w:val="en-AU"/>
        </w:rPr>
        <w:t xml:space="preserve">recently </w:t>
      </w:r>
      <w:r w:rsidRPr="008D6975">
        <w:rPr>
          <w:rFonts w:cs="DIN-Regular"/>
          <w:color w:val="000000"/>
          <w:lang w:val="en-AU"/>
        </w:rPr>
        <w:t>under which many of its core functions are moving to national governments and their bureaucracies. These reforms are designed to free the MRC to focus on policy dialogue, implementation of procedures and supporting guidelines for shared water resources,</w:t>
      </w:r>
      <w:r w:rsidR="00F37FB1" w:rsidRPr="008D6975">
        <w:rPr>
          <w:rFonts w:cs="DIN-Regular"/>
          <w:color w:val="000000"/>
          <w:lang w:val="en-AU"/>
        </w:rPr>
        <w:t xml:space="preserve"> </w:t>
      </w:r>
      <w:r w:rsidRPr="008D6975">
        <w:rPr>
          <w:rFonts w:cs="DIN-Regular"/>
          <w:color w:val="000000"/>
          <w:lang w:val="en-AU"/>
        </w:rPr>
        <w:t>and basin development planning and impact assessment from a regional perspective.</w:t>
      </w:r>
    </w:p>
    <w:p w14:paraId="5D0ADA91" w14:textId="20006ED3" w:rsidR="00713633" w:rsidRPr="008D6975" w:rsidRDefault="00713633" w:rsidP="002C0AD1">
      <w:pPr>
        <w:pStyle w:val="BodyText"/>
        <w:rPr>
          <w:rFonts w:cs="DIN-Regular"/>
          <w:color w:val="000000"/>
          <w:lang w:val="en-AU"/>
        </w:rPr>
      </w:pPr>
      <w:r w:rsidRPr="008D6975">
        <w:rPr>
          <w:rFonts w:cs="DIN-Regular"/>
          <w:color w:val="000000"/>
          <w:lang w:val="en-AU"/>
        </w:rPr>
        <w:t>Given this more focused role, Australia provide</w:t>
      </w:r>
      <w:r w:rsidR="008D6975" w:rsidRPr="008D6975">
        <w:rPr>
          <w:rFonts w:cs="DIN-Regular"/>
          <w:color w:val="000000"/>
          <w:lang w:val="en-AU"/>
        </w:rPr>
        <w:t>s</w:t>
      </w:r>
      <w:r w:rsidRPr="008D6975">
        <w:rPr>
          <w:rFonts w:cs="DIN-Regular"/>
          <w:color w:val="000000"/>
          <w:lang w:val="en-AU"/>
        </w:rPr>
        <w:t xml:space="preserve"> support to:</w:t>
      </w:r>
    </w:p>
    <w:p w14:paraId="046FD342" w14:textId="67FA0F53" w:rsidR="00713633" w:rsidRPr="008D6975" w:rsidRDefault="0049563C" w:rsidP="009228CA">
      <w:pPr>
        <w:pStyle w:val="BodyText"/>
        <w:numPr>
          <w:ilvl w:val="0"/>
          <w:numId w:val="38"/>
        </w:numPr>
        <w:rPr>
          <w:rFonts w:cs="DIN-Regular"/>
          <w:color w:val="000000"/>
          <w:lang w:val="en-AU"/>
        </w:rPr>
      </w:pPr>
      <w:r>
        <w:rPr>
          <w:rFonts w:cs="Arial"/>
          <w:lang w:val="en-AU" w:bidi="th-TH"/>
        </w:rPr>
        <w:t>C</w:t>
      </w:r>
      <w:r w:rsidR="00F37FB1" w:rsidRPr="008D6975">
        <w:rPr>
          <w:rFonts w:cs="Arial"/>
          <w:lang w:val="en-AU" w:bidi="th-TH"/>
        </w:rPr>
        <w:t>ore support</w:t>
      </w:r>
      <w:r w:rsidR="005B1F0D">
        <w:rPr>
          <w:rFonts w:cs="Arial"/>
          <w:lang w:val="en-AU" w:bidi="th-TH"/>
        </w:rPr>
        <w:t xml:space="preserve"> of MRC</w:t>
      </w:r>
      <w:r w:rsidR="00F37FB1" w:rsidRPr="008D6975">
        <w:rPr>
          <w:rFonts w:cs="Arial"/>
          <w:lang w:val="en-AU" w:bidi="th-TH"/>
        </w:rPr>
        <w:t xml:space="preserve"> (including specialist support, and basket funding of AUD 6 million) during a period of intensive reform, downsi</w:t>
      </w:r>
      <w:r w:rsidR="00340706">
        <w:rPr>
          <w:rFonts w:cs="Arial"/>
          <w:lang w:val="en-AU" w:bidi="th-TH"/>
        </w:rPr>
        <w:t>z</w:t>
      </w:r>
      <w:r w:rsidR="00F37FB1" w:rsidRPr="008D6975">
        <w:rPr>
          <w:rFonts w:cs="Arial"/>
          <w:lang w:val="en-AU" w:bidi="th-TH"/>
        </w:rPr>
        <w:t>ing and decentrali</w:t>
      </w:r>
      <w:r w:rsidR="00340706">
        <w:rPr>
          <w:rFonts w:cs="Arial"/>
          <w:lang w:val="en-AU" w:bidi="th-TH"/>
        </w:rPr>
        <w:t>s</w:t>
      </w:r>
      <w:r w:rsidR="00F37FB1" w:rsidRPr="008D6975">
        <w:rPr>
          <w:rFonts w:cs="Arial"/>
          <w:lang w:val="en-AU" w:bidi="th-TH"/>
        </w:rPr>
        <w:t>ation, resulting in a more focused organi</w:t>
      </w:r>
      <w:r w:rsidR="00340706">
        <w:rPr>
          <w:rFonts w:cs="Arial"/>
          <w:lang w:val="en-AU" w:bidi="th-TH"/>
        </w:rPr>
        <w:t>s</w:t>
      </w:r>
      <w:r w:rsidR="00F37FB1" w:rsidRPr="008D6975">
        <w:rPr>
          <w:rFonts w:cs="Arial"/>
          <w:lang w:val="en-AU" w:bidi="th-TH"/>
        </w:rPr>
        <w:t>ation now implementing t</w:t>
      </w:r>
      <w:r>
        <w:rPr>
          <w:rFonts w:cs="Arial"/>
          <w:lang w:val="en-AU" w:bidi="th-TH"/>
        </w:rPr>
        <w:t>he MRC Strategic Plan 2016-2020;</w:t>
      </w:r>
    </w:p>
    <w:p w14:paraId="3EEC7EA6" w14:textId="7F2AD9E9" w:rsidR="00713633" w:rsidRPr="008D6975" w:rsidRDefault="00713633" w:rsidP="009228CA">
      <w:pPr>
        <w:pStyle w:val="BodyText"/>
        <w:numPr>
          <w:ilvl w:val="0"/>
          <w:numId w:val="38"/>
        </w:numPr>
        <w:rPr>
          <w:rFonts w:cs="DIN-Regular"/>
          <w:color w:val="000000"/>
          <w:lang w:val="en-AU"/>
        </w:rPr>
      </w:pPr>
      <w:r w:rsidRPr="008D6975">
        <w:rPr>
          <w:rFonts w:cs="DIN-Regular"/>
          <w:color w:val="000000"/>
          <w:lang w:val="en-AU"/>
        </w:rPr>
        <w:t>improving the MRC’s exchange with civil society organisations, research institutions and private sector developers target implementation of the procedures governing regional shared water use</w:t>
      </w:r>
      <w:r w:rsidR="0049563C">
        <w:rPr>
          <w:rFonts w:cs="DIN-Regular"/>
          <w:color w:val="000000"/>
          <w:lang w:val="en-AU"/>
        </w:rPr>
        <w:t>;</w:t>
      </w:r>
    </w:p>
    <w:p w14:paraId="14401B4E" w14:textId="0492A992" w:rsidR="00713633" w:rsidRPr="008D6975" w:rsidRDefault="00F37FB1" w:rsidP="009228CA">
      <w:pPr>
        <w:pStyle w:val="BodyText"/>
        <w:numPr>
          <w:ilvl w:val="0"/>
          <w:numId w:val="38"/>
        </w:numPr>
        <w:rPr>
          <w:rFonts w:cs="DIN-Regular"/>
          <w:color w:val="000000"/>
          <w:lang w:val="en-AU"/>
        </w:rPr>
      </w:pPr>
      <w:r w:rsidRPr="008D6975">
        <w:rPr>
          <w:rFonts w:cs="DIN-Regular"/>
          <w:color w:val="000000"/>
          <w:lang w:val="en-AU"/>
        </w:rPr>
        <w:t xml:space="preserve">MRC </w:t>
      </w:r>
      <w:r w:rsidR="00713633" w:rsidRPr="008D6975">
        <w:rPr>
          <w:rFonts w:cs="DIN-Regular"/>
          <w:color w:val="000000"/>
          <w:lang w:val="en-AU"/>
        </w:rPr>
        <w:t>efforts to link its work and policy engagement to Greater Mekong Subregion initiatives and relevant parts of the ASEAN agenda.</w:t>
      </w:r>
    </w:p>
    <w:p w14:paraId="0301B0FB" w14:textId="71D08D85" w:rsidR="00E40FA4" w:rsidRPr="002E0D8A" w:rsidRDefault="00F37FB1" w:rsidP="002C0AD1">
      <w:pPr>
        <w:pStyle w:val="BodyText"/>
        <w:rPr>
          <w:lang w:val="en-AU"/>
        </w:rPr>
      </w:pPr>
      <w:r w:rsidRPr="008D6975">
        <w:rPr>
          <w:lang w:val="en-AU"/>
        </w:rPr>
        <w:t>As far as the capacity for the policy dialogue and influencing, a</w:t>
      </w:r>
      <w:r w:rsidR="00E40FA4" w:rsidRPr="008D6975">
        <w:rPr>
          <w:lang w:val="en-AU"/>
        </w:rPr>
        <w:t>ccording to the MRCS senior managers, the policy dialogue understanding and expertise in MRC</w:t>
      </w:r>
      <w:r w:rsidR="006C5934" w:rsidRPr="008D6975">
        <w:rPr>
          <w:lang w:val="en-AU"/>
        </w:rPr>
        <w:t>S</w:t>
      </w:r>
      <w:r w:rsidR="00E40FA4" w:rsidRPr="008D6975">
        <w:rPr>
          <w:lang w:val="en-AU"/>
        </w:rPr>
        <w:t xml:space="preserve"> is limited. The capacity for implementing communications and policy dialogue, as well as outreach to and engagement with a broad range of stakeholders needs to be improved after the recent adoption of the MRC 2016-2020 Strategy.</w:t>
      </w:r>
      <w:r w:rsidR="00E40FA4" w:rsidRPr="002E0D8A">
        <w:rPr>
          <w:lang w:val="en-AU"/>
        </w:rPr>
        <w:t xml:space="preserve"> </w:t>
      </w:r>
    </w:p>
    <w:p w14:paraId="26775E0B" w14:textId="77777777" w:rsidR="00F37FB1" w:rsidRPr="002E0D8A" w:rsidRDefault="006C5934" w:rsidP="002C0AD1">
      <w:pPr>
        <w:pStyle w:val="BodyText"/>
        <w:rPr>
          <w:lang w:val="en-AU"/>
        </w:rPr>
      </w:pPr>
      <w:r w:rsidRPr="002E0D8A">
        <w:rPr>
          <w:lang w:val="en-AU"/>
        </w:rPr>
        <w:t xml:space="preserve">The role of the Senior Management including CEO, four Directors and Chief of policy and strategy officer is critical for the policy influencing and effective support to improving transboundary governance. </w:t>
      </w:r>
    </w:p>
    <w:p w14:paraId="5D3D5FD6" w14:textId="1BB45F69" w:rsidR="00E40FA4" w:rsidRPr="002E0D8A" w:rsidRDefault="007E18ED" w:rsidP="002C0AD1">
      <w:pPr>
        <w:pStyle w:val="BodyText"/>
        <w:rPr>
          <w:i/>
          <w:iCs/>
          <w:lang w:val="en-AU"/>
        </w:rPr>
      </w:pPr>
      <w:r>
        <w:rPr>
          <w:lang w:val="en-AU"/>
        </w:rPr>
        <w:lastRenderedPageBreak/>
        <w:t>i</w:t>
      </w:r>
      <w:r w:rsidR="00F27F5B">
        <w:rPr>
          <w:lang w:val="en-AU"/>
        </w:rPr>
        <w:t xml:space="preserve">mproved </w:t>
      </w:r>
      <w:r w:rsidR="00E40FA4" w:rsidRPr="002E0D8A">
        <w:rPr>
          <w:lang w:val="en-AU"/>
        </w:rPr>
        <w:t>communication and engagement with CSOs and community dialogue approaches on the one hand, and dialogue with the private sector on the other hand would add value to the MRC and its program.</w:t>
      </w:r>
      <w:r w:rsidR="008D25C4" w:rsidRPr="002E0D8A">
        <w:rPr>
          <w:lang w:val="en-AU"/>
        </w:rPr>
        <w:t xml:space="preserve"> Due to its lack of </w:t>
      </w:r>
      <w:r w:rsidR="00E40FA4" w:rsidRPr="002E0D8A">
        <w:rPr>
          <w:lang w:val="en-AU"/>
        </w:rPr>
        <w:t xml:space="preserve">expertise, MRC needs to use other partners such as Oxfam, and IFC, etc. but the JC and Council and countries acceptance of this is still </w:t>
      </w:r>
      <w:r w:rsidR="008D25C4" w:rsidRPr="002E0D8A">
        <w:rPr>
          <w:lang w:val="en-AU"/>
        </w:rPr>
        <w:t>unclear</w:t>
      </w:r>
      <w:r w:rsidR="00E40FA4" w:rsidRPr="002E0D8A">
        <w:rPr>
          <w:lang w:val="en-AU"/>
        </w:rPr>
        <w:t xml:space="preserve">. </w:t>
      </w:r>
    </w:p>
    <w:p w14:paraId="67EDA1E6" w14:textId="77777777" w:rsidR="00F37FB1" w:rsidRPr="002E0D8A" w:rsidRDefault="00E40FA4" w:rsidP="002C0AD1">
      <w:pPr>
        <w:pStyle w:val="BodyText"/>
        <w:rPr>
          <w:lang w:val="en-AU"/>
        </w:rPr>
      </w:pPr>
      <w:r w:rsidRPr="002E0D8A">
        <w:rPr>
          <w:lang w:val="en-AU"/>
        </w:rPr>
        <w:t xml:space="preserve">In the new era of a scaled-down MRC Secretariat, and decentralisation of many functions to the country levels, some clarification is needed as to the level or responsibility of MRCS versus the NMCs for the communications with and engagement of different stakeholders in each country </w:t>
      </w:r>
      <w:r w:rsidR="008D25C4" w:rsidRPr="002E0D8A">
        <w:rPr>
          <w:lang w:val="en-AU"/>
        </w:rPr>
        <w:t>in the various</w:t>
      </w:r>
      <w:r w:rsidRPr="002E0D8A">
        <w:rPr>
          <w:lang w:val="en-AU"/>
        </w:rPr>
        <w:t xml:space="preserve"> MRC related processes.</w:t>
      </w:r>
      <w:r w:rsidR="007D472C" w:rsidRPr="002E0D8A">
        <w:rPr>
          <w:lang w:val="en-AU"/>
        </w:rPr>
        <w:t xml:space="preserve"> </w:t>
      </w:r>
    </w:p>
    <w:p w14:paraId="0F66253B" w14:textId="3548B173" w:rsidR="00E40FA4" w:rsidRPr="002E0D8A" w:rsidRDefault="00E40FA4" w:rsidP="002C0AD1">
      <w:pPr>
        <w:pStyle w:val="BodyText"/>
        <w:rPr>
          <w:lang w:val="en-AU"/>
        </w:rPr>
      </w:pPr>
      <w:r w:rsidRPr="002E0D8A">
        <w:rPr>
          <w:lang w:val="en-AU"/>
        </w:rPr>
        <w:t xml:space="preserve">The PNPCA and MRC Council Study are two major themes and pathways to influence positive policy changes for improved regional water governance and sustainable development. The key stakeholders and DPs’ perception on the relevance of MRC - one of the oldest transboundary </w:t>
      </w:r>
      <w:r w:rsidR="00B90C65">
        <w:rPr>
          <w:lang w:val="en-AU"/>
        </w:rPr>
        <w:t>river basin organisations</w:t>
      </w:r>
      <w:r w:rsidR="00B90C65" w:rsidRPr="002E0D8A">
        <w:rPr>
          <w:lang w:val="en-AU"/>
        </w:rPr>
        <w:t xml:space="preserve"> </w:t>
      </w:r>
      <w:r w:rsidRPr="002E0D8A">
        <w:rPr>
          <w:lang w:val="en-AU"/>
        </w:rPr>
        <w:t>- depends on the way the MRC and its member countrie</w:t>
      </w:r>
      <w:r w:rsidR="008D25C4" w:rsidRPr="002E0D8A">
        <w:rPr>
          <w:lang w:val="en-AU"/>
        </w:rPr>
        <w:t>s deliver these important tasks.</w:t>
      </w:r>
    </w:p>
    <w:p w14:paraId="22FA0B77" w14:textId="6A4472EB" w:rsidR="00E40FA4" w:rsidRPr="002E0D8A" w:rsidRDefault="00E40FA4" w:rsidP="002C0AD1">
      <w:pPr>
        <w:pStyle w:val="BodyText"/>
        <w:rPr>
          <w:rFonts w:cs="RijksoverheidSerif"/>
          <w:color w:val="000000"/>
          <w:lang w:val="en-AU"/>
        </w:rPr>
      </w:pPr>
      <w:r w:rsidRPr="002E0D8A">
        <w:rPr>
          <w:iCs/>
          <w:lang w:val="en-AU"/>
        </w:rPr>
        <w:t>Implementing Partne</w:t>
      </w:r>
      <w:r w:rsidR="00F37FB1" w:rsidRPr="002E0D8A">
        <w:rPr>
          <w:iCs/>
          <w:lang w:val="en-AU"/>
        </w:rPr>
        <w:t xml:space="preserve">rs </w:t>
      </w:r>
      <w:r w:rsidRPr="002E0D8A">
        <w:rPr>
          <w:iCs/>
          <w:lang w:val="en-AU"/>
        </w:rPr>
        <w:t xml:space="preserve">are able to </w:t>
      </w:r>
      <w:r w:rsidRPr="002E0D8A">
        <w:rPr>
          <w:rFonts w:cs="RijksoverheidSerif"/>
          <w:color w:val="000000"/>
          <w:lang w:val="en-AU"/>
        </w:rPr>
        <w:t xml:space="preserve">respond quickly when issues emerge or when they are invited to advise the government actors. </w:t>
      </w:r>
      <w:r w:rsidR="00EE70A0" w:rsidRPr="002E0D8A">
        <w:rPr>
          <w:rFonts w:cs="RijksoverheidSerif"/>
          <w:color w:val="000000"/>
          <w:lang w:val="en-AU"/>
        </w:rPr>
        <w:t>But</w:t>
      </w:r>
      <w:r w:rsidRPr="002E0D8A">
        <w:rPr>
          <w:rFonts w:cs="RijksoverheidSerif"/>
          <w:color w:val="000000"/>
          <w:lang w:val="en-AU"/>
        </w:rPr>
        <w:t xml:space="preserve"> when several critical priorities are happening at the same time, such as the MRC Council Study, </w:t>
      </w:r>
      <w:r w:rsidR="00F37FB1" w:rsidRPr="002E0D8A">
        <w:rPr>
          <w:rFonts w:cs="RijksoverheidSerif"/>
          <w:color w:val="000000"/>
          <w:lang w:val="en-AU"/>
        </w:rPr>
        <w:t xml:space="preserve">series of PNPCA processes, </w:t>
      </w:r>
      <w:r w:rsidRPr="002E0D8A">
        <w:rPr>
          <w:rFonts w:cs="RijksoverheidSerif"/>
          <w:color w:val="000000"/>
          <w:lang w:val="en-AU"/>
        </w:rPr>
        <w:t>and looming prior notifications from Lao PDR, Cambodia and Thailand</w:t>
      </w:r>
      <w:r w:rsidR="00E757F9" w:rsidRPr="002E0D8A">
        <w:rPr>
          <w:rFonts w:cs="RijksoverheidSerif"/>
          <w:color w:val="000000"/>
          <w:lang w:val="en-AU"/>
        </w:rPr>
        <w:t xml:space="preserve">, </w:t>
      </w:r>
      <w:r w:rsidR="00D1554B" w:rsidRPr="002E0D8A">
        <w:rPr>
          <w:rFonts w:cs="RijksoverheidSerif"/>
          <w:color w:val="000000"/>
          <w:lang w:val="en-AU"/>
        </w:rPr>
        <w:t>capacity is stretched.</w:t>
      </w:r>
      <w:r w:rsidRPr="002E0D8A">
        <w:rPr>
          <w:rFonts w:cs="RijksoverheidSerif"/>
          <w:color w:val="000000"/>
          <w:lang w:val="en-AU"/>
        </w:rPr>
        <w:t xml:space="preserve"> </w:t>
      </w:r>
    </w:p>
    <w:p w14:paraId="6D96A5FA" w14:textId="7101A589" w:rsidR="00E40FA4" w:rsidRPr="002E0D8A" w:rsidRDefault="00E40FA4" w:rsidP="002C0AD1">
      <w:pPr>
        <w:pStyle w:val="BodyText"/>
        <w:rPr>
          <w:rFonts w:cs="RijksoverheidSerif"/>
          <w:color w:val="000000"/>
          <w:lang w:val="en-AU"/>
        </w:rPr>
      </w:pPr>
      <w:r w:rsidRPr="002E0D8A">
        <w:rPr>
          <w:rFonts w:cs="RijksoverheidSerif"/>
          <w:color w:val="000000"/>
          <w:lang w:val="en-AU"/>
        </w:rPr>
        <w:t>Strengthening capacity by systematic reflection on which policy dialogue strategies and activities may work and are effective in reali</w:t>
      </w:r>
      <w:r w:rsidR="00340706">
        <w:rPr>
          <w:rFonts w:cs="RijksoverheidSerif"/>
          <w:color w:val="000000"/>
          <w:lang w:val="en-AU"/>
        </w:rPr>
        <w:t>s</w:t>
      </w:r>
      <w:r w:rsidRPr="002E0D8A">
        <w:rPr>
          <w:rFonts w:cs="RijksoverheidSerif"/>
          <w:color w:val="000000"/>
          <w:lang w:val="en-AU"/>
        </w:rPr>
        <w:t>ing the organi</w:t>
      </w:r>
      <w:r w:rsidR="00340706">
        <w:rPr>
          <w:rFonts w:cs="RijksoverheidSerif"/>
          <w:color w:val="000000"/>
          <w:lang w:val="en-AU"/>
        </w:rPr>
        <w:t>s</w:t>
      </w:r>
      <w:r w:rsidRPr="002E0D8A">
        <w:rPr>
          <w:rFonts w:cs="RijksoverheidSerif"/>
          <w:color w:val="000000"/>
          <w:lang w:val="en-AU"/>
        </w:rPr>
        <w:t>ation’s objectives, is a generally underutili</w:t>
      </w:r>
      <w:r w:rsidR="00340706">
        <w:rPr>
          <w:rFonts w:cs="RijksoverheidSerif"/>
          <w:color w:val="000000"/>
          <w:lang w:val="en-AU"/>
        </w:rPr>
        <w:t>s</w:t>
      </w:r>
      <w:r w:rsidRPr="002E0D8A">
        <w:rPr>
          <w:rFonts w:cs="RijksoverheidSerif"/>
          <w:color w:val="000000"/>
          <w:lang w:val="en-AU"/>
        </w:rPr>
        <w:t>ed approach.</w:t>
      </w:r>
    </w:p>
    <w:p w14:paraId="476A482E" w14:textId="34051367" w:rsidR="00E40FA4" w:rsidRPr="002E0D8A" w:rsidRDefault="00E40FA4" w:rsidP="00F37FB1">
      <w:pPr>
        <w:pStyle w:val="Heading3"/>
        <w:tabs>
          <w:tab w:val="clear" w:pos="1561"/>
        </w:tabs>
        <w:ind w:left="1134" w:hanging="1134"/>
        <w:rPr>
          <w:lang w:val="en-AU"/>
        </w:rPr>
      </w:pPr>
      <w:bookmarkStart w:id="47" w:name="_Toc470715871"/>
      <w:bookmarkStart w:id="48" w:name="_Toc475358476"/>
      <w:r w:rsidRPr="002E0D8A">
        <w:rPr>
          <w:lang w:val="en-AU"/>
        </w:rPr>
        <w:t>Ability to put gender equality on political agendas</w:t>
      </w:r>
      <w:bookmarkEnd w:id="47"/>
      <w:bookmarkEnd w:id="48"/>
    </w:p>
    <w:p w14:paraId="535FD6F7" w14:textId="59AF1744" w:rsidR="00E40FA4" w:rsidRPr="002E0D8A" w:rsidRDefault="00E40FA4" w:rsidP="002C0AD1">
      <w:pPr>
        <w:pStyle w:val="BodyText"/>
        <w:rPr>
          <w:lang w:val="en-AU"/>
        </w:rPr>
      </w:pPr>
      <w:r w:rsidRPr="002E0D8A">
        <w:rPr>
          <w:lang w:val="en-AU"/>
        </w:rPr>
        <w:t>Not all p</w:t>
      </w:r>
      <w:r w:rsidR="003752BE" w:rsidRPr="002E0D8A">
        <w:rPr>
          <w:lang w:val="en-AU"/>
        </w:rPr>
        <w:t>illar leads h</w:t>
      </w:r>
      <w:r w:rsidRPr="002E0D8A">
        <w:rPr>
          <w:lang w:val="en-AU"/>
        </w:rPr>
        <w:t xml:space="preserve">ave explicitly set their target to place gender issues on the public and political agenda. Oxfam has worked on awareness creation and training on specific issues among different target groups and collaborated with IFC etc. in conducting training and awareness workshops. </w:t>
      </w:r>
      <w:r w:rsidR="003752BE" w:rsidRPr="002E0D8A">
        <w:rPr>
          <w:lang w:val="en-AU"/>
        </w:rPr>
        <w:t xml:space="preserve">IWMI-WLE projects and the fellowships program have strong gender components. </w:t>
      </w:r>
      <w:r w:rsidRPr="002E0D8A">
        <w:rPr>
          <w:lang w:val="en-AU"/>
        </w:rPr>
        <w:t xml:space="preserve">The extent to which the interventions contributed to real improvements for women remains to be seen. </w:t>
      </w:r>
    </w:p>
    <w:p w14:paraId="5DE7FBE3" w14:textId="4E872C1A" w:rsidR="00E40FA4" w:rsidRPr="002E0D8A" w:rsidRDefault="00715AC7" w:rsidP="007D472C">
      <w:pPr>
        <w:pStyle w:val="Heading3"/>
        <w:tabs>
          <w:tab w:val="num" w:pos="851"/>
        </w:tabs>
        <w:spacing w:before="120"/>
        <w:ind w:left="851"/>
        <w:rPr>
          <w:lang w:val="en-AU" w:eastAsia="en-CA"/>
        </w:rPr>
      </w:pPr>
      <w:bookmarkStart w:id="49" w:name="_Toc470715873"/>
      <w:bookmarkStart w:id="50" w:name="_Toc475358477"/>
      <w:r>
        <w:rPr>
          <w:lang w:val="en-AU" w:eastAsia="en-CA"/>
        </w:rPr>
        <w:t>GMWRP c</w:t>
      </w:r>
      <w:r w:rsidR="00F115F3" w:rsidRPr="002E0D8A">
        <w:rPr>
          <w:lang w:val="en-AU" w:eastAsia="en-CA"/>
        </w:rPr>
        <w:t>ommunications and influence to other investment</w:t>
      </w:r>
      <w:bookmarkEnd w:id="49"/>
      <w:bookmarkEnd w:id="50"/>
    </w:p>
    <w:p w14:paraId="27B719F8" w14:textId="0804E928" w:rsidR="00E40FA4" w:rsidRPr="002E0D8A" w:rsidRDefault="00E40FA4" w:rsidP="002C0AD1">
      <w:pPr>
        <w:pStyle w:val="BodyText"/>
        <w:rPr>
          <w:lang w:val="en-AU" w:eastAsia="en-CA"/>
        </w:rPr>
      </w:pPr>
      <w:r w:rsidRPr="002E0D8A">
        <w:rPr>
          <w:lang w:val="en-AU" w:eastAsia="en-CA"/>
        </w:rPr>
        <w:t>Overall the GMWRP does not have a strong unified brand, and has not invested in promotion of public recognition of GMRWP as an entity or even so much of DFA</w:t>
      </w:r>
      <w:r w:rsidR="00AB58DA">
        <w:rPr>
          <w:lang w:val="en-AU" w:eastAsia="en-CA"/>
        </w:rPr>
        <w:t>T as a key donor to the Mekong.</w:t>
      </w:r>
    </w:p>
    <w:p w14:paraId="366C0527" w14:textId="37E0BD95" w:rsidR="00E40FA4" w:rsidRPr="002E0D8A" w:rsidRDefault="00E40FA4" w:rsidP="002C0AD1">
      <w:pPr>
        <w:pStyle w:val="BodyText"/>
        <w:rPr>
          <w:lang w:val="en-AU" w:bidi="th-TH"/>
        </w:rPr>
      </w:pPr>
      <w:r w:rsidRPr="002E0D8A">
        <w:rPr>
          <w:lang w:val="en-AU" w:eastAsia="en-CA"/>
        </w:rPr>
        <w:t xml:space="preserve">While this approach is appreciated in the region, it might not necessarily help GMWRP </w:t>
      </w:r>
      <w:r w:rsidR="00F27F5B">
        <w:rPr>
          <w:lang w:val="en-AU" w:eastAsia="en-CA"/>
        </w:rPr>
        <w:t xml:space="preserve">garner additional support </w:t>
      </w:r>
      <w:r w:rsidR="00442E42">
        <w:rPr>
          <w:lang w:val="en-AU" w:eastAsia="en-CA"/>
        </w:rPr>
        <w:t xml:space="preserve">back in Canberra. </w:t>
      </w:r>
      <w:r w:rsidRPr="002E0D8A">
        <w:rPr>
          <w:lang w:val="en-AU" w:eastAsia="en-CA"/>
        </w:rPr>
        <w:t>The individual brands of the pillar leads, are more recognisable, and their communications more prominent. For example, t</w:t>
      </w:r>
      <w:r w:rsidRPr="002E0D8A">
        <w:rPr>
          <w:lang w:val="en-AU" w:bidi="th-TH"/>
        </w:rPr>
        <w:t>he IFC pillar has made significant efforts in communications, and many relevant news stories can be found on the website</w:t>
      </w:r>
      <w:r w:rsidR="00BB4F7E" w:rsidRPr="002E0D8A">
        <w:rPr>
          <w:lang w:val="en-AU" w:bidi="th-TH"/>
        </w:rPr>
        <w:t>.</w:t>
      </w:r>
      <w:r w:rsidR="00BB4F7E" w:rsidRPr="002E0D8A">
        <w:rPr>
          <w:rStyle w:val="FootnoteReference"/>
          <w:rFonts w:asciiTheme="minorHAnsi" w:hAnsiTheme="minorHAnsi"/>
          <w:lang w:val="en-AU" w:bidi="th-TH"/>
        </w:rPr>
        <w:footnoteReference w:id="12"/>
      </w:r>
    </w:p>
    <w:p w14:paraId="6BD06064" w14:textId="694C22BC" w:rsidR="00E40FA4" w:rsidRPr="002E0D8A" w:rsidRDefault="00E40FA4" w:rsidP="002C0AD1">
      <w:pPr>
        <w:pStyle w:val="BodyText"/>
        <w:rPr>
          <w:rFonts w:cs="Helvetica"/>
          <w:lang w:val="en-AU" w:bidi="th-TH"/>
        </w:rPr>
      </w:pPr>
      <w:r w:rsidRPr="002E0D8A">
        <w:rPr>
          <w:lang w:val="en-AU" w:bidi="th-TH"/>
        </w:rPr>
        <w:t xml:space="preserve">Many of the MKs under WLE are also very active in communications, for example </w:t>
      </w:r>
      <w:r w:rsidRPr="002E0D8A">
        <w:rPr>
          <w:rFonts w:cs="Helvetica"/>
          <w:lang w:val="en-AU" w:bidi="th-TH"/>
        </w:rPr>
        <w:t>as part of the Myanmar Healthy Rivers Initiative (MHRI), ICEM (with assistance from project partners) has published a series of informative posters on community participation in river health monitoring. The poster presentation was displayed at the 2016 Greater Mekong Forum in Wate</w:t>
      </w:r>
      <w:r w:rsidR="00F115F3" w:rsidRPr="002E0D8A">
        <w:rPr>
          <w:rFonts w:cs="Helvetica"/>
          <w:lang w:val="en-AU" w:bidi="th-TH"/>
        </w:rPr>
        <w:t xml:space="preserve">r, Food and Energy, and </w:t>
      </w:r>
      <w:r w:rsidRPr="002E0D8A">
        <w:rPr>
          <w:rFonts w:cs="Helvetica"/>
          <w:lang w:val="en-AU" w:bidi="th-TH"/>
        </w:rPr>
        <w:t>can be downloaded from the ICEM website.</w:t>
      </w:r>
    </w:p>
    <w:p w14:paraId="340EBABD" w14:textId="3C197EC2" w:rsidR="00E40FA4" w:rsidRPr="002E0D8A" w:rsidRDefault="00E40FA4" w:rsidP="002C0AD1">
      <w:pPr>
        <w:pStyle w:val="BodyText"/>
        <w:rPr>
          <w:lang w:val="en-AU"/>
        </w:rPr>
      </w:pPr>
      <w:r w:rsidRPr="002E0D8A">
        <w:rPr>
          <w:lang w:val="en-AU"/>
        </w:rPr>
        <w:lastRenderedPageBreak/>
        <w:t xml:space="preserve">Government of Australia partnership via the Australia-Bank Facility Phases 1 and 2 includes substantial water resources related support targeting sustainable development of Vietnam’s Mekong Delta – augmented by further partnerships focused on the delta, with The Netherlands in </w:t>
      </w:r>
      <w:r w:rsidR="00F115F3" w:rsidRPr="002E0D8A">
        <w:rPr>
          <w:lang w:val="en-AU"/>
        </w:rPr>
        <w:t xml:space="preserve">the </w:t>
      </w:r>
      <w:r w:rsidRPr="002E0D8A">
        <w:rPr>
          <w:lang w:val="en-AU"/>
        </w:rPr>
        <w:t>Mekong Delta Dialogue,</w:t>
      </w:r>
      <w:r w:rsidR="00F115F3" w:rsidRPr="002E0D8A">
        <w:rPr>
          <w:lang w:val="en-AU"/>
        </w:rPr>
        <w:t xml:space="preserve"> and Germany’s GIZ via</w:t>
      </w:r>
      <w:r w:rsidRPr="002E0D8A">
        <w:rPr>
          <w:lang w:val="en-AU"/>
        </w:rPr>
        <w:t xml:space="preserve"> Australian support for GIZ to deliver the Integrated Coastal </w:t>
      </w:r>
      <w:r w:rsidRPr="003D0B4B">
        <w:rPr>
          <w:lang w:val="en-AU"/>
        </w:rPr>
        <w:t xml:space="preserve">Management Program. </w:t>
      </w:r>
      <w:r w:rsidR="00F115F3" w:rsidRPr="003D0B4B">
        <w:rPr>
          <w:lang w:val="en-AU" w:eastAsia="en-CA"/>
        </w:rPr>
        <w:t>S</w:t>
      </w:r>
      <w:r w:rsidRPr="003D0B4B">
        <w:rPr>
          <w:lang w:val="en-AU" w:eastAsia="en-CA"/>
        </w:rPr>
        <w:t>trong collaboration with the World B</w:t>
      </w:r>
      <w:r w:rsidR="00F115F3" w:rsidRPr="003D0B4B">
        <w:rPr>
          <w:lang w:val="en-AU" w:eastAsia="en-CA"/>
        </w:rPr>
        <w:t xml:space="preserve">ank </w:t>
      </w:r>
      <w:r w:rsidR="008C316E" w:rsidRPr="003D0B4B">
        <w:rPr>
          <w:lang w:val="en-AU" w:eastAsia="en-CA"/>
        </w:rPr>
        <w:t xml:space="preserve">was </w:t>
      </w:r>
      <w:r w:rsidR="00F115F3" w:rsidRPr="003D0B4B">
        <w:rPr>
          <w:lang w:val="en-AU" w:eastAsia="en-CA"/>
        </w:rPr>
        <w:t xml:space="preserve">developed over many years </w:t>
      </w:r>
      <w:r w:rsidRPr="003D0B4B">
        <w:rPr>
          <w:lang w:val="en-AU" w:eastAsia="en-CA"/>
        </w:rPr>
        <w:t xml:space="preserve">through </w:t>
      </w:r>
      <w:r w:rsidR="00F115F3" w:rsidRPr="003D0B4B">
        <w:rPr>
          <w:lang w:val="en-AU" w:eastAsia="en-CA"/>
        </w:rPr>
        <w:t xml:space="preserve">a </w:t>
      </w:r>
      <w:r w:rsidRPr="003D0B4B">
        <w:rPr>
          <w:lang w:val="en-AU" w:eastAsia="en-CA"/>
        </w:rPr>
        <w:t xml:space="preserve">series of Mekong IWRM projects in MRC, </w:t>
      </w:r>
      <w:r w:rsidR="00F115F3" w:rsidRPr="003D0B4B">
        <w:rPr>
          <w:lang w:val="en-AU" w:eastAsia="en-CA"/>
        </w:rPr>
        <w:t xml:space="preserve">as well as in </w:t>
      </w:r>
      <w:r w:rsidRPr="003D0B4B">
        <w:rPr>
          <w:lang w:val="en-AU" w:eastAsia="en-CA"/>
        </w:rPr>
        <w:t xml:space="preserve">Lao PDR, Vietnam and Cambodia. </w:t>
      </w:r>
      <w:r w:rsidR="00F115F3" w:rsidRPr="003D0B4B">
        <w:rPr>
          <w:lang w:val="en-AU"/>
        </w:rPr>
        <w:t>Through collaboration with</w:t>
      </w:r>
      <w:r w:rsidR="00F115F3" w:rsidRPr="002E0D8A">
        <w:rPr>
          <w:lang w:val="en-AU"/>
        </w:rPr>
        <w:t xml:space="preserve"> the government of Vietnam and the World Bank, DFAT is now able to influence </w:t>
      </w:r>
      <w:r w:rsidR="00F115F3" w:rsidRPr="002E0D8A">
        <w:rPr>
          <w:lang w:val="en-AU" w:eastAsia="en-CA"/>
        </w:rPr>
        <w:t xml:space="preserve">major Delta infrastructure investment lending by the World Bank. </w:t>
      </w:r>
      <w:r w:rsidR="00F115F3" w:rsidRPr="002E0D8A">
        <w:rPr>
          <w:lang w:val="en-AU"/>
        </w:rPr>
        <w:t>Similar collaboration is rapidly being developed in Myanmar.</w:t>
      </w:r>
    </w:p>
    <w:p w14:paraId="5F3C3F2E" w14:textId="40CC4B17" w:rsidR="00CF04FD" w:rsidRPr="002E0D8A" w:rsidRDefault="00CF04FD" w:rsidP="002C0AD1">
      <w:pPr>
        <w:pStyle w:val="BodyText"/>
        <w:rPr>
          <w:rFonts w:cs="Arial"/>
          <w:lang w:val="en-AU" w:bidi="th-TH"/>
        </w:rPr>
      </w:pPr>
      <w:r w:rsidRPr="002E0D8A">
        <w:rPr>
          <w:rFonts w:cs="Arial"/>
          <w:lang w:val="en-AU" w:bidi="th-TH"/>
        </w:rPr>
        <w:t xml:space="preserve">Even though DFAT is a relatively new player in Myanmar (by comparison the Dutch and the WB have already been working together there since 2012), through their very proactive engagements, DFAT has very rapidly become the centre of efforts to coordinate work in the water sector in Myanmar. Myanmar will be a focal country for joint Australian-Dutch work in the water sector under a broader international MoU signed between the two countries, and a tripartite Australian-Dutch-WB coordination body is being established with a clear ToR. There is an ongoing discussion about jointly setting up an International Water House, which the </w:t>
      </w:r>
      <w:r w:rsidR="004C5B24">
        <w:rPr>
          <w:rFonts w:cs="Arial"/>
          <w:lang w:val="en-AU" w:bidi="th-TH"/>
        </w:rPr>
        <w:t>evaluative study</w:t>
      </w:r>
      <w:r w:rsidRPr="002E0D8A">
        <w:rPr>
          <w:rFonts w:cs="Arial"/>
          <w:lang w:val="en-AU" w:bidi="th-TH"/>
        </w:rPr>
        <w:t xml:space="preserve"> team believe would be a very positive development.</w:t>
      </w:r>
    </w:p>
    <w:p w14:paraId="341EB968" w14:textId="40553439" w:rsidR="00E40FA4" w:rsidRPr="002E0D8A" w:rsidRDefault="002C0AD1" w:rsidP="002C0AD1">
      <w:pPr>
        <w:pStyle w:val="BodyText"/>
        <w:rPr>
          <w:rFonts w:cs="Arial"/>
          <w:lang w:val="en-AU" w:bidi="th-TH"/>
        </w:rPr>
      </w:pPr>
      <w:r>
        <w:rPr>
          <w:lang w:val="en-AU"/>
        </w:rPr>
        <w:t>The World Bank</w:t>
      </w:r>
      <w:r w:rsidR="00E40FA4" w:rsidRPr="002E0D8A">
        <w:rPr>
          <w:lang w:val="en-AU"/>
        </w:rPr>
        <w:t xml:space="preserve"> </w:t>
      </w:r>
      <w:r>
        <w:rPr>
          <w:lang w:val="en-AU"/>
        </w:rPr>
        <w:t>appreciates the</w:t>
      </w:r>
      <w:r w:rsidR="00E40FA4" w:rsidRPr="002E0D8A">
        <w:rPr>
          <w:lang w:val="en-AU"/>
        </w:rPr>
        <w:t xml:space="preserve"> Australian support </w:t>
      </w:r>
      <w:r w:rsidR="00CF04FD" w:rsidRPr="002E0D8A">
        <w:rPr>
          <w:lang w:val="en-AU"/>
        </w:rPr>
        <w:t xml:space="preserve">both in the Mekong and in Myanmar </w:t>
      </w:r>
      <w:r w:rsidR="00E40FA4" w:rsidRPr="002E0D8A">
        <w:rPr>
          <w:lang w:val="en-AU"/>
        </w:rPr>
        <w:t>– recogni</w:t>
      </w:r>
      <w:r w:rsidR="00340706">
        <w:rPr>
          <w:lang w:val="en-AU"/>
        </w:rPr>
        <w:t>s</w:t>
      </w:r>
      <w:r w:rsidR="00E40FA4" w:rsidRPr="002E0D8A">
        <w:rPr>
          <w:lang w:val="en-AU"/>
        </w:rPr>
        <w:t>ing it is so important for them to have partners helping their clients in ways that they cannot – providing experts and fast on-demand support to the government – while what the W</w:t>
      </w:r>
      <w:r w:rsidR="00442E42">
        <w:rPr>
          <w:lang w:val="en-AU"/>
        </w:rPr>
        <w:t>orld Bank</w:t>
      </w:r>
      <w:r w:rsidR="00E40FA4" w:rsidRPr="002E0D8A">
        <w:rPr>
          <w:lang w:val="en-AU"/>
        </w:rPr>
        <w:t xml:space="preserve"> has to offer is financing capacity, as they try to build up their clients’ ability to execute and manage projects. Both the Dutch and the W</w:t>
      </w:r>
      <w:r>
        <w:rPr>
          <w:lang w:val="en-AU"/>
        </w:rPr>
        <w:t>orld Bank</w:t>
      </w:r>
      <w:r w:rsidR="00E40FA4" w:rsidRPr="002E0D8A">
        <w:rPr>
          <w:lang w:val="en-AU"/>
        </w:rPr>
        <w:t xml:space="preserve"> concur that the quality of DFAT people is outstanding – not only technically but in </w:t>
      </w:r>
      <w:r>
        <w:rPr>
          <w:lang w:val="en-AU"/>
        </w:rPr>
        <w:t>having the right understanding.</w:t>
      </w:r>
    </w:p>
    <w:p w14:paraId="4B687ECF" w14:textId="52CA0E65" w:rsidR="00E40FA4" w:rsidRPr="002E0D8A" w:rsidRDefault="00E40FA4" w:rsidP="002C0AD1">
      <w:pPr>
        <w:pStyle w:val="BodyText"/>
        <w:rPr>
          <w:lang w:val="en-AU" w:eastAsia="en-CA"/>
        </w:rPr>
      </w:pPr>
      <w:r w:rsidRPr="002E0D8A">
        <w:rPr>
          <w:lang w:val="en-AU" w:eastAsia="en-CA"/>
        </w:rPr>
        <w:t xml:space="preserve">The creation of AWP and its use as a vehicle to provide DFAT assistance in the </w:t>
      </w:r>
      <w:r w:rsidR="00A61304">
        <w:rPr>
          <w:lang w:val="en-AU" w:eastAsia="en-CA"/>
        </w:rPr>
        <w:t xml:space="preserve">Greater </w:t>
      </w:r>
      <w:r w:rsidRPr="002E0D8A">
        <w:rPr>
          <w:lang w:val="en-AU" w:eastAsia="en-CA"/>
        </w:rPr>
        <w:t xml:space="preserve">Mekong – </w:t>
      </w:r>
      <w:r w:rsidR="00A61304">
        <w:rPr>
          <w:lang w:val="en-AU" w:eastAsia="en-CA"/>
        </w:rPr>
        <w:t>initially</w:t>
      </w:r>
      <w:r w:rsidRPr="002E0D8A">
        <w:rPr>
          <w:lang w:val="en-AU" w:eastAsia="en-CA"/>
        </w:rPr>
        <w:t xml:space="preserve"> in Myanmar</w:t>
      </w:r>
      <w:r w:rsidR="00442E42">
        <w:rPr>
          <w:lang w:val="en-AU" w:eastAsia="en-CA"/>
        </w:rPr>
        <w:t>-</w:t>
      </w:r>
      <w:r w:rsidRPr="002E0D8A">
        <w:rPr>
          <w:lang w:val="en-AU" w:eastAsia="en-CA"/>
        </w:rPr>
        <w:t xml:space="preserve"> will provide significant opportunities for smaller Australian companies</w:t>
      </w:r>
      <w:r w:rsidR="002C0AD1">
        <w:rPr>
          <w:lang w:val="en-AU" w:eastAsia="en-CA"/>
        </w:rPr>
        <w:t xml:space="preserve"> to get involved in the region.</w:t>
      </w:r>
    </w:p>
    <w:p w14:paraId="02D5A651" w14:textId="3920ABDF" w:rsidR="00E40FA4" w:rsidRPr="002E0D8A" w:rsidRDefault="00E40FA4" w:rsidP="002C0AD1">
      <w:pPr>
        <w:pStyle w:val="BodyText"/>
        <w:rPr>
          <w:lang w:val="en-AU"/>
        </w:rPr>
      </w:pPr>
      <w:r w:rsidRPr="002E0D8A">
        <w:rPr>
          <w:lang w:val="en-AU"/>
        </w:rPr>
        <w:t xml:space="preserve">The </w:t>
      </w:r>
      <w:r w:rsidR="008C316E">
        <w:rPr>
          <w:lang w:val="en-AU"/>
        </w:rPr>
        <w:t xml:space="preserve">Greater </w:t>
      </w:r>
      <w:r w:rsidRPr="002E0D8A">
        <w:rPr>
          <w:lang w:val="en-AU"/>
        </w:rPr>
        <w:t>Mekong Water Team has worked closely with the CAVAC program in Cambodia (involving key water Ministries – MAFF and MOWRAM, and local communities</w:t>
      </w:r>
      <w:r w:rsidR="006C5934" w:rsidRPr="002E0D8A">
        <w:rPr>
          <w:lang w:val="en-AU"/>
        </w:rPr>
        <w:t xml:space="preserve">) </w:t>
      </w:r>
      <w:r w:rsidRPr="002E0D8A">
        <w:rPr>
          <w:lang w:val="en-AU"/>
        </w:rPr>
        <w:t>managed by the Phnom Penh Post - which is demonstrating practical ways of delivering functioning irrigation systems to Cambodian agribusiness and farmer communities – assisted by national policy reforms supported by technical assistance delivered through ADB – managed by Vientiane Post.</w:t>
      </w:r>
    </w:p>
    <w:p w14:paraId="595A201B" w14:textId="59D2A9F1" w:rsidR="00E40FA4" w:rsidRPr="002E0D8A" w:rsidRDefault="00E40FA4" w:rsidP="00E40FA4">
      <w:pPr>
        <w:pStyle w:val="BodyText"/>
        <w:autoSpaceDE/>
        <w:adjustRightInd/>
        <w:jc w:val="both"/>
        <w:rPr>
          <w:lang w:val="en-AU"/>
        </w:rPr>
      </w:pPr>
      <w:r w:rsidRPr="002E0D8A">
        <w:rPr>
          <w:lang w:val="en-AU"/>
        </w:rPr>
        <w:t>The GMWRP worked with the DFAT Posts in Phnom Penh and Beijing, in implementing the Cambodia Australia China Irrigation Dialogue (CACID). It successfully enabled dialogue between previously disparate groups in Cambodia irrigation development. This dialogue was initiated because of the perceived lack of co-ordination between the Cambodian agencies, the Chinese funding agency, the Chines</w:t>
      </w:r>
      <w:r w:rsidR="00715AC7">
        <w:rPr>
          <w:lang w:val="en-AU"/>
        </w:rPr>
        <w:t>e</w:t>
      </w:r>
      <w:r w:rsidRPr="002E0D8A">
        <w:rPr>
          <w:lang w:val="en-AU"/>
        </w:rPr>
        <w:t xml:space="preserve"> construction companies and the grass roots irrigator and the NGO’s working at the local level. This lack of co-ordination means that often large-scale investments in irrigation are not reali</w:t>
      </w:r>
      <w:r w:rsidR="00340706">
        <w:rPr>
          <w:lang w:val="en-AU"/>
        </w:rPr>
        <w:t>s</w:t>
      </w:r>
      <w:r w:rsidRPr="002E0D8A">
        <w:rPr>
          <w:lang w:val="en-AU"/>
        </w:rPr>
        <w:t>ing benefits at local, provin</w:t>
      </w:r>
      <w:r w:rsidR="00715AC7">
        <w:rPr>
          <w:lang w:val="en-AU"/>
        </w:rPr>
        <w:t>cial, basin or national scales.</w:t>
      </w:r>
    </w:p>
    <w:p w14:paraId="7087D76E" w14:textId="28B2CBC5" w:rsidR="00E40FA4" w:rsidRPr="002E0D8A" w:rsidRDefault="0021245F" w:rsidP="006616A2">
      <w:pPr>
        <w:pStyle w:val="Heading3"/>
        <w:tabs>
          <w:tab w:val="num" w:pos="851"/>
        </w:tabs>
        <w:ind w:left="851"/>
        <w:rPr>
          <w:lang w:val="en-AU" w:eastAsia="en-CA"/>
        </w:rPr>
      </w:pPr>
      <w:bookmarkStart w:id="51" w:name="_Toc470715874"/>
      <w:bookmarkStart w:id="52" w:name="_Toc475358478"/>
      <w:r>
        <w:rPr>
          <w:lang w:val="en-AU" w:eastAsia="en-CA"/>
        </w:rPr>
        <w:t>Monitoring, evaluation and l</w:t>
      </w:r>
      <w:r w:rsidR="00E40FA4" w:rsidRPr="002E0D8A">
        <w:rPr>
          <w:lang w:val="en-AU" w:eastAsia="en-CA"/>
        </w:rPr>
        <w:t>earning</w:t>
      </w:r>
      <w:bookmarkEnd w:id="51"/>
      <w:bookmarkEnd w:id="52"/>
    </w:p>
    <w:p w14:paraId="26953140" w14:textId="28400DBF" w:rsidR="00B01234" w:rsidRPr="002E0D8A" w:rsidRDefault="00E40FA4" w:rsidP="00715AC7">
      <w:pPr>
        <w:pStyle w:val="BodyText"/>
        <w:rPr>
          <w:color w:val="000000"/>
          <w:lang w:val="en-AU" w:eastAsia="en-CA"/>
        </w:rPr>
      </w:pPr>
      <w:r w:rsidRPr="002E0D8A">
        <w:rPr>
          <w:lang w:val="en-AU" w:eastAsia="en-CA"/>
        </w:rPr>
        <w:t xml:space="preserve">The implementation of the water policy dialogue work was monitored separately by all implementing partners and the </w:t>
      </w:r>
      <w:r w:rsidR="008C316E">
        <w:rPr>
          <w:lang w:val="en-AU" w:eastAsia="en-CA"/>
        </w:rPr>
        <w:t xml:space="preserve">DFAT Greater </w:t>
      </w:r>
      <w:r w:rsidR="0021245F">
        <w:rPr>
          <w:lang w:val="en-AU" w:eastAsia="en-CA"/>
        </w:rPr>
        <w:t xml:space="preserve">Mekong </w:t>
      </w:r>
      <w:r w:rsidRPr="002E0D8A">
        <w:rPr>
          <w:lang w:val="en-AU" w:eastAsia="en-CA"/>
        </w:rPr>
        <w:t>Water Team. It is important to properly identify and document/share emerging lessons.</w:t>
      </w:r>
      <w:r w:rsidRPr="002E0D8A">
        <w:rPr>
          <w:color w:val="FF0000"/>
          <w:lang w:val="en-AU" w:eastAsia="en-CA"/>
        </w:rPr>
        <w:t xml:space="preserve"> </w:t>
      </w:r>
      <w:r w:rsidRPr="002E0D8A">
        <w:rPr>
          <w:color w:val="000000"/>
          <w:lang w:val="en-AU" w:eastAsia="en-CA"/>
        </w:rPr>
        <w:t xml:space="preserve">For instance, WLE </w:t>
      </w:r>
      <w:r w:rsidR="0021245F">
        <w:rPr>
          <w:color w:val="000000"/>
          <w:lang w:val="en-AU" w:eastAsia="en-CA"/>
        </w:rPr>
        <w:t xml:space="preserve">Greater </w:t>
      </w:r>
      <w:r w:rsidRPr="002E0D8A">
        <w:rPr>
          <w:color w:val="000000"/>
          <w:lang w:val="en-AU" w:eastAsia="en-CA"/>
        </w:rPr>
        <w:t xml:space="preserve">Mekong is reported to have a knowledge management system and process in place to support </w:t>
      </w:r>
      <w:r w:rsidR="00F14BDF" w:rsidRPr="002E0D8A">
        <w:rPr>
          <w:color w:val="000000"/>
          <w:lang w:val="en-AU" w:eastAsia="en-CA"/>
        </w:rPr>
        <w:t>program</w:t>
      </w:r>
      <w:r w:rsidRPr="002E0D8A">
        <w:rPr>
          <w:color w:val="000000"/>
          <w:lang w:val="en-AU" w:eastAsia="en-CA"/>
        </w:rPr>
        <w:t xml:space="preserve"> management, but not the water policy dialogue work.</w:t>
      </w:r>
      <w:r w:rsidR="00CF04FD" w:rsidRPr="002E0D8A">
        <w:rPr>
          <w:color w:val="000000"/>
          <w:lang w:val="en-AU" w:eastAsia="en-CA"/>
        </w:rPr>
        <w:t xml:space="preserve"> Similarly, </w:t>
      </w:r>
      <w:r w:rsidR="00B01234" w:rsidRPr="002E0D8A">
        <w:rPr>
          <w:color w:val="000000"/>
          <w:lang w:val="en-AU" w:eastAsia="en-CA"/>
        </w:rPr>
        <w:t>IFC counts the number of women and men participating in training courses – but is only now embarking</w:t>
      </w:r>
      <w:r w:rsidR="00CF04FD" w:rsidRPr="002E0D8A">
        <w:rPr>
          <w:color w:val="000000"/>
          <w:lang w:val="en-AU" w:eastAsia="en-CA"/>
        </w:rPr>
        <w:t xml:space="preserve"> on an attempt to understand the real outcomes of such training (after repeated prodding by the DFAT</w:t>
      </w:r>
      <w:r w:rsidR="008C316E">
        <w:rPr>
          <w:color w:val="000000"/>
          <w:lang w:val="en-AU" w:eastAsia="en-CA"/>
        </w:rPr>
        <w:t xml:space="preserve"> Greater</w:t>
      </w:r>
      <w:r w:rsidR="00CF04FD" w:rsidRPr="002E0D8A">
        <w:rPr>
          <w:color w:val="000000"/>
          <w:lang w:val="en-AU" w:eastAsia="en-CA"/>
        </w:rPr>
        <w:t xml:space="preserve"> Mekong Water Team).</w:t>
      </w:r>
    </w:p>
    <w:p w14:paraId="5FDF373F" w14:textId="13B55173" w:rsidR="00E40FA4" w:rsidRPr="002E0D8A" w:rsidRDefault="00E40FA4" w:rsidP="00715AC7">
      <w:pPr>
        <w:pStyle w:val="BodyText"/>
        <w:rPr>
          <w:rFonts w:cstheme="minorHAnsi"/>
          <w:lang w:val="en-AU"/>
        </w:rPr>
      </w:pPr>
      <w:r w:rsidRPr="002E0D8A">
        <w:rPr>
          <w:rFonts w:cstheme="minorHAnsi"/>
          <w:lang w:val="en-AU"/>
        </w:rPr>
        <w:t>Tacit knowledge, the informal knowledge about how and why things work, is an essential part of an organi</w:t>
      </w:r>
      <w:r w:rsidR="00340706">
        <w:rPr>
          <w:rFonts w:cstheme="minorHAnsi"/>
          <w:lang w:val="en-AU"/>
        </w:rPr>
        <w:t>s</w:t>
      </w:r>
      <w:r w:rsidRPr="002E0D8A">
        <w:rPr>
          <w:rFonts w:cstheme="minorHAnsi"/>
          <w:lang w:val="en-AU"/>
        </w:rPr>
        <w:t xml:space="preserve">ation’s capacity and its ability to stay relevant under changing circumstances. Learning-by-doing, supported by regular reflection based on a </w:t>
      </w:r>
      <w:r w:rsidR="00CF04FD" w:rsidRPr="002E0D8A">
        <w:rPr>
          <w:rFonts w:cstheme="minorHAnsi"/>
          <w:lang w:val="en-AU"/>
        </w:rPr>
        <w:t>well-</w:t>
      </w:r>
      <w:r w:rsidR="00B01234" w:rsidRPr="002E0D8A">
        <w:rPr>
          <w:rFonts w:cstheme="minorHAnsi"/>
          <w:lang w:val="en-AU"/>
        </w:rPr>
        <w:t xml:space="preserve">developed </w:t>
      </w:r>
      <w:r w:rsidRPr="002E0D8A">
        <w:rPr>
          <w:rFonts w:cstheme="minorHAnsi"/>
          <w:lang w:val="en-AU"/>
        </w:rPr>
        <w:t>ToC</w:t>
      </w:r>
      <w:r w:rsidR="00B01234" w:rsidRPr="002E0D8A">
        <w:rPr>
          <w:rFonts w:cstheme="minorHAnsi"/>
          <w:lang w:val="en-AU"/>
        </w:rPr>
        <w:t xml:space="preserve"> with clearly spelled-out assumptions</w:t>
      </w:r>
      <w:r w:rsidRPr="002E0D8A">
        <w:rPr>
          <w:rFonts w:cstheme="minorHAnsi"/>
          <w:lang w:val="en-AU"/>
        </w:rPr>
        <w:t>, helps to systemati</w:t>
      </w:r>
      <w:r w:rsidR="00340706">
        <w:rPr>
          <w:rFonts w:cstheme="minorHAnsi"/>
          <w:lang w:val="en-AU"/>
        </w:rPr>
        <w:t>s</w:t>
      </w:r>
      <w:r w:rsidRPr="002E0D8A">
        <w:rPr>
          <w:rFonts w:cstheme="minorHAnsi"/>
          <w:lang w:val="en-AU"/>
        </w:rPr>
        <w:t>e this knowledge and make it available for broader application.</w:t>
      </w:r>
    </w:p>
    <w:p w14:paraId="2B3415D5" w14:textId="5D96B041" w:rsidR="00B01234" w:rsidRPr="002E0D8A" w:rsidRDefault="00B01234" w:rsidP="00715AC7">
      <w:pPr>
        <w:pStyle w:val="BodyText"/>
        <w:rPr>
          <w:rFonts w:cstheme="minorHAnsi"/>
          <w:lang w:val="en-AU"/>
        </w:rPr>
      </w:pPr>
      <w:r w:rsidRPr="002E0D8A">
        <w:rPr>
          <w:rFonts w:cstheme="minorHAnsi"/>
          <w:lang w:val="en-AU"/>
        </w:rPr>
        <w:lastRenderedPageBreak/>
        <w:t>Without a common agreement on policy objectives and clear policy targets, it is difficult to have meaningful policy outcome evaluation at both pillar and overall programme levels. Some more thought needs to be given to improving M&amp;E approaches in this regard</w:t>
      </w:r>
      <w:r w:rsidR="00D41FCB" w:rsidRPr="002E0D8A">
        <w:rPr>
          <w:rFonts w:cstheme="minorHAnsi"/>
          <w:lang w:val="en-AU"/>
        </w:rPr>
        <w:t>.</w:t>
      </w:r>
    </w:p>
    <w:p w14:paraId="11574EF2" w14:textId="6C701A50" w:rsidR="00E40FA4" w:rsidRPr="002E0D8A" w:rsidRDefault="00E40FA4" w:rsidP="00715AC7">
      <w:pPr>
        <w:pStyle w:val="BodyText"/>
        <w:rPr>
          <w:rFonts w:cstheme="minorHAnsi"/>
          <w:lang w:val="en-AU"/>
        </w:rPr>
      </w:pPr>
      <w:r w:rsidRPr="002E0D8A">
        <w:rPr>
          <w:rFonts w:cstheme="minorHAnsi"/>
          <w:lang w:val="en-AU"/>
        </w:rPr>
        <w:t xml:space="preserve">There is an obvious need for a better and sound monitoring and evaluation for learning. It requires that all </w:t>
      </w:r>
      <w:r w:rsidR="00D35E6C" w:rsidRPr="002E0D8A">
        <w:rPr>
          <w:rFonts w:cstheme="minorHAnsi"/>
          <w:lang w:val="en-AU"/>
        </w:rPr>
        <w:t>i</w:t>
      </w:r>
      <w:r w:rsidRPr="002E0D8A">
        <w:rPr>
          <w:rFonts w:cstheme="minorHAnsi"/>
          <w:lang w:val="en-AU"/>
        </w:rPr>
        <w:t>mplementing partners take their own M&amp;E system more seriously and consider accountability, both downward to their constituency and upward to their donor, as a critical element of their own good governance. They need to adjust their reporting requirements accordingly focusing more on outputs, outcomes and impact, rather than on controlling inputs or activities.</w:t>
      </w:r>
    </w:p>
    <w:p w14:paraId="71026D2A" w14:textId="01CE55E0" w:rsidR="002C7E51" w:rsidRPr="002E0D8A" w:rsidRDefault="002C7E51" w:rsidP="00715AC7">
      <w:pPr>
        <w:pStyle w:val="BodyText"/>
        <w:rPr>
          <w:rFonts w:cstheme="minorHAnsi"/>
          <w:lang w:val="en-AU"/>
        </w:rPr>
      </w:pPr>
      <w:r w:rsidRPr="002E0D8A">
        <w:rPr>
          <w:rFonts w:cstheme="minorHAnsi"/>
          <w:lang w:val="en-AU"/>
        </w:rPr>
        <w:t xml:space="preserve">Moreover, the policy dialogue </w:t>
      </w:r>
      <w:r w:rsidR="000809CC" w:rsidRPr="002E0D8A">
        <w:rPr>
          <w:rFonts w:cstheme="minorHAnsi"/>
          <w:lang w:val="en-AU"/>
        </w:rPr>
        <w:t xml:space="preserve">works </w:t>
      </w:r>
      <w:r w:rsidRPr="002E0D8A">
        <w:rPr>
          <w:rFonts w:cstheme="minorHAnsi"/>
          <w:lang w:val="en-AU"/>
        </w:rPr>
        <w:t xml:space="preserve">must clearly deliver a result such as </w:t>
      </w:r>
      <w:r w:rsidR="000809CC" w:rsidRPr="002E0D8A">
        <w:rPr>
          <w:rFonts w:cstheme="minorHAnsi"/>
          <w:lang w:val="en-AU"/>
        </w:rPr>
        <w:t xml:space="preserve">placing </w:t>
      </w:r>
      <w:r w:rsidRPr="002E0D8A">
        <w:rPr>
          <w:rFonts w:cstheme="minorHAnsi"/>
          <w:lang w:val="en-AU"/>
        </w:rPr>
        <w:t>key policy issues on the agenda</w:t>
      </w:r>
      <w:r w:rsidR="000809CC" w:rsidRPr="002E0D8A">
        <w:rPr>
          <w:rFonts w:cstheme="minorHAnsi"/>
          <w:lang w:val="en-AU"/>
        </w:rPr>
        <w:t xml:space="preserve"> </w:t>
      </w:r>
      <w:r w:rsidRPr="002E0D8A">
        <w:rPr>
          <w:rFonts w:cstheme="minorHAnsi"/>
          <w:lang w:val="en-AU"/>
        </w:rPr>
        <w:t xml:space="preserve">yield tangible change such as attitudinal, discursive commitment, procedural change, policy content, and </w:t>
      </w:r>
      <w:r w:rsidR="008D6975" w:rsidRPr="002E0D8A">
        <w:rPr>
          <w:rFonts w:cstheme="minorHAnsi"/>
          <w:lang w:val="en-AU"/>
        </w:rPr>
        <w:t>behaviour</w:t>
      </w:r>
      <w:r w:rsidRPr="002E0D8A">
        <w:rPr>
          <w:rFonts w:cstheme="minorHAnsi"/>
          <w:lang w:val="en-AU"/>
        </w:rPr>
        <w:t xml:space="preserve"> change for the </w:t>
      </w:r>
      <w:r w:rsidR="000809CC" w:rsidRPr="002E0D8A">
        <w:rPr>
          <w:rFonts w:cstheme="minorHAnsi"/>
          <w:lang w:val="en-AU"/>
        </w:rPr>
        <w:t>good-faith engagement and</w:t>
      </w:r>
      <w:r w:rsidRPr="002E0D8A">
        <w:rPr>
          <w:rFonts w:cstheme="minorHAnsi"/>
          <w:lang w:val="en-AU"/>
        </w:rPr>
        <w:t xml:space="preserve"> deliberation, polic</w:t>
      </w:r>
      <w:r w:rsidR="000809CC" w:rsidRPr="002E0D8A">
        <w:rPr>
          <w:rFonts w:cstheme="minorHAnsi"/>
          <w:lang w:val="en-AU"/>
        </w:rPr>
        <w:t>y changes and</w:t>
      </w:r>
      <w:r w:rsidRPr="002E0D8A">
        <w:rPr>
          <w:rFonts w:cstheme="minorHAnsi"/>
          <w:lang w:val="en-AU"/>
        </w:rPr>
        <w:t xml:space="preserve"> improv</w:t>
      </w:r>
      <w:r w:rsidR="000809CC" w:rsidRPr="002E0D8A">
        <w:rPr>
          <w:rFonts w:cstheme="minorHAnsi"/>
          <w:lang w:val="en-AU"/>
        </w:rPr>
        <w:t xml:space="preserve">ement in </w:t>
      </w:r>
      <w:r w:rsidRPr="002E0D8A">
        <w:rPr>
          <w:rFonts w:cstheme="minorHAnsi"/>
          <w:lang w:val="en-AU"/>
        </w:rPr>
        <w:t xml:space="preserve">the </w:t>
      </w:r>
      <w:r w:rsidR="000809CC" w:rsidRPr="002E0D8A">
        <w:rPr>
          <w:rFonts w:cstheme="minorHAnsi"/>
          <w:lang w:val="en-AU"/>
        </w:rPr>
        <w:t>law, policy, strategy or program</w:t>
      </w:r>
      <w:r w:rsidR="008D6975">
        <w:rPr>
          <w:rFonts w:cstheme="minorHAnsi"/>
          <w:lang w:val="en-AU"/>
        </w:rPr>
        <w:t>me</w:t>
      </w:r>
      <w:r w:rsidR="000809CC" w:rsidRPr="002E0D8A">
        <w:rPr>
          <w:rFonts w:cstheme="minorHAnsi"/>
          <w:lang w:val="en-AU"/>
        </w:rPr>
        <w:t xml:space="preserve"> </w:t>
      </w:r>
      <w:r w:rsidRPr="002E0D8A">
        <w:rPr>
          <w:rFonts w:cstheme="minorHAnsi"/>
          <w:lang w:val="en-AU"/>
        </w:rPr>
        <w:t xml:space="preserve">implementation; and </w:t>
      </w:r>
      <w:r w:rsidR="000809CC" w:rsidRPr="002E0D8A">
        <w:rPr>
          <w:rFonts w:cstheme="minorHAnsi"/>
          <w:lang w:val="en-AU"/>
        </w:rPr>
        <w:t xml:space="preserve">evidenced of </w:t>
      </w:r>
      <w:r w:rsidRPr="002E0D8A">
        <w:rPr>
          <w:rFonts w:cstheme="minorHAnsi"/>
          <w:lang w:val="en-AU"/>
        </w:rPr>
        <w:t>fair</w:t>
      </w:r>
      <w:r w:rsidR="000809CC" w:rsidRPr="002E0D8A">
        <w:rPr>
          <w:rFonts w:cstheme="minorHAnsi"/>
          <w:lang w:val="en-AU"/>
        </w:rPr>
        <w:t>er</w:t>
      </w:r>
      <w:r w:rsidRPr="002E0D8A">
        <w:rPr>
          <w:rFonts w:cstheme="minorHAnsi"/>
          <w:lang w:val="en-AU"/>
        </w:rPr>
        <w:t xml:space="preserve"> and </w:t>
      </w:r>
      <w:r w:rsidR="000809CC" w:rsidRPr="002E0D8A">
        <w:rPr>
          <w:rFonts w:cstheme="minorHAnsi"/>
          <w:lang w:val="en-AU"/>
        </w:rPr>
        <w:t xml:space="preserve">more </w:t>
      </w:r>
      <w:r w:rsidRPr="002E0D8A">
        <w:rPr>
          <w:rFonts w:cstheme="minorHAnsi"/>
          <w:lang w:val="en-AU"/>
        </w:rPr>
        <w:t>effective water governance. For example, the policy dialogue around the PNPCA process should lead to a much improved and inclusive PNPCA that clearly leads sustainable development outcomes</w:t>
      </w:r>
      <w:r w:rsidR="00715AC7">
        <w:rPr>
          <w:rFonts w:cstheme="minorHAnsi"/>
          <w:lang w:val="en-AU"/>
        </w:rPr>
        <w:t>.</w:t>
      </w:r>
    </w:p>
    <w:p w14:paraId="5D7C5255" w14:textId="0E38A8E3" w:rsidR="00E40FA4" w:rsidRPr="002E0D8A" w:rsidRDefault="0021245F" w:rsidP="00EA3C9F">
      <w:pPr>
        <w:pStyle w:val="Heading3"/>
        <w:tabs>
          <w:tab w:val="num" w:pos="851"/>
        </w:tabs>
        <w:spacing w:before="120"/>
        <w:ind w:left="851"/>
        <w:rPr>
          <w:lang w:val="en-AU" w:eastAsia="en-CA"/>
        </w:rPr>
      </w:pPr>
      <w:bookmarkStart w:id="53" w:name="_Toc470715876"/>
      <w:bookmarkStart w:id="54" w:name="_Toc475358479"/>
      <w:r>
        <w:rPr>
          <w:lang w:val="en-AU" w:eastAsia="en-CA"/>
        </w:rPr>
        <w:t>Comparative a</w:t>
      </w:r>
      <w:r w:rsidR="00E40FA4" w:rsidRPr="002E0D8A">
        <w:rPr>
          <w:lang w:val="en-AU" w:eastAsia="en-CA"/>
        </w:rPr>
        <w:t>dvantage</w:t>
      </w:r>
      <w:bookmarkEnd w:id="53"/>
      <w:r w:rsidR="00D35E6C" w:rsidRPr="002E0D8A">
        <w:rPr>
          <w:lang w:val="en-AU" w:eastAsia="en-CA"/>
        </w:rPr>
        <w:t>s</w:t>
      </w:r>
      <w:bookmarkEnd w:id="54"/>
    </w:p>
    <w:p w14:paraId="198D7DC3" w14:textId="02433F89" w:rsidR="00D41FCB" w:rsidRPr="002E0D8A" w:rsidRDefault="00E40FA4" w:rsidP="00E06D17">
      <w:pPr>
        <w:shd w:val="clear" w:color="auto" w:fill="FFFFFF"/>
        <w:spacing w:after="0"/>
        <w:rPr>
          <w:rFonts w:asciiTheme="minorHAnsi" w:hAnsiTheme="minorHAnsi" w:cs="Segoe UI"/>
          <w:color w:val="000000"/>
          <w:kern w:val="0"/>
          <w:szCs w:val="22"/>
          <w:lang w:val="en-AU" w:eastAsia="en-CA"/>
        </w:rPr>
      </w:pPr>
      <w:r w:rsidRPr="002E0D8A">
        <w:rPr>
          <w:rFonts w:asciiTheme="minorHAnsi" w:hAnsiTheme="minorHAnsi" w:cs="Segoe UI"/>
          <w:color w:val="000000"/>
          <w:kern w:val="0"/>
          <w:szCs w:val="22"/>
          <w:lang w:val="en-AU" w:eastAsia="en-CA"/>
        </w:rPr>
        <w:t>DFAT has had</w:t>
      </w:r>
      <w:r w:rsidR="00D45028" w:rsidRPr="002E0D8A">
        <w:rPr>
          <w:rFonts w:asciiTheme="minorHAnsi" w:hAnsiTheme="minorHAnsi" w:cs="Segoe UI"/>
          <w:color w:val="000000"/>
          <w:kern w:val="0"/>
          <w:szCs w:val="22"/>
          <w:lang w:val="en-AU" w:eastAsia="en-CA"/>
        </w:rPr>
        <w:t xml:space="preserve"> its Greater Mekong </w:t>
      </w:r>
      <w:r w:rsidR="00715AC7">
        <w:rPr>
          <w:rFonts w:asciiTheme="minorHAnsi" w:hAnsiTheme="minorHAnsi" w:cs="Segoe UI"/>
          <w:color w:val="000000"/>
          <w:kern w:val="0"/>
          <w:szCs w:val="22"/>
          <w:lang w:val="en-AU" w:eastAsia="en-CA"/>
        </w:rPr>
        <w:t xml:space="preserve">Water Resources </w:t>
      </w:r>
      <w:r w:rsidR="00D45028" w:rsidRPr="002E0D8A">
        <w:rPr>
          <w:rFonts w:asciiTheme="minorHAnsi" w:hAnsiTheme="minorHAnsi" w:cs="Segoe UI"/>
          <w:color w:val="000000"/>
          <w:kern w:val="0"/>
          <w:szCs w:val="22"/>
          <w:lang w:val="en-AU" w:eastAsia="en-CA"/>
        </w:rPr>
        <w:t>Program</w:t>
      </w:r>
      <w:r w:rsidRPr="002E0D8A">
        <w:rPr>
          <w:rFonts w:asciiTheme="minorHAnsi" w:hAnsiTheme="minorHAnsi" w:cs="Segoe UI"/>
          <w:color w:val="000000"/>
          <w:kern w:val="0"/>
          <w:szCs w:val="22"/>
          <w:lang w:val="en-AU" w:eastAsia="en-CA"/>
        </w:rPr>
        <w:t xml:space="preserve"> for a decade. </w:t>
      </w:r>
      <w:r w:rsidR="00D41FCB" w:rsidRPr="002E0D8A">
        <w:rPr>
          <w:rFonts w:asciiTheme="minorHAnsi" w:hAnsiTheme="minorHAnsi" w:cs="Segoe UI"/>
          <w:color w:val="000000"/>
          <w:kern w:val="0"/>
          <w:szCs w:val="22"/>
          <w:lang w:val="en-AU" w:eastAsia="en-CA"/>
        </w:rPr>
        <w:t xml:space="preserve">Persistence and consistency are two of its </w:t>
      </w:r>
      <w:r w:rsidRPr="002E0D8A">
        <w:rPr>
          <w:rFonts w:asciiTheme="minorHAnsi" w:hAnsiTheme="minorHAnsi" w:cs="Segoe UI"/>
          <w:color w:val="000000"/>
          <w:kern w:val="0"/>
          <w:szCs w:val="22"/>
          <w:lang w:val="en-AU" w:eastAsia="en-CA"/>
        </w:rPr>
        <w:t xml:space="preserve">biggest comparative advantages. DFAT and USAID are currently seen as two major DPs focusing on policy dialogue for fairer water governance. DFAT is, however, considered to be more coherent in its approach to policy influencing, lobbying and other forms. </w:t>
      </w:r>
      <w:r w:rsidR="00D41FCB" w:rsidRPr="002E0D8A">
        <w:rPr>
          <w:rFonts w:asciiTheme="minorHAnsi" w:hAnsiTheme="minorHAnsi" w:cs="Segoe UI"/>
          <w:color w:val="000000"/>
          <w:kern w:val="0"/>
          <w:szCs w:val="22"/>
          <w:lang w:val="en-AU" w:eastAsia="en-CA"/>
        </w:rPr>
        <w:t>DFAT has both bilateral as well as regional relationships with the countries. Bilateral MoUs with all countries make engagement in tricky transboundary issues relatively easier for Australia, because DFAT is already recognised as a bilateral partner in each country.</w:t>
      </w:r>
      <w:r w:rsidR="003C549F" w:rsidRPr="002E0D8A">
        <w:rPr>
          <w:rFonts w:asciiTheme="minorHAnsi" w:hAnsiTheme="minorHAnsi" w:cs="Segoe UI"/>
          <w:color w:val="000000"/>
          <w:kern w:val="0"/>
          <w:szCs w:val="22"/>
          <w:lang w:val="en-AU" w:eastAsia="en-CA"/>
        </w:rPr>
        <w:t xml:space="preserve"> In addition, Australia is </w:t>
      </w:r>
      <w:r w:rsidR="003C549F" w:rsidRPr="002E0D8A">
        <w:rPr>
          <w:rFonts w:asciiTheme="minorHAnsi" w:hAnsiTheme="minorHAnsi"/>
          <w:lang w:val="en-AU"/>
        </w:rPr>
        <w:t>r</w:t>
      </w:r>
      <w:r w:rsidR="00D41FCB" w:rsidRPr="002E0D8A">
        <w:rPr>
          <w:rFonts w:asciiTheme="minorHAnsi" w:hAnsiTheme="minorHAnsi"/>
          <w:lang w:val="en-AU"/>
        </w:rPr>
        <w:t xml:space="preserve">ecognised as having something to offer in </w:t>
      </w:r>
      <w:r w:rsidR="003C549F" w:rsidRPr="002E0D8A">
        <w:rPr>
          <w:rFonts w:asciiTheme="minorHAnsi" w:hAnsiTheme="minorHAnsi"/>
          <w:lang w:val="en-AU"/>
        </w:rPr>
        <w:t xml:space="preserve">the area of </w:t>
      </w:r>
      <w:r w:rsidR="00D41FCB" w:rsidRPr="002E0D8A">
        <w:rPr>
          <w:rFonts w:asciiTheme="minorHAnsi" w:hAnsiTheme="minorHAnsi"/>
          <w:lang w:val="en-AU"/>
        </w:rPr>
        <w:t>water-food-energy-environmental security, and water resources management and governance.</w:t>
      </w:r>
    </w:p>
    <w:p w14:paraId="6C256134" w14:textId="154B086D" w:rsidR="00E40FA4" w:rsidRPr="002E0D8A" w:rsidRDefault="00E40FA4" w:rsidP="00BB4F7E">
      <w:pPr>
        <w:pStyle w:val="Heading2"/>
        <w:tabs>
          <w:tab w:val="clear" w:pos="401"/>
          <w:tab w:val="num" w:pos="851"/>
        </w:tabs>
        <w:spacing w:after="120"/>
        <w:ind w:left="851"/>
        <w:rPr>
          <w:lang w:val="en-AU"/>
        </w:rPr>
      </w:pPr>
      <w:bookmarkStart w:id="55" w:name="_Toc470715877"/>
      <w:bookmarkStart w:id="56" w:name="_Toc475358480"/>
      <w:r w:rsidRPr="002E0D8A">
        <w:rPr>
          <w:lang w:val="en-AU"/>
        </w:rPr>
        <w:t>innovations that could be incorporated</w:t>
      </w:r>
      <w:bookmarkEnd w:id="55"/>
      <w:bookmarkEnd w:id="56"/>
    </w:p>
    <w:p w14:paraId="710EF788" w14:textId="4B3A43E2" w:rsidR="00E40FA4" w:rsidRPr="002E0D8A" w:rsidRDefault="0049563C" w:rsidP="00E40FA4">
      <w:pPr>
        <w:pStyle w:val="Heading3"/>
        <w:tabs>
          <w:tab w:val="num" w:pos="851"/>
        </w:tabs>
        <w:ind w:left="851"/>
        <w:rPr>
          <w:lang w:val="en-AU"/>
        </w:rPr>
      </w:pPr>
      <w:bookmarkStart w:id="57" w:name="_Toc470715878"/>
      <w:bookmarkStart w:id="58" w:name="_Toc475358481"/>
      <w:r>
        <w:rPr>
          <w:lang w:val="en-AU"/>
        </w:rPr>
        <w:t>J</w:t>
      </w:r>
      <w:r w:rsidR="00E40FA4" w:rsidRPr="002E0D8A">
        <w:rPr>
          <w:lang w:val="en-AU"/>
        </w:rPr>
        <w:t>oint c</w:t>
      </w:r>
      <w:r w:rsidR="00CF04FD" w:rsidRPr="002E0D8A">
        <w:rPr>
          <w:lang w:val="en-AU"/>
        </w:rPr>
        <w:t>ommunications products</w:t>
      </w:r>
      <w:bookmarkEnd w:id="57"/>
      <w:bookmarkEnd w:id="58"/>
    </w:p>
    <w:p w14:paraId="663B0F1F" w14:textId="0A5E3D3D" w:rsidR="00E40FA4" w:rsidRPr="002E0D8A" w:rsidRDefault="00E40FA4" w:rsidP="00715AC7">
      <w:pPr>
        <w:pStyle w:val="BodyText"/>
        <w:rPr>
          <w:lang w:val="en-AU"/>
        </w:rPr>
      </w:pPr>
      <w:r w:rsidRPr="002E0D8A">
        <w:rPr>
          <w:lang w:val="en-AU"/>
        </w:rPr>
        <w:t>On the one hand, GMWRP is lacking in whole-of-</w:t>
      </w:r>
      <w:r w:rsidR="00F14BDF" w:rsidRPr="002E0D8A">
        <w:rPr>
          <w:lang w:val="en-AU"/>
        </w:rPr>
        <w:t>program</w:t>
      </w:r>
      <w:r w:rsidRPr="002E0D8A">
        <w:rPr>
          <w:lang w:val="en-AU"/>
        </w:rPr>
        <w:t xml:space="preserve"> communications materials, and is not as well known in its entirety as its component parts are. At the same time, it is seemingly quite difficult to generate regular collaboration between the different pillars. </w:t>
      </w:r>
    </w:p>
    <w:p w14:paraId="02BFF5B4" w14:textId="54AFEADA" w:rsidR="00E40FA4" w:rsidRPr="002E0D8A" w:rsidRDefault="00E40FA4" w:rsidP="00715AC7">
      <w:pPr>
        <w:pStyle w:val="BodyText"/>
        <w:rPr>
          <w:lang w:val="en-AU"/>
        </w:rPr>
      </w:pPr>
      <w:r w:rsidRPr="002E0D8A">
        <w:rPr>
          <w:lang w:val="en-AU"/>
        </w:rPr>
        <w:t xml:space="preserve">In this regard, one area of “low hanging fruit” may be to get all four pillars to work together with the DFAT team to develop some GMWRP </w:t>
      </w:r>
      <w:r w:rsidR="00F14BDF" w:rsidRPr="002E0D8A">
        <w:rPr>
          <w:lang w:val="en-AU"/>
        </w:rPr>
        <w:t>program</w:t>
      </w:r>
      <w:r w:rsidRPr="002E0D8A">
        <w:rPr>
          <w:lang w:val="en-AU"/>
        </w:rPr>
        <w:t xml:space="preserve">-level communications products. These would be useful for raising the profile of the </w:t>
      </w:r>
      <w:r w:rsidR="00F14BDF" w:rsidRPr="002E0D8A">
        <w:rPr>
          <w:lang w:val="en-AU"/>
        </w:rPr>
        <w:t>program</w:t>
      </w:r>
      <w:r w:rsidRPr="002E0D8A">
        <w:rPr>
          <w:lang w:val="en-AU"/>
        </w:rPr>
        <w:t xml:space="preserve"> as a whole, as well as communicating some of the key </w:t>
      </w:r>
      <w:r w:rsidR="00F14BDF" w:rsidRPr="002E0D8A">
        <w:rPr>
          <w:lang w:val="en-AU"/>
        </w:rPr>
        <w:t>program</w:t>
      </w:r>
      <w:r w:rsidRPr="002E0D8A">
        <w:rPr>
          <w:lang w:val="en-AU"/>
        </w:rPr>
        <w:t xml:space="preserve"> level messages on water governance to specific target audiences. The actual process of developing these common messages, with the knowledge that they will enter the public domain jointly branded as coming from all the pillar lead organisations and DFAT together, would almost certainly create some interesting discussions and debates between the pillars, and help them to identify areas of agreement and common interest (rather than focusing on their differences). This could be a starting point to generate further collaboration.</w:t>
      </w:r>
    </w:p>
    <w:p w14:paraId="19419AEA" w14:textId="42ED3C36" w:rsidR="00E40FA4" w:rsidRPr="002E0D8A" w:rsidRDefault="00E40FA4" w:rsidP="00E40FA4">
      <w:pPr>
        <w:pStyle w:val="Heading3"/>
        <w:tabs>
          <w:tab w:val="num" w:pos="851"/>
        </w:tabs>
        <w:ind w:left="851"/>
        <w:rPr>
          <w:lang w:val="en-AU" w:bidi="th-TH"/>
        </w:rPr>
      </w:pPr>
      <w:bookmarkStart w:id="59" w:name="_Toc470715879"/>
      <w:bookmarkStart w:id="60" w:name="_Toc475358482"/>
      <w:r w:rsidRPr="002E0D8A">
        <w:rPr>
          <w:lang w:val="en-AU" w:bidi="th-TH"/>
        </w:rPr>
        <w:t>Organising</w:t>
      </w:r>
      <w:r w:rsidR="00CF04FD" w:rsidRPr="002E0D8A">
        <w:rPr>
          <w:lang w:val="en-AU" w:bidi="th-TH"/>
        </w:rPr>
        <w:t xml:space="preserve"> </w:t>
      </w:r>
      <w:r w:rsidR="0021245F">
        <w:rPr>
          <w:lang w:val="en-AU" w:bidi="th-TH"/>
        </w:rPr>
        <w:t xml:space="preserve">more </w:t>
      </w:r>
      <w:r w:rsidRPr="002E0D8A">
        <w:rPr>
          <w:lang w:val="en-AU" w:bidi="th-TH"/>
        </w:rPr>
        <w:t>focused dialogue processes</w:t>
      </w:r>
      <w:bookmarkEnd w:id="59"/>
      <w:bookmarkEnd w:id="60"/>
    </w:p>
    <w:p w14:paraId="04E0B00C" w14:textId="77777777" w:rsidR="00E40FA4" w:rsidRPr="002E0D8A" w:rsidRDefault="00E40FA4" w:rsidP="00715AC7">
      <w:pPr>
        <w:pStyle w:val="BodyText"/>
        <w:rPr>
          <w:rFonts w:cs="OTS-derived-font"/>
          <w:lang w:val="en-AU"/>
        </w:rPr>
      </w:pPr>
      <w:r w:rsidRPr="002E0D8A">
        <w:rPr>
          <w:lang w:val="en-AU"/>
        </w:rPr>
        <w:t>To date, GMWRP has made limited use of formal dialogue processes. Dialogue can be enlightening, challenging and even threatening. </w:t>
      </w:r>
      <w:r w:rsidRPr="002E0D8A">
        <w:rPr>
          <w:rFonts w:cs="OTS-derived-font"/>
          <w:lang w:val="en-AU"/>
        </w:rPr>
        <w:t>The primary purpose is for each person to learn from the other so that each can change and grow. The contribution of dialogue processes to capacity development can be considered in a number of ways:</w:t>
      </w:r>
    </w:p>
    <w:p w14:paraId="3ACE66D8" w14:textId="71BCF8C3" w:rsidR="00E40FA4" w:rsidRPr="002E0D8A" w:rsidRDefault="00E40FA4" w:rsidP="009228CA">
      <w:pPr>
        <w:pStyle w:val="BodyText"/>
        <w:numPr>
          <w:ilvl w:val="0"/>
          <w:numId w:val="37"/>
        </w:numPr>
        <w:rPr>
          <w:rFonts w:cs="OTS-derived-font"/>
          <w:lang w:val="en-AU"/>
        </w:rPr>
      </w:pPr>
      <w:r w:rsidRPr="002E0D8A">
        <w:rPr>
          <w:rFonts w:cs="OTS-derived-font"/>
          <w:lang w:val="en-AU"/>
        </w:rPr>
        <w:t>What new information, knowledge, perspective or understanding each participant acquired, based on his/her participation</w:t>
      </w:r>
      <w:r w:rsidR="003B2C24">
        <w:rPr>
          <w:rFonts w:cs="OTS-derived-font"/>
          <w:lang w:val="en-AU"/>
        </w:rPr>
        <w:t>.</w:t>
      </w:r>
    </w:p>
    <w:p w14:paraId="1B4C45F0" w14:textId="77777777" w:rsidR="00E40FA4" w:rsidRPr="002E0D8A" w:rsidRDefault="00E40FA4" w:rsidP="009228CA">
      <w:pPr>
        <w:pStyle w:val="BodyText"/>
        <w:numPr>
          <w:ilvl w:val="0"/>
          <w:numId w:val="37"/>
        </w:numPr>
        <w:rPr>
          <w:rFonts w:cs="OTS-derived-font"/>
          <w:lang w:val="en-AU"/>
        </w:rPr>
      </w:pPr>
      <w:r w:rsidRPr="002E0D8A">
        <w:rPr>
          <w:rFonts w:cs="OTS-derived-font"/>
          <w:lang w:val="en-AU"/>
        </w:rPr>
        <w:t xml:space="preserve">How the participant shared and communicated the above with colleagues in his/her workplace after returning from the dialogue? </w:t>
      </w:r>
    </w:p>
    <w:p w14:paraId="5823B704" w14:textId="48FE7C6D" w:rsidR="00E40FA4" w:rsidRPr="002E0D8A" w:rsidRDefault="00E40FA4" w:rsidP="009228CA">
      <w:pPr>
        <w:pStyle w:val="BodyText"/>
        <w:numPr>
          <w:ilvl w:val="0"/>
          <w:numId w:val="37"/>
        </w:numPr>
        <w:rPr>
          <w:rFonts w:cs="OTS-derived-font"/>
          <w:lang w:val="en-AU"/>
        </w:rPr>
      </w:pPr>
      <w:r w:rsidRPr="002E0D8A">
        <w:rPr>
          <w:rFonts w:cs="OTS-derived-font"/>
          <w:lang w:val="en-AU"/>
        </w:rPr>
        <w:lastRenderedPageBreak/>
        <w:t>What the participant is doing differently as a result of his/her participation in the dialogue</w:t>
      </w:r>
      <w:r w:rsidR="003B2C24">
        <w:rPr>
          <w:rFonts w:cs="OTS-derived-font"/>
          <w:lang w:val="en-AU"/>
        </w:rPr>
        <w:t>.</w:t>
      </w:r>
    </w:p>
    <w:p w14:paraId="6D310272" w14:textId="77777777" w:rsidR="00E40FA4" w:rsidRPr="002E0D8A" w:rsidRDefault="00E40FA4" w:rsidP="009228CA">
      <w:pPr>
        <w:pStyle w:val="BodyText"/>
        <w:numPr>
          <w:ilvl w:val="0"/>
          <w:numId w:val="37"/>
        </w:numPr>
        <w:rPr>
          <w:rFonts w:cs="OTS-derived-font"/>
          <w:lang w:val="en-AU"/>
        </w:rPr>
      </w:pPr>
      <w:r w:rsidRPr="002E0D8A">
        <w:rPr>
          <w:rFonts w:cs="OTS-derived-font"/>
          <w:lang w:val="en-AU"/>
        </w:rPr>
        <w:t>How many and what types of contacts and interactions has the participant had with other participants in the 3-6 months after the dialogue, that he/she would not otherwise have engaged in?</w:t>
      </w:r>
    </w:p>
    <w:p w14:paraId="0C37C222" w14:textId="66D5B7A9" w:rsidR="00E40FA4" w:rsidRPr="002E0D8A" w:rsidRDefault="00E40FA4" w:rsidP="00715AC7">
      <w:pPr>
        <w:pStyle w:val="BodyText"/>
        <w:rPr>
          <w:lang w:val="en-AU"/>
        </w:rPr>
      </w:pPr>
      <w:r w:rsidRPr="002E0D8A">
        <w:rPr>
          <w:lang w:val="en-AU"/>
        </w:rPr>
        <w:t>Beyond capacity development, the main objective of dialogues should be to achieve some policy influence, in a specified area, aroun</w:t>
      </w:r>
      <w:r w:rsidR="00CF04FD" w:rsidRPr="002E0D8A">
        <w:rPr>
          <w:lang w:val="en-AU"/>
        </w:rPr>
        <w:t>d a specific policy issue/need.</w:t>
      </w:r>
    </w:p>
    <w:p w14:paraId="514FBF14" w14:textId="35088F35" w:rsidR="00E40FA4" w:rsidRPr="002E0D8A" w:rsidRDefault="00E40FA4" w:rsidP="006616A2">
      <w:pPr>
        <w:pStyle w:val="Heading2"/>
        <w:tabs>
          <w:tab w:val="clear" w:pos="401"/>
          <w:tab w:val="num" w:pos="851"/>
        </w:tabs>
        <w:spacing w:after="120"/>
        <w:ind w:left="851"/>
        <w:rPr>
          <w:lang w:val="en-AU"/>
        </w:rPr>
      </w:pPr>
      <w:bookmarkStart w:id="61" w:name="_Toc470715880"/>
      <w:bookmarkStart w:id="62" w:name="_Toc475358483"/>
      <w:r w:rsidRPr="002E0D8A">
        <w:rPr>
          <w:lang w:val="en-AU"/>
        </w:rPr>
        <w:t>lessons from similar programs</w:t>
      </w:r>
      <w:bookmarkEnd w:id="61"/>
      <w:bookmarkEnd w:id="62"/>
    </w:p>
    <w:p w14:paraId="7B624278" w14:textId="65F83571" w:rsidR="00E40FA4" w:rsidRPr="002E0D8A" w:rsidRDefault="0021245F" w:rsidP="006616A2">
      <w:pPr>
        <w:pStyle w:val="Heading3"/>
        <w:tabs>
          <w:tab w:val="num" w:pos="851"/>
        </w:tabs>
        <w:ind w:left="851"/>
        <w:rPr>
          <w:lang w:val="en-AU"/>
        </w:rPr>
      </w:pPr>
      <w:bookmarkStart w:id="63" w:name="_Toc470715881"/>
      <w:bookmarkStart w:id="64" w:name="_Toc475358484"/>
      <w:r>
        <w:rPr>
          <w:lang w:val="en-AU"/>
        </w:rPr>
        <w:t>Adding</w:t>
      </w:r>
      <w:r w:rsidR="0049563C">
        <w:rPr>
          <w:lang w:val="en-AU"/>
        </w:rPr>
        <w:t xml:space="preserve"> to the IFC </w:t>
      </w:r>
      <w:r w:rsidR="00E40FA4" w:rsidRPr="002E0D8A">
        <w:rPr>
          <w:lang w:val="en-AU"/>
        </w:rPr>
        <w:t>work with hydro</w:t>
      </w:r>
      <w:bookmarkEnd w:id="63"/>
      <w:r w:rsidR="003B2C24">
        <w:rPr>
          <w:lang w:val="en-AU"/>
        </w:rPr>
        <w:t>power</w:t>
      </w:r>
      <w:r w:rsidR="0049563C">
        <w:rPr>
          <w:lang w:val="en-AU"/>
        </w:rPr>
        <w:t xml:space="preserve"> developers</w:t>
      </w:r>
      <w:bookmarkEnd w:id="64"/>
    </w:p>
    <w:p w14:paraId="039CFE7E" w14:textId="77777777" w:rsidR="00E40FA4" w:rsidRPr="002E0D8A" w:rsidRDefault="00E40FA4" w:rsidP="00715AC7">
      <w:pPr>
        <w:pStyle w:val="BodyText"/>
        <w:rPr>
          <w:lang w:val="en-AU"/>
        </w:rPr>
      </w:pPr>
      <w:r w:rsidRPr="002E0D8A">
        <w:rPr>
          <w:lang w:val="en-AU"/>
        </w:rPr>
        <w:t xml:space="preserve">A number of financial institutions that are providing loans to support construction of hydropower dams in Mekong tributaries in Lao PDR are hiring independent third party monitors to follow-up on the effective and timely application of environmental and social safeguard policies and procedures; implementation of resettlement plans including livelihood development of resettled communities; and environmental management plans to mitigate environmental impacts. </w:t>
      </w:r>
    </w:p>
    <w:p w14:paraId="38DBD5DB" w14:textId="77777777" w:rsidR="00E40FA4" w:rsidRPr="002E0D8A" w:rsidRDefault="00E40FA4" w:rsidP="00715AC7">
      <w:pPr>
        <w:pStyle w:val="BodyText"/>
        <w:rPr>
          <w:lang w:val="en-AU"/>
        </w:rPr>
      </w:pPr>
      <w:r w:rsidRPr="002E0D8A">
        <w:rPr>
          <w:lang w:val="en-AU"/>
        </w:rPr>
        <w:t>For the banks, this is a way of managing reputational, political, and economic risk. For the DFAT GMWRP this could clearly be seen as an additional/alternative pathway to “fairer and more effective water governance”, through the application of best practice approaches by both the dam developers and the dam financiers.</w:t>
      </w:r>
    </w:p>
    <w:p w14:paraId="64A8013B" w14:textId="2E433CA3" w:rsidR="00E40FA4" w:rsidRPr="002E0D8A" w:rsidRDefault="00E40FA4" w:rsidP="00715AC7">
      <w:pPr>
        <w:pStyle w:val="BodyText"/>
        <w:rPr>
          <w:iCs/>
          <w:lang w:val="en-AU"/>
        </w:rPr>
      </w:pPr>
      <w:r w:rsidRPr="002E0D8A">
        <w:rPr>
          <w:iCs/>
          <w:lang w:val="en-AU"/>
        </w:rPr>
        <w:t>Building on the IFC work with hydropower developers, DFAT GMWRP could e.g. organi</w:t>
      </w:r>
      <w:r w:rsidR="00340706">
        <w:rPr>
          <w:iCs/>
          <w:lang w:val="en-AU"/>
        </w:rPr>
        <w:t>s</w:t>
      </w:r>
      <w:r w:rsidRPr="002E0D8A">
        <w:rPr>
          <w:iCs/>
          <w:lang w:val="en-AU"/>
        </w:rPr>
        <w:t>e a round table with dam financiers to share experiences in this type of work to date, in order to identify priorities for action moving forwards.</w:t>
      </w:r>
    </w:p>
    <w:p w14:paraId="1C442A00" w14:textId="7C99FCA9" w:rsidR="00E40FA4" w:rsidRPr="002E0D8A" w:rsidRDefault="0049563C" w:rsidP="00BB4F7E">
      <w:pPr>
        <w:pStyle w:val="Heading3"/>
        <w:tabs>
          <w:tab w:val="num" w:pos="851"/>
        </w:tabs>
        <w:ind w:left="851"/>
        <w:rPr>
          <w:lang w:val="en-AU"/>
        </w:rPr>
      </w:pPr>
      <w:bookmarkStart w:id="65" w:name="_Toc470715882"/>
      <w:bookmarkStart w:id="66" w:name="_Toc475358485"/>
      <w:r>
        <w:rPr>
          <w:lang w:val="en-AU"/>
        </w:rPr>
        <w:t>A</w:t>
      </w:r>
      <w:r w:rsidR="0021245F">
        <w:rPr>
          <w:lang w:val="en-AU"/>
        </w:rPr>
        <w:t xml:space="preserve">lternative </w:t>
      </w:r>
      <w:r w:rsidR="00E40FA4" w:rsidRPr="002E0D8A">
        <w:rPr>
          <w:lang w:val="en-AU"/>
        </w:rPr>
        <w:t xml:space="preserve">approaches to </w:t>
      </w:r>
      <w:bookmarkEnd w:id="65"/>
      <w:bookmarkEnd w:id="66"/>
      <w:r w:rsidR="00AB58DA">
        <w:rPr>
          <w:lang w:val="en-AU"/>
        </w:rPr>
        <w:t>Research for Development</w:t>
      </w:r>
    </w:p>
    <w:p w14:paraId="7E0BF53F" w14:textId="462638F4" w:rsidR="00E40FA4" w:rsidRPr="002E0D8A" w:rsidRDefault="00A56021" w:rsidP="00BB4F7E">
      <w:pPr>
        <w:pStyle w:val="Heading4"/>
        <w:tabs>
          <w:tab w:val="clear" w:pos="6611"/>
          <w:tab w:val="num" w:pos="993"/>
        </w:tabs>
        <w:ind w:left="993" w:hanging="993"/>
        <w:rPr>
          <w:rFonts w:cs="Arial"/>
          <w:szCs w:val="22"/>
          <w:lang w:val="en-AU"/>
        </w:rPr>
      </w:pPr>
      <w:r>
        <w:rPr>
          <w:rFonts w:cs="Arial"/>
          <w:szCs w:val="22"/>
          <w:lang w:val="en-AU"/>
        </w:rPr>
        <w:t>SEI/</w:t>
      </w:r>
      <w:r w:rsidR="00E40FA4" w:rsidRPr="002E0D8A">
        <w:rPr>
          <w:rFonts w:cs="Arial"/>
          <w:szCs w:val="22"/>
          <w:lang w:val="en-AU"/>
        </w:rPr>
        <w:t>SUMER</w:t>
      </w:r>
      <w:r w:rsidR="00D45028" w:rsidRPr="002E0D8A">
        <w:rPr>
          <w:rFonts w:cs="Arial"/>
          <w:szCs w:val="22"/>
          <w:lang w:val="en-AU"/>
        </w:rPr>
        <w:t>N</w:t>
      </w:r>
      <w:r w:rsidR="00E40FA4" w:rsidRPr="002E0D8A">
        <w:rPr>
          <w:rFonts w:cs="Arial"/>
          <w:szCs w:val="22"/>
          <w:lang w:val="en-AU"/>
        </w:rPr>
        <w:t>ET</w:t>
      </w:r>
    </w:p>
    <w:p w14:paraId="2BCC7B62" w14:textId="1B289B33" w:rsidR="00E40FA4" w:rsidRPr="002E0D8A" w:rsidRDefault="00E40FA4" w:rsidP="00715AC7">
      <w:pPr>
        <w:pStyle w:val="BodyText"/>
        <w:rPr>
          <w:lang w:val="en-AU"/>
        </w:rPr>
      </w:pPr>
      <w:r w:rsidRPr="002E0D8A">
        <w:rPr>
          <w:lang w:val="en-AU"/>
        </w:rPr>
        <w:t>Since its inception in 2005, Sustainable Mekong Research Network (SUMERNET) has established a successful and expanding regional research network with expertise in several policy areas critical to sustai</w:t>
      </w:r>
      <w:r w:rsidR="00715AC7">
        <w:rPr>
          <w:lang w:val="en-AU"/>
        </w:rPr>
        <w:t xml:space="preserve">nability of the Mekong Region. </w:t>
      </w:r>
      <w:r w:rsidRPr="002E0D8A">
        <w:rPr>
          <w:lang w:val="en-AU"/>
        </w:rPr>
        <w:t xml:space="preserve">SUMERNET aims to inform and influence policy-making in the </w:t>
      </w:r>
      <w:r w:rsidR="00442E42">
        <w:rPr>
          <w:lang w:val="en-AU"/>
        </w:rPr>
        <w:t>Greater Mekong</w:t>
      </w:r>
      <w:r w:rsidRPr="002E0D8A">
        <w:rPr>
          <w:lang w:val="en-AU"/>
        </w:rPr>
        <w:t xml:space="preserve"> towards more socially inclusive and gender-responsive sustainable development. SUMERNET is a collaboration of more than 50 research and policy-making institutions with a strong track record of research that can serve the basis for effective policy on natural resources management. </w:t>
      </w:r>
    </w:p>
    <w:p w14:paraId="53B9566F" w14:textId="79A044D3" w:rsidR="00E40FA4" w:rsidRPr="002E0D8A" w:rsidRDefault="00E40FA4" w:rsidP="00715AC7">
      <w:pPr>
        <w:pStyle w:val="BodyText"/>
        <w:rPr>
          <w:lang w:val="en-AU"/>
        </w:rPr>
      </w:pPr>
      <w:r w:rsidRPr="002E0D8A">
        <w:rPr>
          <w:lang w:val="en-AU"/>
        </w:rPr>
        <w:t>In 2014, SUMERNET launched its Phase 3 to focusing on three research themes:</w:t>
      </w:r>
      <w:r w:rsidR="000C749B" w:rsidRPr="002E0D8A">
        <w:rPr>
          <w:lang w:val="en-AU"/>
        </w:rPr>
        <w:t xml:space="preserve"> </w:t>
      </w:r>
      <w:r w:rsidRPr="002E0D8A">
        <w:rPr>
          <w:rFonts w:cs="GloberSemiBold"/>
          <w:lang w:val="en-AU"/>
        </w:rPr>
        <w:t xml:space="preserve">Climate-compatible development; Ecosystem services for local development; and Sustainable regional economic integration. </w:t>
      </w:r>
      <w:r w:rsidRPr="002E0D8A">
        <w:rPr>
          <w:lang w:val="en-AU"/>
        </w:rPr>
        <w:t xml:space="preserve">In December 2014, a total of </w:t>
      </w:r>
      <w:r w:rsidRPr="002E0D8A">
        <w:rPr>
          <w:rFonts w:cs="GloberSemiBold"/>
          <w:lang w:val="en-AU"/>
        </w:rPr>
        <w:t>seven</w:t>
      </w:r>
      <w:r w:rsidRPr="002E0D8A">
        <w:rPr>
          <w:lang w:val="en-AU"/>
        </w:rPr>
        <w:t xml:space="preserve"> </w:t>
      </w:r>
      <w:r w:rsidRPr="002E0D8A">
        <w:rPr>
          <w:rFonts w:cs="GloberSemiBold"/>
          <w:lang w:val="en-AU"/>
        </w:rPr>
        <w:t>research projects</w:t>
      </w:r>
      <w:r w:rsidRPr="002E0D8A">
        <w:rPr>
          <w:rFonts w:cs="GloberSemiBold"/>
          <w:b/>
          <w:bCs/>
          <w:lang w:val="en-AU"/>
        </w:rPr>
        <w:t xml:space="preserve"> </w:t>
      </w:r>
      <w:r w:rsidRPr="002E0D8A">
        <w:rPr>
          <w:lang w:val="en-AU"/>
        </w:rPr>
        <w:t>were selected. The minimum requirement is that at least two organi</w:t>
      </w:r>
      <w:r w:rsidR="00340706">
        <w:rPr>
          <w:lang w:val="en-AU"/>
        </w:rPr>
        <w:t>s</w:t>
      </w:r>
      <w:r w:rsidRPr="002E0D8A">
        <w:rPr>
          <w:lang w:val="en-AU"/>
        </w:rPr>
        <w:t xml:space="preserve">ations, from at least two different countries within the </w:t>
      </w:r>
      <w:r w:rsidR="00442E42">
        <w:rPr>
          <w:lang w:val="en-AU"/>
        </w:rPr>
        <w:t>Greater Mekong</w:t>
      </w:r>
      <w:r w:rsidRPr="002E0D8A">
        <w:rPr>
          <w:lang w:val="en-AU"/>
        </w:rPr>
        <w:t xml:space="preserve">, participate in each research project. Projects will be for </w:t>
      </w:r>
      <w:r w:rsidR="00AB58DA">
        <w:rPr>
          <w:lang w:val="en-AU"/>
        </w:rPr>
        <w:t xml:space="preserve">a </w:t>
      </w:r>
      <w:r w:rsidR="003B2C24" w:rsidRPr="002E0D8A">
        <w:rPr>
          <w:lang w:val="en-AU"/>
        </w:rPr>
        <w:t>duration</w:t>
      </w:r>
      <w:r w:rsidRPr="002E0D8A">
        <w:rPr>
          <w:lang w:val="en-AU"/>
        </w:rPr>
        <w:t xml:space="preserve"> of about 20 months.</w:t>
      </w:r>
    </w:p>
    <w:p w14:paraId="0835B812" w14:textId="2F3F3C0E" w:rsidR="00E40FA4" w:rsidRPr="002E0D8A" w:rsidRDefault="00E40FA4" w:rsidP="00715AC7">
      <w:pPr>
        <w:pStyle w:val="BodyText"/>
        <w:rPr>
          <w:lang w:val="en-AU"/>
        </w:rPr>
      </w:pPr>
      <w:r w:rsidRPr="002E0D8A">
        <w:rPr>
          <w:lang w:val="en-AU"/>
        </w:rPr>
        <w:t xml:space="preserve">SUMERNET researchers on the whole are perhaps somewhat older and more advanced in their careers than many of the WLE </w:t>
      </w:r>
      <w:r w:rsidR="00830B02" w:rsidRPr="002E0D8A">
        <w:rPr>
          <w:lang w:val="en-AU"/>
        </w:rPr>
        <w:t>fellows (</w:t>
      </w:r>
      <w:r w:rsidR="003C549F" w:rsidRPr="002E0D8A">
        <w:rPr>
          <w:lang w:val="en-AU"/>
        </w:rPr>
        <w:t xml:space="preserve">which is deliberately targeting younger scholars) </w:t>
      </w:r>
      <w:r w:rsidRPr="002E0D8A">
        <w:rPr>
          <w:lang w:val="en-AU"/>
        </w:rPr>
        <w:t>and some of the researchers working on R4D projects under WLE. Consequently, they may have better access to policy and decision-makers.</w:t>
      </w:r>
    </w:p>
    <w:p w14:paraId="7952BB1A" w14:textId="79376A08" w:rsidR="00A34494" w:rsidRPr="002E0D8A" w:rsidRDefault="00A34494" w:rsidP="00715AC7">
      <w:pPr>
        <w:pStyle w:val="BodyText"/>
        <w:rPr>
          <w:rFonts w:cs="Times"/>
          <w:iCs/>
          <w:lang w:val="en-AU"/>
        </w:rPr>
      </w:pPr>
      <w:r w:rsidRPr="002E0D8A">
        <w:rPr>
          <w:iCs/>
          <w:lang w:val="en-AU"/>
        </w:rPr>
        <w:t>S</w:t>
      </w:r>
      <w:r w:rsidR="00DC0AEE" w:rsidRPr="002E0D8A">
        <w:rPr>
          <w:iCs/>
          <w:lang w:val="en-AU"/>
        </w:rPr>
        <w:t xml:space="preserve">UMERNET </w:t>
      </w:r>
      <w:r w:rsidRPr="002E0D8A">
        <w:rPr>
          <w:iCs/>
          <w:lang w:val="en-AU"/>
        </w:rPr>
        <w:t>has a strong focus on identifying and engaging with boundary partners that may be individuals, groups or organisations with whom SUMERNET interacts directly and can anticipat</w:t>
      </w:r>
      <w:r w:rsidR="00715AC7">
        <w:rPr>
          <w:iCs/>
          <w:lang w:val="en-AU"/>
        </w:rPr>
        <w:t xml:space="preserve">e opportunities for influence. </w:t>
      </w:r>
      <w:r w:rsidRPr="002E0D8A">
        <w:rPr>
          <w:iCs/>
          <w:lang w:val="en-AU"/>
        </w:rPr>
        <w:t xml:space="preserve">SUMERNET explicitly </w:t>
      </w:r>
      <w:r w:rsidR="008D6975" w:rsidRPr="002E0D8A">
        <w:rPr>
          <w:iCs/>
          <w:lang w:val="en-AU"/>
        </w:rPr>
        <w:t>strategi</w:t>
      </w:r>
      <w:r w:rsidR="00340706">
        <w:rPr>
          <w:iCs/>
          <w:lang w:val="en-AU"/>
        </w:rPr>
        <w:t>s</w:t>
      </w:r>
      <w:r w:rsidR="008D6975" w:rsidRPr="002E0D8A">
        <w:rPr>
          <w:iCs/>
          <w:lang w:val="en-AU"/>
        </w:rPr>
        <w:t>es</w:t>
      </w:r>
      <w:r w:rsidRPr="002E0D8A">
        <w:rPr>
          <w:iCs/>
          <w:lang w:val="en-AU"/>
        </w:rPr>
        <w:t xml:space="preserve"> how to work with these influential boundary partners, but they do not control them.</w:t>
      </w:r>
    </w:p>
    <w:p w14:paraId="0FE3328E" w14:textId="5773319A" w:rsidR="00E40FA4" w:rsidRPr="002E0D8A" w:rsidRDefault="00A56021" w:rsidP="00BB4F7E">
      <w:pPr>
        <w:pStyle w:val="Heading4"/>
        <w:tabs>
          <w:tab w:val="clear" w:pos="6611"/>
          <w:tab w:val="num" w:pos="993"/>
        </w:tabs>
        <w:ind w:left="0" w:firstLine="0"/>
        <w:rPr>
          <w:rFonts w:cs="Arial"/>
          <w:bCs/>
          <w:szCs w:val="22"/>
          <w:lang w:val="en-AU"/>
        </w:rPr>
      </w:pPr>
      <w:r>
        <w:rPr>
          <w:rFonts w:cs="Arial"/>
          <w:bCs/>
          <w:szCs w:val="22"/>
          <w:lang w:val="en-AU"/>
        </w:rPr>
        <w:lastRenderedPageBreak/>
        <w:t>Mekong Water Dialogues</w:t>
      </w:r>
    </w:p>
    <w:p w14:paraId="1A1724EA" w14:textId="6515B73B" w:rsidR="00E40FA4" w:rsidRPr="00F56469" w:rsidRDefault="00E40FA4" w:rsidP="00715AC7">
      <w:pPr>
        <w:pStyle w:val="BodyText"/>
      </w:pPr>
      <w:r w:rsidRPr="002E0D8A">
        <w:rPr>
          <w:lang w:val="en-AU"/>
        </w:rPr>
        <w:t xml:space="preserve">The </w:t>
      </w:r>
      <w:r w:rsidR="00A56021">
        <w:rPr>
          <w:lang w:val="en-AU"/>
        </w:rPr>
        <w:t>Mekong Water Dialogues</w:t>
      </w:r>
      <w:r w:rsidRPr="002E0D8A">
        <w:rPr>
          <w:lang w:val="en-AU"/>
        </w:rPr>
        <w:t xml:space="preserve"> </w:t>
      </w:r>
      <w:r w:rsidR="00F14BDF" w:rsidRPr="002E0D8A">
        <w:rPr>
          <w:lang w:val="en-AU"/>
        </w:rPr>
        <w:t>program</w:t>
      </w:r>
      <w:r w:rsidRPr="002E0D8A">
        <w:rPr>
          <w:lang w:val="en-AU"/>
        </w:rPr>
        <w:t xml:space="preserve"> ran from September 2008 until December 2014, implemented by IUCN and funded by the Ministry of Foreign Affairs of Finland. The goals of this </w:t>
      </w:r>
      <w:r w:rsidR="00F14BDF" w:rsidRPr="002E0D8A">
        <w:rPr>
          <w:lang w:val="en-AU"/>
        </w:rPr>
        <w:t>program</w:t>
      </w:r>
      <w:r w:rsidRPr="002E0D8A">
        <w:rPr>
          <w:lang w:val="en-AU"/>
        </w:rPr>
        <w:t xml:space="preserve"> were extremely similar to those of GMWRP – to improve</w:t>
      </w:r>
      <w:r w:rsidRPr="00F56469">
        <w:t xml:space="preserve"> governance in the water sector in the </w:t>
      </w:r>
      <w:r w:rsidR="00442E42">
        <w:t>Greater Mekong</w:t>
      </w:r>
      <w:r w:rsidRPr="00F56469">
        <w:t xml:space="preserve"> – but with a much more modest budget – a total of only 3.3 million euro divided amongst activities in the 4 countries of the LMB, and regional activities.</w:t>
      </w:r>
    </w:p>
    <w:p w14:paraId="04EFE8BF" w14:textId="619CE483" w:rsidR="00E40FA4" w:rsidRPr="00F56469" w:rsidRDefault="00E40FA4" w:rsidP="00715AC7">
      <w:pPr>
        <w:pStyle w:val="BodyText"/>
      </w:pPr>
      <w:r w:rsidRPr="00F56469">
        <w:t>As the main vehicles for achieving governance/policy influence, MWD established National Working Groups (NWG) in each country. These were multi-stakeholder bodies with representatives from government, civil society, academia and the private sector. These bodies jointly identified the key governance issues to be worked on in each country. Those issues that were identified as high priority by more than one country were also worked on at the regional level. The NWGs were empowered to authori</w:t>
      </w:r>
      <w:r w:rsidR="00340706">
        <w:t>s</w:t>
      </w:r>
      <w:r w:rsidRPr="00F56469">
        <w:t>e MWD funds to commission simple research and review studies on key topics to inform their deliberations. They were also provided with additional training on some issues.</w:t>
      </w:r>
    </w:p>
    <w:p w14:paraId="02C0A2A9" w14:textId="77777777" w:rsidR="00E40FA4" w:rsidRPr="003C02F5" w:rsidRDefault="00E40FA4" w:rsidP="00715AC7">
      <w:pPr>
        <w:pStyle w:val="BodyText"/>
        <w:rPr>
          <w:highlight w:val="yellow"/>
        </w:rPr>
      </w:pPr>
      <w:r w:rsidRPr="00F56469">
        <w:t>In the context of MWD all NWG members followed a common consensus understanding of governance developed through workshops and discussion, that it is about how different types of decisions get made, who gets to be involved in making those decisions, who is responsible for implementing those decisions, and who is held accountable for their ultimate outcome. Some of the useful features of MWD to consider are:</w:t>
      </w:r>
    </w:p>
    <w:p w14:paraId="332CD482" w14:textId="669D1904" w:rsidR="00E40FA4" w:rsidRPr="00F56469" w:rsidRDefault="00442E42" w:rsidP="009228CA">
      <w:pPr>
        <w:pStyle w:val="BodyText"/>
        <w:numPr>
          <w:ilvl w:val="0"/>
          <w:numId w:val="42"/>
        </w:numPr>
      </w:pPr>
      <w:r>
        <w:t>S</w:t>
      </w:r>
      <w:r w:rsidR="00E40FA4" w:rsidRPr="00F56469">
        <w:t>upporting multisector/multi-stakeholder national working groups (composed of 100% nationals, no foreigners), who are empowered to select the key issues to be worked on in their country, who are then provided with additional training and exposure to best practices in those issues; are able to commission studies on the issue and who are then then to discuss and debate the results to finally agree on the policy measures to be taken. Then through their own positions,</w:t>
      </w:r>
      <w:r w:rsidR="00E40FA4" w:rsidRPr="001A5A9D">
        <w:rPr>
          <w:lang w:val="en-GB"/>
        </w:rPr>
        <w:t xml:space="preserve"> organisations</w:t>
      </w:r>
      <w:r w:rsidR="00E40FA4" w:rsidRPr="00F56469">
        <w:t xml:space="preserve"> and networks, each and every member acts as a conduit to provide policy entry points and policy influence</w:t>
      </w:r>
      <w:r w:rsidR="003B2C24">
        <w:t>.</w:t>
      </w:r>
    </w:p>
    <w:p w14:paraId="59E15206" w14:textId="0B5F6B1E" w:rsidR="00E40FA4" w:rsidRPr="00F56469" w:rsidRDefault="00442E42" w:rsidP="009228CA">
      <w:pPr>
        <w:pStyle w:val="BodyText"/>
        <w:numPr>
          <w:ilvl w:val="0"/>
          <w:numId w:val="42"/>
        </w:numPr>
      </w:pPr>
      <w:r>
        <w:t>I</w:t>
      </w:r>
      <w:r w:rsidR="00E40FA4" w:rsidRPr="00F56469">
        <w:t>dentifying key issues at country level first, and only taking a sub-set of these issues up to the regional level when the same issue is identified in multiple countries, rather than starting by identifying issues at the regional level</w:t>
      </w:r>
      <w:r w:rsidR="003B2C24">
        <w:t>.</w:t>
      </w:r>
    </w:p>
    <w:p w14:paraId="34149602" w14:textId="7F5C1A07" w:rsidR="00E40FA4" w:rsidRPr="003C02F5" w:rsidRDefault="00442E42" w:rsidP="009228CA">
      <w:pPr>
        <w:pStyle w:val="BodyText"/>
        <w:numPr>
          <w:ilvl w:val="0"/>
          <w:numId w:val="42"/>
        </w:numPr>
      </w:pPr>
      <w:r>
        <w:t>W</w:t>
      </w:r>
      <w:r w:rsidR="00E40FA4" w:rsidRPr="00F56469">
        <w:t>orking with a common understanding of governance across the different sectors and in four different countries</w:t>
      </w:r>
      <w:r w:rsidR="003B2C24">
        <w:t>.</w:t>
      </w:r>
    </w:p>
    <w:p w14:paraId="14CB9ECD" w14:textId="320DB22A" w:rsidR="00E40FA4" w:rsidRPr="00BB4F7E" w:rsidRDefault="00E40FA4" w:rsidP="00932C09">
      <w:pPr>
        <w:pStyle w:val="Heading4"/>
        <w:tabs>
          <w:tab w:val="clear" w:pos="6611"/>
          <w:tab w:val="num" w:pos="993"/>
        </w:tabs>
        <w:spacing w:before="120"/>
        <w:ind w:left="0" w:firstLine="0"/>
        <w:rPr>
          <w:rFonts w:cs="Arial"/>
          <w:bCs/>
          <w:szCs w:val="22"/>
        </w:rPr>
      </w:pPr>
      <w:r w:rsidRPr="00BB4F7E">
        <w:rPr>
          <w:rFonts w:cs="Arial"/>
          <w:bCs/>
          <w:szCs w:val="22"/>
        </w:rPr>
        <w:t>Mekong University Wetlands Network</w:t>
      </w:r>
    </w:p>
    <w:p w14:paraId="6297CA4E" w14:textId="77777777" w:rsidR="00E40FA4" w:rsidRPr="00715AC7" w:rsidRDefault="00E40FA4" w:rsidP="00715AC7">
      <w:pPr>
        <w:pStyle w:val="BodyText"/>
      </w:pPr>
      <w:r w:rsidRPr="00715AC7">
        <w:t>The Mekong Wetland University Network is a group of lecturers and researchers specialising in various aspects of wetlands biology, ecology and management drawn from 21 universities across the Mekong Region. Mahidol University in Thailand and Can Tho University in Vietnam, are key drivers of the network. For the last 12 years, they have carried out an annual short wetlands training course in the field, particularly targeting improving knowledge and skills of junior lecturers from each of their own institutions. They also work together to develop joint research projects which often have important policy recommendations, such as recent research on assessment and monitoring of water pollution from agricultural chemicals in a selection of wetlands across the region.</w:t>
      </w:r>
    </w:p>
    <w:p w14:paraId="48479AD2" w14:textId="18A2EDB7" w:rsidR="00E40FA4" w:rsidRPr="00653068" w:rsidRDefault="0021245F" w:rsidP="006616A2">
      <w:pPr>
        <w:pStyle w:val="Heading3"/>
        <w:ind w:left="1134" w:hanging="1134"/>
      </w:pPr>
      <w:bookmarkStart w:id="67" w:name="_Toc470715883"/>
      <w:bookmarkStart w:id="68" w:name="_Toc475358486"/>
      <w:r>
        <w:t>Considerations for</w:t>
      </w:r>
      <w:r w:rsidR="00E40FA4" w:rsidRPr="00653068">
        <w:t xml:space="preserve"> Oxfam</w:t>
      </w:r>
      <w:r w:rsidR="003B2C24">
        <w:t>’s</w:t>
      </w:r>
      <w:r w:rsidR="00E40FA4" w:rsidRPr="00653068">
        <w:t xml:space="preserve"> Inclusion</w:t>
      </w:r>
      <w:bookmarkEnd w:id="67"/>
      <w:r w:rsidR="0049563C">
        <w:t xml:space="preserve"> Project</w:t>
      </w:r>
      <w:bookmarkEnd w:id="68"/>
    </w:p>
    <w:p w14:paraId="0653ABE6" w14:textId="57663075" w:rsidR="00653068" w:rsidRDefault="00A56021" w:rsidP="006616A2">
      <w:pPr>
        <w:pStyle w:val="Heading4"/>
        <w:tabs>
          <w:tab w:val="clear" w:pos="6611"/>
          <w:tab w:val="num" w:pos="1134"/>
        </w:tabs>
        <w:ind w:hanging="6611"/>
      </w:pPr>
      <w:r>
        <w:t>More effective use of m</w:t>
      </w:r>
      <w:r w:rsidR="00653068">
        <w:t>edia</w:t>
      </w:r>
    </w:p>
    <w:p w14:paraId="0F8C8B52" w14:textId="0769F11D" w:rsidR="00E40FA4" w:rsidRPr="005E48C5" w:rsidRDefault="00E40FA4" w:rsidP="00715AC7">
      <w:pPr>
        <w:pStyle w:val="BodyText"/>
      </w:pPr>
      <w:r w:rsidRPr="005E48C5">
        <w:t>One way in which local groups can help get their messages to the attention of policy makers is through strategic use of the media to generate public interest in and support for their cause.</w:t>
      </w:r>
    </w:p>
    <w:p w14:paraId="1DC9888E" w14:textId="5F134516" w:rsidR="00E40FA4" w:rsidRPr="005E48C5" w:rsidRDefault="00E40FA4" w:rsidP="00715AC7">
      <w:pPr>
        <w:pStyle w:val="BodyText"/>
      </w:pPr>
      <w:r w:rsidRPr="005E48C5">
        <w:lastRenderedPageBreak/>
        <w:t>In the early 2000s a relatively small local group in Chiang Khong District of Chiang Rai Province was eventually successful in getting the Thai government to halt the blasting of rocks and rapids in the Mekong River for a Chinese backed Navigation Improvement</w:t>
      </w:r>
      <w:r w:rsidRPr="005E48C5">
        <w:rPr>
          <w:lang w:val="en-GB"/>
        </w:rPr>
        <w:t xml:space="preserve"> </w:t>
      </w:r>
      <w:r w:rsidR="00F14BDF">
        <w:rPr>
          <w:lang w:val="en-GB"/>
        </w:rPr>
        <w:t>Program</w:t>
      </w:r>
      <w:r w:rsidRPr="005E48C5">
        <w:t>. They achieved this to some extent with a concerted campaign of very effective use of local, national and international media – organi</w:t>
      </w:r>
      <w:r w:rsidR="00340706">
        <w:t>s</w:t>
      </w:r>
      <w:r w:rsidRPr="005E48C5">
        <w:t xml:space="preserve">ing a series of media workshops and site visits that made it much easier for journalists to write informed articles. </w:t>
      </w:r>
    </w:p>
    <w:p w14:paraId="5788792A" w14:textId="7A10C74B" w:rsidR="00E40FA4" w:rsidRPr="005E48C5" w:rsidRDefault="00E40FA4" w:rsidP="00715AC7">
      <w:pPr>
        <w:pStyle w:val="BodyText"/>
      </w:pPr>
      <w:r w:rsidRPr="005E48C5">
        <w:t>More recently, Thai Public Broadcasting Service (Thai PBS) the only truly independent and publicly funded broadcasting service in the region, started a</w:t>
      </w:r>
      <w:r w:rsidRPr="007826FD">
        <w:rPr>
          <w:lang w:val="en-GB"/>
        </w:rPr>
        <w:t xml:space="preserve"> </w:t>
      </w:r>
      <w:r w:rsidR="00F14BDF">
        <w:rPr>
          <w:lang w:val="en-GB"/>
        </w:rPr>
        <w:t>program</w:t>
      </w:r>
      <w:r w:rsidRPr="005E48C5">
        <w:t xml:space="preserve"> of Citizen Journalism – training local people to report on local issues and how they were addressing them, and airing their reports on national TV. </w:t>
      </w:r>
    </w:p>
    <w:p w14:paraId="299D2856" w14:textId="147D59C0" w:rsidR="00E40FA4" w:rsidRPr="005E48C5" w:rsidRDefault="00E40FA4" w:rsidP="00715AC7">
      <w:pPr>
        <w:pStyle w:val="BodyText"/>
      </w:pPr>
      <w:r w:rsidRPr="005E48C5">
        <w:t>In a so far less successful example, Thai Civil Society</w:t>
      </w:r>
      <w:r w:rsidRPr="007826FD">
        <w:rPr>
          <w:lang w:val="en-GB"/>
        </w:rPr>
        <w:t xml:space="preserve"> organisations</w:t>
      </w:r>
      <w:r w:rsidRPr="005E48C5">
        <w:t xml:space="preserve"> from the Mekong Provinces lodged a case against Thai investment in </w:t>
      </w:r>
      <w:r w:rsidRPr="00766D79">
        <w:t>the Xayaburi dam</w:t>
      </w:r>
      <w:r w:rsidRPr="005E48C5">
        <w:t xml:space="preserve"> with the Thai courts, based on </w:t>
      </w:r>
      <w:r w:rsidR="003B2C24">
        <w:t>the</w:t>
      </w:r>
      <w:r w:rsidRPr="005E48C5">
        <w:t xml:space="preserve"> fact that no transboundary impact assessment was done for the dam, which did not follow the requirements of Thai Law, before EGAT signed the Power Purchase Agreement.</w:t>
      </w:r>
    </w:p>
    <w:p w14:paraId="0D212A2F" w14:textId="5C667341" w:rsidR="00E40FA4" w:rsidRPr="004973FC" w:rsidRDefault="00E40FA4" w:rsidP="00715AC7">
      <w:pPr>
        <w:pStyle w:val="BodyText"/>
      </w:pPr>
      <w:r w:rsidRPr="004973FC">
        <w:t>Working with media to support them to report policy issues of concern more effectively; and supporting court cases that challenge policy decisions, are therefore two additional approaches that could be applicable under the pillar of inclusion</w:t>
      </w:r>
      <w:r w:rsidR="004973FC" w:rsidRPr="004973FC">
        <w:t>.</w:t>
      </w:r>
      <w:r w:rsidR="00653068">
        <w:t xml:space="preserve"> </w:t>
      </w:r>
      <w:r w:rsidR="00653068" w:rsidRPr="00715AC7">
        <w:t>However, it has to be very strategic, considering the restricting political environments prevailing in the countries.</w:t>
      </w:r>
    </w:p>
    <w:p w14:paraId="03E0CC9E" w14:textId="61206F28" w:rsidR="00E40FA4" w:rsidRPr="00653068" w:rsidRDefault="00A56021" w:rsidP="00830B02">
      <w:pPr>
        <w:pStyle w:val="Heading4"/>
        <w:tabs>
          <w:tab w:val="clear" w:pos="6611"/>
        </w:tabs>
        <w:spacing w:before="120"/>
        <w:ind w:left="851"/>
      </w:pPr>
      <w:r>
        <w:t>Community f</w:t>
      </w:r>
      <w:r w:rsidR="0049563C">
        <w:t>isheries approaches</w:t>
      </w:r>
    </w:p>
    <w:p w14:paraId="62168437" w14:textId="27E8E169" w:rsidR="00E40FA4" w:rsidRPr="00F56469" w:rsidRDefault="00E40FA4" w:rsidP="00715AC7">
      <w:pPr>
        <w:pStyle w:val="BodyText"/>
      </w:pPr>
      <w:r w:rsidRPr="00F56469">
        <w:t>There has been significant experience with different forms of community managed areas in the Lower Mekong Basin that can be of use to the other target basins in GMWRP.  In the early part of the 2000s, a number of community-based approaches to conservation were piloted including community-based protection of the water-bird colony at Prek Toal in Cambodia, and village- protected Fish Conservation Zones in deep-water pools in southern Lao. Community-managed wetlands have also been piloted for example at Goot Ting marshes in northeastern Thailand. These pilots demonstrated</w:t>
      </w:r>
      <w:r>
        <w:t xml:space="preserve"> that community-based management</w:t>
      </w:r>
      <w:r w:rsidRPr="00F56469">
        <w:t xml:space="preserve"> could be a viable approach to conservation, and one with potential to empower local communities and deliver livelihood benefits</w:t>
      </w:r>
      <w:r>
        <w:t xml:space="preserve"> as well</w:t>
      </w:r>
      <w:r w:rsidRPr="00F56469">
        <w:t xml:space="preserve">. </w:t>
      </w:r>
    </w:p>
    <w:p w14:paraId="14DB2260" w14:textId="313873F0" w:rsidR="00E40FA4" w:rsidRDefault="00E40FA4" w:rsidP="00715AC7">
      <w:pPr>
        <w:pStyle w:val="BodyText"/>
      </w:pPr>
      <w:r w:rsidRPr="00F56469">
        <w:t>During the second half of the 2000s, these pilot approaches were further replicated. Community fisheries management approaches are now relatively well established in Lao PDR and increasingly so in Cambodia, with support from CEPF, EU and other donors. The lessons learned from this decade of experience were recently reviewed, and the primary conditions for success were found to be “a commitment to participatory process, clear land tenure regimes, community institutions capable of equitably representing their ‘constituencies’ and of negotiating their interests, and an interest in conservation, whether through benefits of sustainable harvest, or economic gain through direct payments” There is now a need for CSOs to refine these approaches to internali</w:t>
      </w:r>
      <w:r w:rsidR="00340706">
        <w:t>s</w:t>
      </w:r>
      <w:r w:rsidRPr="00F56469">
        <w:t xml:space="preserve">e these lessons, and to amplify them widely. </w:t>
      </w:r>
    </w:p>
    <w:p w14:paraId="35C28209" w14:textId="70BA8B85" w:rsidR="00E40FA4" w:rsidRPr="00533401" w:rsidRDefault="00E40FA4" w:rsidP="00715AC7">
      <w:pPr>
        <w:pStyle w:val="BodyText"/>
      </w:pPr>
      <w:r>
        <w:t xml:space="preserve">The Oxfam Inclusion pillar is also implementing its own approach to community fisheries. </w:t>
      </w:r>
      <w:r w:rsidR="00653068">
        <w:t xml:space="preserve">It has opportunity to work, </w:t>
      </w:r>
      <w:r>
        <w:t>share and exchange with the pool of experience and lessons learned from similar approaches elsewhere in Cambodia. For example, IUCN has recently completed a 4</w:t>
      </w:r>
      <w:r w:rsidR="00AC66D4">
        <w:t>-</w:t>
      </w:r>
      <w:r>
        <w:t>year EU Funded</w:t>
      </w:r>
      <w:r w:rsidRPr="007826FD">
        <w:rPr>
          <w:lang w:val="en-GB"/>
        </w:rPr>
        <w:t xml:space="preserve"> </w:t>
      </w:r>
      <w:r w:rsidR="00F14BDF">
        <w:rPr>
          <w:lang w:val="en-GB"/>
        </w:rPr>
        <w:t>program</w:t>
      </w:r>
      <w:r>
        <w:t xml:space="preserve"> on Community Fisheries in target areas of the Tonle Sap, working with the Fisheries Action </w:t>
      </w:r>
      <w:r w:rsidR="00AC66D4">
        <w:t>Coalition</w:t>
      </w:r>
      <w:r>
        <w:t xml:space="preserve"> Team (FACT).</w:t>
      </w:r>
      <w:r w:rsidR="00653068">
        <w:rPr>
          <w:rStyle w:val="FootnoteReference"/>
          <w:rFonts w:asciiTheme="minorHAnsi" w:hAnsiTheme="minorHAnsi"/>
        </w:rPr>
        <w:footnoteReference w:id="13"/>
      </w:r>
    </w:p>
    <w:p w14:paraId="5680D3BC" w14:textId="1F57D1B1" w:rsidR="00E40FA4" w:rsidRDefault="0049563C" w:rsidP="00932C09">
      <w:pPr>
        <w:pStyle w:val="Heading3"/>
        <w:tabs>
          <w:tab w:val="num" w:pos="851"/>
        </w:tabs>
        <w:ind w:left="851"/>
      </w:pPr>
      <w:bookmarkStart w:id="69" w:name="_Toc470715884"/>
      <w:bookmarkStart w:id="70" w:name="_Toc475358487"/>
      <w:r>
        <w:lastRenderedPageBreak/>
        <w:t>A</w:t>
      </w:r>
      <w:r w:rsidR="0021245F">
        <w:t>lternative approaches for</w:t>
      </w:r>
      <w:r w:rsidR="00E40FA4" w:rsidRPr="005A576E">
        <w:t xml:space="preserve"> government/inter-governmental</w:t>
      </w:r>
      <w:bookmarkEnd w:id="69"/>
      <w:r w:rsidR="0021245F">
        <w:t xml:space="preserve"> dialogue</w:t>
      </w:r>
      <w:bookmarkEnd w:id="70"/>
    </w:p>
    <w:p w14:paraId="2747AD37" w14:textId="4C7EED8A" w:rsidR="00E40FA4" w:rsidRPr="006703AD" w:rsidRDefault="00A56021" w:rsidP="00932C09">
      <w:pPr>
        <w:pStyle w:val="Heading4"/>
        <w:tabs>
          <w:tab w:val="clear" w:pos="6611"/>
          <w:tab w:val="num" w:pos="993"/>
        </w:tabs>
        <w:ind w:left="993" w:hanging="993"/>
      </w:pPr>
      <w:r>
        <w:t>BES-NET t</w:t>
      </w:r>
      <w:r w:rsidR="00E40FA4" w:rsidRPr="006703AD">
        <w:t>rialogues</w:t>
      </w:r>
    </w:p>
    <w:p w14:paraId="03CCE044" w14:textId="393BB97A" w:rsidR="00E40FA4" w:rsidRPr="006703AD" w:rsidRDefault="00E40FA4" w:rsidP="00715AC7">
      <w:pPr>
        <w:pStyle w:val="BodyText"/>
      </w:pPr>
      <w:r w:rsidRPr="006703AD">
        <w:t xml:space="preserve">Closely aligned with the Intergovernmental Platform on Biodiversity and Ecosystem Services (IPBES), the Biodiversity and Ecosystem Services Network (BES- Net) is a capacity sharing ‘network of networks’ that promotes dialogue between science, policy and practice for more effective management of biodiversity and ecosystems, contributing to long-term human well-being and sustainable development. BES-Net focuses on thematic and methodological issues such as Ecosystem-based Adaptation to Climate Change, Land Degradation and Restoration, Pollination and Food Production, Indigenous and Local Knowledge and Biodiversity Finance. </w:t>
      </w:r>
    </w:p>
    <w:p w14:paraId="65C4368A" w14:textId="1FB4566D" w:rsidR="00E40FA4" w:rsidRPr="006703AD" w:rsidRDefault="00E40FA4" w:rsidP="00715AC7">
      <w:pPr>
        <w:pStyle w:val="BodyText"/>
      </w:pPr>
      <w:r w:rsidRPr="006703AD">
        <w:t xml:space="preserve">The face-to-face capacity building activities of the Biodiversity and Ecosystem Services Network (BES-Net) – the BES-Net Trialogues – are multi-stakeholder dialogues focusing on specific policy questions at the national and regional levels. </w:t>
      </w:r>
      <w:r w:rsidRPr="006703AD">
        <w:rPr>
          <w:lang w:val="en-ZA"/>
        </w:rPr>
        <w:t>The Trialogues bring together the three BES-Net communities into clear and constructive dialogue; hence the name ‘trialogue’.</w:t>
      </w:r>
      <w:r w:rsidRPr="006703AD">
        <w:t xml:space="preserve"> </w:t>
      </w:r>
      <w:r w:rsidRPr="006703AD">
        <w:rPr>
          <w:lang w:val="en-ZA"/>
        </w:rPr>
        <w:t>They create fora allowing for a full flow of information passed on and exchanged by the various participants who take part in the BES-Net trialogues. They create small but effective science-policy-pra</w:t>
      </w:r>
      <w:r>
        <w:rPr>
          <w:lang w:val="en-ZA"/>
        </w:rPr>
        <w:t>c</w:t>
      </w:r>
      <w:r w:rsidRPr="006703AD">
        <w:rPr>
          <w:lang w:val="en-ZA"/>
        </w:rPr>
        <w:t xml:space="preserve">tice interfaces at various levels and on various themes to provide policy recommendations that reflect the cross-pollination of ideas between participants on the topic at hand, best practices, latest science and challenges at hand in a specific policy context. </w:t>
      </w:r>
      <w:r w:rsidRPr="006703AD">
        <w:t>By facilitating fruitful discussions among these three communities, the trialogues will contribute to addressing specific policy issues to help unlock shifts in the development trajectory of societies towards sustainability.  The</w:t>
      </w:r>
      <w:r>
        <w:t xml:space="preserve"> first round of Trialogues are </w:t>
      </w:r>
      <w:r w:rsidRPr="006703AD">
        <w:t>regional 3 day events gathering around 45 participants from up to</w:t>
      </w:r>
      <w:r>
        <w:t xml:space="preserve"> 5 different countries and </w:t>
      </w:r>
      <w:r w:rsidRPr="006703AD">
        <w:t>co-facilitated by a global facilitator and a local facilitator. The outcomes of the Trialogues are envisaged to influence the three BES-Net constituencies in furthering the integration of biodiversity management in development</w:t>
      </w:r>
      <w:r w:rsidRPr="007826FD">
        <w:rPr>
          <w:lang w:val="en-GB"/>
        </w:rPr>
        <w:t xml:space="preserve"> </w:t>
      </w:r>
      <w:r w:rsidR="00F14BDF">
        <w:rPr>
          <w:lang w:val="en-GB"/>
        </w:rPr>
        <w:t>program</w:t>
      </w:r>
      <w:r w:rsidRPr="007826FD">
        <w:rPr>
          <w:lang w:val="en-GB"/>
        </w:rPr>
        <w:t>s</w:t>
      </w:r>
      <w:r w:rsidRPr="006703AD">
        <w:t xml:space="preserve">. The Trialogues intend for the full participation of </w:t>
      </w:r>
      <w:r>
        <w:t xml:space="preserve">the three communities of policy; </w:t>
      </w:r>
      <w:r w:rsidRPr="006703AD">
        <w:t>practice</w:t>
      </w:r>
      <w:r>
        <w:t xml:space="preserve">; and science; </w:t>
      </w:r>
      <w:r w:rsidRPr="006703AD">
        <w:t xml:space="preserve">knowledge holders, and for the cross-pollination of ideas from one group to the other to, as a group, come up with policy recommendations. </w:t>
      </w:r>
    </w:p>
    <w:p w14:paraId="336D41EC" w14:textId="77777777" w:rsidR="00E40FA4" w:rsidRPr="006703AD" w:rsidRDefault="00E40FA4" w:rsidP="00715AC7">
      <w:pPr>
        <w:pStyle w:val="BodyText"/>
      </w:pPr>
      <w:r w:rsidRPr="006703AD">
        <w:t>BES-NET is only just embarking on its tr</w:t>
      </w:r>
      <w:r>
        <w:t>ia</w:t>
      </w:r>
      <w:r w:rsidRPr="006703AD">
        <w:t>logue processes, so there are no lessons learned yet – but as a major global process, it may be worth tracking</w:t>
      </w:r>
      <w:r>
        <w:t xml:space="preserve"> the lessons it generates, and </w:t>
      </w:r>
      <w:r w:rsidRPr="006703AD">
        <w:t>reviewing them for applicability in GMWRP.</w:t>
      </w:r>
    </w:p>
    <w:p w14:paraId="29EF7B99" w14:textId="425D91D9" w:rsidR="00E40FA4" w:rsidRPr="005D7FB5" w:rsidRDefault="00E40FA4" w:rsidP="00830B02">
      <w:pPr>
        <w:pStyle w:val="Heading4"/>
        <w:tabs>
          <w:tab w:val="clear" w:pos="6611"/>
          <w:tab w:val="num" w:pos="993"/>
        </w:tabs>
        <w:spacing w:before="120"/>
        <w:ind w:left="993" w:hanging="993"/>
      </w:pPr>
      <w:r w:rsidRPr="005D7FB5">
        <w:t>Building River Dialogues an</w:t>
      </w:r>
      <w:r w:rsidR="00A56021">
        <w:t>d Governance</w:t>
      </w:r>
    </w:p>
    <w:p w14:paraId="63655D18" w14:textId="4F1CB254" w:rsidR="00E40FA4" w:rsidRPr="00575EDA" w:rsidRDefault="00E40FA4" w:rsidP="00715AC7">
      <w:pPr>
        <w:pStyle w:val="BodyText"/>
      </w:pPr>
      <w:r w:rsidRPr="00575EDA">
        <w:t>Building River Dia</w:t>
      </w:r>
      <w:r w:rsidR="00A56021">
        <w:t xml:space="preserve">logues and Governance (BRIDGE) </w:t>
      </w:r>
      <w:r w:rsidRPr="00575EDA">
        <w:t xml:space="preserve">is a global </w:t>
      </w:r>
      <w:r w:rsidR="00F14BDF">
        <w:t>program</w:t>
      </w:r>
      <w:r w:rsidRPr="00575EDA">
        <w:t xml:space="preserve"> of IUCN funded by SDC working in Latin and South America; Africa; and Asia. In </w:t>
      </w:r>
      <w:r w:rsidR="007826FD" w:rsidRPr="00575EDA">
        <w:t>Asia,</w:t>
      </w:r>
      <w:r w:rsidRPr="00575EDA">
        <w:t xml:space="preserve"> the main focus of BRIDGE is the 3S (Srepok, Sesan, Sekong) tributary rivers of the Mekong. BRIDGE is now at the start of its third three-year phase (2016-2018)</w:t>
      </w:r>
    </w:p>
    <w:p w14:paraId="42B1561F" w14:textId="77777777" w:rsidR="00E40FA4" w:rsidRPr="00575EDA" w:rsidRDefault="00E40FA4" w:rsidP="00715AC7">
      <w:pPr>
        <w:pStyle w:val="BodyText"/>
        <w:rPr>
          <w:rFonts w:cs="Helvetica"/>
          <w:color w:val="191919"/>
          <w:lang w:bidi="th-TH"/>
        </w:rPr>
      </w:pPr>
      <w:r w:rsidRPr="00575EDA">
        <w:rPr>
          <w:rFonts w:cs="Helvetica"/>
          <w:color w:val="191919"/>
          <w:lang w:bidi="th-TH"/>
        </w:rPr>
        <w:t>BRIDGE supports the capacities of countries sharing river or lake basins to implement effective water management arrangements through a shared vision, benefit-sharing principles and transparent and coherent institutional frameworks. Its goal is to enhance cooperation among riparian countries by applying water diplomacy at multiple levels.</w:t>
      </w:r>
    </w:p>
    <w:p w14:paraId="2841B0BD" w14:textId="77777777" w:rsidR="00E40FA4" w:rsidRPr="00575EDA" w:rsidRDefault="00E40FA4" w:rsidP="00715AC7">
      <w:pPr>
        <w:pStyle w:val="BodyText"/>
        <w:rPr>
          <w:rFonts w:cs="Helvetica"/>
          <w:color w:val="191919"/>
          <w:lang w:bidi="th-TH"/>
        </w:rPr>
      </w:pPr>
      <w:r w:rsidRPr="00575EDA">
        <w:rPr>
          <w:rFonts w:cs="Helvetica"/>
          <w:color w:val="191919"/>
          <w:lang w:bidi="th-TH"/>
        </w:rPr>
        <w:t>BRIDGE works through 5 key implementation strategies:</w:t>
      </w:r>
    </w:p>
    <w:p w14:paraId="762FE634" w14:textId="77777777" w:rsidR="00653068" w:rsidRDefault="00E40FA4" w:rsidP="009228CA">
      <w:pPr>
        <w:pStyle w:val="BodyText"/>
        <w:numPr>
          <w:ilvl w:val="0"/>
          <w:numId w:val="39"/>
        </w:numPr>
        <w:rPr>
          <w:rFonts w:cs="Helvetica"/>
          <w:color w:val="191919"/>
          <w:lang w:bidi="th-TH"/>
        </w:rPr>
      </w:pPr>
      <w:r w:rsidRPr="00653068">
        <w:rPr>
          <w:rFonts w:cs="Helvetica"/>
          <w:color w:val="191919"/>
          <w:lang w:bidi="th-TH"/>
        </w:rPr>
        <w:t>Demonstration – using demonstration and testing of how to make cooperation operational in a basin through confidence and trust building, shared learning and joint action in building national and transboundary water governance capacity;</w:t>
      </w:r>
    </w:p>
    <w:p w14:paraId="1C1C3BE0" w14:textId="77777777" w:rsidR="00653068" w:rsidRDefault="00E40FA4" w:rsidP="009228CA">
      <w:pPr>
        <w:pStyle w:val="BodyText"/>
        <w:numPr>
          <w:ilvl w:val="0"/>
          <w:numId w:val="39"/>
        </w:numPr>
        <w:rPr>
          <w:rFonts w:cs="Helvetica"/>
          <w:color w:val="191919"/>
          <w:lang w:bidi="th-TH"/>
        </w:rPr>
      </w:pPr>
      <w:r w:rsidRPr="00653068">
        <w:rPr>
          <w:rFonts w:cs="Helvetica"/>
          <w:color w:val="191919"/>
          <w:lang w:bidi="th-TH"/>
        </w:rPr>
        <w:t>Learning – using training and capacity building for multiple stakeholders, including municipal and civil society actors, as well as high-level national officials in water governance, international water law and benefit sharing to enhance knowledge and understanding;</w:t>
      </w:r>
    </w:p>
    <w:p w14:paraId="0EF0FF83" w14:textId="77777777" w:rsidR="00653068" w:rsidRDefault="00E40FA4" w:rsidP="009228CA">
      <w:pPr>
        <w:pStyle w:val="BodyText"/>
        <w:numPr>
          <w:ilvl w:val="0"/>
          <w:numId w:val="39"/>
        </w:numPr>
        <w:rPr>
          <w:rFonts w:cs="Helvetica"/>
          <w:color w:val="191919"/>
          <w:lang w:bidi="th-TH"/>
        </w:rPr>
      </w:pPr>
      <w:r w:rsidRPr="00653068">
        <w:rPr>
          <w:rFonts w:cs="Helvetica"/>
          <w:color w:val="191919"/>
          <w:lang w:bidi="th-TH"/>
        </w:rPr>
        <w:t>Dialogue – applying demonstration actions and learning events to</w:t>
      </w:r>
      <w:r w:rsidRPr="007826FD">
        <w:rPr>
          <w:rFonts w:cs="Helvetica"/>
          <w:color w:val="191919"/>
          <w:lang w:val="en-GB" w:bidi="th-TH"/>
        </w:rPr>
        <w:t xml:space="preserve"> catalyse</w:t>
      </w:r>
      <w:r w:rsidRPr="00653068">
        <w:rPr>
          <w:rFonts w:cs="Helvetica"/>
          <w:color w:val="191919"/>
          <w:lang w:bidi="th-TH"/>
        </w:rPr>
        <w:t xml:space="preserve"> new dialogues on technical, development, and political matters for consensus building;</w:t>
      </w:r>
    </w:p>
    <w:p w14:paraId="560E5708" w14:textId="77777777" w:rsidR="00653068" w:rsidRDefault="00E40FA4" w:rsidP="009228CA">
      <w:pPr>
        <w:pStyle w:val="BodyText"/>
        <w:numPr>
          <w:ilvl w:val="0"/>
          <w:numId w:val="39"/>
        </w:numPr>
        <w:rPr>
          <w:rFonts w:cs="Helvetica"/>
          <w:color w:val="191919"/>
          <w:lang w:bidi="th-TH"/>
        </w:rPr>
      </w:pPr>
      <w:r w:rsidRPr="00653068">
        <w:rPr>
          <w:rFonts w:cs="Helvetica"/>
          <w:color w:val="191919"/>
          <w:lang w:bidi="th-TH"/>
        </w:rPr>
        <w:lastRenderedPageBreak/>
        <w:t>Leadership – supporting empowerment of champions for transboundary water cooperation and better water governance who can effectively advocate for</w:t>
      </w:r>
      <w:r w:rsidRPr="007826FD">
        <w:rPr>
          <w:rFonts w:cs="Helvetica"/>
          <w:color w:val="191919"/>
          <w:lang w:val="en-GB" w:bidi="th-TH"/>
        </w:rPr>
        <w:t xml:space="preserve"> mobilisation</w:t>
      </w:r>
      <w:r w:rsidRPr="00653068">
        <w:rPr>
          <w:rFonts w:cs="Helvetica"/>
          <w:color w:val="191919"/>
          <w:lang w:bidi="th-TH"/>
        </w:rPr>
        <w:t xml:space="preserve"> of water diplomacy;</w:t>
      </w:r>
    </w:p>
    <w:p w14:paraId="60DCDE75" w14:textId="6780DF95" w:rsidR="00E40FA4" w:rsidRPr="00653068" w:rsidRDefault="00E40FA4" w:rsidP="009228CA">
      <w:pPr>
        <w:pStyle w:val="BodyText"/>
        <w:numPr>
          <w:ilvl w:val="0"/>
          <w:numId w:val="39"/>
        </w:numPr>
        <w:rPr>
          <w:rFonts w:cs="Helvetica"/>
          <w:color w:val="191919"/>
          <w:lang w:bidi="th-TH"/>
        </w:rPr>
      </w:pPr>
      <w:r w:rsidRPr="00653068">
        <w:rPr>
          <w:rFonts w:cs="Helvetica"/>
          <w:color w:val="191919"/>
          <w:lang w:bidi="th-TH"/>
        </w:rPr>
        <w:t>Advice and Support – providing advice and technical assistance on demand to governments and stakeholders, including legal and institutional frameworks. </w:t>
      </w:r>
    </w:p>
    <w:p w14:paraId="3827FC52" w14:textId="77777777" w:rsidR="00E40FA4" w:rsidRPr="006703AD" w:rsidRDefault="00E40FA4" w:rsidP="00715AC7">
      <w:pPr>
        <w:pStyle w:val="BodyText"/>
        <w:rPr>
          <w:rFonts w:cs="Arial"/>
          <w:color w:val="000000" w:themeColor="text1"/>
          <w:lang w:bidi="th-TH"/>
        </w:rPr>
      </w:pPr>
      <w:r w:rsidRPr="006703AD">
        <w:rPr>
          <w:rFonts w:cs="Arial"/>
          <w:color w:val="000000" w:themeColor="text1"/>
          <w:lang w:bidi="th-TH"/>
        </w:rPr>
        <w:t xml:space="preserve">BRIDGE in the 3S Rivers alone already has </w:t>
      </w:r>
      <w:r>
        <w:rPr>
          <w:rFonts w:cs="Arial"/>
          <w:color w:val="000000" w:themeColor="text1"/>
          <w:lang w:bidi="th-TH"/>
        </w:rPr>
        <w:t>some interesting lessons that ma</w:t>
      </w:r>
      <w:r w:rsidRPr="006703AD">
        <w:rPr>
          <w:rFonts w:cs="Arial"/>
          <w:color w:val="000000" w:themeColor="text1"/>
          <w:lang w:bidi="th-TH"/>
        </w:rPr>
        <w:t>y be useful for DFAT GMWRP – but the 3S is only one of 8 regions were BRIDGE is working – there are undoubtedly many other interesting lessons from the other sites around the world as well.</w:t>
      </w:r>
    </w:p>
    <w:p w14:paraId="18A2343D" w14:textId="1AB11A82" w:rsidR="00C147FD" w:rsidRPr="00A56021" w:rsidRDefault="00E40FA4" w:rsidP="00715AC7">
      <w:pPr>
        <w:pStyle w:val="BodyText"/>
        <w:rPr>
          <w:rFonts w:cs="Arial"/>
          <w:color w:val="000000" w:themeColor="text1"/>
          <w:lang w:bidi="th-TH"/>
        </w:rPr>
      </w:pPr>
      <w:r w:rsidRPr="006703AD">
        <w:rPr>
          <w:rFonts w:cs="Arial"/>
          <w:color w:val="000000" w:themeColor="text1"/>
          <w:lang w:bidi="th-TH"/>
        </w:rPr>
        <w:t xml:space="preserve">Given that BRIDGE is funded globally by SDC, and given that SDC is a major Development Partner in the Mekong with whom DFAT frequently interacts, perhaps the idea should be considered of DFAT and SDC jointly </w:t>
      </w:r>
      <w:r w:rsidR="00575EDA" w:rsidRPr="006703AD">
        <w:rPr>
          <w:rFonts w:cs="Arial"/>
          <w:color w:val="000000" w:themeColor="text1"/>
          <w:lang w:bidi="th-TH"/>
        </w:rPr>
        <w:t>organi</w:t>
      </w:r>
      <w:r w:rsidR="00340706">
        <w:rPr>
          <w:rFonts w:cs="Arial"/>
          <w:color w:val="000000" w:themeColor="text1"/>
          <w:lang w:bidi="th-TH"/>
        </w:rPr>
        <w:t>s</w:t>
      </w:r>
      <w:r w:rsidR="00575EDA" w:rsidRPr="006703AD">
        <w:rPr>
          <w:rFonts w:cs="Arial"/>
          <w:color w:val="000000" w:themeColor="text1"/>
          <w:lang w:bidi="th-TH"/>
        </w:rPr>
        <w:t>ing</w:t>
      </w:r>
      <w:r w:rsidRPr="006703AD">
        <w:rPr>
          <w:rFonts w:cs="Arial"/>
          <w:color w:val="000000" w:themeColor="text1"/>
          <w:lang w:bidi="th-TH"/>
        </w:rPr>
        <w:t xml:space="preserve"> a sharing and exchange workshop on “pathways to policy influence” between GMWRP and BRIDGE. At the very least, the BRIDGE 3S Project manager should be invited to give a presentation to a DFAT GMWRP Partners meeting, and the different pillars of the </w:t>
      </w:r>
      <w:r w:rsidR="00F14BDF">
        <w:rPr>
          <w:rFonts w:cs="Arial"/>
          <w:color w:val="000000" w:themeColor="text1"/>
          <w:lang w:bidi="th-TH"/>
        </w:rPr>
        <w:t>program</w:t>
      </w:r>
      <w:r w:rsidRPr="006703AD">
        <w:rPr>
          <w:rFonts w:cs="Arial"/>
          <w:color w:val="000000" w:themeColor="text1"/>
          <w:lang w:bidi="th-TH"/>
        </w:rPr>
        <w:t xml:space="preserve"> should be made aware of the wealth of u</w:t>
      </w:r>
      <w:r>
        <w:rPr>
          <w:rFonts w:cs="Arial"/>
          <w:color w:val="000000" w:themeColor="text1"/>
          <w:lang w:bidi="th-TH"/>
        </w:rPr>
        <w:t>s</w:t>
      </w:r>
      <w:r w:rsidRPr="006703AD">
        <w:rPr>
          <w:rFonts w:cs="Arial"/>
          <w:color w:val="000000" w:themeColor="text1"/>
          <w:lang w:bidi="th-TH"/>
        </w:rPr>
        <w:t>eful information to be found on the 3S basin website.</w:t>
      </w:r>
    </w:p>
    <w:p w14:paraId="4E796A34" w14:textId="70625252" w:rsidR="00E40FA4" w:rsidRPr="00C147FD" w:rsidRDefault="00E40FA4" w:rsidP="00A56021">
      <w:pPr>
        <w:keepNext/>
        <w:widowControl w:val="0"/>
        <w:tabs>
          <w:tab w:val="left" w:pos="220"/>
          <w:tab w:val="left" w:pos="720"/>
        </w:tabs>
        <w:autoSpaceDE w:val="0"/>
        <w:autoSpaceDN w:val="0"/>
        <w:adjustRightInd w:val="0"/>
        <w:spacing w:after="0"/>
        <w:jc w:val="left"/>
        <w:rPr>
          <w:rFonts w:ascii="Arial" w:hAnsi="Arial" w:cs="Arial"/>
          <w:b/>
          <w:kern w:val="0"/>
          <w:szCs w:val="22"/>
          <w:lang w:bidi="th-TH"/>
        </w:rPr>
      </w:pPr>
      <w:bookmarkStart w:id="71" w:name="_Toc475254239"/>
      <w:r w:rsidRPr="003362EF">
        <w:rPr>
          <w:rFonts w:ascii="Arial" w:hAnsi="Arial" w:cs="Arial"/>
          <w:b/>
          <w:bCs/>
          <w:color w:val="365F91" w:themeColor="accent1" w:themeShade="BF"/>
          <w:lang w:val="en-GB"/>
        </w:rPr>
        <w:t xml:space="preserve">Figure </w:t>
      </w:r>
      <w:r w:rsidRPr="003362EF">
        <w:rPr>
          <w:rFonts w:ascii="Arial" w:hAnsi="Arial" w:cs="Arial"/>
          <w:b/>
          <w:bCs/>
          <w:color w:val="365F91" w:themeColor="accent1" w:themeShade="BF"/>
          <w:lang w:val="en-GB"/>
        </w:rPr>
        <w:fldChar w:fldCharType="begin"/>
      </w:r>
      <w:r w:rsidRPr="003362EF">
        <w:rPr>
          <w:rFonts w:ascii="Arial" w:hAnsi="Arial" w:cs="Arial"/>
          <w:b/>
          <w:bCs/>
          <w:color w:val="365F91" w:themeColor="accent1" w:themeShade="BF"/>
          <w:lang w:val="en-GB"/>
        </w:rPr>
        <w:instrText xml:space="preserve"> STYLEREF 1 \s </w:instrText>
      </w:r>
      <w:r w:rsidRPr="003362EF">
        <w:rPr>
          <w:rFonts w:ascii="Arial" w:hAnsi="Arial" w:cs="Arial"/>
          <w:b/>
          <w:bCs/>
          <w:color w:val="365F91" w:themeColor="accent1" w:themeShade="BF"/>
          <w:lang w:val="en-GB"/>
        </w:rPr>
        <w:fldChar w:fldCharType="separate"/>
      </w:r>
      <w:r w:rsidR="00E703DB">
        <w:rPr>
          <w:rFonts w:ascii="Arial" w:hAnsi="Arial" w:cs="Arial"/>
          <w:b/>
          <w:bCs/>
          <w:noProof/>
          <w:color w:val="365F91" w:themeColor="accent1" w:themeShade="BF"/>
          <w:lang w:val="en-GB"/>
        </w:rPr>
        <w:t>3</w:t>
      </w:r>
      <w:r w:rsidRPr="003362EF">
        <w:rPr>
          <w:rFonts w:ascii="Arial" w:hAnsi="Arial" w:cs="Arial"/>
          <w:b/>
          <w:bCs/>
          <w:color w:val="365F91" w:themeColor="accent1" w:themeShade="BF"/>
          <w:lang w:val="en-GB"/>
        </w:rPr>
        <w:fldChar w:fldCharType="end"/>
      </w:r>
      <w:r w:rsidRPr="003362EF">
        <w:rPr>
          <w:rFonts w:ascii="Arial" w:hAnsi="Arial" w:cs="Arial"/>
          <w:b/>
          <w:bCs/>
          <w:color w:val="365F91" w:themeColor="accent1" w:themeShade="BF"/>
          <w:lang w:val="en-GB"/>
        </w:rPr>
        <w:noBreakHyphen/>
      </w:r>
      <w:r w:rsidRPr="00C147FD">
        <w:rPr>
          <w:rFonts w:ascii="Arial" w:hAnsi="Arial" w:cs="Arial"/>
          <w:b/>
          <w:bCs/>
          <w:color w:val="365F91" w:themeColor="accent1" w:themeShade="BF"/>
          <w:lang w:val="en-GB"/>
        </w:rPr>
        <w:fldChar w:fldCharType="begin"/>
      </w:r>
      <w:r w:rsidRPr="00C147FD">
        <w:rPr>
          <w:rFonts w:ascii="Arial" w:hAnsi="Arial" w:cs="Arial"/>
          <w:b/>
          <w:bCs/>
          <w:color w:val="365F91" w:themeColor="accent1" w:themeShade="BF"/>
          <w:lang w:val="en-GB"/>
        </w:rPr>
        <w:instrText xml:space="preserve"> SEQ Figure \* ARABIC \s 1 </w:instrText>
      </w:r>
      <w:r w:rsidRPr="00C147FD">
        <w:rPr>
          <w:rFonts w:ascii="Arial" w:hAnsi="Arial" w:cs="Arial"/>
          <w:b/>
          <w:bCs/>
          <w:color w:val="365F91" w:themeColor="accent1" w:themeShade="BF"/>
          <w:lang w:val="en-GB"/>
        </w:rPr>
        <w:fldChar w:fldCharType="separate"/>
      </w:r>
      <w:r w:rsidR="00E703DB">
        <w:rPr>
          <w:rFonts w:ascii="Arial" w:hAnsi="Arial" w:cs="Arial"/>
          <w:b/>
          <w:bCs/>
          <w:noProof/>
          <w:color w:val="365F91" w:themeColor="accent1" w:themeShade="BF"/>
          <w:lang w:val="en-GB"/>
        </w:rPr>
        <w:t>2</w:t>
      </w:r>
      <w:r w:rsidRPr="00C147FD">
        <w:rPr>
          <w:rFonts w:ascii="Arial" w:hAnsi="Arial" w:cs="Arial"/>
          <w:b/>
          <w:bCs/>
          <w:color w:val="365F91" w:themeColor="accent1" w:themeShade="BF"/>
          <w:lang w:val="en-GB"/>
        </w:rPr>
        <w:fldChar w:fldCharType="end"/>
      </w:r>
      <w:r w:rsidRPr="00C147FD">
        <w:rPr>
          <w:rFonts w:ascii="Arial" w:hAnsi="Arial" w:cs="Arial"/>
          <w:b/>
          <w:bCs/>
          <w:color w:val="365F91" w:themeColor="accent1" w:themeShade="BF"/>
          <w:lang w:val="en-GB"/>
        </w:rPr>
        <w:t xml:space="preserve"> </w:t>
      </w:r>
      <w:r w:rsidRPr="00C147FD">
        <w:rPr>
          <w:rFonts w:ascii="Arial" w:hAnsi="Arial" w:cs="Arial"/>
          <w:b/>
          <w:bCs/>
          <w:lang w:val="en-GB"/>
        </w:rPr>
        <w:t xml:space="preserve"> </w:t>
      </w:r>
      <w:r w:rsidR="00715AC7">
        <w:rPr>
          <w:rFonts w:ascii="Arial" w:hAnsi="Arial" w:cs="Arial"/>
          <w:b/>
        </w:rPr>
        <w:t>BRIDGE</w:t>
      </w:r>
      <w:r w:rsidRPr="00C147FD">
        <w:rPr>
          <w:rFonts w:ascii="Arial" w:hAnsi="Arial" w:cs="Arial"/>
          <w:b/>
        </w:rPr>
        <w:t xml:space="preserve"> </w:t>
      </w:r>
      <w:r w:rsidR="00715AC7">
        <w:rPr>
          <w:rFonts w:ascii="Arial" w:hAnsi="Arial" w:cs="Arial"/>
          <w:b/>
          <w:szCs w:val="22"/>
        </w:rPr>
        <w:t>in Latin and South America, Africa</w:t>
      </w:r>
      <w:r w:rsidRPr="00C147FD">
        <w:rPr>
          <w:rFonts w:ascii="Arial" w:hAnsi="Arial" w:cs="Arial"/>
          <w:b/>
          <w:szCs w:val="22"/>
        </w:rPr>
        <w:t xml:space="preserve"> and Asia</w:t>
      </w:r>
      <w:bookmarkEnd w:id="71"/>
    </w:p>
    <w:p w14:paraId="22EC2DA0" w14:textId="599484D5" w:rsidR="00E40FA4" w:rsidRDefault="00E40FA4" w:rsidP="00715AC7">
      <w:pPr>
        <w:pStyle w:val="BodyText1"/>
        <w:ind w:left="0"/>
        <w:jc w:val="center"/>
        <w:rPr>
          <w:rFonts w:asciiTheme="minorHAnsi" w:hAnsiTheme="minorHAnsi" w:cs="Helvetica"/>
          <w:color w:val="191919"/>
          <w:kern w:val="0"/>
          <w:sz w:val="20"/>
          <w:szCs w:val="20"/>
          <w:lang w:bidi="th-TH"/>
        </w:rPr>
      </w:pPr>
      <w:r w:rsidRPr="005D7FB5">
        <w:rPr>
          <w:rFonts w:ascii="Helvetica" w:hAnsi="Helvetica" w:cs="Helvetica"/>
          <w:noProof/>
          <w:color w:val="191919"/>
          <w:kern w:val="0"/>
          <w:sz w:val="32"/>
          <w:szCs w:val="32"/>
          <w:lang w:val="en-AU" w:eastAsia="en-AU"/>
        </w:rPr>
        <w:drawing>
          <wp:inline distT="0" distB="0" distL="0" distR="0" wp14:anchorId="57F2A0E1" wp14:editId="1212B1CE">
            <wp:extent cx="5552220" cy="37528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9436" cy="3764487"/>
                    </a:xfrm>
                    <a:prstGeom prst="rect">
                      <a:avLst/>
                    </a:prstGeom>
                    <a:noFill/>
                    <a:ln>
                      <a:noFill/>
                    </a:ln>
                  </pic:spPr>
                </pic:pic>
              </a:graphicData>
            </a:graphic>
          </wp:inline>
        </w:drawing>
      </w:r>
      <w:r w:rsidRPr="00575EDA">
        <w:rPr>
          <w:rFonts w:asciiTheme="minorHAnsi" w:hAnsiTheme="minorHAnsi" w:cs="Helvetica"/>
          <w:color w:val="191919"/>
          <w:kern w:val="0"/>
          <w:sz w:val="20"/>
          <w:szCs w:val="20"/>
          <w:lang w:bidi="th-TH"/>
        </w:rPr>
        <w:t xml:space="preserve">Photo: © </w:t>
      </w:r>
      <w:r w:rsidR="00715AC7">
        <w:rPr>
          <w:rFonts w:asciiTheme="minorHAnsi" w:hAnsiTheme="minorHAnsi" w:cs="Helvetica"/>
          <w:color w:val="191919"/>
          <w:kern w:val="0"/>
          <w:sz w:val="20"/>
          <w:szCs w:val="20"/>
          <w:lang w:bidi="th-TH"/>
        </w:rPr>
        <w:t xml:space="preserve">(Source: </w:t>
      </w:r>
      <w:r w:rsidRPr="00575EDA">
        <w:rPr>
          <w:rFonts w:asciiTheme="minorHAnsi" w:hAnsiTheme="minorHAnsi" w:cs="Helvetica"/>
          <w:color w:val="191919"/>
          <w:kern w:val="0"/>
          <w:sz w:val="20"/>
          <w:szCs w:val="20"/>
          <w:lang w:bidi="th-TH"/>
        </w:rPr>
        <w:t xml:space="preserve">IUCN Water </w:t>
      </w:r>
      <w:r w:rsidR="00F14BDF">
        <w:rPr>
          <w:rFonts w:asciiTheme="minorHAnsi" w:hAnsiTheme="minorHAnsi" w:cs="Helvetica"/>
          <w:color w:val="191919"/>
          <w:kern w:val="0"/>
          <w:sz w:val="20"/>
          <w:szCs w:val="20"/>
          <w:lang w:bidi="th-TH"/>
        </w:rPr>
        <w:t>Program</w:t>
      </w:r>
      <w:r w:rsidR="00715AC7">
        <w:rPr>
          <w:rFonts w:asciiTheme="minorHAnsi" w:hAnsiTheme="minorHAnsi" w:cs="Helvetica"/>
          <w:color w:val="191919"/>
          <w:kern w:val="0"/>
          <w:sz w:val="20"/>
          <w:szCs w:val="20"/>
          <w:lang w:bidi="th-TH"/>
        </w:rPr>
        <w:t>)</w:t>
      </w:r>
    </w:p>
    <w:p w14:paraId="07FB6D20" w14:textId="3815299D" w:rsidR="00E40FA4" w:rsidRDefault="00E40FA4" w:rsidP="00932C09">
      <w:pPr>
        <w:pStyle w:val="Heading1"/>
        <w:spacing w:before="240" w:after="120"/>
      </w:pPr>
      <w:bookmarkStart w:id="72" w:name="_Toc470715892"/>
      <w:bookmarkStart w:id="73" w:name="_Toc475358488"/>
      <w:r w:rsidRPr="002316AF">
        <w:t>Conclusions and Recommendations</w:t>
      </w:r>
      <w:bookmarkEnd w:id="72"/>
      <w:bookmarkEnd w:id="73"/>
    </w:p>
    <w:p w14:paraId="5DC665BC" w14:textId="797FAD9C" w:rsidR="00DF5863" w:rsidRPr="00715AC7" w:rsidRDefault="00DF5863" w:rsidP="00715AC7">
      <w:pPr>
        <w:pStyle w:val="BodyText"/>
      </w:pPr>
      <w:r w:rsidRPr="00715AC7">
        <w:t>The evaluators have conducted a full analysis and case studies of the likely factors and range of causes that have led to t</w:t>
      </w:r>
      <w:r w:rsidR="001F1E0A" w:rsidRPr="00715AC7">
        <w:t>he situation. The factors enabling</w:t>
      </w:r>
      <w:r w:rsidRPr="00715AC7">
        <w:t xml:space="preserve"> progress or achievement and factors that inhibit them, were considered. They were generated from a range of data sources and validated consistently through the </w:t>
      </w:r>
      <w:r w:rsidR="004C5B24" w:rsidRPr="00715AC7">
        <w:t>evaluative study</w:t>
      </w:r>
      <w:r w:rsidRPr="00715AC7">
        <w:t xml:space="preserve"> process.</w:t>
      </w:r>
      <w:r w:rsidR="00482686" w:rsidRPr="00715AC7">
        <w:t xml:space="preserve"> </w:t>
      </w:r>
      <w:r w:rsidRPr="00715AC7">
        <w:t xml:space="preserve">Based on rounds of interviews and clarification sessions with key partners and stakeholders, literature review (including relevant </w:t>
      </w:r>
      <w:r w:rsidR="00F14BDF" w:rsidRPr="00715AC7">
        <w:t>program</w:t>
      </w:r>
      <w:r w:rsidRPr="00715AC7">
        <w:t xml:space="preserve"> documents and M&amp;E reports, and international literature), and personal observation, the evaluators have gathered evidence and </w:t>
      </w:r>
      <w:r w:rsidR="001F1E0A" w:rsidRPr="00715AC7">
        <w:t xml:space="preserve">a </w:t>
      </w:r>
      <w:r w:rsidRPr="00715AC7">
        <w:t>credible basis for forming findings, conclusions and recommendations.</w:t>
      </w:r>
      <w:r w:rsidR="00482686" w:rsidRPr="00715AC7">
        <w:t xml:space="preserve"> </w:t>
      </w:r>
      <w:r w:rsidRPr="00715AC7">
        <w:t>The findings, implication and recommend</w:t>
      </w:r>
      <w:r w:rsidR="001F1E0A" w:rsidRPr="00715AC7">
        <w:t>ations are presented according</w:t>
      </w:r>
      <w:r w:rsidRPr="00715AC7">
        <w:t xml:space="preserve"> to the four major questions of this </w:t>
      </w:r>
      <w:r w:rsidR="004C5B24" w:rsidRPr="00715AC7">
        <w:t>evaluative study</w:t>
      </w:r>
      <w:r w:rsidRPr="00715AC7">
        <w:t>.</w:t>
      </w:r>
    </w:p>
    <w:p w14:paraId="58AEDA20" w14:textId="758D3449" w:rsidR="00F37CFD" w:rsidRDefault="00C30373" w:rsidP="00C30373">
      <w:pPr>
        <w:pStyle w:val="Heading2"/>
      </w:pPr>
      <w:bookmarkStart w:id="74" w:name="_Toc475358489"/>
      <w:r>
        <w:lastRenderedPageBreak/>
        <w:t>Key achievements</w:t>
      </w:r>
      <w:bookmarkEnd w:id="74"/>
    </w:p>
    <w:p w14:paraId="54A5B65F" w14:textId="0B12707A" w:rsidR="00F37CFD" w:rsidRPr="00C147FD" w:rsidRDefault="00F37CFD" w:rsidP="00715AC7">
      <w:pPr>
        <w:pStyle w:val="BodyText"/>
        <w:rPr>
          <w:lang w:val="en-AU"/>
        </w:rPr>
      </w:pPr>
      <w:r w:rsidRPr="00C147FD">
        <w:rPr>
          <w:lang w:val="en-AU"/>
        </w:rPr>
        <w:t xml:space="preserve">The DFAT GMWRM has </w:t>
      </w:r>
      <w:r w:rsidR="005B1F0D">
        <w:rPr>
          <w:lang w:val="en-AU"/>
        </w:rPr>
        <w:t>achieved commendable results</w:t>
      </w:r>
      <w:r w:rsidR="002521D0" w:rsidRPr="00C147FD">
        <w:rPr>
          <w:lang w:val="en-AU"/>
        </w:rPr>
        <w:t xml:space="preserve"> </w:t>
      </w:r>
      <w:r w:rsidR="00442E42">
        <w:rPr>
          <w:lang w:val="en-AU"/>
        </w:rPr>
        <w:t>including:</w:t>
      </w:r>
    </w:p>
    <w:p w14:paraId="7F19C06B" w14:textId="0A017235" w:rsidR="00C147FD" w:rsidRPr="003F79CF" w:rsidRDefault="005B1F0D" w:rsidP="009228CA">
      <w:pPr>
        <w:pStyle w:val="BodyText"/>
        <w:numPr>
          <w:ilvl w:val="0"/>
          <w:numId w:val="43"/>
        </w:numPr>
        <w:rPr>
          <w:lang w:val="en-AU"/>
        </w:rPr>
      </w:pPr>
      <w:r>
        <w:rPr>
          <w:lang w:val="en-AU"/>
        </w:rPr>
        <w:t>Assuming a l</w:t>
      </w:r>
      <w:r w:rsidR="00E7098C">
        <w:rPr>
          <w:lang w:val="en-AU"/>
        </w:rPr>
        <w:t>eadership</w:t>
      </w:r>
      <w:r>
        <w:rPr>
          <w:lang w:val="en-AU"/>
        </w:rPr>
        <w:t xml:space="preserve"> role </w:t>
      </w:r>
      <w:r w:rsidR="00E7098C">
        <w:rPr>
          <w:lang w:val="en-AU"/>
        </w:rPr>
        <w:t xml:space="preserve">and </w:t>
      </w:r>
      <w:r>
        <w:rPr>
          <w:lang w:val="en-AU"/>
        </w:rPr>
        <w:t xml:space="preserve">providing </w:t>
      </w:r>
      <w:r w:rsidR="00E7098C">
        <w:rPr>
          <w:lang w:val="en-AU"/>
        </w:rPr>
        <w:t>i</w:t>
      </w:r>
      <w:r w:rsidR="00C147FD">
        <w:rPr>
          <w:lang w:val="en-AU"/>
        </w:rPr>
        <w:t>nspir</w:t>
      </w:r>
      <w:r w:rsidR="00E7098C">
        <w:rPr>
          <w:lang w:val="en-AU"/>
        </w:rPr>
        <w:t xml:space="preserve">ation for </w:t>
      </w:r>
      <w:r w:rsidR="00C147FD">
        <w:rPr>
          <w:lang w:val="en-AU"/>
        </w:rPr>
        <w:t>other development partner</w:t>
      </w:r>
      <w:r>
        <w:rPr>
          <w:lang w:val="en-AU"/>
        </w:rPr>
        <w:t xml:space="preserve">s to support the MRC reform, providing </w:t>
      </w:r>
      <w:r w:rsidR="00C147FD">
        <w:rPr>
          <w:lang w:val="en-AU"/>
        </w:rPr>
        <w:t xml:space="preserve">core support and creating </w:t>
      </w:r>
      <w:r>
        <w:rPr>
          <w:lang w:val="en-AU"/>
        </w:rPr>
        <w:t xml:space="preserve">a </w:t>
      </w:r>
      <w:r w:rsidR="00C147FD" w:rsidRPr="003F79CF">
        <w:rPr>
          <w:lang w:val="en-AU"/>
        </w:rPr>
        <w:t xml:space="preserve">basket funding </w:t>
      </w:r>
      <w:r>
        <w:rPr>
          <w:lang w:val="en-AU"/>
        </w:rPr>
        <w:t xml:space="preserve">system </w:t>
      </w:r>
      <w:r w:rsidR="00C147FD" w:rsidRPr="003F79CF">
        <w:rPr>
          <w:lang w:val="en-AU"/>
        </w:rPr>
        <w:t>during a period of intensive reform, d</w:t>
      </w:r>
      <w:r>
        <w:rPr>
          <w:lang w:val="en-AU"/>
        </w:rPr>
        <w:t>ownsizing and decentrali</w:t>
      </w:r>
      <w:r w:rsidR="00340706">
        <w:rPr>
          <w:lang w:val="en-AU"/>
        </w:rPr>
        <w:t>s</w:t>
      </w:r>
      <w:r>
        <w:rPr>
          <w:lang w:val="en-AU"/>
        </w:rPr>
        <w:t xml:space="preserve">ation; as well as </w:t>
      </w:r>
      <w:r w:rsidR="00C147FD">
        <w:rPr>
          <w:lang w:val="en-AU"/>
        </w:rPr>
        <w:t>support to development and implementation of MRC key procedures and guidelines.</w:t>
      </w:r>
    </w:p>
    <w:p w14:paraId="19F7B465" w14:textId="5D719C0F" w:rsidR="00C147FD" w:rsidRPr="003F79CF" w:rsidRDefault="00C147FD" w:rsidP="009228CA">
      <w:pPr>
        <w:pStyle w:val="BodyText"/>
        <w:numPr>
          <w:ilvl w:val="0"/>
          <w:numId w:val="43"/>
        </w:numPr>
        <w:rPr>
          <w:lang w:val="en-AU"/>
        </w:rPr>
      </w:pPr>
      <w:r>
        <w:rPr>
          <w:lang w:val="en-AU"/>
        </w:rPr>
        <w:t>P</w:t>
      </w:r>
      <w:r w:rsidR="00442E42">
        <w:rPr>
          <w:lang w:val="en-AU"/>
        </w:rPr>
        <w:t>roviding p</w:t>
      </w:r>
      <w:r>
        <w:rPr>
          <w:lang w:val="en-AU"/>
        </w:rPr>
        <w:t>ro</w:t>
      </w:r>
      <w:r w:rsidR="005B1F0D">
        <w:rPr>
          <w:lang w:val="en-AU"/>
        </w:rPr>
        <w:t>grammatic and technical support</w:t>
      </w:r>
      <w:r>
        <w:rPr>
          <w:lang w:val="en-AU"/>
        </w:rPr>
        <w:t xml:space="preserve"> to the </w:t>
      </w:r>
      <w:r w:rsidRPr="003F79CF">
        <w:rPr>
          <w:lang w:val="en-AU"/>
        </w:rPr>
        <w:t xml:space="preserve">Governments of Laos, Cambodia, Vietnam and Myanmar </w:t>
      </w:r>
      <w:r>
        <w:rPr>
          <w:lang w:val="en-AU"/>
        </w:rPr>
        <w:t>for their water and energy sector development</w:t>
      </w:r>
      <w:r w:rsidRPr="003F79CF">
        <w:rPr>
          <w:lang w:val="en-AU"/>
        </w:rPr>
        <w:t xml:space="preserve"> </w:t>
      </w:r>
      <w:r>
        <w:rPr>
          <w:lang w:val="en-AU"/>
        </w:rPr>
        <w:t xml:space="preserve">through DFAT’s </w:t>
      </w:r>
      <w:r w:rsidRPr="003F79CF">
        <w:rPr>
          <w:lang w:val="en-AU"/>
        </w:rPr>
        <w:t xml:space="preserve">core support to </w:t>
      </w:r>
      <w:r w:rsidR="005B1F0D">
        <w:rPr>
          <w:lang w:val="en-AU"/>
        </w:rPr>
        <w:t xml:space="preserve">the </w:t>
      </w:r>
      <w:r w:rsidRPr="003F79CF">
        <w:rPr>
          <w:lang w:val="en-AU"/>
        </w:rPr>
        <w:t>World Bank’s future guidance of a diverse Greater Mekong water resources management investment portfolio</w:t>
      </w:r>
      <w:r>
        <w:rPr>
          <w:lang w:val="en-AU"/>
        </w:rPr>
        <w:t xml:space="preserve">. </w:t>
      </w:r>
    </w:p>
    <w:p w14:paraId="4ED05358" w14:textId="44E78C76" w:rsidR="00C147FD" w:rsidRPr="003F79CF" w:rsidRDefault="00110BF9" w:rsidP="009228CA">
      <w:pPr>
        <w:pStyle w:val="BodyText"/>
        <w:numPr>
          <w:ilvl w:val="0"/>
          <w:numId w:val="43"/>
        </w:numPr>
        <w:rPr>
          <w:lang w:val="en-AU"/>
        </w:rPr>
      </w:pPr>
      <w:r>
        <w:rPr>
          <w:lang w:val="en-AU"/>
        </w:rPr>
        <w:t xml:space="preserve">Establishing mechanisms that may lead to improved performance </w:t>
      </w:r>
      <w:r w:rsidR="00C147FD" w:rsidRPr="003F79CF">
        <w:rPr>
          <w:lang w:val="en-AU"/>
        </w:rPr>
        <w:t>of the hydropower sector particularly with respect to social, environm</w:t>
      </w:r>
      <w:r>
        <w:rPr>
          <w:lang w:val="en-AU"/>
        </w:rPr>
        <w:t>ental and governance safeguards</w:t>
      </w:r>
      <w:r w:rsidR="00C147FD" w:rsidRPr="003F79CF">
        <w:rPr>
          <w:lang w:val="en-AU"/>
        </w:rPr>
        <w:t xml:space="preserve">.  Hydropower developer working groups </w:t>
      </w:r>
      <w:r w:rsidR="00C147FD">
        <w:rPr>
          <w:lang w:val="en-AU"/>
        </w:rPr>
        <w:t xml:space="preserve">(HDWGs) </w:t>
      </w:r>
      <w:r w:rsidR="00C147FD" w:rsidRPr="003F79CF">
        <w:rPr>
          <w:lang w:val="en-AU"/>
        </w:rPr>
        <w:t>have been established</w:t>
      </w:r>
      <w:r>
        <w:rPr>
          <w:lang w:val="en-AU"/>
        </w:rPr>
        <w:t xml:space="preserve"> in Lao PDR and Myanmar</w:t>
      </w:r>
      <w:r w:rsidR="00C147FD" w:rsidRPr="003F79CF">
        <w:rPr>
          <w:lang w:val="en-AU"/>
        </w:rPr>
        <w:t>, and efforts are well-advanced with the adoption by governments of new tools such as River Basin Profiling (Nam Ou in Laos), Cumulative Impact Assessment (in Laos), Strategic Environment Assessment (in Myanmar).</w:t>
      </w:r>
    </w:p>
    <w:p w14:paraId="291A29D7" w14:textId="0204525A" w:rsidR="00C147FD" w:rsidRPr="00A170BF" w:rsidRDefault="00C147FD" w:rsidP="009228CA">
      <w:pPr>
        <w:pStyle w:val="BodyText"/>
        <w:numPr>
          <w:ilvl w:val="0"/>
          <w:numId w:val="43"/>
        </w:numPr>
        <w:rPr>
          <w:rFonts w:cstheme="minorHAnsi"/>
          <w:color w:val="000000"/>
          <w:lang w:val="en-AU"/>
        </w:rPr>
      </w:pPr>
      <w:r>
        <w:rPr>
          <w:rFonts w:cstheme="minorHAnsi"/>
          <w:color w:val="000000"/>
          <w:lang w:val="en-AU"/>
        </w:rPr>
        <w:t xml:space="preserve">Strengthening </w:t>
      </w:r>
      <w:r w:rsidR="00334F09">
        <w:rPr>
          <w:rFonts w:cstheme="minorHAnsi"/>
          <w:color w:val="000000"/>
          <w:lang w:val="en-AU"/>
        </w:rPr>
        <w:t xml:space="preserve">the focus on </w:t>
      </w:r>
      <w:r w:rsidRPr="00A170BF">
        <w:rPr>
          <w:rFonts w:cstheme="minorHAnsi"/>
          <w:color w:val="000000"/>
          <w:lang w:val="en-AU"/>
        </w:rPr>
        <w:t xml:space="preserve">gender </w:t>
      </w:r>
      <w:r w:rsidR="00334F09">
        <w:rPr>
          <w:rFonts w:cstheme="minorHAnsi"/>
          <w:color w:val="000000"/>
          <w:lang w:val="en-AU"/>
        </w:rPr>
        <w:t xml:space="preserve">issues </w:t>
      </w:r>
      <w:r w:rsidRPr="00A170BF">
        <w:rPr>
          <w:rFonts w:cstheme="minorHAnsi"/>
          <w:color w:val="000000"/>
          <w:lang w:val="en-AU"/>
        </w:rPr>
        <w:t xml:space="preserve">and women’s leadership, </w:t>
      </w:r>
      <w:r w:rsidR="00334F09">
        <w:rPr>
          <w:rFonts w:cstheme="minorHAnsi"/>
          <w:color w:val="000000"/>
          <w:lang w:val="en-AU"/>
        </w:rPr>
        <w:t xml:space="preserve">including </w:t>
      </w:r>
      <w:r w:rsidRPr="00A170BF">
        <w:rPr>
          <w:rFonts w:cstheme="minorHAnsi"/>
          <w:color w:val="000000"/>
          <w:lang w:val="en-AU"/>
        </w:rPr>
        <w:t>a</w:t>
      </w:r>
      <w:r w:rsidRPr="00A170BF">
        <w:rPr>
          <w:rFonts w:cstheme="minorHAnsi"/>
          <w:iCs/>
          <w:color w:val="000000"/>
          <w:lang w:val="en-AU"/>
        </w:rPr>
        <w:t>ctive participation of women in water</w:t>
      </w:r>
      <w:r w:rsidR="00334F09">
        <w:rPr>
          <w:rFonts w:cstheme="minorHAnsi"/>
          <w:iCs/>
          <w:color w:val="000000"/>
          <w:lang w:val="en-AU"/>
        </w:rPr>
        <w:t xml:space="preserve">-related </w:t>
      </w:r>
      <w:r w:rsidRPr="00A170BF">
        <w:rPr>
          <w:rFonts w:cstheme="minorHAnsi"/>
          <w:iCs/>
          <w:color w:val="000000"/>
          <w:lang w:val="en-AU"/>
        </w:rPr>
        <w:t xml:space="preserve">civil society groups; </w:t>
      </w:r>
      <w:r w:rsidR="00334F09">
        <w:rPr>
          <w:rFonts w:cstheme="minorHAnsi"/>
          <w:iCs/>
          <w:color w:val="000000"/>
          <w:lang w:val="en-AU"/>
        </w:rPr>
        <w:t xml:space="preserve">supporting </w:t>
      </w:r>
      <w:r w:rsidR="00334F09">
        <w:rPr>
          <w:rFonts w:cstheme="minorHAnsi"/>
          <w:color w:val="000000"/>
          <w:lang w:val="en-AU"/>
        </w:rPr>
        <w:t xml:space="preserve">civil society </w:t>
      </w:r>
      <w:r w:rsidRPr="00A170BF">
        <w:rPr>
          <w:rFonts w:cstheme="minorHAnsi"/>
          <w:color w:val="000000"/>
          <w:lang w:val="en-AU"/>
        </w:rPr>
        <w:t xml:space="preserve">water resources </w:t>
      </w:r>
      <w:r w:rsidR="00334F09">
        <w:rPr>
          <w:rFonts w:cstheme="minorHAnsi"/>
          <w:color w:val="000000"/>
          <w:lang w:val="en-AU"/>
        </w:rPr>
        <w:t>management and participation</w:t>
      </w:r>
      <w:r w:rsidRPr="00A170BF">
        <w:rPr>
          <w:rFonts w:cstheme="minorHAnsi"/>
          <w:color w:val="000000"/>
          <w:lang w:val="en-AU"/>
        </w:rPr>
        <w:t xml:space="preserve"> in water decision making; </w:t>
      </w:r>
      <w:r w:rsidRPr="00A170BF">
        <w:rPr>
          <w:rFonts w:cstheme="minorHAnsi"/>
          <w:iCs/>
          <w:color w:val="000000"/>
          <w:lang w:val="en-AU"/>
        </w:rPr>
        <w:t>Improved skills and capabilities of civil society to influence water decision-making; and co</w:t>
      </w:r>
      <w:r w:rsidRPr="00A170BF">
        <w:rPr>
          <w:rFonts w:cstheme="minorHAnsi"/>
          <w:color w:val="000000"/>
          <w:lang w:val="en-AU"/>
        </w:rPr>
        <w:t>nvening and promoting policy dialogue</w:t>
      </w:r>
      <w:r w:rsidRPr="00A170BF">
        <w:rPr>
          <w:rFonts w:cstheme="minorHAnsi"/>
          <w:iCs/>
          <w:color w:val="000000"/>
          <w:lang w:val="en-AU"/>
        </w:rPr>
        <w:t>.</w:t>
      </w:r>
    </w:p>
    <w:p w14:paraId="6BC3F2E5" w14:textId="4D81D6D2" w:rsidR="00C147FD" w:rsidRPr="003F79CF" w:rsidRDefault="00442E42" w:rsidP="009228CA">
      <w:pPr>
        <w:pStyle w:val="BodyText"/>
        <w:numPr>
          <w:ilvl w:val="0"/>
          <w:numId w:val="43"/>
        </w:numPr>
        <w:rPr>
          <w:lang w:val="en-AU"/>
        </w:rPr>
      </w:pPr>
      <w:r>
        <w:rPr>
          <w:lang w:val="en-AU"/>
        </w:rPr>
        <w:t>Creating a</w:t>
      </w:r>
      <w:r w:rsidR="00C147FD" w:rsidRPr="003F79CF">
        <w:rPr>
          <w:lang w:val="en-AU"/>
        </w:rPr>
        <w:t xml:space="preserve"> portfolio of thirty-three projects </w:t>
      </w:r>
      <w:r>
        <w:rPr>
          <w:lang w:val="en-AU"/>
        </w:rPr>
        <w:t xml:space="preserve">(CPWF plus current WLE portfolio) </w:t>
      </w:r>
      <w:r w:rsidR="00C147FD" w:rsidRPr="003F79CF">
        <w:rPr>
          <w:lang w:val="en-AU"/>
        </w:rPr>
        <w:t>across the Ayeyarwa</w:t>
      </w:r>
      <w:r w:rsidR="00A60D2B">
        <w:rPr>
          <w:lang w:val="en-AU"/>
        </w:rPr>
        <w:t>d</w:t>
      </w:r>
      <w:r w:rsidR="00C147FD" w:rsidRPr="003F79CF">
        <w:rPr>
          <w:lang w:val="en-AU"/>
        </w:rPr>
        <w:t>dy, Salween, Mekong and Red river basins</w:t>
      </w:r>
      <w:r w:rsidR="00C147FD">
        <w:rPr>
          <w:lang w:val="en-AU"/>
        </w:rPr>
        <w:t xml:space="preserve">, </w:t>
      </w:r>
      <w:r w:rsidR="00C147FD" w:rsidRPr="003F79CF">
        <w:rPr>
          <w:lang w:val="en-AU"/>
        </w:rPr>
        <w:t xml:space="preserve">a peer network that strengthens the </w:t>
      </w:r>
      <w:r w:rsidR="00110BF9">
        <w:rPr>
          <w:lang w:val="en-AU"/>
        </w:rPr>
        <w:t xml:space="preserve">quality of </w:t>
      </w:r>
      <w:r w:rsidR="00C147FD" w:rsidRPr="003F79CF">
        <w:rPr>
          <w:lang w:val="en-AU"/>
        </w:rPr>
        <w:t>regional research</w:t>
      </w:r>
      <w:r w:rsidR="00C147FD">
        <w:rPr>
          <w:lang w:val="en-AU"/>
        </w:rPr>
        <w:t xml:space="preserve"> and </w:t>
      </w:r>
      <w:r w:rsidR="00110BF9">
        <w:rPr>
          <w:lang w:val="en-AU"/>
        </w:rPr>
        <w:t xml:space="preserve">establishment of a </w:t>
      </w:r>
      <w:r w:rsidR="00C147FD">
        <w:rPr>
          <w:lang w:val="en-AU"/>
        </w:rPr>
        <w:t>young water professionals</w:t>
      </w:r>
      <w:r w:rsidR="00110BF9">
        <w:rPr>
          <w:lang w:val="en-AU"/>
        </w:rPr>
        <w:t xml:space="preserve"> for development community; as well as a </w:t>
      </w:r>
      <w:r w:rsidR="00C147FD" w:rsidRPr="003F79CF">
        <w:rPr>
          <w:lang w:val="en-AU"/>
        </w:rPr>
        <w:t xml:space="preserve">major assembly each year at the Greater Mekong Forum on Water Food and Energy </w:t>
      </w:r>
      <w:r w:rsidR="00C147FD">
        <w:rPr>
          <w:lang w:val="en-AU"/>
        </w:rPr>
        <w:t>(2011 China, 2012 Cambodia, 2013 and 2014 Vietnam, 2015 Cambodia, 2016 Thailand, and 2017 Myanmar).</w:t>
      </w:r>
    </w:p>
    <w:p w14:paraId="574A3A92" w14:textId="168A171B" w:rsidR="00C147FD" w:rsidRPr="003F79CF" w:rsidRDefault="00442E42" w:rsidP="009228CA">
      <w:pPr>
        <w:pStyle w:val="BodyText"/>
        <w:numPr>
          <w:ilvl w:val="0"/>
          <w:numId w:val="43"/>
        </w:numPr>
        <w:rPr>
          <w:lang w:val="en-AU"/>
        </w:rPr>
      </w:pPr>
      <w:r>
        <w:rPr>
          <w:lang w:val="en-AU"/>
        </w:rPr>
        <w:t>Bringing-in the</w:t>
      </w:r>
      <w:r w:rsidR="00110BF9">
        <w:rPr>
          <w:lang w:val="en-AU"/>
        </w:rPr>
        <w:t xml:space="preserve"> </w:t>
      </w:r>
      <w:r w:rsidR="00C147FD" w:rsidRPr="003F79CF">
        <w:rPr>
          <w:lang w:val="en-AU"/>
        </w:rPr>
        <w:t>DFAT-funded Australian Water Partnership</w:t>
      </w:r>
      <w:r w:rsidR="00110BF9">
        <w:rPr>
          <w:lang w:val="en-AU"/>
        </w:rPr>
        <w:t xml:space="preserve"> </w:t>
      </w:r>
      <w:r>
        <w:rPr>
          <w:lang w:val="en-AU"/>
        </w:rPr>
        <w:t>to</w:t>
      </w:r>
      <w:r w:rsidR="00110BF9">
        <w:rPr>
          <w:lang w:val="en-AU"/>
        </w:rPr>
        <w:t xml:space="preserve"> strategically </w:t>
      </w:r>
      <w:r>
        <w:rPr>
          <w:lang w:val="en-AU"/>
        </w:rPr>
        <w:t xml:space="preserve">deliver </w:t>
      </w:r>
      <w:r w:rsidR="00C147FD" w:rsidRPr="003F79CF">
        <w:rPr>
          <w:lang w:val="en-AU"/>
        </w:rPr>
        <w:t xml:space="preserve">carefully selected Australian expertise to join particular initiatives of Mekong governments. </w:t>
      </w:r>
    </w:p>
    <w:p w14:paraId="3712ECB4" w14:textId="60DBBAB6" w:rsidR="00E60EB7" w:rsidRPr="00432143" w:rsidRDefault="00E60EB7" w:rsidP="00C30373">
      <w:pPr>
        <w:pStyle w:val="Heading2"/>
      </w:pPr>
      <w:bookmarkStart w:id="75" w:name="_Toc475358490"/>
      <w:r w:rsidRPr="00D73984">
        <w:t>Logic and effectiveness</w:t>
      </w:r>
      <w:bookmarkEnd w:id="75"/>
    </w:p>
    <w:p w14:paraId="44ABB7A3" w14:textId="7B3BD9E3" w:rsidR="00E1521B" w:rsidRDefault="00E60EB7" w:rsidP="00715AC7">
      <w:pPr>
        <w:pStyle w:val="BodyText"/>
        <w:rPr>
          <w:rFonts w:cs="Arial"/>
          <w:lang w:bidi="th-TH"/>
        </w:rPr>
      </w:pPr>
      <w:r w:rsidRPr="00D73984">
        <w:t>DFAT has applied diverse policy dialogue</w:t>
      </w:r>
      <w:r w:rsidR="00BE4593">
        <w:t>/influencing</w:t>
      </w:r>
      <w:r w:rsidRPr="00D73984">
        <w:t xml:space="preserve"> approaches with a number of partners to make strategic interventions into different water governance arenas. It is supporting the creation and nurturing of preconditions for positive changes and their institutionali</w:t>
      </w:r>
      <w:r w:rsidR="00340706">
        <w:t>s</w:t>
      </w:r>
      <w:r w:rsidRPr="00D73984">
        <w:t>ation by strategic nudging - policies and actions that change incentives, opportunities and institutional frameworks in order to achieve fairer and more effective governance.</w:t>
      </w:r>
      <w:r w:rsidR="002521D0">
        <w:t xml:space="preserve"> </w:t>
      </w:r>
      <w:r w:rsidRPr="00D73984">
        <w:rPr>
          <w:rFonts w:cs="Arial"/>
          <w:lang w:bidi="th-TH"/>
        </w:rPr>
        <w:t xml:space="preserve">The approach to engagement </w:t>
      </w:r>
      <w:r w:rsidR="00BE4593">
        <w:rPr>
          <w:rFonts w:cs="Arial"/>
          <w:lang w:bidi="th-TH"/>
        </w:rPr>
        <w:t xml:space="preserve">of </w:t>
      </w:r>
      <w:r w:rsidRPr="00D73984">
        <w:rPr>
          <w:rFonts w:cs="Arial"/>
          <w:lang w:bidi="th-TH"/>
        </w:rPr>
        <w:t xml:space="preserve">relevant development partners, government agencies, and CSOs in Myanmar provides an exemplary policy dialogue model that can be replicated in other countries. </w:t>
      </w:r>
    </w:p>
    <w:p w14:paraId="69A2513F" w14:textId="4023EE08" w:rsidR="00E1521B" w:rsidRDefault="00E1521B" w:rsidP="00715AC7">
      <w:pPr>
        <w:pStyle w:val="BodyText"/>
      </w:pPr>
      <w:r>
        <w:t>Based on the resul</w:t>
      </w:r>
      <w:r w:rsidR="0049563C">
        <w:t>ts of the study, four</w:t>
      </w:r>
      <w:r>
        <w:t xml:space="preserve"> groups of recommendations </w:t>
      </w:r>
      <w:r w:rsidR="0049563C">
        <w:t>are made</w:t>
      </w:r>
      <w:r>
        <w:t>:</w:t>
      </w:r>
    </w:p>
    <w:p w14:paraId="4F0508D5" w14:textId="43CF3311" w:rsidR="008A5092" w:rsidRPr="00E7098C" w:rsidRDefault="002521D0" w:rsidP="002521D0">
      <w:pPr>
        <w:pStyle w:val="Heading3"/>
        <w:tabs>
          <w:tab w:val="clear" w:pos="1561"/>
        </w:tabs>
        <w:spacing w:before="120"/>
        <w:ind w:left="851"/>
      </w:pPr>
      <w:bookmarkStart w:id="76" w:name="_Toc475358491"/>
      <w:r w:rsidRPr="00E7098C">
        <w:t>Contextuali</w:t>
      </w:r>
      <w:r w:rsidR="00340706">
        <w:t>s</w:t>
      </w:r>
      <w:r w:rsidR="0049563C">
        <w:t>ing policy d</w:t>
      </w:r>
      <w:r w:rsidRPr="00E7098C">
        <w:t>ialogue</w:t>
      </w:r>
      <w:bookmarkEnd w:id="76"/>
      <w:r w:rsidRPr="00E7098C">
        <w:t xml:space="preserve"> </w:t>
      </w:r>
    </w:p>
    <w:p w14:paraId="7DEE391D" w14:textId="77777777" w:rsidR="00E60EB7" w:rsidRPr="00E7098C" w:rsidRDefault="00E60EB7" w:rsidP="00715AC7">
      <w:pPr>
        <w:pStyle w:val="BodyText"/>
      </w:pPr>
      <w:r w:rsidRPr="00E7098C">
        <w:t xml:space="preserve">The capacity for and understanding of policy dialogue among the </w:t>
      </w:r>
      <w:r w:rsidRPr="003D0B4B">
        <w:t>key implementing partners is diverse. It is important that the concept of what is policy and what is policy dialogue is</w:t>
      </w:r>
      <w:r w:rsidRPr="00E7098C">
        <w:t xml:space="preserve"> more uniformly understood and reflected in project documents. </w:t>
      </w:r>
    </w:p>
    <w:p w14:paraId="371202CC" w14:textId="6D86EDD4" w:rsidR="00E60EB7" w:rsidRPr="00E7098C" w:rsidRDefault="002521D0" w:rsidP="009228CA">
      <w:pPr>
        <w:pStyle w:val="BodyText"/>
        <w:numPr>
          <w:ilvl w:val="0"/>
          <w:numId w:val="44"/>
        </w:numPr>
      </w:pPr>
      <w:r w:rsidRPr="00E7098C">
        <w:rPr>
          <w:b/>
          <w:bCs/>
          <w:lang w:val="en-AU"/>
        </w:rPr>
        <w:t>Clarifying</w:t>
      </w:r>
      <w:r w:rsidRPr="00E7098C">
        <w:rPr>
          <w:i/>
        </w:rPr>
        <w:t xml:space="preserve"> - </w:t>
      </w:r>
      <w:r w:rsidR="00E60EB7" w:rsidRPr="00E7098C">
        <w:rPr>
          <w:i/>
        </w:rPr>
        <w:t xml:space="preserve">DFAT should </w:t>
      </w:r>
      <w:r w:rsidR="00A31FFC" w:rsidRPr="00E7098C">
        <w:rPr>
          <w:i/>
        </w:rPr>
        <w:t xml:space="preserve">bring </w:t>
      </w:r>
      <w:r w:rsidR="00E60EB7" w:rsidRPr="00E7098C">
        <w:rPr>
          <w:i/>
        </w:rPr>
        <w:t>implemen</w:t>
      </w:r>
      <w:r w:rsidR="00A31FFC" w:rsidRPr="00E7098C">
        <w:rPr>
          <w:i/>
        </w:rPr>
        <w:t xml:space="preserve">ting partners together to </w:t>
      </w:r>
      <w:r w:rsidR="00BE4593" w:rsidRPr="00E7098C">
        <w:rPr>
          <w:i/>
        </w:rPr>
        <w:t>agree as far</w:t>
      </w:r>
      <w:r w:rsidR="00E60EB7" w:rsidRPr="00E7098C">
        <w:rPr>
          <w:i/>
        </w:rPr>
        <w:t xml:space="preserve"> as possible on a common definition and understanding of policy, policy influenc</w:t>
      </w:r>
      <w:r w:rsidR="00A31FFC" w:rsidRPr="00E7098C">
        <w:rPr>
          <w:i/>
        </w:rPr>
        <w:t xml:space="preserve">ing, and policy dialogue </w:t>
      </w:r>
      <w:r w:rsidR="00E60EB7" w:rsidRPr="00E7098C">
        <w:rPr>
          <w:i/>
        </w:rPr>
        <w:t>to be used for th</w:t>
      </w:r>
      <w:r w:rsidR="00830B02" w:rsidRPr="00E7098C">
        <w:rPr>
          <w:i/>
        </w:rPr>
        <w:t>e</w:t>
      </w:r>
      <w:r w:rsidR="00E60EB7" w:rsidRPr="00E7098C">
        <w:rPr>
          <w:i/>
        </w:rPr>
        <w:t xml:space="preserve"> whole </w:t>
      </w:r>
      <w:r w:rsidR="00F14BDF" w:rsidRPr="00E7098C">
        <w:rPr>
          <w:i/>
        </w:rPr>
        <w:t>program</w:t>
      </w:r>
      <w:r w:rsidR="00E60EB7" w:rsidRPr="00E7098C">
        <w:t>.</w:t>
      </w:r>
    </w:p>
    <w:p w14:paraId="03BDEF6E" w14:textId="0DAC19E7" w:rsidR="003D790E" w:rsidRPr="00E7098C" w:rsidRDefault="00E60EB7" w:rsidP="00715AC7">
      <w:pPr>
        <w:pStyle w:val="BodyText"/>
        <w:rPr>
          <w:rFonts w:cs="RijksoverheidSerif"/>
        </w:rPr>
      </w:pPr>
      <w:r w:rsidRPr="00E7098C">
        <w:rPr>
          <w:color w:val="000000" w:themeColor="text1"/>
        </w:rPr>
        <w:lastRenderedPageBreak/>
        <w:t xml:space="preserve">Considering </w:t>
      </w:r>
      <w:r w:rsidR="00AE7E9D" w:rsidRPr="00E7098C">
        <w:rPr>
          <w:color w:val="000000" w:themeColor="text1"/>
        </w:rPr>
        <w:t xml:space="preserve">the diversity of </w:t>
      </w:r>
      <w:r w:rsidRPr="00E7098C">
        <w:rPr>
          <w:color w:val="000000" w:themeColor="text1"/>
        </w:rPr>
        <w:t xml:space="preserve">partners ranging from </w:t>
      </w:r>
      <w:r w:rsidR="00AE7E9D" w:rsidRPr="00E7098C">
        <w:rPr>
          <w:color w:val="000000" w:themeColor="text1"/>
        </w:rPr>
        <w:t xml:space="preserve">an </w:t>
      </w:r>
      <w:r w:rsidRPr="00E7098C">
        <w:rPr>
          <w:color w:val="000000" w:themeColor="text1"/>
        </w:rPr>
        <w:t>inter-governmental o</w:t>
      </w:r>
      <w:r w:rsidR="00AE7E9D" w:rsidRPr="00E7098C">
        <w:rPr>
          <w:color w:val="000000" w:themeColor="text1"/>
        </w:rPr>
        <w:t>rgani</w:t>
      </w:r>
      <w:r w:rsidR="00340706">
        <w:rPr>
          <w:color w:val="000000" w:themeColor="text1"/>
        </w:rPr>
        <w:t>s</w:t>
      </w:r>
      <w:r w:rsidR="00AE7E9D" w:rsidRPr="00E7098C">
        <w:rPr>
          <w:color w:val="000000" w:themeColor="text1"/>
        </w:rPr>
        <w:t>ation</w:t>
      </w:r>
      <w:r w:rsidRPr="00E7098C">
        <w:rPr>
          <w:color w:val="000000" w:themeColor="text1"/>
        </w:rPr>
        <w:t xml:space="preserve">, </w:t>
      </w:r>
      <w:r w:rsidR="00AE7E9D" w:rsidRPr="00E7098C">
        <w:rPr>
          <w:color w:val="000000" w:themeColor="text1"/>
        </w:rPr>
        <w:t xml:space="preserve">a </w:t>
      </w:r>
      <w:r w:rsidRPr="00E7098C">
        <w:rPr>
          <w:color w:val="000000" w:themeColor="text1"/>
        </w:rPr>
        <w:t xml:space="preserve">financing institution, </w:t>
      </w:r>
      <w:r w:rsidR="00AE7E9D" w:rsidRPr="00E7098C">
        <w:rPr>
          <w:color w:val="000000" w:themeColor="text1"/>
        </w:rPr>
        <w:t>a research institution</w:t>
      </w:r>
      <w:r w:rsidRPr="00E7098C">
        <w:rPr>
          <w:color w:val="000000" w:themeColor="text1"/>
        </w:rPr>
        <w:t xml:space="preserve"> and </w:t>
      </w:r>
      <w:r w:rsidR="00AE7E9D" w:rsidRPr="00E7098C">
        <w:rPr>
          <w:color w:val="000000" w:themeColor="text1"/>
        </w:rPr>
        <w:t xml:space="preserve">a </w:t>
      </w:r>
      <w:r w:rsidRPr="00E7098C">
        <w:rPr>
          <w:color w:val="000000" w:themeColor="text1"/>
        </w:rPr>
        <w:t>Non-Governmental Organi</w:t>
      </w:r>
      <w:r w:rsidR="00340706">
        <w:rPr>
          <w:color w:val="000000" w:themeColor="text1"/>
        </w:rPr>
        <w:t>s</w:t>
      </w:r>
      <w:r w:rsidRPr="00E7098C">
        <w:rPr>
          <w:color w:val="000000" w:themeColor="text1"/>
        </w:rPr>
        <w:t>ation with different organi</w:t>
      </w:r>
      <w:r w:rsidR="00340706">
        <w:rPr>
          <w:color w:val="000000" w:themeColor="text1"/>
        </w:rPr>
        <w:t>s</w:t>
      </w:r>
      <w:r w:rsidRPr="00E7098C">
        <w:rPr>
          <w:color w:val="000000" w:themeColor="text1"/>
        </w:rPr>
        <w:t>ational set-up and pra</w:t>
      </w:r>
      <w:r w:rsidR="00AE7E9D" w:rsidRPr="00E7098C">
        <w:rPr>
          <w:color w:val="000000" w:themeColor="text1"/>
        </w:rPr>
        <w:t xml:space="preserve">ctices, there are some </w:t>
      </w:r>
      <w:r w:rsidR="009B7D67" w:rsidRPr="00E7098C">
        <w:rPr>
          <w:color w:val="000000" w:themeColor="text1"/>
        </w:rPr>
        <w:t>understandable differences i</w:t>
      </w:r>
      <w:r w:rsidRPr="00E7098C">
        <w:rPr>
          <w:color w:val="000000" w:themeColor="text1"/>
        </w:rPr>
        <w:t>n PEAs, T</w:t>
      </w:r>
      <w:r w:rsidR="00482686" w:rsidRPr="00E7098C">
        <w:rPr>
          <w:color w:val="000000" w:themeColor="text1"/>
        </w:rPr>
        <w:t xml:space="preserve">oCs, and actions for change, as well as </w:t>
      </w:r>
      <w:r w:rsidRPr="00E7098C">
        <w:rPr>
          <w:color w:val="000000" w:themeColor="text1"/>
        </w:rPr>
        <w:t>the monitoring/reporting/learn</w:t>
      </w:r>
      <w:r w:rsidR="00AE7E9D" w:rsidRPr="00E7098C">
        <w:rPr>
          <w:color w:val="000000" w:themeColor="text1"/>
        </w:rPr>
        <w:t>ing frameworks of each pillar.</w:t>
      </w:r>
      <w:r w:rsidR="00482686" w:rsidRPr="00E7098C">
        <w:rPr>
          <w:color w:val="000000" w:themeColor="text1"/>
        </w:rPr>
        <w:t xml:space="preserve"> </w:t>
      </w:r>
      <w:r w:rsidR="00482686" w:rsidRPr="00E7098C">
        <w:t>PEAs have to be regularly updated to assist the implementing partners and GMWRP to not only</w:t>
      </w:r>
      <w:r w:rsidR="00482686" w:rsidRPr="00E7098C">
        <w:rPr>
          <w:rFonts w:cs="RijksoverheidSerif"/>
        </w:rPr>
        <w:t xml:space="preserve"> respond quickly when issues emerge or when they are invited to advise their constituency (government and other boundary partners), but also to proactively plan for emerging issues and achieve better coherence of their actions under duress. </w:t>
      </w:r>
    </w:p>
    <w:p w14:paraId="17F0AC67" w14:textId="77777777" w:rsidR="00E7098C" w:rsidRPr="00E7098C" w:rsidRDefault="003D790E" w:rsidP="009228CA">
      <w:pPr>
        <w:pStyle w:val="BodyText"/>
        <w:numPr>
          <w:ilvl w:val="0"/>
          <w:numId w:val="44"/>
        </w:numPr>
        <w:rPr>
          <w:bCs/>
          <w:i/>
          <w:lang w:val="en-AU"/>
        </w:rPr>
      </w:pPr>
      <w:r w:rsidRPr="00E7098C">
        <w:rPr>
          <w:b/>
          <w:bCs/>
          <w:i/>
          <w:lang w:val="en-AU"/>
        </w:rPr>
        <w:t xml:space="preserve">Thinking and working politically </w:t>
      </w:r>
      <w:r w:rsidRPr="00E7098C">
        <w:rPr>
          <w:bCs/>
          <w:i/>
          <w:lang w:val="en-AU"/>
        </w:rPr>
        <w:t>- Political economy analyses should be annually updated in a two- step process – first for individual outcome areas (and implementing partners) then for the program as a whole, facilitated by DFAT in the annual joint meeting of implementing partners, which should be a longer 1-day meeting.</w:t>
      </w:r>
    </w:p>
    <w:p w14:paraId="5765C25C" w14:textId="4D963EB6" w:rsidR="003D790E" w:rsidRPr="00932FBF" w:rsidRDefault="003D790E" w:rsidP="009228CA">
      <w:pPr>
        <w:pStyle w:val="BodyText"/>
        <w:numPr>
          <w:ilvl w:val="0"/>
          <w:numId w:val="44"/>
        </w:numPr>
        <w:rPr>
          <w:i/>
        </w:rPr>
      </w:pPr>
      <w:r w:rsidRPr="00932FBF">
        <w:rPr>
          <w:b/>
          <w:i/>
        </w:rPr>
        <w:t>Focusing</w:t>
      </w:r>
      <w:r w:rsidRPr="00932FBF">
        <w:rPr>
          <w:i/>
        </w:rPr>
        <w:t xml:space="preserve"> - GMWRP should through consultation with key implementing partners, identify a short-list of priority policy issues in which the program would like to exert some influence, and should together with partners, convene a series of dialogue events on these issues.</w:t>
      </w:r>
    </w:p>
    <w:p w14:paraId="1CF51E17" w14:textId="7231EA82" w:rsidR="00E60EB7" w:rsidRPr="00932FBF" w:rsidRDefault="00482686" w:rsidP="00932FBF">
      <w:pPr>
        <w:pStyle w:val="BodyText"/>
      </w:pPr>
      <w:r w:rsidRPr="00932FBF">
        <w:t>It is equally important for the GMWRP and its partners to improve knowledge about how and why things work, and to focus more on outputs, outcomes and impact, and build organi</w:t>
      </w:r>
      <w:r w:rsidR="00340706" w:rsidRPr="00932FBF">
        <w:t>s</w:t>
      </w:r>
      <w:r w:rsidRPr="00932FBF">
        <w:t xml:space="preserve">ational capacity and ability to stay relevant under changing circumstances. </w:t>
      </w:r>
    </w:p>
    <w:p w14:paraId="0F4E3689" w14:textId="77777777" w:rsidR="003D790E" w:rsidRPr="00932FBF" w:rsidRDefault="003D790E" w:rsidP="009228CA">
      <w:pPr>
        <w:pStyle w:val="BodyText"/>
        <w:numPr>
          <w:ilvl w:val="0"/>
          <w:numId w:val="44"/>
        </w:numPr>
        <w:rPr>
          <w:i/>
        </w:rPr>
      </w:pPr>
      <w:r w:rsidRPr="00932FBF">
        <w:rPr>
          <w:b/>
          <w:i/>
        </w:rPr>
        <w:t>Measuring and learning -</w:t>
      </w:r>
      <w:r w:rsidRPr="00932FBF">
        <w:rPr>
          <w:i/>
        </w:rPr>
        <w:t xml:space="preserve"> Monitoring and evaluation frameworks for GMWRP as a whole, and for each partner, should be revised to ensure a clearer focus on seeking evidence of influence of policy dialogue such as attitudinal change, discursive commitment, procedural change, policy content, and behaviour change.</w:t>
      </w:r>
    </w:p>
    <w:p w14:paraId="390EEF63" w14:textId="77777777" w:rsidR="003D790E" w:rsidRPr="00E7098C" w:rsidRDefault="003D790E" w:rsidP="009877E8">
      <w:pPr>
        <w:pStyle w:val="Heading3"/>
        <w:tabs>
          <w:tab w:val="clear" w:pos="1561"/>
          <w:tab w:val="num" w:pos="851"/>
        </w:tabs>
        <w:ind w:left="851"/>
        <w:rPr>
          <w:lang w:val="en-AU"/>
        </w:rPr>
      </w:pPr>
      <w:bookmarkStart w:id="77" w:name="_Toc475358492"/>
      <w:r w:rsidRPr="00E7098C">
        <w:rPr>
          <w:lang w:val="en-AU"/>
        </w:rPr>
        <w:t>Learning from policy dialogue initiatives of others</w:t>
      </w:r>
      <w:bookmarkEnd w:id="77"/>
    </w:p>
    <w:p w14:paraId="1B43585A" w14:textId="41295659" w:rsidR="00BC43D0" w:rsidRDefault="00BC43D0" w:rsidP="00715AC7">
      <w:pPr>
        <w:pStyle w:val="BodyText"/>
      </w:pPr>
      <w:r>
        <w:t>There are some good and relevant modalities and approaches that DFAT and its implementing partners can learn from and</w:t>
      </w:r>
      <w:r w:rsidR="00453B67">
        <w:t>/or</w:t>
      </w:r>
      <w:r>
        <w:t xml:space="preserve"> adapt.</w:t>
      </w:r>
    </w:p>
    <w:p w14:paraId="1E7E9D99" w14:textId="13FBAFD9" w:rsidR="003D790E" w:rsidRPr="00BC43D0" w:rsidRDefault="003D790E" w:rsidP="009228CA">
      <w:pPr>
        <w:pStyle w:val="BodyText"/>
        <w:numPr>
          <w:ilvl w:val="0"/>
          <w:numId w:val="44"/>
        </w:numPr>
        <w:rPr>
          <w:i/>
        </w:rPr>
      </w:pPr>
      <w:r w:rsidRPr="00BC43D0">
        <w:rPr>
          <w:i/>
        </w:rPr>
        <w:t>DFAT and its partners should review lessons learned from policy dialogue initiatives of others</w:t>
      </w:r>
      <w:r w:rsidR="00BC43D0" w:rsidRPr="00BC43D0">
        <w:rPr>
          <w:i/>
        </w:rPr>
        <w:t>,</w:t>
      </w:r>
      <w:r w:rsidRPr="00BC43D0">
        <w:rPr>
          <w:i/>
        </w:rPr>
        <w:t xml:space="preserve"> </w:t>
      </w:r>
      <w:r w:rsidR="00BC43D0" w:rsidRPr="00BC43D0">
        <w:rPr>
          <w:i/>
        </w:rPr>
        <w:t>f</w:t>
      </w:r>
      <w:r w:rsidRPr="00BC43D0">
        <w:rPr>
          <w:i/>
        </w:rPr>
        <w:t>or example:</w:t>
      </w:r>
    </w:p>
    <w:p w14:paraId="7A70A82E" w14:textId="7B75EBC0" w:rsidR="003D790E" w:rsidRPr="00E7098C" w:rsidRDefault="003D790E" w:rsidP="009228CA">
      <w:pPr>
        <w:pStyle w:val="BodyText"/>
        <w:numPr>
          <w:ilvl w:val="0"/>
          <w:numId w:val="45"/>
        </w:numPr>
        <w:rPr>
          <w:rFonts w:cs="Times"/>
        </w:rPr>
      </w:pPr>
      <w:r w:rsidRPr="00E7098C">
        <w:t xml:space="preserve">SEI has a strong focus on identifying and engaging with boundary partners that may be individuals, groups or </w:t>
      </w:r>
      <w:r w:rsidR="009877E8" w:rsidRPr="00E7098C">
        <w:t>organi</w:t>
      </w:r>
      <w:r w:rsidR="00340706">
        <w:t>s</w:t>
      </w:r>
      <w:r w:rsidR="009877E8" w:rsidRPr="00E7098C">
        <w:t>ations</w:t>
      </w:r>
      <w:r w:rsidRPr="00E7098C">
        <w:t xml:space="preserve"> with whom SUMERNET interacts directly and can anticipat</w:t>
      </w:r>
      <w:r w:rsidR="0049563C">
        <w:t xml:space="preserve">e opportunities for influence. </w:t>
      </w:r>
      <w:r w:rsidRPr="00E7098C">
        <w:t xml:space="preserve">SEI/SUMERNET explicitly </w:t>
      </w:r>
      <w:r w:rsidR="00BC43D0" w:rsidRPr="00E7098C">
        <w:rPr>
          <w:lang w:val="en-AU"/>
        </w:rPr>
        <w:t>strategi</w:t>
      </w:r>
      <w:r w:rsidR="00340706">
        <w:rPr>
          <w:lang w:val="en-AU"/>
        </w:rPr>
        <w:t>s</w:t>
      </w:r>
      <w:r w:rsidR="00BC43D0" w:rsidRPr="00E7098C">
        <w:rPr>
          <w:lang w:val="en-AU"/>
        </w:rPr>
        <w:t>e</w:t>
      </w:r>
      <w:r w:rsidRPr="00E7098C">
        <w:t xml:space="preserve"> how to work with these influential boundary partners, but they do not control them.</w:t>
      </w:r>
    </w:p>
    <w:p w14:paraId="4EF0F65B" w14:textId="77777777" w:rsidR="003D790E" w:rsidRPr="00E7098C" w:rsidRDefault="003D790E" w:rsidP="009228CA">
      <w:pPr>
        <w:pStyle w:val="BodyText"/>
        <w:numPr>
          <w:ilvl w:val="0"/>
          <w:numId w:val="45"/>
        </w:numPr>
        <w:rPr>
          <w:rFonts w:cstheme="minorHAnsi"/>
          <w:bCs/>
        </w:rPr>
      </w:pPr>
      <w:r w:rsidRPr="00E7098C">
        <w:rPr>
          <w:rFonts w:cstheme="minorHAnsi"/>
          <w:bCs/>
        </w:rPr>
        <w:t>IUCN Mekong Water Dialogues established multi-sector, multi-stakeholder national working groups composed of 100% Mekong country citizens, empowered to select key issues for subsequent policy dialogue focus.</w:t>
      </w:r>
    </w:p>
    <w:p w14:paraId="0D27CE77" w14:textId="77777777" w:rsidR="003D790E" w:rsidRPr="00E7098C" w:rsidRDefault="003D790E" w:rsidP="009228CA">
      <w:pPr>
        <w:pStyle w:val="BodyText"/>
        <w:numPr>
          <w:ilvl w:val="0"/>
          <w:numId w:val="45"/>
        </w:numPr>
        <w:rPr>
          <w:rFonts w:cstheme="minorHAnsi"/>
          <w:bCs/>
        </w:rPr>
      </w:pPr>
      <w:r w:rsidRPr="00E7098C">
        <w:rPr>
          <w:rFonts w:cstheme="minorHAnsi"/>
          <w:bCs/>
        </w:rPr>
        <w:t>The method of the global IUCN BRIDGE initiative includes: demonstration sites, learning, dialogue, leadership training, and ongoing advisory support.</w:t>
      </w:r>
    </w:p>
    <w:p w14:paraId="4B2850B2" w14:textId="77777777" w:rsidR="003D790E" w:rsidRPr="00E7098C" w:rsidRDefault="003D790E" w:rsidP="009228CA">
      <w:pPr>
        <w:pStyle w:val="BodyText"/>
        <w:numPr>
          <w:ilvl w:val="0"/>
          <w:numId w:val="45"/>
        </w:numPr>
        <w:rPr>
          <w:rFonts w:cstheme="minorHAnsi"/>
          <w:bCs/>
        </w:rPr>
      </w:pPr>
      <w:r w:rsidRPr="00E7098C">
        <w:rPr>
          <w:rFonts w:cstheme="minorHAnsi"/>
          <w:bCs/>
        </w:rPr>
        <w:t>BES-NET trialogues are part of a new global process that is focusing on ecosystems policy dialogue.  The method is to create structured interfaces at various levels on high-priority themes, aiming to influence each of the core constituencies represented in the multi-stakeholder processes – scientists, public and corporate policy authorities, and field practitioners.</w:t>
      </w:r>
    </w:p>
    <w:p w14:paraId="357B2E1F" w14:textId="56073700" w:rsidR="00406CE0" w:rsidRDefault="00406CE0" w:rsidP="009877E8">
      <w:pPr>
        <w:pStyle w:val="Heading3"/>
        <w:tabs>
          <w:tab w:val="clear" w:pos="1561"/>
          <w:tab w:val="num" w:pos="851"/>
        </w:tabs>
        <w:ind w:left="851"/>
        <w:rPr>
          <w:lang w:val="en-AU"/>
        </w:rPr>
      </w:pPr>
      <w:bookmarkStart w:id="78" w:name="_Toc475358493"/>
      <w:r w:rsidRPr="00E7098C">
        <w:rPr>
          <w:lang w:val="en-AU"/>
        </w:rPr>
        <w:t>Specific matters needing attention with existing implementation partners</w:t>
      </w:r>
      <w:bookmarkEnd w:id="78"/>
    </w:p>
    <w:p w14:paraId="6DD5F189" w14:textId="713D3EBA" w:rsidR="00BC43D0" w:rsidRPr="00BC43D0" w:rsidRDefault="00BC43D0" w:rsidP="00715AC7">
      <w:pPr>
        <w:pStyle w:val="BodyText"/>
        <w:rPr>
          <w:lang w:val="en-AU"/>
        </w:rPr>
      </w:pPr>
      <w:r w:rsidRPr="00BC43D0">
        <w:rPr>
          <w:lang w:val="en-AU"/>
        </w:rPr>
        <w:t>The following are specific recommendations that DFAT and its implementing partners may wish to consider:</w:t>
      </w:r>
    </w:p>
    <w:p w14:paraId="40C40819" w14:textId="2C1C37A3" w:rsidR="00406CE0" w:rsidRPr="00932FBF" w:rsidRDefault="00406CE0" w:rsidP="009228CA">
      <w:pPr>
        <w:pStyle w:val="BodyText"/>
        <w:numPr>
          <w:ilvl w:val="0"/>
          <w:numId w:val="44"/>
        </w:numPr>
        <w:rPr>
          <w:iCs/>
        </w:rPr>
      </w:pPr>
      <w:r w:rsidRPr="00E7098C">
        <w:rPr>
          <w:b/>
          <w:bCs/>
          <w:iCs/>
          <w:lang w:val="en-AU"/>
        </w:rPr>
        <w:lastRenderedPageBreak/>
        <w:t>Greater Mekong Forum on Water Food and Energ</w:t>
      </w:r>
      <w:r w:rsidRPr="00E7098C">
        <w:rPr>
          <w:bCs/>
          <w:iCs/>
          <w:lang w:val="en-AU"/>
        </w:rPr>
        <w:t xml:space="preserve">y has been well known as a regional platform for networking and exchange/sharing of knowledge. </w:t>
      </w:r>
      <w:r w:rsidRPr="00E7098C">
        <w:rPr>
          <w:iCs/>
        </w:rPr>
        <w:t>It is critical to design and conduct the Greater Mekong Forum with a more</w:t>
      </w:r>
      <w:r w:rsidR="0049563C">
        <w:rPr>
          <w:iCs/>
        </w:rPr>
        <w:t xml:space="preserve"> “regionally empowering” look. </w:t>
      </w:r>
      <w:r w:rsidRPr="00E7098C">
        <w:rPr>
          <w:iCs/>
        </w:rPr>
        <w:t>The themes, forms of presentation and deliberation need to move beyond “sharing of research results and networking” to a more policy deliberation and informed decision-making setting.</w:t>
      </w:r>
      <w:r w:rsidRPr="00E7098C">
        <w:t xml:space="preserve"> </w:t>
      </w:r>
      <w:r w:rsidRPr="00E7098C">
        <w:rPr>
          <w:iCs/>
        </w:rPr>
        <w:t xml:space="preserve">It is also noticeable that the Forum does not attract higher level policy makers (either from government or the private sector). </w:t>
      </w:r>
      <w:r w:rsidRPr="00932FBF">
        <w:rPr>
          <w:bCs/>
          <w:iCs/>
          <w:lang w:val="en-AU"/>
        </w:rPr>
        <w:t>Efforts will need to be made to ensure the right balance of participants and roles in presenting, leading of the sessions and forum from the region and elsewhere, and some thought should be given to organi</w:t>
      </w:r>
      <w:r w:rsidR="00340706" w:rsidRPr="00932FBF">
        <w:rPr>
          <w:bCs/>
          <w:iCs/>
          <w:lang w:val="en-AU"/>
        </w:rPr>
        <w:t>s</w:t>
      </w:r>
      <w:r w:rsidRPr="00932FBF">
        <w:rPr>
          <w:bCs/>
          <w:iCs/>
          <w:lang w:val="en-AU"/>
        </w:rPr>
        <w:t>ing each time a pre-or post-Forum half day session for policy makers, designed around some key policy issues.</w:t>
      </w:r>
    </w:p>
    <w:p w14:paraId="52D253E7" w14:textId="2B80D99B" w:rsidR="0071126E" w:rsidRPr="00BC43D0" w:rsidRDefault="0071126E" w:rsidP="009228CA">
      <w:pPr>
        <w:pStyle w:val="BodyText"/>
        <w:numPr>
          <w:ilvl w:val="0"/>
          <w:numId w:val="44"/>
        </w:numPr>
        <w:rPr>
          <w:bCs/>
          <w:lang w:val="en-AU"/>
        </w:rPr>
      </w:pPr>
      <w:r w:rsidRPr="00BC43D0">
        <w:rPr>
          <w:b/>
          <w:bCs/>
          <w:lang w:val="en-AU"/>
        </w:rPr>
        <w:t>IWMI/WLE</w:t>
      </w:r>
      <w:r w:rsidRPr="00E4535D">
        <w:rPr>
          <w:lang w:val="en-AU"/>
        </w:rPr>
        <w:t xml:space="preserve"> need</w:t>
      </w:r>
      <w:r w:rsidRPr="00BC43D0">
        <w:rPr>
          <w:bCs/>
          <w:lang w:val="en-AU"/>
        </w:rPr>
        <w:t xml:space="preserve"> to invest more in the policy dialogue and coordination for change (C4C) component, to be carried out by a team of highly competent nationals from the Greater Mekong with a network of political connections at the decision-making level, and the right personality/attitude/commitment for effective policy lobbying/influence.</w:t>
      </w:r>
    </w:p>
    <w:p w14:paraId="7981E3F8" w14:textId="77777777" w:rsidR="0071126E" w:rsidRPr="00BC43D0" w:rsidRDefault="0071126E" w:rsidP="009228CA">
      <w:pPr>
        <w:pStyle w:val="BodyText"/>
        <w:numPr>
          <w:ilvl w:val="0"/>
          <w:numId w:val="44"/>
        </w:numPr>
        <w:rPr>
          <w:bCs/>
          <w:lang w:val="en-AU"/>
        </w:rPr>
      </w:pPr>
      <w:r w:rsidRPr="00BC43D0">
        <w:rPr>
          <w:b/>
          <w:bCs/>
          <w:lang w:val="en-AU"/>
        </w:rPr>
        <w:t>IFC</w:t>
      </w:r>
      <w:r w:rsidRPr="00BC43D0">
        <w:rPr>
          <w:bCs/>
          <w:lang w:val="en-AU"/>
        </w:rPr>
        <w:t>:  The IFC team needs to be strengthened and would especially benefit from the addition of a senior policy officer/deputy team leader level position, considering its increasing work-load.</w:t>
      </w:r>
    </w:p>
    <w:p w14:paraId="4F86F314" w14:textId="59443CF2" w:rsidR="00142266" w:rsidRPr="00932FBF" w:rsidRDefault="00142266" w:rsidP="00932FBF">
      <w:pPr>
        <w:pStyle w:val="BodyText"/>
      </w:pPr>
      <w:r w:rsidRPr="00932FBF">
        <w:t>MRC is the only transboundary river basin organi</w:t>
      </w:r>
      <w:r w:rsidR="00340706" w:rsidRPr="00932FBF">
        <w:t>s</w:t>
      </w:r>
      <w:r w:rsidRPr="00932FBF">
        <w:t>ation with a legal and political mandate in the region. DFAT has been instrumental in supporting the MRC for a considerable time. The perception of its relevance is still being questioned by various key stakeholders, so with regards to policy dialogue approaches with MRC, it is important that:</w:t>
      </w:r>
    </w:p>
    <w:p w14:paraId="4DAEB295" w14:textId="00657E98" w:rsidR="00BC43D0" w:rsidRPr="00BC43D0" w:rsidRDefault="0071126E" w:rsidP="009228CA">
      <w:pPr>
        <w:pStyle w:val="BodyText"/>
        <w:numPr>
          <w:ilvl w:val="0"/>
          <w:numId w:val="44"/>
        </w:numPr>
        <w:rPr>
          <w:bCs/>
          <w:lang w:val="en-AU"/>
        </w:rPr>
      </w:pPr>
      <w:r w:rsidRPr="00BC43D0">
        <w:rPr>
          <w:b/>
          <w:bCs/>
          <w:lang w:val="en-AU"/>
        </w:rPr>
        <w:t>MRC</w:t>
      </w:r>
      <w:r w:rsidRPr="00BC43D0">
        <w:rPr>
          <w:bCs/>
          <w:lang w:val="en-AU"/>
        </w:rPr>
        <w:t xml:space="preserve">:  DFAT should continue its past and present intensive effort to press for more meaningful public participation by MRC and help MRC together with other DPs, such as Germany, SDC and EU etc., to ensure that the PNPCA and the MRC Council Study are conducted effectively and efficiently to inform transboundary river basin development that will be fair, sustainable and inclusive.  </w:t>
      </w:r>
    </w:p>
    <w:p w14:paraId="1D5BB25F" w14:textId="742F17BD" w:rsidR="0071126E" w:rsidRDefault="0071126E" w:rsidP="009228CA">
      <w:pPr>
        <w:pStyle w:val="BodyText"/>
        <w:numPr>
          <w:ilvl w:val="0"/>
          <w:numId w:val="44"/>
        </w:numPr>
        <w:rPr>
          <w:bCs/>
          <w:lang w:val="en-AU"/>
        </w:rPr>
      </w:pPr>
      <w:r w:rsidRPr="00BC43D0">
        <w:rPr>
          <w:b/>
          <w:bCs/>
          <w:lang w:val="en-AU"/>
        </w:rPr>
        <w:t>MRC</w:t>
      </w:r>
      <w:r w:rsidRPr="00BC43D0">
        <w:rPr>
          <w:bCs/>
          <w:lang w:val="en-AU"/>
        </w:rPr>
        <w:t>: As part of this, DFAT should continue to push for the adoption and public release of the lessons learned from the prior notification exercises and help to address identified issues affecting the PNPCA; and should continue to support the understanding of the implementation of the PNPCA as just one part of a broader set of necessary activities that make up a Pre-PNPCA; PNPCA; and Post-PNPCA life-cycle.</w:t>
      </w:r>
    </w:p>
    <w:p w14:paraId="196D42AA" w14:textId="6579A1B0" w:rsidR="00932FBF" w:rsidRPr="003D0B4B" w:rsidRDefault="009228CA" w:rsidP="00932FBF">
      <w:pPr>
        <w:pStyle w:val="BodyText"/>
        <w:rPr>
          <w:b/>
          <w:bCs/>
        </w:rPr>
      </w:pPr>
      <w:r w:rsidRPr="003D0B4B">
        <w:rPr>
          <w:b/>
          <w:bCs/>
        </w:rPr>
        <w:t>Gender</w:t>
      </w:r>
      <w:r w:rsidR="00932FBF" w:rsidRPr="003D0B4B">
        <w:rPr>
          <w:b/>
          <w:bCs/>
        </w:rPr>
        <w:t>:</w:t>
      </w:r>
    </w:p>
    <w:p w14:paraId="78519624" w14:textId="4DF08031" w:rsidR="003533BF" w:rsidRPr="00BC43D0" w:rsidRDefault="0071126E" w:rsidP="009228CA">
      <w:pPr>
        <w:pStyle w:val="BodyText"/>
        <w:numPr>
          <w:ilvl w:val="0"/>
          <w:numId w:val="44"/>
        </w:numPr>
        <w:rPr>
          <w:rFonts w:cs="Segoe UI"/>
          <w:color w:val="000000"/>
          <w:lang w:val="en-CA" w:eastAsia="en-CA"/>
        </w:rPr>
      </w:pPr>
      <w:r w:rsidRPr="00BC43D0">
        <w:rPr>
          <w:b/>
          <w:lang w:val="en-AU"/>
        </w:rPr>
        <w:t>Gender</w:t>
      </w:r>
      <w:r w:rsidR="0049563C">
        <w:rPr>
          <w:lang w:val="en-AU"/>
        </w:rPr>
        <w:t xml:space="preserve">: </w:t>
      </w:r>
      <w:r w:rsidRPr="00BC43D0">
        <w:rPr>
          <w:lang w:val="en-AU"/>
        </w:rPr>
        <w:t>While considerable progress has been made on gender issues particularly by Oxfam, and through some IWMI investments, and a new gender and hydropower initiative is being kicked off in Myanmar, more can still be done. Implementing Partners (particularly MRC) would benefit from systematically strengthening their own internal organisational gender capacity and giving gender issues greater priority and visibility in the investment of their projects and programs.</w:t>
      </w:r>
      <w:r w:rsidR="003533BF" w:rsidRPr="00BC43D0">
        <w:rPr>
          <w:rFonts w:cs="Segoe UI"/>
          <w:color w:val="000000"/>
          <w:lang w:val="en-CA" w:eastAsia="en-CA"/>
        </w:rPr>
        <w:t xml:space="preserve"> </w:t>
      </w:r>
    </w:p>
    <w:p w14:paraId="06FB78EA" w14:textId="77777777" w:rsidR="00A43BCA" w:rsidRPr="009228CA" w:rsidRDefault="002F2F7B" w:rsidP="009228CA">
      <w:pPr>
        <w:pStyle w:val="BodyText"/>
      </w:pPr>
      <w:r w:rsidRPr="009228CA">
        <w:rPr>
          <w:b/>
        </w:rPr>
        <w:t>Communication:</w:t>
      </w:r>
      <w:r w:rsidRPr="009228CA">
        <w:t xml:space="preserve"> </w:t>
      </w:r>
      <w:r w:rsidR="003533BF" w:rsidRPr="009228CA">
        <w:t>The individual brands of the pillar leads, are more recognisable, and their communications are more prominent than that of DFAT and the GMWRP. For example, the IFC pillar has made significant efforts in communications, and many relevant news stories</w:t>
      </w:r>
      <w:r w:rsidRPr="009228CA">
        <w:t xml:space="preserve"> can be found on their website. </w:t>
      </w:r>
    </w:p>
    <w:p w14:paraId="0F33E594" w14:textId="30AAA4B7" w:rsidR="00A43BCA" w:rsidRPr="00A43BCA" w:rsidRDefault="002F2F7B" w:rsidP="009228CA">
      <w:pPr>
        <w:pStyle w:val="BodyText"/>
        <w:numPr>
          <w:ilvl w:val="0"/>
          <w:numId w:val="44"/>
        </w:numPr>
        <w:rPr>
          <w:lang w:val="en-AU"/>
        </w:rPr>
      </w:pPr>
      <w:r w:rsidRPr="00A43BCA">
        <w:rPr>
          <w:lang w:bidi="th-TH"/>
        </w:rPr>
        <w:t>W</w:t>
      </w:r>
      <w:r w:rsidR="003533BF" w:rsidRPr="00A43BCA">
        <w:rPr>
          <w:lang w:val="en-AU"/>
        </w:rPr>
        <w:t xml:space="preserve">hole program’s communication and publicity </w:t>
      </w:r>
      <w:r w:rsidR="0071126E" w:rsidRPr="00A43BCA">
        <w:rPr>
          <w:lang w:val="en-AU"/>
        </w:rPr>
        <w:t>should be balanced against the possible benefits of clearly communicating DFAT’s support for a cohesive programme to other development partners, to the citizens of the region and to the Australian tax-payers.</w:t>
      </w:r>
      <w:r w:rsidR="00A43BCA" w:rsidRPr="00A43BCA">
        <w:rPr>
          <w:lang w:val="en-AU"/>
        </w:rPr>
        <w:t xml:space="preserve"> While the DFAT Water team</w:t>
      </w:r>
      <w:r w:rsidR="003D0B4B">
        <w:rPr>
          <w:lang w:val="en-AU"/>
        </w:rPr>
        <w:t xml:space="preserve"> </w:t>
      </w:r>
      <w:r w:rsidR="003D0B4B" w:rsidRPr="003F79CF">
        <w:rPr>
          <w:rFonts w:asciiTheme="minorHAnsi" w:hAnsiTheme="minorHAnsi"/>
          <w:lang w:val="en-AU"/>
        </w:rPr>
        <w:t>may not</w:t>
      </w:r>
      <w:r w:rsidR="003D0B4B">
        <w:rPr>
          <w:rFonts w:asciiTheme="minorHAnsi" w:hAnsiTheme="minorHAnsi"/>
          <w:lang w:val="en-AU"/>
        </w:rPr>
        <w:t xml:space="preserve"> need to communicate on all aspects of the program on every occasion</w:t>
      </w:r>
      <w:r w:rsidR="00A43BCA" w:rsidRPr="00A43BCA">
        <w:rPr>
          <w:lang w:val="en-AU"/>
        </w:rPr>
        <w:t>, this should be balanced against the possible benefits of clearly communicating DFAT’s support for a cohesive programme to other development partners, to the citizens of the region and to the Australian tax-payers.</w:t>
      </w:r>
    </w:p>
    <w:p w14:paraId="17AA916B" w14:textId="29C9FD61" w:rsidR="0071126E" w:rsidRPr="002F2F7B" w:rsidRDefault="0071126E" w:rsidP="009228CA">
      <w:pPr>
        <w:pStyle w:val="BodyText"/>
        <w:numPr>
          <w:ilvl w:val="0"/>
          <w:numId w:val="44"/>
        </w:numPr>
        <w:rPr>
          <w:lang w:val="en-AU"/>
        </w:rPr>
      </w:pPr>
      <w:r w:rsidRPr="002F2F7B">
        <w:rPr>
          <w:lang w:val="en-AU"/>
        </w:rPr>
        <w:lastRenderedPageBreak/>
        <w:t>Implementing partners should work together with the DFAT</w:t>
      </w:r>
      <w:r w:rsidR="00F7090B">
        <w:rPr>
          <w:lang w:val="en-AU"/>
        </w:rPr>
        <w:t xml:space="preserve"> Greater</w:t>
      </w:r>
      <w:r w:rsidRPr="002F2F7B">
        <w:rPr>
          <w:lang w:val="en-AU"/>
        </w:rPr>
        <w:t xml:space="preserve"> Mekong Water Team to develop some GMWRP program-level communications products. These would be useful for raising the profile of the program as a whole, as well as communicating some of the key program level messages on water governance to specific target audiences. This would have the added benefit of fostering additional collaboration between the implementing partners.</w:t>
      </w:r>
    </w:p>
    <w:p w14:paraId="1E5D960C" w14:textId="79880D43" w:rsidR="003533BF" w:rsidRPr="00E7098C" w:rsidRDefault="003533BF" w:rsidP="009877E8">
      <w:pPr>
        <w:pStyle w:val="Heading3"/>
        <w:tabs>
          <w:tab w:val="clear" w:pos="1561"/>
          <w:tab w:val="num" w:pos="851"/>
        </w:tabs>
        <w:spacing w:before="120"/>
        <w:ind w:left="851"/>
        <w:rPr>
          <w:lang w:val="en-AU"/>
        </w:rPr>
      </w:pPr>
      <w:bookmarkStart w:id="79" w:name="_Toc475358494"/>
      <w:r w:rsidRPr="00E7098C">
        <w:rPr>
          <w:lang w:val="en-AU"/>
        </w:rPr>
        <w:t>Sustaining Australian engagement in Greater Mekong water governance</w:t>
      </w:r>
      <w:bookmarkEnd w:id="79"/>
    </w:p>
    <w:p w14:paraId="45984B20" w14:textId="50E31611" w:rsidR="003533BF" w:rsidRPr="00E7098C" w:rsidRDefault="003533BF" w:rsidP="00715AC7">
      <w:pPr>
        <w:pStyle w:val="BodyText"/>
      </w:pPr>
      <w:r w:rsidRPr="00E7098C">
        <w:t>DFAT has a strong convening power to organi</w:t>
      </w:r>
      <w:r w:rsidR="00340706">
        <w:t>s</w:t>
      </w:r>
      <w:r w:rsidRPr="00E7098C">
        <w:t xml:space="preserve">e partners' meetings, donor mapping and collaboration exercises, and fellowship conferences etc. </w:t>
      </w:r>
      <w:r w:rsidR="00A01B3E" w:rsidRPr="00E7098C">
        <w:t>The coordination among the partners is done through regular partners’ meetings, however, the follow-up and materiali</w:t>
      </w:r>
      <w:r w:rsidR="00340706">
        <w:t>s</w:t>
      </w:r>
      <w:r w:rsidR="00A01B3E" w:rsidRPr="00E7098C">
        <w:t>ation of the coordination and collaboration promises must be strengthened.</w:t>
      </w:r>
    </w:p>
    <w:p w14:paraId="5A6DD21F" w14:textId="1906C453" w:rsidR="003533BF" w:rsidRPr="003D0B4B" w:rsidRDefault="00A01B3E" w:rsidP="009228CA">
      <w:pPr>
        <w:pStyle w:val="BodyText"/>
        <w:numPr>
          <w:ilvl w:val="0"/>
          <w:numId w:val="44"/>
        </w:numPr>
      </w:pPr>
      <w:r w:rsidRPr="00E7098C">
        <w:rPr>
          <w:b/>
        </w:rPr>
        <w:t>Meaningful coordination</w:t>
      </w:r>
      <w:r w:rsidRPr="00E7098C">
        <w:t xml:space="preserve">: </w:t>
      </w:r>
      <w:r w:rsidR="003533BF" w:rsidRPr="00E7098C">
        <w:t>While recogni</w:t>
      </w:r>
      <w:r w:rsidR="00340706">
        <w:t>s</w:t>
      </w:r>
      <w:r w:rsidR="003533BF" w:rsidRPr="00E7098C">
        <w:t xml:space="preserve">ing diversity among the implementing partners, it is critical to have a better strategy to overcome the existing silo mentality of a diverse group of actors, and move towards stronger togetherness. It is important for a more systematic follow-up and </w:t>
      </w:r>
      <w:r w:rsidR="003533BF" w:rsidRPr="003D0B4B">
        <w:t>materiali</w:t>
      </w:r>
      <w:r w:rsidR="00340706" w:rsidRPr="003D0B4B">
        <w:t>s</w:t>
      </w:r>
      <w:r w:rsidR="003533BF" w:rsidRPr="003D0B4B">
        <w:t xml:space="preserve">ation of the promised actions and collaborations. </w:t>
      </w:r>
    </w:p>
    <w:p w14:paraId="6BE6E208" w14:textId="1AFDD9BF" w:rsidR="00A01B3E" w:rsidRPr="003D0B4B" w:rsidRDefault="00A01B3E" w:rsidP="009228CA">
      <w:pPr>
        <w:pStyle w:val="BodyText"/>
        <w:numPr>
          <w:ilvl w:val="0"/>
          <w:numId w:val="44"/>
        </w:numPr>
        <w:rPr>
          <w:bCs/>
        </w:rPr>
      </w:pPr>
      <w:r w:rsidRPr="003D0B4B">
        <w:rPr>
          <w:b/>
          <w:bCs/>
        </w:rPr>
        <w:t>Program Staff</w:t>
      </w:r>
      <w:r w:rsidRPr="003D0B4B">
        <w:rPr>
          <w:bCs/>
        </w:rPr>
        <w:t>: DFAT</w:t>
      </w:r>
      <w:r w:rsidR="00F7090B" w:rsidRPr="003D0B4B">
        <w:rPr>
          <w:bCs/>
        </w:rPr>
        <w:t xml:space="preserve"> Greater</w:t>
      </w:r>
      <w:r w:rsidRPr="003D0B4B">
        <w:rPr>
          <w:bCs/>
        </w:rPr>
        <w:t xml:space="preserve"> Mekong Water Team staff level of effort and staff turn-over need to be carefully planned for, as the current profile expertise and efficiency of the policy dialogue and engagements are strongly built around two extremely proactive and engaged individuals and their networks. </w:t>
      </w:r>
    </w:p>
    <w:p w14:paraId="137A44F2" w14:textId="170B04CE" w:rsidR="00A01B3E" w:rsidRPr="002F2F7B" w:rsidRDefault="00A01B3E" w:rsidP="009228CA">
      <w:pPr>
        <w:pStyle w:val="BodyText"/>
        <w:numPr>
          <w:ilvl w:val="0"/>
          <w:numId w:val="44"/>
        </w:numPr>
      </w:pPr>
      <w:r w:rsidRPr="002F2F7B">
        <w:rPr>
          <w:rFonts w:cs="Arial"/>
          <w:b/>
          <w:iCs/>
          <w:lang w:bidi="th-TH"/>
        </w:rPr>
        <w:t>Sustaining Engagement</w:t>
      </w:r>
      <w:r w:rsidRPr="002F2F7B">
        <w:rPr>
          <w:rFonts w:cs="Arial"/>
          <w:iCs/>
          <w:lang w:bidi="th-TH"/>
        </w:rPr>
        <w:t xml:space="preserve">: Achieving effective river basin governance and management </w:t>
      </w:r>
      <w:r w:rsidR="00C32435">
        <w:rPr>
          <w:rFonts w:cs="Arial"/>
          <w:iCs/>
          <w:lang w:bidi="th-TH"/>
        </w:rPr>
        <w:t>requires 20-30 year engagements</w:t>
      </w:r>
      <w:r w:rsidR="009228CA">
        <w:rPr>
          <w:rFonts w:cs="Arial"/>
          <w:iCs/>
          <w:lang w:bidi="th-TH"/>
        </w:rPr>
        <w:t>.</w:t>
      </w:r>
    </w:p>
    <w:p w14:paraId="34205343" w14:textId="77777777" w:rsidR="009877E8" w:rsidRDefault="009877E8" w:rsidP="00C32435">
      <w:pPr>
        <w:pStyle w:val="Heading2"/>
      </w:pPr>
      <w:bookmarkStart w:id="80" w:name="_Toc470715885"/>
      <w:bookmarkStart w:id="81" w:name="_Toc475358495"/>
      <w:r>
        <w:t>Quality control and quality assurance</w:t>
      </w:r>
      <w:bookmarkEnd w:id="80"/>
      <w:bookmarkEnd w:id="81"/>
    </w:p>
    <w:p w14:paraId="5726F633" w14:textId="6553DA9D" w:rsidR="009877E8" w:rsidRPr="002316AF" w:rsidRDefault="007E013C" w:rsidP="009877E8">
      <w:pPr>
        <w:pStyle w:val="Heading3"/>
        <w:tabs>
          <w:tab w:val="num" w:pos="851"/>
        </w:tabs>
        <w:ind w:left="851"/>
      </w:pPr>
      <w:bookmarkStart w:id="82" w:name="_Toc470715886"/>
      <w:bookmarkStart w:id="83" w:name="_Toc475358496"/>
      <w:r>
        <w:t xml:space="preserve">Report explains </w:t>
      </w:r>
      <w:r w:rsidR="009877E8" w:rsidRPr="002316AF">
        <w:t xml:space="preserve">extent </w:t>
      </w:r>
      <w:r>
        <w:t>that</w:t>
      </w:r>
      <w:r w:rsidR="009877E8" w:rsidRPr="002316AF">
        <w:t xml:space="preserve"> evide</w:t>
      </w:r>
      <w:r>
        <w:t>nce supports the</w:t>
      </w:r>
      <w:r w:rsidR="009877E8" w:rsidRPr="002316AF">
        <w:t xml:space="preserve"> judgments</w:t>
      </w:r>
      <w:bookmarkEnd w:id="82"/>
      <w:bookmarkEnd w:id="83"/>
    </w:p>
    <w:p w14:paraId="0CBFD999" w14:textId="555E8052" w:rsidR="009877E8" w:rsidRPr="000862E4" w:rsidRDefault="009877E8" w:rsidP="00715AC7">
      <w:pPr>
        <w:pStyle w:val="BodyText"/>
      </w:pPr>
      <w:r w:rsidRPr="000862E4">
        <w:t xml:space="preserve">The key findings were shared and clarified regularly with the </w:t>
      </w:r>
      <w:r w:rsidR="00AB55EB">
        <w:t xml:space="preserve">Greater </w:t>
      </w:r>
      <w:r w:rsidRPr="000862E4">
        <w:t xml:space="preserve">Mekong Water Team, and concerned Implementing Partners and interviewees. The basis of the findings and related conclusions were communicated clearly to them through both face to face meetings, skype call. </w:t>
      </w:r>
      <w:r w:rsidRPr="000862E4">
        <w:rPr>
          <w:rFonts w:cstheme="minorHAnsi"/>
        </w:rPr>
        <w:t xml:space="preserve">The preliminary results of the design assignment are to be presented and discussed with the key partners and Mekong Posts during the first </w:t>
      </w:r>
      <w:r w:rsidR="007E013C">
        <w:rPr>
          <w:rFonts w:cstheme="minorHAnsi"/>
        </w:rPr>
        <w:t>months of 2017, including at GMWRP program partner steering committee meetings</w:t>
      </w:r>
      <w:r w:rsidRPr="000862E4">
        <w:t>.</w:t>
      </w:r>
    </w:p>
    <w:p w14:paraId="4E1EAAB9" w14:textId="0AEC0A81" w:rsidR="009877E8" w:rsidRPr="002316AF" w:rsidRDefault="009877E8" w:rsidP="00715AC7">
      <w:pPr>
        <w:pStyle w:val="BodyText"/>
      </w:pPr>
      <w:r>
        <w:t xml:space="preserve">As </w:t>
      </w:r>
      <w:r w:rsidR="007E013C">
        <w:t>t</w:t>
      </w:r>
      <w:r w:rsidRPr="006303C3">
        <w:t xml:space="preserve">he information is brought together from a range of sources, </w:t>
      </w:r>
      <w:r>
        <w:t xml:space="preserve">the evaluators have made considerable effort to communicate it </w:t>
      </w:r>
      <w:r w:rsidRPr="006303C3">
        <w:t>as a coherent whole. In addition to sharing the views across respondents, and representatives of relevan</w:t>
      </w:r>
      <w:r w:rsidR="007E013C">
        <w:t>t special sub-groups (DFAT and implementing p</w:t>
      </w:r>
      <w:r w:rsidRPr="006303C3">
        <w:t>artners</w:t>
      </w:r>
      <w:r>
        <w:t>)</w:t>
      </w:r>
      <w:r w:rsidRPr="006303C3">
        <w:t>, the evaluators triangulated the findings against the documents (background papers, program/project documents, progress report, M&amp;E reports) and personal observation and experience.</w:t>
      </w:r>
    </w:p>
    <w:p w14:paraId="098861F0" w14:textId="77777777" w:rsidR="009877E8" w:rsidRPr="002316AF" w:rsidRDefault="009877E8" w:rsidP="009877E8">
      <w:pPr>
        <w:pStyle w:val="Heading3"/>
        <w:tabs>
          <w:tab w:val="clear" w:pos="1561"/>
          <w:tab w:val="num" w:pos="851"/>
        </w:tabs>
        <w:ind w:left="851"/>
      </w:pPr>
      <w:bookmarkStart w:id="84" w:name="_Toc470715887"/>
      <w:bookmarkStart w:id="85" w:name="_Toc475358497"/>
      <w:r w:rsidRPr="002316AF">
        <w:t>Alternative points of view are presented and considered where appropriate</w:t>
      </w:r>
      <w:bookmarkEnd w:id="84"/>
      <w:bookmarkEnd w:id="85"/>
    </w:p>
    <w:p w14:paraId="5021E8C9" w14:textId="1304A880" w:rsidR="009877E8" w:rsidRDefault="009877E8" w:rsidP="00715AC7">
      <w:pPr>
        <w:pStyle w:val="BodyText"/>
      </w:pPr>
      <w:r w:rsidRPr="00715AC7">
        <w:t xml:space="preserve">Alternative views </w:t>
      </w:r>
      <w:r w:rsidR="007E013C">
        <w:t>have been heard and</w:t>
      </w:r>
      <w:r w:rsidRPr="00715AC7">
        <w:t xml:space="preserve"> seriously considered. Key stakeholder views such as those of the implementation partners </w:t>
      </w:r>
      <w:r w:rsidR="007E013C">
        <w:t>have been</w:t>
      </w:r>
      <w:r w:rsidRPr="00715AC7">
        <w:t xml:space="preserve"> given sufficient attention, and balanced by other partners, DFAT or other important stakeholder views.</w:t>
      </w:r>
    </w:p>
    <w:p w14:paraId="612D61F5" w14:textId="77777777" w:rsidR="00785690" w:rsidRPr="00715AC7" w:rsidRDefault="00785690" w:rsidP="00715AC7">
      <w:pPr>
        <w:pStyle w:val="BodyText"/>
      </w:pPr>
    </w:p>
    <w:p w14:paraId="2F500FB3" w14:textId="490F8EBA" w:rsidR="009877E8" w:rsidRPr="00715AC7" w:rsidRDefault="009877E8" w:rsidP="00715AC7">
      <w:pPr>
        <w:pStyle w:val="BodyText"/>
        <w:sectPr w:rsidR="009877E8" w:rsidRPr="00715AC7" w:rsidSect="005C6D4B">
          <w:pgSz w:w="11909" w:h="16834" w:code="9"/>
          <w:pgMar w:top="1440" w:right="1080" w:bottom="1440" w:left="1080" w:header="720" w:footer="720" w:gutter="0"/>
          <w:pgNumType w:start="1"/>
          <w:cols w:space="720"/>
          <w:docGrid w:linePitch="360"/>
        </w:sectPr>
      </w:pPr>
    </w:p>
    <w:p w14:paraId="3864CB85" w14:textId="65F4BE81" w:rsidR="00785690" w:rsidRPr="007E013C" w:rsidRDefault="00785690" w:rsidP="00785690">
      <w:pPr>
        <w:pStyle w:val="Heading1"/>
        <w:numPr>
          <w:ilvl w:val="0"/>
          <w:numId w:val="0"/>
        </w:numPr>
        <w:ind w:left="851" w:hanging="851"/>
      </w:pPr>
      <w:bookmarkStart w:id="86" w:name="_Toc475358498"/>
      <w:bookmarkStart w:id="87" w:name="_Ref190776319"/>
      <w:bookmarkStart w:id="88" w:name="_Ref190776738"/>
      <w:bookmarkStart w:id="89" w:name="_Toc474752836"/>
      <w:bookmarkStart w:id="90" w:name="_Toc76204103"/>
      <w:bookmarkStart w:id="91" w:name="_Toc76277538"/>
      <w:bookmarkStart w:id="92" w:name="_Toc91563554"/>
      <w:bookmarkEnd w:id="20"/>
      <w:bookmarkEnd w:id="33"/>
      <w:bookmarkEnd w:id="34"/>
      <w:r>
        <w:lastRenderedPageBreak/>
        <w:t xml:space="preserve">APPENDIX:  </w:t>
      </w:r>
      <w:r w:rsidRPr="007E013C">
        <w:t>case StudIES</w:t>
      </w:r>
      <w:bookmarkEnd w:id="86"/>
    </w:p>
    <w:p w14:paraId="0DE07E51" w14:textId="77777777" w:rsidR="00785690" w:rsidRPr="007E013C" w:rsidRDefault="00785690" w:rsidP="0021245F">
      <w:pPr>
        <w:pStyle w:val="Heading3"/>
        <w:numPr>
          <w:ilvl w:val="0"/>
          <w:numId w:val="0"/>
        </w:numPr>
      </w:pPr>
      <w:bookmarkStart w:id="93" w:name="_Ref470703813"/>
      <w:bookmarkStart w:id="94" w:name="_Toc470715855"/>
      <w:bookmarkStart w:id="95" w:name="_Ref472408432"/>
      <w:bookmarkStart w:id="96" w:name="_Toc475358499"/>
      <w:r>
        <w:t>Case 1:</w:t>
      </w:r>
      <w:r>
        <w:tab/>
      </w:r>
      <w:r w:rsidRPr="007E013C">
        <w:t>GMWRP policy dialogue</w:t>
      </w:r>
      <w:bookmarkEnd w:id="93"/>
      <w:bookmarkEnd w:id="94"/>
      <w:bookmarkEnd w:id="95"/>
      <w:bookmarkEnd w:id="96"/>
    </w:p>
    <w:p w14:paraId="785AAA76" w14:textId="0BADF75B" w:rsidR="00785690" w:rsidRPr="00715AC7" w:rsidRDefault="00785690" w:rsidP="00785690">
      <w:pPr>
        <w:pStyle w:val="BodyText"/>
      </w:pPr>
      <w:bookmarkStart w:id="97" w:name="_Toc470715856"/>
      <w:r w:rsidRPr="00715AC7">
        <w:t>The DFAT</w:t>
      </w:r>
      <w:r w:rsidR="00AB55EB">
        <w:t xml:space="preserve"> Greater</w:t>
      </w:r>
      <w:r w:rsidRPr="00715AC7">
        <w:t xml:space="preserve"> Mekong Water Team uses various mechanisms to continuously discuss issues and promote policy dialogue.  These include but are not limited to: annual DFAT’s partners’ meeting; bi-annual project steering committee meetings (with Oxfam Australia, IWMI-WLE and IFC); and the recently established Mekong Development Partners’ roundtable attended by key development partners – China, USA, Japan, Australia, European Union, Germany, Sweden, World Bank Group, ADB.</w:t>
      </w:r>
    </w:p>
    <w:p w14:paraId="494A642E" w14:textId="77777777" w:rsidR="00785690" w:rsidRPr="00715AC7" w:rsidRDefault="00785690" w:rsidP="00785690">
      <w:pPr>
        <w:pStyle w:val="BodyText"/>
      </w:pPr>
      <w:r w:rsidRPr="00715AC7">
        <w:t xml:space="preserve">The annual DFAT’s Implementing Partners meeting is convened to provide opportunity for the Mekong Water Team and Partners – MRC Secretariat, IFC, WLE, Oxfam, and other Australian partners including eWater Solutions, and ICEM, to meet, report and agree upon the collaboration and joint efforts for policy changes (attitude, commitment, policy content, and behaviour changes). </w:t>
      </w:r>
    </w:p>
    <w:p w14:paraId="45F22788" w14:textId="76D2BA0A" w:rsidR="00785690" w:rsidRPr="00715AC7" w:rsidRDefault="00785690" w:rsidP="00785690">
      <w:pPr>
        <w:pStyle w:val="BodyText"/>
      </w:pPr>
      <w:r w:rsidRPr="00715AC7">
        <w:t xml:space="preserve">The evaluative study team attended </w:t>
      </w:r>
      <w:r w:rsidR="00DC5E1E">
        <w:t>a</w:t>
      </w:r>
      <w:r w:rsidRPr="00715AC7">
        <w:t xml:space="preserve"> meeting that took place as a side event at the WLE Greater Mekong Forum on 7 November 2016 in Bangkok.  DFAT organised the meeting as most of its implementing partners were gathered in the city for the annual Greater Mekong Forum on Water Food and Energy.  The annual meeting lasted for about 3 to 4 hours and was facilitated by the Mekong Water Team in a very interactive and informative manner on the key “context change” such as i) significant change to the political economy, ii) water policy change opportunity, iii) regional architectures; and, iv) State and Civil Society Relations.  These analytical processes allowed the program and implementing partners also to assess the consequences or implication for the program and their investment projects.</w:t>
      </w:r>
    </w:p>
    <w:p w14:paraId="75E358AE" w14:textId="77777777" w:rsidR="00785690" w:rsidRPr="00715AC7" w:rsidRDefault="00785690" w:rsidP="00785690">
      <w:pPr>
        <w:pStyle w:val="BodyText"/>
      </w:pPr>
      <w:r w:rsidRPr="00715AC7">
        <w:t>The exchange of views on key political economy prevailing in the region further confirmed the need for conducting and reviewing Political Economy Analysis (PEA).  Only some of the GMWRP Implementing Partners have conducted PEAs or reviewed it periodically.  This should be done more consistently.  Firstly, each key partner could undertake their own individual PEA as it applies to their pillar.  Or secondly the program could do it as a whole.  Ideally it could be a two-step process with the completed individual PEAs shared and discussed and used to formulate a whole program updated PEA through a workshop.</w:t>
      </w:r>
    </w:p>
    <w:p w14:paraId="2DCE07F8" w14:textId="77777777" w:rsidR="00785690" w:rsidRPr="00715AC7" w:rsidRDefault="00785690" w:rsidP="00785690">
      <w:pPr>
        <w:pStyle w:val="BodyText"/>
      </w:pPr>
      <w:r w:rsidRPr="00715AC7">
        <w:t>A critical regional development discussed was the exponential increase in China’s grants and investment in Cambodia and Laos as it potentially makes these countries less reliant on aid from western nations and development banks, and less keen on serious efforts to improve governance.  The implication for the GMWRP and its sub-investment projects is how to wisely spend available limited budget to achieve higher visibility and stronger water governance impacts in this context.  The emergence of a new regional mechanism, namely the Lancang Mekong Cooperation, was also discussed at length at the partners’ meeting.  By establishing another collaboration mechanism in addition to the Asian Infrastructure Investment Bank, China is increasingly seen to take the leading role and shape the rules of cooperation and more specifically, to make sure that external actors are more excluded from Greater Mekong inter-government policy dialogue.</w:t>
      </w:r>
    </w:p>
    <w:p w14:paraId="54147934" w14:textId="77777777" w:rsidR="00785690" w:rsidRPr="00715AC7" w:rsidRDefault="00785690" w:rsidP="00785690">
      <w:pPr>
        <w:pStyle w:val="BodyText"/>
      </w:pPr>
      <w:r w:rsidRPr="00715AC7">
        <w:t>The deliberation on the growing restrictiveness of working environment for CSOs’ policy influencing and lobbying in the Mekong Countries further evidenced the usefulness of the partners’ forum to explore ways and means to cope with this negative development.</w:t>
      </w:r>
    </w:p>
    <w:p w14:paraId="307A9E00" w14:textId="23D85D66" w:rsidR="00785690" w:rsidRPr="00715AC7" w:rsidRDefault="00785690" w:rsidP="00785690">
      <w:pPr>
        <w:pStyle w:val="BodyText"/>
      </w:pPr>
      <w:r w:rsidRPr="00715AC7">
        <w:lastRenderedPageBreak/>
        <w:t xml:space="preserve">While the DFAT’s Partners Meeting was well organised and facilitated and hence found to be useful, in updating each other on significant changes and their implications, the evaluators and some of the partners/interviewees felt that the meeting format is too compressed.  Some of the partners felt that while the </w:t>
      </w:r>
      <w:r w:rsidR="005E0BE8">
        <w:t xml:space="preserve">Greater </w:t>
      </w:r>
      <w:r w:rsidRPr="00715AC7">
        <w:t xml:space="preserve">Mekong Water Team have made their best efforts, some partners (not all) do not want to work with other partners (e.g. Oxfam is reluctant to work with IFC in Myanmar; there is some resistance in MRC to working with Oxfam, etc.).  Some of the participants thought that these meetings should be more frequent (realistically probably twice/year) and should be longer – a full day (or sometime even more) to be able to explore issues in more depth – and in particular to identify areas of synergy and collaboration between partners.  A case in point is while the MRC Secretariat and Oxfam had collaboratively identified the need for Oxfam’s support in gender mainstreaming and public participation in the MRC Council Study process, the representatives of the MRC government members in the Joint Committee were not totally convinced. </w:t>
      </w:r>
    </w:p>
    <w:p w14:paraId="6B0C453B" w14:textId="77777777" w:rsidR="00785690" w:rsidRPr="00715AC7" w:rsidRDefault="00785690" w:rsidP="00785690">
      <w:pPr>
        <w:pStyle w:val="BodyText"/>
      </w:pPr>
      <w:r w:rsidRPr="00715AC7">
        <w:t>While recognising diversity among the implementing partners, it is critical to have a better strategy to overcome the silo mentality and seek stronger understanding and appreciation of different roles and approaches.</w:t>
      </w:r>
    </w:p>
    <w:p w14:paraId="50C8E377" w14:textId="77777777" w:rsidR="00785690" w:rsidRPr="00715AC7" w:rsidRDefault="00785690" w:rsidP="00785690">
      <w:pPr>
        <w:pStyle w:val="BodyText"/>
      </w:pPr>
      <w:r w:rsidRPr="00715AC7">
        <w:t>The evaluative study team observed the active and important role played by the Australian Ambassador and First Secretary based in Lao PDR, and the Senior Water Resources Specialist based in Bangkok, as well as the Ambassadors in other Mekong countries, in promoting policy dialogue in bilateral and multi-stakeholder meetings and fora with governments, civil society organisations and the private sector.</w:t>
      </w:r>
    </w:p>
    <w:p w14:paraId="45CB2FCF" w14:textId="77777777" w:rsidR="00785690" w:rsidRPr="00715AC7" w:rsidRDefault="00785690" w:rsidP="00785690">
      <w:pPr>
        <w:pStyle w:val="BodyText"/>
      </w:pPr>
      <w:r w:rsidRPr="00715AC7">
        <w:t xml:space="preserve">In some places, it is understood that there could be tension between DFAT bilateral programs and the Regional Program.  In this case, Yangon Post appears very fully on board, and very supportive and involved in the work of the regional program. This is similar to the situation in Laos and Thailand, where posts are also fully on-board.  Hanoi and Phnom Penh posts have had high rates of turnover but current relationships are said to be professional and fully supportive.  </w:t>
      </w:r>
    </w:p>
    <w:p w14:paraId="1EF60167" w14:textId="0DEA5593" w:rsidR="00785690" w:rsidRPr="003767DD" w:rsidRDefault="00785690" w:rsidP="00785690">
      <w:pPr>
        <w:pStyle w:val="Heading3"/>
        <w:numPr>
          <w:ilvl w:val="0"/>
          <w:numId w:val="0"/>
        </w:numPr>
        <w:rPr>
          <w:rFonts w:asciiTheme="minorHAnsi" w:hAnsiTheme="minorHAnsi" w:cstheme="minorHAnsi"/>
          <w:lang w:val="en-AU"/>
        </w:rPr>
      </w:pPr>
      <w:bookmarkStart w:id="98" w:name="_Toc475358500"/>
      <w:r>
        <w:rPr>
          <w:lang w:val="en-AU"/>
        </w:rPr>
        <w:t>Case 2:</w:t>
      </w:r>
      <w:r>
        <w:rPr>
          <w:lang w:val="en-AU"/>
        </w:rPr>
        <w:tab/>
      </w:r>
      <w:r w:rsidR="00C30373">
        <w:rPr>
          <w:lang w:val="en-AU"/>
        </w:rPr>
        <w:t xml:space="preserve">Myanmar-Australia </w:t>
      </w:r>
      <w:r w:rsidRPr="003767DD">
        <w:rPr>
          <w:lang w:val="en-AU"/>
        </w:rPr>
        <w:t xml:space="preserve">Water Policy </w:t>
      </w:r>
      <w:r w:rsidR="00C30373">
        <w:rPr>
          <w:lang w:val="en-AU"/>
        </w:rPr>
        <w:t>&amp; Practice Cooperation</w:t>
      </w:r>
      <w:bookmarkEnd w:id="98"/>
    </w:p>
    <w:p w14:paraId="5EA080CB" w14:textId="268EC94F" w:rsidR="00785690" w:rsidRPr="00715AC7" w:rsidRDefault="00785690" w:rsidP="00785690">
      <w:pPr>
        <w:pStyle w:val="BodyText"/>
      </w:pPr>
      <w:r w:rsidRPr="00715AC7">
        <w:t>In October 2015 Australia signed a Memorandum of Understanding (MoU) with the Myanmar National Water Resources Committee, agreeing to provide support to Integrated Water Resources Management (IWRM), Hydrometeorology and River Basin Planning.  Subsequently Myanmar invited specific Australia support to assist the government implement the Ayeyarwad</w:t>
      </w:r>
      <w:r w:rsidR="00BC13A8">
        <w:t>d</w:t>
      </w:r>
      <w:r w:rsidRPr="00715AC7">
        <w:t>y Integrated River Basin Management (AIRBM) Project, funded by the World Bank through a loan of US$ 100 million and implemented by Secretariat of the National Water Resources Committee (NWRC), situated within the Directorate of Water Resources and Improvement of River Systems in the Ministry of Transport and Communications.  The AIRBM Project is designed as a multi-phased approach (series of projects) to strengthen integrated, climate-resilient, management, conservation and development of the Ayeyarwad</w:t>
      </w:r>
      <w:r w:rsidR="00BC13A8">
        <w:t>d</w:t>
      </w:r>
      <w:r w:rsidRPr="00715AC7">
        <w:t>y River Basin.</w:t>
      </w:r>
    </w:p>
    <w:p w14:paraId="4E79C450" w14:textId="447543E9" w:rsidR="00785690" w:rsidRPr="00715AC7" w:rsidRDefault="00785690" w:rsidP="00785690">
      <w:pPr>
        <w:pStyle w:val="BodyText"/>
      </w:pPr>
      <w:r w:rsidRPr="00715AC7">
        <w:t>The first thing the additional assistance was requested for was for Australia to assist design and implement an Ayeyarwad</w:t>
      </w:r>
      <w:r w:rsidR="00BC13A8">
        <w:t>d</w:t>
      </w:r>
      <w:r w:rsidRPr="00715AC7">
        <w:t>y State of the Basin Assessment (SOBA) to assemble and structure the existing knowledge base.  After the SOBA, there will be an Ayeyarwad</w:t>
      </w:r>
      <w:r w:rsidR="00BC13A8">
        <w:t>d</w:t>
      </w:r>
      <w:r w:rsidRPr="00715AC7">
        <w:t>y Basin Scoping Study – exploring development and conservation options – which will inform the negotiation of a ‘master plan’ to be prepared for (and endorsed by) the multi-ministry National Water Resources Committee.</w:t>
      </w:r>
    </w:p>
    <w:p w14:paraId="306CFF5D" w14:textId="77777777" w:rsidR="00785690" w:rsidRPr="00715AC7" w:rsidRDefault="00785690" w:rsidP="00785690">
      <w:pPr>
        <w:pStyle w:val="BodyText"/>
      </w:pPr>
      <w:r w:rsidRPr="00715AC7">
        <w:t>The level of importance given to water issues can be seen in the fact that the new government dismantled all previous committees – but first re-established the NWRC in June 2016, with it subsequently meeting in August 2016.  It is headed by the Vice President and has both Union and Regional Ministers as members – but it will still be a slow process to build and strengthen this institution.  The technical part below it that informs the decision making is crucial.  At the moment, an institutional review of NWRC is ongoing as an activity within AIRBM Project.  DFAT should consider the results of that review in relation to targeting some future assistance.</w:t>
      </w:r>
    </w:p>
    <w:p w14:paraId="608D6581" w14:textId="5F9C126D" w:rsidR="00785690" w:rsidRPr="00715AC7" w:rsidRDefault="00785690" w:rsidP="00785690">
      <w:pPr>
        <w:pStyle w:val="BodyText"/>
      </w:pPr>
      <w:r w:rsidRPr="00715AC7">
        <w:lastRenderedPageBreak/>
        <w:t>What seems to be missing at the moment is an understanding of the overall value and importance of freshwater catch fisheries in the Ayeyarwad</w:t>
      </w:r>
      <w:r w:rsidR="00BC13A8">
        <w:t>d</w:t>
      </w:r>
      <w:r w:rsidRPr="00715AC7">
        <w:t>y.  By comparison, in the Mekong, recognition of the value and importance of capture fisheries has been an extremely important area of knowledge in the ongoing debates over development of the basin.  It is important that a similar understanding is developed in the Ayeyarwad</w:t>
      </w:r>
      <w:r w:rsidR="00BC13A8">
        <w:t>d</w:t>
      </w:r>
      <w:r w:rsidRPr="00715AC7">
        <w:t>y, before major development decisions that would undermine fisheries productivity are locked-in.</w:t>
      </w:r>
    </w:p>
    <w:p w14:paraId="2B7BF416" w14:textId="77777777" w:rsidR="00785690" w:rsidRPr="00715AC7" w:rsidRDefault="00785690" w:rsidP="00785690">
      <w:pPr>
        <w:pStyle w:val="BodyText"/>
      </w:pPr>
      <w:r w:rsidRPr="00715AC7">
        <w:t>Overall, the DFAT team sees their job as helping Myanmar to get the best out of all the other investments, and have set aside an amount up to AUD 3 million if required to provide support as and when necessary – in addition to other GMWRP water-related supports to Myanmar through IFC, Oxfam Australia and IWMI-WLE.</w:t>
      </w:r>
    </w:p>
    <w:p w14:paraId="4D4FAAE3" w14:textId="518F2E6C" w:rsidR="00785690" w:rsidRPr="00715AC7" w:rsidRDefault="00785690" w:rsidP="00785690">
      <w:pPr>
        <w:pStyle w:val="BodyText"/>
      </w:pPr>
      <w:r w:rsidRPr="00715AC7">
        <w:t>The Australian Water Partnership (AWP) provides the mechanism for mobilising additional Australian expertise under the overall oversight and funding from DFAT. For DFAT, AWP provides a more flexible supply mechanism to provide high quality people in some spaces other than through ADB and WB TA – the team seems not too worried about visibility – feeling confident that Australia’s contribution will be recognised and appreciated, without needing to be too loud about it.  AWP can bring in high quality public sector policy and management experience –people who have been involved in the evolution of water policy and management in Australia over the last several decades.  What is important are not the specific solutions that Australia decided on, to its own water sector challenges – but the process by which this was done; the types of issues raised and the mechanisms for addressing them; and the lessons learned along the way from all of this. The early signs in Myanmar are that AWP will provide an effective vehicle for this type of support.</w:t>
      </w:r>
    </w:p>
    <w:p w14:paraId="045B9777" w14:textId="77777777" w:rsidR="00785690" w:rsidRPr="00715AC7" w:rsidRDefault="00785690" w:rsidP="00785690">
      <w:pPr>
        <w:pStyle w:val="BodyText"/>
      </w:pPr>
      <w:r w:rsidRPr="00715AC7">
        <w:t>In addition, a twinning arrangement with the Murray-Darling Basin (MDB) was launched in August 2016– already manifest in hydraulic modelling training, study tours etc.  The Australian contribution also includes support for the Myanmar Young Water Professionals Programme.  In Myanmar, there is a missing generation of capacity; therefore, this young professional investment is very important.</w:t>
      </w:r>
    </w:p>
    <w:p w14:paraId="48CE7145" w14:textId="77777777" w:rsidR="00785690" w:rsidRPr="00715AC7" w:rsidRDefault="00785690" w:rsidP="00785690">
      <w:pPr>
        <w:pStyle w:val="BodyText"/>
      </w:pPr>
      <w:r w:rsidRPr="00715AC7">
        <w:t>The team has also co-led the formation of a Water Resources Panel with the Governments of Myanmar-Netherlands-Australia and the World Bank Group, created to provide a dialogue platform and conduit to/from the Myanmar National Water Resources Committee.  DFAT has also initiated the exploration of an international water house in Yangon for water knowledge exchange.</w:t>
      </w:r>
    </w:p>
    <w:p w14:paraId="32DC3105" w14:textId="017BD983" w:rsidR="00785690" w:rsidRPr="00715AC7" w:rsidRDefault="00785690" w:rsidP="00785690">
      <w:pPr>
        <w:pStyle w:val="BodyText"/>
      </w:pPr>
      <w:r w:rsidRPr="00715AC7">
        <w:t>Via other GMWRP pillars, Australia is linking strongly to multiple ministries and CSOs engaged in water-food-energy-environment policy and practice.  Initiatives such the Ayeyarwad</w:t>
      </w:r>
      <w:r w:rsidR="00BC13A8">
        <w:t>d</w:t>
      </w:r>
      <w:r w:rsidRPr="00715AC7">
        <w:t>y State of the Basin Assessment (led by the AIRBM Project) and the Strategic Environment Assessment (SEA) of the hydropower sector (led by a coalition of the energy and environment ministries, and IFC) are strategic deliberative governance interventions. The overall DFAT approach in Myanmar, including the drawing in of AWP, is commendable and provides a model that can be replicated in other countries.</w:t>
      </w:r>
    </w:p>
    <w:p w14:paraId="44515532" w14:textId="77777777" w:rsidR="00785690" w:rsidRPr="003767DD" w:rsidRDefault="00785690" w:rsidP="00785690">
      <w:pPr>
        <w:pStyle w:val="Heading3"/>
        <w:numPr>
          <w:ilvl w:val="0"/>
          <w:numId w:val="0"/>
        </w:numPr>
        <w:rPr>
          <w:lang w:val="en-AU"/>
        </w:rPr>
      </w:pPr>
      <w:bookmarkStart w:id="99" w:name="_Toc475358501"/>
      <w:r>
        <w:rPr>
          <w:lang w:val="en-AU"/>
        </w:rPr>
        <w:lastRenderedPageBreak/>
        <w:t>Case 3:</w:t>
      </w:r>
      <w:r>
        <w:rPr>
          <w:lang w:val="en-AU"/>
        </w:rPr>
        <w:tab/>
      </w:r>
      <w:r w:rsidRPr="003767DD">
        <w:rPr>
          <w:lang w:val="en-AU"/>
        </w:rPr>
        <w:t>Mekong River Commission ‘Prior Consultation’ Processes</w:t>
      </w:r>
      <w:bookmarkEnd w:id="99"/>
    </w:p>
    <w:bookmarkEnd w:id="97"/>
    <w:p w14:paraId="7F3E4AD5" w14:textId="77777777" w:rsidR="00785690" w:rsidRPr="00715AC7" w:rsidRDefault="00785690" w:rsidP="00785690">
      <w:pPr>
        <w:pStyle w:val="BodyText"/>
      </w:pPr>
      <w:r w:rsidRPr="00715AC7">
        <w:t>The Mekong River Commission (MRC) acts on behalf of the Lower Mekong governments – Laos, Thailand, Cambodia and Vietnam – through the 1995 Agreement on the Cooperation for the Sustainable Development of the Mekong River Basin to ‘cooperate…in the sustainable development of the Mekong River Basin…in a manner to optimise…benefits…and to minimise harmful effects’.  The Agreement was an important milestone in Lower Mekong water governance.  Since the 1990s MRC has negotiated basin-wide water resources management procedures and guidelines intended to ensure informed and transparent choices about reasonable and equitable utilisation of shared Mekong River Basin waters.  They include the Procedures for Notification, Prior Consultation and Agreement (PNPCA), approved in 2003; and a guideline for implementation of the PNPCA, approved in 2005.  In addition to PNPCA, there are four other procedures agreed for: data and information exchange and sharing; water use monitoring; water quality; and maintenance of flows on the mainstream.</w:t>
      </w:r>
    </w:p>
    <w:p w14:paraId="13C9CE42" w14:textId="77777777" w:rsidR="00785690" w:rsidRPr="00715AC7" w:rsidRDefault="00785690" w:rsidP="00785690">
      <w:pPr>
        <w:pStyle w:val="BodyText"/>
      </w:pPr>
      <w:r w:rsidRPr="00715AC7">
        <w:t>The PNPCA obliges Thailand, Laos, Cambodia and Vietnam to jointly review any major developments proposed for the Lower Mekong Basin.  The provisions in the PNPCA and other procedures, in addition to the already specified roles of the MRC Joint Committee and Council, are intended to provide a mechanism for consensus-building and proactive dispute prevention or minimisation.  The applicable PNPCA process – ‘notification’ only, or ‘prior consultation’ (even if not ‘agreement’) – depends on whether water use proposed by the notifying country is on the Mekong mainstream or a tributary; whether it involves use of water in the wet or the dry seasons; and whether it involves transfer of water within the Mekong River Basin (intra-basin use) or to outside of the Mekong River Basin (inter-basin diversion).  PNPCA is an exemplar of the continued struggle by MRC to balance ‘no right to veto’ and ‘no unilateral right to develop without due consideration of other rights’.</w:t>
      </w:r>
    </w:p>
    <w:p w14:paraId="3FFA7DA3" w14:textId="77777777" w:rsidR="00785690" w:rsidRPr="00715AC7" w:rsidRDefault="00785690" w:rsidP="00785690">
      <w:pPr>
        <w:pStyle w:val="BodyText"/>
      </w:pPr>
      <w:r w:rsidRPr="00715AC7">
        <w:t>AN effective PNPCA could create transparency and ensure that water resources’ development in Lower Mekong countries is well considered.  The PNPCA should provide opportunities and a forum within and between countries to communicate and share information about Mekong River mainstream and tributary development.  Key to the spirit of the agreed PNPCA text is the expectation that what is being discussed is proposed use.  Hence, there should be no key contracts, such as power purchase and concession agreements, concluded before consultations have been completed.  The proper sequence is to have genuine consultations with neighbours before there is irreversible commitment for a project to proceed.</w:t>
      </w:r>
    </w:p>
    <w:p w14:paraId="07B2B0E2" w14:textId="55756083" w:rsidR="00785690" w:rsidRPr="00715AC7" w:rsidRDefault="00785690" w:rsidP="00785690">
      <w:pPr>
        <w:pStyle w:val="BodyText"/>
      </w:pPr>
      <w:r w:rsidRPr="00715AC7">
        <w:t>Xayabour</w:t>
      </w:r>
      <w:r w:rsidR="00B82B1D">
        <w:t>i</w:t>
      </w:r>
      <w:r w:rsidRPr="00715AC7">
        <w:t xml:space="preserve"> and Don Sahong hydropower projects were the first tests of the full PNPCA in action.  Following the prior consultation (PC) consultant engineers and fish specialists followed up with extensive studies and redesign of the Xayabour</w:t>
      </w:r>
      <w:r w:rsidR="00B82B1D">
        <w:t>i</w:t>
      </w:r>
      <w:r w:rsidRPr="00715AC7">
        <w:t>.  This added an additional US$400 million to the construction cost, which was inten</w:t>
      </w:r>
      <w:r w:rsidR="00BC13A8">
        <w:t>d</w:t>
      </w:r>
      <w:r w:rsidRPr="00715AC7">
        <w:t>ed to add a greater degree of confidence about fish passage, sediment control structures, seismic safety and improvement of navigation locks.  For Don Sahong, it is acknowledged by the Government of Lao PDR and the project developer that MRC design guidance has been central to project design and the associated environmental and social management plans, with regard to: navigation, sediment transport and river morphology, water quality and aquatic ecology, safety, and fish passage.  At the time of writing, the third implementation of PNPCA ‘prior consultation’ is underway, for the proposed Pak Beng hydropower project.</w:t>
      </w:r>
    </w:p>
    <w:p w14:paraId="6D387955" w14:textId="130460D4" w:rsidR="00785690" w:rsidRPr="00715AC7" w:rsidRDefault="00785690" w:rsidP="00785690">
      <w:pPr>
        <w:pStyle w:val="BodyText"/>
      </w:pPr>
      <w:r w:rsidRPr="00715AC7">
        <w:lastRenderedPageBreak/>
        <w:t>Australian funding was used for the Xayabour</w:t>
      </w:r>
      <w:r w:rsidR="00B82B1D">
        <w:t>i</w:t>
      </w:r>
      <w:r w:rsidRPr="00715AC7">
        <w:t xml:space="preserve"> and Don Sahong PNPCA processes.  For Pak Beng, funding comes from the MRC new ‘basket fund’, augmented by additional backup from Australia and Germany.  Australia has also been supporting the establishment of an MRC Joint Platform that aims to improve the understanding and implementation of all the Procedures.  These processes are major tests of the MRC – and member country – capacity and willingness to engage in substantive policy dialogue.  PNPCA implementation was reviewed by MRC member countries at a workshop in Bangkok in early 2016, with suggestions made for improving the MRC process before-PC, during-PC, and after PC.  Many of these suggestions have been taken on board in the roadmap for the Pak Beng PC.</w:t>
      </w:r>
    </w:p>
    <w:p w14:paraId="536B4372" w14:textId="77777777" w:rsidR="0096268C" w:rsidRDefault="00785690" w:rsidP="00785690">
      <w:pPr>
        <w:pStyle w:val="BodyText"/>
      </w:pPr>
      <w:r w:rsidRPr="00715AC7">
        <w:t>The EIAs undertaken for the Xayabur</w:t>
      </w:r>
      <w:r w:rsidR="00B82B1D">
        <w:t>i</w:t>
      </w:r>
      <w:r w:rsidRPr="00715AC7">
        <w:t>, Don Sahong and Pak Beng Hydropower Projects submitted for Prior Consultation process did not include thorough assessment of transboundary considerations.  Under the MRC’s framework, development of proposals (technical guidelines) for a transboundary EIA (TbEIA) process has been stalled for over a decade now.  Due to the absence of such agreed transboundary EIA guidelines, the project developers have opted for complying with the national laws and guidelines of the country-owned project.  The GMWRP should consider to strongly support a joint effort in making sure these long overdue TbEIA procedures and guidelines are adopted and implemented, and other social and environmental tools and standards are adopted and implemented in Lao PDR and other countries.</w:t>
      </w:r>
    </w:p>
    <w:p w14:paraId="7E070E1A" w14:textId="0F83EEC2" w:rsidR="00785690" w:rsidRPr="00715AC7" w:rsidRDefault="00785690" w:rsidP="00785690">
      <w:pPr>
        <w:pStyle w:val="BodyText"/>
      </w:pPr>
      <w:r w:rsidRPr="00715AC7">
        <w:t>More attention should now be given to the Pre-PNPCA aspects (e.g. including TbEIA, identification of stakeholders to be consulted, preparation, review, translation and dissemination of necessary documents, and even pre-prior notification, etc.) and Post-PNPCA aspects (e.g. including following up on key issues raised in the PNPCA, design changes, operational changes, environmental and social mitigation plans, M&amp;E, etc.).</w:t>
      </w:r>
    </w:p>
    <w:p w14:paraId="6FB4ED2F" w14:textId="77777777" w:rsidR="00785690" w:rsidRPr="00715AC7" w:rsidRDefault="00785690" w:rsidP="00785690">
      <w:pPr>
        <w:pStyle w:val="BodyText"/>
      </w:pPr>
      <w:r w:rsidRPr="00715AC7">
        <w:t>For further information about the MRC ‘Prior Consultation’ Processes:</w:t>
      </w:r>
    </w:p>
    <w:p w14:paraId="0AFC19F1" w14:textId="77777777" w:rsidR="00785690" w:rsidRPr="00715AC7" w:rsidRDefault="00E703DB" w:rsidP="00785690">
      <w:pPr>
        <w:pStyle w:val="BodyText"/>
      </w:pPr>
      <w:hyperlink r:id="rId21" w:history="1">
        <w:r w:rsidR="00785690" w:rsidRPr="00715AC7">
          <w:rPr>
            <w:rStyle w:val="Hyperlink"/>
            <w:color w:val="auto"/>
            <w:u w:val="none"/>
          </w:rPr>
          <w:t>http://www.mrcmekong.org/</w:t>
        </w:r>
      </w:hyperlink>
      <w:r w:rsidR="00785690">
        <w:t xml:space="preserve"> </w:t>
      </w:r>
    </w:p>
    <w:p w14:paraId="047BDB64" w14:textId="77777777" w:rsidR="00785690" w:rsidRPr="00715AC7" w:rsidRDefault="00E703DB" w:rsidP="00785690">
      <w:pPr>
        <w:pStyle w:val="BodyText"/>
      </w:pPr>
      <w:hyperlink r:id="rId22" w:history="1">
        <w:r w:rsidR="00785690" w:rsidRPr="00715AC7">
          <w:rPr>
            <w:rStyle w:val="Hyperlink"/>
            <w:color w:val="auto"/>
            <w:u w:val="none"/>
          </w:rPr>
          <w:t>http://www.mrcmekong.org/publications/topic/pnpca-prior-consultation</w:t>
        </w:r>
      </w:hyperlink>
    </w:p>
    <w:p w14:paraId="1E9C3E95" w14:textId="77777777" w:rsidR="00785690" w:rsidRPr="00715AC7" w:rsidRDefault="00E703DB" w:rsidP="00785690">
      <w:pPr>
        <w:pStyle w:val="BodyText"/>
      </w:pPr>
      <w:hyperlink r:id="rId23" w:history="1">
        <w:r w:rsidR="00785690" w:rsidRPr="00715AC7">
          <w:rPr>
            <w:rStyle w:val="Hyperlink"/>
            <w:color w:val="auto"/>
            <w:u w:val="none"/>
          </w:rPr>
          <w:t>http://www.mrcmekong.org/news-and-events/news/official-annoucement-regional-stakeholder-forum-on-the-council-study-and-the-pak-beng-hydropower-project/</w:t>
        </w:r>
      </w:hyperlink>
    </w:p>
    <w:p w14:paraId="6B1996E5" w14:textId="77777777" w:rsidR="00785690" w:rsidRPr="00715AC7" w:rsidRDefault="00E703DB" w:rsidP="00785690">
      <w:pPr>
        <w:pStyle w:val="BodyText"/>
      </w:pPr>
      <w:hyperlink r:id="rId24" w:history="1">
        <w:r w:rsidR="00785690" w:rsidRPr="00715AC7">
          <w:rPr>
            <w:rStyle w:val="Hyperlink"/>
            <w:color w:val="auto"/>
            <w:u w:val="none"/>
          </w:rPr>
          <w:t>http://www.mrcmekong.org/topics/pnpca-prior-consultation/pak-beng-hydropower-project/</w:t>
        </w:r>
      </w:hyperlink>
    </w:p>
    <w:p w14:paraId="4FBEB4F2" w14:textId="77777777" w:rsidR="00785690" w:rsidRPr="007E013C" w:rsidRDefault="00785690" w:rsidP="00785690">
      <w:pPr>
        <w:pStyle w:val="Heading3"/>
        <w:numPr>
          <w:ilvl w:val="0"/>
          <w:numId w:val="0"/>
        </w:numPr>
      </w:pPr>
      <w:bookmarkStart w:id="100" w:name="_Toc475358502"/>
      <w:r>
        <w:t>Case 4:</w:t>
      </w:r>
      <w:r>
        <w:tab/>
        <w:t>Oxfam community</w:t>
      </w:r>
      <w:r w:rsidRPr="007E013C">
        <w:t xml:space="preserve"> water management</w:t>
      </w:r>
      <w:bookmarkEnd w:id="100"/>
    </w:p>
    <w:p w14:paraId="62307503" w14:textId="77777777" w:rsidR="00785690" w:rsidRPr="00715AC7" w:rsidRDefault="00785690" w:rsidP="00785690">
      <w:pPr>
        <w:pStyle w:val="BodyText"/>
      </w:pPr>
      <w:r w:rsidRPr="00715AC7">
        <w:t>The overall goal of the Inclusion project is to realise sustainable livelihoods for Mekong communities by promoting the greater inclusion of civil society in water resource governance and decision making.</w:t>
      </w:r>
    </w:p>
    <w:p w14:paraId="7805F0C4" w14:textId="77777777" w:rsidR="00785690" w:rsidRPr="00715AC7" w:rsidRDefault="00785690" w:rsidP="00785690">
      <w:pPr>
        <w:pStyle w:val="BodyText"/>
      </w:pPr>
      <w:r w:rsidRPr="00715AC7">
        <w:t>Oxfam is supporting five community-based water management initiatives that mobilise communities and support them to work on regional water governance issues affecting them locally.  They focus on community fisheries in Cambodia and Lao PDR, participatory irrigation in Vietnam, and lake and island resource management in Myanmar.  There is a strong focus on consideration of gender and supporting women’s participation, voice and leadership.</w:t>
      </w:r>
    </w:p>
    <w:p w14:paraId="16F29900" w14:textId="77777777" w:rsidR="00785690" w:rsidRPr="00715AC7" w:rsidRDefault="00785690" w:rsidP="00785690">
      <w:pPr>
        <w:pStyle w:val="BodyText"/>
      </w:pPr>
      <w:r w:rsidRPr="00715AC7">
        <w:lastRenderedPageBreak/>
        <w:t>Support to the Karen Environmental and Social Action Network’s (KESAN) aims to build the capacity of community learning facilitators and conduct community research learning processes to mobilise and empower community members to negotiate resource management regimes for a lake and island in the Salween River.  While focusing on the local governance aspects, KESAN is also aware of the need for higher-level government recognition and support.  A positive discursive commitment among the local politicians has been achieved. Dr Aung Naing Oo, the deputy speaker from Mon State Parliament, Myanmar, reflected that “KESAN’s project has highlighted the mutual benefit and importance of politicians supporting civil society organisations and connecting with the community.  While making policies, government needs to consult with civil society to get their suggestions which will help to make right decisions for people”.  While this approach is extremely valuable, it is equally important to also conduct a clear analysis of the current policy and legislative context and present a clear articulation of which laws and regulations would allow (or alternatively stand in the way of) official recognition of a community-based management systems of the lake and island which recognises them as common resources of the community.  If a clear legal option exists, then that should be promoted.  If an appropriate legal option does not exist, then lobbying is necessary for key reforms.</w:t>
      </w:r>
    </w:p>
    <w:p w14:paraId="73E449F9" w14:textId="77777777" w:rsidR="00785690" w:rsidRPr="00715AC7" w:rsidRDefault="00785690" w:rsidP="00785690">
      <w:pPr>
        <w:pStyle w:val="BodyText"/>
      </w:pPr>
      <w:r w:rsidRPr="00715AC7">
        <w:t>For further information about the Oxfam Mekong Inclusion Project:</w:t>
      </w:r>
    </w:p>
    <w:p w14:paraId="17F6BF69" w14:textId="77777777" w:rsidR="00785690" w:rsidRPr="00715AC7" w:rsidRDefault="00E703DB" w:rsidP="00785690">
      <w:pPr>
        <w:pStyle w:val="BodyText"/>
      </w:pPr>
      <w:hyperlink r:id="rId25" w:history="1">
        <w:r w:rsidR="00785690" w:rsidRPr="00715AC7">
          <w:rPr>
            <w:rStyle w:val="Hyperlink"/>
            <w:color w:val="auto"/>
            <w:u w:val="none"/>
          </w:rPr>
          <w:t>https://www.oxfam.org.au/what-we-do/infrastructure-people-and-environment/save-the-mekong/mekonginclusion/</w:t>
        </w:r>
      </w:hyperlink>
      <w:r w:rsidR="00785690" w:rsidRPr="00715AC7">
        <w:t xml:space="preserve"> </w:t>
      </w:r>
    </w:p>
    <w:p w14:paraId="7019CC79" w14:textId="77777777" w:rsidR="00785690" w:rsidRPr="00DD51F2" w:rsidRDefault="00785690" w:rsidP="00785690">
      <w:pPr>
        <w:pStyle w:val="Heading3"/>
        <w:numPr>
          <w:ilvl w:val="0"/>
          <w:numId w:val="0"/>
        </w:numPr>
        <w:rPr>
          <w:lang w:val="en-AU"/>
        </w:rPr>
      </w:pPr>
      <w:bookmarkStart w:id="101" w:name="_Toc475358503"/>
      <w:r>
        <w:rPr>
          <w:lang w:val="en-AU"/>
        </w:rPr>
        <w:t>Case 5:</w:t>
      </w:r>
      <w:r>
        <w:rPr>
          <w:lang w:val="en-AU"/>
        </w:rPr>
        <w:tab/>
        <w:t>R4D M</w:t>
      </w:r>
      <w:r w:rsidRPr="00DD51F2">
        <w:rPr>
          <w:lang w:val="en-AU"/>
        </w:rPr>
        <w:t>yanmar Healthy Rivers Initiative</w:t>
      </w:r>
      <w:bookmarkEnd w:id="101"/>
    </w:p>
    <w:p w14:paraId="28C63A0A" w14:textId="4029DF04" w:rsidR="00785690" w:rsidRPr="00715AC7" w:rsidRDefault="00785690" w:rsidP="00785690">
      <w:pPr>
        <w:pStyle w:val="BodyText"/>
      </w:pPr>
      <w:r w:rsidRPr="00715AC7">
        <w:t>The Myanmar Healthy Rivers Initiative is being implemented from 2015 – 2017 in close partnership with the Watershed Division of the Myanmar Ministry of Natural Resources and Environment Conservation, in collaboration with a number of universities, community and civil-society organisations. As a pilot, the MHRI is demonstrating the utility of River Health Reporting in informed and inclusive decision making in the Ayeyarwa</w:t>
      </w:r>
      <w:r w:rsidR="00BC13A8">
        <w:t>d</w:t>
      </w:r>
      <w:r w:rsidRPr="00715AC7">
        <w:t>dy and Salween river basins.  MHRI is just one project within a portfolio of thirty-three projects across all GMWRP targeted river basins in the IWMI’s Water Land and Ecosystems (WLE) Program in the Greater Mekong.</w:t>
      </w:r>
    </w:p>
    <w:p w14:paraId="57AD63AE" w14:textId="77777777" w:rsidR="00785690" w:rsidRPr="00715AC7" w:rsidRDefault="00785690" w:rsidP="00785690">
      <w:pPr>
        <w:pStyle w:val="BodyText"/>
      </w:pPr>
      <w:r w:rsidRPr="00715AC7">
        <w:t>The logic of the initiative is that a river system is ‘healthy’ when its character, biodiversity and functions are sustained over time. An ‘unhealthy’ system is one where such a balance does not exist.</w:t>
      </w:r>
    </w:p>
    <w:p w14:paraId="31D5E014" w14:textId="77777777" w:rsidR="00785690" w:rsidRPr="00715AC7" w:rsidRDefault="00785690" w:rsidP="00785690">
      <w:pPr>
        <w:pStyle w:val="BodyText"/>
      </w:pPr>
      <w:r w:rsidRPr="00715AC7">
        <w:t>The initiative aims to answer the questions: What ecosystem services provided by rivers are valued by communities and sectors?  How is the health of the river, and the provision of these services, changing over time?  The project is using a range of techniques – from analysis of satellite imagery to community based monitoring – to tailor a framework suitable for the Myanmar context where conventional river monitoring is rarely available.  MHRI is implementing at three sites in the Salween, and three in the Irrawaddy.</w:t>
      </w:r>
    </w:p>
    <w:p w14:paraId="75023F3F" w14:textId="77777777" w:rsidR="00785690" w:rsidRPr="00715AC7" w:rsidRDefault="00785690" w:rsidP="00785690">
      <w:pPr>
        <w:pStyle w:val="BodyText"/>
      </w:pPr>
      <w:r w:rsidRPr="00715AC7">
        <w:t>Key knowledge partners include International Water Management Institute (IWMI), International Centre for Environmental Management (ICEM), Myanmar Institute for Integrated Development, and the Ecosystem Community Conservation and Development Initiative (ECCDI).  Oxfam’s Inclusion Project has provided additional resources for gender training.</w:t>
      </w:r>
    </w:p>
    <w:p w14:paraId="724147DF" w14:textId="77777777" w:rsidR="00785690" w:rsidRPr="00715AC7" w:rsidRDefault="00785690" w:rsidP="00785690">
      <w:pPr>
        <w:pStyle w:val="BodyText"/>
      </w:pPr>
      <w:r w:rsidRPr="00715AC7">
        <w:t>MHRI explores innovative opportunities for monitoring river health from both space (remote sensing, global data-sets) and from the riverbank, through community-led citizen science techniques.  Government counterparts were reportedly excited about the idea of “healthy” rivers – they had never thought about it before.  Involving different river user groups in the project additionally serves to empower stakeholders at all levels, from government sectors to community users, to engage in debate on river development and planning from a foundation of scientific evidence.</w:t>
      </w:r>
    </w:p>
    <w:p w14:paraId="4D6F3D1B" w14:textId="77777777" w:rsidR="00785690" w:rsidRPr="00715AC7" w:rsidRDefault="00785690" w:rsidP="00785690">
      <w:pPr>
        <w:pStyle w:val="BodyText"/>
      </w:pPr>
      <w:r w:rsidRPr="00715AC7">
        <w:lastRenderedPageBreak/>
        <w:t>The project initially conducted participatory mapping and community health, seasonal calendars, etc. to create a good baseline of key issues and ecosystem services.  These participatory approaches were new for many of the government officers involved, as well as for local people, who had only ever experienced top-down decision-making.</w:t>
      </w:r>
    </w:p>
    <w:p w14:paraId="3F8821D4" w14:textId="77777777" w:rsidR="00785690" w:rsidRPr="00715AC7" w:rsidRDefault="00785690" w:rsidP="00785690">
      <w:pPr>
        <w:pStyle w:val="BodyText"/>
      </w:pPr>
      <w:r w:rsidRPr="00715AC7">
        <w:t xml:space="preserve">The MHRI aims to provide a framework within which local people can raise issues to local authorities. A first step in this respect is for the community to document events or ‘symptoms’ that they observe in the rivers they depend upon.  Buy-in from local people tends to occur around things they are already concerned about, such as sand mining. </w:t>
      </w:r>
    </w:p>
    <w:p w14:paraId="6486A6DE" w14:textId="77777777" w:rsidR="00785690" w:rsidRPr="00715AC7" w:rsidRDefault="00785690" w:rsidP="00785690">
      <w:pPr>
        <w:pStyle w:val="BodyText"/>
      </w:pPr>
      <w:r w:rsidRPr="00715AC7">
        <w:t xml:space="preserve">A strong set of tools is being used, and this will contribute to knowledge gaps and demonstrate what could be possible.  It remains a challenge, however, to ensure that local communities will continue to monitor river health after the project is complete. </w:t>
      </w:r>
    </w:p>
    <w:p w14:paraId="1CBC7F39" w14:textId="77777777" w:rsidR="00785690" w:rsidRPr="00715AC7" w:rsidRDefault="00785690" w:rsidP="00785690">
      <w:pPr>
        <w:pStyle w:val="BodyText"/>
      </w:pPr>
      <w:r w:rsidRPr="00715AC7">
        <w:t>The work at the three Ayeyarwaddy sites could provide valuable inputs to the Government of Myanmar’s AIRBM Project processes – and be an example of how top-down and bottom-up approaches can be combined.  The work at the three Thanlwin sites could also be combined with some of the Oxfam work through the Karen Environmental and Social Action Network, to inform a more cohesive approach.</w:t>
      </w:r>
    </w:p>
    <w:p w14:paraId="066968C1" w14:textId="77777777" w:rsidR="00785690" w:rsidRPr="00715AC7" w:rsidRDefault="00785690" w:rsidP="00785690">
      <w:pPr>
        <w:pStyle w:val="BodyText"/>
      </w:pPr>
      <w:r w:rsidRPr="00715AC7">
        <w:t>For further information about the Myanmar Healthy Rivers Initiative:</w:t>
      </w:r>
    </w:p>
    <w:p w14:paraId="14E46CB0" w14:textId="77777777" w:rsidR="00785690" w:rsidRPr="00715AC7" w:rsidRDefault="00E703DB" w:rsidP="00785690">
      <w:pPr>
        <w:pStyle w:val="BodyText"/>
      </w:pPr>
      <w:hyperlink r:id="rId26" w:history="1">
        <w:r w:rsidR="00785690" w:rsidRPr="00715AC7">
          <w:rPr>
            <w:rStyle w:val="Hyperlink"/>
            <w:color w:val="auto"/>
            <w:u w:val="none"/>
          </w:rPr>
          <w:t>https://wle-mekong.cgiar.org/essential_grid/mk-23-rivers-for-life-and-livelihoods-classification-of-river-health-in-the-salween-river/</w:t>
        </w:r>
      </w:hyperlink>
      <w:r w:rsidR="00785690" w:rsidRPr="00715AC7">
        <w:t xml:space="preserve"> </w:t>
      </w:r>
    </w:p>
    <w:p w14:paraId="1A2A54BC" w14:textId="77777777" w:rsidR="00785690" w:rsidRPr="00715AC7" w:rsidRDefault="00E703DB" w:rsidP="00785690">
      <w:pPr>
        <w:pStyle w:val="BodyText"/>
      </w:pPr>
      <w:hyperlink r:id="rId27" w:history="1">
        <w:r w:rsidR="00785690" w:rsidRPr="00715AC7">
          <w:rPr>
            <w:rStyle w:val="Hyperlink"/>
            <w:color w:val="auto"/>
            <w:u w:val="none"/>
          </w:rPr>
          <w:t>https://wle-mekong.cgiar.org/projects/mk24/</w:t>
        </w:r>
      </w:hyperlink>
      <w:r w:rsidR="00785690" w:rsidRPr="00715AC7">
        <w:t xml:space="preserve"> </w:t>
      </w:r>
    </w:p>
    <w:p w14:paraId="65017DFF" w14:textId="77777777" w:rsidR="00785690" w:rsidRPr="00715AC7" w:rsidRDefault="00E703DB" w:rsidP="00785690">
      <w:pPr>
        <w:pStyle w:val="BodyText"/>
      </w:pPr>
      <w:hyperlink r:id="rId28" w:history="1">
        <w:r w:rsidR="00785690" w:rsidRPr="00715AC7">
          <w:rPr>
            <w:rStyle w:val="Hyperlink"/>
            <w:color w:val="auto"/>
            <w:u w:val="none"/>
          </w:rPr>
          <w:t>http://myanmarhealthyrivers.org/</w:t>
        </w:r>
      </w:hyperlink>
    </w:p>
    <w:p w14:paraId="054B8757" w14:textId="77777777" w:rsidR="00785690" w:rsidRPr="00715AC7" w:rsidRDefault="00E703DB" w:rsidP="00785690">
      <w:pPr>
        <w:pStyle w:val="BodyText"/>
      </w:pPr>
      <w:hyperlink r:id="rId29" w:history="1">
        <w:r w:rsidR="00785690" w:rsidRPr="00715AC7">
          <w:rPr>
            <w:rStyle w:val="Hyperlink"/>
            <w:color w:val="auto"/>
            <w:u w:val="none"/>
          </w:rPr>
          <w:t>http://www.mmiid.org/content/myanmar-healthy-rivers-initiative</w:t>
        </w:r>
      </w:hyperlink>
      <w:r w:rsidR="00785690" w:rsidRPr="00715AC7">
        <w:t xml:space="preserve"> </w:t>
      </w:r>
    </w:p>
    <w:p w14:paraId="3D93D711" w14:textId="77777777" w:rsidR="00785690" w:rsidRPr="00715AC7" w:rsidRDefault="00785690" w:rsidP="00785690">
      <w:pPr>
        <w:pStyle w:val="BodyText"/>
      </w:pPr>
      <w:r w:rsidRPr="00715AC7">
        <w:t>Complementary river health initiatives are also being funded by the DFAT GMWRP in the Mekong and Red river basins.</w:t>
      </w:r>
    </w:p>
    <w:p w14:paraId="6BAE856F" w14:textId="77777777" w:rsidR="00785690" w:rsidRPr="00715AC7" w:rsidRDefault="00E703DB" w:rsidP="00785690">
      <w:pPr>
        <w:pStyle w:val="BodyText"/>
      </w:pPr>
      <w:hyperlink r:id="rId30" w:history="1">
        <w:r w:rsidR="00785690" w:rsidRPr="00715AC7">
          <w:rPr>
            <w:rStyle w:val="Hyperlink"/>
            <w:color w:val="auto"/>
            <w:u w:val="none"/>
          </w:rPr>
          <w:t>https://wle-mekong.cgiar.org/essential_grid/mk22-balancing-river-health-and-hydropower-requirements-in-the-lancang-river-basin/</w:t>
        </w:r>
      </w:hyperlink>
      <w:r w:rsidR="00785690" w:rsidRPr="00715AC7">
        <w:t xml:space="preserve"> </w:t>
      </w:r>
    </w:p>
    <w:p w14:paraId="2141E07F" w14:textId="77777777" w:rsidR="00785690" w:rsidRPr="00715AC7" w:rsidRDefault="00E703DB" w:rsidP="00785690">
      <w:pPr>
        <w:pStyle w:val="BodyText"/>
      </w:pPr>
      <w:hyperlink r:id="rId31" w:history="1">
        <w:r w:rsidR="00785690" w:rsidRPr="00715AC7">
          <w:rPr>
            <w:rStyle w:val="Hyperlink"/>
            <w:color w:val="auto"/>
            <w:u w:val="none"/>
          </w:rPr>
          <w:t>https://wle-mekong.cgiar.org/essential_grid/mk-25-developing-an-operational-framework-for-river-health-assessment-in-the-mekong-river-basin/</w:t>
        </w:r>
      </w:hyperlink>
      <w:r w:rsidR="00785690" w:rsidRPr="00715AC7">
        <w:t xml:space="preserve"> </w:t>
      </w:r>
    </w:p>
    <w:p w14:paraId="774E34A3" w14:textId="77777777" w:rsidR="00785690" w:rsidRPr="00715AC7" w:rsidRDefault="00E703DB" w:rsidP="00785690">
      <w:pPr>
        <w:pStyle w:val="BodyText"/>
      </w:pPr>
      <w:hyperlink r:id="rId32" w:history="1">
        <w:r w:rsidR="00785690" w:rsidRPr="00715AC7">
          <w:rPr>
            <w:rStyle w:val="Hyperlink"/>
            <w:color w:val="auto"/>
            <w:u w:val="none"/>
          </w:rPr>
          <w:t>https://wle-mekong.cgiar.org/essential_grid/mk-27-inclusive-development-paths-for-healthy-red-river-landscapes-based-on-ecosystem-services/</w:t>
        </w:r>
      </w:hyperlink>
      <w:r w:rsidR="00785690" w:rsidRPr="00715AC7">
        <w:t xml:space="preserve"> </w:t>
      </w:r>
    </w:p>
    <w:p w14:paraId="0E463C84" w14:textId="77777777" w:rsidR="00785690" w:rsidRPr="00715AC7" w:rsidRDefault="00E703DB" w:rsidP="00785690">
      <w:pPr>
        <w:pStyle w:val="BodyText"/>
      </w:pPr>
      <w:hyperlink r:id="rId33" w:history="1">
        <w:r w:rsidR="00785690" w:rsidRPr="00715AC7">
          <w:rPr>
            <w:rStyle w:val="Hyperlink"/>
            <w:color w:val="auto"/>
            <w:u w:val="none"/>
          </w:rPr>
          <w:t>https://wle-mekong.cgiar.org/essential_grid/mk-26-river-food-systems-from-villagers-perspectives-in-the-mekong-delta/</w:t>
        </w:r>
      </w:hyperlink>
    </w:p>
    <w:p w14:paraId="378C4BA0" w14:textId="08315073" w:rsidR="00785690" w:rsidRPr="003767DD" w:rsidRDefault="00785690" w:rsidP="00785690">
      <w:pPr>
        <w:pStyle w:val="Heading3"/>
        <w:numPr>
          <w:ilvl w:val="0"/>
          <w:numId w:val="0"/>
        </w:numPr>
        <w:rPr>
          <w:lang w:val="en-AU"/>
        </w:rPr>
      </w:pPr>
      <w:bookmarkStart w:id="102" w:name="_Toc475358504"/>
      <w:r>
        <w:rPr>
          <w:lang w:val="en-AU"/>
        </w:rPr>
        <w:lastRenderedPageBreak/>
        <w:t>Case 6:</w:t>
      </w:r>
      <w:r>
        <w:rPr>
          <w:lang w:val="en-AU"/>
        </w:rPr>
        <w:tab/>
      </w:r>
      <w:r w:rsidRPr="003767DD">
        <w:rPr>
          <w:lang w:val="en-AU"/>
        </w:rPr>
        <w:t>Ox</w:t>
      </w:r>
      <w:r>
        <w:rPr>
          <w:lang w:val="en-AU"/>
        </w:rPr>
        <w:t>fam gender impact a</w:t>
      </w:r>
      <w:r w:rsidRPr="003767DD">
        <w:rPr>
          <w:lang w:val="en-AU"/>
        </w:rPr>
        <w:t>ssessment</w:t>
      </w:r>
      <w:r>
        <w:rPr>
          <w:lang w:val="en-AU"/>
        </w:rPr>
        <w:t xml:space="preserve"> for hydro</w:t>
      </w:r>
      <w:bookmarkEnd w:id="102"/>
      <w:r w:rsidR="00127CE1">
        <w:rPr>
          <w:lang w:val="en-AU"/>
        </w:rPr>
        <w:t>power development</w:t>
      </w:r>
    </w:p>
    <w:p w14:paraId="1C3E1165" w14:textId="77777777" w:rsidR="00785690" w:rsidRPr="00715AC7" w:rsidRDefault="00785690" w:rsidP="00785690">
      <w:pPr>
        <w:pStyle w:val="BodyText"/>
      </w:pPr>
      <w:r w:rsidRPr="00715AC7">
        <w:t>Oxfam is supporting CSOs to actively participate in the production and promotion of social and environmental standards and safeguards, for example, in promoting the use of the Gender Impact Assessment Manual by hydropower developers and regulators.) and to work collaboratively with the private sector and government to reduce the impact of hydropower projects on communities, and women in particular. In Vietnam, the Centre for Social Research and Development (CSRD) is using the manual as an entry point to its engagement with Electricity Vietnam (EVN). CSRD is working with a local group of academics, researchers and government officials with expertise in environmental and social impact assessment to pilot and adapt the manual for Vietnam. EVN now has a better understanding of the different impacts experienced by men and women, which were previously ignored. Working collaboratively with EVN has been a significant shift for the CSRD, which had previously taken an adversarial approach to dealing with EVN and local hydropower project developers and operators. For further information about the Oxfam Gender Impact Assessment Manual for Hydropower:</w:t>
      </w:r>
    </w:p>
    <w:p w14:paraId="142E021F" w14:textId="77777777" w:rsidR="00785690" w:rsidRPr="00715AC7" w:rsidRDefault="00E703DB" w:rsidP="00785690">
      <w:pPr>
        <w:pStyle w:val="BodyText"/>
      </w:pPr>
      <w:hyperlink r:id="rId34" w:history="1">
        <w:r w:rsidR="00785690" w:rsidRPr="00715AC7">
          <w:rPr>
            <w:rStyle w:val="Hyperlink"/>
            <w:color w:val="auto"/>
            <w:u w:val="none"/>
          </w:rPr>
          <w:t>https://www.oxfam.org.au/what-we-do/infrastructure-people-and-environment/save-the-mekong/gia-manual/</w:t>
        </w:r>
      </w:hyperlink>
      <w:r w:rsidR="00785690" w:rsidRPr="00715AC7">
        <w:t xml:space="preserve"> </w:t>
      </w:r>
    </w:p>
    <w:p w14:paraId="44141C1B" w14:textId="77777777" w:rsidR="00785690" w:rsidRPr="00DD51F2" w:rsidRDefault="00785690" w:rsidP="00785690">
      <w:pPr>
        <w:pStyle w:val="Heading3"/>
        <w:numPr>
          <w:ilvl w:val="0"/>
          <w:numId w:val="0"/>
        </w:numPr>
        <w:rPr>
          <w:rFonts w:asciiTheme="minorHAnsi" w:hAnsiTheme="minorHAnsi" w:cstheme="minorHAnsi"/>
          <w:sz w:val="22"/>
          <w:szCs w:val="22"/>
          <w:lang w:val="en-AU"/>
        </w:rPr>
      </w:pPr>
      <w:bookmarkStart w:id="103" w:name="_Toc475358505"/>
      <w:r>
        <w:rPr>
          <w:lang w:val="en-AU"/>
        </w:rPr>
        <w:t>Case 7:</w:t>
      </w:r>
      <w:r>
        <w:rPr>
          <w:lang w:val="en-AU"/>
        </w:rPr>
        <w:tab/>
      </w:r>
      <w:r w:rsidRPr="00DD51F2">
        <w:rPr>
          <w:lang w:val="en-AU"/>
        </w:rPr>
        <w:t xml:space="preserve">IFC </w:t>
      </w:r>
      <w:r>
        <w:rPr>
          <w:lang w:val="en-AU"/>
        </w:rPr>
        <w:t>raising hydro environmental &amp; social standards</w:t>
      </w:r>
      <w:bookmarkEnd w:id="103"/>
    </w:p>
    <w:p w14:paraId="5286FE2A" w14:textId="77777777" w:rsidR="00785690" w:rsidRPr="00715AC7" w:rsidRDefault="00785690" w:rsidP="00785690">
      <w:pPr>
        <w:pStyle w:val="BodyText"/>
      </w:pPr>
      <w:r w:rsidRPr="00715AC7">
        <w:t xml:space="preserve">Developing hydropower sustainably is a challenge.  Since 2014, with the support of DFAT GMWRP, IFC has been working to bring more accountability to the private and public sector to improve hydropower governance in the Greater Mekong. </w:t>
      </w:r>
    </w:p>
    <w:p w14:paraId="1FD1809B" w14:textId="77777777" w:rsidR="00785690" w:rsidRPr="00715AC7" w:rsidRDefault="00785690" w:rsidP="00785690">
      <w:pPr>
        <w:pStyle w:val="BodyText"/>
      </w:pPr>
      <w:r w:rsidRPr="00715AC7">
        <w:t>IFC’s goal is to raise environmental and social standards in the hydropower sector. Their approach is comprehensive: IFC advises companies on how to improve their systems and business operations; they are working with officials to strengthen the sector through improved policy and regulation; and they are building clients’ knowledge on how to lower environmental and social risks.  Strengthening collaboration between the public and private sectors through dialogues is an essential component of their strategy.</w:t>
      </w:r>
    </w:p>
    <w:p w14:paraId="433F6AA3" w14:textId="77777777" w:rsidR="00785690" w:rsidRPr="00715AC7" w:rsidRDefault="00785690" w:rsidP="00785690">
      <w:pPr>
        <w:pStyle w:val="BodyText"/>
      </w:pPr>
      <w:r w:rsidRPr="00715AC7">
        <w:t xml:space="preserve">IFC’s advantage is its unique relationship with the private and public sectors leveraging long-term change and creating new markets.  IFC offers its global expertise to government agencies to help strengthen policy and guidelines that mainstream good international industry practices of environmental and social standards while helping companies improve their internal systems and do business more sustainably. </w:t>
      </w:r>
    </w:p>
    <w:p w14:paraId="72EACF1F" w14:textId="77777777" w:rsidR="00785690" w:rsidRPr="00715AC7" w:rsidRDefault="00785690" w:rsidP="00785690">
      <w:pPr>
        <w:pStyle w:val="BodyText"/>
      </w:pPr>
      <w:r w:rsidRPr="00715AC7">
        <w:t xml:space="preserve">After only 3 years, the Lao PDR-born program replicated in Myanmar to support the government with advancing sustainability in their hydropower sector.  Since then, the program has continued to expand to countries with hydropower potential and opportunities to improve sustainability including Nepal and Pakistan. </w:t>
      </w:r>
    </w:p>
    <w:p w14:paraId="3518C549" w14:textId="77777777" w:rsidR="00785690" w:rsidRPr="00715AC7" w:rsidRDefault="00785690" w:rsidP="00785690">
      <w:pPr>
        <w:pStyle w:val="BodyText"/>
      </w:pPr>
      <w:r>
        <w:rPr>
          <w:b/>
        </w:rPr>
        <w:t>W</w:t>
      </w:r>
      <w:r w:rsidRPr="00B23793">
        <w:rPr>
          <w:b/>
        </w:rPr>
        <w:t>orking group that works:</w:t>
      </w:r>
      <w:r w:rsidRPr="00715AC7">
        <w:t xml:space="preserve"> In Lao PDR, one way the IFC leverages the private sector is through the Hydropower Developers’ Working Group.  Established in late-2013, HDWG comprises of representatives from hydropower companies, vendors and suppliers working in or planning to invest in Lao PDR.  Quarterly meetings give the working group an opportunity to table issues that affect their work and business seminars expose hydropower companies to the environmental and social standard dimension of their work. </w:t>
      </w:r>
    </w:p>
    <w:p w14:paraId="12554016" w14:textId="77777777" w:rsidR="00785690" w:rsidRPr="00715AC7" w:rsidRDefault="00785690" w:rsidP="00785690">
      <w:pPr>
        <w:pStyle w:val="BodyText"/>
      </w:pPr>
      <w:r w:rsidRPr="00715AC7">
        <w:t xml:space="preserve">HDWG was central to the review process of the Small Hydropower Development Regulation.  With private sector input, the government of Lao PDR was able to understand the positive and negative aspects of small hydropower development and develop a regulation that is practical and feasible. </w:t>
      </w:r>
    </w:p>
    <w:p w14:paraId="6B88592A" w14:textId="77777777" w:rsidR="00785690" w:rsidRPr="00715AC7" w:rsidRDefault="00785690" w:rsidP="00785690">
      <w:pPr>
        <w:pStyle w:val="BodyText"/>
      </w:pPr>
      <w:r w:rsidRPr="00715AC7">
        <w:lastRenderedPageBreak/>
        <w:t xml:space="preserve">In 2016, HDWG established in Myanmar.  With over 40 companies signing up for membership, the interest among the private sector to drive change in Myanmar’s hydropower sector was eminent.  Still in its early stages, HDWG Myanmar is prioritising the issues it plans to tackle in the hydropower sector.  The popular model has been adapted in Pakistan and will continue to grow to countries where the private sector has an interest to improve environmental and social sustainability of the hydropower sector. </w:t>
      </w:r>
    </w:p>
    <w:p w14:paraId="68D1A3E8" w14:textId="77777777" w:rsidR="00785690" w:rsidRPr="00715AC7" w:rsidRDefault="00785690" w:rsidP="00785690">
      <w:pPr>
        <w:pStyle w:val="BodyText"/>
      </w:pPr>
      <w:r w:rsidRPr="00B23793">
        <w:rPr>
          <w:b/>
        </w:rPr>
        <w:t>Stronger policy, better governance:</w:t>
      </w:r>
      <w:r w:rsidRPr="00715AC7">
        <w:t xml:space="preserve"> The stepping stone of good governance is policy and regulation that is practical and feasible for the private sector to implement.  In countries, such as Myanmar, the hydropower sector does not have the policy, regulations and guidelines in place to help improve governance and ensure sustainability.  In Lao PDR, policy and regulations often need updating and strengthening.  This is where IFC helps. </w:t>
      </w:r>
    </w:p>
    <w:p w14:paraId="4D89DAAA" w14:textId="77777777" w:rsidR="00785690" w:rsidRPr="00715AC7" w:rsidRDefault="00785690" w:rsidP="00785690">
      <w:pPr>
        <w:pStyle w:val="BodyText"/>
      </w:pPr>
      <w:r w:rsidRPr="00715AC7">
        <w:t>Central to water governance in Lao PDR is the development of a new Water Law.  Led by the World Bank Group, the Water Law took over 4 years to develop and is now in the final stages of completion for submission to the National Assembly later this year.  Central to the Water Law is the incorporation of a water rights regime.</w:t>
      </w:r>
    </w:p>
    <w:p w14:paraId="3C968E5D" w14:textId="77777777" w:rsidR="00785690" w:rsidRPr="00715AC7" w:rsidRDefault="00785690" w:rsidP="00785690">
      <w:pPr>
        <w:pStyle w:val="BodyText"/>
      </w:pPr>
      <w:r w:rsidRPr="00715AC7">
        <w:t>Guidelines and regulations that support improved environment and social practices</w:t>
      </w:r>
      <w:r>
        <w:t xml:space="preserve"> are also underway in Lao PDR. </w:t>
      </w:r>
      <w:r w:rsidRPr="00715AC7">
        <w:t xml:space="preserve">The World Bank Group and the Lao government supported the development of the Policy on Sustainable Hydropower Development, while working on several other guidelines including cumulative impact assessment and improving social and environmental obligations for hydropower projects in the concession agreement process. </w:t>
      </w:r>
    </w:p>
    <w:p w14:paraId="76E0611F" w14:textId="77777777" w:rsidR="00785690" w:rsidRPr="00715AC7" w:rsidRDefault="00785690" w:rsidP="00785690">
      <w:pPr>
        <w:pStyle w:val="BodyText"/>
      </w:pPr>
      <w:r w:rsidRPr="00715AC7">
        <w:t>IFC understands that to achieve environmental and social sustainability, knowing river basins</w:t>
      </w:r>
      <w:r>
        <w:t>’ characteristics is essential.</w:t>
      </w:r>
      <w:r w:rsidRPr="00715AC7">
        <w:t xml:space="preserve"> In Lao PDR where there are knowledge gaps or a lack of data available on river basin environments, river basin profiles are important.  This year IFC is finishing up the first Nam Ou River Basin profile that will be delivered to officials and companies to inform them of the basics for further development of river basin management plans on the rivers they are developing.  </w:t>
      </w:r>
    </w:p>
    <w:p w14:paraId="4F96AF43" w14:textId="77777777" w:rsidR="00DC5E1E" w:rsidRDefault="00785690" w:rsidP="00785690">
      <w:pPr>
        <w:pStyle w:val="BodyText"/>
      </w:pPr>
      <w:r w:rsidRPr="00715AC7">
        <w:t>In 2015 IFC entered Myanmar in partnership with the Ministry of Energy and Electricity and the Ministry of Natural Resources and Environmental Conservation to help develop stronger policy and guidelines as in Lao PDR.  Taking lessons learned with them, IFC’s team began their work with capacity building on environmental and social standard raising.  In October 2016, IFC and the Myanmar government took their partnership to the next level and commenced a country-wide strategic environmental assessment (SEA) that will be a tool for decision makers to be more informed on the sustainability risks and opportuni</w:t>
      </w:r>
      <w:r w:rsidR="00DC5E1E">
        <w:t xml:space="preserve">ties of hydropower development </w:t>
      </w:r>
    </w:p>
    <w:p w14:paraId="6879074F" w14:textId="45079973" w:rsidR="00785690" w:rsidRPr="00715AC7" w:rsidRDefault="00785690" w:rsidP="00785690">
      <w:pPr>
        <w:pStyle w:val="BodyText"/>
      </w:pPr>
      <w:r w:rsidRPr="00B23793">
        <w:rPr>
          <w:b/>
        </w:rPr>
        <w:t>Changing perspectives basin-wide:</w:t>
      </w:r>
      <w:r w:rsidRPr="00715AC7">
        <w:t xml:space="preserve"> IFC is working to change the approach to understanding how hydropower development impacts river basins.  IFC promotes a cumulative, or landscape approach to its work that aims to understand how all projects in one river basin collectively affects the environment and social aspects. </w:t>
      </w:r>
    </w:p>
    <w:p w14:paraId="061A5DC9" w14:textId="77777777" w:rsidR="00785690" w:rsidRPr="00715AC7" w:rsidRDefault="00785690" w:rsidP="00785690">
      <w:pPr>
        <w:pStyle w:val="BodyText"/>
      </w:pPr>
      <w:r w:rsidRPr="00B23793">
        <w:rPr>
          <w:b/>
        </w:rPr>
        <w:t>Getting all players in one river basin on board isn’t easy:</w:t>
      </w:r>
      <w:r>
        <w:t xml:space="preserve"> </w:t>
      </w:r>
      <w:r w:rsidRPr="00715AC7">
        <w:t xml:space="preserve">This is why IFC is working to build capacity on the benefits of understanding cumulative impacts of hydro development and helping with guidelines on this topic in Lao PDR and in Myanmar.  By understanding riverine development from a basin-wide or landscape approach, governments can improve planning of upstream and downstream developments. </w:t>
      </w:r>
    </w:p>
    <w:p w14:paraId="3C8C93B4" w14:textId="77777777" w:rsidR="00785690" w:rsidRDefault="00785690" w:rsidP="00785690">
      <w:pPr>
        <w:pStyle w:val="BodyText"/>
      </w:pPr>
      <w:r w:rsidRPr="00B23793">
        <w:rPr>
          <w:b/>
        </w:rPr>
        <w:t>Getting the private sector engaged at the start:</w:t>
      </w:r>
      <w:r w:rsidRPr="00715AC7">
        <w:t xml:space="preserve"> From capacity building to policy development, IFC takes a lead in getting the private sector to the discussion table.  In the case of developing environmental and social impact assessment guidelines in Myanmar or cumulative impact assessment guidelines in Lao PDR, IFC ensures that the private sector is present to discuss and help shape policy and guidelines to ensure that they a</w:t>
      </w:r>
      <w:r>
        <w:t>re realistic and implementable.</w:t>
      </w:r>
    </w:p>
    <w:p w14:paraId="263FD046" w14:textId="1FB0DB42" w:rsidR="006C22E6" w:rsidRDefault="00785690" w:rsidP="0096268C">
      <w:pPr>
        <w:pStyle w:val="BodyText"/>
      </w:pPr>
      <w:r w:rsidRPr="00715AC7">
        <w:t xml:space="preserve">For further information about the IFC Hydro Advisory initiative: </w:t>
      </w:r>
      <w:hyperlink r:id="rId35" w:history="1">
        <w:r w:rsidRPr="00715AC7">
          <w:rPr>
            <w:rStyle w:val="Hyperlink"/>
            <w:color w:val="auto"/>
            <w:u w:val="none"/>
          </w:rPr>
          <w:t>www.ifc.org/hydroadvisory</w:t>
        </w:r>
      </w:hyperlink>
      <w:r w:rsidR="006C22E6">
        <w:t>.</w:t>
      </w:r>
      <w:bookmarkEnd w:id="87"/>
      <w:bookmarkEnd w:id="88"/>
      <w:bookmarkEnd w:id="89"/>
      <w:bookmarkEnd w:id="90"/>
      <w:bookmarkEnd w:id="91"/>
      <w:bookmarkEnd w:id="92"/>
    </w:p>
    <w:sectPr w:rsidR="006C22E6" w:rsidSect="00253821">
      <w:footerReference w:type="default" r:id="rId36"/>
      <w:pgSz w:w="11909" w:h="16834" w:code="9"/>
      <w:pgMar w:top="1276" w:right="1440" w:bottom="1440" w:left="1440" w:header="720" w:footer="720" w:gutter="0"/>
      <w:pgNumType w:fmt="lowerRoman"/>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5190" w14:textId="77777777" w:rsidR="0096268C" w:rsidRDefault="0096268C">
      <w:r>
        <w:separator/>
      </w:r>
    </w:p>
  </w:endnote>
  <w:endnote w:type="continuationSeparator" w:id="0">
    <w:p w14:paraId="480F2E7E" w14:textId="77777777" w:rsidR="0096268C" w:rsidRDefault="0096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DaunPenh">
    <w:charset w:val="00"/>
    <w:family w:val="auto"/>
    <w:pitch w:val="variable"/>
    <w:sig w:usb0="00000003" w:usb1="00000000" w:usb2="00010000" w:usb3="00000000" w:csb0="0000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F" w:usb1="0000204A" w:usb2="0001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charset w:val="00"/>
    <w:family w:val="auto"/>
    <w:pitch w:val="variable"/>
    <w:sig w:usb0="00000003" w:usb1="00000000" w:usb2="00000000" w:usb3="00000000" w:csb0="00000001" w:csb1="00000000"/>
  </w:font>
  <w:font w:name="Meta Bold">
    <w:altName w:val="Cambria"/>
    <w:panose1 w:val="00000000000000000000"/>
    <w:charset w:val="00"/>
    <w:family w:val="roman"/>
    <w:notTrueType/>
    <w:pitch w:val="default"/>
    <w:sig w:usb0="00000003" w:usb1="00000000" w:usb2="00000000" w:usb3="00000000" w:csb0="00000001" w:csb1="00000000"/>
  </w:font>
  <w:font w:name="Meta Normal">
    <w:altName w:val="Cambri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w:charset w:val="00"/>
    <w:family w:val="auto"/>
    <w:pitch w:val="variable"/>
    <w:sig w:usb0="00000287" w:usb1="00000000" w:usb2="00000000" w:usb3="00000000" w:csb0="0000009F" w:csb1="00000000"/>
  </w:font>
  <w:font w:name="FoundersGrotesk-Regular">
    <w:altName w:val="Calibri"/>
    <w:panose1 w:val="00000000000000000000"/>
    <w:charset w:val="4D"/>
    <w:family w:val="auto"/>
    <w:notTrueType/>
    <w:pitch w:val="default"/>
    <w:sig w:usb0="00000003" w:usb1="00000000" w:usb2="00000000" w:usb3="00000000" w:csb0="00000001" w:csb1="00000000"/>
  </w:font>
  <w:font w:name="RijksoverheidSerif">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T15Ct00">
    <w:altName w:val="Calibri"/>
    <w:panose1 w:val="00000000000000000000"/>
    <w:charset w:val="00"/>
    <w:family w:val="auto"/>
    <w:notTrueType/>
    <w:pitch w:val="default"/>
    <w:sig w:usb0="00000003" w:usb1="00000000" w:usb2="00000000" w:usb3="00000000" w:csb0="00000001" w:csb1="00000000"/>
  </w:font>
  <w:font w:name="GloberRegular">
    <w:altName w:val="Calibri"/>
    <w:panose1 w:val="00000000000000000000"/>
    <w:charset w:val="00"/>
    <w:family w:val="auto"/>
    <w:notTrueType/>
    <w:pitch w:val="default"/>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TS-derived-font">
    <w:altName w:val="Calibri"/>
    <w:panose1 w:val="00000000000000000000"/>
    <w:charset w:val="00"/>
    <w:family w:val="auto"/>
    <w:notTrueType/>
    <w:pitch w:val="default"/>
    <w:sig w:usb0="00000003" w:usb1="00000000" w:usb2="00000000" w:usb3="00000000" w:csb0="00000001" w:csb1="00000000"/>
  </w:font>
  <w:font w:name="GloberSem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F8EB" w14:textId="77777777" w:rsidR="00581B30" w:rsidRDefault="00581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1D93" w14:textId="77777777" w:rsidR="0096268C" w:rsidRPr="00D529F7" w:rsidRDefault="0096268C" w:rsidP="00D529F7">
    <w:pPr>
      <w:pStyle w:val="Footer"/>
      <w:pBdr>
        <w:top w:val="none" w:sz="0" w:space="0" w:color="auto"/>
      </w:pBdr>
      <w:rPr>
        <w:rStyle w:val="PageNumber"/>
        <w:rFonts w:ascii="Arial" w:hAnsi="Arial"/>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A20A" w14:textId="77777777" w:rsidR="00581B30" w:rsidRDefault="00581B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4FFE" w14:textId="76038DD1" w:rsidR="0096268C" w:rsidRDefault="0096268C" w:rsidP="008B3C4D">
    <w:pPr>
      <w:pStyle w:val="Footer"/>
      <w:tabs>
        <w:tab w:val="clear" w:pos="4410"/>
        <w:tab w:val="clear" w:pos="8820"/>
        <w:tab w:val="center" w:pos="4320"/>
        <w:tab w:val="right" w:pos="13950"/>
      </w:tabs>
      <w:jc w:val="center"/>
      <w:rPr>
        <w:rStyle w:val="PageNumber"/>
        <w:rFonts w:ascii="Arial" w:hAnsi="Arial"/>
        <w:sz w:val="14"/>
      </w:rPr>
    </w:pPr>
    <w:r>
      <w:t>Evaluative Study – DFAT Greater Mekong Water Resources Program</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6977" w14:textId="131D5661" w:rsidR="0096268C" w:rsidRDefault="0096268C" w:rsidP="008B3C4D">
    <w:pPr>
      <w:pStyle w:val="Footer"/>
      <w:tabs>
        <w:tab w:val="clear" w:pos="4410"/>
        <w:tab w:val="clear" w:pos="8820"/>
        <w:tab w:val="center" w:pos="4320"/>
        <w:tab w:val="right" w:pos="13950"/>
      </w:tabs>
      <w:jc w:val="center"/>
      <w:rPr>
        <w:rStyle w:val="PageNumber"/>
        <w:rFonts w:ascii="Arial" w:hAnsi="Arial"/>
        <w:sz w:val="14"/>
      </w:rPr>
    </w:pPr>
    <w:r>
      <w:t xml:space="preserve">Evaluative Study </w:t>
    </w:r>
    <w:r>
      <w:rPr>
        <w:rStyle w:val="PageNumber"/>
        <w:rFonts w:ascii="Arial" w:hAnsi="Arial"/>
        <w:sz w:val="14"/>
      </w:rPr>
      <w:t>DFAT Greater Mekong Water Resources Program</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FCC6" w14:textId="542469A7" w:rsidR="0096268C" w:rsidRPr="006C22E6" w:rsidRDefault="0096268C" w:rsidP="006C22E6">
    <w:pPr>
      <w:jc w:val="center"/>
      <w:rPr>
        <w:sz w:val="20"/>
        <w:lang w:val="en-AU"/>
      </w:rPr>
    </w:pPr>
    <w:r w:rsidRPr="006C22E6">
      <w:rPr>
        <w:sz w:val="20"/>
        <w:lang w:val="en-AU"/>
      </w:rPr>
      <w:t>Annex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5B0D2" w14:textId="77777777" w:rsidR="0096268C" w:rsidRDefault="0096268C" w:rsidP="00DA0097">
      <w:pPr>
        <w:spacing w:after="80"/>
      </w:pPr>
      <w:r>
        <w:separator/>
      </w:r>
    </w:p>
  </w:footnote>
  <w:footnote w:type="continuationSeparator" w:id="0">
    <w:p w14:paraId="2C3912BA" w14:textId="77777777" w:rsidR="0096268C" w:rsidRDefault="0096268C">
      <w:r>
        <w:continuationSeparator/>
      </w:r>
    </w:p>
  </w:footnote>
  <w:footnote w:id="1">
    <w:p w14:paraId="542348F6" w14:textId="77777777" w:rsidR="0096268C" w:rsidRPr="00563BE9" w:rsidRDefault="0096268C" w:rsidP="00E40FA4">
      <w:pPr>
        <w:autoSpaceDE w:val="0"/>
        <w:autoSpaceDN w:val="0"/>
        <w:adjustRightInd w:val="0"/>
        <w:spacing w:after="0"/>
        <w:rPr>
          <w:rFonts w:asciiTheme="minorHAnsi" w:hAnsiTheme="minorHAnsi" w:cstheme="minorHAnsi"/>
          <w:sz w:val="18"/>
          <w:szCs w:val="18"/>
          <w:lang w:val="en-CA"/>
        </w:rPr>
      </w:pPr>
      <w:r w:rsidRPr="00563BE9">
        <w:rPr>
          <w:rStyle w:val="FootnoteReference"/>
          <w:rFonts w:asciiTheme="minorHAnsi" w:hAnsiTheme="minorHAnsi" w:cstheme="minorHAnsi"/>
          <w:sz w:val="18"/>
          <w:szCs w:val="18"/>
        </w:rPr>
        <w:footnoteRef/>
      </w:r>
      <w:r w:rsidRPr="00563BE9">
        <w:rPr>
          <w:rFonts w:asciiTheme="minorHAnsi" w:hAnsiTheme="minorHAnsi" w:cstheme="minorHAnsi"/>
          <w:sz w:val="18"/>
          <w:szCs w:val="18"/>
        </w:rPr>
        <w:t xml:space="preserve"> Bazeley P 2013. Thinking about policy and strategy evaluation-policy-dialogue - </w:t>
      </w:r>
      <w:r w:rsidRPr="00563BE9">
        <w:rPr>
          <w:rFonts w:asciiTheme="minorHAnsi" w:hAnsiTheme="minorHAnsi" w:cstheme="minorHAnsi"/>
          <w:sz w:val="18"/>
          <w:szCs w:val="18"/>
          <w:lang w:val="en-AU"/>
        </w:rPr>
        <w:t>Development Effectiveness (ODE), Australian Agency for International Development (AusAID), Canberra</w:t>
      </w:r>
      <w:r>
        <w:rPr>
          <w:rFonts w:asciiTheme="minorHAnsi" w:hAnsiTheme="minorHAnsi" w:cstheme="minorHAnsi"/>
          <w:sz w:val="18"/>
          <w:szCs w:val="18"/>
          <w:lang w:val="en-AU"/>
        </w:rPr>
        <w:t xml:space="preserve">. </w:t>
      </w:r>
    </w:p>
  </w:footnote>
  <w:footnote w:id="2">
    <w:p w14:paraId="68B2E041" w14:textId="77777777" w:rsidR="0096268C" w:rsidRPr="00D331B3" w:rsidRDefault="0096268C" w:rsidP="00E40FA4">
      <w:pPr>
        <w:spacing w:after="0"/>
        <w:rPr>
          <w:rFonts w:asciiTheme="minorHAnsi" w:hAnsiTheme="minorHAnsi" w:cstheme="minorHAnsi"/>
          <w:sz w:val="18"/>
          <w:szCs w:val="18"/>
          <w:lang w:val="en-CA"/>
        </w:rPr>
      </w:pPr>
      <w:r w:rsidRPr="00D331B3">
        <w:rPr>
          <w:rStyle w:val="FootnoteReference"/>
          <w:rFonts w:asciiTheme="minorHAnsi" w:hAnsiTheme="minorHAnsi" w:cstheme="minorHAnsi"/>
          <w:sz w:val="18"/>
          <w:szCs w:val="18"/>
        </w:rPr>
        <w:footnoteRef/>
      </w:r>
      <w:r w:rsidRPr="00D331B3">
        <w:rPr>
          <w:rFonts w:asciiTheme="minorHAnsi" w:hAnsiTheme="minorHAnsi" w:cstheme="minorHAnsi"/>
          <w:sz w:val="18"/>
          <w:szCs w:val="18"/>
        </w:rPr>
        <w:t xml:space="preserve"> </w:t>
      </w:r>
      <w:r w:rsidRPr="00D331B3">
        <w:rPr>
          <w:rFonts w:asciiTheme="minorHAnsi" w:hAnsiTheme="minorHAnsi" w:cstheme="minorHAnsi"/>
          <w:color w:val="000000"/>
          <w:sz w:val="18"/>
          <w:szCs w:val="18"/>
        </w:rPr>
        <w:t xml:space="preserve">MFA 2015, </w:t>
      </w:r>
      <w:r w:rsidRPr="00D331B3">
        <w:rPr>
          <w:rFonts w:asciiTheme="minorHAnsi" w:hAnsiTheme="minorHAnsi" w:cstheme="minorHAnsi"/>
          <w:bCs/>
          <w:sz w:val="18"/>
          <w:szCs w:val="18"/>
        </w:rPr>
        <w:t xml:space="preserve">Opening doors and unlocking potential: </w:t>
      </w:r>
      <w:r w:rsidRPr="00D331B3">
        <w:rPr>
          <w:rFonts w:asciiTheme="minorHAnsi" w:hAnsiTheme="minorHAnsi" w:cstheme="minorHAnsi"/>
          <w:sz w:val="18"/>
          <w:szCs w:val="18"/>
        </w:rPr>
        <w:t xml:space="preserve">Key lessons from an evaluation of support for Policy Influencing, Lobbying and Advocacy (PILA), </w:t>
      </w:r>
      <w:r w:rsidRPr="00D331B3">
        <w:rPr>
          <w:rFonts w:asciiTheme="minorHAnsi" w:hAnsiTheme="minorHAnsi" w:cstheme="minorHAnsi"/>
          <w:i/>
          <w:iCs/>
          <w:color w:val="000000"/>
          <w:sz w:val="18"/>
          <w:szCs w:val="18"/>
        </w:rPr>
        <w:t>the Netherlands</w:t>
      </w:r>
      <w:r w:rsidRPr="00D331B3">
        <w:rPr>
          <w:rFonts w:asciiTheme="minorHAnsi" w:hAnsiTheme="minorHAnsi" w:cstheme="minorHAnsi"/>
          <w:sz w:val="18"/>
          <w:szCs w:val="18"/>
        </w:rPr>
        <w:t xml:space="preserve"> </w:t>
      </w:r>
      <w:r w:rsidRPr="00D331B3">
        <w:rPr>
          <w:rFonts w:asciiTheme="minorHAnsi" w:hAnsiTheme="minorHAnsi" w:cstheme="minorHAnsi"/>
          <w:color w:val="000000"/>
          <w:sz w:val="18"/>
          <w:szCs w:val="18"/>
        </w:rPr>
        <w:t>Ministry of Foreign Affairs.</w:t>
      </w:r>
    </w:p>
  </w:footnote>
  <w:footnote w:id="3">
    <w:p w14:paraId="3152041E" w14:textId="77777777" w:rsidR="0096268C" w:rsidRPr="00D331B3" w:rsidRDefault="0096268C" w:rsidP="00E40FA4">
      <w:pPr>
        <w:pStyle w:val="FootnoteText"/>
        <w:spacing w:after="0"/>
        <w:rPr>
          <w:rFonts w:asciiTheme="minorHAnsi" w:hAnsiTheme="minorHAnsi"/>
          <w:sz w:val="18"/>
          <w:szCs w:val="18"/>
          <w:lang w:val="en-GB"/>
        </w:rPr>
      </w:pPr>
      <w:r w:rsidRPr="00D331B3">
        <w:rPr>
          <w:rStyle w:val="FootnoteReference"/>
          <w:rFonts w:asciiTheme="minorHAnsi" w:hAnsiTheme="minorHAnsi"/>
          <w:sz w:val="18"/>
          <w:szCs w:val="18"/>
        </w:rPr>
        <w:footnoteRef/>
      </w:r>
      <w:r w:rsidRPr="00D331B3">
        <w:rPr>
          <w:rFonts w:asciiTheme="minorHAnsi" w:hAnsiTheme="minorHAnsi"/>
          <w:sz w:val="18"/>
          <w:szCs w:val="18"/>
        </w:rPr>
        <w:t xml:space="preserve"> </w:t>
      </w:r>
      <w:r w:rsidRPr="00D331B3">
        <w:rPr>
          <w:rFonts w:asciiTheme="minorHAnsi" w:hAnsiTheme="minorHAnsi"/>
          <w:sz w:val="18"/>
          <w:szCs w:val="18"/>
          <w:lang w:val="en-GB"/>
        </w:rPr>
        <w:t>Harry Jones, 2011, Background Note – A guide to monitoring and evaluating policy influence,</w:t>
      </w:r>
      <w:r>
        <w:rPr>
          <w:rFonts w:asciiTheme="minorHAnsi" w:hAnsiTheme="minorHAnsi"/>
          <w:sz w:val="18"/>
          <w:szCs w:val="18"/>
          <w:lang w:val="en-GB"/>
        </w:rPr>
        <w:t xml:space="preserve"> Overseas Development Institute.</w:t>
      </w:r>
    </w:p>
  </w:footnote>
  <w:footnote w:id="4">
    <w:p w14:paraId="2227441A" w14:textId="5C367AC5" w:rsidR="0096268C" w:rsidRPr="004C1C26" w:rsidRDefault="0096268C" w:rsidP="00E40FA4">
      <w:pPr>
        <w:pStyle w:val="FootnoteText"/>
        <w:spacing w:after="0"/>
        <w:rPr>
          <w:rFonts w:asciiTheme="minorHAnsi" w:hAnsiTheme="minorHAnsi"/>
          <w:sz w:val="18"/>
          <w:szCs w:val="18"/>
          <w:lang w:val="en-GB"/>
        </w:rPr>
      </w:pPr>
      <w:r w:rsidRPr="004C1C26">
        <w:rPr>
          <w:rStyle w:val="FootnoteReference"/>
          <w:rFonts w:asciiTheme="minorHAnsi" w:hAnsiTheme="minorHAnsi"/>
          <w:sz w:val="18"/>
          <w:szCs w:val="18"/>
        </w:rPr>
        <w:footnoteRef/>
      </w:r>
      <w:r w:rsidRPr="004C1C26">
        <w:rPr>
          <w:rFonts w:asciiTheme="minorHAnsi" w:hAnsiTheme="minorHAnsi"/>
          <w:sz w:val="18"/>
          <w:szCs w:val="18"/>
        </w:rPr>
        <w:t xml:space="preserve"> </w:t>
      </w:r>
      <w:r w:rsidRPr="004C1C26">
        <w:rPr>
          <w:rFonts w:asciiTheme="minorHAnsi" w:hAnsiTheme="minorHAnsi"/>
          <w:sz w:val="18"/>
          <w:szCs w:val="18"/>
          <w:lang w:val="en-GB"/>
        </w:rPr>
        <w:t xml:space="preserve">AusAID, 2012. AusAID Mekong Water Resources </w:t>
      </w:r>
      <w:r>
        <w:rPr>
          <w:rFonts w:asciiTheme="minorHAnsi" w:hAnsiTheme="minorHAnsi"/>
          <w:sz w:val="18"/>
          <w:szCs w:val="18"/>
          <w:lang w:val="en-GB"/>
        </w:rPr>
        <w:t>Program</w:t>
      </w:r>
      <w:r w:rsidRPr="004C1C26">
        <w:rPr>
          <w:rFonts w:asciiTheme="minorHAnsi" w:hAnsiTheme="minorHAnsi"/>
          <w:sz w:val="18"/>
          <w:szCs w:val="18"/>
          <w:lang w:val="en-GB"/>
        </w:rPr>
        <w:t xml:space="preserve"> – Background Paper, 21 November 2012, </w:t>
      </w:r>
      <w:r>
        <w:rPr>
          <w:rFonts w:asciiTheme="minorHAnsi" w:hAnsiTheme="minorHAnsi"/>
          <w:sz w:val="18"/>
          <w:szCs w:val="18"/>
          <w:lang w:val="en-GB"/>
        </w:rPr>
        <w:t>AusAID, Australian Government.</w:t>
      </w:r>
    </w:p>
  </w:footnote>
  <w:footnote w:id="5">
    <w:p w14:paraId="576C5AB5" w14:textId="77777777" w:rsidR="0096268C" w:rsidRPr="004C1C26" w:rsidRDefault="0096268C" w:rsidP="00E40FA4">
      <w:pPr>
        <w:pStyle w:val="FootnoteText"/>
        <w:spacing w:after="0"/>
        <w:rPr>
          <w:rFonts w:asciiTheme="minorHAnsi" w:hAnsiTheme="minorHAnsi"/>
          <w:sz w:val="18"/>
          <w:szCs w:val="18"/>
          <w:lang w:val="en-GB"/>
        </w:rPr>
      </w:pPr>
      <w:r w:rsidRPr="004C1C26">
        <w:rPr>
          <w:rStyle w:val="FootnoteReference"/>
          <w:rFonts w:asciiTheme="minorHAnsi" w:hAnsiTheme="minorHAnsi"/>
          <w:sz w:val="18"/>
          <w:szCs w:val="18"/>
        </w:rPr>
        <w:footnoteRef/>
      </w:r>
      <w:r w:rsidRPr="004C1C26">
        <w:rPr>
          <w:rFonts w:asciiTheme="minorHAnsi" w:hAnsiTheme="minorHAnsi"/>
          <w:sz w:val="18"/>
          <w:szCs w:val="18"/>
        </w:rPr>
        <w:t xml:space="preserve"> </w:t>
      </w:r>
      <w:r w:rsidRPr="004C1C26">
        <w:rPr>
          <w:rFonts w:asciiTheme="minorHAnsi" w:hAnsiTheme="minorHAnsi" w:cs="TT15Ct00"/>
          <w:kern w:val="0"/>
          <w:sz w:val="18"/>
          <w:szCs w:val="18"/>
          <w:lang w:val="en-CA"/>
        </w:rPr>
        <w:t>Isabel Vogel, 2012). Review of the use of ‘Theory of Change’ in international development, UK Department for International Development (DFID)</w:t>
      </w:r>
    </w:p>
  </w:footnote>
  <w:footnote w:id="6">
    <w:p w14:paraId="7D0194B1" w14:textId="77777777" w:rsidR="0096268C" w:rsidRPr="003310A5" w:rsidRDefault="0096268C" w:rsidP="00E40FA4">
      <w:pPr>
        <w:pStyle w:val="FootnoteText"/>
        <w:ind w:left="0" w:firstLine="0"/>
        <w:rPr>
          <w:rFonts w:asciiTheme="minorHAnsi" w:hAnsiTheme="minorHAnsi"/>
          <w:sz w:val="18"/>
          <w:szCs w:val="18"/>
          <w:lang w:val="en-CA"/>
        </w:rPr>
      </w:pPr>
      <w:r w:rsidRPr="003310A5">
        <w:rPr>
          <w:rStyle w:val="FootnoteReference"/>
          <w:rFonts w:asciiTheme="minorHAnsi" w:hAnsiTheme="minorHAnsi"/>
          <w:sz w:val="18"/>
          <w:szCs w:val="18"/>
        </w:rPr>
        <w:footnoteRef/>
      </w:r>
      <w:r w:rsidRPr="003310A5">
        <w:rPr>
          <w:rFonts w:asciiTheme="minorHAnsi" w:hAnsiTheme="minorHAnsi"/>
          <w:sz w:val="18"/>
          <w:szCs w:val="18"/>
        </w:rPr>
        <w:t xml:space="preserve"> </w:t>
      </w:r>
      <w:r w:rsidRPr="003310A5">
        <w:rPr>
          <w:rFonts w:asciiTheme="minorHAnsi" w:hAnsiTheme="minorHAnsi"/>
          <w:sz w:val="18"/>
          <w:szCs w:val="18"/>
          <w:lang w:val="en-CA"/>
        </w:rPr>
        <w:t xml:space="preserve">IFC, 2016. Progress Report - </w:t>
      </w:r>
      <w:r w:rsidRPr="003310A5">
        <w:rPr>
          <w:rFonts w:asciiTheme="minorHAnsi" w:hAnsiTheme="minorHAnsi"/>
          <w:sz w:val="18"/>
          <w:szCs w:val="18"/>
        </w:rPr>
        <w:t>IFC Environmental &amp; Social Standards in Water Resources Development in the Mekong Region January – June 2016, Department of Foreign Affairs and Trade-funded IFC Advisory Services program,</w:t>
      </w:r>
    </w:p>
  </w:footnote>
  <w:footnote w:id="7">
    <w:p w14:paraId="40B249E7" w14:textId="20ADE6BF" w:rsidR="0096268C" w:rsidRPr="00C32435" w:rsidRDefault="0096268C" w:rsidP="00E40FA4">
      <w:pPr>
        <w:pStyle w:val="Default"/>
        <w:rPr>
          <w:rFonts w:asciiTheme="minorHAnsi" w:hAnsiTheme="minorHAnsi"/>
          <w:sz w:val="18"/>
          <w:szCs w:val="18"/>
          <w:lang w:val="en-CA"/>
        </w:rPr>
      </w:pPr>
      <w:r w:rsidRPr="003310A5">
        <w:rPr>
          <w:rStyle w:val="FootnoteReference"/>
          <w:rFonts w:asciiTheme="minorHAnsi" w:hAnsiTheme="minorHAnsi"/>
          <w:sz w:val="18"/>
          <w:szCs w:val="18"/>
        </w:rPr>
        <w:footnoteRef/>
      </w:r>
      <w:r w:rsidRPr="003310A5">
        <w:rPr>
          <w:rFonts w:asciiTheme="minorHAnsi" w:hAnsiTheme="minorHAnsi"/>
          <w:sz w:val="18"/>
          <w:szCs w:val="18"/>
        </w:rPr>
        <w:t xml:space="preserve"> External Consultants, 2016. External Mid-Term Review of Oxfam’s Inclusion Project (2014–2017), </w:t>
      </w:r>
      <w:r w:rsidRPr="00C32435">
        <w:rPr>
          <w:rFonts w:asciiTheme="minorHAnsi" w:hAnsiTheme="minorHAnsi"/>
          <w:bCs/>
          <w:sz w:val="18"/>
          <w:szCs w:val="18"/>
        </w:rPr>
        <w:t>Mekong Regional Water Governance Program and Inclusion Project. Oxfam.</w:t>
      </w:r>
    </w:p>
  </w:footnote>
  <w:footnote w:id="8">
    <w:p w14:paraId="1278AB16" w14:textId="486F3748" w:rsidR="0096268C" w:rsidRPr="00A968F6" w:rsidRDefault="0096268C">
      <w:pPr>
        <w:pStyle w:val="FootnoteText"/>
        <w:rPr>
          <w:rFonts w:asciiTheme="minorHAnsi" w:hAnsiTheme="minorHAnsi"/>
          <w:sz w:val="18"/>
          <w:szCs w:val="18"/>
          <w:lang w:val="en-GB"/>
        </w:rPr>
      </w:pPr>
      <w:r>
        <w:rPr>
          <w:rStyle w:val="FootnoteReference"/>
        </w:rPr>
        <w:footnoteRef/>
      </w:r>
      <w:r>
        <w:t xml:space="preserve"> </w:t>
      </w:r>
      <w:r w:rsidRPr="00A968F6">
        <w:rPr>
          <w:rFonts w:asciiTheme="minorHAnsi" w:hAnsiTheme="minorHAnsi"/>
          <w:sz w:val="18"/>
          <w:szCs w:val="18"/>
          <w:lang w:val="en-GB"/>
        </w:rPr>
        <w:t>DFAT GMWRP, 2015. Australia’s Mekong Water Resources Program – Stories from the program, Issue 2 June 2015.</w:t>
      </w:r>
    </w:p>
  </w:footnote>
  <w:footnote w:id="9">
    <w:p w14:paraId="6FE39970" w14:textId="77777777" w:rsidR="0096268C" w:rsidRPr="00A968F6" w:rsidRDefault="0096268C" w:rsidP="001700F2">
      <w:pPr>
        <w:autoSpaceDE w:val="0"/>
        <w:autoSpaceDN w:val="0"/>
        <w:adjustRightInd w:val="0"/>
        <w:spacing w:after="0"/>
        <w:rPr>
          <w:rFonts w:asciiTheme="minorHAnsi" w:hAnsiTheme="minorHAnsi"/>
          <w:sz w:val="18"/>
          <w:szCs w:val="18"/>
          <w:lang w:val="en-GB"/>
        </w:rPr>
      </w:pPr>
      <w:r w:rsidRPr="00A968F6">
        <w:rPr>
          <w:rStyle w:val="FootnoteReference"/>
          <w:rFonts w:asciiTheme="minorHAnsi" w:hAnsiTheme="minorHAnsi"/>
          <w:sz w:val="18"/>
          <w:szCs w:val="18"/>
        </w:rPr>
        <w:footnoteRef/>
      </w:r>
      <w:r w:rsidRPr="00A968F6">
        <w:rPr>
          <w:rFonts w:asciiTheme="minorHAnsi" w:hAnsiTheme="minorHAnsi"/>
          <w:sz w:val="18"/>
          <w:szCs w:val="18"/>
        </w:rPr>
        <w:t xml:space="preserve"> </w:t>
      </w:r>
      <w:r w:rsidRPr="00A968F6">
        <w:rPr>
          <w:rFonts w:asciiTheme="minorHAnsi" w:hAnsiTheme="minorHAnsi" w:cstheme="minorHAnsi"/>
          <w:sz w:val="18"/>
          <w:szCs w:val="18"/>
        </w:rPr>
        <w:t xml:space="preserve">Oxfam Australia, May 2016, Annual Progress Report (1 April 2015 – 31 March 2016), </w:t>
      </w:r>
      <w:r w:rsidRPr="00A968F6">
        <w:rPr>
          <w:rFonts w:asciiTheme="minorHAnsi" w:hAnsiTheme="minorHAnsi" w:cstheme="minorHAnsi"/>
          <w:color w:val="000000"/>
          <w:sz w:val="18"/>
          <w:szCs w:val="18"/>
        </w:rPr>
        <w:t>Inclusion Project – Mekong Water Governance Program.</w:t>
      </w:r>
    </w:p>
  </w:footnote>
  <w:footnote w:id="10">
    <w:p w14:paraId="0CB543EA" w14:textId="6C5C2B3A" w:rsidR="0096268C" w:rsidRPr="00A56021" w:rsidRDefault="0096268C" w:rsidP="00A56021">
      <w:pPr>
        <w:rPr>
          <w:rFonts w:asciiTheme="minorHAnsi" w:hAnsiTheme="minorHAnsi"/>
          <w:sz w:val="18"/>
          <w:szCs w:val="18"/>
          <w:lang w:val="en-GB"/>
        </w:rPr>
      </w:pPr>
      <w:r>
        <w:rPr>
          <w:rStyle w:val="FootnoteReference"/>
        </w:rPr>
        <w:footnoteRef/>
      </w:r>
      <w:r>
        <w:t xml:space="preserve"> </w:t>
      </w:r>
      <w:r w:rsidRPr="00A968F6">
        <w:rPr>
          <w:rFonts w:asciiTheme="minorHAnsi" w:hAnsiTheme="minorHAnsi"/>
          <w:sz w:val="18"/>
          <w:szCs w:val="18"/>
          <w:lang w:val="en-GB"/>
        </w:rPr>
        <w:t>WLE, 2016. Progress Repor</w:t>
      </w:r>
      <w:r>
        <w:rPr>
          <w:rFonts w:asciiTheme="minorHAnsi" w:hAnsiTheme="minorHAnsi"/>
          <w:sz w:val="18"/>
          <w:szCs w:val="18"/>
          <w:lang w:val="en-GB"/>
        </w:rPr>
        <w:t>t April 1, 2015 – 31 March 2016</w:t>
      </w:r>
    </w:p>
  </w:footnote>
  <w:footnote w:id="11">
    <w:p w14:paraId="27C8A698" w14:textId="71524DE5" w:rsidR="0096268C" w:rsidRPr="00A56021" w:rsidRDefault="0096268C" w:rsidP="00A56021">
      <w:pPr>
        <w:autoSpaceDE w:val="0"/>
        <w:autoSpaceDN w:val="0"/>
        <w:adjustRightInd w:val="0"/>
        <w:spacing w:after="0"/>
        <w:rPr>
          <w:rFonts w:asciiTheme="minorHAnsi" w:hAnsiTheme="minorHAnsi" w:cstheme="minorHAnsi"/>
          <w:color w:val="000000"/>
          <w:sz w:val="18"/>
          <w:szCs w:val="18"/>
        </w:rPr>
      </w:pPr>
      <w:r>
        <w:rPr>
          <w:rStyle w:val="FootnoteReference"/>
        </w:rPr>
        <w:footnoteRef/>
      </w:r>
      <w:r>
        <w:t xml:space="preserve"> </w:t>
      </w:r>
      <w:r>
        <w:rPr>
          <w:rFonts w:asciiTheme="minorHAnsi" w:hAnsiTheme="minorHAnsi" w:cstheme="minorHAnsi"/>
          <w:color w:val="000000"/>
          <w:sz w:val="18"/>
          <w:szCs w:val="18"/>
        </w:rPr>
        <w:t>IFC,</w:t>
      </w:r>
      <w:r w:rsidRPr="00F37FB1">
        <w:rPr>
          <w:rFonts w:asciiTheme="minorHAnsi" w:hAnsiTheme="minorHAnsi" w:cstheme="minorHAnsi"/>
          <w:color w:val="000000"/>
          <w:sz w:val="18"/>
          <w:szCs w:val="18"/>
        </w:rPr>
        <w:t xml:space="preserve"> En</w:t>
      </w:r>
      <w:r>
        <w:rPr>
          <w:rFonts w:asciiTheme="minorHAnsi" w:hAnsiTheme="minorHAnsi" w:cstheme="minorHAnsi"/>
          <w:color w:val="000000"/>
          <w:sz w:val="18"/>
          <w:szCs w:val="18"/>
        </w:rPr>
        <w:t>vironmental &amp; Social Standards i</w:t>
      </w:r>
      <w:r w:rsidRPr="00F37FB1">
        <w:rPr>
          <w:rFonts w:asciiTheme="minorHAnsi" w:hAnsiTheme="minorHAnsi" w:cstheme="minorHAnsi"/>
          <w:color w:val="000000"/>
          <w:sz w:val="18"/>
          <w:szCs w:val="18"/>
        </w:rPr>
        <w:t>n Water Resources Development in The Mekong Reg</w:t>
      </w:r>
      <w:r>
        <w:rPr>
          <w:rFonts w:asciiTheme="minorHAnsi" w:hAnsiTheme="minorHAnsi" w:cstheme="minorHAnsi"/>
          <w:color w:val="000000"/>
          <w:sz w:val="18"/>
          <w:szCs w:val="18"/>
        </w:rPr>
        <w:t>ion, Report: January- June 2016</w:t>
      </w:r>
    </w:p>
  </w:footnote>
  <w:footnote w:id="12">
    <w:p w14:paraId="38A6EB50" w14:textId="44B3F0B5" w:rsidR="0096268C" w:rsidRPr="00A56021" w:rsidRDefault="0096268C" w:rsidP="00A56021">
      <w:pPr>
        <w:widowControl w:val="0"/>
        <w:autoSpaceDE w:val="0"/>
        <w:autoSpaceDN w:val="0"/>
        <w:adjustRightInd w:val="0"/>
        <w:spacing w:after="120"/>
        <w:rPr>
          <w:rFonts w:asciiTheme="minorHAnsi" w:hAnsiTheme="minorHAnsi" w:cstheme="minorHAnsi"/>
          <w:color w:val="453CCC"/>
          <w:sz w:val="20"/>
          <w:szCs w:val="20"/>
          <w:lang w:bidi="th-TH"/>
        </w:rPr>
      </w:pPr>
      <w:r w:rsidRPr="002C0AD1">
        <w:rPr>
          <w:rStyle w:val="FootnoteReference"/>
          <w:rFonts w:asciiTheme="minorHAnsi" w:hAnsiTheme="minorHAnsi" w:cstheme="minorHAnsi"/>
          <w:sz w:val="18"/>
          <w:szCs w:val="20"/>
        </w:rPr>
        <w:footnoteRef/>
      </w:r>
      <w:hyperlink r:id="rId1" w:history="1">
        <w:r w:rsidRPr="002C0AD1">
          <w:rPr>
            <w:rStyle w:val="Hyperlink"/>
            <w:rFonts w:asciiTheme="minorHAnsi" w:hAnsiTheme="minorHAnsi" w:cstheme="minorHAnsi"/>
            <w:sz w:val="18"/>
            <w:szCs w:val="20"/>
            <w:u w:color="0B4CB4"/>
            <w:lang w:bidi="th-TH"/>
          </w:rPr>
          <w:t>http://www.ifc.org/wps/wcm/connect/industry_ext_content/ifc_external_corporate_site/hydro+advisory/news/all+news</w:t>
        </w:r>
      </w:hyperlink>
      <w:r w:rsidRPr="002C0AD1">
        <w:rPr>
          <w:rStyle w:val="Hyperlink"/>
          <w:rFonts w:asciiTheme="minorHAnsi" w:hAnsiTheme="minorHAnsi" w:cstheme="minorHAnsi"/>
          <w:sz w:val="18"/>
          <w:szCs w:val="20"/>
          <w:u w:color="0B4CB4"/>
          <w:lang w:bidi="th-TH"/>
        </w:rPr>
        <w:t>.</w:t>
      </w:r>
    </w:p>
  </w:footnote>
  <w:footnote w:id="13">
    <w:p w14:paraId="3A4FC648" w14:textId="3C539289" w:rsidR="0096268C" w:rsidRPr="00653068" w:rsidRDefault="0096268C">
      <w:pPr>
        <w:pStyle w:val="FootnoteText"/>
        <w:rPr>
          <w:lang w:val="en-GB"/>
        </w:rPr>
      </w:pPr>
      <w:r>
        <w:rPr>
          <w:rStyle w:val="FootnoteReference"/>
        </w:rPr>
        <w:footnoteRef/>
      </w:r>
      <w:r>
        <w:t xml:space="preserve"> </w:t>
      </w:r>
      <w:r>
        <w:rPr>
          <w:lang w:val="en-GB"/>
        </w:rPr>
        <w:t>FACT is one of several partners of Oxfam within the NGO Forum on Cambodia.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0474" w14:textId="77777777" w:rsidR="00581B30" w:rsidRDefault="00581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5D03" w14:textId="77777777" w:rsidR="00581B30" w:rsidRDefault="00581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5219" w14:textId="77777777" w:rsidR="00581B30" w:rsidRDefault="00581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897212"/>
      <w:docPartObj>
        <w:docPartGallery w:val="Page Numbers (Top of Page)"/>
        <w:docPartUnique/>
      </w:docPartObj>
    </w:sdtPr>
    <w:sdtEndPr>
      <w:rPr>
        <w:noProof/>
      </w:rPr>
    </w:sdtEndPr>
    <w:sdtContent>
      <w:p w14:paraId="79DA6505" w14:textId="29BC0CD8" w:rsidR="0096268C" w:rsidRPr="008414CE" w:rsidRDefault="0096268C" w:rsidP="008414CE">
        <w:pPr>
          <w:pStyle w:val="Header"/>
          <w:jc w:val="center"/>
        </w:pPr>
        <w:r>
          <w:fldChar w:fldCharType="begin"/>
        </w:r>
        <w:r>
          <w:instrText xml:space="preserve"> PAGE   \* MERGEFORMAT </w:instrText>
        </w:r>
        <w:r>
          <w:fldChar w:fldCharType="separate"/>
        </w:r>
        <w:r w:rsidR="00E703DB">
          <w:rPr>
            <w:noProof/>
          </w:rPr>
          <w:t>i</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78150257"/>
      <w:docPartObj>
        <w:docPartGallery w:val="Page Numbers (Top of Page)"/>
        <w:docPartUnique/>
      </w:docPartObj>
    </w:sdtPr>
    <w:sdtEndPr>
      <w:rPr>
        <w:noProof/>
      </w:rPr>
    </w:sdtEndPr>
    <w:sdtContent>
      <w:p w14:paraId="465F24B5" w14:textId="019DC89D" w:rsidR="0096268C" w:rsidRPr="006C22E6" w:rsidRDefault="0096268C" w:rsidP="006C22E6">
        <w:pPr>
          <w:pStyle w:val="Header"/>
          <w:jc w:val="center"/>
          <w:rPr>
            <w:sz w:val="20"/>
          </w:rPr>
        </w:pPr>
        <w:r w:rsidRPr="006C22E6">
          <w:rPr>
            <w:sz w:val="20"/>
          </w:rPr>
          <w:fldChar w:fldCharType="begin"/>
        </w:r>
        <w:r w:rsidRPr="006C22E6">
          <w:rPr>
            <w:sz w:val="20"/>
          </w:rPr>
          <w:instrText xml:space="preserve"> PAGE   \* MERGEFORMAT </w:instrText>
        </w:r>
        <w:r w:rsidRPr="006C22E6">
          <w:rPr>
            <w:sz w:val="20"/>
          </w:rPr>
          <w:fldChar w:fldCharType="separate"/>
        </w:r>
        <w:r w:rsidR="00E703DB">
          <w:rPr>
            <w:noProof/>
            <w:sz w:val="20"/>
          </w:rPr>
          <w:t>i</w:t>
        </w:r>
        <w:r w:rsidRPr="006C22E6">
          <w:rPr>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081F70"/>
    <w:multiLevelType w:val="hybridMultilevel"/>
    <w:tmpl w:val="1BE2ED59"/>
    <w:lvl w:ilvl="0" w:tplc="FFFFFFFF">
      <w:start w:val="1"/>
      <w:numFmt w:val="decimal"/>
      <w:pStyle w:val="List2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77CF53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CCEE83E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D664DE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1046D6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9CDE9FD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FD4F0D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18957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222EF9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B086F9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B683C9A"/>
    <w:lvl w:ilvl="0">
      <w:start w:val="1"/>
      <w:numFmt w:val="bullet"/>
      <w:pStyle w:val="ListBullet"/>
      <w:lvlText w:val=""/>
      <w:lvlJc w:val="left"/>
      <w:pPr>
        <w:tabs>
          <w:tab w:val="num" w:pos="360"/>
        </w:tabs>
        <w:ind w:left="360" w:hanging="360"/>
      </w:pPr>
      <w:rPr>
        <w:rFonts w:ascii="Symbol" w:hAnsi="Symbol" w:hint="default"/>
        <w:sz w:val="18"/>
        <w:szCs w:val="18"/>
      </w:rPr>
    </w:lvl>
  </w:abstractNum>
  <w:abstractNum w:abstractNumId="11" w15:restartNumberingAfterBreak="0">
    <w:nsid w:val="02C734A7"/>
    <w:multiLevelType w:val="hybridMultilevel"/>
    <w:tmpl w:val="23BC29E8"/>
    <w:lvl w:ilvl="0" w:tplc="0D68CBBE">
      <w:start w:val="1"/>
      <w:numFmt w:val="bullet"/>
      <w:pStyle w:val="Bullet1"/>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30F0C1E"/>
    <w:multiLevelType w:val="hybridMultilevel"/>
    <w:tmpl w:val="204207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AA36E4"/>
    <w:multiLevelType w:val="hybridMultilevel"/>
    <w:tmpl w:val="109EC2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0F1A05"/>
    <w:multiLevelType w:val="hybridMultilevel"/>
    <w:tmpl w:val="DF52E9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E63B76"/>
    <w:multiLevelType w:val="hybridMultilevel"/>
    <w:tmpl w:val="BC661BC8"/>
    <w:lvl w:ilvl="0" w:tplc="94945EEE">
      <w:start w:val="1"/>
      <w:numFmt w:val="bullet"/>
      <w:pStyle w:val="TableBullet"/>
      <w:lvlText w:val=""/>
      <w:lvlJc w:val="left"/>
      <w:pPr>
        <w:tabs>
          <w:tab w:val="num" w:pos="360"/>
        </w:tabs>
        <w:ind w:left="0" w:firstLine="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2A731E"/>
    <w:multiLevelType w:val="hybridMultilevel"/>
    <w:tmpl w:val="4AFAAB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8C55D5"/>
    <w:multiLevelType w:val="hybridMultilevel"/>
    <w:tmpl w:val="3712FA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7545BE"/>
    <w:multiLevelType w:val="hybridMultilevel"/>
    <w:tmpl w:val="BCB2AF1C"/>
    <w:lvl w:ilvl="0" w:tplc="702473D2">
      <w:start w:val="1"/>
      <w:numFmt w:val="decimal"/>
      <w:pStyle w:val="NumberList1"/>
      <w:lvlText w:val="%1."/>
      <w:lvlJc w:val="left"/>
      <w:pPr>
        <w:tabs>
          <w:tab w:val="num" w:pos="1191"/>
        </w:tabs>
        <w:ind w:left="1191" w:hanging="340"/>
      </w:pPr>
      <w:rPr>
        <w:rFont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128229B3"/>
    <w:multiLevelType w:val="hybridMultilevel"/>
    <w:tmpl w:val="093E14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184264"/>
    <w:multiLevelType w:val="hybridMultilevel"/>
    <w:tmpl w:val="8D1CF6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5611B"/>
    <w:multiLevelType w:val="hybridMultilevel"/>
    <w:tmpl w:val="16D68C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5F0381"/>
    <w:multiLevelType w:val="hybridMultilevel"/>
    <w:tmpl w:val="34481B78"/>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8E13FF"/>
    <w:multiLevelType w:val="hybridMultilevel"/>
    <w:tmpl w:val="A5589944"/>
    <w:lvl w:ilvl="0" w:tplc="115AF018">
      <w:start w:val="1"/>
      <w:numFmt w:val="bullet"/>
      <w:pStyle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F67997"/>
    <w:multiLevelType w:val="hybridMultilevel"/>
    <w:tmpl w:val="B82623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6F5D26"/>
    <w:multiLevelType w:val="hybridMultilevel"/>
    <w:tmpl w:val="8E802A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DA7B53"/>
    <w:multiLevelType w:val="hybridMultilevel"/>
    <w:tmpl w:val="679A0182"/>
    <w:lvl w:ilvl="0" w:tplc="244A81CA">
      <w:start w:val="1"/>
      <w:numFmt w:val="bullet"/>
      <w:pStyle w:val="TOCBulletStyle"/>
      <w:lvlText w:val=""/>
      <w:lvlJc w:val="left"/>
      <w:pPr>
        <w:tabs>
          <w:tab w:val="num" w:pos="907"/>
        </w:tabs>
        <w:ind w:left="907"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808FC"/>
    <w:multiLevelType w:val="multilevel"/>
    <w:tmpl w:val="3F227FA4"/>
    <w:lvl w:ilvl="0">
      <w:start w:val="1"/>
      <w:numFmt w:val="decimal"/>
      <w:pStyle w:val="AppHeading1"/>
      <w:lvlText w:val="A%1.0"/>
      <w:lvlJc w:val="left"/>
      <w:pPr>
        <w:tabs>
          <w:tab w:val="num" w:pos="1931"/>
        </w:tabs>
        <w:ind w:left="1931" w:hanging="851"/>
      </w:pPr>
      <w:rPr>
        <w:rFonts w:ascii="Arial" w:hAnsi="Arial" w:cs="Times New Roman" w:hint="default"/>
        <w:b/>
        <w:i w:val="0"/>
        <w:sz w:val="28"/>
      </w:rPr>
    </w:lvl>
    <w:lvl w:ilvl="1">
      <w:start w:val="1"/>
      <w:numFmt w:val="decimal"/>
      <w:lvlText w:val="A%1.%2"/>
      <w:lvlJc w:val="left"/>
      <w:pPr>
        <w:tabs>
          <w:tab w:val="num" w:pos="1931"/>
        </w:tabs>
        <w:ind w:left="1931" w:hanging="851"/>
      </w:pPr>
      <w:rPr>
        <w:rFonts w:ascii="Arial" w:hAnsi="Arial" w:cs="Times New Roman" w:hint="default"/>
        <w:b/>
        <w:i w:val="0"/>
        <w:sz w:val="24"/>
      </w:rPr>
    </w:lvl>
    <w:lvl w:ilvl="2">
      <w:start w:val="1"/>
      <w:numFmt w:val="decimal"/>
      <w:lvlText w:val="A%1.%2.%3"/>
      <w:lvlJc w:val="left"/>
      <w:pPr>
        <w:tabs>
          <w:tab w:val="num" w:pos="1931"/>
        </w:tabs>
        <w:ind w:left="1931" w:hanging="851"/>
      </w:pPr>
      <w:rPr>
        <w:rFonts w:ascii="Arial" w:hAnsi="Arial" w:cs="Times New Roman" w:hint="default"/>
        <w:b/>
        <w:i w:val="0"/>
        <w:sz w:val="24"/>
      </w:rPr>
    </w:lvl>
    <w:lvl w:ilvl="3">
      <w:start w:val="1"/>
      <w:numFmt w:val="decimal"/>
      <w:pStyle w:val="AppHeading4"/>
      <w:lvlText w:val="A%1.%2.%3.%4"/>
      <w:lvlJc w:val="left"/>
      <w:pPr>
        <w:tabs>
          <w:tab w:val="num" w:pos="1931"/>
        </w:tabs>
        <w:ind w:left="1931" w:hanging="851"/>
      </w:pPr>
      <w:rPr>
        <w:rFonts w:ascii="Arial" w:hAnsi="Arial" w:cs="Times New Roman" w:hint="default"/>
        <w:b/>
        <w:i w:val="0"/>
        <w:sz w:val="22"/>
      </w:rPr>
    </w:lvl>
    <w:lvl w:ilvl="4">
      <w:start w:val="1"/>
      <w:numFmt w:val="none"/>
      <w:pStyle w:val="AppHeading5"/>
      <w:lvlText w:val=""/>
      <w:lvlJc w:val="left"/>
      <w:pPr>
        <w:tabs>
          <w:tab w:val="num" w:pos="1930"/>
        </w:tabs>
        <w:ind w:left="1930" w:hanging="850"/>
      </w:pPr>
      <w:rPr>
        <w:rFonts w:ascii="Arial" w:hAnsi="Arial" w:cs="Times New Roman" w:hint="default"/>
        <w:b/>
        <w:i w:val="0"/>
        <w:sz w:val="24"/>
      </w:rPr>
    </w:lvl>
    <w:lvl w:ilvl="5">
      <w:numFmt w:val="none"/>
      <w:lvlText w:val=""/>
      <w:lvlJc w:val="left"/>
      <w:pPr>
        <w:tabs>
          <w:tab w:val="num" w:pos="2232"/>
        </w:tabs>
        <w:ind w:left="2232" w:hanging="1152"/>
      </w:pPr>
      <w:rPr>
        <w:rFonts w:ascii="Arial Bold" w:hAnsi="Arial Bold" w:cs="Times New Roman" w:hint="default"/>
        <w:b/>
        <w:i w:val="0"/>
        <w:caps/>
        <w:sz w:val="28"/>
      </w:rPr>
    </w:lvl>
    <w:lvl w:ilvl="6">
      <w:start w:val="1"/>
      <w:numFmt w:val="none"/>
      <w:lvlText w:val=""/>
      <w:lvlJc w:val="left"/>
      <w:pPr>
        <w:tabs>
          <w:tab w:val="num" w:pos="2376"/>
        </w:tabs>
        <w:ind w:left="2376" w:hanging="1296"/>
      </w:pPr>
      <w:rPr>
        <w:rFonts w:cs="Times New Roman" w:hint="default"/>
      </w:rPr>
    </w:lvl>
    <w:lvl w:ilvl="7">
      <w:start w:val="1"/>
      <w:numFmt w:val="none"/>
      <w:lvlText w:val=""/>
      <w:lvlJc w:val="left"/>
      <w:pPr>
        <w:tabs>
          <w:tab w:val="num" w:pos="2520"/>
        </w:tabs>
        <w:ind w:left="2520" w:hanging="1440"/>
      </w:pPr>
      <w:rPr>
        <w:rFonts w:cs="Times New Roman" w:hint="default"/>
      </w:rPr>
    </w:lvl>
    <w:lvl w:ilvl="8">
      <w:start w:val="1"/>
      <w:numFmt w:val="none"/>
      <w:lvlText w:val=""/>
      <w:lvlJc w:val="left"/>
      <w:pPr>
        <w:tabs>
          <w:tab w:val="num" w:pos="2664"/>
        </w:tabs>
        <w:ind w:left="2664" w:hanging="1584"/>
      </w:pPr>
      <w:rPr>
        <w:rFonts w:cs="Times New Roman" w:hint="default"/>
      </w:rPr>
    </w:lvl>
  </w:abstractNum>
  <w:abstractNum w:abstractNumId="28"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C6292A"/>
    <w:multiLevelType w:val="hybridMultilevel"/>
    <w:tmpl w:val="E19487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1C5441"/>
    <w:multiLevelType w:val="hybridMultilevel"/>
    <w:tmpl w:val="94B46C0E"/>
    <w:lvl w:ilvl="0" w:tplc="04090001">
      <w:start w:val="1"/>
      <w:numFmt w:val="decimal"/>
      <w:pStyle w:val="para-num"/>
      <w:lvlText w:val="%1."/>
      <w:lvlJc w:val="left"/>
      <w:pPr>
        <w:tabs>
          <w:tab w:val="num" w:pos="360"/>
        </w:tabs>
        <w:ind w:left="0" w:firstLine="0"/>
      </w:pPr>
      <w:rPr>
        <w:rFonts w:ascii="Arial" w:hAnsi="Arial" w:hint="default"/>
        <w:b w:val="0"/>
        <w:i w:val="0"/>
        <w:sz w:val="22"/>
      </w:rPr>
    </w:lvl>
    <w:lvl w:ilvl="1" w:tplc="04090019">
      <w:start w:val="1"/>
      <w:numFmt w:val="upperRoman"/>
      <w:lvlText w:val="%2."/>
      <w:lvlJc w:val="left"/>
      <w:pPr>
        <w:tabs>
          <w:tab w:val="num" w:pos="1800"/>
        </w:tabs>
        <w:ind w:left="1800" w:hanging="720"/>
      </w:pPr>
      <w:rPr>
        <w:rFonts w:hint="default"/>
        <w:b w:val="0"/>
        <w:i w:val="0"/>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AF713D"/>
    <w:multiLevelType w:val="hybridMultilevel"/>
    <w:tmpl w:val="1A1867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6A6491"/>
    <w:multiLevelType w:val="hybridMultilevel"/>
    <w:tmpl w:val="C33EAA54"/>
    <w:lvl w:ilvl="0" w:tplc="C7522702">
      <w:start w:val="1"/>
      <w:numFmt w:val="decimal"/>
      <w:pStyle w:val="TOCNumberList"/>
      <w:lvlText w:val="%1."/>
      <w:lvlJc w:val="left"/>
      <w:pPr>
        <w:tabs>
          <w:tab w:val="num" w:pos="1447"/>
        </w:tabs>
        <w:ind w:left="1447" w:hanging="727"/>
      </w:pPr>
      <w:rPr>
        <w:rFonts w:ascii="Book Antiqua" w:hAnsi="Book Antiqu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6E30BF"/>
    <w:multiLevelType w:val="hybridMultilevel"/>
    <w:tmpl w:val="7982F4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CB1A79"/>
    <w:multiLevelType w:val="hybridMultilevel"/>
    <w:tmpl w:val="7D9AE4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7856A5"/>
    <w:multiLevelType w:val="singleLevel"/>
    <w:tmpl w:val="060079D2"/>
    <w:lvl w:ilvl="0">
      <w:start w:val="1"/>
      <w:numFmt w:val="decimal"/>
      <w:pStyle w:val="BodyText3"/>
      <w:lvlText w:val="%1."/>
      <w:lvlJc w:val="left"/>
      <w:pPr>
        <w:tabs>
          <w:tab w:val="num" w:pos="360"/>
        </w:tabs>
        <w:ind w:left="360" w:hanging="360"/>
      </w:pPr>
    </w:lvl>
  </w:abstractNum>
  <w:abstractNum w:abstractNumId="36" w15:restartNumberingAfterBreak="0">
    <w:nsid w:val="460311A8"/>
    <w:multiLevelType w:val="hybridMultilevel"/>
    <w:tmpl w:val="05F02A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CB266A"/>
    <w:multiLevelType w:val="multilevel"/>
    <w:tmpl w:val="D6BA2E4A"/>
    <w:lvl w:ilvl="0">
      <w:start w:val="1"/>
      <w:numFmt w:val="decimal"/>
      <w:pStyle w:val="Heading1"/>
      <w:lvlText w:val="%1.0"/>
      <w:lvlJc w:val="left"/>
      <w:pPr>
        <w:tabs>
          <w:tab w:val="num" w:pos="851"/>
        </w:tabs>
        <w:ind w:left="851" w:hanging="851"/>
      </w:pPr>
      <w:rPr>
        <w:rFonts w:ascii="Arial" w:hAnsi="Arial" w:hint="default"/>
        <w:b/>
        <w:i w:val="0"/>
        <w:sz w:val="28"/>
      </w:rPr>
    </w:lvl>
    <w:lvl w:ilvl="1">
      <w:start w:val="1"/>
      <w:numFmt w:val="decimal"/>
      <w:pStyle w:val="Heading2"/>
      <w:lvlText w:val="%1.%2"/>
      <w:lvlJc w:val="left"/>
      <w:pPr>
        <w:tabs>
          <w:tab w:val="num" w:pos="401"/>
        </w:tabs>
        <w:ind w:left="401" w:hanging="851"/>
      </w:pPr>
      <w:rPr>
        <w:rFonts w:ascii="Arial" w:hAnsi="Arial" w:hint="default"/>
        <w:b/>
        <w:i w:val="0"/>
        <w:color w:val="000000" w:themeColor="text1"/>
        <w:sz w:val="24"/>
      </w:rPr>
    </w:lvl>
    <w:lvl w:ilvl="2">
      <w:start w:val="1"/>
      <w:numFmt w:val="decimal"/>
      <w:pStyle w:val="Heading3"/>
      <w:lvlText w:val="%1.%2.%3"/>
      <w:lvlJc w:val="left"/>
      <w:pPr>
        <w:tabs>
          <w:tab w:val="num" w:pos="1561"/>
        </w:tabs>
        <w:ind w:left="1561" w:hanging="851"/>
      </w:pPr>
      <w:rPr>
        <w:rFonts w:cs="Times New Roman"/>
        <w:b/>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6611"/>
        </w:tabs>
        <w:ind w:left="6611" w:hanging="851"/>
      </w:pPr>
      <w:rPr>
        <w:rFonts w:ascii="Arial" w:hAnsi="Arial" w:hint="default"/>
        <w:b/>
        <w:i w:val="0"/>
        <w:color w:val="auto"/>
        <w:sz w:val="22"/>
      </w:rPr>
    </w:lvl>
    <w:lvl w:ilvl="4">
      <w:start w:val="1"/>
      <w:numFmt w:val="decimal"/>
      <w:lvlText w:val="%1.%2.%3.%4.%5"/>
      <w:lvlJc w:val="left"/>
      <w:pPr>
        <w:tabs>
          <w:tab w:val="num" w:pos="558"/>
        </w:tabs>
        <w:ind w:left="558" w:hanging="1008"/>
      </w:pPr>
      <w:rPr>
        <w:rFonts w:ascii="Arial" w:hAnsi="Arial" w:hint="default"/>
        <w:b/>
        <w:i w:val="0"/>
        <w:sz w:val="24"/>
      </w:rPr>
    </w:lvl>
    <w:lvl w:ilvl="5">
      <w:start w:val="1"/>
      <w:numFmt w:val="decimal"/>
      <w:lvlText w:val="%1.%2.%3.%4.%5.%6"/>
      <w:lvlJc w:val="left"/>
      <w:pPr>
        <w:tabs>
          <w:tab w:val="num" w:pos="702"/>
        </w:tabs>
        <w:ind w:left="702" w:hanging="1152"/>
      </w:pPr>
      <w:rPr>
        <w:rFonts w:hint="default"/>
      </w:rPr>
    </w:lvl>
    <w:lvl w:ilvl="6">
      <w:start w:val="1"/>
      <w:numFmt w:val="decimal"/>
      <w:lvlText w:val="%1.%2.%3.%4.%5.%6.%7"/>
      <w:lvlJc w:val="left"/>
      <w:pPr>
        <w:tabs>
          <w:tab w:val="num" w:pos="846"/>
        </w:tabs>
        <w:ind w:left="846" w:hanging="1296"/>
      </w:pPr>
      <w:rPr>
        <w:rFonts w:hint="default"/>
      </w:rPr>
    </w:lvl>
    <w:lvl w:ilvl="7">
      <w:start w:val="1"/>
      <w:numFmt w:val="decimal"/>
      <w:lvlText w:val="%1.%2.%3.%4.%5.%6.%7.%8"/>
      <w:lvlJc w:val="left"/>
      <w:pPr>
        <w:tabs>
          <w:tab w:val="num" w:pos="990"/>
        </w:tabs>
        <w:ind w:left="990" w:hanging="1440"/>
      </w:pPr>
      <w:rPr>
        <w:rFonts w:hint="default"/>
      </w:rPr>
    </w:lvl>
    <w:lvl w:ilvl="8">
      <w:start w:val="1"/>
      <w:numFmt w:val="decimal"/>
      <w:lvlText w:val="%1.%2.%3.%4.%5.%6.%7.%8.%9"/>
      <w:lvlJc w:val="left"/>
      <w:pPr>
        <w:tabs>
          <w:tab w:val="num" w:pos="1134"/>
        </w:tabs>
        <w:ind w:left="1134" w:hanging="1584"/>
      </w:pPr>
      <w:rPr>
        <w:rFonts w:hint="default"/>
      </w:rPr>
    </w:lvl>
  </w:abstractNum>
  <w:abstractNum w:abstractNumId="38" w15:restartNumberingAfterBreak="0">
    <w:nsid w:val="5BB90677"/>
    <w:multiLevelType w:val="hybridMultilevel"/>
    <w:tmpl w:val="7AB030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626EED"/>
    <w:multiLevelType w:val="hybridMultilevel"/>
    <w:tmpl w:val="AF2A94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F534023"/>
    <w:multiLevelType w:val="multilevel"/>
    <w:tmpl w:val="6B6217CE"/>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68E85475"/>
    <w:multiLevelType w:val="hybridMultilevel"/>
    <w:tmpl w:val="A9DCF0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7C535A"/>
    <w:multiLevelType w:val="hybridMultilevel"/>
    <w:tmpl w:val="D84C6B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4F08A0"/>
    <w:multiLevelType w:val="hybridMultilevel"/>
    <w:tmpl w:val="9D7C120C"/>
    <w:lvl w:ilvl="0" w:tplc="13005BD8">
      <w:start w:val="1"/>
      <w:numFmt w:val="bullet"/>
      <w:lvlText w:val=""/>
      <w:lvlJc w:val="left"/>
      <w:pPr>
        <w:tabs>
          <w:tab w:val="num" w:pos="2347"/>
        </w:tabs>
        <w:ind w:left="2347" w:hanging="360"/>
      </w:pPr>
      <w:rPr>
        <w:rFonts w:ascii="Wingdings" w:hAnsi="Wingdings" w:hint="default"/>
      </w:rPr>
    </w:lvl>
    <w:lvl w:ilvl="1" w:tplc="D0340FCE">
      <w:start w:val="1"/>
      <w:numFmt w:val="bullet"/>
      <w:pStyle w:val="BulletList2"/>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4" w15:restartNumberingAfterBreak="0">
    <w:nsid w:val="7AD342C6"/>
    <w:multiLevelType w:val="hybridMultilevel"/>
    <w:tmpl w:val="B92C71C6"/>
    <w:lvl w:ilvl="0" w:tplc="4F749198">
      <w:start w:val="1"/>
      <w:numFmt w:val="bullet"/>
      <w:pStyle w:val="BulletList1"/>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abstractNumId w:val="43"/>
  </w:num>
  <w:num w:numId="2">
    <w:abstractNumId w:val="15"/>
  </w:num>
  <w:num w:numId="3">
    <w:abstractNumId w:val="26"/>
  </w:num>
  <w:num w:numId="4">
    <w:abstractNumId w:val="32"/>
  </w:num>
  <w:num w:numId="5">
    <w:abstractNumId w:val="27"/>
  </w:num>
  <w:num w:numId="6">
    <w:abstractNumId w:val="37"/>
  </w:num>
  <w:num w:numId="7">
    <w:abstractNumId w:val="10"/>
  </w:num>
  <w:num w:numId="8">
    <w:abstractNumId w:val="11"/>
  </w:num>
  <w:num w:numId="9">
    <w:abstractNumId w:val="35"/>
  </w:num>
  <w:num w:numId="10">
    <w:abstractNumId w:val="18"/>
  </w:num>
  <w:num w:numId="11">
    <w:abstractNumId w:val="44"/>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30"/>
  </w:num>
  <w:num w:numId="22">
    <w:abstractNumId w:val="23"/>
  </w:num>
  <w:num w:numId="23">
    <w:abstractNumId w:val="28"/>
  </w:num>
  <w:num w:numId="24">
    <w:abstractNumId w:val="0"/>
  </w:num>
  <w:num w:numId="25">
    <w:abstractNumId w:val="40"/>
  </w:num>
  <w:num w:numId="26">
    <w:abstractNumId w:val="25"/>
  </w:num>
  <w:num w:numId="27">
    <w:abstractNumId w:val="20"/>
  </w:num>
  <w:num w:numId="28">
    <w:abstractNumId w:val="16"/>
  </w:num>
  <w:num w:numId="29">
    <w:abstractNumId w:val="22"/>
  </w:num>
  <w:num w:numId="30">
    <w:abstractNumId w:val="17"/>
  </w:num>
  <w:num w:numId="31">
    <w:abstractNumId w:val="33"/>
  </w:num>
  <w:num w:numId="32">
    <w:abstractNumId w:val="34"/>
  </w:num>
  <w:num w:numId="33">
    <w:abstractNumId w:val="19"/>
  </w:num>
  <w:num w:numId="34">
    <w:abstractNumId w:val="31"/>
  </w:num>
  <w:num w:numId="35">
    <w:abstractNumId w:val="21"/>
  </w:num>
  <w:num w:numId="36">
    <w:abstractNumId w:val="12"/>
  </w:num>
  <w:num w:numId="37">
    <w:abstractNumId w:val="41"/>
  </w:num>
  <w:num w:numId="38">
    <w:abstractNumId w:val="24"/>
  </w:num>
  <w:num w:numId="39">
    <w:abstractNumId w:val="14"/>
  </w:num>
  <w:num w:numId="40">
    <w:abstractNumId w:val="13"/>
  </w:num>
  <w:num w:numId="41">
    <w:abstractNumId w:val="36"/>
  </w:num>
  <w:num w:numId="42">
    <w:abstractNumId w:val="38"/>
  </w:num>
  <w:num w:numId="43">
    <w:abstractNumId w:val="42"/>
  </w:num>
  <w:num w:numId="44">
    <w:abstractNumId w:val="39"/>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5D"/>
    <w:rsid w:val="00000128"/>
    <w:rsid w:val="000007D2"/>
    <w:rsid w:val="00003FB6"/>
    <w:rsid w:val="00004430"/>
    <w:rsid w:val="000051B1"/>
    <w:rsid w:val="000052B8"/>
    <w:rsid w:val="00006D56"/>
    <w:rsid w:val="000078F6"/>
    <w:rsid w:val="00007C43"/>
    <w:rsid w:val="00010FED"/>
    <w:rsid w:val="00011C33"/>
    <w:rsid w:val="00013AB1"/>
    <w:rsid w:val="00014E6E"/>
    <w:rsid w:val="0001503F"/>
    <w:rsid w:val="0001531B"/>
    <w:rsid w:val="000153FA"/>
    <w:rsid w:val="00015EB2"/>
    <w:rsid w:val="0001639B"/>
    <w:rsid w:val="000170A5"/>
    <w:rsid w:val="00020F17"/>
    <w:rsid w:val="000219DB"/>
    <w:rsid w:val="00021ADE"/>
    <w:rsid w:val="00022012"/>
    <w:rsid w:val="00022849"/>
    <w:rsid w:val="00022F20"/>
    <w:rsid w:val="00022F72"/>
    <w:rsid w:val="0002306A"/>
    <w:rsid w:val="000230E1"/>
    <w:rsid w:val="00023665"/>
    <w:rsid w:val="00023704"/>
    <w:rsid w:val="000239CB"/>
    <w:rsid w:val="000248C1"/>
    <w:rsid w:val="000273DF"/>
    <w:rsid w:val="000274D2"/>
    <w:rsid w:val="00027762"/>
    <w:rsid w:val="000304E0"/>
    <w:rsid w:val="00030B70"/>
    <w:rsid w:val="000315FB"/>
    <w:rsid w:val="00031957"/>
    <w:rsid w:val="00031959"/>
    <w:rsid w:val="00032291"/>
    <w:rsid w:val="00032713"/>
    <w:rsid w:val="00035F5C"/>
    <w:rsid w:val="00036324"/>
    <w:rsid w:val="000365DD"/>
    <w:rsid w:val="000373E4"/>
    <w:rsid w:val="000375DD"/>
    <w:rsid w:val="00037925"/>
    <w:rsid w:val="00037EA2"/>
    <w:rsid w:val="0004363C"/>
    <w:rsid w:val="000440D0"/>
    <w:rsid w:val="00044577"/>
    <w:rsid w:val="0004471C"/>
    <w:rsid w:val="0004644B"/>
    <w:rsid w:val="0004645E"/>
    <w:rsid w:val="00047976"/>
    <w:rsid w:val="000523E1"/>
    <w:rsid w:val="0005298E"/>
    <w:rsid w:val="00053C0D"/>
    <w:rsid w:val="000549EB"/>
    <w:rsid w:val="00055CAC"/>
    <w:rsid w:val="00056477"/>
    <w:rsid w:val="0005680A"/>
    <w:rsid w:val="00056DFF"/>
    <w:rsid w:val="0005716F"/>
    <w:rsid w:val="000600E7"/>
    <w:rsid w:val="0006078A"/>
    <w:rsid w:val="000627BA"/>
    <w:rsid w:val="000638AF"/>
    <w:rsid w:val="00063E84"/>
    <w:rsid w:val="00063F6E"/>
    <w:rsid w:val="00064265"/>
    <w:rsid w:val="00065EAC"/>
    <w:rsid w:val="00065F19"/>
    <w:rsid w:val="00066037"/>
    <w:rsid w:val="00066451"/>
    <w:rsid w:val="00066645"/>
    <w:rsid w:val="00066DF4"/>
    <w:rsid w:val="00067CCB"/>
    <w:rsid w:val="00070C3D"/>
    <w:rsid w:val="00070EDA"/>
    <w:rsid w:val="0007112B"/>
    <w:rsid w:val="00071C95"/>
    <w:rsid w:val="0007274B"/>
    <w:rsid w:val="00073B07"/>
    <w:rsid w:val="0007483C"/>
    <w:rsid w:val="000749A6"/>
    <w:rsid w:val="00074A1B"/>
    <w:rsid w:val="00074A94"/>
    <w:rsid w:val="000759FD"/>
    <w:rsid w:val="000807A8"/>
    <w:rsid w:val="000809CC"/>
    <w:rsid w:val="000829E5"/>
    <w:rsid w:val="000851F6"/>
    <w:rsid w:val="00085322"/>
    <w:rsid w:val="0008540C"/>
    <w:rsid w:val="00085845"/>
    <w:rsid w:val="000863CC"/>
    <w:rsid w:val="00086C67"/>
    <w:rsid w:val="000900C3"/>
    <w:rsid w:val="000908E9"/>
    <w:rsid w:val="00091CA0"/>
    <w:rsid w:val="000932D9"/>
    <w:rsid w:val="000944C2"/>
    <w:rsid w:val="00094F63"/>
    <w:rsid w:val="000954B1"/>
    <w:rsid w:val="00096BCB"/>
    <w:rsid w:val="00096F78"/>
    <w:rsid w:val="0009738A"/>
    <w:rsid w:val="000A037D"/>
    <w:rsid w:val="000A3367"/>
    <w:rsid w:val="000A447B"/>
    <w:rsid w:val="000A6E0C"/>
    <w:rsid w:val="000B18E7"/>
    <w:rsid w:val="000B2211"/>
    <w:rsid w:val="000B300E"/>
    <w:rsid w:val="000B3095"/>
    <w:rsid w:val="000B4228"/>
    <w:rsid w:val="000B51A3"/>
    <w:rsid w:val="000B586B"/>
    <w:rsid w:val="000B68D3"/>
    <w:rsid w:val="000B771C"/>
    <w:rsid w:val="000C1A24"/>
    <w:rsid w:val="000C2C0A"/>
    <w:rsid w:val="000C3C01"/>
    <w:rsid w:val="000C3C3B"/>
    <w:rsid w:val="000C4277"/>
    <w:rsid w:val="000C5CB2"/>
    <w:rsid w:val="000C6180"/>
    <w:rsid w:val="000C7056"/>
    <w:rsid w:val="000C749B"/>
    <w:rsid w:val="000D03A2"/>
    <w:rsid w:val="000D0DD7"/>
    <w:rsid w:val="000D0E9A"/>
    <w:rsid w:val="000D12CA"/>
    <w:rsid w:val="000D1F7F"/>
    <w:rsid w:val="000D24F8"/>
    <w:rsid w:val="000D3BEC"/>
    <w:rsid w:val="000D41D6"/>
    <w:rsid w:val="000D50D5"/>
    <w:rsid w:val="000D539D"/>
    <w:rsid w:val="000D582B"/>
    <w:rsid w:val="000D5A88"/>
    <w:rsid w:val="000D7641"/>
    <w:rsid w:val="000D7C55"/>
    <w:rsid w:val="000E01AF"/>
    <w:rsid w:val="000E1997"/>
    <w:rsid w:val="000E2397"/>
    <w:rsid w:val="000E4B6A"/>
    <w:rsid w:val="000E4C11"/>
    <w:rsid w:val="000E6976"/>
    <w:rsid w:val="000E7366"/>
    <w:rsid w:val="000E754E"/>
    <w:rsid w:val="000E7F74"/>
    <w:rsid w:val="000F05B0"/>
    <w:rsid w:val="000F2D40"/>
    <w:rsid w:val="000F41DA"/>
    <w:rsid w:val="000F4A8C"/>
    <w:rsid w:val="000F4F34"/>
    <w:rsid w:val="000F532D"/>
    <w:rsid w:val="000F5C89"/>
    <w:rsid w:val="000F5EB9"/>
    <w:rsid w:val="000F6A98"/>
    <w:rsid w:val="000F75E3"/>
    <w:rsid w:val="0010016C"/>
    <w:rsid w:val="00100930"/>
    <w:rsid w:val="00100C31"/>
    <w:rsid w:val="00100C34"/>
    <w:rsid w:val="00102CA6"/>
    <w:rsid w:val="001031D8"/>
    <w:rsid w:val="00104376"/>
    <w:rsid w:val="00104C57"/>
    <w:rsid w:val="00105DBF"/>
    <w:rsid w:val="0010662B"/>
    <w:rsid w:val="00106DF4"/>
    <w:rsid w:val="0011052C"/>
    <w:rsid w:val="00110BF9"/>
    <w:rsid w:val="0011162E"/>
    <w:rsid w:val="00111E0B"/>
    <w:rsid w:val="001142D3"/>
    <w:rsid w:val="001149F4"/>
    <w:rsid w:val="00114E3C"/>
    <w:rsid w:val="0011536A"/>
    <w:rsid w:val="00116C02"/>
    <w:rsid w:val="0011722F"/>
    <w:rsid w:val="00120A34"/>
    <w:rsid w:val="00120BE4"/>
    <w:rsid w:val="00121D29"/>
    <w:rsid w:val="00124541"/>
    <w:rsid w:val="00124D79"/>
    <w:rsid w:val="001252F9"/>
    <w:rsid w:val="001256C2"/>
    <w:rsid w:val="00125E56"/>
    <w:rsid w:val="00126728"/>
    <w:rsid w:val="00127146"/>
    <w:rsid w:val="00127CE1"/>
    <w:rsid w:val="0013057C"/>
    <w:rsid w:val="00134AA3"/>
    <w:rsid w:val="00136249"/>
    <w:rsid w:val="00136EB7"/>
    <w:rsid w:val="00137085"/>
    <w:rsid w:val="00137A3F"/>
    <w:rsid w:val="00137EF3"/>
    <w:rsid w:val="00142266"/>
    <w:rsid w:val="00143A50"/>
    <w:rsid w:val="00143B5C"/>
    <w:rsid w:val="00144463"/>
    <w:rsid w:val="00145564"/>
    <w:rsid w:val="0014572B"/>
    <w:rsid w:val="00145AA0"/>
    <w:rsid w:val="00146652"/>
    <w:rsid w:val="00146DE7"/>
    <w:rsid w:val="00147A2F"/>
    <w:rsid w:val="0015049B"/>
    <w:rsid w:val="00150701"/>
    <w:rsid w:val="00150A69"/>
    <w:rsid w:val="00150D95"/>
    <w:rsid w:val="001515BF"/>
    <w:rsid w:val="00151FFE"/>
    <w:rsid w:val="0015356E"/>
    <w:rsid w:val="0015388B"/>
    <w:rsid w:val="001540C7"/>
    <w:rsid w:val="00155E76"/>
    <w:rsid w:val="001564F3"/>
    <w:rsid w:val="00156AC7"/>
    <w:rsid w:val="001578E7"/>
    <w:rsid w:val="001579A9"/>
    <w:rsid w:val="00157FB6"/>
    <w:rsid w:val="00157FF9"/>
    <w:rsid w:val="0016000E"/>
    <w:rsid w:val="0016209A"/>
    <w:rsid w:val="00163130"/>
    <w:rsid w:val="0016515E"/>
    <w:rsid w:val="001663AE"/>
    <w:rsid w:val="001665C4"/>
    <w:rsid w:val="001670DB"/>
    <w:rsid w:val="001678A2"/>
    <w:rsid w:val="00167EFE"/>
    <w:rsid w:val="001700F2"/>
    <w:rsid w:val="001702C5"/>
    <w:rsid w:val="00170E14"/>
    <w:rsid w:val="00171512"/>
    <w:rsid w:val="00172477"/>
    <w:rsid w:val="001726F9"/>
    <w:rsid w:val="00172FDC"/>
    <w:rsid w:val="00173C9D"/>
    <w:rsid w:val="00176BB4"/>
    <w:rsid w:val="001800CB"/>
    <w:rsid w:val="0018036B"/>
    <w:rsid w:val="00180E08"/>
    <w:rsid w:val="001821BC"/>
    <w:rsid w:val="00183A4E"/>
    <w:rsid w:val="00183A86"/>
    <w:rsid w:val="00183B14"/>
    <w:rsid w:val="00183F5B"/>
    <w:rsid w:val="001852B7"/>
    <w:rsid w:val="00185701"/>
    <w:rsid w:val="00185D8E"/>
    <w:rsid w:val="001863CE"/>
    <w:rsid w:val="00187F0F"/>
    <w:rsid w:val="001903E6"/>
    <w:rsid w:val="00191AFD"/>
    <w:rsid w:val="00193F8C"/>
    <w:rsid w:val="001A0B9F"/>
    <w:rsid w:val="001A0F82"/>
    <w:rsid w:val="001A13F5"/>
    <w:rsid w:val="001A2BC6"/>
    <w:rsid w:val="001A307F"/>
    <w:rsid w:val="001A3153"/>
    <w:rsid w:val="001A3C20"/>
    <w:rsid w:val="001A3DA0"/>
    <w:rsid w:val="001A3E63"/>
    <w:rsid w:val="001A4115"/>
    <w:rsid w:val="001A521B"/>
    <w:rsid w:val="001A684A"/>
    <w:rsid w:val="001A74A5"/>
    <w:rsid w:val="001B04C6"/>
    <w:rsid w:val="001B0B0F"/>
    <w:rsid w:val="001B14B9"/>
    <w:rsid w:val="001B232F"/>
    <w:rsid w:val="001B23B8"/>
    <w:rsid w:val="001B331D"/>
    <w:rsid w:val="001B4810"/>
    <w:rsid w:val="001B53BF"/>
    <w:rsid w:val="001B6848"/>
    <w:rsid w:val="001C0BE4"/>
    <w:rsid w:val="001C186D"/>
    <w:rsid w:val="001C3166"/>
    <w:rsid w:val="001C3357"/>
    <w:rsid w:val="001C3F05"/>
    <w:rsid w:val="001C416F"/>
    <w:rsid w:val="001C5510"/>
    <w:rsid w:val="001C6000"/>
    <w:rsid w:val="001C6D20"/>
    <w:rsid w:val="001C6F88"/>
    <w:rsid w:val="001C75C7"/>
    <w:rsid w:val="001D0283"/>
    <w:rsid w:val="001D0B66"/>
    <w:rsid w:val="001D1FC1"/>
    <w:rsid w:val="001D2079"/>
    <w:rsid w:val="001D2EB6"/>
    <w:rsid w:val="001D324D"/>
    <w:rsid w:val="001D4286"/>
    <w:rsid w:val="001D4386"/>
    <w:rsid w:val="001D49CA"/>
    <w:rsid w:val="001D506B"/>
    <w:rsid w:val="001D54A5"/>
    <w:rsid w:val="001D639E"/>
    <w:rsid w:val="001D6602"/>
    <w:rsid w:val="001D7272"/>
    <w:rsid w:val="001E08FD"/>
    <w:rsid w:val="001E0AD8"/>
    <w:rsid w:val="001E1A6E"/>
    <w:rsid w:val="001E3D53"/>
    <w:rsid w:val="001E44F3"/>
    <w:rsid w:val="001E47A1"/>
    <w:rsid w:val="001E6701"/>
    <w:rsid w:val="001E673E"/>
    <w:rsid w:val="001E6B54"/>
    <w:rsid w:val="001E6D77"/>
    <w:rsid w:val="001F01AB"/>
    <w:rsid w:val="001F1562"/>
    <w:rsid w:val="001F1926"/>
    <w:rsid w:val="001F19D9"/>
    <w:rsid w:val="001F1E0A"/>
    <w:rsid w:val="001F2972"/>
    <w:rsid w:val="001F2D58"/>
    <w:rsid w:val="001F4407"/>
    <w:rsid w:val="001F477F"/>
    <w:rsid w:val="001F558B"/>
    <w:rsid w:val="001F5AF9"/>
    <w:rsid w:val="001F63FE"/>
    <w:rsid w:val="001F7A49"/>
    <w:rsid w:val="00200059"/>
    <w:rsid w:val="00201EC2"/>
    <w:rsid w:val="00202CF8"/>
    <w:rsid w:val="00203C35"/>
    <w:rsid w:val="00203C88"/>
    <w:rsid w:val="00203D8F"/>
    <w:rsid w:val="00204F45"/>
    <w:rsid w:val="00206B14"/>
    <w:rsid w:val="00207C30"/>
    <w:rsid w:val="00210211"/>
    <w:rsid w:val="00210584"/>
    <w:rsid w:val="00211665"/>
    <w:rsid w:val="00211A6D"/>
    <w:rsid w:val="0021245F"/>
    <w:rsid w:val="00213355"/>
    <w:rsid w:val="002136D2"/>
    <w:rsid w:val="00213C57"/>
    <w:rsid w:val="0021575B"/>
    <w:rsid w:val="0021627D"/>
    <w:rsid w:val="00216359"/>
    <w:rsid w:val="0021719B"/>
    <w:rsid w:val="002206F2"/>
    <w:rsid w:val="00220DEE"/>
    <w:rsid w:val="00221A86"/>
    <w:rsid w:val="00222BE7"/>
    <w:rsid w:val="002233AD"/>
    <w:rsid w:val="002244C3"/>
    <w:rsid w:val="00224DB9"/>
    <w:rsid w:val="002256DC"/>
    <w:rsid w:val="00226B42"/>
    <w:rsid w:val="00230434"/>
    <w:rsid w:val="002312A5"/>
    <w:rsid w:val="002318CF"/>
    <w:rsid w:val="00233095"/>
    <w:rsid w:val="00233761"/>
    <w:rsid w:val="00233D5F"/>
    <w:rsid w:val="00234BFE"/>
    <w:rsid w:val="00234F58"/>
    <w:rsid w:val="002352FB"/>
    <w:rsid w:val="00236616"/>
    <w:rsid w:val="002370FB"/>
    <w:rsid w:val="00237651"/>
    <w:rsid w:val="0023781C"/>
    <w:rsid w:val="00242604"/>
    <w:rsid w:val="00243127"/>
    <w:rsid w:val="00243759"/>
    <w:rsid w:val="00243C55"/>
    <w:rsid w:val="002450AC"/>
    <w:rsid w:val="00250A23"/>
    <w:rsid w:val="00251E7A"/>
    <w:rsid w:val="002521B9"/>
    <w:rsid w:val="002521D0"/>
    <w:rsid w:val="002527B8"/>
    <w:rsid w:val="00253189"/>
    <w:rsid w:val="00253635"/>
    <w:rsid w:val="00253781"/>
    <w:rsid w:val="00253821"/>
    <w:rsid w:val="00253E45"/>
    <w:rsid w:val="0025436D"/>
    <w:rsid w:val="00254987"/>
    <w:rsid w:val="0025538A"/>
    <w:rsid w:val="00255C39"/>
    <w:rsid w:val="002568A5"/>
    <w:rsid w:val="0026113E"/>
    <w:rsid w:val="00261537"/>
    <w:rsid w:val="00261589"/>
    <w:rsid w:val="00263A3A"/>
    <w:rsid w:val="00264BEA"/>
    <w:rsid w:val="0026511A"/>
    <w:rsid w:val="00265815"/>
    <w:rsid w:val="00266BF3"/>
    <w:rsid w:val="00270641"/>
    <w:rsid w:val="0027293E"/>
    <w:rsid w:val="00273131"/>
    <w:rsid w:val="00273982"/>
    <w:rsid w:val="002750C7"/>
    <w:rsid w:val="002750E2"/>
    <w:rsid w:val="0027569A"/>
    <w:rsid w:val="00275A77"/>
    <w:rsid w:val="00275B70"/>
    <w:rsid w:val="00276879"/>
    <w:rsid w:val="0028023B"/>
    <w:rsid w:val="0028147E"/>
    <w:rsid w:val="00281C26"/>
    <w:rsid w:val="00281E4A"/>
    <w:rsid w:val="00282E99"/>
    <w:rsid w:val="0028368D"/>
    <w:rsid w:val="00284957"/>
    <w:rsid w:val="00284BE6"/>
    <w:rsid w:val="00285EFC"/>
    <w:rsid w:val="0028757D"/>
    <w:rsid w:val="00290097"/>
    <w:rsid w:val="002900CE"/>
    <w:rsid w:val="00291103"/>
    <w:rsid w:val="00292F7B"/>
    <w:rsid w:val="00294BC9"/>
    <w:rsid w:val="00294FA8"/>
    <w:rsid w:val="00295EA8"/>
    <w:rsid w:val="00296E8C"/>
    <w:rsid w:val="002A090A"/>
    <w:rsid w:val="002A13A9"/>
    <w:rsid w:val="002A29A5"/>
    <w:rsid w:val="002A3C25"/>
    <w:rsid w:val="002A5243"/>
    <w:rsid w:val="002A55CB"/>
    <w:rsid w:val="002A69CD"/>
    <w:rsid w:val="002A7CBB"/>
    <w:rsid w:val="002A7EC0"/>
    <w:rsid w:val="002B1A9C"/>
    <w:rsid w:val="002B2F8B"/>
    <w:rsid w:val="002B32C6"/>
    <w:rsid w:val="002B5287"/>
    <w:rsid w:val="002B5470"/>
    <w:rsid w:val="002B5500"/>
    <w:rsid w:val="002B59F9"/>
    <w:rsid w:val="002B5CAF"/>
    <w:rsid w:val="002B6205"/>
    <w:rsid w:val="002B690C"/>
    <w:rsid w:val="002B6D6E"/>
    <w:rsid w:val="002C0A80"/>
    <w:rsid w:val="002C0AD1"/>
    <w:rsid w:val="002C0DA3"/>
    <w:rsid w:val="002C2167"/>
    <w:rsid w:val="002C2DD8"/>
    <w:rsid w:val="002C4081"/>
    <w:rsid w:val="002C47BC"/>
    <w:rsid w:val="002C4B12"/>
    <w:rsid w:val="002C4EAA"/>
    <w:rsid w:val="002C57D8"/>
    <w:rsid w:val="002C6EF1"/>
    <w:rsid w:val="002C7E51"/>
    <w:rsid w:val="002D04BC"/>
    <w:rsid w:val="002D15D6"/>
    <w:rsid w:val="002D1BB9"/>
    <w:rsid w:val="002D2A0F"/>
    <w:rsid w:val="002D34E6"/>
    <w:rsid w:val="002D4052"/>
    <w:rsid w:val="002D4490"/>
    <w:rsid w:val="002D451B"/>
    <w:rsid w:val="002D480A"/>
    <w:rsid w:val="002D486D"/>
    <w:rsid w:val="002D4D19"/>
    <w:rsid w:val="002D5186"/>
    <w:rsid w:val="002D5202"/>
    <w:rsid w:val="002D707F"/>
    <w:rsid w:val="002E08CF"/>
    <w:rsid w:val="002E0A03"/>
    <w:rsid w:val="002E0D8A"/>
    <w:rsid w:val="002E19E4"/>
    <w:rsid w:val="002E1F83"/>
    <w:rsid w:val="002E30B9"/>
    <w:rsid w:val="002E36D7"/>
    <w:rsid w:val="002E4BC0"/>
    <w:rsid w:val="002E763F"/>
    <w:rsid w:val="002E76FD"/>
    <w:rsid w:val="002E796F"/>
    <w:rsid w:val="002F01E2"/>
    <w:rsid w:val="002F0EAA"/>
    <w:rsid w:val="002F16F1"/>
    <w:rsid w:val="002F2D16"/>
    <w:rsid w:val="002F2F7B"/>
    <w:rsid w:val="002F3C3F"/>
    <w:rsid w:val="002F45FF"/>
    <w:rsid w:val="002F5CE3"/>
    <w:rsid w:val="002F5FF9"/>
    <w:rsid w:val="002F66B8"/>
    <w:rsid w:val="002F6826"/>
    <w:rsid w:val="002F70ED"/>
    <w:rsid w:val="002F7395"/>
    <w:rsid w:val="002F7460"/>
    <w:rsid w:val="00300B0E"/>
    <w:rsid w:val="00301055"/>
    <w:rsid w:val="00301652"/>
    <w:rsid w:val="00302DA7"/>
    <w:rsid w:val="00302DB7"/>
    <w:rsid w:val="00303D9D"/>
    <w:rsid w:val="00303F1F"/>
    <w:rsid w:val="0030486F"/>
    <w:rsid w:val="00304E04"/>
    <w:rsid w:val="00304F5D"/>
    <w:rsid w:val="003057DF"/>
    <w:rsid w:val="00306C26"/>
    <w:rsid w:val="0031063C"/>
    <w:rsid w:val="00311A61"/>
    <w:rsid w:val="00312580"/>
    <w:rsid w:val="00313CB4"/>
    <w:rsid w:val="0031400D"/>
    <w:rsid w:val="0031453D"/>
    <w:rsid w:val="003160B3"/>
    <w:rsid w:val="00316A46"/>
    <w:rsid w:val="0031743C"/>
    <w:rsid w:val="0031758E"/>
    <w:rsid w:val="003214CD"/>
    <w:rsid w:val="00321E0C"/>
    <w:rsid w:val="003221C7"/>
    <w:rsid w:val="003227B1"/>
    <w:rsid w:val="00322A76"/>
    <w:rsid w:val="003243AE"/>
    <w:rsid w:val="003247FD"/>
    <w:rsid w:val="00324957"/>
    <w:rsid w:val="0032799C"/>
    <w:rsid w:val="003301F0"/>
    <w:rsid w:val="00330509"/>
    <w:rsid w:val="00331CB0"/>
    <w:rsid w:val="003322F2"/>
    <w:rsid w:val="00332D91"/>
    <w:rsid w:val="00333996"/>
    <w:rsid w:val="00334303"/>
    <w:rsid w:val="00334F09"/>
    <w:rsid w:val="003356DB"/>
    <w:rsid w:val="00336372"/>
    <w:rsid w:val="003369B6"/>
    <w:rsid w:val="00340461"/>
    <w:rsid w:val="00340706"/>
    <w:rsid w:val="0034226B"/>
    <w:rsid w:val="0034233A"/>
    <w:rsid w:val="0034307B"/>
    <w:rsid w:val="00343715"/>
    <w:rsid w:val="003448D3"/>
    <w:rsid w:val="00346522"/>
    <w:rsid w:val="00346B2A"/>
    <w:rsid w:val="00350321"/>
    <w:rsid w:val="003510FF"/>
    <w:rsid w:val="003533BF"/>
    <w:rsid w:val="003538DD"/>
    <w:rsid w:val="00353FEF"/>
    <w:rsid w:val="0035554D"/>
    <w:rsid w:val="0035608E"/>
    <w:rsid w:val="003562AE"/>
    <w:rsid w:val="003563F0"/>
    <w:rsid w:val="00356B0E"/>
    <w:rsid w:val="00357CEC"/>
    <w:rsid w:val="00360626"/>
    <w:rsid w:val="003621FD"/>
    <w:rsid w:val="003635AB"/>
    <w:rsid w:val="00365230"/>
    <w:rsid w:val="0036657D"/>
    <w:rsid w:val="00370DDF"/>
    <w:rsid w:val="00372C37"/>
    <w:rsid w:val="00372E76"/>
    <w:rsid w:val="00374A1E"/>
    <w:rsid w:val="00375127"/>
    <w:rsid w:val="00375156"/>
    <w:rsid w:val="00375203"/>
    <w:rsid w:val="003752BE"/>
    <w:rsid w:val="003767DD"/>
    <w:rsid w:val="00376A82"/>
    <w:rsid w:val="003774F0"/>
    <w:rsid w:val="00377D2F"/>
    <w:rsid w:val="00380452"/>
    <w:rsid w:val="00380551"/>
    <w:rsid w:val="003805FE"/>
    <w:rsid w:val="00381892"/>
    <w:rsid w:val="00381D79"/>
    <w:rsid w:val="003830FE"/>
    <w:rsid w:val="00384D79"/>
    <w:rsid w:val="00385B76"/>
    <w:rsid w:val="003860F8"/>
    <w:rsid w:val="00386E7D"/>
    <w:rsid w:val="00387488"/>
    <w:rsid w:val="0039027C"/>
    <w:rsid w:val="00390441"/>
    <w:rsid w:val="00390C77"/>
    <w:rsid w:val="003933E2"/>
    <w:rsid w:val="00393A38"/>
    <w:rsid w:val="00396B7B"/>
    <w:rsid w:val="00397549"/>
    <w:rsid w:val="00397C7D"/>
    <w:rsid w:val="003A0BD6"/>
    <w:rsid w:val="003A1648"/>
    <w:rsid w:val="003A1A91"/>
    <w:rsid w:val="003A237C"/>
    <w:rsid w:val="003A3205"/>
    <w:rsid w:val="003A6172"/>
    <w:rsid w:val="003A7537"/>
    <w:rsid w:val="003B225E"/>
    <w:rsid w:val="003B2C24"/>
    <w:rsid w:val="003B395B"/>
    <w:rsid w:val="003B3D28"/>
    <w:rsid w:val="003B492D"/>
    <w:rsid w:val="003B4E28"/>
    <w:rsid w:val="003B65B9"/>
    <w:rsid w:val="003B6ABC"/>
    <w:rsid w:val="003C0121"/>
    <w:rsid w:val="003C0890"/>
    <w:rsid w:val="003C0D09"/>
    <w:rsid w:val="003C2223"/>
    <w:rsid w:val="003C2ED0"/>
    <w:rsid w:val="003C36E2"/>
    <w:rsid w:val="003C4A2F"/>
    <w:rsid w:val="003C4A74"/>
    <w:rsid w:val="003C549F"/>
    <w:rsid w:val="003C555E"/>
    <w:rsid w:val="003C732B"/>
    <w:rsid w:val="003D0B4B"/>
    <w:rsid w:val="003D1CDB"/>
    <w:rsid w:val="003D5381"/>
    <w:rsid w:val="003D5FFC"/>
    <w:rsid w:val="003D6782"/>
    <w:rsid w:val="003D790E"/>
    <w:rsid w:val="003E1C0C"/>
    <w:rsid w:val="003E259D"/>
    <w:rsid w:val="003E3793"/>
    <w:rsid w:val="003E3E61"/>
    <w:rsid w:val="003E4409"/>
    <w:rsid w:val="003E520C"/>
    <w:rsid w:val="003E6B6B"/>
    <w:rsid w:val="003E7478"/>
    <w:rsid w:val="003E78C6"/>
    <w:rsid w:val="003F16C4"/>
    <w:rsid w:val="003F4FC3"/>
    <w:rsid w:val="003F5184"/>
    <w:rsid w:val="003F79CF"/>
    <w:rsid w:val="003F7B47"/>
    <w:rsid w:val="0040147F"/>
    <w:rsid w:val="00401BE7"/>
    <w:rsid w:val="00401FA8"/>
    <w:rsid w:val="00402FA8"/>
    <w:rsid w:val="0040385D"/>
    <w:rsid w:val="00403D4D"/>
    <w:rsid w:val="00403F73"/>
    <w:rsid w:val="00403FC0"/>
    <w:rsid w:val="00405EC0"/>
    <w:rsid w:val="00405F32"/>
    <w:rsid w:val="00406057"/>
    <w:rsid w:val="00406097"/>
    <w:rsid w:val="00406421"/>
    <w:rsid w:val="00406CE0"/>
    <w:rsid w:val="00411145"/>
    <w:rsid w:val="00412C1F"/>
    <w:rsid w:val="00413089"/>
    <w:rsid w:val="004133DF"/>
    <w:rsid w:val="00413A0C"/>
    <w:rsid w:val="00414667"/>
    <w:rsid w:val="00414DCC"/>
    <w:rsid w:val="00414FC6"/>
    <w:rsid w:val="004155B2"/>
    <w:rsid w:val="00416FF9"/>
    <w:rsid w:val="00417473"/>
    <w:rsid w:val="00417644"/>
    <w:rsid w:val="00417882"/>
    <w:rsid w:val="00420114"/>
    <w:rsid w:val="00421E9B"/>
    <w:rsid w:val="00421F5F"/>
    <w:rsid w:val="004227DE"/>
    <w:rsid w:val="00423660"/>
    <w:rsid w:val="0042380A"/>
    <w:rsid w:val="0042384B"/>
    <w:rsid w:val="00424637"/>
    <w:rsid w:val="00424A79"/>
    <w:rsid w:val="00425E34"/>
    <w:rsid w:val="00426825"/>
    <w:rsid w:val="00426EEB"/>
    <w:rsid w:val="004300D0"/>
    <w:rsid w:val="00432143"/>
    <w:rsid w:val="00433962"/>
    <w:rsid w:val="00434A0B"/>
    <w:rsid w:val="00435381"/>
    <w:rsid w:val="004364D9"/>
    <w:rsid w:val="004373F4"/>
    <w:rsid w:val="004424AC"/>
    <w:rsid w:val="00442D0C"/>
    <w:rsid w:val="00442E42"/>
    <w:rsid w:val="004437F9"/>
    <w:rsid w:val="004446C8"/>
    <w:rsid w:val="004459CF"/>
    <w:rsid w:val="00446660"/>
    <w:rsid w:val="004478A1"/>
    <w:rsid w:val="0045073B"/>
    <w:rsid w:val="004516C4"/>
    <w:rsid w:val="00453536"/>
    <w:rsid w:val="00453B67"/>
    <w:rsid w:val="00453D06"/>
    <w:rsid w:val="0045453C"/>
    <w:rsid w:val="00454CFB"/>
    <w:rsid w:val="00454FDA"/>
    <w:rsid w:val="004551C9"/>
    <w:rsid w:val="0045634A"/>
    <w:rsid w:val="00457CB9"/>
    <w:rsid w:val="00457FF2"/>
    <w:rsid w:val="004604A5"/>
    <w:rsid w:val="00461698"/>
    <w:rsid w:val="00462E13"/>
    <w:rsid w:val="0046306F"/>
    <w:rsid w:val="00466653"/>
    <w:rsid w:val="00470595"/>
    <w:rsid w:val="004713BF"/>
    <w:rsid w:val="004724FA"/>
    <w:rsid w:val="00472630"/>
    <w:rsid w:val="00473527"/>
    <w:rsid w:val="0047420D"/>
    <w:rsid w:val="00474CF7"/>
    <w:rsid w:val="00475159"/>
    <w:rsid w:val="004759D9"/>
    <w:rsid w:val="0047604A"/>
    <w:rsid w:val="00476A0F"/>
    <w:rsid w:val="00480B46"/>
    <w:rsid w:val="00481B80"/>
    <w:rsid w:val="0048226D"/>
    <w:rsid w:val="00482686"/>
    <w:rsid w:val="00483E5F"/>
    <w:rsid w:val="004845AB"/>
    <w:rsid w:val="00484E87"/>
    <w:rsid w:val="004858AB"/>
    <w:rsid w:val="00486C01"/>
    <w:rsid w:val="00486D48"/>
    <w:rsid w:val="0048739D"/>
    <w:rsid w:val="004878E8"/>
    <w:rsid w:val="00487B04"/>
    <w:rsid w:val="00487CA5"/>
    <w:rsid w:val="00490C59"/>
    <w:rsid w:val="00491AA0"/>
    <w:rsid w:val="00492166"/>
    <w:rsid w:val="004932E8"/>
    <w:rsid w:val="0049534E"/>
    <w:rsid w:val="0049563C"/>
    <w:rsid w:val="004959D6"/>
    <w:rsid w:val="004963B2"/>
    <w:rsid w:val="004963F4"/>
    <w:rsid w:val="004973FC"/>
    <w:rsid w:val="0049742B"/>
    <w:rsid w:val="00497FC5"/>
    <w:rsid w:val="004A02F4"/>
    <w:rsid w:val="004A04F7"/>
    <w:rsid w:val="004A09BA"/>
    <w:rsid w:val="004A2230"/>
    <w:rsid w:val="004A225F"/>
    <w:rsid w:val="004A268B"/>
    <w:rsid w:val="004A2A92"/>
    <w:rsid w:val="004A3550"/>
    <w:rsid w:val="004A3B33"/>
    <w:rsid w:val="004A3DBA"/>
    <w:rsid w:val="004A6E95"/>
    <w:rsid w:val="004A7029"/>
    <w:rsid w:val="004A7E30"/>
    <w:rsid w:val="004B0287"/>
    <w:rsid w:val="004B02BE"/>
    <w:rsid w:val="004B07FE"/>
    <w:rsid w:val="004B10C3"/>
    <w:rsid w:val="004B144C"/>
    <w:rsid w:val="004B670B"/>
    <w:rsid w:val="004B6F78"/>
    <w:rsid w:val="004B7607"/>
    <w:rsid w:val="004B7F26"/>
    <w:rsid w:val="004C0D80"/>
    <w:rsid w:val="004C0F49"/>
    <w:rsid w:val="004C2EDC"/>
    <w:rsid w:val="004C3414"/>
    <w:rsid w:val="004C3BFE"/>
    <w:rsid w:val="004C5082"/>
    <w:rsid w:val="004C5A20"/>
    <w:rsid w:val="004C5B24"/>
    <w:rsid w:val="004C5ECF"/>
    <w:rsid w:val="004C6E3A"/>
    <w:rsid w:val="004C76E3"/>
    <w:rsid w:val="004D068D"/>
    <w:rsid w:val="004D1258"/>
    <w:rsid w:val="004D1A7D"/>
    <w:rsid w:val="004D269A"/>
    <w:rsid w:val="004D26E6"/>
    <w:rsid w:val="004D2D51"/>
    <w:rsid w:val="004D3B86"/>
    <w:rsid w:val="004D4DD9"/>
    <w:rsid w:val="004D4F89"/>
    <w:rsid w:val="004D5260"/>
    <w:rsid w:val="004D5325"/>
    <w:rsid w:val="004D58B8"/>
    <w:rsid w:val="004E021B"/>
    <w:rsid w:val="004E0B84"/>
    <w:rsid w:val="004E1E4A"/>
    <w:rsid w:val="004E2F6C"/>
    <w:rsid w:val="004E3E6E"/>
    <w:rsid w:val="004E449A"/>
    <w:rsid w:val="004E487C"/>
    <w:rsid w:val="004E69D5"/>
    <w:rsid w:val="004E6A7A"/>
    <w:rsid w:val="004E7ABA"/>
    <w:rsid w:val="004F145C"/>
    <w:rsid w:val="004F1F1F"/>
    <w:rsid w:val="004F2422"/>
    <w:rsid w:val="004F313B"/>
    <w:rsid w:val="004F3C70"/>
    <w:rsid w:val="004F4FE9"/>
    <w:rsid w:val="004F580B"/>
    <w:rsid w:val="004F62D6"/>
    <w:rsid w:val="004F65DD"/>
    <w:rsid w:val="004F69A3"/>
    <w:rsid w:val="004F723A"/>
    <w:rsid w:val="00500725"/>
    <w:rsid w:val="00500C29"/>
    <w:rsid w:val="00501604"/>
    <w:rsid w:val="005026ED"/>
    <w:rsid w:val="005034F5"/>
    <w:rsid w:val="00503B4E"/>
    <w:rsid w:val="00503C32"/>
    <w:rsid w:val="00505726"/>
    <w:rsid w:val="005060EF"/>
    <w:rsid w:val="0050638B"/>
    <w:rsid w:val="005065E6"/>
    <w:rsid w:val="00506865"/>
    <w:rsid w:val="005068B3"/>
    <w:rsid w:val="005108DA"/>
    <w:rsid w:val="0051192E"/>
    <w:rsid w:val="005126BC"/>
    <w:rsid w:val="005132C4"/>
    <w:rsid w:val="005158FC"/>
    <w:rsid w:val="005168DF"/>
    <w:rsid w:val="005171A7"/>
    <w:rsid w:val="00520F25"/>
    <w:rsid w:val="00521C7E"/>
    <w:rsid w:val="00521DAA"/>
    <w:rsid w:val="005231D8"/>
    <w:rsid w:val="00524858"/>
    <w:rsid w:val="005249BB"/>
    <w:rsid w:val="00524F13"/>
    <w:rsid w:val="0052504A"/>
    <w:rsid w:val="005250BE"/>
    <w:rsid w:val="005255AF"/>
    <w:rsid w:val="00525AE4"/>
    <w:rsid w:val="00526727"/>
    <w:rsid w:val="00526745"/>
    <w:rsid w:val="00526B94"/>
    <w:rsid w:val="0053027B"/>
    <w:rsid w:val="005323DE"/>
    <w:rsid w:val="00532B23"/>
    <w:rsid w:val="00533F69"/>
    <w:rsid w:val="00534375"/>
    <w:rsid w:val="00534646"/>
    <w:rsid w:val="005370D8"/>
    <w:rsid w:val="00537225"/>
    <w:rsid w:val="00542468"/>
    <w:rsid w:val="0054275C"/>
    <w:rsid w:val="00543363"/>
    <w:rsid w:val="005434C6"/>
    <w:rsid w:val="00543638"/>
    <w:rsid w:val="005476AF"/>
    <w:rsid w:val="005476F0"/>
    <w:rsid w:val="00547849"/>
    <w:rsid w:val="00550705"/>
    <w:rsid w:val="00550A6A"/>
    <w:rsid w:val="00552894"/>
    <w:rsid w:val="00553438"/>
    <w:rsid w:val="00553868"/>
    <w:rsid w:val="00553965"/>
    <w:rsid w:val="00554B6C"/>
    <w:rsid w:val="00554C83"/>
    <w:rsid w:val="005564D9"/>
    <w:rsid w:val="00556B77"/>
    <w:rsid w:val="005579D9"/>
    <w:rsid w:val="00560B2E"/>
    <w:rsid w:val="00561E03"/>
    <w:rsid w:val="00561F63"/>
    <w:rsid w:val="00562213"/>
    <w:rsid w:val="00562AF4"/>
    <w:rsid w:val="00563F27"/>
    <w:rsid w:val="00565498"/>
    <w:rsid w:val="00566F96"/>
    <w:rsid w:val="00567275"/>
    <w:rsid w:val="005672F3"/>
    <w:rsid w:val="00567A8A"/>
    <w:rsid w:val="00570C3D"/>
    <w:rsid w:val="00570F5F"/>
    <w:rsid w:val="00572402"/>
    <w:rsid w:val="00572D3A"/>
    <w:rsid w:val="00572FED"/>
    <w:rsid w:val="00574C5C"/>
    <w:rsid w:val="00575EDA"/>
    <w:rsid w:val="00576018"/>
    <w:rsid w:val="00576A9B"/>
    <w:rsid w:val="00576B1D"/>
    <w:rsid w:val="005778F4"/>
    <w:rsid w:val="00581619"/>
    <w:rsid w:val="0058169B"/>
    <w:rsid w:val="00581B30"/>
    <w:rsid w:val="00582A16"/>
    <w:rsid w:val="00582BA6"/>
    <w:rsid w:val="00583618"/>
    <w:rsid w:val="00585EC4"/>
    <w:rsid w:val="00586525"/>
    <w:rsid w:val="00587E98"/>
    <w:rsid w:val="00590442"/>
    <w:rsid w:val="005905C0"/>
    <w:rsid w:val="00590A01"/>
    <w:rsid w:val="00590BC6"/>
    <w:rsid w:val="005915E6"/>
    <w:rsid w:val="00591A06"/>
    <w:rsid w:val="00592870"/>
    <w:rsid w:val="00593BE2"/>
    <w:rsid w:val="005940BB"/>
    <w:rsid w:val="00594366"/>
    <w:rsid w:val="005960BA"/>
    <w:rsid w:val="0059645B"/>
    <w:rsid w:val="00596B45"/>
    <w:rsid w:val="00596C8F"/>
    <w:rsid w:val="00597E36"/>
    <w:rsid w:val="005A1930"/>
    <w:rsid w:val="005A274A"/>
    <w:rsid w:val="005A2760"/>
    <w:rsid w:val="005A2E84"/>
    <w:rsid w:val="005A36CD"/>
    <w:rsid w:val="005A4535"/>
    <w:rsid w:val="005A493D"/>
    <w:rsid w:val="005A4A86"/>
    <w:rsid w:val="005A511E"/>
    <w:rsid w:val="005A58AF"/>
    <w:rsid w:val="005A5C71"/>
    <w:rsid w:val="005A5EAB"/>
    <w:rsid w:val="005A642F"/>
    <w:rsid w:val="005A7B3C"/>
    <w:rsid w:val="005A7D43"/>
    <w:rsid w:val="005B14E5"/>
    <w:rsid w:val="005B18CE"/>
    <w:rsid w:val="005B1F0D"/>
    <w:rsid w:val="005B34D5"/>
    <w:rsid w:val="005B39C7"/>
    <w:rsid w:val="005B4052"/>
    <w:rsid w:val="005B4F03"/>
    <w:rsid w:val="005B5EF3"/>
    <w:rsid w:val="005B7A76"/>
    <w:rsid w:val="005C0455"/>
    <w:rsid w:val="005C194B"/>
    <w:rsid w:val="005C1A1B"/>
    <w:rsid w:val="005C22C6"/>
    <w:rsid w:val="005C3199"/>
    <w:rsid w:val="005C3430"/>
    <w:rsid w:val="005C3FF9"/>
    <w:rsid w:val="005C64F6"/>
    <w:rsid w:val="005C6542"/>
    <w:rsid w:val="005C6D4B"/>
    <w:rsid w:val="005C7145"/>
    <w:rsid w:val="005C7230"/>
    <w:rsid w:val="005D0EF8"/>
    <w:rsid w:val="005D2739"/>
    <w:rsid w:val="005D35B0"/>
    <w:rsid w:val="005D3C28"/>
    <w:rsid w:val="005D5316"/>
    <w:rsid w:val="005D5907"/>
    <w:rsid w:val="005D6145"/>
    <w:rsid w:val="005D7EE7"/>
    <w:rsid w:val="005E0BE8"/>
    <w:rsid w:val="005E30E0"/>
    <w:rsid w:val="005E34E1"/>
    <w:rsid w:val="005E40DC"/>
    <w:rsid w:val="005E5604"/>
    <w:rsid w:val="005E57FF"/>
    <w:rsid w:val="005E5F65"/>
    <w:rsid w:val="005E7A2E"/>
    <w:rsid w:val="005F0206"/>
    <w:rsid w:val="005F0F1D"/>
    <w:rsid w:val="005F2124"/>
    <w:rsid w:val="005F298E"/>
    <w:rsid w:val="005F2AF0"/>
    <w:rsid w:val="005F2CA9"/>
    <w:rsid w:val="005F2DD1"/>
    <w:rsid w:val="005F3336"/>
    <w:rsid w:val="005F50E2"/>
    <w:rsid w:val="005F5474"/>
    <w:rsid w:val="005F57A8"/>
    <w:rsid w:val="005F5F72"/>
    <w:rsid w:val="005F6163"/>
    <w:rsid w:val="005F6470"/>
    <w:rsid w:val="005F64D5"/>
    <w:rsid w:val="006005EE"/>
    <w:rsid w:val="00601999"/>
    <w:rsid w:val="00601C5F"/>
    <w:rsid w:val="00602294"/>
    <w:rsid w:val="00602516"/>
    <w:rsid w:val="00603DDD"/>
    <w:rsid w:val="00603F21"/>
    <w:rsid w:val="006041E4"/>
    <w:rsid w:val="006044E7"/>
    <w:rsid w:val="00604B91"/>
    <w:rsid w:val="00604F22"/>
    <w:rsid w:val="00607A37"/>
    <w:rsid w:val="00607DC6"/>
    <w:rsid w:val="006109D1"/>
    <w:rsid w:val="00610D6F"/>
    <w:rsid w:val="00611386"/>
    <w:rsid w:val="006121BC"/>
    <w:rsid w:val="006129C1"/>
    <w:rsid w:val="00615D17"/>
    <w:rsid w:val="00616C52"/>
    <w:rsid w:val="00616DDE"/>
    <w:rsid w:val="00616E43"/>
    <w:rsid w:val="00617B95"/>
    <w:rsid w:val="006205B1"/>
    <w:rsid w:val="0062317B"/>
    <w:rsid w:val="006231E3"/>
    <w:rsid w:val="0062380A"/>
    <w:rsid w:val="006245C0"/>
    <w:rsid w:val="00624AC8"/>
    <w:rsid w:val="00625A7B"/>
    <w:rsid w:val="006265FA"/>
    <w:rsid w:val="00627832"/>
    <w:rsid w:val="006304B1"/>
    <w:rsid w:val="006308EE"/>
    <w:rsid w:val="00633303"/>
    <w:rsid w:val="00634F2E"/>
    <w:rsid w:val="00635691"/>
    <w:rsid w:val="0063572D"/>
    <w:rsid w:val="0063666C"/>
    <w:rsid w:val="00637176"/>
    <w:rsid w:val="00637673"/>
    <w:rsid w:val="006376F6"/>
    <w:rsid w:val="00640AB2"/>
    <w:rsid w:val="006417B3"/>
    <w:rsid w:val="00641FBD"/>
    <w:rsid w:val="00642BBB"/>
    <w:rsid w:val="00643363"/>
    <w:rsid w:val="0064346F"/>
    <w:rsid w:val="00643927"/>
    <w:rsid w:val="00644B62"/>
    <w:rsid w:val="0064617F"/>
    <w:rsid w:val="0064632B"/>
    <w:rsid w:val="00646E47"/>
    <w:rsid w:val="00647770"/>
    <w:rsid w:val="00650FE7"/>
    <w:rsid w:val="00651DBA"/>
    <w:rsid w:val="00652049"/>
    <w:rsid w:val="0065295E"/>
    <w:rsid w:val="00652E79"/>
    <w:rsid w:val="00653068"/>
    <w:rsid w:val="00653331"/>
    <w:rsid w:val="00653DDC"/>
    <w:rsid w:val="006541C8"/>
    <w:rsid w:val="00654591"/>
    <w:rsid w:val="006549D8"/>
    <w:rsid w:val="00654C20"/>
    <w:rsid w:val="00656716"/>
    <w:rsid w:val="00656D1D"/>
    <w:rsid w:val="00657426"/>
    <w:rsid w:val="00657E65"/>
    <w:rsid w:val="006614F5"/>
    <w:rsid w:val="006616A2"/>
    <w:rsid w:val="00661F8D"/>
    <w:rsid w:val="00662C6D"/>
    <w:rsid w:val="006635AA"/>
    <w:rsid w:val="00663A6D"/>
    <w:rsid w:val="00664535"/>
    <w:rsid w:val="00666E97"/>
    <w:rsid w:val="00667E4D"/>
    <w:rsid w:val="00670124"/>
    <w:rsid w:val="00672371"/>
    <w:rsid w:val="00673101"/>
    <w:rsid w:val="006742E7"/>
    <w:rsid w:val="00675475"/>
    <w:rsid w:val="0067637A"/>
    <w:rsid w:val="00676953"/>
    <w:rsid w:val="00677570"/>
    <w:rsid w:val="00682B2E"/>
    <w:rsid w:val="00683023"/>
    <w:rsid w:val="00684B18"/>
    <w:rsid w:val="0068521D"/>
    <w:rsid w:val="00686847"/>
    <w:rsid w:val="00687AFF"/>
    <w:rsid w:val="00690881"/>
    <w:rsid w:val="00690F36"/>
    <w:rsid w:val="0069118A"/>
    <w:rsid w:val="00692C14"/>
    <w:rsid w:val="00692EF6"/>
    <w:rsid w:val="00693E95"/>
    <w:rsid w:val="006949C9"/>
    <w:rsid w:val="006956FA"/>
    <w:rsid w:val="00695F8E"/>
    <w:rsid w:val="006964D0"/>
    <w:rsid w:val="00696619"/>
    <w:rsid w:val="00696B26"/>
    <w:rsid w:val="00697F89"/>
    <w:rsid w:val="006A0FBC"/>
    <w:rsid w:val="006A12EE"/>
    <w:rsid w:val="006A3004"/>
    <w:rsid w:val="006A35ED"/>
    <w:rsid w:val="006A3A81"/>
    <w:rsid w:val="006B07F1"/>
    <w:rsid w:val="006B1991"/>
    <w:rsid w:val="006B1F3B"/>
    <w:rsid w:val="006B2093"/>
    <w:rsid w:val="006B2986"/>
    <w:rsid w:val="006B2998"/>
    <w:rsid w:val="006B31B1"/>
    <w:rsid w:val="006B3895"/>
    <w:rsid w:val="006B455F"/>
    <w:rsid w:val="006B4A2A"/>
    <w:rsid w:val="006B5B35"/>
    <w:rsid w:val="006B6310"/>
    <w:rsid w:val="006B6C0B"/>
    <w:rsid w:val="006B77BE"/>
    <w:rsid w:val="006B7956"/>
    <w:rsid w:val="006C1F82"/>
    <w:rsid w:val="006C22E6"/>
    <w:rsid w:val="006C2CEE"/>
    <w:rsid w:val="006C3496"/>
    <w:rsid w:val="006C34EA"/>
    <w:rsid w:val="006C4032"/>
    <w:rsid w:val="006C47C2"/>
    <w:rsid w:val="006C5282"/>
    <w:rsid w:val="006C533C"/>
    <w:rsid w:val="006C5569"/>
    <w:rsid w:val="006C5934"/>
    <w:rsid w:val="006C6AD2"/>
    <w:rsid w:val="006C6F11"/>
    <w:rsid w:val="006C70C1"/>
    <w:rsid w:val="006D097E"/>
    <w:rsid w:val="006D20F6"/>
    <w:rsid w:val="006D2CAB"/>
    <w:rsid w:val="006D3746"/>
    <w:rsid w:val="006D45FD"/>
    <w:rsid w:val="006D49B8"/>
    <w:rsid w:val="006D4BFB"/>
    <w:rsid w:val="006D5DF6"/>
    <w:rsid w:val="006D619D"/>
    <w:rsid w:val="006D66BB"/>
    <w:rsid w:val="006E0D5C"/>
    <w:rsid w:val="006E181E"/>
    <w:rsid w:val="006E1BBC"/>
    <w:rsid w:val="006E217E"/>
    <w:rsid w:val="006E2342"/>
    <w:rsid w:val="006E40EC"/>
    <w:rsid w:val="006E55CE"/>
    <w:rsid w:val="006E7ABB"/>
    <w:rsid w:val="006F0A1D"/>
    <w:rsid w:val="006F2BC8"/>
    <w:rsid w:val="006F2F9D"/>
    <w:rsid w:val="006F2FD9"/>
    <w:rsid w:val="006F6342"/>
    <w:rsid w:val="006F786F"/>
    <w:rsid w:val="00700552"/>
    <w:rsid w:val="00700F47"/>
    <w:rsid w:val="0070151B"/>
    <w:rsid w:val="00701704"/>
    <w:rsid w:val="007039C1"/>
    <w:rsid w:val="00704138"/>
    <w:rsid w:val="007055F4"/>
    <w:rsid w:val="007063B8"/>
    <w:rsid w:val="00710494"/>
    <w:rsid w:val="0071126E"/>
    <w:rsid w:val="00711C09"/>
    <w:rsid w:val="00713633"/>
    <w:rsid w:val="00715000"/>
    <w:rsid w:val="007150C7"/>
    <w:rsid w:val="00715AC7"/>
    <w:rsid w:val="00715CEE"/>
    <w:rsid w:val="00716090"/>
    <w:rsid w:val="007203F0"/>
    <w:rsid w:val="007208E7"/>
    <w:rsid w:val="00722172"/>
    <w:rsid w:val="007230AE"/>
    <w:rsid w:val="00724E32"/>
    <w:rsid w:val="00725003"/>
    <w:rsid w:val="0072558C"/>
    <w:rsid w:val="00725A1C"/>
    <w:rsid w:val="00725A2B"/>
    <w:rsid w:val="00726241"/>
    <w:rsid w:val="00726699"/>
    <w:rsid w:val="00727085"/>
    <w:rsid w:val="00727B38"/>
    <w:rsid w:val="00727FC3"/>
    <w:rsid w:val="007329B2"/>
    <w:rsid w:val="00732D16"/>
    <w:rsid w:val="007337FE"/>
    <w:rsid w:val="007346A7"/>
    <w:rsid w:val="0073541F"/>
    <w:rsid w:val="0073548E"/>
    <w:rsid w:val="00735F45"/>
    <w:rsid w:val="00735FAD"/>
    <w:rsid w:val="00737740"/>
    <w:rsid w:val="00742908"/>
    <w:rsid w:val="00744CB4"/>
    <w:rsid w:val="00745247"/>
    <w:rsid w:val="00745E21"/>
    <w:rsid w:val="00746A15"/>
    <w:rsid w:val="00747577"/>
    <w:rsid w:val="0075101E"/>
    <w:rsid w:val="00751794"/>
    <w:rsid w:val="00752616"/>
    <w:rsid w:val="00752F7E"/>
    <w:rsid w:val="00753BF8"/>
    <w:rsid w:val="007545D8"/>
    <w:rsid w:val="00754D12"/>
    <w:rsid w:val="0075518E"/>
    <w:rsid w:val="00755403"/>
    <w:rsid w:val="00755D14"/>
    <w:rsid w:val="007562F7"/>
    <w:rsid w:val="00757092"/>
    <w:rsid w:val="00757FD3"/>
    <w:rsid w:val="00761B4F"/>
    <w:rsid w:val="007627E4"/>
    <w:rsid w:val="00765295"/>
    <w:rsid w:val="0076581E"/>
    <w:rsid w:val="00766A22"/>
    <w:rsid w:val="00766D79"/>
    <w:rsid w:val="00767239"/>
    <w:rsid w:val="00767FE7"/>
    <w:rsid w:val="00770299"/>
    <w:rsid w:val="00770E18"/>
    <w:rsid w:val="00771949"/>
    <w:rsid w:val="00772E2F"/>
    <w:rsid w:val="00773CC3"/>
    <w:rsid w:val="00774094"/>
    <w:rsid w:val="007753F7"/>
    <w:rsid w:val="007756A0"/>
    <w:rsid w:val="00776571"/>
    <w:rsid w:val="00776663"/>
    <w:rsid w:val="007770DF"/>
    <w:rsid w:val="007803BA"/>
    <w:rsid w:val="00780C1F"/>
    <w:rsid w:val="00781803"/>
    <w:rsid w:val="007826FD"/>
    <w:rsid w:val="007849FA"/>
    <w:rsid w:val="007854E3"/>
    <w:rsid w:val="00785690"/>
    <w:rsid w:val="00785D65"/>
    <w:rsid w:val="00785F56"/>
    <w:rsid w:val="00786C83"/>
    <w:rsid w:val="007873C5"/>
    <w:rsid w:val="0078756B"/>
    <w:rsid w:val="007912CD"/>
    <w:rsid w:val="00791A7D"/>
    <w:rsid w:val="007926E7"/>
    <w:rsid w:val="00794F53"/>
    <w:rsid w:val="00795CA4"/>
    <w:rsid w:val="007A0048"/>
    <w:rsid w:val="007A0172"/>
    <w:rsid w:val="007A12A5"/>
    <w:rsid w:val="007A31A4"/>
    <w:rsid w:val="007A3A84"/>
    <w:rsid w:val="007A4026"/>
    <w:rsid w:val="007A475E"/>
    <w:rsid w:val="007A5846"/>
    <w:rsid w:val="007A63E2"/>
    <w:rsid w:val="007A6572"/>
    <w:rsid w:val="007A7582"/>
    <w:rsid w:val="007A781A"/>
    <w:rsid w:val="007A7875"/>
    <w:rsid w:val="007B020C"/>
    <w:rsid w:val="007B0695"/>
    <w:rsid w:val="007B0DF2"/>
    <w:rsid w:val="007B16C4"/>
    <w:rsid w:val="007B1864"/>
    <w:rsid w:val="007B2A51"/>
    <w:rsid w:val="007B3457"/>
    <w:rsid w:val="007B3922"/>
    <w:rsid w:val="007B5669"/>
    <w:rsid w:val="007B6056"/>
    <w:rsid w:val="007B60C0"/>
    <w:rsid w:val="007B67F9"/>
    <w:rsid w:val="007B78C2"/>
    <w:rsid w:val="007C15AC"/>
    <w:rsid w:val="007C1BF0"/>
    <w:rsid w:val="007C3773"/>
    <w:rsid w:val="007C3CFF"/>
    <w:rsid w:val="007C3F96"/>
    <w:rsid w:val="007C565F"/>
    <w:rsid w:val="007C627B"/>
    <w:rsid w:val="007C64E4"/>
    <w:rsid w:val="007C6C96"/>
    <w:rsid w:val="007C77AA"/>
    <w:rsid w:val="007C77AF"/>
    <w:rsid w:val="007C7BF1"/>
    <w:rsid w:val="007C7E98"/>
    <w:rsid w:val="007C7EEC"/>
    <w:rsid w:val="007D06A6"/>
    <w:rsid w:val="007D0FF8"/>
    <w:rsid w:val="007D1436"/>
    <w:rsid w:val="007D2BD5"/>
    <w:rsid w:val="007D3E99"/>
    <w:rsid w:val="007D4168"/>
    <w:rsid w:val="007D472C"/>
    <w:rsid w:val="007D4AAE"/>
    <w:rsid w:val="007D4B86"/>
    <w:rsid w:val="007D4BC6"/>
    <w:rsid w:val="007D6877"/>
    <w:rsid w:val="007E013C"/>
    <w:rsid w:val="007E10DF"/>
    <w:rsid w:val="007E18ED"/>
    <w:rsid w:val="007E1A16"/>
    <w:rsid w:val="007E21EA"/>
    <w:rsid w:val="007E24CA"/>
    <w:rsid w:val="007E2AC2"/>
    <w:rsid w:val="007E4194"/>
    <w:rsid w:val="007E4904"/>
    <w:rsid w:val="007E4F58"/>
    <w:rsid w:val="007E58C3"/>
    <w:rsid w:val="007E65E8"/>
    <w:rsid w:val="007E6FDE"/>
    <w:rsid w:val="007E7CF8"/>
    <w:rsid w:val="007F0848"/>
    <w:rsid w:val="007F094E"/>
    <w:rsid w:val="007F11D7"/>
    <w:rsid w:val="007F1F04"/>
    <w:rsid w:val="007F2D5B"/>
    <w:rsid w:val="007F2F90"/>
    <w:rsid w:val="007F344B"/>
    <w:rsid w:val="007F42EA"/>
    <w:rsid w:val="007F4A72"/>
    <w:rsid w:val="007F53E7"/>
    <w:rsid w:val="007F6DF1"/>
    <w:rsid w:val="007F741F"/>
    <w:rsid w:val="007F758B"/>
    <w:rsid w:val="0080201D"/>
    <w:rsid w:val="008023B0"/>
    <w:rsid w:val="00803CD8"/>
    <w:rsid w:val="00803D65"/>
    <w:rsid w:val="008046E3"/>
    <w:rsid w:val="00806881"/>
    <w:rsid w:val="00806B86"/>
    <w:rsid w:val="008071D7"/>
    <w:rsid w:val="00807E55"/>
    <w:rsid w:val="0081175B"/>
    <w:rsid w:val="008122F1"/>
    <w:rsid w:val="00814B9D"/>
    <w:rsid w:val="00815421"/>
    <w:rsid w:val="0081551F"/>
    <w:rsid w:val="00816786"/>
    <w:rsid w:val="00816816"/>
    <w:rsid w:val="00817063"/>
    <w:rsid w:val="00817BF1"/>
    <w:rsid w:val="00820028"/>
    <w:rsid w:val="00820B68"/>
    <w:rsid w:val="00822F59"/>
    <w:rsid w:val="00823049"/>
    <w:rsid w:val="00824ECA"/>
    <w:rsid w:val="00825567"/>
    <w:rsid w:val="00825F67"/>
    <w:rsid w:val="0082612E"/>
    <w:rsid w:val="008274B5"/>
    <w:rsid w:val="0083024F"/>
    <w:rsid w:val="00830B02"/>
    <w:rsid w:val="00833D75"/>
    <w:rsid w:val="00833D9A"/>
    <w:rsid w:val="00834CC5"/>
    <w:rsid w:val="00836919"/>
    <w:rsid w:val="00836B8C"/>
    <w:rsid w:val="008372C2"/>
    <w:rsid w:val="00840961"/>
    <w:rsid w:val="00840E6F"/>
    <w:rsid w:val="00841214"/>
    <w:rsid w:val="008414C2"/>
    <w:rsid w:val="008414CE"/>
    <w:rsid w:val="0084306F"/>
    <w:rsid w:val="00847E92"/>
    <w:rsid w:val="008500A0"/>
    <w:rsid w:val="00851286"/>
    <w:rsid w:val="0085266F"/>
    <w:rsid w:val="00855E09"/>
    <w:rsid w:val="008564F5"/>
    <w:rsid w:val="00861DCD"/>
    <w:rsid w:val="008624C4"/>
    <w:rsid w:val="00862603"/>
    <w:rsid w:val="00863058"/>
    <w:rsid w:val="00863538"/>
    <w:rsid w:val="0086388D"/>
    <w:rsid w:val="0086402D"/>
    <w:rsid w:val="00865026"/>
    <w:rsid w:val="00865E4E"/>
    <w:rsid w:val="00866BD6"/>
    <w:rsid w:val="00866DAB"/>
    <w:rsid w:val="00866E8D"/>
    <w:rsid w:val="00871236"/>
    <w:rsid w:val="00872A13"/>
    <w:rsid w:val="00872EFD"/>
    <w:rsid w:val="008733D0"/>
    <w:rsid w:val="00874ED4"/>
    <w:rsid w:val="00875EE8"/>
    <w:rsid w:val="008764F3"/>
    <w:rsid w:val="008767A1"/>
    <w:rsid w:val="0087684D"/>
    <w:rsid w:val="00877BE9"/>
    <w:rsid w:val="008809BF"/>
    <w:rsid w:val="008812AC"/>
    <w:rsid w:val="008819B4"/>
    <w:rsid w:val="008819EC"/>
    <w:rsid w:val="008834D2"/>
    <w:rsid w:val="00883D46"/>
    <w:rsid w:val="0088419D"/>
    <w:rsid w:val="0088486A"/>
    <w:rsid w:val="008855EB"/>
    <w:rsid w:val="00886732"/>
    <w:rsid w:val="00887975"/>
    <w:rsid w:val="00890256"/>
    <w:rsid w:val="00890D03"/>
    <w:rsid w:val="0089181C"/>
    <w:rsid w:val="008918D3"/>
    <w:rsid w:val="00892551"/>
    <w:rsid w:val="0089446E"/>
    <w:rsid w:val="008954F6"/>
    <w:rsid w:val="00896CEF"/>
    <w:rsid w:val="00897ACE"/>
    <w:rsid w:val="008A0B65"/>
    <w:rsid w:val="008A1D31"/>
    <w:rsid w:val="008A33C0"/>
    <w:rsid w:val="008A400D"/>
    <w:rsid w:val="008A5092"/>
    <w:rsid w:val="008A6AAF"/>
    <w:rsid w:val="008A739B"/>
    <w:rsid w:val="008A7B43"/>
    <w:rsid w:val="008B1111"/>
    <w:rsid w:val="008B118F"/>
    <w:rsid w:val="008B2422"/>
    <w:rsid w:val="008B3012"/>
    <w:rsid w:val="008B3404"/>
    <w:rsid w:val="008B3C4D"/>
    <w:rsid w:val="008B4FFF"/>
    <w:rsid w:val="008B54C2"/>
    <w:rsid w:val="008B5B2C"/>
    <w:rsid w:val="008B6038"/>
    <w:rsid w:val="008B65E6"/>
    <w:rsid w:val="008B667E"/>
    <w:rsid w:val="008C0635"/>
    <w:rsid w:val="008C0B51"/>
    <w:rsid w:val="008C0E72"/>
    <w:rsid w:val="008C0EEB"/>
    <w:rsid w:val="008C1360"/>
    <w:rsid w:val="008C150B"/>
    <w:rsid w:val="008C186F"/>
    <w:rsid w:val="008C208F"/>
    <w:rsid w:val="008C316E"/>
    <w:rsid w:val="008D13AE"/>
    <w:rsid w:val="008D25C4"/>
    <w:rsid w:val="008D2BDB"/>
    <w:rsid w:val="008D2C22"/>
    <w:rsid w:val="008D3480"/>
    <w:rsid w:val="008D54E3"/>
    <w:rsid w:val="008D6308"/>
    <w:rsid w:val="008D641D"/>
    <w:rsid w:val="008D6975"/>
    <w:rsid w:val="008D76B0"/>
    <w:rsid w:val="008E060D"/>
    <w:rsid w:val="008E1AE9"/>
    <w:rsid w:val="008E42AB"/>
    <w:rsid w:val="008E4DD7"/>
    <w:rsid w:val="008E5386"/>
    <w:rsid w:val="008E5389"/>
    <w:rsid w:val="008E5B2A"/>
    <w:rsid w:val="008F0793"/>
    <w:rsid w:val="008F1EEA"/>
    <w:rsid w:val="008F2760"/>
    <w:rsid w:val="008F29E0"/>
    <w:rsid w:val="008F2DF7"/>
    <w:rsid w:val="008F49BA"/>
    <w:rsid w:val="008F5C1A"/>
    <w:rsid w:val="008F6105"/>
    <w:rsid w:val="008F72D7"/>
    <w:rsid w:val="0090053A"/>
    <w:rsid w:val="00900565"/>
    <w:rsid w:val="009011BF"/>
    <w:rsid w:val="0090238B"/>
    <w:rsid w:val="0090319C"/>
    <w:rsid w:val="009037AA"/>
    <w:rsid w:val="00903A90"/>
    <w:rsid w:val="00904082"/>
    <w:rsid w:val="00905913"/>
    <w:rsid w:val="00907B9D"/>
    <w:rsid w:val="00907F0E"/>
    <w:rsid w:val="00910551"/>
    <w:rsid w:val="00910A1B"/>
    <w:rsid w:val="00910B16"/>
    <w:rsid w:val="0091192A"/>
    <w:rsid w:val="00911DFC"/>
    <w:rsid w:val="00913167"/>
    <w:rsid w:val="009135C2"/>
    <w:rsid w:val="00914339"/>
    <w:rsid w:val="009145C0"/>
    <w:rsid w:val="009157B6"/>
    <w:rsid w:val="00915A72"/>
    <w:rsid w:val="009164E0"/>
    <w:rsid w:val="00917102"/>
    <w:rsid w:val="00917481"/>
    <w:rsid w:val="00920666"/>
    <w:rsid w:val="009217CF"/>
    <w:rsid w:val="009228CA"/>
    <w:rsid w:val="009241AD"/>
    <w:rsid w:val="00924319"/>
    <w:rsid w:val="00924A94"/>
    <w:rsid w:val="0092582F"/>
    <w:rsid w:val="00927789"/>
    <w:rsid w:val="0092794E"/>
    <w:rsid w:val="00927D52"/>
    <w:rsid w:val="0093024A"/>
    <w:rsid w:val="009304C1"/>
    <w:rsid w:val="009305FC"/>
    <w:rsid w:val="00930D86"/>
    <w:rsid w:val="00930E44"/>
    <w:rsid w:val="00931AC1"/>
    <w:rsid w:val="009322EA"/>
    <w:rsid w:val="009327D2"/>
    <w:rsid w:val="00932963"/>
    <w:rsid w:val="00932C09"/>
    <w:rsid w:val="00932FBF"/>
    <w:rsid w:val="009335C7"/>
    <w:rsid w:val="00934815"/>
    <w:rsid w:val="00935752"/>
    <w:rsid w:val="009369D8"/>
    <w:rsid w:val="00937295"/>
    <w:rsid w:val="009407CA"/>
    <w:rsid w:val="00940958"/>
    <w:rsid w:val="009409DF"/>
    <w:rsid w:val="00940BD8"/>
    <w:rsid w:val="00940EDC"/>
    <w:rsid w:val="00941D86"/>
    <w:rsid w:val="00942602"/>
    <w:rsid w:val="00942DD1"/>
    <w:rsid w:val="009448A3"/>
    <w:rsid w:val="00944CC8"/>
    <w:rsid w:val="009466D7"/>
    <w:rsid w:val="009501BB"/>
    <w:rsid w:val="00950684"/>
    <w:rsid w:val="0095293C"/>
    <w:rsid w:val="009544B8"/>
    <w:rsid w:val="009565A3"/>
    <w:rsid w:val="0095777E"/>
    <w:rsid w:val="0095790E"/>
    <w:rsid w:val="00957AE1"/>
    <w:rsid w:val="0096268C"/>
    <w:rsid w:val="00962C0F"/>
    <w:rsid w:val="00962EF3"/>
    <w:rsid w:val="009630C9"/>
    <w:rsid w:val="009633A6"/>
    <w:rsid w:val="00963809"/>
    <w:rsid w:val="00963A75"/>
    <w:rsid w:val="00964D43"/>
    <w:rsid w:val="0096653E"/>
    <w:rsid w:val="00966EAB"/>
    <w:rsid w:val="009701CD"/>
    <w:rsid w:val="0097165C"/>
    <w:rsid w:val="00972DCB"/>
    <w:rsid w:val="00972FC5"/>
    <w:rsid w:val="00973C2F"/>
    <w:rsid w:val="00975266"/>
    <w:rsid w:val="00975534"/>
    <w:rsid w:val="00975D44"/>
    <w:rsid w:val="00977427"/>
    <w:rsid w:val="00977A7A"/>
    <w:rsid w:val="00977CF8"/>
    <w:rsid w:val="0098001E"/>
    <w:rsid w:val="0098143D"/>
    <w:rsid w:val="00982139"/>
    <w:rsid w:val="009828AF"/>
    <w:rsid w:val="009837A5"/>
    <w:rsid w:val="009839E1"/>
    <w:rsid w:val="00985420"/>
    <w:rsid w:val="009864D7"/>
    <w:rsid w:val="00986ECD"/>
    <w:rsid w:val="00987590"/>
    <w:rsid w:val="009877E8"/>
    <w:rsid w:val="009907AA"/>
    <w:rsid w:val="00990F01"/>
    <w:rsid w:val="00991486"/>
    <w:rsid w:val="009915A1"/>
    <w:rsid w:val="00994C26"/>
    <w:rsid w:val="00994C2E"/>
    <w:rsid w:val="00995441"/>
    <w:rsid w:val="00996CAF"/>
    <w:rsid w:val="009A05B2"/>
    <w:rsid w:val="009A14C0"/>
    <w:rsid w:val="009A1EF7"/>
    <w:rsid w:val="009A2DDB"/>
    <w:rsid w:val="009A3BF0"/>
    <w:rsid w:val="009A5ED4"/>
    <w:rsid w:val="009A6589"/>
    <w:rsid w:val="009A7671"/>
    <w:rsid w:val="009A7A3C"/>
    <w:rsid w:val="009B16B5"/>
    <w:rsid w:val="009B3AC5"/>
    <w:rsid w:val="009B3F67"/>
    <w:rsid w:val="009B44BB"/>
    <w:rsid w:val="009B50E5"/>
    <w:rsid w:val="009B52CB"/>
    <w:rsid w:val="009B70D3"/>
    <w:rsid w:val="009B7105"/>
    <w:rsid w:val="009B7CE6"/>
    <w:rsid w:val="009B7D67"/>
    <w:rsid w:val="009C0EA4"/>
    <w:rsid w:val="009C1644"/>
    <w:rsid w:val="009C1D44"/>
    <w:rsid w:val="009C3A15"/>
    <w:rsid w:val="009C3A5A"/>
    <w:rsid w:val="009C440B"/>
    <w:rsid w:val="009C4633"/>
    <w:rsid w:val="009C4EBF"/>
    <w:rsid w:val="009C5B9C"/>
    <w:rsid w:val="009C66A0"/>
    <w:rsid w:val="009C6908"/>
    <w:rsid w:val="009C7167"/>
    <w:rsid w:val="009C7CB1"/>
    <w:rsid w:val="009D0144"/>
    <w:rsid w:val="009D1620"/>
    <w:rsid w:val="009D217B"/>
    <w:rsid w:val="009D3FC8"/>
    <w:rsid w:val="009D4F2D"/>
    <w:rsid w:val="009D58B3"/>
    <w:rsid w:val="009D6C2F"/>
    <w:rsid w:val="009E2044"/>
    <w:rsid w:val="009E459D"/>
    <w:rsid w:val="009E4770"/>
    <w:rsid w:val="009E6963"/>
    <w:rsid w:val="009F006C"/>
    <w:rsid w:val="009F1F0A"/>
    <w:rsid w:val="009F1F38"/>
    <w:rsid w:val="009F22FB"/>
    <w:rsid w:val="009F26FD"/>
    <w:rsid w:val="009F2FDC"/>
    <w:rsid w:val="009F33A6"/>
    <w:rsid w:val="009F3D57"/>
    <w:rsid w:val="009F4631"/>
    <w:rsid w:val="009F4A26"/>
    <w:rsid w:val="009F4D1A"/>
    <w:rsid w:val="00A00095"/>
    <w:rsid w:val="00A01B3E"/>
    <w:rsid w:val="00A027B0"/>
    <w:rsid w:val="00A038C5"/>
    <w:rsid w:val="00A03AD7"/>
    <w:rsid w:val="00A04702"/>
    <w:rsid w:val="00A048D4"/>
    <w:rsid w:val="00A05080"/>
    <w:rsid w:val="00A076EA"/>
    <w:rsid w:val="00A07FC2"/>
    <w:rsid w:val="00A112BD"/>
    <w:rsid w:val="00A128A0"/>
    <w:rsid w:val="00A15F53"/>
    <w:rsid w:val="00A16988"/>
    <w:rsid w:val="00A16C35"/>
    <w:rsid w:val="00A16D3E"/>
    <w:rsid w:val="00A170BF"/>
    <w:rsid w:val="00A2078A"/>
    <w:rsid w:val="00A20E6E"/>
    <w:rsid w:val="00A213B2"/>
    <w:rsid w:val="00A21581"/>
    <w:rsid w:val="00A22A86"/>
    <w:rsid w:val="00A23A11"/>
    <w:rsid w:val="00A24926"/>
    <w:rsid w:val="00A24A81"/>
    <w:rsid w:val="00A24DE8"/>
    <w:rsid w:val="00A2502D"/>
    <w:rsid w:val="00A25071"/>
    <w:rsid w:val="00A2518A"/>
    <w:rsid w:val="00A2626E"/>
    <w:rsid w:val="00A2683E"/>
    <w:rsid w:val="00A26CC6"/>
    <w:rsid w:val="00A27078"/>
    <w:rsid w:val="00A270E1"/>
    <w:rsid w:val="00A27E0F"/>
    <w:rsid w:val="00A30BA4"/>
    <w:rsid w:val="00A31A96"/>
    <w:rsid w:val="00A31B83"/>
    <w:rsid w:val="00A31FFC"/>
    <w:rsid w:val="00A333AC"/>
    <w:rsid w:val="00A34494"/>
    <w:rsid w:val="00A345E2"/>
    <w:rsid w:val="00A35F58"/>
    <w:rsid w:val="00A3636E"/>
    <w:rsid w:val="00A377B0"/>
    <w:rsid w:val="00A37FAB"/>
    <w:rsid w:val="00A37FE4"/>
    <w:rsid w:val="00A40A45"/>
    <w:rsid w:val="00A418BD"/>
    <w:rsid w:val="00A42196"/>
    <w:rsid w:val="00A43BCA"/>
    <w:rsid w:val="00A46776"/>
    <w:rsid w:val="00A4691E"/>
    <w:rsid w:val="00A46926"/>
    <w:rsid w:val="00A46A37"/>
    <w:rsid w:val="00A47200"/>
    <w:rsid w:val="00A5079D"/>
    <w:rsid w:val="00A50A57"/>
    <w:rsid w:val="00A51837"/>
    <w:rsid w:val="00A51D97"/>
    <w:rsid w:val="00A52AA2"/>
    <w:rsid w:val="00A52AA4"/>
    <w:rsid w:val="00A53562"/>
    <w:rsid w:val="00A54564"/>
    <w:rsid w:val="00A553B3"/>
    <w:rsid w:val="00A55987"/>
    <w:rsid w:val="00A55AF9"/>
    <w:rsid w:val="00A56021"/>
    <w:rsid w:val="00A5602D"/>
    <w:rsid w:val="00A57658"/>
    <w:rsid w:val="00A60D2B"/>
    <w:rsid w:val="00A61304"/>
    <w:rsid w:val="00A61B5B"/>
    <w:rsid w:val="00A6250C"/>
    <w:rsid w:val="00A625C0"/>
    <w:rsid w:val="00A6286E"/>
    <w:rsid w:val="00A630D3"/>
    <w:rsid w:val="00A63EAA"/>
    <w:rsid w:val="00A65181"/>
    <w:rsid w:val="00A670A4"/>
    <w:rsid w:val="00A679C5"/>
    <w:rsid w:val="00A67D29"/>
    <w:rsid w:val="00A701E2"/>
    <w:rsid w:val="00A71024"/>
    <w:rsid w:val="00A7123D"/>
    <w:rsid w:val="00A71CF7"/>
    <w:rsid w:val="00A72271"/>
    <w:rsid w:val="00A72D38"/>
    <w:rsid w:val="00A748B1"/>
    <w:rsid w:val="00A75812"/>
    <w:rsid w:val="00A77626"/>
    <w:rsid w:val="00A777F9"/>
    <w:rsid w:val="00A77B39"/>
    <w:rsid w:val="00A82822"/>
    <w:rsid w:val="00A82A94"/>
    <w:rsid w:val="00A82E67"/>
    <w:rsid w:val="00A82F2D"/>
    <w:rsid w:val="00A8358E"/>
    <w:rsid w:val="00A84150"/>
    <w:rsid w:val="00A878F9"/>
    <w:rsid w:val="00A90895"/>
    <w:rsid w:val="00A913E6"/>
    <w:rsid w:val="00A920B1"/>
    <w:rsid w:val="00A9211D"/>
    <w:rsid w:val="00A923F0"/>
    <w:rsid w:val="00A92D7F"/>
    <w:rsid w:val="00A937C4"/>
    <w:rsid w:val="00A93DF2"/>
    <w:rsid w:val="00A95230"/>
    <w:rsid w:val="00A968F6"/>
    <w:rsid w:val="00A975EF"/>
    <w:rsid w:val="00A976CC"/>
    <w:rsid w:val="00A97D6E"/>
    <w:rsid w:val="00AA0505"/>
    <w:rsid w:val="00AA0AF1"/>
    <w:rsid w:val="00AA0DD0"/>
    <w:rsid w:val="00AA2136"/>
    <w:rsid w:val="00AA373D"/>
    <w:rsid w:val="00AA3C2D"/>
    <w:rsid w:val="00AA4436"/>
    <w:rsid w:val="00AA552B"/>
    <w:rsid w:val="00AA580F"/>
    <w:rsid w:val="00AA60ED"/>
    <w:rsid w:val="00AA677F"/>
    <w:rsid w:val="00AA780D"/>
    <w:rsid w:val="00AA7BAB"/>
    <w:rsid w:val="00AB1DAA"/>
    <w:rsid w:val="00AB2895"/>
    <w:rsid w:val="00AB3BEE"/>
    <w:rsid w:val="00AB3DC1"/>
    <w:rsid w:val="00AB4144"/>
    <w:rsid w:val="00AB4514"/>
    <w:rsid w:val="00AB479A"/>
    <w:rsid w:val="00AB48EF"/>
    <w:rsid w:val="00AB52C9"/>
    <w:rsid w:val="00AB5399"/>
    <w:rsid w:val="00AB55EB"/>
    <w:rsid w:val="00AB58DA"/>
    <w:rsid w:val="00AB59BF"/>
    <w:rsid w:val="00AB68A7"/>
    <w:rsid w:val="00AB7F27"/>
    <w:rsid w:val="00AC12E9"/>
    <w:rsid w:val="00AC2312"/>
    <w:rsid w:val="00AC23AE"/>
    <w:rsid w:val="00AC3A85"/>
    <w:rsid w:val="00AC3CE9"/>
    <w:rsid w:val="00AC5BF6"/>
    <w:rsid w:val="00AC66D4"/>
    <w:rsid w:val="00AC6F60"/>
    <w:rsid w:val="00AD1834"/>
    <w:rsid w:val="00AD2583"/>
    <w:rsid w:val="00AD500A"/>
    <w:rsid w:val="00AD7800"/>
    <w:rsid w:val="00AE0404"/>
    <w:rsid w:val="00AE0BC1"/>
    <w:rsid w:val="00AE2FFD"/>
    <w:rsid w:val="00AE33DC"/>
    <w:rsid w:val="00AE3C94"/>
    <w:rsid w:val="00AE46DB"/>
    <w:rsid w:val="00AE47C9"/>
    <w:rsid w:val="00AE4CB2"/>
    <w:rsid w:val="00AE4D35"/>
    <w:rsid w:val="00AE4FE6"/>
    <w:rsid w:val="00AE5AF6"/>
    <w:rsid w:val="00AE5F77"/>
    <w:rsid w:val="00AE7506"/>
    <w:rsid w:val="00AE7828"/>
    <w:rsid w:val="00AE7D61"/>
    <w:rsid w:val="00AE7E9D"/>
    <w:rsid w:val="00AE7FA2"/>
    <w:rsid w:val="00AF0D93"/>
    <w:rsid w:val="00AF1680"/>
    <w:rsid w:val="00AF16A9"/>
    <w:rsid w:val="00AF1DCC"/>
    <w:rsid w:val="00AF3527"/>
    <w:rsid w:val="00AF489C"/>
    <w:rsid w:val="00AF50A1"/>
    <w:rsid w:val="00AF50C5"/>
    <w:rsid w:val="00AF5430"/>
    <w:rsid w:val="00AF61F6"/>
    <w:rsid w:val="00AF683B"/>
    <w:rsid w:val="00AF6C1D"/>
    <w:rsid w:val="00AF6CB0"/>
    <w:rsid w:val="00AF6E2C"/>
    <w:rsid w:val="00AF76B8"/>
    <w:rsid w:val="00B01234"/>
    <w:rsid w:val="00B0205A"/>
    <w:rsid w:val="00B02FB1"/>
    <w:rsid w:val="00B03B3E"/>
    <w:rsid w:val="00B04E6B"/>
    <w:rsid w:val="00B05348"/>
    <w:rsid w:val="00B05D5F"/>
    <w:rsid w:val="00B07B86"/>
    <w:rsid w:val="00B10BE1"/>
    <w:rsid w:val="00B10C9A"/>
    <w:rsid w:val="00B11532"/>
    <w:rsid w:val="00B11F52"/>
    <w:rsid w:val="00B12114"/>
    <w:rsid w:val="00B12923"/>
    <w:rsid w:val="00B129A9"/>
    <w:rsid w:val="00B13A87"/>
    <w:rsid w:val="00B13EA3"/>
    <w:rsid w:val="00B151F4"/>
    <w:rsid w:val="00B1553D"/>
    <w:rsid w:val="00B15EB4"/>
    <w:rsid w:val="00B16C0E"/>
    <w:rsid w:val="00B16F3B"/>
    <w:rsid w:val="00B21E5B"/>
    <w:rsid w:val="00B2234C"/>
    <w:rsid w:val="00B234AD"/>
    <w:rsid w:val="00B23793"/>
    <w:rsid w:val="00B2394A"/>
    <w:rsid w:val="00B25858"/>
    <w:rsid w:val="00B25B12"/>
    <w:rsid w:val="00B26A1A"/>
    <w:rsid w:val="00B2758E"/>
    <w:rsid w:val="00B27BF6"/>
    <w:rsid w:val="00B32109"/>
    <w:rsid w:val="00B32FD0"/>
    <w:rsid w:val="00B33B5E"/>
    <w:rsid w:val="00B3450D"/>
    <w:rsid w:val="00B34655"/>
    <w:rsid w:val="00B3539E"/>
    <w:rsid w:val="00B362DA"/>
    <w:rsid w:val="00B3745A"/>
    <w:rsid w:val="00B379AF"/>
    <w:rsid w:val="00B416E7"/>
    <w:rsid w:val="00B41D9B"/>
    <w:rsid w:val="00B42FDA"/>
    <w:rsid w:val="00B433FE"/>
    <w:rsid w:val="00B4394D"/>
    <w:rsid w:val="00B44873"/>
    <w:rsid w:val="00B44F7B"/>
    <w:rsid w:val="00B44F9C"/>
    <w:rsid w:val="00B4597E"/>
    <w:rsid w:val="00B45F02"/>
    <w:rsid w:val="00B4647B"/>
    <w:rsid w:val="00B469A1"/>
    <w:rsid w:val="00B46B67"/>
    <w:rsid w:val="00B47331"/>
    <w:rsid w:val="00B50937"/>
    <w:rsid w:val="00B50B13"/>
    <w:rsid w:val="00B511B8"/>
    <w:rsid w:val="00B51EE5"/>
    <w:rsid w:val="00B52EC6"/>
    <w:rsid w:val="00B557E3"/>
    <w:rsid w:val="00B60BF2"/>
    <w:rsid w:val="00B612D3"/>
    <w:rsid w:val="00B61CC0"/>
    <w:rsid w:val="00B62AD8"/>
    <w:rsid w:val="00B6313B"/>
    <w:rsid w:val="00B63F13"/>
    <w:rsid w:val="00B65213"/>
    <w:rsid w:val="00B66220"/>
    <w:rsid w:val="00B66431"/>
    <w:rsid w:val="00B6710C"/>
    <w:rsid w:val="00B7032B"/>
    <w:rsid w:val="00B70E94"/>
    <w:rsid w:val="00B7124C"/>
    <w:rsid w:val="00B718BC"/>
    <w:rsid w:val="00B719F3"/>
    <w:rsid w:val="00B74270"/>
    <w:rsid w:val="00B746B7"/>
    <w:rsid w:val="00B74F85"/>
    <w:rsid w:val="00B75530"/>
    <w:rsid w:val="00B75AC4"/>
    <w:rsid w:val="00B7663B"/>
    <w:rsid w:val="00B774A3"/>
    <w:rsid w:val="00B77813"/>
    <w:rsid w:val="00B77B0E"/>
    <w:rsid w:val="00B80705"/>
    <w:rsid w:val="00B80871"/>
    <w:rsid w:val="00B80F05"/>
    <w:rsid w:val="00B812D0"/>
    <w:rsid w:val="00B819D1"/>
    <w:rsid w:val="00B819E2"/>
    <w:rsid w:val="00B81C73"/>
    <w:rsid w:val="00B81EBA"/>
    <w:rsid w:val="00B82B1D"/>
    <w:rsid w:val="00B83FC7"/>
    <w:rsid w:val="00B84E0D"/>
    <w:rsid w:val="00B8620D"/>
    <w:rsid w:val="00B8675A"/>
    <w:rsid w:val="00B86AC7"/>
    <w:rsid w:val="00B879B7"/>
    <w:rsid w:val="00B90C65"/>
    <w:rsid w:val="00B91049"/>
    <w:rsid w:val="00B92C25"/>
    <w:rsid w:val="00B93D48"/>
    <w:rsid w:val="00B94005"/>
    <w:rsid w:val="00B944D3"/>
    <w:rsid w:val="00B9633B"/>
    <w:rsid w:val="00B9657F"/>
    <w:rsid w:val="00B96D2C"/>
    <w:rsid w:val="00B97791"/>
    <w:rsid w:val="00B978D8"/>
    <w:rsid w:val="00B97F38"/>
    <w:rsid w:val="00BA40C8"/>
    <w:rsid w:val="00BA569C"/>
    <w:rsid w:val="00BA6B4E"/>
    <w:rsid w:val="00BA6EFB"/>
    <w:rsid w:val="00BB0E48"/>
    <w:rsid w:val="00BB17D6"/>
    <w:rsid w:val="00BB2582"/>
    <w:rsid w:val="00BB36D8"/>
    <w:rsid w:val="00BB46C2"/>
    <w:rsid w:val="00BB48CA"/>
    <w:rsid w:val="00BB4F7E"/>
    <w:rsid w:val="00BB4FCB"/>
    <w:rsid w:val="00BB5D77"/>
    <w:rsid w:val="00BB7E0F"/>
    <w:rsid w:val="00BC13A8"/>
    <w:rsid w:val="00BC1B21"/>
    <w:rsid w:val="00BC43B5"/>
    <w:rsid w:val="00BC43D0"/>
    <w:rsid w:val="00BC512C"/>
    <w:rsid w:val="00BC6A3D"/>
    <w:rsid w:val="00BC6C50"/>
    <w:rsid w:val="00BC6EA5"/>
    <w:rsid w:val="00BC7685"/>
    <w:rsid w:val="00BD0C9C"/>
    <w:rsid w:val="00BD1D4E"/>
    <w:rsid w:val="00BD3269"/>
    <w:rsid w:val="00BD33A4"/>
    <w:rsid w:val="00BD38C9"/>
    <w:rsid w:val="00BD3923"/>
    <w:rsid w:val="00BD3C5C"/>
    <w:rsid w:val="00BD4A12"/>
    <w:rsid w:val="00BD4B7F"/>
    <w:rsid w:val="00BD5DFE"/>
    <w:rsid w:val="00BD62BA"/>
    <w:rsid w:val="00BD68AB"/>
    <w:rsid w:val="00BD73E0"/>
    <w:rsid w:val="00BE1185"/>
    <w:rsid w:val="00BE1827"/>
    <w:rsid w:val="00BE1F4D"/>
    <w:rsid w:val="00BE27C0"/>
    <w:rsid w:val="00BE385D"/>
    <w:rsid w:val="00BE4593"/>
    <w:rsid w:val="00BE4A05"/>
    <w:rsid w:val="00BE564A"/>
    <w:rsid w:val="00BE7A51"/>
    <w:rsid w:val="00BF06AA"/>
    <w:rsid w:val="00BF2C9F"/>
    <w:rsid w:val="00BF3515"/>
    <w:rsid w:val="00BF38BE"/>
    <w:rsid w:val="00BF3903"/>
    <w:rsid w:val="00BF3A14"/>
    <w:rsid w:val="00BF4E13"/>
    <w:rsid w:val="00BF50D3"/>
    <w:rsid w:val="00BF5D52"/>
    <w:rsid w:val="00BF7181"/>
    <w:rsid w:val="00BF79CC"/>
    <w:rsid w:val="00C00289"/>
    <w:rsid w:val="00C0036A"/>
    <w:rsid w:val="00C00A11"/>
    <w:rsid w:val="00C00CC7"/>
    <w:rsid w:val="00C01758"/>
    <w:rsid w:val="00C034C7"/>
    <w:rsid w:val="00C043C8"/>
    <w:rsid w:val="00C04502"/>
    <w:rsid w:val="00C0584A"/>
    <w:rsid w:val="00C06ACF"/>
    <w:rsid w:val="00C06F1A"/>
    <w:rsid w:val="00C07C68"/>
    <w:rsid w:val="00C11E40"/>
    <w:rsid w:val="00C12186"/>
    <w:rsid w:val="00C12583"/>
    <w:rsid w:val="00C12DD8"/>
    <w:rsid w:val="00C13756"/>
    <w:rsid w:val="00C147FD"/>
    <w:rsid w:val="00C15D17"/>
    <w:rsid w:val="00C160E5"/>
    <w:rsid w:val="00C16210"/>
    <w:rsid w:val="00C162CB"/>
    <w:rsid w:val="00C17499"/>
    <w:rsid w:val="00C174D3"/>
    <w:rsid w:val="00C178FF"/>
    <w:rsid w:val="00C17BEE"/>
    <w:rsid w:val="00C20B87"/>
    <w:rsid w:val="00C21A46"/>
    <w:rsid w:val="00C22429"/>
    <w:rsid w:val="00C22B62"/>
    <w:rsid w:val="00C243AE"/>
    <w:rsid w:val="00C249FD"/>
    <w:rsid w:val="00C250C6"/>
    <w:rsid w:val="00C257A7"/>
    <w:rsid w:val="00C30373"/>
    <w:rsid w:val="00C30555"/>
    <w:rsid w:val="00C3097D"/>
    <w:rsid w:val="00C31812"/>
    <w:rsid w:val="00C32435"/>
    <w:rsid w:val="00C33FDC"/>
    <w:rsid w:val="00C34C05"/>
    <w:rsid w:val="00C35457"/>
    <w:rsid w:val="00C36942"/>
    <w:rsid w:val="00C40635"/>
    <w:rsid w:val="00C41497"/>
    <w:rsid w:val="00C417AC"/>
    <w:rsid w:val="00C428AC"/>
    <w:rsid w:val="00C445F9"/>
    <w:rsid w:val="00C45A6A"/>
    <w:rsid w:val="00C45FFF"/>
    <w:rsid w:val="00C470FC"/>
    <w:rsid w:val="00C4723C"/>
    <w:rsid w:val="00C5039C"/>
    <w:rsid w:val="00C50627"/>
    <w:rsid w:val="00C50F1C"/>
    <w:rsid w:val="00C5157F"/>
    <w:rsid w:val="00C520FD"/>
    <w:rsid w:val="00C527C1"/>
    <w:rsid w:val="00C529E3"/>
    <w:rsid w:val="00C53C2E"/>
    <w:rsid w:val="00C55736"/>
    <w:rsid w:val="00C569BF"/>
    <w:rsid w:val="00C5703B"/>
    <w:rsid w:val="00C57160"/>
    <w:rsid w:val="00C5761D"/>
    <w:rsid w:val="00C60384"/>
    <w:rsid w:val="00C612A1"/>
    <w:rsid w:val="00C61D87"/>
    <w:rsid w:val="00C62002"/>
    <w:rsid w:val="00C620DD"/>
    <w:rsid w:val="00C64357"/>
    <w:rsid w:val="00C653D2"/>
    <w:rsid w:val="00C65CEB"/>
    <w:rsid w:val="00C6768C"/>
    <w:rsid w:val="00C67A77"/>
    <w:rsid w:val="00C67BEA"/>
    <w:rsid w:val="00C70717"/>
    <w:rsid w:val="00C70A8B"/>
    <w:rsid w:val="00C712A0"/>
    <w:rsid w:val="00C71471"/>
    <w:rsid w:val="00C71C38"/>
    <w:rsid w:val="00C72093"/>
    <w:rsid w:val="00C7480A"/>
    <w:rsid w:val="00C749F7"/>
    <w:rsid w:val="00C751CA"/>
    <w:rsid w:val="00C77942"/>
    <w:rsid w:val="00C77FA0"/>
    <w:rsid w:val="00C806E6"/>
    <w:rsid w:val="00C814C5"/>
    <w:rsid w:val="00C82310"/>
    <w:rsid w:val="00C83E58"/>
    <w:rsid w:val="00C84163"/>
    <w:rsid w:val="00C8437D"/>
    <w:rsid w:val="00C85E47"/>
    <w:rsid w:val="00C86335"/>
    <w:rsid w:val="00C86E49"/>
    <w:rsid w:val="00C87AD2"/>
    <w:rsid w:val="00C906F1"/>
    <w:rsid w:val="00C9073B"/>
    <w:rsid w:val="00C91805"/>
    <w:rsid w:val="00C91C0F"/>
    <w:rsid w:val="00C92352"/>
    <w:rsid w:val="00C92433"/>
    <w:rsid w:val="00C9298E"/>
    <w:rsid w:val="00C93022"/>
    <w:rsid w:val="00C93191"/>
    <w:rsid w:val="00C93E74"/>
    <w:rsid w:val="00C9586D"/>
    <w:rsid w:val="00C96134"/>
    <w:rsid w:val="00C964C4"/>
    <w:rsid w:val="00C97581"/>
    <w:rsid w:val="00CA0061"/>
    <w:rsid w:val="00CA0167"/>
    <w:rsid w:val="00CA04CB"/>
    <w:rsid w:val="00CA123F"/>
    <w:rsid w:val="00CA16F2"/>
    <w:rsid w:val="00CA2944"/>
    <w:rsid w:val="00CA2E97"/>
    <w:rsid w:val="00CA4827"/>
    <w:rsid w:val="00CA5309"/>
    <w:rsid w:val="00CA5913"/>
    <w:rsid w:val="00CA6538"/>
    <w:rsid w:val="00CA7A25"/>
    <w:rsid w:val="00CB046B"/>
    <w:rsid w:val="00CB0557"/>
    <w:rsid w:val="00CB0810"/>
    <w:rsid w:val="00CB0BD1"/>
    <w:rsid w:val="00CB0C7F"/>
    <w:rsid w:val="00CB1EF6"/>
    <w:rsid w:val="00CB2665"/>
    <w:rsid w:val="00CB481B"/>
    <w:rsid w:val="00CB4C00"/>
    <w:rsid w:val="00CB588D"/>
    <w:rsid w:val="00CB67AE"/>
    <w:rsid w:val="00CB6BF3"/>
    <w:rsid w:val="00CB6E5E"/>
    <w:rsid w:val="00CB792C"/>
    <w:rsid w:val="00CC0182"/>
    <w:rsid w:val="00CC0738"/>
    <w:rsid w:val="00CC162A"/>
    <w:rsid w:val="00CC1A72"/>
    <w:rsid w:val="00CC1B47"/>
    <w:rsid w:val="00CC1FC1"/>
    <w:rsid w:val="00CC4B87"/>
    <w:rsid w:val="00CC5131"/>
    <w:rsid w:val="00CC54BC"/>
    <w:rsid w:val="00CC6077"/>
    <w:rsid w:val="00CC697C"/>
    <w:rsid w:val="00CC6E34"/>
    <w:rsid w:val="00CC6FBA"/>
    <w:rsid w:val="00CC700D"/>
    <w:rsid w:val="00CD002A"/>
    <w:rsid w:val="00CD0CFB"/>
    <w:rsid w:val="00CD1685"/>
    <w:rsid w:val="00CD176D"/>
    <w:rsid w:val="00CD1DAA"/>
    <w:rsid w:val="00CD2F10"/>
    <w:rsid w:val="00CD387F"/>
    <w:rsid w:val="00CD4C07"/>
    <w:rsid w:val="00CD4CDF"/>
    <w:rsid w:val="00CD4F52"/>
    <w:rsid w:val="00CD5C62"/>
    <w:rsid w:val="00CD649C"/>
    <w:rsid w:val="00CD6DAD"/>
    <w:rsid w:val="00CE0583"/>
    <w:rsid w:val="00CE453F"/>
    <w:rsid w:val="00CE577F"/>
    <w:rsid w:val="00CE67B9"/>
    <w:rsid w:val="00CE70B8"/>
    <w:rsid w:val="00CE740D"/>
    <w:rsid w:val="00CE7C31"/>
    <w:rsid w:val="00CE7D5E"/>
    <w:rsid w:val="00CF0013"/>
    <w:rsid w:val="00CF03BA"/>
    <w:rsid w:val="00CF04FD"/>
    <w:rsid w:val="00CF1EAC"/>
    <w:rsid w:val="00CF2EF5"/>
    <w:rsid w:val="00CF3DFC"/>
    <w:rsid w:val="00CF5A02"/>
    <w:rsid w:val="00CF5E3E"/>
    <w:rsid w:val="00CF63B6"/>
    <w:rsid w:val="00CF6FC8"/>
    <w:rsid w:val="00CF78BD"/>
    <w:rsid w:val="00CF7A21"/>
    <w:rsid w:val="00D007AC"/>
    <w:rsid w:val="00D01AA0"/>
    <w:rsid w:val="00D0237D"/>
    <w:rsid w:val="00D04277"/>
    <w:rsid w:val="00D05230"/>
    <w:rsid w:val="00D06147"/>
    <w:rsid w:val="00D06A23"/>
    <w:rsid w:val="00D076CA"/>
    <w:rsid w:val="00D104C6"/>
    <w:rsid w:val="00D10B9A"/>
    <w:rsid w:val="00D11050"/>
    <w:rsid w:val="00D11762"/>
    <w:rsid w:val="00D1178C"/>
    <w:rsid w:val="00D121A6"/>
    <w:rsid w:val="00D12918"/>
    <w:rsid w:val="00D13166"/>
    <w:rsid w:val="00D13E07"/>
    <w:rsid w:val="00D142D0"/>
    <w:rsid w:val="00D15363"/>
    <w:rsid w:val="00D1542A"/>
    <w:rsid w:val="00D1554B"/>
    <w:rsid w:val="00D165E2"/>
    <w:rsid w:val="00D167BB"/>
    <w:rsid w:val="00D168AE"/>
    <w:rsid w:val="00D168CB"/>
    <w:rsid w:val="00D17577"/>
    <w:rsid w:val="00D17B5C"/>
    <w:rsid w:val="00D17BC2"/>
    <w:rsid w:val="00D22FB2"/>
    <w:rsid w:val="00D23EA1"/>
    <w:rsid w:val="00D24267"/>
    <w:rsid w:val="00D24FEB"/>
    <w:rsid w:val="00D25AED"/>
    <w:rsid w:val="00D25B2A"/>
    <w:rsid w:val="00D30294"/>
    <w:rsid w:val="00D30BF7"/>
    <w:rsid w:val="00D31B26"/>
    <w:rsid w:val="00D31B59"/>
    <w:rsid w:val="00D32DD7"/>
    <w:rsid w:val="00D33047"/>
    <w:rsid w:val="00D334F4"/>
    <w:rsid w:val="00D33A03"/>
    <w:rsid w:val="00D33B08"/>
    <w:rsid w:val="00D33FAE"/>
    <w:rsid w:val="00D3448D"/>
    <w:rsid w:val="00D35E6C"/>
    <w:rsid w:val="00D3614E"/>
    <w:rsid w:val="00D404D0"/>
    <w:rsid w:val="00D41FCB"/>
    <w:rsid w:val="00D42A5D"/>
    <w:rsid w:val="00D42EA5"/>
    <w:rsid w:val="00D45028"/>
    <w:rsid w:val="00D4548E"/>
    <w:rsid w:val="00D46A52"/>
    <w:rsid w:val="00D46B07"/>
    <w:rsid w:val="00D47A38"/>
    <w:rsid w:val="00D5016D"/>
    <w:rsid w:val="00D507A5"/>
    <w:rsid w:val="00D518E8"/>
    <w:rsid w:val="00D51E76"/>
    <w:rsid w:val="00D51F25"/>
    <w:rsid w:val="00D5215D"/>
    <w:rsid w:val="00D529F7"/>
    <w:rsid w:val="00D5384F"/>
    <w:rsid w:val="00D53E5C"/>
    <w:rsid w:val="00D55D8D"/>
    <w:rsid w:val="00D55DB6"/>
    <w:rsid w:val="00D57F70"/>
    <w:rsid w:val="00D605CD"/>
    <w:rsid w:val="00D607F6"/>
    <w:rsid w:val="00D60BCC"/>
    <w:rsid w:val="00D60FE7"/>
    <w:rsid w:val="00D612D5"/>
    <w:rsid w:val="00D61902"/>
    <w:rsid w:val="00D64C2D"/>
    <w:rsid w:val="00D650B6"/>
    <w:rsid w:val="00D6548F"/>
    <w:rsid w:val="00D65DF9"/>
    <w:rsid w:val="00D66521"/>
    <w:rsid w:val="00D6679F"/>
    <w:rsid w:val="00D66A48"/>
    <w:rsid w:val="00D67902"/>
    <w:rsid w:val="00D679FF"/>
    <w:rsid w:val="00D70060"/>
    <w:rsid w:val="00D71AA5"/>
    <w:rsid w:val="00D71F0A"/>
    <w:rsid w:val="00D72AC5"/>
    <w:rsid w:val="00D72CC0"/>
    <w:rsid w:val="00D72F4C"/>
    <w:rsid w:val="00D7345E"/>
    <w:rsid w:val="00D736FD"/>
    <w:rsid w:val="00D7430C"/>
    <w:rsid w:val="00D74AE2"/>
    <w:rsid w:val="00D75D7A"/>
    <w:rsid w:val="00D762C0"/>
    <w:rsid w:val="00D76336"/>
    <w:rsid w:val="00D76E4F"/>
    <w:rsid w:val="00D77AAB"/>
    <w:rsid w:val="00D77D87"/>
    <w:rsid w:val="00D80003"/>
    <w:rsid w:val="00D80081"/>
    <w:rsid w:val="00D80AAD"/>
    <w:rsid w:val="00D80E68"/>
    <w:rsid w:val="00D81377"/>
    <w:rsid w:val="00D81A39"/>
    <w:rsid w:val="00D822FB"/>
    <w:rsid w:val="00D82A84"/>
    <w:rsid w:val="00D835B4"/>
    <w:rsid w:val="00D83BE7"/>
    <w:rsid w:val="00D83C81"/>
    <w:rsid w:val="00D842AF"/>
    <w:rsid w:val="00D8598F"/>
    <w:rsid w:val="00D85BFB"/>
    <w:rsid w:val="00D86B85"/>
    <w:rsid w:val="00D86C85"/>
    <w:rsid w:val="00D87194"/>
    <w:rsid w:val="00D878F6"/>
    <w:rsid w:val="00D927C9"/>
    <w:rsid w:val="00D92981"/>
    <w:rsid w:val="00D92EAE"/>
    <w:rsid w:val="00D930F4"/>
    <w:rsid w:val="00D95383"/>
    <w:rsid w:val="00D95B94"/>
    <w:rsid w:val="00D962B4"/>
    <w:rsid w:val="00D97144"/>
    <w:rsid w:val="00D97DA1"/>
    <w:rsid w:val="00DA0097"/>
    <w:rsid w:val="00DA269F"/>
    <w:rsid w:val="00DA618D"/>
    <w:rsid w:val="00DA63E9"/>
    <w:rsid w:val="00DA763F"/>
    <w:rsid w:val="00DB04A2"/>
    <w:rsid w:val="00DB0659"/>
    <w:rsid w:val="00DB0B50"/>
    <w:rsid w:val="00DB2EAB"/>
    <w:rsid w:val="00DB6155"/>
    <w:rsid w:val="00DB6635"/>
    <w:rsid w:val="00DB69D0"/>
    <w:rsid w:val="00DB6A75"/>
    <w:rsid w:val="00DC04D7"/>
    <w:rsid w:val="00DC0A47"/>
    <w:rsid w:val="00DC0AEE"/>
    <w:rsid w:val="00DC187C"/>
    <w:rsid w:val="00DC19CD"/>
    <w:rsid w:val="00DC52A7"/>
    <w:rsid w:val="00DC5ADB"/>
    <w:rsid w:val="00DC5E1E"/>
    <w:rsid w:val="00DC6398"/>
    <w:rsid w:val="00DC63C9"/>
    <w:rsid w:val="00DC6C28"/>
    <w:rsid w:val="00DC72D2"/>
    <w:rsid w:val="00DC730A"/>
    <w:rsid w:val="00DD0341"/>
    <w:rsid w:val="00DD149C"/>
    <w:rsid w:val="00DD3235"/>
    <w:rsid w:val="00DD4123"/>
    <w:rsid w:val="00DD49CF"/>
    <w:rsid w:val="00DD51F2"/>
    <w:rsid w:val="00DD5709"/>
    <w:rsid w:val="00DD5FEF"/>
    <w:rsid w:val="00DD6810"/>
    <w:rsid w:val="00DD6DDC"/>
    <w:rsid w:val="00DD7236"/>
    <w:rsid w:val="00DD75E7"/>
    <w:rsid w:val="00DD76C3"/>
    <w:rsid w:val="00DE0272"/>
    <w:rsid w:val="00DE0470"/>
    <w:rsid w:val="00DE108F"/>
    <w:rsid w:val="00DE1634"/>
    <w:rsid w:val="00DE3426"/>
    <w:rsid w:val="00DE3CF0"/>
    <w:rsid w:val="00DE46AE"/>
    <w:rsid w:val="00DE5E85"/>
    <w:rsid w:val="00DE5EA4"/>
    <w:rsid w:val="00DE60D3"/>
    <w:rsid w:val="00DE6167"/>
    <w:rsid w:val="00DE6B51"/>
    <w:rsid w:val="00DF018E"/>
    <w:rsid w:val="00DF08EA"/>
    <w:rsid w:val="00DF0B93"/>
    <w:rsid w:val="00DF0EDF"/>
    <w:rsid w:val="00DF2211"/>
    <w:rsid w:val="00DF3005"/>
    <w:rsid w:val="00DF31FF"/>
    <w:rsid w:val="00DF3530"/>
    <w:rsid w:val="00DF44AE"/>
    <w:rsid w:val="00DF4E1A"/>
    <w:rsid w:val="00DF5863"/>
    <w:rsid w:val="00DF5EEA"/>
    <w:rsid w:val="00DF68E2"/>
    <w:rsid w:val="00DF6B6D"/>
    <w:rsid w:val="00E00584"/>
    <w:rsid w:val="00E00978"/>
    <w:rsid w:val="00E009DF"/>
    <w:rsid w:val="00E00A8B"/>
    <w:rsid w:val="00E02027"/>
    <w:rsid w:val="00E0226F"/>
    <w:rsid w:val="00E02E83"/>
    <w:rsid w:val="00E037C1"/>
    <w:rsid w:val="00E0389C"/>
    <w:rsid w:val="00E05420"/>
    <w:rsid w:val="00E063A8"/>
    <w:rsid w:val="00E06983"/>
    <w:rsid w:val="00E06D17"/>
    <w:rsid w:val="00E0728D"/>
    <w:rsid w:val="00E078A3"/>
    <w:rsid w:val="00E10F15"/>
    <w:rsid w:val="00E126FC"/>
    <w:rsid w:val="00E129C5"/>
    <w:rsid w:val="00E12BAA"/>
    <w:rsid w:val="00E13E69"/>
    <w:rsid w:val="00E140F6"/>
    <w:rsid w:val="00E142D7"/>
    <w:rsid w:val="00E14E9F"/>
    <w:rsid w:val="00E1521B"/>
    <w:rsid w:val="00E20186"/>
    <w:rsid w:val="00E20A91"/>
    <w:rsid w:val="00E20E3D"/>
    <w:rsid w:val="00E21B7F"/>
    <w:rsid w:val="00E24DC9"/>
    <w:rsid w:val="00E256EA"/>
    <w:rsid w:val="00E25E21"/>
    <w:rsid w:val="00E25E5B"/>
    <w:rsid w:val="00E267E5"/>
    <w:rsid w:val="00E275E0"/>
    <w:rsid w:val="00E3132E"/>
    <w:rsid w:val="00E3259F"/>
    <w:rsid w:val="00E32908"/>
    <w:rsid w:val="00E3290D"/>
    <w:rsid w:val="00E32A50"/>
    <w:rsid w:val="00E332E9"/>
    <w:rsid w:val="00E33E88"/>
    <w:rsid w:val="00E359BE"/>
    <w:rsid w:val="00E35D89"/>
    <w:rsid w:val="00E401F5"/>
    <w:rsid w:val="00E40FA4"/>
    <w:rsid w:val="00E41EA8"/>
    <w:rsid w:val="00E42C27"/>
    <w:rsid w:val="00E430AE"/>
    <w:rsid w:val="00E4518D"/>
    <w:rsid w:val="00E4535D"/>
    <w:rsid w:val="00E45E0B"/>
    <w:rsid w:val="00E462D0"/>
    <w:rsid w:val="00E46720"/>
    <w:rsid w:val="00E46BFE"/>
    <w:rsid w:val="00E47109"/>
    <w:rsid w:val="00E47BBA"/>
    <w:rsid w:val="00E50094"/>
    <w:rsid w:val="00E51C72"/>
    <w:rsid w:val="00E5206E"/>
    <w:rsid w:val="00E5585C"/>
    <w:rsid w:val="00E55943"/>
    <w:rsid w:val="00E55FCE"/>
    <w:rsid w:val="00E56386"/>
    <w:rsid w:val="00E57716"/>
    <w:rsid w:val="00E60EB7"/>
    <w:rsid w:val="00E62962"/>
    <w:rsid w:val="00E63CE2"/>
    <w:rsid w:val="00E63ECF"/>
    <w:rsid w:val="00E6451E"/>
    <w:rsid w:val="00E64661"/>
    <w:rsid w:val="00E65055"/>
    <w:rsid w:val="00E66FE8"/>
    <w:rsid w:val="00E675ED"/>
    <w:rsid w:val="00E70235"/>
    <w:rsid w:val="00E703DB"/>
    <w:rsid w:val="00E7098C"/>
    <w:rsid w:val="00E70F7D"/>
    <w:rsid w:val="00E71E03"/>
    <w:rsid w:val="00E724BC"/>
    <w:rsid w:val="00E7251C"/>
    <w:rsid w:val="00E7370D"/>
    <w:rsid w:val="00E757F9"/>
    <w:rsid w:val="00E76854"/>
    <w:rsid w:val="00E76CBB"/>
    <w:rsid w:val="00E771B3"/>
    <w:rsid w:val="00E77281"/>
    <w:rsid w:val="00E77DA5"/>
    <w:rsid w:val="00E80BBC"/>
    <w:rsid w:val="00E814A9"/>
    <w:rsid w:val="00E82497"/>
    <w:rsid w:val="00E8277F"/>
    <w:rsid w:val="00E8370B"/>
    <w:rsid w:val="00E84908"/>
    <w:rsid w:val="00E85682"/>
    <w:rsid w:val="00E859D0"/>
    <w:rsid w:val="00E86176"/>
    <w:rsid w:val="00E86724"/>
    <w:rsid w:val="00E870D6"/>
    <w:rsid w:val="00E87974"/>
    <w:rsid w:val="00E87F38"/>
    <w:rsid w:val="00E902B2"/>
    <w:rsid w:val="00E90942"/>
    <w:rsid w:val="00E915B4"/>
    <w:rsid w:val="00E9483C"/>
    <w:rsid w:val="00E952B1"/>
    <w:rsid w:val="00E953C7"/>
    <w:rsid w:val="00E954B1"/>
    <w:rsid w:val="00E95D7A"/>
    <w:rsid w:val="00E960C7"/>
    <w:rsid w:val="00E967C7"/>
    <w:rsid w:val="00E96F5A"/>
    <w:rsid w:val="00EA2132"/>
    <w:rsid w:val="00EA2629"/>
    <w:rsid w:val="00EA2D8B"/>
    <w:rsid w:val="00EA39C7"/>
    <w:rsid w:val="00EA3C9F"/>
    <w:rsid w:val="00EA69E2"/>
    <w:rsid w:val="00EA6F2D"/>
    <w:rsid w:val="00EA73BE"/>
    <w:rsid w:val="00EA7676"/>
    <w:rsid w:val="00EB0A5E"/>
    <w:rsid w:val="00EB0B36"/>
    <w:rsid w:val="00EB1B45"/>
    <w:rsid w:val="00EB1DCA"/>
    <w:rsid w:val="00EB259E"/>
    <w:rsid w:val="00EB2AD9"/>
    <w:rsid w:val="00EB3203"/>
    <w:rsid w:val="00EB4198"/>
    <w:rsid w:val="00EB54CE"/>
    <w:rsid w:val="00EB615D"/>
    <w:rsid w:val="00EB7339"/>
    <w:rsid w:val="00EB7F7E"/>
    <w:rsid w:val="00EC049A"/>
    <w:rsid w:val="00EC0804"/>
    <w:rsid w:val="00EC08BC"/>
    <w:rsid w:val="00EC0E96"/>
    <w:rsid w:val="00EC2EBF"/>
    <w:rsid w:val="00EC564B"/>
    <w:rsid w:val="00EC58B3"/>
    <w:rsid w:val="00EC5C1A"/>
    <w:rsid w:val="00EC69AD"/>
    <w:rsid w:val="00EC6BFA"/>
    <w:rsid w:val="00EC7CCD"/>
    <w:rsid w:val="00ED09DE"/>
    <w:rsid w:val="00ED2C74"/>
    <w:rsid w:val="00ED3273"/>
    <w:rsid w:val="00ED36B8"/>
    <w:rsid w:val="00ED3A41"/>
    <w:rsid w:val="00ED4CDD"/>
    <w:rsid w:val="00ED6287"/>
    <w:rsid w:val="00ED7880"/>
    <w:rsid w:val="00ED7D0B"/>
    <w:rsid w:val="00EE04E8"/>
    <w:rsid w:val="00EE14CA"/>
    <w:rsid w:val="00EE15BE"/>
    <w:rsid w:val="00EE26AA"/>
    <w:rsid w:val="00EE452A"/>
    <w:rsid w:val="00EE4D4D"/>
    <w:rsid w:val="00EE5056"/>
    <w:rsid w:val="00EE54E0"/>
    <w:rsid w:val="00EE5675"/>
    <w:rsid w:val="00EE6648"/>
    <w:rsid w:val="00EE70A0"/>
    <w:rsid w:val="00EE70A9"/>
    <w:rsid w:val="00EE72F4"/>
    <w:rsid w:val="00EF0B47"/>
    <w:rsid w:val="00EF1BB8"/>
    <w:rsid w:val="00EF21E8"/>
    <w:rsid w:val="00EF2FE7"/>
    <w:rsid w:val="00EF442A"/>
    <w:rsid w:val="00EF45B3"/>
    <w:rsid w:val="00EF4E0A"/>
    <w:rsid w:val="00EF4F61"/>
    <w:rsid w:val="00EF589B"/>
    <w:rsid w:val="00EF5C53"/>
    <w:rsid w:val="00F0010F"/>
    <w:rsid w:val="00F009B1"/>
    <w:rsid w:val="00F00D77"/>
    <w:rsid w:val="00F0194C"/>
    <w:rsid w:val="00F01DAB"/>
    <w:rsid w:val="00F02ACA"/>
    <w:rsid w:val="00F0650C"/>
    <w:rsid w:val="00F07616"/>
    <w:rsid w:val="00F105CE"/>
    <w:rsid w:val="00F10ECF"/>
    <w:rsid w:val="00F115F3"/>
    <w:rsid w:val="00F11937"/>
    <w:rsid w:val="00F11955"/>
    <w:rsid w:val="00F14BDF"/>
    <w:rsid w:val="00F158BD"/>
    <w:rsid w:val="00F2139D"/>
    <w:rsid w:val="00F21BF7"/>
    <w:rsid w:val="00F21CFC"/>
    <w:rsid w:val="00F22DCD"/>
    <w:rsid w:val="00F2374D"/>
    <w:rsid w:val="00F238DD"/>
    <w:rsid w:val="00F26346"/>
    <w:rsid w:val="00F26431"/>
    <w:rsid w:val="00F2674B"/>
    <w:rsid w:val="00F27185"/>
    <w:rsid w:val="00F2720B"/>
    <w:rsid w:val="00F27F5B"/>
    <w:rsid w:val="00F30636"/>
    <w:rsid w:val="00F31402"/>
    <w:rsid w:val="00F320F9"/>
    <w:rsid w:val="00F32230"/>
    <w:rsid w:val="00F3351B"/>
    <w:rsid w:val="00F359A6"/>
    <w:rsid w:val="00F36A4E"/>
    <w:rsid w:val="00F37CFD"/>
    <w:rsid w:val="00F37D1F"/>
    <w:rsid w:val="00F37FB1"/>
    <w:rsid w:val="00F426BF"/>
    <w:rsid w:val="00F42ABF"/>
    <w:rsid w:val="00F458AF"/>
    <w:rsid w:val="00F45C42"/>
    <w:rsid w:val="00F46775"/>
    <w:rsid w:val="00F473D2"/>
    <w:rsid w:val="00F5023F"/>
    <w:rsid w:val="00F51EC8"/>
    <w:rsid w:val="00F52309"/>
    <w:rsid w:val="00F53D2F"/>
    <w:rsid w:val="00F54C38"/>
    <w:rsid w:val="00F57F9D"/>
    <w:rsid w:val="00F60497"/>
    <w:rsid w:val="00F612C4"/>
    <w:rsid w:val="00F61952"/>
    <w:rsid w:val="00F64311"/>
    <w:rsid w:val="00F64784"/>
    <w:rsid w:val="00F64C90"/>
    <w:rsid w:val="00F64D5F"/>
    <w:rsid w:val="00F67997"/>
    <w:rsid w:val="00F7027B"/>
    <w:rsid w:val="00F7090B"/>
    <w:rsid w:val="00F7238A"/>
    <w:rsid w:val="00F72757"/>
    <w:rsid w:val="00F72E44"/>
    <w:rsid w:val="00F72F35"/>
    <w:rsid w:val="00F75361"/>
    <w:rsid w:val="00F76D12"/>
    <w:rsid w:val="00F76DFD"/>
    <w:rsid w:val="00F76E66"/>
    <w:rsid w:val="00F772E0"/>
    <w:rsid w:val="00F822F2"/>
    <w:rsid w:val="00F82A79"/>
    <w:rsid w:val="00F848B3"/>
    <w:rsid w:val="00F848C2"/>
    <w:rsid w:val="00F853AE"/>
    <w:rsid w:val="00F853E5"/>
    <w:rsid w:val="00F8673D"/>
    <w:rsid w:val="00F8775E"/>
    <w:rsid w:val="00F906A3"/>
    <w:rsid w:val="00F90701"/>
    <w:rsid w:val="00F910ED"/>
    <w:rsid w:val="00F91B32"/>
    <w:rsid w:val="00F9676E"/>
    <w:rsid w:val="00F968FF"/>
    <w:rsid w:val="00F96C30"/>
    <w:rsid w:val="00FA0BC8"/>
    <w:rsid w:val="00FA0DEC"/>
    <w:rsid w:val="00FA0F72"/>
    <w:rsid w:val="00FA1FB8"/>
    <w:rsid w:val="00FA2A98"/>
    <w:rsid w:val="00FA2C92"/>
    <w:rsid w:val="00FA380D"/>
    <w:rsid w:val="00FA3B82"/>
    <w:rsid w:val="00FA3FF1"/>
    <w:rsid w:val="00FA4110"/>
    <w:rsid w:val="00FA61A2"/>
    <w:rsid w:val="00FA68DA"/>
    <w:rsid w:val="00FA6C30"/>
    <w:rsid w:val="00FA6F80"/>
    <w:rsid w:val="00FA7CB7"/>
    <w:rsid w:val="00FB10EB"/>
    <w:rsid w:val="00FB1DC1"/>
    <w:rsid w:val="00FB27DF"/>
    <w:rsid w:val="00FB2A33"/>
    <w:rsid w:val="00FB2F85"/>
    <w:rsid w:val="00FB3CC7"/>
    <w:rsid w:val="00FB3CFC"/>
    <w:rsid w:val="00FB3E5C"/>
    <w:rsid w:val="00FB450B"/>
    <w:rsid w:val="00FB46BD"/>
    <w:rsid w:val="00FB5635"/>
    <w:rsid w:val="00FB5D50"/>
    <w:rsid w:val="00FB7653"/>
    <w:rsid w:val="00FC0D6C"/>
    <w:rsid w:val="00FC136F"/>
    <w:rsid w:val="00FC3408"/>
    <w:rsid w:val="00FC3BEE"/>
    <w:rsid w:val="00FC4322"/>
    <w:rsid w:val="00FC56DD"/>
    <w:rsid w:val="00FC6470"/>
    <w:rsid w:val="00FC7858"/>
    <w:rsid w:val="00FC7FCD"/>
    <w:rsid w:val="00FD02F6"/>
    <w:rsid w:val="00FD0A60"/>
    <w:rsid w:val="00FD0BC9"/>
    <w:rsid w:val="00FD0EA2"/>
    <w:rsid w:val="00FD11D8"/>
    <w:rsid w:val="00FD18A3"/>
    <w:rsid w:val="00FD1C02"/>
    <w:rsid w:val="00FD409D"/>
    <w:rsid w:val="00FD4527"/>
    <w:rsid w:val="00FD4882"/>
    <w:rsid w:val="00FD4B0D"/>
    <w:rsid w:val="00FD580B"/>
    <w:rsid w:val="00FD6699"/>
    <w:rsid w:val="00FD753B"/>
    <w:rsid w:val="00FD7667"/>
    <w:rsid w:val="00FE05B5"/>
    <w:rsid w:val="00FE0E12"/>
    <w:rsid w:val="00FE0FA9"/>
    <w:rsid w:val="00FE3756"/>
    <w:rsid w:val="00FE4408"/>
    <w:rsid w:val="00FE6A1D"/>
    <w:rsid w:val="00FE6FF3"/>
    <w:rsid w:val="00FE707E"/>
    <w:rsid w:val="00FE7976"/>
    <w:rsid w:val="00FF02A0"/>
    <w:rsid w:val="00FF088E"/>
    <w:rsid w:val="00FF1438"/>
    <w:rsid w:val="00FF3D21"/>
    <w:rsid w:val="00FF5C79"/>
    <w:rsid w:val="00FF68CB"/>
    <w:rsid w:val="00FF7C68"/>
  </w:rsids>
  <m:mathPr>
    <m:mathFont m:val="Cambria Math"/>
    <m:brkBin m:val="before"/>
    <m:brkBinSub m:val="--"/>
    <m:smallFrac m:val="0"/>
    <m:dispDef/>
    <m:lMargin m:val="0"/>
    <m:rMargin m:val="0"/>
    <m:defJc m:val="centerGroup"/>
    <m:wrapIndent m:val="1440"/>
    <m:intLim m:val="subSup"/>
    <m:naryLim m:val="undOvr"/>
  </m:mathPr>
  <w:themeFontLang w:val="en-CA"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26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F67"/>
    <w:pPr>
      <w:spacing w:after="240"/>
      <w:jc w:val="both"/>
    </w:pPr>
    <w:rPr>
      <w:rFonts w:ascii="Book Antiqua" w:hAnsi="Book Antiqua"/>
      <w:kern w:val="22"/>
      <w:sz w:val="22"/>
    </w:rPr>
  </w:style>
  <w:style w:type="paragraph" w:styleId="Heading1">
    <w:name w:val="heading 1"/>
    <w:basedOn w:val="Normal"/>
    <w:next w:val="BodyText1"/>
    <w:link w:val="Heading1Char"/>
    <w:uiPriority w:val="99"/>
    <w:qFormat/>
    <w:rsid w:val="005C6D4B"/>
    <w:pPr>
      <w:keepNext/>
      <w:numPr>
        <w:numId w:val="6"/>
      </w:numPr>
      <w:spacing w:before="480"/>
      <w:jc w:val="left"/>
      <w:outlineLvl w:val="0"/>
    </w:pPr>
    <w:rPr>
      <w:rFonts w:ascii="Arial Bold" w:hAnsi="Arial Bold"/>
      <w:b/>
      <w:bCs/>
      <w:caps/>
      <w:kern w:val="28"/>
      <w:sz w:val="28"/>
    </w:rPr>
  </w:style>
  <w:style w:type="paragraph" w:styleId="Heading2">
    <w:name w:val="heading 2"/>
    <w:basedOn w:val="Heading1"/>
    <w:next w:val="BodyText1"/>
    <w:uiPriority w:val="99"/>
    <w:qFormat/>
    <w:rsid w:val="007E013C"/>
    <w:pPr>
      <w:numPr>
        <w:ilvl w:val="1"/>
      </w:numPr>
      <w:spacing w:before="240"/>
      <w:outlineLvl w:val="1"/>
    </w:pPr>
    <w:rPr>
      <w:bCs w:val="0"/>
      <w:kern w:val="0"/>
      <w:sz w:val="24"/>
    </w:rPr>
  </w:style>
  <w:style w:type="paragraph" w:styleId="Heading3">
    <w:name w:val="heading 3"/>
    <w:basedOn w:val="Normal"/>
    <w:next w:val="BodyText1"/>
    <w:link w:val="Heading3Char"/>
    <w:uiPriority w:val="99"/>
    <w:qFormat/>
    <w:rsid w:val="00C32435"/>
    <w:pPr>
      <w:keepNext/>
      <w:numPr>
        <w:ilvl w:val="2"/>
        <w:numId w:val="6"/>
      </w:numPr>
      <w:spacing w:before="240" w:after="120"/>
      <w:outlineLvl w:val="2"/>
    </w:pPr>
    <w:rPr>
      <w:rFonts w:ascii="Arial Bold" w:hAnsi="Arial Bold"/>
      <w:b/>
      <w:bCs/>
      <w:kern w:val="0"/>
      <w:sz w:val="24"/>
    </w:rPr>
  </w:style>
  <w:style w:type="paragraph" w:styleId="Heading4">
    <w:name w:val="heading 4"/>
    <w:basedOn w:val="Heading3"/>
    <w:next w:val="BodyText1"/>
    <w:link w:val="Heading4Char"/>
    <w:uiPriority w:val="99"/>
    <w:qFormat/>
    <w:rsid w:val="00FD7667"/>
    <w:pPr>
      <w:numPr>
        <w:ilvl w:val="3"/>
      </w:numPr>
      <w:outlineLvl w:val="3"/>
    </w:pPr>
    <w:rPr>
      <w:bCs w:val="0"/>
      <w:iCs/>
      <w:sz w:val="22"/>
    </w:rPr>
  </w:style>
  <w:style w:type="paragraph" w:styleId="Heading5">
    <w:name w:val="heading 5"/>
    <w:basedOn w:val="Heading4"/>
    <w:next w:val="BodyText1"/>
    <w:link w:val="Heading5Char"/>
    <w:qFormat/>
    <w:rsid w:val="00FD7667"/>
    <w:pPr>
      <w:numPr>
        <w:ilvl w:val="0"/>
        <w:numId w:val="0"/>
      </w:numPr>
      <w:tabs>
        <w:tab w:val="left" w:pos="850"/>
      </w:tabs>
      <w:ind w:left="850"/>
      <w:outlineLvl w:val="4"/>
    </w:pPr>
    <w:rPr>
      <w:i/>
      <w:lang w:val="en-CA"/>
    </w:rPr>
  </w:style>
  <w:style w:type="paragraph" w:styleId="Heading6">
    <w:name w:val="heading 6"/>
    <w:basedOn w:val="Heading5"/>
    <w:next w:val="BodyText1"/>
    <w:qFormat/>
    <w:rsid w:val="00DF0EDF"/>
    <w:pPr>
      <w:tabs>
        <w:tab w:val="clear" w:pos="850"/>
      </w:tabs>
      <w:ind w:left="0"/>
      <w:outlineLvl w:val="5"/>
    </w:pPr>
    <w:rPr>
      <w:rFonts w:cs="Arial"/>
      <w:iCs w:val="0"/>
    </w:rPr>
  </w:style>
  <w:style w:type="paragraph" w:styleId="Heading7">
    <w:name w:val="heading 7"/>
    <w:basedOn w:val="Normal"/>
    <w:next w:val="Normal"/>
    <w:qFormat/>
    <w:rsid w:val="00DF0EDF"/>
    <w:pPr>
      <w:keepNext/>
      <w:spacing w:before="360"/>
      <w:ind w:left="862"/>
      <w:outlineLvl w:val="6"/>
    </w:pPr>
    <w:rPr>
      <w:rFonts w:ascii="Arial" w:hAnsi="Arial" w:cs="Arial"/>
      <w:b/>
      <w:bCs/>
      <w:i/>
      <w:szCs w:val="18"/>
    </w:rPr>
  </w:style>
  <w:style w:type="paragraph" w:styleId="Heading8">
    <w:name w:val="heading 8"/>
    <w:basedOn w:val="Normal"/>
    <w:next w:val="Normal"/>
    <w:qFormat/>
    <w:rsid w:val="00DF0EDF"/>
    <w:pPr>
      <w:keepNext/>
      <w:keepLines/>
      <w:spacing w:before="360"/>
      <w:ind w:left="862"/>
      <w:outlineLvl w:val="7"/>
    </w:pPr>
    <w:rPr>
      <w:rFonts w:ascii="Arial" w:hAnsi="Arial"/>
      <w:b/>
      <w:i/>
      <w:color w:val="000000"/>
    </w:rPr>
  </w:style>
  <w:style w:type="paragraph" w:styleId="Heading9">
    <w:name w:val="heading 9"/>
    <w:basedOn w:val="Normal"/>
    <w:next w:val="Normal"/>
    <w:qFormat/>
    <w:rsid w:val="00DF0EDF"/>
    <w:pPr>
      <w:keepNext/>
      <w:keepLines/>
      <w:spacing w:before="360"/>
      <w:ind w:left="862"/>
      <w:outlineLvl w:val="8"/>
    </w:pPr>
    <w:rPr>
      <w:rFonts w:ascii="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DF0EDF"/>
    <w:pPr>
      <w:tabs>
        <w:tab w:val="right" w:pos="8784"/>
      </w:tabs>
      <w:ind w:left="850"/>
    </w:pPr>
  </w:style>
  <w:style w:type="paragraph" w:styleId="Footer">
    <w:name w:val="footer"/>
    <w:basedOn w:val="Normal"/>
    <w:link w:val="FooterChar"/>
    <w:uiPriority w:val="99"/>
    <w:rsid w:val="00DF0EDF"/>
    <w:pPr>
      <w:pBdr>
        <w:top w:val="single" w:sz="4" w:space="5" w:color="auto"/>
      </w:pBdr>
      <w:tabs>
        <w:tab w:val="center" w:pos="4410"/>
        <w:tab w:val="right" w:pos="8820"/>
      </w:tabs>
      <w:spacing w:before="120" w:after="0"/>
    </w:pPr>
    <w:rPr>
      <w:rFonts w:ascii="Arial" w:hAnsi="Arial"/>
      <w:sz w:val="14"/>
    </w:rPr>
  </w:style>
  <w:style w:type="character" w:styleId="PageNumber">
    <w:name w:val="page number"/>
    <w:basedOn w:val="DefaultParagraphFont"/>
    <w:rsid w:val="00DF0EDF"/>
    <w:rPr>
      <w:rFonts w:ascii="Book Antiqua" w:hAnsi="Book Antiqua"/>
      <w:sz w:val="16"/>
    </w:rPr>
  </w:style>
  <w:style w:type="paragraph" w:styleId="Caption">
    <w:name w:val="caption"/>
    <w:basedOn w:val="Normal"/>
    <w:next w:val="BodyText1"/>
    <w:link w:val="CaptionChar"/>
    <w:uiPriority w:val="35"/>
    <w:qFormat/>
    <w:rsid w:val="005B4F03"/>
    <w:pPr>
      <w:keepNext/>
      <w:tabs>
        <w:tab w:val="left" w:pos="1361"/>
      </w:tabs>
      <w:ind w:left="1368" w:hanging="1368"/>
      <w:jc w:val="left"/>
    </w:pPr>
    <w:rPr>
      <w:rFonts w:ascii="Arial" w:hAnsi="Arial" w:cs="Arial"/>
      <w:b/>
      <w:bCs/>
    </w:rPr>
  </w:style>
  <w:style w:type="paragraph" w:customStyle="1" w:styleId="TableNotes">
    <w:name w:val="Table Notes"/>
    <w:basedOn w:val="Normal"/>
    <w:rsid w:val="00DF0EDF"/>
    <w:pPr>
      <w:spacing w:before="80" w:after="0"/>
      <w:ind w:left="1080" w:hanging="173"/>
    </w:pPr>
    <w:rPr>
      <w:rFonts w:ascii="Arial" w:hAnsi="Arial" w:cs="Arial"/>
      <w:sz w:val="16"/>
    </w:rPr>
  </w:style>
  <w:style w:type="paragraph" w:styleId="TOC1">
    <w:name w:val="toc 1"/>
    <w:basedOn w:val="Normal"/>
    <w:next w:val="BodyText1"/>
    <w:uiPriority w:val="39"/>
    <w:rsid w:val="00D529F7"/>
    <w:pPr>
      <w:spacing w:before="120" w:after="120"/>
      <w:jc w:val="left"/>
    </w:pPr>
    <w:rPr>
      <w:rFonts w:asciiTheme="minorHAnsi" w:hAnsiTheme="minorHAnsi"/>
      <w:b/>
      <w:bCs/>
      <w:caps/>
      <w:sz w:val="20"/>
      <w:szCs w:val="20"/>
    </w:rPr>
  </w:style>
  <w:style w:type="paragraph" w:styleId="TOC2">
    <w:name w:val="toc 2"/>
    <w:basedOn w:val="Normal"/>
    <w:next w:val="BodyText1"/>
    <w:uiPriority w:val="39"/>
    <w:rsid w:val="00D529F7"/>
    <w:pPr>
      <w:spacing w:after="0"/>
      <w:ind w:left="220"/>
      <w:jc w:val="left"/>
    </w:pPr>
    <w:rPr>
      <w:rFonts w:asciiTheme="minorHAnsi" w:hAnsiTheme="minorHAnsi"/>
      <w:smallCaps/>
      <w:sz w:val="20"/>
      <w:szCs w:val="20"/>
    </w:rPr>
  </w:style>
  <w:style w:type="paragraph" w:styleId="TOC3">
    <w:name w:val="toc 3"/>
    <w:basedOn w:val="Normal"/>
    <w:next w:val="BodyText1"/>
    <w:uiPriority w:val="39"/>
    <w:rsid w:val="00D529F7"/>
    <w:pPr>
      <w:spacing w:after="0"/>
      <w:ind w:left="440"/>
      <w:jc w:val="left"/>
    </w:pPr>
    <w:rPr>
      <w:rFonts w:asciiTheme="minorHAnsi" w:hAnsiTheme="minorHAnsi"/>
      <w:i/>
      <w:iCs/>
      <w:sz w:val="20"/>
      <w:szCs w:val="20"/>
    </w:rPr>
  </w:style>
  <w:style w:type="paragraph" w:styleId="TOC4">
    <w:name w:val="toc 4"/>
    <w:basedOn w:val="TOC1"/>
    <w:next w:val="BodyText1"/>
    <w:uiPriority w:val="39"/>
    <w:rsid w:val="00D529F7"/>
    <w:pPr>
      <w:spacing w:before="0" w:after="0"/>
      <w:ind w:left="660"/>
    </w:pPr>
    <w:rPr>
      <w:b w:val="0"/>
      <w:bCs w:val="0"/>
      <w:caps w:val="0"/>
      <w:sz w:val="18"/>
      <w:szCs w:val="18"/>
    </w:rPr>
  </w:style>
  <w:style w:type="paragraph" w:styleId="TOC5">
    <w:name w:val="toc 5"/>
    <w:basedOn w:val="Normal"/>
    <w:next w:val="Normal"/>
    <w:semiHidden/>
    <w:rsid w:val="00DF0EDF"/>
    <w:pPr>
      <w:spacing w:after="0"/>
      <w:ind w:left="880"/>
      <w:jc w:val="left"/>
    </w:pPr>
    <w:rPr>
      <w:rFonts w:asciiTheme="minorHAnsi" w:hAnsiTheme="minorHAnsi"/>
      <w:sz w:val="18"/>
      <w:szCs w:val="18"/>
    </w:rPr>
  </w:style>
  <w:style w:type="paragraph" w:styleId="TOC6">
    <w:name w:val="toc 6"/>
    <w:basedOn w:val="Normal"/>
    <w:next w:val="Normal"/>
    <w:semiHidden/>
    <w:rsid w:val="00DF0EDF"/>
    <w:pPr>
      <w:spacing w:after="0"/>
      <w:ind w:left="1100"/>
      <w:jc w:val="left"/>
    </w:pPr>
    <w:rPr>
      <w:rFonts w:asciiTheme="minorHAnsi" w:hAnsiTheme="minorHAnsi"/>
      <w:sz w:val="18"/>
      <w:szCs w:val="18"/>
    </w:rPr>
  </w:style>
  <w:style w:type="paragraph" w:styleId="TOC7">
    <w:name w:val="toc 7"/>
    <w:basedOn w:val="Normal"/>
    <w:next w:val="Normal"/>
    <w:semiHidden/>
    <w:rsid w:val="00DF0EDF"/>
    <w:pPr>
      <w:spacing w:after="0"/>
      <w:ind w:left="1320"/>
      <w:jc w:val="left"/>
    </w:pPr>
    <w:rPr>
      <w:rFonts w:asciiTheme="minorHAnsi" w:hAnsiTheme="minorHAnsi"/>
      <w:sz w:val="18"/>
      <w:szCs w:val="18"/>
    </w:rPr>
  </w:style>
  <w:style w:type="paragraph" w:styleId="TOC8">
    <w:name w:val="toc 8"/>
    <w:basedOn w:val="Normal"/>
    <w:next w:val="Normal"/>
    <w:semiHidden/>
    <w:rsid w:val="00DF0EDF"/>
    <w:pPr>
      <w:spacing w:after="0"/>
      <w:ind w:left="1540"/>
      <w:jc w:val="left"/>
    </w:pPr>
    <w:rPr>
      <w:rFonts w:asciiTheme="minorHAnsi" w:hAnsiTheme="minorHAnsi"/>
      <w:sz w:val="18"/>
      <w:szCs w:val="18"/>
    </w:rPr>
  </w:style>
  <w:style w:type="paragraph" w:styleId="TOC9">
    <w:name w:val="toc 9"/>
    <w:basedOn w:val="Normal"/>
    <w:next w:val="Normal"/>
    <w:semiHidden/>
    <w:rsid w:val="00DF0EDF"/>
    <w:pPr>
      <w:spacing w:after="0"/>
      <w:ind w:left="1760"/>
      <w:jc w:val="left"/>
    </w:pPr>
    <w:rPr>
      <w:rFonts w:asciiTheme="minorHAnsi" w:hAnsiTheme="minorHAnsi"/>
      <w:sz w:val="18"/>
      <w:szCs w:val="18"/>
    </w:rPr>
  </w:style>
  <w:style w:type="paragraph" w:customStyle="1" w:styleId="BulletList1">
    <w:name w:val="Bullet List 1"/>
    <w:basedOn w:val="BodyText1"/>
    <w:link w:val="BulletList1Char"/>
    <w:qFormat/>
    <w:rsid w:val="0006078A"/>
    <w:pPr>
      <w:numPr>
        <w:numId w:val="11"/>
      </w:numPr>
      <w:tabs>
        <w:tab w:val="clear" w:pos="340"/>
        <w:tab w:val="clear" w:pos="8784"/>
        <w:tab w:val="num" w:pos="720"/>
        <w:tab w:val="right" w:pos="8827"/>
      </w:tabs>
      <w:spacing w:after="180"/>
      <w:ind w:left="720"/>
    </w:pPr>
  </w:style>
  <w:style w:type="paragraph" w:customStyle="1" w:styleId="PrefaceHeading">
    <w:name w:val="Preface Heading"/>
    <w:basedOn w:val="Normal"/>
    <w:next w:val="BodyText1"/>
    <w:rsid w:val="00FD7667"/>
    <w:pPr>
      <w:pageBreakBefore/>
      <w:spacing w:after="360"/>
      <w:jc w:val="center"/>
    </w:pPr>
    <w:rPr>
      <w:rFonts w:ascii="Arial" w:hAnsi="Arial"/>
      <w:b/>
      <w:sz w:val="28"/>
    </w:rPr>
  </w:style>
  <w:style w:type="paragraph" w:styleId="TableofFigures">
    <w:name w:val="table of figures"/>
    <w:basedOn w:val="Normal"/>
    <w:next w:val="Normal"/>
    <w:uiPriority w:val="99"/>
    <w:rsid w:val="00DF0EDF"/>
    <w:pPr>
      <w:tabs>
        <w:tab w:val="left" w:pos="1440"/>
        <w:tab w:val="right" w:leader="dot" w:pos="8820"/>
      </w:tabs>
      <w:ind w:left="1440" w:right="864" w:hanging="1440"/>
    </w:pPr>
    <w:rPr>
      <w:rFonts w:ascii="Arial" w:hAnsi="Arial" w:cs="Arial"/>
      <w:kern w:val="0"/>
      <w:szCs w:val="32"/>
    </w:rPr>
  </w:style>
  <w:style w:type="paragraph" w:customStyle="1" w:styleId="References">
    <w:name w:val="References"/>
    <w:basedOn w:val="Normal"/>
    <w:rsid w:val="00DF0EDF"/>
    <w:pPr>
      <w:keepLines/>
      <w:ind w:left="1311" w:hanging="461"/>
    </w:pPr>
  </w:style>
  <w:style w:type="paragraph" w:customStyle="1" w:styleId="TableBody">
    <w:name w:val="Table Body"/>
    <w:link w:val="TableBodyChar"/>
    <w:qFormat/>
    <w:rsid w:val="00DF0EDF"/>
    <w:pPr>
      <w:spacing w:before="60" w:after="60"/>
      <w:jc w:val="center"/>
    </w:pPr>
    <w:rPr>
      <w:rFonts w:ascii="Arial" w:hAnsi="Arial"/>
      <w:sz w:val="18"/>
    </w:rPr>
  </w:style>
  <w:style w:type="paragraph" w:customStyle="1" w:styleId="NumberList1">
    <w:name w:val="Number List 1"/>
    <w:basedOn w:val="BulletList1"/>
    <w:rsid w:val="00DF0EDF"/>
    <w:pPr>
      <w:numPr>
        <w:numId w:val="10"/>
      </w:numPr>
    </w:pPr>
    <w:rPr>
      <w:szCs w:val="22"/>
      <w:lang w:val="en-CA"/>
    </w:rPr>
  </w:style>
  <w:style w:type="paragraph" w:customStyle="1" w:styleId="BulletList2">
    <w:name w:val="Bullet List 2"/>
    <w:basedOn w:val="Normal"/>
    <w:rsid w:val="00DF0EDF"/>
    <w:pPr>
      <w:numPr>
        <w:ilvl w:val="1"/>
        <w:numId w:val="1"/>
      </w:numPr>
      <w:tabs>
        <w:tab w:val="left" w:pos="1980"/>
      </w:tabs>
    </w:pPr>
  </w:style>
  <w:style w:type="paragraph" w:customStyle="1" w:styleId="TableHeader">
    <w:name w:val="Table Header"/>
    <w:basedOn w:val="Normal"/>
    <w:rsid w:val="00DF0EDF"/>
    <w:pPr>
      <w:spacing w:before="60" w:after="60"/>
      <w:jc w:val="center"/>
    </w:pPr>
    <w:rPr>
      <w:rFonts w:ascii="Arial" w:hAnsi="Arial" w:cs="Arial"/>
      <w:b/>
      <w:bCs/>
      <w:sz w:val="18"/>
    </w:rPr>
  </w:style>
  <w:style w:type="paragraph" w:customStyle="1" w:styleId="TableofContents">
    <w:name w:val="TableofContents"/>
    <w:basedOn w:val="PrefaceHeading"/>
    <w:next w:val="BodyText1"/>
    <w:rsid w:val="00DF0EDF"/>
  </w:style>
  <w:style w:type="paragraph" w:customStyle="1" w:styleId="TOCNumberList">
    <w:name w:val="TOC Number List"/>
    <w:basedOn w:val="NumberList1"/>
    <w:rsid w:val="00803D65"/>
    <w:pPr>
      <w:numPr>
        <w:numId w:val="4"/>
      </w:numPr>
      <w:tabs>
        <w:tab w:val="clear" w:pos="1447"/>
        <w:tab w:val="num" w:pos="1260"/>
      </w:tabs>
      <w:ind w:left="1267" w:hanging="720"/>
    </w:pPr>
  </w:style>
  <w:style w:type="paragraph" w:styleId="Title">
    <w:name w:val="Title"/>
    <w:basedOn w:val="Normal"/>
    <w:link w:val="TitleChar"/>
    <w:qFormat/>
    <w:rsid w:val="00DF0EDF"/>
    <w:pPr>
      <w:jc w:val="center"/>
    </w:pPr>
    <w:rPr>
      <w:b/>
      <w:bCs/>
      <w:sz w:val="36"/>
    </w:rPr>
  </w:style>
  <w:style w:type="character" w:styleId="Hyperlink">
    <w:name w:val="Hyperlink"/>
    <w:basedOn w:val="DefaultParagraphFont"/>
    <w:uiPriority w:val="99"/>
    <w:rsid w:val="00DF0EDF"/>
    <w:rPr>
      <w:color w:val="0000FF"/>
      <w:u w:val="single"/>
    </w:rPr>
  </w:style>
  <w:style w:type="paragraph" w:customStyle="1" w:styleId="AppendixTableofFigures">
    <w:name w:val="Appendix Table of Figures"/>
    <w:basedOn w:val="TableofFigures"/>
    <w:rsid w:val="00DF0EDF"/>
    <w:pPr>
      <w:tabs>
        <w:tab w:val="clear" w:pos="1440"/>
        <w:tab w:val="left" w:pos="1467"/>
      </w:tabs>
      <w:ind w:left="1530" w:right="-36" w:hanging="1530"/>
      <w:jc w:val="left"/>
    </w:pPr>
    <w:rPr>
      <w:rFonts w:cs="Times New Roman"/>
      <w:noProof/>
      <w:szCs w:val="24"/>
    </w:rPr>
  </w:style>
  <w:style w:type="paragraph" w:customStyle="1" w:styleId="TOCBodyText1">
    <w:name w:val="TOC Body Text1"/>
    <w:basedOn w:val="BodyText1"/>
    <w:rsid w:val="00DF0EDF"/>
    <w:pPr>
      <w:ind w:left="0"/>
    </w:pPr>
  </w:style>
  <w:style w:type="paragraph" w:styleId="FootnoteText">
    <w:name w:val="footnote text"/>
    <w:aliases w:val="ft,single space,Geneva 9,Font: Geneva 9,Boston 10,f,Footnote text,fn,Footnote Text Char Char,Footnote Text Char Char Char Char,Footnote Text1,Footnote Text Char Char Char,Fußnote Char Char Char Char,otnote Text,Fußnote,FOOTNOTES,ft2,ADB,AD"/>
    <w:basedOn w:val="Normal"/>
    <w:link w:val="FootnoteTextChar"/>
    <w:uiPriority w:val="99"/>
    <w:qFormat/>
    <w:rsid w:val="00DF0EDF"/>
    <w:pPr>
      <w:spacing w:after="60"/>
      <w:ind w:left="180" w:hanging="180"/>
    </w:pPr>
    <w:rPr>
      <w:rFonts w:ascii="Arial" w:hAnsi="Arial" w:cs="Arial"/>
      <w:sz w:val="16"/>
    </w:rPr>
  </w:style>
  <w:style w:type="paragraph" w:customStyle="1" w:styleId="TOCBulletStyle">
    <w:name w:val="TOC Bullet Style"/>
    <w:basedOn w:val="BulletList1"/>
    <w:rsid w:val="00DF0EDF"/>
    <w:pPr>
      <w:numPr>
        <w:numId w:val="3"/>
      </w:numPr>
    </w:pPr>
  </w:style>
  <w:style w:type="paragraph" w:customStyle="1" w:styleId="CaptionContd">
    <w:name w:val="CaptionContd"/>
    <w:basedOn w:val="BodyText1"/>
    <w:next w:val="Normal"/>
    <w:rsid w:val="00DF0EDF"/>
    <w:pPr>
      <w:tabs>
        <w:tab w:val="clear" w:pos="8784"/>
        <w:tab w:val="left" w:pos="1368"/>
      </w:tabs>
      <w:ind w:left="0"/>
    </w:pPr>
    <w:rPr>
      <w:rFonts w:ascii="Arial" w:hAnsi="Arial" w:cs="Arial"/>
      <w:b/>
    </w:rPr>
  </w:style>
  <w:style w:type="paragraph" w:customStyle="1" w:styleId="FigureBody">
    <w:name w:val="Figure Body"/>
    <w:basedOn w:val="BodyText1"/>
    <w:next w:val="BodyText1"/>
    <w:rsid w:val="000D41D6"/>
    <w:pPr>
      <w:tabs>
        <w:tab w:val="clear" w:pos="8784"/>
      </w:tabs>
      <w:ind w:left="0"/>
      <w:jc w:val="center"/>
    </w:pPr>
    <w:rPr>
      <w:noProof/>
    </w:rPr>
  </w:style>
  <w:style w:type="paragraph" w:customStyle="1" w:styleId="TableBullet">
    <w:name w:val="Table Bullet"/>
    <w:basedOn w:val="TableBody"/>
    <w:rsid w:val="00DF0EDF"/>
    <w:pPr>
      <w:numPr>
        <w:numId w:val="2"/>
      </w:numPr>
      <w:jc w:val="left"/>
    </w:pPr>
  </w:style>
  <w:style w:type="paragraph" w:customStyle="1" w:styleId="AppDiv">
    <w:name w:val="AppDiv"/>
    <w:basedOn w:val="Normal"/>
    <w:rsid w:val="00DF0EDF"/>
    <w:pPr>
      <w:ind w:left="3690"/>
      <w:jc w:val="right"/>
    </w:pPr>
    <w:rPr>
      <w:rFonts w:ascii="Arial" w:hAnsi="Arial" w:cs="Arial"/>
      <w:b/>
      <w:sz w:val="32"/>
      <w:szCs w:val="32"/>
    </w:rPr>
  </w:style>
  <w:style w:type="paragraph" w:customStyle="1" w:styleId="BodyText10">
    <w:name w:val="Body Text 1"/>
    <w:basedOn w:val="Normal"/>
    <w:rsid w:val="00DF0EDF"/>
    <w:pPr>
      <w:tabs>
        <w:tab w:val="right" w:pos="8784"/>
      </w:tabs>
      <w:spacing w:after="0"/>
    </w:pPr>
  </w:style>
  <w:style w:type="character" w:styleId="FollowedHyperlink">
    <w:name w:val="FollowedHyperlink"/>
    <w:basedOn w:val="DefaultParagraphFont"/>
    <w:rsid w:val="00DF0EDF"/>
    <w:rPr>
      <w:color w:val="800080"/>
      <w:u w:val="single"/>
    </w:rPr>
  </w:style>
  <w:style w:type="paragraph" w:styleId="Header">
    <w:name w:val="header"/>
    <w:basedOn w:val="Normal"/>
    <w:link w:val="HeaderChar"/>
    <w:uiPriority w:val="99"/>
    <w:rsid w:val="00F9676E"/>
    <w:pPr>
      <w:tabs>
        <w:tab w:val="center" w:pos="4320"/>
        <w:tab w:val="right" w:pos="8640"/>
      </w:tabs>
    </w:pPr>
  </w:style>
  <w:style w:type="paragraph" w:customStyle="1" w:styleId="AppHeading1">
    <w:name w:val="App Heading 1"/>
    <w:basedOn w:val="Heading1"/>
    <w:next w:val="BodyText1"/>
    <w:rsid w:val="00D33047"/>
    <w:pPr>
      <w:numPr>
        <w:numId w:val="5"/>
      </w:numPr>
      <w:tabs>
        <w:tab w:val="num" w:pos="900"/>
      </w:tabs>
      <w:ind w:left="900" w:hanging="900"/>
    </w:pPr>
  </w:style>
  <w:style w:type="paragraph" w:customStyle="1" w:styleId="AppHeading2">
    <w:name w:val="App Heading 2"/>
    <w:basedOn w:val="AppHeading1"/>
    <w:next w:val="BodyText1"/>
    <w:rsid w:val="00417882"/>
    <w:pPr>
      <w:numPr>
        <w:numId w:val="0"/>
      </w:numPr>
      <w:tabs>
        <w:tab w:val="num" w:pos="1031"/>
        <w:tab w:val="num" w:pos="1931"/>
      </w:tabs>
    </w:pPr>
    <w:rPr>
      <w:sz w:val="24"/>
    </w:rPr>
  </w:style>
  <w:style w:type="paragraph" w:customStyle="1" w:styleId="AppHeading3">
    <w:name w:val="App Heading 3"/>
    <w:basedOn w:val="AppHeading2"/>
    <w:next w:val="BodyText1"/>
    <w:rsid w:val="00417882"/>
    <w:pPr>
      <w:spacing w:after="120"/>
    </w:pPr>
    <w:rPr>
      <w:caps w:val="0"/>
    </w:rPr>
  </w:style>
  <w:style w:type="paragraph" w:customStyle="1" w:styleId="AppHeading4">
    <w:name w:val="App Heading 4"/>
    <w:basedOn w:val="AppHeading3"/>
    <w:next w:val="BodyText1"/>
    <w:rsid w:val="00D33047"/>
    <w:pPr>
      <w:numPr>
        <w:ilvl w:val="3"/>
        <w:numId w:val="5"/>
      </w:numPr>
      <w:tabs>
        <w:tab w:val="num" w:pos="900"/>
      </w:tabs>
      <w:ind w:left="900" w:hanging="900"/>
    </w:pPr>
    <w:rPr>
      <w:caps/>
      <w:sz w:val="22"/>
    </w:rPr>
  </w:style>
  <w:style w:type="paragraph" w:customStyle="1" w:styleId="AppHeading5">
    <w:name w:val="App Heading 5"/>
    <w:basedOn w:val="AppHeading4"/>
    <w:next w:val="BodyTextIndent3"/>
    <w:qFormat/>
    <w:rsid w:val="00686847"/>
    <w:pPr>
      <w:numPr>
        <w:ilvl w:val="4"/>
      </w:numPr>
    </w:pPr>
    <w:rPr>
      <w:caps w:val="0"/>
    </w:rPr>
  </w:style>
  <w:style w:type="paragraph" w:styleId="Signature">
    <w:name w:val="Signature"/>
    <w:basedOn w:val="Normal"/>
    <w:link w:val="SignatureChar"/>
    <w:rsid w:val="00CD002A"/>
    <w:pPr>
      <w:spacing w:after="0"/>
      <w:jc w:val="left"/>
    </w:pPr>
    <w:rPr>
      <w:kern w:val="0"/>
    </w:rPr>
  </w:style>
  <w:style w:type="paragraph" w:styleId="BodyTextIndent3">
    <w:name w:val="Body Text Indent 3"/>
    <w:basedOn w:val="Normal"/>
    <w:link w:val="BodyTextIndent3Char"/>
    <w:rsid w:val="00686847"/>
    <w:pPr>
      <w:spacing w:after="120"/>
      <w:ind w:left="360"/>
    </w:pPr>
    <w:rPr>
      <w:sz w:val="16"/>
      <w:szCs w:val="16"/>
    </w:rPr>
  </w:style>
  <w:style w:type="character" w:customStyle="1" w:styleId="BodyTextIndent3Char">
    <w:name w:val="Body Text Indent 3 Char"/>
    <w:basedOn w:val="DefaultParagraphFont"/>
    <w:link w:val="BodyTextIndent3"/>
    <w:rsid w:val="00686847"/>
    <w:rPr>
      <w:rFonts w:ascii="Book Antiqua" w:hAnsi="Book Antiqua"/>
      <w:kern w:val="22"/>
      <w:sz w:val="16"/>
      <w:szCs w:val="16"/>
    </w:rPr>
  </w:style>
  <w:style w:type="character" w:customStyle="1" w:styleId="SignatureChar">
    <w:name w:val="Signature Char"/>
    <w:basedOn w:val="DefaultParagraphFont"/>
    <w:link w:val="Signature"/>
    <w:rsid w:val="00CD002A"/>
    <w:rPr>
      <w:rFonts w:ascii="Book Antiqua" w:hAnsi="Book Antiqua"/>
      <w:sz w:val="22"/>
    </w:rPr>
  </w:style>
  <w:style w:type="paragraph" w:styleId="BodyText">
    <w:name w:val="Body Text"/>
    <w:basedOn w:val="Normal"/>
    <w:link w:val="BodyTextChar"/>
    <w:rsid w:val="00715AC7"/>
    <w:pPr>
      <w:keepLines/>
      <w:autoSpaceDE w:val="0"/>
      <w:autoSpaceDN w:val="0"/>
      <w:adjustRightInd w:val="0"/>
      <w:spacing w:before="120" w:after="120"/>
      <w:jc w:val="left"/>
    </w:pPr>
    <w:rPr>
      <w:rFonts w:ascii="Calibri" w:hAnsi="Calibri" w:cs="Calibri"/>
      <w:kern w:val="0"/>
      <w:szCs w:val="22"/>
      <w:lang w:bidi="km-KH"/>
    </w:rPr>
  </w:style>
  <w:style w:type="character" w:customStyle="1" w:styleId="BodyTextChar">
    <w:name w:val="Body Text Char"/>
    <w:basedOn w:val="DefaultParagraphFont"/>
    <w:link w:val="BodyText"/>
    <w:rsid w:val="00715AC7"/>
    <w:rPr>
      <w:rFonts w:ascii="Calibri" w:hAnsi="Calibri" w:cs="Calibri"/>
      <w:sz w:val="22"/>
      <w:szCs w:val="22"/>
      <w:lang w:bidi="km-KH"/>
    </w:rPr>
  </w:style>
  <w:style w:type="paragraph" w:customStyle="1" w:styleId="FigureTitle">
    <w:name w:val="Figure Title"/>
    <w:basedOn w:val="Normal"/>
    <w:link w:val="FigureTitleChar"/>
    <w:qFormat/>
    <w:rsid w:val="00157FF9"/>
    <w:pPr>
      <w:spacing w:after="60" w:line="276" w:lineRule="auto"/>
    </w:pPr>
    <w:rPr>
      <w:rFonts w:ascii="Arial" w:hAnsi="Arial" w:cs="Arial"/>
      <w:kern w:val="0"/>
      <w:szCs w:val="22"/>
      <w:lang w:bidi="km-KH"/>
    </w:rPr>
  </w:style>
  <w:style w:type="character" w:customStyle="1" w:styleId="FigureTitleChar">
    <w:name w:val="Figure Title Char"/>
    <w:link w:val="FigureTitle"/>
    <w:locked/>
    <w:rsid w:val="00157FF9"/>
    <w:rPr>
      <w:rFonts w:ascii="Arial" w:hAnsi="Arial" w:cs="Arial"/>
      <w:sz w:val="22"/>
      <w:szCs w:val="22"/>
      <w:lang w:bidi="km-KH"/>
    </w:rPr>
  </w:style>
  <w:style w:type="paragraph" w:styleId="BalloonText">
    <w:name w:val="Balloon Text"/>
    <w:basedOn w:val="Normal"/>
    <w:link w:val="BalloonTextChar"/>
    <w:rsid w:val="00DF0B93"/>
    <w:pPr>
      <w:spacing w:after="0"/>
    </w:pPr>
    <w:rPr>
      <w:rFonts w:ascii="Tahoma" w:hAnsi="Tahoma" w:cs="Tahoma"/>
      <w:sz w:val="16"/>
      <w:szCs w:val="16"/>
    </w:rPr>
  </w:style>
  <w:style w:type="character" w:customStyle="1" w:styleId="BalloonTextChar">
    <w:name w:val="Balloon Text Char"/>
    <w:basedOn w:val="DefaultParagraphFont"/>
    <w:link w:val="BalloonText"/>
    <w:rsid w:val="00DF0B93"/>
    <w:rPr>
      <w:rFonts w:ascii="Tahoma" w:hAnsi="Tahoma" w:cs="Tahoma"/>
      <w:kern w:val="22"/>
      <w:sz w:val="16"/>
      <w:szCs w:val="16"/>
    </w:rPr>
  </w:style>
  <w:style w:type="paragraph" w:styleId="ListParagraph">
    <w:name w:val="List Paragraph"/>
    <w:basedOn w:val="Normal"/>
    <w:link w:val="ListParagraphChar"/>
    <w:uiPriority w:val="99"/>
    <w:qFormat/>
    <w:rsid w:val="008834D2"/>
    <w:pPr>
      <w:ind w:left="720"/>
      <w:contextualSpacing/>
    </w:pPr>
  </w:style>
  <w:style w:type="character" w:customStyle="1" w:styleId="BodyText1Char">
    <w:name w:val="Body Text1 Char"/>
    <w:link w:val="BodyText1"/>
    <w:locked/>
    <w:rsid w:val="000C3C01"/>
    <w:rPr>
      <w:rFonts w:ascii="Book Antiqua" w:hAnsi="Book Antiqua"/>
      <w:kern w:val="22"/>
      <w:sz w:val="22"/>
    </w:rPr>
  </w:style>
  <w:style w:type="character" w:customStyle="1" w:styleId="CaptionChar">
    <w:name w:val="Caption Char"/>
    <w:link w:val="Caption"/>
    <w:rsid w:val="000C3C01"/>
    <w:rPr>
      <w:rFonts w:ascii="Arial" w:hAnsi="Arial" w:cs="Arial"/>
      <w:b/>
      <w:bCs/>
      <w:kern w:val="22"/>
      <w:sz w:val="22"/>
    </w:rPr>
  </w:style>
  <w:style w:type="character" w:customStyle="1" w:styleId="TableBodyChar">
    <w:name w:val="Table Body Char"/>
    <w:link w:val="TableBody"/>
    <w:uiPriority w:val="99"/>
    <w:rsid w:val="000C3C01"/>
    <w:rPr>
      <w:rFonts w:ascii="Arial" w:hAnsi="Arial"/>
      <w:sz w:val="18"/>
    </w:rPr>
  </w:style>
  <w:style w:type="character" w:styleId="FootnoteReference">
    <w:name w:val="footnote reference"/>
    <w:aliases w:val="16 Point,Superscript 6 Point,ftref,Footnote Reference Number,Footnote,SUPERS,SUPERS1,SUPERS2,SUPERS3,ftref Char1,16 Point Char,Superscript 6 Point Char,Ref Char,de nota al pie Char,Fußnotenzeichen DISS Char,fr Char1,footnote ref"/>
    <w:link w:val="Ref"/>
    <w:uiPriority w:val="99"/>
    <w:qFormat/>
    <w:rsid w:val="000C3C01"/>
    <w:rPr>
      <w:vertAlign w:val="superscript"/>
    </w:rPr>
  </w:style>
  <w:style w:type="character" w:customStyle="1" w:styleId="FootnoteTextChar">
    <w:name w:val="Footnote Text Char"/>
    <w:aliases w:val="ft Char,single space Char,Geneva 9 Char,Font: Geneva 9 Char,Boston 10 Char,f Char,Footnote text Char,fn Char,Footnote Text Char Char Char1,Footnote Text Char Char Char Char Char,Footnote Text1 Char,Footnote Text Char Char Char Char1"/>
    <w:link w:val="FootnoteText"/>
    <w:uiPriority w:val="99"/>
    <w:rsid w:val="000C3C01"/>
    <w:rPr>
      <w:rFonts w:ascii="Arial" w:hAnsi="Arial" w:cs="Arial"/>
      <w:kern w:val="22"/>
      <w:sz w:val="16"/>
    </w:rPr>
  </w:style>
  <w:style w:type="character" w:customStyle="1" w:styleId="BulletList1Char">
    <w:name w:val="Bullet List 1 Char"/>
    <w:link w:val="BulletList1"/>
    <w:locked/>
    <w:rsid w:val="0006078A"/>
    <w:rPr>
      <w:rFonts w:ascii="Book Antiqua" w:hAnsi="Book Antiqua"/>
      <w:kern w:val="22"/>
      <w:sz w:val="22"/>
    </w:rPr>
  </w:style>
  <w:style w:type="table" w:styleId="TableGrid">
    <w:name w:val="Table Grid"/>
    <w:basedOn w:val="TableNormal"/>
    <w:rsid w:val="0055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CF63B6"/>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SpacingChar">
    <w:name w:val="No Spacing Char"/>
    <w:link w:val="NoSpacingCharChar"/>
    <w:uiPriority w:val="99"/>
    <w:rsid w:val="00CF63B6"/>
    <w:rPr>
      <w:rFonts w:ascii="Calibri" w:eastAsia="Calibri" w:hAnsi="Calibri"/>
      <w:sz w:val="22"/>
      <w:szCs w:val="22"/>
    </w:rPr>
  </w:style>
  <w:style w:type="character" w:customStyle="1" w:styleId="NoSpacingCharChar">
    <w:name w:val="No Spacing Char Char"/>
    <w:basedOn w:val="DefaultParagraphFont"/>
    <w:link w:val="NoSpacingChar"/>
    <w:uiPriority w:val="99"/>
    <w:locked/>
    <w:rsid w:val="00CF63B6"/>
    <w:rPr>
      <w:rFonts w:ascii="Calibri" w:eastAsia="Calibri" w:hAnsi="Calibri"/>
      <w:sz w:val="22"/>
      <w:szCs w:val="22"/>
    </w:rPr>
  </w:style>
  <w:style w:type="paragraph" w:customStyle="1" w:styleId="NoSpacing1">
    <w:name w:val="No Spacing1"/>
    <w:uiPriority w:val="99"/>
    <w:semiHidden/>
    <w:rsid w:val="00CF63B6"/>
    <w:rPr>
      <w:rFonts w:ascii="Calibri" w:eastAsia="Calibri" w:hAnsi="Calibri"/>
      <w:sz w:val="22"/>
      <w:szCs w:val="22"/>
      <w:lang w:val="en-GB"/>
    </w:rPr>
  </w:style>
  <w:style w:type="paragraph" w:customStyle="1" w:styleId="Default">
    <w:name w:val="Default"/>
    <w:rsid w:val="007770DF"/>
    <w:pPr>
      <w:autoSpaceDE w:val="0"/>
      <w:autoSpaceDN w:val="0"/>
      <w:adjustRightInd w:val="0"/>
    </w:pPr>
    <w:rPr>
      <w:rFonts w:ascii="Arial" w:hAnsi="Arial" w:cs="Arial"/>
      <w:color w:val="000000"/>
      <w:lang w:bidi="km-KH"/>
    </w:rPr>
  </w:style>
  <w:style w:type="character" w:customStyle="1" w:styleId="Heading5Char">
    <w:name w:val="Heading 5 Char"/>
    <w:basedOn w:val="DefaultParagraphFont"/>
    <w:link w:val="Heading5"/>
    <w:rsid w:val="00E430AE"/>
    <w:rPr>
      <w:rFonts w:ascii="Arial" w:hAnsi="Arial"/>
      <w:b/>
      <w:i/>
      <w:iCs/>
      <w:sz w:val="22"/>
      <w:lang w:val="en-CA"/>
    </w:rPr>
  </w:style>
  <w:style w:type="table" w:styleId="TableElegant">
    <w:name w:val="Table Elegant"/>
    <w:basedOn w:val="TableNormal"/>
    <w:rsid w:val="009448A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ediumGrid1-Accent3">
    <w:name w:val="Medium Grid 1 Accent 3"/>
    <w:basedOn w:val="TableNormal"/>
    <w:uiPriority w:val="67"/>
    <w:rsid w:val="009448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9448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9"/>
    <w:rsid w:val="00C32435"/>
    <w:rPr>
      <w:rFonts w:ascii="Arial Bold" w:hAnsi="Arial Bold"/>
      <w:b/>
      <w:bCs/>
    </w:rPr>
  </w:style>
  <w:style w:type="paragraph" w:styleId="PlainText">
    <w:name w:val="Plain Text"/>
    <w:basedOn w:val="Normal"/>
    <w:link w:val="PlainTextChar"/>
    <w:uiPriority w:val="99"/>
    <w:unhideWhenUsed/>
    <w:rsid w:val="00E21B7F"/>
    <w:pPr>
      <w:spacing w:after="0"/>
      <w:jc w:val="left"/>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E21B7F"/>
    <w:rPr>
      <w:rFonts w:ascii="Consolas" w:eastAsiaTheme="minorHAnsi" w:hAnsi="Consolas" w:cstheme="minorBidi"/>
      <w:sz w:val="21"/>
      <w:szCs w:val="21"/>
    </w:rPr>
  </w:style>
  <w:style w:type="paragraph" w:styleId="ListBullet">
    <w:name w:val="List Bullet"/>
    <w:basedOn w:val="Normal"/>
    <w:rsid w:val="00561F63"/>
    <w:pPr>
      <w:numPr>
        <w:numId w:val="7"/>
      </w:numPr>
      <w:spacing w:after="0"/>
    </w:pPr>
    <w:rPr>
      <w:rFonts w:ascii="Arial" w:hAnsi="Arial"/>
      <w:kern w:val="0"/>
      <w:sz w:val="20"/>
    </w:rPr>
  </w:style>
  <w:style w:type="character" w:customStyle="1" w:styleId="BodyText1Char2">
    <w:name w:val="Body Text1 Char2"/>
    <w:basedOn w:val="DefaultParagraphFont"/>
    <w:rsid w:val="00561F63"/>
    <w:rPr>
      <w:rFonts w:ascii="Book Antiqua" w:hAnsi="Book Antiqua"/>
      <w:kern w:val="22"/>
      <w:sz w:val="22"/>
      <w:lang w:val="en-US" w:eastAsia="en-US" w:bidi="ar-SA"/>
    </w:rPr>
  </w:style>
  <w:style w:type="character" w:customStyle="1" w:styleId="BodyText1Char1">
    <w:name w:val="Body Text1 Char1"/>
    <w:rsid w:val="006F2BC8"/>
    <w:rPr>
      <w:rFonts w:ascii="Book Antiqua" w:eastAsia="Times New Roman" w:hAnsi="Book Antiqua" w:cs="Times New Roman"/>
      <w:kern w:val="22"/>
      <w:szCs w:val="20"/>
      <w:lang w:val="en-CA"/>
    </w:rPr>
  </w:style>
  <w:style w:type="paragraph" w:customStyle="1" w:styleId="CM27">
    <w:name w:val="CM27"/>
    <w:basedOn w:val="Default"/>
    <w:next w:val="Default"/>
    <w:uiPriority w:val="99"/>
    <w:rsid w:val="001E6701"/>
    <w:pPr>
      <w:widowControl w:val="0"/>
    </w:pPr>
    <w:rPr>
      <w:rFonts w:ascii="Georgia" w:hAnsi="Georgia" w:cs="Angsana New"/>
      <w:color w:val="auto"/>
      <w:lang w:bidi="th-TH"/>
    </w:rPr>
  </w:style>
  <w:style w:type="character" w:styleId="CommentReference">
    <w:name w:val="annotation reference"/>
    <w:basedOn w:val="DefaultParagraphFont"/>
    <w:rsid w:val="00962EF3"/>
    <w:rPr>
      <w:rFonts w:cs="Times New Roman"/>
      <w:sz w:val="16"/>
      <w:szCs w:val="16"/>
    </w:rPr>
  </w:style>
  <w:style w:type="paragraph" w:styleId="CommentText">
    <w:name w:val="annotation text"/>
    <w:aliases w:val="Char"/>
    <w:basedOn w:val="Normal"/>
    <w:link w:val="CommentTextChar"/>
    <w:rsid w:val="00962EF3"/>
    <w:pPr>
      <w:spacing w:after="0"/>
      <w:jc w:val="left"/>
    </w:pPr>
    <w:rPr>
      <w:rFonts w:ascii="Times New Roman" w:eastAsia="SimSun" w:hAnsi="Times New Roman"/>
      <w:kern w:val="0"/>
      <w:sz w:val="20"/>
      <w:lang w:val="en-AU" w:eastAsia="zh-CN"/>
    </w:rPr>
  </w:style>
  <w:style w:type="character" w:customStyle="1" w:styleId="CommentTextChar">
    <w:name w:val="Comment Text Char"/>
    <w:aliases w:val="Char Char"/>
    <w:basedOn w:val="DefaultParagraphFont"/>
    <w:link w:val="CommentText"/>
    <w:rsid w:val="00962EF3"/>
    <w:rPr>
      <w:rFonts w:eastAsia="SimSun"/>
      <w:lang w:val="en-AU" w:eastAsia="zh-CN"/>
    </w:rPr>
  </w:style>
  <w:style w:type="paragraph" w:customStyle="1" w:styleId="KGsubheading">
    <w:name w:val="KG sub heading"/>
    <w:basedOn w:val="Normal"/>
    <w:rsid w:val="00920666"/>
    <w:pPr>
      <w:spacing w:after="0" w:line="264" w:lineRule="auto"/>
    </w:pPr>
    <w:rPr>
      <w:rFonts w:ascii="Arial" w:hAnsi="Arial" w:cs="Arial"/>
      <w:b/>
      <w:color w:val="000000"/>
      <w:kern w:val="24"/>
      <w:sz w:val="24"/>
      <w:lang w:val="en-GB"/>
    </w:rPr>
  </w:style>
  <w:style w:type="character" w:customStyle="1" w:styleId="Heading4Char">
    <w:name w:val="Heading 4 Char"/>
    <w:basedOn w:val="DefaultParagraphFont"/>
    <w:link w:val="Heading4"/>
    <w:uiPriority w:val="99"/>
    <w:rsid w:val="00C57160"/>
    <w:rPr>
      <w:rFonts w:ascii="Arial Bold" w:hAnsi="Arial Bold"/>
      <w:b/>
      <w:iCs/>
      <w:sz w:val="22"/>
    </w:rPr>
  </w:style>
  <w:style w:type="paragraph" w:customStyle="1" w:styleId="CM5">
    <w:name w:val="CM5"/>
    <w:basedOn w:val="Default"/>
    <w:next w:val="Default"/>
    <w:rsid w:val="00C57160"/>
    <w:pPr>
      <w:widowControl w:val="0"/>
      <w:spacing w:after="200" w:line="471" w:lineRule="atLeast"/>
    </w:pPr>
    <w:rPr>
      <w:rFonts w:ascii="Cambria" w:hAnsi="Cambria" w:cs="Angsana New"/>
      <w:color w:val="auto"/>
      <w:lang w:eastAsia="ja-JP" w:bidi="ar-SA"/>
    </w:rPr>
  </w:style>
  <w:style w:type="paragraph" w:customStyle="1" w:styleId="para-flush">
    <w:name w:val="para-flush"/>
    <w:basedOn w:val="Normal"/>
    <w:rsid w:val="00303F1F"/>
    <w:pPr>
      <w:spacing w:before="100" w:beforeAutospacing="1" w:after="100" w:afterAutospacing="1"/>
      <w:jc w:val="left"/>
    </w:pPr>
    <w:rPr>
      <w:rFonts w:ascii="Times New Roman" w:eastAsia="SimSun" w:hAnsi="Times New Roman"/>
      <w:kern w:val="0"/>
      <w:sz w:val="24"/>
      <w:lang w:eastAsia="zh-CN"/>
    </w:rPr>
  </w:style>
  <w:style w:type="paragraph" w:styleId="CommentSubject">
    <w:name w:val="annotation subject"/>
    <w:basedOn w:val="CommentText"/>
    <w:next w:val="CommentText"/>
    <w:link w:val="CommentSubjectChar"/>
    <w:rsid w:val="0081551F"/>
    <w:pPr>
      <w:spacing w:after="240"/>
      <w:jc w:val="both"/>
    </w:pPr>
    <w:rPr>
      <w:rFonts w:ascii="Book Antiqua" w:eastAsia="Times New Roman" w:hAnsi="Book Antiqua"/>
      <w:b/>
      <w:bCs/>
      <w:kern w:val="22"/>
      <w:lang w:val="en-US" w:eastAsia="en-US"/>
    </w:rPr>
  </w:style>
  <w:style w:type="character" w:customStyle="1" w:styleId="CommentSubjectChar">
    <w:name w:val="Comment Subject Char"/>
    <w:basedOn w:val="CommentTextChar"/>
    <w:link w:val="CommentSubject"/>
    <w:rsid w:val="0081551F"/>
    <w:rPr>
      <w:rFonts w:ascii="Book Antiqua" w:eastAsia="SimSun" w:hAnsi="Book Antiqua"/>
      <w:b/>
      <w:bCs/>
      <w:kern w:val="22"/>
      <w:lang w:val="en-AU" w:eastAsia="zh-CN"/>
    </w:rPr>
  </w:style>
  <w:style w:type="paragraph" w:styleId="NormalWeb">
    <w:name w:val="Normal (Web)"/>
    <w:aliases w:val="Normal (Web)1,Normal (Web) Char Char,Normal (Web) Char Char Char,Normal (Web) Char,Normal (Web) Char Char Char Char Char Char Char Char Char Char,Normal (Web) Char Char Char Char Char Char Char Char Char,Normal (Web)4"/>
    <w:basedOn w:val="Normal"/>
    <w:link w:val="NormalWebChar1"/>
    <w:uiPriority w:val="99"/>
    <w:unhideWhenUsed/>
    <w:rsid w:val="00F21BF7"/>
    <w:pPr>
      <w:spacing w:before="100" w:beforeAutospacing="1" w:after="100" w:afterAutospacing="1"/>
      <w:jc w:val="left"/>
    </w:pPr>
    <w:rPr>
      <w:rFonts w:ascii="Times New Roman" w:hAnsi="Times New Roman"/>
      <w:kern w:val="0"/>
      <w:sz w:val="24"/>
      <w:lang w:bidi="km-KH"/>
    </w:rPr>
  </w:style>
  <w:style w:type="paragraph" w:customStyle="1" w:styleId="Bullet1">
    <w:name w:val="Bullet 1"/>
    <w:basedOn w:val="Normal"/>
    <w:rsid w:val="0014572B"/>
    <w:pPr>
      <w:numPr>
        <w:numId w:val="8"/>
      </w:numPr>
      <w:spacing w:after="120"/>
    </w:pPr>
    <w:rPr>
      <w:rFonts w:eastAsia="MS Mincho"/>
      <w:kern w:val="0"/>
      <w:sz w:val="20"/>
      <w:lang w:val="en-CA"/>
    </w:rPr>
  </w:style>
  <w:style w:type="character" w:styleId="Emphasis">
    <w:name w:val="Emphasis"/>
    <w:uiPriority w:val="20"/>
    <w:qFormat/>
    <w:rsid w:val="00BF38BE"/>
    <w:rPr>
      <w:i/>
      <w:iCs/>
    </w:rPr>
  </w:style>
  <w:style w:type="character" w:customStyle="1" w:styleId="TitleChar">
    <w:name w:val="Title Char"/>
    <w:basedOn w:val="DefaultParagraphFont"/>
    <w:link w:val="Title"/>
    <w:rsid w:val="00FB5635"/>
    <w:rPr>
      <w:rFonts w:ascii="Book Antiqua" w:hAnsi="Book Antiqua"/>
      <w:b/>
      <w:bCs/>
      <w:kern w:val="22"/>
      <w:sz w:val="36"/>
    </w:rPr>
  </w:style>
  <w:style w:type="paragraph" w:styleId="Revision">
    <w:name w:val="Revision"/>
    <w:hidden/>
    <w:uiPriority w:val="99"/>
    <w:semiHidden/>
    <w:rsid w:val="001A74A5"/>
    <w:rPr>
      <w:rFonts w:ascii="Book Antiqua" w:hAnsi="Book Antiqua"/>
      <w:kern w:val="22"/>
      <w:sz w:val="22"/>
    </w:rPr>
  </w:style>
  <w:style w:type="table" w:customStyle="1" w:styleId="LightGrid-Accent11">
    <w:name w:val="Light Grid - Accent 11"/>
    <w:basedOn w:val="TableNormal"/>
    <w:uiPriority w:val="62"/>
    <w:rsid w:val="00785D65"/>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next w:val="Normal"/>
    <w:link w:val="SubtitleChar"/>
    <w:uiPriority w:val="11"/>
    <w:qFormat/>
    <w:rsid w:val="00EB0B36"/>
    <w:pPr>
      <w:numPr>
        <w:ilvl w:val="1"/>
      </w:numPr>
      <w:spacing w:after="200" w:line="276" w:lineRule="auto"/>
      <w:jc w:val="left"/>
    </w:pPr>
    <w:rPr>
      <w:rFonts w:asciiTheme="majorHAnsi" w:eastAsiaTheme="majorEastAsia" w:hAnsiTheme="majorHAnsi" w:cstheme="majorBidi"/>
      <w:i/>
      <w:iCs/>
      <w:color w:val="4F81BD" w:themeColor="accent1"/>
      <w:spacing w:val="15"/>
      <w:kern w:val="0"/>
      <w:sz w:val="24"/>
      <w:lang w:bidi="km-KH"/>
    </w:rPr>
  </w:style>
  <w:style w:type="character" w:customStyle="1" w:styleId="SubtitleChar">
    <w:name w:val="Subtitle Char"/>
    <w:basedOn w:val="DefaultParagraphFont"/>
    <w:link w:val="Subtitle"/>
    <w:uiPriority w:val="11"/>
    <w:rsid w:val="00EB0B36"/>
    <w:rPr>
      <w:rFonts w:asciiTheme="majorHAnsi" w:eastAsiaTheme="majorEastAsia" w:hAnsiTheme="majorHAnsi" w:cstheme="majorBidi"/>
      <w:i/>
      <w:iCs/>
      <w:color w:val="4F81BD" w:themeColor="accent1"/>
      <w:spacing w:val="15"/>
      <w:sz w:val="24"/>
      <w:szCs w:val="24"/>
      <w:lang w:bidi="km-KH"/>
    </w:rPr>
  </w:style>
  <w:style w:type="paragraph" w:styleId="BodyTextIndent2">
    <w:name w:val="Body Text Indent 2"/>
    <w:basedOn w:val="Normal"/>
    <w:link w:val="BodyTextIndent2Char"/>
    <w:rsid w:val="00833D9A"/>
    <w:pPr>
      <w:spacing w:after="120" w:line="480" w:lineRule="auto"/>
      <w:ind w:left="360"/>
    </w:pPr>
  </w:style>
  <w:style w:type="character" w:customStyle="1" w:styleId="BodyTextIndent2Char">
    <w:name w:val="Body Text Indent 2 Char"/>
    <w:basedOn w:val="DefaultParagraphFont"/>
    <w:link w:val="BodyTextIndent2"/>
    <w:rsid w:val="00833D9A"/>
    <w:rPr>
      <w:rFonts w:ascii="Book Antiqua" w:hAnsi="Book Antiqua"/>
      <w:kern w:val="22"/>
      <w:sz w:val="22"/>
    </w:rPr>
  </w:style>
  <w:style w:type="paragraph" w:customStyle="1" w:styleId="BodyText12">
    <w:name w:val="Body Text 12"/>
    <w:basedOn w:val="Default"/>
    <w:qFormat/>
    <w:rsid w:val="00833D9A"/>
    <w:pPr>
      <w:widowControl w:val="0"/>
      <w:spacing w:after="240"/>
    </w:pPr>
    <w:rPr>
      <w:color w:val="auto"/>
      <w:lang w:bidi="ar-SA"/>
    </w:rPr>
  </w:style>
  <w:style w:type="paragraph" w:styleId="BodyText3">
    <w:name w:val="Body Text 3"/>
    <w:basedOn w:val="Normal"/>
    <w:link w:val="BodyText3Char"/>
    <w:rsid w:val="00242604"/>
    <w:pPr>
      <w:numPr>
        <w:numId w:val="9"/>
      </w:numPr>
      <w:spacing w:after="120"/>
      <w:jc w:val="left"/>
    </w:pPr>
    <w:rPr>
      <w:rFonts w:ascii="Arial" w:hAnsi="Arial"/>
      <w:kern w:val="0"/>
      <w:szCs w:val="16"/>
    </w:rPr>
  </w:style>
  <w:style w:type="character" w:customStyle="1" w:styleId="BodyText3Char">
    <w:name w:val="Body Text 3 Char"/>
    <w:basedOn w:val="DefaultParagraphFont"/>
    <w:link w:val="BodyText3"/>
    <w:rsid w:val="00242604"/>
    <w:rPr>
      <w:rFonts w:ascii="Arial" w:hAnsi="Arial"/>
      <w:sz w:val="22"/>
      <w:szCs w:val="16"/>
    </w:rPr>
  </w:style>
  <w:style w:type="paragraph" w:styleId="Bibliography">
    <w:name w:val="Bibliography"/>
    <w:basedOn w:val="Normal"/>
    <w:next w:val="Normal"/>
    <w:uiPriority w:val="37"/>
    <w:semiHidden/>
    <w:unhideWhenUsed/>
    <w:rsid w:val="006044E7"/>
  </w:style>
  <w:style w:type="paragraph" w:styleId="BlockText">
    <w:name w:val="Block Text"/>
    <w:basedOn w:val="Normal"/>
    <w:rsid w:val="006044E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6044E7"/>
    <w:pPr>
      <w:spacing w:after="120" w:line="480" w:lineRule="auto"/>
    </w:pPr>
  </w:style>
  <w:style w:type="character" w:customStyle="1" w:styleId="BodyText2Char">
    <w:name w:val="Body Text 2 Char"/>
    <w:basedOn w:val="DefaultParagraphFont"/>
    <w:link w:val="BodyText2"/>
    <w:rsid w:val="006044E7"/>
    <w:rPr>
      <w:rFonts w:ascii="Book Antiqua" w:hAnsi="Book Antiqua"/>
      <w:kern w:val="22"/>
      <w:sz w:val="22"/>
    </w:rPr>
  </w:style>
  <w:style w:type="paragraph" w:styleId="BodyTextFirstIndent">
    <w:name w:val="Body Text First Indent"/>
    <w:basedOn w:val="BodyText"/>
    <w:link w:val="BodyTextFirstIndentChar"/>
    <w:rsid w:val="006044E7"/>
    <w:pPr>
      <w:autoSpaceDE/>
      <w:autoSpaceDN/>
      <w:adjustRightInd/>
      <w:spacing w:after="240"/>
      <w:ind w:firstLine="360"/>
      <w:jc w:val="both"/>
    </w:pPr>
    <w:rPr>
      <w:rFonts w:ascii="Book Antiqua" w:hAnsi="Book Antiqua" w:cs="Times New Roman"/>
      <w:kern w:val="22"/>
      <w:szCs w:val="24"/>
      <w:lang w:bidi="ar-SA"/>
    </w:rPr>
  </w:style>
  <w:style w:type="character" w:customStyle="1" w:styleId="BodyTextFirstIndentChar">
    <w:name w:val="Body Text First Indent Char"/>
    <w:basedOn w:val="BodyTextChar"/>
    <w:link w:val="BodyTextFirstIndent"/>
    <w:rsid w:val="006044E7"/>
    <w:rPr>
      <w:rFonts w:ascii="Book Antiqua" w:hAnsi="Book Antiqua" w:cs="Calibri"/>
      <w:kern w:val="22"/>
      <w:sz w:val="22"/>
      <w:szCs w:val="22"/>
      <w:lang w:bidi="km-KH"/>
    </w:rPr>
  </w:style>
  <w:style w:type="paragraph" w:styleId="BodyTextIndent">
    <w:name w:val="Body Text Indent"/>
    <w:basedOn w:val="Normal"/>
    <w:link w:val="BodyTextIndentChar"/>
    <w:rsid w:val="006044E7"/>
    <w:pPr>
      <w:spacing w:after="120"/>
      <w:ind w:left="360"/>
    </w:pPr>
  </w:style>
  <w:style w:type="character" w:customStyle="1" w:styleId="BodyTextIndentChar">
    <w:name w:val="Body Text Indent Char"/>
    <w:basedOn w:val="DefaultParagraphFont"/>
    <w:link w:val="BodyTextIndent"/>
    <w:rsid w:val="006044E7"/>
    <w:rPr>
      <w:rFonts w:ascii="Book Antiqua" w:hAnsi="Book Antiqua"/>
      <w:kern w:val="22"/>
      <w:sz w:val="22"/>
    </w:rPr>
  </w:style>
  <w:style w:type="paragraph" w:styleId="BodyTextFirstIndent2">
    <w:name w:val="Body Text First Indent 2"/>
    <w:basedOn w:val="BodyTextIndent"/>
    <w:link w:val="BodyTextFirstIndent2Char"/>
    <w:rsid w:val="006044E7"/>
    <w:pPr>
      <w:spacing w:after="240"/>
      <w:ind w:firstLine="360"/>
    </w:pPr>
  </w:style>
  <w:style w:type="character" w:customStyle="1" w:styleId="BodyTextFirstIndent2Char">
    <w:name w:val="Body Text First Indent 2 Char"/>
    <w:basedOn w:val="BodyTextIndentChar"/>
    <w:link w:val="BodyTextFirstIndent2"/>
    <w:rsid w:val="006044E7"/>
    <w:rPr>
      <w:rFonts w:ascii="Book Antiqua" w:hAnsi="Book Antiqua"/>
      <w:kern w:val="22"/>
      <w:sz w:val="22"/>
    </w:rPr>
  </w:style>
  <w:style w:type="paragraph" w:styleId="Closing">
    <w:name w:val="Closing"/>
    <w:basedOn w:val="Normal"/>
    <w:link w:val="ClosingChar"/>
    <w:rsid w:val="006044E7"/>
    <w:pPr>
      <w:spacing w:after="0"/>
      <w:ind w:left="4320"/>
    </w:pPr>
  </w:style>
  <w:style w:type="character" w:customStyle="1" w:styleId="ClosingChar">
    <w:name w:val="Closing Char"/>
    <w:basedOn w:val="DefaultParagraphFont"/>
    <w:link w:val="Closing"/>
    <w:rsid w:val="006044E7"/>
    <w:rPr>
      <w:rFonts w:ascii="Book Antiqua" w:hAnsi="Book Antiqua"/>
      <w:kern w:val="22"/>
      <w:sz w:val="22"/>
    </w:rPr>
  </w:style>
  <w:style w:type="paragraph" w:styleId="Date">
    <w:name w:val="Date"/>
    <w:basedOn w:val="Normal"/>
    <w:next w:val="Normal"/>
    <w:link w:val="DateChar"/>
    <w:rsid w:val="006044E7"/>
  </w:style>
  <w:style w:type="character" w:customStyle="1" w:styleId="DateChar">
    <w:name w:val="Date Char"/>
    <w:basedOn w:val="DefaultParagraphFont"/>
    <w:link w:val="Date"/>
    <w:rsid w:val="006044E7"/>
    <w:rPr>
      <w:rFonts w:ascii="Book Antiqua" w:hAnsi="Book Antiqua"/>
      <w:kern w:val="22"/>
      <w:sz w:val="22"/>
    </w:rPr>
  </w:style>
  <w:style w:type="paragraph" w:styleId="DocumentMap">
    <w:name w:val="Document Map"/>
    <w:basedOn w:val="Normal"/>
    <w:link w:val="DocumentMapChar"/>
    <w:rsid w:val="006044E7"/>
    <w:pPr>
      <w:spacing w:after="0"/>
    </w:pPr>
    <w:rPr>
      <w:rFonts w:ascii="Tahoma" w:hAnsi="Tahoma" w:cs="Tahoma"/>
      <w:sz w:val="16"/>
      <w:szCs w:val="16"/>
    </w:rPr>
  </w:style>
  <w:style w:type="character" w:customStyle="1" w:styleId="DocumentMapChar">
    <w:name w:val="Document Map Char"/>
    <w:basedOn w:val="DefaultParagraphFont"/>
    <w:link w:val="DocumentMap"/>
    <w:rsid w:val="006044E7"/>
    <w:rPr>
      <w:rFonts w:ascii="Tahoma" w:hAnsi="Tahoma" w:cs="Tahoma"/>
      <w:kern w:val="22"/>
      <w:sz w:val="16"/>
      <w:szCs w:val="16"/>
    </w:rPr>
  </w:style>
  <w:style w:type="paragraph" w:styleId="E-mailSignature">
    <w:name w:val="E-mail Signature"/>
    <w:basedOn w:val="Normal"/>
    <w:link w:val="E-mailSignatureChar"/>
    <w:rsid w:val="006044E7"/>
    <w:pPr>
      <w:spacing w:after="0"/>
    </w:pPr>
  </w:style>
  <w:style w:type="character" w:customStyle="1" w:styleId="E-mailSignatureChar">
    <w:name w:val="E-mail Signature Char"/>
    <w:basedOn w:val="DefaultParagraphFont"/>
    <w:link w:val="E-mailSignature"/>
    <w:rsid w:val="006044E7"/>
    <w:rPr>
      <w:rFonts w:ascii="Book Antiqua" w:hAnsi="Book Antiqua"/>
      <w:kern w:val="22"/>
      <w:sz w:val="22"/>
    </w:rPr>
  </w:style>
  <w:style w:type="paragraph" w:styleId="EndnoteText">
    <w:name w:val="endnote text"/>
    <w:basedOn w:val="Normal"/>
    <w:link w:val="EndnoteTextChar"/>
    <w:rsid w:val="006044E7"/>
    <w:pPr>
      <w:spacing w:after="0"/>
    </w:pPr>
    <w:rPr>
      <w:sz w:val="20"/>
      <w:szCs w:val="20"/>
    </w:rPr>
  </w:style>
  <w:style w:type="character" w:customStyle="1" w:styleId="EndnoteTextChar">
    <w:name w:val="Endnote Text Char"/>
    <w:basedOn w:val="DefaultParagraphFont"/>
    <w:link w:val="EndnoteText"/>
    <w:rsid w:val="006044E7"/>
    <w:rPr>
      <w:rFonts w:ascii="Book Antiqua" w:hAnsi="Book Antiqua"/>
      <w:kern w:val="22"/>
      <w:sz w:val="20"/>
      <w:szCs w:val="20"/>
    </w:rPr>
  </w:style>
  <w:style w:type="paragraph" w:styleId="EnvelopeAddress">
    <w:name w:val="envelope address"/>
    <w:basedOn w:val="Normal"/>
    <w:rsid w:val="006044E7"/>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rsid w:val="006044E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rsid w:val="006044E7"/>
    <w:pPr>
      <w:spacing w:after="0"/>
    </w:pPr>
    <w:rPr>
      <w:i/>
      <w:iCs/>
    </w:rPr>
  </w:style>
  <w:style w:type="character" w:customStyle="1" w:styleId="HTMLAddressChar">
    <w:name w:val="HTML Address Char"/>
    <w:basedOn w:val="DefaultParagraphFont"/>
    <w:link w:val="HTMLAddress"/>
    <w:rsid w:val="006044E7"/>
    <w:rPr>
      <w:rFonts w:ascii="Book Antiqua" w:hAnsi="Book Antiqua"/>
      <w:i/>
      <w:iCs/>
      <w:kern w:val="22"/>
      <w:sz w:val="22"/>
    </w:rPr>
  </w:style>
  <w:style w:type="paragraph" w:styleId="HTMLPreformatted">
    <w:name w:val="HTML Preformatted"/>
    <w:basedOn w:val="Normal"/>
    <w:link w:val="HTMLPreformattedChar"/>
    <w:rsid w:val="006044E7"/>
    <w:pPr>
      <w:spacing w:after="0"/>
    </w:pPr>
    <w:rPr>
      <w:rFonts w:ascii="Consolas" w:hAnsi="Consolas"/>
      <w:sz w:val="20"/>
      <w:szCs w:val="20"/>
    </w:rPr>
  </w:style>
  <w:style w:type="character" w:customStyle="1" w:styleId="HTMLPreformattedChar">
    <w:name w:val="HTML Preformatted Char"/>
    <w:basedOn w:val="DefaultParagraphFont"/>
    <w:link w:val="HTMLPreformatted"/>
    <w:rsid w:val="006044E7"/>
    <w:rPr>
      <w:rFonts w:ascii="Consolas" w:hAnsi="Consolas"/>
      <w:kern w:val="22"/>
      <w:sz w:val="20"/>
      <w:szCs w:val="20"/>
    </w:rPr>
  </w:style>
  <w:style w:type="paragraph" w:styleId="Index1">
    <w:name w:val="index 1"/>
    <w:basedOn w:val="Normal"/>
    <w:next w:val="Normal"/>
    <w:autoRedefine/>
    <w:rsid w:val="006044E7"/>
    <w:pPr>
      <w:spacing w:after="0"/>
      <w:ind w:left="220" w:hanging="220"/>
    </w:pPr>
  </w:style>
  <w:style w:type="paragraph" w:styleId="Index2">
    <w:name w:val="index 2"/>
    <w:basedOn w:val="Normal"/>
    <w:next w:val="Normal"/>
    <w:autoRedefine/>
    <w:rsid w:val="006044E7"/>
    <w:pPr>
      <w:spacing w:after="0"/>
      <w:ind w:left="440" w:hanging="220"/>
    </w:pPr>
  </w:style>
  <w:style w:type="paragraph" w:styleId="Index3">
    <w:name w:val="index 3"/>
    <w:basedOn w:val="Normal"/>
    <w:next w:val="Normal"/>
    <w:autoRedefine/>
    <w:rsid w:val="006044E7"/>
    <w:pPr>
      <w:spacing w:after="0"/>
      <w:ind w:left="660" w:hanging="220"/>
    </w:pPr>
  </w:style>
  <w:style w:type="paragraph" w:styleId="Index4">
    <w:name w:val="index 4"/>
    <w:basedOn w:val="Normal"/>
    <w:next w:val="Normal"/>
    <w:autoRedefine/>
    <w:rsid w:val="006044E7"/>
    <w:pPr>
      <w:spacing w:after="0"/>
      <w:ind w:left="880" w:hanging="220"/>
    </w:pPr>
  </w:style>
  <w:style w:type="paragraph" w:styleId="Index5">
    <w:name w:val="index 5"/>
    <w:basedOn w:val="Normal"/>
    <w:next w:val="Normal"/>
    <w:autoRedefine/>
    <w:rsid w:val="006044E7"/>
    <w:pPr>
      <w:spacing w:after="0"/>
      <w:ind w:left="1100" w:hanging="220"/>
    </w:pPr>
  </w:style>
  <w:style w:type="paragraph" w:styleId="Index6">
    <w:name w:val="index 6"/>
    <w:basedOn w:val="Normal"/>
    <w:next w:val="Normal"/>
    <w:autoRedefine/>
    <w:rsid w:val="006044E7"/>
    <w:pPr>
      <w:spacing w:after="0"/>
      <w:ind w:left="1320" w:hanging="220"/>
    </w:pPr>
  </w:style>
  <w:style w:type="paragraph" w:styleId="Index7">
    <w:name w:val="index 7"/>
    <w:basedOn w:val="Normal"/>
    <w:next w:val="Normal"/>
    <w:autoRedefine/>
    <w:rsid w:val="006044E7"/>
    <w:pPr>
      <w:spacing w:after="0"/>
      <w:ind w:left="1540" w:hanging="220"/>
    </w:pPr>
  </w:style>
  <w:style w:type="paragraph" w:styleId="Index8">
    <w:name w:val="index 8"/>
    <w:basedOn w:val="Normal"/>
    <w:next w:val="Normal"/>
    <w:autoRedefine/>
    <w:rsid w:val="006044E7"/>
    <w:pPr>
      <w:spacing w:after="0"/>
      <w:ind w:left="1760" w:hanging="220"/>
    </w:pPr>
  </w:style>
  <w:style w:type="paragraph" w:styleId="Index9">
    <w:name w:val="index 9"/>
    <w:basedOn w:val="Normal"/>
    <w:next w:val="Normal"/>
    <w:autoRedefine/>
    <w:rsid w:val="006044E7"/>
    <w:pPr>
      <w:spacing w:after="0"/>
      <w:ind w:left="1980" w:hanging="220"/>
    </w:pPr>
  </w:style>
  <w:style w:type="paragraph" w:styleId="IndexHeading">
    <w:name w:val="index heading"/>
    <w:basedOn w:val="Normal"/>
    <w:next w:val="Index1"/>
    <w:rsid w:val="006044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44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44E7"/>
    <w:rPr>
      <w:rFonts w:ascii="Book Antiqua" w:hAnsi="Book Antiqua"/>
      <w:b/>
      <w:bCs/>
      <w:i/>
      <w:iCs/>
      <w:color w:val="4F81BD" w:themeColor="accent1"/>
      <w:kern w:val="22"/>
      <w:sz w:val="22"/>
    </w:rPr>
  </w:style>
  <w:style w:type="paragraph" w:styleId="List">
    <w:name w:val="List"/>
    <w:basedOn w:val="Normal"/>
    <w:rsid w:val="006044E7"/>
    <w:pPr>
      <w:ind w:left="360" w:hanging="360"/>
      <w:contextualSpacing/>
    </w:pPr>
  </w:style>
  <w:style w:type="paragraph" w:styleId="List2">
    <w:name w:val="List 2"/>
    <w:basedOn w:val="Normal"/>
    <w:rsid w:val="006044E7"/>
    <w:pPr>
      <w:ind w:left="720" w:hanging="360"/>
      <w:contextualSpacing/>
    </w:pPr>
  </w:style>
  <w:style w:type="paragraph" w:styleId="List3">
    <w:name w:val="List 3"/>
    <w:basedOn w:val="Normal"/>
    <w:rsid w:val="006044E7"/>
    <w:pPr>
      <w:ind w:left="1080" w:hanging="360"/>
      <w:contextualSpacing/>
    </w:pPr>
  </w:style>
  <w:style w:type="paragraph" w:styleId="List4">
    <w:name w:val="List 4"/>
    <w:basedOn w:val="Normal"/>
    <w:rsid w:val="006044E7"/>
    <w:pPr>
      <w:ind w:left="1440" w:hanging="360"/>
      <w:contextualSpacing/>
    </w:pPr>
  </w:style>
  <w:style w:type="paragraph" w:styleId="List5">
    <w:name w:val="List 5"/>
    <w:basedOn w:val="Normal"/>
    <w:rsid w:val="006044E7"/>
    <w:pPr>
      <w:ind w:left="1800" w:hanging="360"/>
      <w:contextualSpacing/>
    </w:pPr>
  </w:style>
  <w:style w:type="paragraph" w:styleId="ListBullet2">
    <w:name w:val="List Bullet 2"/>
    <w:basedOn w:val="Normal"/>
    <w:rsid w:val="006044E7"/>
    <w:pPr>
      <w:numPr>
        <w:numId w:val="12"/>
      </w:numPr>
      <w:contextualSpacing/>
    </w:pPr>
  </w:style>
  <w:style w:type="paragraph" w:styleId="ListBullet3">
    <w:name w:val="List Bullet 3"/>
    <w:basedOn w:val="Normal"/>
    <w:rsid w:val="006044E7"/>
    <w:pPr>
      <w:numPr>
        <w:numId w:val="13"/>
      </w:numPr>
      <w:contextualSpacing/>
    </w:pPr>
  </w:style>
  <w:style w:type="paragraph" w:styleId="ListBullet4">
    <w:name w:val="List Bullet 4"/>
    <w:basedOn w:val="Normal"/>
    <w:rsid w:val="006044E7"/>
    <w:pPr>
      <w:numPr>
        <w:numId w:val="14"/>
      </w:numPr>
      <w:contextualSpacing/>
    </w:pPr>
  </w:style>
  <w:style w:type="paragraph" w:styleId="ListBullet5">
    <w:name w:val="List Bullet 5"/>
    <w:basedOn w:val="Normal"/>
    <w:rsid w:val="006044E7"/>
    <w:pPr>
      <w:numPr>
        <w:numId w:val="15"/>
      </w:numPr>
      <w:contextualSpacing/>
    </w:pPr>
  </w:style>
  <w:style w:type="paragraph" w:styleId="ListContinue">
    <w:name w:val="List Continue"/>
    <w:basedOn w:val="Normal"/>
    <w:rsid w:val="006044E7"/>
    <w:pPr>
      <w:spacing w:after="120"/>
      <w:ind w:left="360"/>
      <w:contextualSpacing/>
    </w:pPr>
  </w:style>
  <w:style w:type="paragraph" w:styleId="ListContinue2">
    <w:name w:val="List Continue 2"/>
    <w:basedOn w:val="Normal"/>
    <w:rsid w:val="006044E7"/>
    <w:pPr>
      <w:spacing w:after="120"/>
      <w:ind w:left="720"/>
      <w:contextualSpacing/>
    </w:pPr>
  </w:style>
  <w:style w:type="paragraph" w:styleId="ListContinue3">
    <w:name w:val="List Continue 3"/>
    <w:basedOn w:val="Normal"/>
    <w:rsid w:val="006044E7"/>
    <w:pPr>
      <w:spacing w:after="120"/>
      <w:ind w:left="1080"/>
      <w:contextualSpacing/>
    </w:pPr>
  </w:style>
  <w:style w:type="paragraph" w:styleId="ListContinue4">
    <w:name w:val="List Continue 4"/>
    <w:basedOn w:val="Normal"/>
    <w:rsid w:val="006044E7"/>
    <w:pPr>
      <w:spacing w:after="120"/>
      <w:ind w:left="1440"/>
      <w:contextualSpacing/>
    </w:pPr>
  </w:style>
  <w:style w:type="paragraph" w:styleId="ListContinue5">
    <w:name w:val="List Continue 5"/>
    <w:basedOn w:val="Normal"/>
    <w:rsid w:val="006044E7"/>
    <w:pPr>
      <w:spacing w:after="120"/>
      <w:ind w:left="1800"/>
      <w:contextualSpacing/>
    </w:pPr>
  </w:style>
  <w:style w:type="paragraph" w:styleId="ListNumber">
    <w:name w:val="List Number"/>
    <w:basedOn w:val="Normal"/>
    <w:rsid w:val="006044E7"/>
    <w:pPr>
      <w:numPr>
        <w:numId w:val="16"/>
      </w:numPr>
      <w:contextualSpacing/>
    </w:pPr>
  </w:style>
  <w:style w:type="paragraph" w:styleId="ListNumber2">
    <w:name w:val="List Number 2"/>
    <w:basedOn w:val="Normal"/>
    <w:rsid w:val="006044E7"/>
    <w:pPr>
      <w:numPr>
        <w:numId w:val="17"/>
      </w:numPr>
      <w:contextualSpacing/>
    </w:pPr>
  </w:style>
  <w:style w:type="paragraph" w:styleId="ListNumber3">
    <w:name w:val="List Number 3"/>
    <w:basedOn w:val="Normal"/>
    <w:rsid w:val="006044E7"/>
    <w:pPr>
      <w:numPr>
        <w:numId w:val="18"/>
      </w:numPr>
      <w:contextualSpacing/>
    </w:pPr>
  </w:style>
  <w:style w:type="paragraph" w:styleId="ListNumber4">
    <w:name w:val="List Number 4"/>
    <w:basedOn w:val="Normal"/>
    <w:rsid w:val="006044E7"/>
    <w:pPr>
      <w:numPr>
        <w:numId w:val="19"/>
      </w:numPr>
      <w:contextualSpacing/>
    </w:pPr>
  </w:style>
  <w:style w:type="paragraph" w:styleId="ListNumber5">
    <w:name w:val="List Number 5"/>
    <w:basedOn w:val="Normal"/>
    <w:rsid w:val="006044E7"/>
    <w:pPr>
      <w:numPr>
        <w:numId w:val="20"/>
      </w:numPr>
      <w:contextualSpacing/>
    </w:pPr>
  </w:style>
  <w:style w:type="paragraph" w:styleId="MacroText">
    <w:name w:val="macro"/>
    <w:link w:val="MacroTextChar"/>
    <w:rsid w:val="006044E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kern w:val="22"/>
      <w:sz w:val="20"/>
      <w:szCs w:val="20"/>
    </w:rPr>
  </w:style>
  <w:style w:type="character" w:customStyle="1" w:styleId="MacroTextChar">
    <w:name w:val="Macro Text Char"/>
    <w:basedOn w:val="DefaultParagraphFont"/>
    <w:link w:val="MacroText"/>
    <w:rsid w:val="006044E7"/>
    <w:rPr>
      <w:rFonts w:ascii="Consolas" w:hAnsi="Consolas"/>
      <w:kern w:val="22"/>
      <w:sz w:val="20"/>
      <w:szCs w:val="20"/>
    </w:rPr>
  </w:style>
  <w:style w:type="paragraph" w:styleId="MessageHeader">
    <w:name w:val="Message Header"/>
    <w:basedOn w:val="Normal"/>
    <w:link w:val="MessageHeaderChar"/>
    <w:rsid w:val="006044E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6044E7"/>
    <w:rPr>
      <w:rFonts w:asciiTheme="majorHAnsi" w:eastAsiaTheme="majorEastAsia" w:hAnsiTheme="majorHAnsi" w:cstheme="majorBidi"/>
      <w:kern w:val="22"/>
      <w:shd w:val="pct20" w:color="auto" w:fill="auto"/>
    </w:rPr>
  </w:style>
  <w:style w:type="paragraph" w:styleId="NoSpacing">
    <w:name w:val="No Spacing"/>
    <w:uiPriority w:val="1"/>
    <w:qFormat/>
    <w:rsid w:val="006044E7"/>
    <w:pPr>
      <w:jc w:val="both"/>
    </w:pPr>
    <w:rPr>
      <w:rFonts w:ascii="Book Antiqua" w:hAnsi="Book Antiqua"/>
      <w:kern w:val="22"/>
      <w:sz w:val="22"/>
    </w:rPr>
  </w:style>
  <w:style w:type="paragraph" w:styleId="NormalIndent">
    <w:name w:val="Normal Indent"/>
    <w:basedOn w:val="Normal"/>
    <w:rsid w:val="006044E7"/>
    <w:pPr>
      <w:ind w:left="720"/>
    </w:pPr>
  </w:style>
  <w:style w:type="paragraph" w:styleId="NoteHeading">
    <w:name w:val="Note Heading"/>
    <w:basedOn w:val="Normal"/>
    <w:next w:val="Normal"/>
    <w:link w:val="NoteHeadingChar"/>
    <w:rsid w:val="006044E7"/>
    <w:pPr>
      <w:spacing w:after="0"/>
    </w:pPr>
  </w:style>
  <w:style w:type="character" w:customStyle="1" w:styleId="NoteHeadingChar">
    <w:name w:val="Note Heading Char"/>
    <w:basedOn w:val="DefaultParagraphFont"/>
    <w:link w:val="NoteHeading"/>
    <w:rsid w:val="006044E7"/>
    <w:rPr>
      <w:rFonts w:ascii="Book Antiqua" w:hAnsi="Book Antiqua"/>
      <w:kern w:val="22"/>
      <w:sz w:val="22"/>
    </w:rPr>
  </w:style>
  <w:style w:type="paragraph" w:styleId="Quote">
    <w:name w:val="Quote"/>
    <w:basedOn w:val="Normal"/>
    <w:next w:val="Normal"/>
    <w:link w:val="QuoteChar"/>
    <w:uiPriority w:val="29"/>
    <w:qFormat/>
    <w:rsid w:val="006044E7"/>
    <w:rPr>
      <w:i/>
      <w:iCs/>
      <w:color w:val="000000" w:themeColor="text1"/>
    </w:rPr>
  </w:style>
  <w:style w:type="character" w:customStyle="1" w:styleId="QuoteChar">
    <w:name w:val="Quote Char"/>
    <w:basedOn w:val="DefaultParagraphFont"/>
    <w:link w:val="Quote"/>
    <w:uiPriority w:val="29"/>
    <w:rsid w:val="006044E7"/>
    <w:rPr>
      <w:rFonts w:ascii="Book Antiqua" w:hAnsi="Book Antiqua"/>
      <w:i/>
      <w:iCs/>
      <w:color w:val="000000" w:themeColor="text1"/>
      <w:kern w:val="22"/>
      <w:sz w:val="22"/>
    </w:rPr>
  </w:style>
  <w:style w:type="paragraph" w:styleId="Salutation">
    <w:name w:val="Salutation"/>
    <w:basedOn w:val="Normal"/>
    <w:next w:val="Normal"/>
    <w:link w:val="SalutationChar"/>
    <w:rsid w:val="006044E7"/>
  </w:style>
  <w:style w:type="character" w:customStyle="1" w:styleId="SalutationChar">
    <w:name w:val="Salutation Char"/>
    <w:basedOn w:val="DefaultParagraphFont"/>
    <w:link w:val="Salutation"/>
    <w:rsid w:val="006044E7"/>
    <w:rPr>
      <w:rFonts w:ascii="Book Antiqua" w:hAnsi="Book Antiqua"/>
      <w:kern w:val="22"/>
      <w:sz w:val="22"/>
    </w:rPr>
  </w:style>
  <w:style w:type="paragraph" w:styleId="TableofAuthorities">
    <w:name w:val="table of authorities"/>
    <w:basedOn w:val="Normal"/>
    <w:next w:val="Normal"/>
    <w:rsid w:val="006044E7"/>
    <w:pPr>
      <w:spacing w:after="0"/>
      <w:ind w:left="220" w:hanging="220"/>
    </w:pPr>
  </w:style>
  <w:style w:type="paragraph" w:styleId="TOAHeading">
    <w:name w:val="toa heading"/>
    <w:basedOn w:val="Normal"/>
    <w:next w:val="Normal"/>
    <w:rsid w:val="006044E7"/>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6044E7"/>
    <w:pPr>
      <w:keepLines/>
      <w:numPr>
        <w:numId w:val="0"/>
      </w:numPr>
      <w:spacing w:after="0"/>
      <w:jc w:val="both"/>
      <w:outlineLvl w:val="9"/>
    </w:pPr>
    <w:rPr>
      <w:rFonts w:asciiTheme="majorHAnsi" w:eastAsiaTheme="majorEastAsia" w:hAnsiTheme="majorHAnsi" w:cstheme="majorBidi"/>
      <w:caps w:val="0"/>
      <w:color w:val="365F91" w:themeColor="accent1" w:themeShade="BF"/>
      <w:kern w:val="22"/>
      <w:szCs w:val="28"/>
    </w:rPr>
  </w:style>
  <w:style w:type="paragraph" w:customStyle="1" w:styleId="AddressLine">
    <w:name w:val="Address Line"/>
    <w:qFormat/>
    <w:rsid w:val="0095293C"/>
    <w:pPr>
      <w:spacing w:line="280" w:lineRule="exact"/>
      <w:jc w:val="center"/>
    </w:pPr>
    <w:rPr>
      <w:rFonts w:ascii="Arial" w:hAnsi="Arial" w:cs="Arial"/>
      <w:color w:val="262626" w:themeColor="text1" w:themeTint="D9"/>
      <w:kern w:val="22"/>
      <w:sz w:val="20"/>
      <w:szCs w:val="22"/>
    </w:rPr>
  </w:style>
  <w:style w:type="paragraph" w:customStyle="1" w:styleId="Ref">
    <w:name w:val="Ref"/>
    <w:aliases w:val="de nota al pie,Fußnotenzeichen DISS,(NECG) Footnote Reference,fr,Footnote Ref in FtNote,ftref Char Char,fr Char Char,ftref Char1 Char Char,fr Char Char Char"/>
    <w:basedOn w:val="Normal"/>
    <w:link w:val="FootnoteReference"/>
    <w:rsid w:val="00781803"/>
    <w:pPr>
      <w:spacing w:after="160" w:line="240" w:lineRule="exact"/>
      <w:jc w:val="left"/>
    </w:pPr>
    <w:rPr>
      <w:rFonts w:ascii="Times New Roman" w:hAnsi="Times New Roman"/>
      <w:kern w:val="0"/>
      <w:sz w:val="24"/>
      <w:vertAlign w:val="superscript"/>
    </w:rPr>
  </w:style>
  <w:style w:type="character" w:customStyle="1" w:styleId="ListParagraphChar">
    <w:name w:val="List Paragraph Char"/>
    <w:link w:val="ListParagraph"/>
    <w:uiPriority w:val="99"/>
    <w:locked/>
    <w:rsid w:val="00781803"/>
    <w:rPr>
      <w:rFonts w:ascii="Book Antiqua" w:hAnsi="Book Antiqua"/>
      <w:kern w:val="22"/>
      <w:sz w:val="22"/>
    </w:rPr>
  </w:style>
  <w:style w:type="paragraph" w:customStyle="1" w:styleId="CaptionNew">
    <w:name w:val="Caption_New"/>
    <w:qFormat/>
    <w:rsid w:val="00781803"/>
    <w:pPr>
      <w:keepNext/>
      <w:tabs>
        <w:tab w:val="left" w:pos="1440"/>
      </w:tabs>
      <w:spacing w:after="240"/>
      <w:ind w:left="1440" w:hanging="1440"/>
    </w:pPr>
    <w:rPr>
      <w:rFonts w:ascii="Arial" w:eastAsiaTheme="minorHAnsi" w:hAnsi="Arial" w:cs="Arial"/>
      <w:b/>
      <w:noProof/>
      <w:color w:val="005E73"/>
      <w:sz w:val="22"/>
      <w:szCs w:val="22"/>
    </w:rPr>
  </w:style>
  <w:style w:type="character" w:customStyle="1" w:styleId="apple-converted-space">
    <w:name w:val="apple-converted-space"/>
    <w:basedOn w:val="DefaultParagraphFont"/>
    <w:rsid w:val="00781803"/>
  </w:style>
  <w:style w:type="character" w:customStyle="1" w:styleId="CaptionChar1">
    <w:name w:val="Caption Char1"/>
    <w:aliases w:val="Caption Char Char"/>
    <w:rsid w:val="00781803"/>
    <w:rPr>
      <w:rFonts w:ascii="Arial" w:eastAsia="Times New Roman" w:hAnsi="Arial" w:cs="Arial"/>
      <w:b/>
      <w:bCs/>
      <w:color w:val="005E73"/>
      <w:szCs w:val="18"/>
      <w:lang w:bidi="ar-SA"/>
    </w:rPr>
  </w:style>
  <w:style w:type="character" w:styleId="Strong">
    <w:name w:val="Strong"/>
    <w:basedOn w:val="DefaultParagraphFont"/>
    <w:uiPriority w:val="22"/>
    <w:qFormat/>
    <w:rsid w:val="00781803"/>
    <w:rPr>
      <w:b/>
      <w:bCs/>
    </w:rPr>
  </w:style>
  <w:style w:type="character" w:customStyle="1" w:styleId="NormalWebChar1">
    <w:name w:val="Normal (Web) Char1"/>
    <w:aliases w:val="Normal (Web)1 Char,Normal (Web) Char Char Char1,Normal (Web) Char Char Char Char,Normal (Web) Char Char1,Normal (Web) Char Char Char Char Char Char Char Char Char Char Char,Normal (Web)4 Char"/>
    <w:link w:val="NormalWeb"/>
    <w:uiPriority w:val="99"/>
    <w:rsid w:val="00D74AE2"/>
    <w:rPr>
      <w:lang w:bidi="km-KH"/>
    </w:rPr>
  </w:style>
  <w:style w:type="paragraph" w:customStyle="1" w:styleId="yiv7003293328msonormal">
    <w:name w:val="yiv7003293328msonormal"/>
    <w:basedOn w:val="Normal"/>
    <w:rsid w:val="000D539D"/>
    <w:pPr>
      <w:spacing w:before="100" w:beforeAutospacing="1" w:after="100" w:afterAutospacing="1"/>
      <w:jc w:val="left"/>
    </w:pPr>
    <w:rPr>
      <w:rFonts w:ascii="Times New Roman" w:hAnsi="Times New Roman"/>
      <w:kern w:val="0"/>
      <w:sz w:val="24"/>
      <w:lang w:bidi="km-KH"/>
    </w:rPr>
  </w:style>
  <w:style w:type="character" w:customStyle="1" w:styleId="CharAttribute0">
    <w:name w:val="CharAttribute0"/>
    <w:rsid w:val="00065F19"/>
    <w:rPr>
      <w:rFonts w:ascii="Times New Roman" w:eastAsia="Times New Roman"/>
      <w:sz w:val="24"/>
    </w:rPr>
  </w:style>
  <w:style w:type="character" w:styleId="EndnoteReference">
    <w:name w:val="endnote reference"/>
    <w:rsid w:val="00065F19"/>
    <w:rPr>
      <w:vertAlign w:val="superscript"/>
    </w:rPr>
  </w:style>
  <w:style w:type="paragraph" w:customStyle="1" w:styleId="FootnoteText1">
    <w:name w:val="Footnote Text 1"/>
    <w:basedOn w:val="Normal"/>
    <w:qFormat/>
    <w:rsid w:val="00065F19"/>
    <w:pPr>
      <w:spacing w:before="80" w:after="0"/>
      <w:ind w:left="270" w:hanging="270"/>
    </w:pPr>
    <w:rPr>
      <w:rFonts w:ascii="Arial" w:hAnsi="Arial"/>
      <w:sz w:val="16"/>
      <w:szCs w:val="20"/>
      <w:lang w:val="en-GB"/>
    </w:rPr>
  </w:style>
  <w:style w:type="paragraph" w:customStyle="1" w:styleId="yiv2195589274msolistparagraph">
    <w:name w:val="yiv2195589274msolistparagraph"/>
    <w:basedOn w:val="Normal"/>
    <w:rsid w:val="004C5A20"/>
    <w:pPr>
      <w:spacing w:before="100" w:beforeAutospacing="1" w:after="100" w:afterAutospacing="1"/>
      <w:jc w:val="left"/>
    </w:pPr>
    <w:rPr>
      <w:rFonts w:ascii="Times New Roman" w:hAnsi="Times New Roman"/>
      <w:kern w:val="0"/>
      <w:sz w:val="24"/>
      <w:lang w:bidi="km-KH"/>
    </w:rPr>
  </w:style>
  <w:style w:type="paragraph" w:customStyle="1" w:styleId="yiv0323750656msolistparagraph">
    <w:name w:val="yiv0323750656msolistparagraph"/>
    <w:basedOn w:val="Normal"/>
    <w:rsid w:val="00D4548E"/>
    <w:pPr>
      <w:spacing w:before="100" w:beforeAutospacing="1" w:after="100" w:afterAutospacing="1"/>
      <w:jc w:val="left"/>
    </w:pPr>
    <w:rPr>
      <w:rFonts w:ascii="Times New Roman" w:hAnsi="Times New Roman"/>
      <w:kern w:val="0"/>
      <w:sz w:val="24"/>
      <w:lang w:bidi="km-KH"/>
    </w:rPr>
  </w:style>
  <w:style w:type="paragraph" w:customStyle="1" w:styleId="NormalIndent1">
    <w:name w:val="Normal Indent1"/>
    <w:basedOn w:val="Normal"/>
    <w:link w:val="NormalindentChar"/>
    <w:uiPriority w:val="99"/>
    <w:rsid w:val="00406097"/>
    <w:pPr>
      <w:spacing w:line="280" w:lineRule="atLeast"/>
      <w:ind w:left="567"/>
      <w:jc w:val="left"/>
    </w:pPr>
    <w:rPr>
      <w:rFonts w:ascii="Times New Roman" w:hAnsi="Times New Roman"/>
      <w:kern w:val="0"/>
      <w:szCs w:val="20"/>
      <w:lang w:val="en-GB" w:eastAsia="en-GB"/>
    </w:rPr>
  </w:style>
  <w:style w:type="character" w:customStyle="1" w:styleId="NormalindentChar">
    <w:name w:val="Normal indent Char"/>
    <w:link w:val="NormalIndent1"/>
    <w:uiPriority w:val="99"/>
    <w:rsid w:val="00406097"/>
    <w:rPr>
      <w:sz w:val="22"/>
      <w:szCs w:val="20"/>
      <w:lang w:val="en-GB" w:eastAsia="en-GB"/>
    </w:rPr>
  </w:style>
  <w:style w:type="paragraph" w:customStyle="1" w:styleId="style1">
    <w:name w:val="style1"/>
    <w:basedOn w:val="Normal"/>
    <w:rsid w:val="00406097"/>
    <w:pPr>
      <w:spacing w:before="100" w:beforeAutospacing="1" w:after="100" w:afterAutospacing="1"/>
      <w:jc w:val="left"/>
    </w:pPr>
    <w:rPr>
      <w:rFonts w:ascii="Times New Roman" w:eastAsia="MS Mincho" w:hAnsi="Times New Roman"/>
      <w:kern w:val="0"/>
      <w:sz w:val="24"/>
      <w:lang w:eastAsia="ja-JP"/>
    </w:rPr>
  </w:style>
  <w:style w:type="paragraph" w:customStyle="1" w:styleId="ParaAttribute3">
    <w:name w:val="ParaAttribute3"/>
    <w:rsid w:val="00406097"/>
    <w:pPr>
      <w:widowControl w:val="0"/>
      <w:spacing w:after="200"/>
    </w:pPr>
    <w:rPr>
      <w:rFonts w:eastAsia="Batang"/>
      <w:sz w:val="20"/>
      <w:szCs w:val="20"/>
      <w:lang w:bidi="km-KH"/>
    </w:rPr>
  </w:style>
  <w:style w:type="character" w:customStyle="1" w:styleId="CharAttribute1">
    <w:name w:val="CharAttribute1"/>
    <w:rsid w:val="00406097"/>
    <w:rPr>
      <w:rFonts w:ascii="Times New Roman" w:eastAsia="Times New Roman"/>
      <w:b/>
      <w:sz w:val="24"/>
    </w:rPr>
  </w:style>
  <w:style w:type="paragraph" w:customStyle="1" w:styleId="Pa2">
    <w:name w:val="Pa2"/>
    <w:basedOn w:val="Default"/>
    <w:next w:val="Default"/>
    <w:uiPriority w:val="99"/>
    <w:rsid w:val="007B0DF2"/>
    <w:pPr>
      <w:spacing w:line="201" w:lineRule="atLeast"/>
    </w:pPr>
    <w:rPr>
      <w:rFonts w:ascii="Myriad Pro Light" w:hAnsi="Myriad Pro Light" w:cs="MoolBoran"/>
      <w:color w:val="auto"/>
    </w:rPr>
  </w:style>
  <w:style w:type="character" w:customStyle="1" w:styleId="A9">
    <w:name w:val="A9"/>
    <w:uiPriority w:val="99"/>
    <w:rsid w:val="007B0DF2"/>
    <w:rPr>
      <w:rFonts w:cs="Myriad Pro Light"/>
      <w:color w:val="000000"/>
      <w:sz w:val="21"/>
      <w:szCs w:val="21"/>
    </w:rPr>
  </w:style>
  <w:style w:type="paragraph" w:customStyle="1" w:styleId="Pa10">
    <w:name w:val="Pa10"/>
    <w:basedOn w:val="Default"/>
    <w:next w:val="Default"/>
    <w:uiPriority w:val="99"/>
    <w:rsid w:val="007B0DF2"/>
    <w:pPr>
      <w:spacing w:line="211" w:lineRule="atLeast"/>
    </w:pPr>
    <w:rPr>
      <w:rFonts w:ascii="Myriad Pro Light" w:hAnsi="Myriad Pro Light" w:cs="MoolBoran"/>
      <w:color w:val="auto"/>
    </w:rPr>
  </w:style>
  <w:style w:type="character" w:customStyle="1" w:styleId="A7">
    <w:name w:val="A7"/>
    <w:uiPriority w:val="99"/>
    <w:rsid w:val="007B0DF2"/>
    <w:rPr>
      <w:rFonts w:ascii="Myriad Pro" w:hAnsi="Myriad Pro" w:cs="Myriad Pro"/>
      <w:b/>
      <w:bCs/>
      <w:color w:val="000000"/>
      <w:sz w:val="20"/>
      <w:szCs w:val="20"/>
    </w:rPr>
  </w:style>
  <w:style w:type="paragraph" w:customStyle="1" w:styleId="Pa9">
    <w:name w:val="Pa9"/>
    <w:basedOn w:val="Default"/>
    <w:next w:val="Default"/>
    <w:uiPriority w:val="99"/>
    <w:rsid w:val="007B0DF2"/>
    <w:pPr>
      <w:spacing w:line="261" w:lineRule="atLeast"/>
    </w:pPr>
    <w:rPr>
      <w:rFonts w:ascii="Myriad Pro Light" w:hAnsi="Myriad Pro Light" w:cs="MoolBoran"/>
      <w:color w:val="auto"/>
    </w:rPr>
  </w:style>
  <w:style w:type="character" w:customStyle="1" w:styleId="A13">
    <w:name w:val="A13"/>
    <w:uiPriority w:val="99"/>
    <w:rsid w:val="001726F9"/>
    <w:rPr>
      <w:rFonts w:ascii="Myriad Pro" w:hAnsi="Myriad Pro" w:cs="Myriad Pro"/>
      <w:color w:val="000000"/>
      <w:sz w:val="14"/>
      <w:szCs w:val="14"/>
    </w:rPr>
  </w:style>
  <w:style w:type="paragraph" w:customStyle="1" w:styleId="Pa14">
    <w:name w:val="Pa14"/>
    <w:basedOn w:val="Default"/>
    <w:next w:val="Default"/>
    <w:uiPriority w:val="99"/>
    <w:rsid w:val="001726F9"/>
    <w:pPr>
      <w:spacing w:line="201" w:lineRule="atLeast"/>
    </w:pPr>
    <w:rPr>
      <w:rFonts w:ascii="Myriad Pro Light" w:hAnsi="Myriad Pro Light" w:cs="MoolBoran"/>
      <w:color w:val="auto"/>
    </w:rPr>
  </w:style>
  <w:style w:type="character" w:customStyle="1" w:styleId="A14">
    <w:name w:val="A14"/>
    <w:uiPriority w:val="99"/>
    <w:rsid w:val="00CD1DAA"/>
    <w:rPr>
      <w:rFonts w:cs="Myriad Pro"/>
      <w:color w:val="000000"/>
      <w:sz w:val="12"/>
      <w:szCs w:val="12"/>
    </w:rPr>
  </w:style>
  <w:style w:type="paragraph" w:customStyle="1" w:styleId="Pa21">
    <w:name w:val="Pa21"/>
    <w:basedOn w:val="Default"/>
    <w:next w:val="Default"/>
    <w:uiPriority w:val="99"/>
    <w:rsid w:val="00CD1DAA"/>
    <w:pPr>
      <w:spacing w:line="401" w:lineRule="atLeast"/>
    </w:pPr>
    <w:rPr>
      <w:rFonts w:ascii="Myriad Pro Light" w:hAnsi="Myriad Pro Light" w:cs="MoolBoran"/>
      <w:color w:val="auto"/>
    </w:rPr>
  </w:style>
  <w:style w:type="paragraph" w:customStyle="1" w:styleId="Pa5">
    <w:name w:val="Pa5"/>
    <w:basedOn w:val="Default"/>
    <w:next w:val="Default"/>
    <w:uiPriority w:val="99"/>
    <w:rsid w:val="00CD1DAA"/>
    <w:pPr>
      <w:spacing w:line="201" w:lineRule="atLeast"/>
    </w:pPr>
    <w:rPr>
      <w:rFonts w:ascii="Myriad Pro" w:hAnsi="Myriad Pro" w:cs="MoolBoran"/>
      <w:color w:val="auto"/>
    </w:rPr>
  </w:style>
  <w:style w:type="paragraph" w:customStyle="1" w:styleId="Pa6">
    <w:name w:val="Pa6"/>
    <w:basedOn w:val="Default"/>
    <w:next w:val="Default"/>
    <w:uiPriority w:val="99"/>
    <w:rsid w:val="00CD1DAA"/>
    <w:pPr>
      <w:spacing w:line="201" w:lineRule="atLeast"/>
    </w:pPr>
    <w:rPr>
      <w:rFonts w:ascii="Myriad Pro" w:hAnsi="Myriad Pro" w:cs="MoolBoran"/>
      <w:color w:val="auto"/>
    </w:rPr>
  </w:style>
  <w:style w:type="character" w:customStyle="1" w:styleId="A6">
    <w:name w:val="A6"/>
    <w:uiPriority w:val="99"/>
    <w:rsid w:val="00CD1DAA"/>
    <w:rPr>
      <w:rFonts w:cs="Myriad Pro"/>
      <w:i/>
      <w:iCs/>
      <w:color w:val="000000"/>
      <w:sz w:val="16"/>
      <w:szCs w:val="16"/>
    </w:rPr>
  </w:style>
  <w:style w:type="character" w:customStyle="1" w:styleId="NormalWeb2">
    <w:name w:val="Normal (Web)2"/>
    <w:aliases w:val="Normal (Web)14,Normal (Web) Char Char6,Normal (Web) Char Char Char4,Normal (Web) Char2,Normal (Web) Char Char Char Char Char Char Char Char Char Char1,Normal (Web) Char Char Char Char Char Char Char Char Char1"/>
    <w:rsid w:val="00526727"/>
    <w:rPr>
      <w:rFonts w:eastAsia="SimSun"/>
      <w:sz w:val="24"/>
      <w:szCs w:val="24"/>
      <w:lang w:val="en-US" w:eastAsia="zh-CN" w:bidi="ar-SA"/>
    </w:rPr>
  </w:style>
  <w:style w:type="table" w:styleId="TableColorful2">
    <w:name w:val="Table Colorful 2"/>
    <w:basedOn w:val="TableNormal"/>
    <w:rsid w:val="003F16C4"/>
    <w:pPr>
      <w:spacing w:after="240"/>
      <w:jc w:val="both"/>
    </w:pPr>
    <w:rPr>
      <w:sz w:val="20"/>
      <w:szCs w:val="20"/>
      <w:lang w:val="en-CA" w:eastAsia="en-C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Tabletext">
    <w:name w:val="Table text"/>
    <w:basedOn w:val="Normal"/>
    <w:rsid w:val="003F16C4"/>
    <w:pPr>
      <w:spacing w:before="60" w:after="60" w:line="200" w:lineRule="atLeast"/>
      <w:jc w:val="left"/>
    </w:pPr>
    <w:rPr>
      <w:rFonts w:ascii="Arial" w:hAnsi="Arial"/>
      <w:bCs/>
      <w:kern w:val="0"/>
      <w:sz w:val="16"/>
      <w:szCs w:val="20"/>
      <w:lang w:val="en-GB" w:eastAsia="en-GB"/>
    </w:rPr>
  </w:style>
  <w:style w:type="paragraph" w:customStyle="1" w:styleId="para-num">
    <w:name w:val="para-num"/>
    <w:basedOn w:val="Normal"/>
    <w:rsid w:val="00572402"/>
    <w:pPr>
      <w:numPr>
        <w:numId w:val="21"/>
      </w:numPr>
      <w:spacing w:after="0"/>
    </w:pPr>
    <w:rPr>
      <w:rFonts w:ascii="Arial" w:hAnsi="Arial" w:cs="Arial"/>
      <w:snapToGrid w:val="0"/>
      <w:kern w:val="0"/>
      <w:szCs w:val="20"/>
      <w:lang w:bidi="he-IL"/>
    </w:rPr>
  </w:style>
  <w:style w:type="table" w:styleId="MediumGrid1-Accent5">
    <w:name w:val="Medium Grid 1 Accent 5"/>
    <w:basedOn w:val="TableNormal"/>
    <w:uiPriority w:val="67"/>
    <w:rsid w:val="00795CA4"/>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Bullet">
    <w:name w:val="Bullet"/>
    <w:basedOn w:val="Normal"/>
    <w:rsid w:val="009839E1"/>
    <w:pPr>
      <w:numPr>
        <w:numId w:val="22"/>
      </w:numPr>
      <w:tabs>
        <w:tab w:val="clear" w:pos="340"/>
        <w:tab w:val="num" w:pos="360"/>
      </w:tabs>
      <w:spacing w:after="0" w:line="280" w:lineRule="atLeast"/>
      <w:ind w:left="0" w:firstLine="0"/>
      <w:jc w:val="left"/>
    </w:pPr>
    <w:rPr>
      <w:rFonts w:ascii="Calibri" w:hAnsi="Calibri"/>
      <w:kern w:val="0"/>
      <w:szCs w:val="20"/>
      <w:lang w:val="en-GB" w:eastAsia="en-GB"/>
    </w:rPr>
  </w:style>
  <w:style w:type="paragraph" w:customStyle="1" w:styleId="Normalindent10">
    <w:name w:val="Normal indent1"/>
    <w:basedOn w:val="NormalIndent1"/>
    <w:link w:val="Normalindent1Char"/>
    <w:uiPriority w:val="99"/>
    <w:qFormat/>
    <w:rsid w:val="005B34D5"/>
    <w:pPr>
      <w:spacing w:line="260" w:lineRule="atLeast"/>
      <w:ind w:left="851"/>
    </w:pPr>
    <w:rPr>
      <w:rFonts w:asciiTheme="minorHAnsi" w:hAnsiTheme="minorHAnsi"/>
    </w:rPr>
  </w:style>
  <w:style w:type="character" w:customStyle="1" w:styleId="Normalindent1Char">
    <w:name w:val="Normal indent1 Char"/>
    <w:basedOn w:val="NormalindentChar"/>
    <w:link w:val="Normalindent10"/>
    <w:uiPriority w:val="99"/>
    <w:rsid w:val="005B34D5"/>
    <w:rPr>
      <w:rFonts w:asciiTheme="minorHAnsi" w:hAnsiTheme="minorHAnsi"/>
      <w:sz w:val="22"/>
      <w:szCs w:val="20"/>
      <w:lang w:val="en-GB" w:eastAsia="en-GB"/>
    </w:rPr>
  </w:style>
  <w:style w:type="character" w:customStyle="1" w:styleId="FootnoteChar">
    <w:name w:val="Footnote Char"/>
    <w:basedOn w:val="DefaultParagraphFont"/>
    <w:rsid w:val="005B34D5"/>
    <w:rPr>
      <w:rFonts w:asciiTheme="minorHAnsi" w:hAnsiTheme="minorHAnsi"/>
      <w:sz w:val="16"/>
      <w:szCs w:val="16"/>
    </w:rPr>
  </w:style>
  <w:style w:type="paragraph" w:customStyle="1" w:styleId="ParaAttribute8">
    <w:name w:val="ParaAttribute8"/>
    <w:rsid w:val="00A82822"/>
    <w:pPr>
      <w:widowControl w:val="0"/>
      <w:ind w:hanging="720"/>
    </w:pPr>
    <w:rPr>
      <w:rFonts w:eastAsia="Batang"/>
      <w:sz w:val="20"/>
      <w:szCs w:val="20"/>
      <w:lang w:bidi="km-KH"/>
    </w:rPr>
  </w:style>
  <w:style w:type="character" w:customStyle="1" w:styleId="A3">
    <w:name w:val="A3"/>
    <w:uiPriority w:val="99"/>
    <w:rsid w:val="00A82822"/>
    <w:rPr>
      <w:rFonts w:cs="Myriad Pro"/>
      <w:color w:val="000000"/>
      <w:sz w:val="22"/>
      <w:szCs w:val="22"/>
    </w:rPr>
  </w:style>
  <w:style w:type="paragraph" w:customStyle="1" w:styleId="TableParagraph">
    <w:name w:val="Table Paragraph"/>
    <w:basedOn w:val="Normal"/>
    <w:uiPriority w:val="1"/>
    <w:qFormat/>
    <w:rsid w:val="00C16210"/>
    <w:pPr>
      <w:widowControl w:val="0"/>
      <w:spacing w:after="0"/>
      <w:jc w:val="left"/>
    </w:pPr>
    <w:rPr>
      <w:rFonts w:asciiTheme="minorHAnsi" w:eastAsiaTheme="minorHAnsi" w:hAnsiTheme="minorHAnsi" w:cstheme="minorBidi"/>
      <w:kern w:val="0"/>
      <w:szCs w:val="22"/>
    </w:rPr>
  </w:style>
  <w:style w:type="paragraph" w:customStyle="1" w:styleId="yiv2732343896msolistparagraph">
    <w:name w:val="yiv2732343896msolistparagraph"/>
    <w:basedOn w:val="Normal"/>
    <w:rsid w:val="007F0848"/>
    <w:pPr>
      <w:spacing w:before="100" w:beforeAutospacing="1" w:after="100" w:afterAutospacing="1"/>
      <w:jc w:val="left"/>
    </w:pPr>
    <w:rPr>
      <w:rFonts w:ascii="Times New Roman" w:hAnsi="Times New Roman"/>
      <w:kern w:val="0"/>
      <w:sz w:val="24"/>
      <w:lang w:bidi="km-KH"/>
    </w:rPr>
  </w:style>
  <w:style w:type="paragraph" w:customStyle="1" w:styleId="Indent2">
    <w:name w:val="Indent 2"/>
    <w:basedOn w:val="Normal"/>
    <w:link w:val="Indent2Char"/>
    <w:rsid w:val="00E40FA4"/>
    <w:pPr>
      <w:ind w:left="737"/>
      <w:jc w:val="left"/>
    </w:pPr>
    <w:rPr>
      <w:rFonts w:ascii="Times New Roman" w:hAnsi="Times New Roman"/>
      <w:kern w:val="0"/>
      <w:szCs w:val="20"/>
      <w:lang w:val="en-AU"/>
    </w:rPr>
  </w:style>
  <w:style w:type="character" w:customStyle="1" w:styleId="Indent2Char">
    <w:name w:val="Indent 2 Char"/>
    <w:basedOn w:val="DefaultParagraphFont"/>
    <w:link w:val="Indent2"/>
    <w:locked/>
    <w:rsid w:val="00E40FA4"/>
    <w:rPr>
      <w:sz w:val="22"/>
      <w:szCs w:val="20"/>
      <w:lang w:val="en-AU"/>
    </w:rPr>
  </w:style>
  <w:style w:type="paragraph" w:customStyle="1" w:styleId="yiv8033760514msoplaintext">
    <w:name w:val="yiv8033760514msoplaintext"/>
    <w:basedOn w:val="Normal"/>
    <w:rsid w:val="00E40FA4"/>
    <w:pPr>
      <w:spacing w:before="100" w:beforeAutospacing="1" w:after="100" w:afterAutospacing="1"/>
      <w:jc w:val="left"/>
    </w:pPr>
    <w:rPr>
      <w:rFonts w:ascii="Times New Roman" w:hAnsi="Times New Roman"/>
      <w:kern w:val="0"/>
      <w:sz w:val="24"/>
      <w:lang w:val="en-CA" w:eastAsia="en-CA"/>
    </w:rPr>
  </w:style>
  <w:style w:type="character" w:customStyle="1" w:styleId="HeaderChar">
    <w:name w:val="Header Char"/>
    <w:basedOn w:val="DefaultParagraphFont"/>
    <w:link w:val="Header"/>
    <w:uiPriority w:val="99"/>
    <w:rsid w:val="00E40FA4"/>
    <w:rPr>
      <w:rFonts w:ascii="Book Antiqua" w:hAnsi="Book Antiqua"/>
      <w:kern w:val="22"/>
      <w:sz w:val="22"/>
    </w:rPr>
  </w:style>
  <w:style w:type="character" w:customStyle="1" w:styleId="FooterChar">
    <w:name w:val="Footer Char"/>
    <w:basedOn w:val="DefaultParagraphFont"/>
    <w:link w:val="Footer"/>
    <w:uiPriority w:val="99"/>
    <w:rsid w:val="00E40FA4"/>
    <w:rPr>
      <w:rFonts w:ascii="Arial" w:hAnsi="Arial"/>
      <w:kern w:val="22"/>
      <w:sz w:val="14"/>
    </w:rPr>
  </w:style>
  <w:style w:type="paragraph" w:customStyle="1" w:styleId="yiv3117255926msonormal">
    <w:name w:val="yiv3117255926msonormal"/>
    <w:basedOn w:val="Normal"/>
    <w:rsid w:val="00E40FA4"/>
    <w:pPr>
      <w:spacing w:before="100" w:beforeAutospacing="1" w:after="100" w:afterAutospacing="1"/>
      <w:jc w:val="left"/>
    </w:pPr>
    <w:rPr>
      <w:rFonts w:ascii="Times New Roman" w:hAnsi="Times New Roman"/>
      <w:kern w:val="0"/>
      <w:sz w:val="24"/>
      <w:lang w:val="en-CA" w:eastAsia="en-CA"/>
    </w:rPr>
  </w:style>
  <w:style w:type="paragraph" w:customStyle="1" w:styleId="yiv3117255926msolistparagraph">
    <w:name w:val="yiv3117255926msolistparagraph"/>
    <w:basedOn w:val="Normal"/>
    <w:rsid w:val="00E40FA4"/>
    <w:pPr>
      <w:spacing w:before="100" w:beforeAutospacing="1" w:after="100" w:afterAutospacing="1"/>
      <w:jc w:val="left"/>
    </w:pPr>
    <w:rPr>
      <w:rFonts w:ascii="Times New Roman" w:hAnsi="Times New Roman"/>
      <w:kern w:val="0"/>
      <w:sz w:val="24"/>
      <w:lang w:val="en-CA" w:eastAsia="en-CA"/>
    </w:rPr>
  </w:style>
  <w:style w:type="paragraph" w:customStyle="1" w:styleId="Pa4">
    <w:name w:val="Pa4"/>
    <w:basedOn w:val="Default"/>
    <w:next w:val="Default"/>
    <w:uiPriority w:val="99"/>
    <w:rsid w:val="00E40FA4"/>
    <w:pPr>
      <w:spacing w:line="241" w:lineRule="atLeast"/>
    </w:pPr>
    <w:rPr>
      <w:rFonts w:ascii="Meta Bold" w:hAnsi="Meta Bold" w:cs="Times New Roman"/>
      <w:color w:val="auto"/>
      <w:lang w:val="en-CA" w:bidi="ar-SA"/>
    </w:rPr>
  </w:style>
  <w:style w:type="paragraph" w:customStyle="1" w:styleId="Pa3">
    <w:name w:val="Pa3"/>
    <w:basedOn w:val="Default"/>
    <w:next w:val="Default"/>
    <w:uiPriority w:val="99"/>
    <w:rsid w:val="00E40FA4"/>
    <w:pPr>
      <w:spacing w:line="201" w:lineRule="atLeast"/>
    </w:pPr>
    <w:rPr>
      <w:rFonts w:ascii="Meta Bold" w:hAnsi="Meta Bold" w:cs="Times New Roman"/>
      <w:color w:val="auto"/>
      <w:lang w:val="en-CA" w:bidi="ar-SA"/>
    </w:rPr>
  </w:style>
  <w:style w:type="paragraph" w:customStyle="1" w:styleId="Pa19">
    <w:name w:val="Pa19"/>
    <w:basedOn w:val="Default"/>
    <w:next w:val="Default"/>
    <w:uiPriority w:val="99"/>
    <w:rsid w:val="00E40FA4"/>
    <w:pPr>
      <w:spacing w:line="201" w:lineRule="atLeast"/>
    </w:pPr>
    <w:rPr>
      <w:rFonts w:ascii="Meta Bold" w:hAnsi="Meta Bold" w:cs="Times New Roman"/>
      <w:color w:val="auto"/>
      <w:lang w:val="en-CA" w:bidi="ar-SA"/>
    </w:rPr>
  </w:style>
  <w:style w:type="paragraph" w:customStyle="1" w:styleId="Pa12">
    <w:name w:val="Pa12"/>
    <w:basedOn w:val="Default"/>
    <w:next w:val="Default"/>
    <w:uiPriority w:val="99"/>
    <w:rsid w:val="00E40FA4"/>
    <w:pPr>
      <w:spacing w:line="201" w:lineRule="atLeast"/>
    </w:pPr>
    <w:rPr>
      <w:rFonts w:ascii="Meta Normal" w:hAnsi="Meta Normal" w:cs="Times New Roman"/>
      <w:color w:val="auto"/>
      <w:lang w:val="en-CA" w:bidi="ar-SA"/>
    </w:rPr>
  </w:style>
  <w:style w:type="table" w:customStyle="1" w:styleId="GridTable1Light1">
    <w:name w:val="Grid Table 1 Light1"/>
    <w:basedOn w:val="TableNormal"/>
    <w:uiPriority w:val="46"/>
    <w:rsid w:val="00E40F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xListNumber">
    <w:name w:val="Box List Number"/>
    <w:basedOn w:val="Normal"/>
    <w:rsid w:val="00E40FA4"/>
    <w:pPr>
      <w:keepLines/>
      <w:numPr>
        <w:numId w:val="23"/>
      </w:numPr>
      <w:pBdr>
        <w:top w:val="single" w:sz="4" w:space="10" w:color="auto"/>
        <w:left w:val="single" w:sz="4" w:space="10" w:color="auto"/>
        <w:bottom w:val="single" w:sz="4" w:space="10" w:color="auto"/>
        <w:right w:val="single" w:sz="4" w:space="10" w:color="auto"/>
      </w:pBdr>
      <w:shd w:val="clear" w:color="auto" w:fill="C7D5E6"/>
      <w:tabs>
        <w:tab w:val="left" w:pos="284"/>
      </w:tabs>
      <w:spacing w:after="120"/>
      <w:ind w:left="568"/>
      <w:contextualSpacing/>
      <w:jc w:val="left"/>
    </w:pPr>
    <w:rPr>
      <w:rFonts w:ascii="Franklin Gothic Book" w:hAnsi="Franklin Gothic Book"/>
      <w:iCs/>
      <w:kern w:val="0"/>
      <w:sz w:val="20"/>
      <w:szCs w:val="20"/>
      <w:lang w:val="en-AU" w:eastAsia="en-AU"/>
    </w:rPr>
  </w:style>
  <w:style w:type="paragraph" w:customStyle="1" w:styleId="footnotedescription">
    <w:name w:val="footnote description"/>
    <w:next w:val="Normal"/>
    <w:link w:val="footnotedescriptionChar"/>
    <w:hidden/>
    <w:rsid w:val="00E40FA4"/>
    <w:pPr>
      <w:spacing w:line="259" w:lineRule="auto"/>
    </w:pPr>
    <w:rPr>
      <w:rFonts w:ascii="Franklin Gothic" w:eastAsia="Franklin Gothic" w:hAnsi="Franklin Gothic" w:cs="Franklin Gothic"/>
      <w:color w:val="000000"/>
      <w:sz w:val="17"/>
      <w:szCs w:val="22"/>
      <w:lang w:val="en-CA" w:eastAsia="en-CA"/>
    </w:rPr>
  </w:style>
  <w:style w:type="character" w:customStyle="1" w:styleId="footnotedescriptionChar">
    <w:name w:val="footnote description Char"/>
    <w:link w:val="footnotedescription"/>
    <w:rsid w:val="00E40FA4"/>
    <w:rPr>
      <w:rFonts w:ascii="Franklin Gothic" w:eastAsia="Franklin Gothic" w:hAnsi="Franklin Gothic" w:cs="Franklin Gothic"/>
      <w:color w:val="000000"/>
      <w:sz w:val="17"/>
      <w:szCs w:val="22"/>
      <w:lang w:val="en-CA" w:eastAsia="en-CA"/>
    </w:rPr>
  </w:style>
  <w:style w:type="character" w:customStyle="1" w:styleId="footnotemark">
    <w:name w:val="footnote mark"/>
    <w:hidden/>
    <w:rsid w:val="00E40FA4"/>
    <w:rPr>
      <w:rFonts w:ascii="Franklin Gothic" w:eastAsia="Franklin Gothic" w:hAnsi="Franklin Gothic" w:cs="Franklin Gothic"/>
      <w:color w:val="000000"/>
      <w:sz w:val="17"/>
      <w:vertAlign w:val="superscript"/>
    </w:rPr>
  </w:style>
  <w:style w:type="table" w:customStyle="1" w:styleId="TableGrid0">
    <w:name w:val="TableGrid"/>
    <w:rsid w:val="00E40FA4"/>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paragraph" w:customStyle="1" w:styleId="List21">
    <w:name w:val="List 21"/>
    <w:basedOn w:val="Normal"/>
    <w:qFormat/>
    <w:rsid w:val="00E40FA4"/>
    <w:pPr>
      <w:keepLines/>
      <w:numPr>
        <w:numId w:val="24"/>
      </w:numPr>
      <w:suppressAutoHyphens/>
      <w:autoSpaceDE w:val="0"/>
      <w:autoSpaceDN w:val="0"/>
      <w:adjustRightInd w:val="0"/>
      <w:spacing w:before="57" w:after="142" w:line="288" w:lineRule="auto"/>
      <w:jc w:val="left"/>
      <w:textAlignment w:val="center"/>
    </w:pPr>
    <w:rPr>
      <w:rFonts w:ascii="Cambria" w:hAnsi="Cambria" w:cs="FoundersGrotesk-Regular"/>
      <w:color w:val="000000"/>
      <w:kern w:val="0"/>
      <w:sz w:val="21"/>
      <w:szCs w:val="21"/>
      <w:lang w:val="en-GB"/>
    </w:rPr>
  </w:style>
  <w:style w:type="paragraph" w:customStyle="1" w:styleId="Pa17">
    <w:name w:val="Pa17"/>
    <w:basedOn w:val="Default"/>
    <w:next w:val="Default"/>
    <w:uiPriority w:val="99"/>
    <w:rsid w:val="00E40FA4"/>
    <w:pPr>
      <w:spacing w:line="281" w:lineRule="atLeast"/>
    </w:pPr>
    <w:rPr>
      <w:rFonts w:ascii="RijksoverheidSerif" w:eastAsiaTheme="minorHAnsi" w:hAnsi="RijksoverheidSerif" w:cstheme="minorBidi"/>
      <w:color w:val="auto"/>
      <w:lang w:val="en-CA" w:bidi="ar-SA"/>
    </w:rPr>
  </w:style>
  <w:style w:type="paragraph" w:customStyle="1" w:styleId="Style0">
    <w:name w:val="Style0"/>
    <w:rsid w:val="00E40FA4"/>
    <w:pPr>
      <w:autoSpaceDE w:val="0"/>
      <w:autoSpaceDN w:val="0"/>
      <w:adjustRightInd w:val="0"/>
    </w:pPr>
    <w:rPr>
      <w:rFonts w:ascii="Arial" w:hAnsi="Arial"/>
      <w:sz w:val="20"/>
    </w:rPr>
  </w:style>
  <w:style w:type="paragraph" w:customStyle="1" w:styleId="BodyA">
    <w:name w:val="Body A"/>
    <w:rsid w:val="00E40FA4"/>
    <w:pPr>
      <w:pBdr>
        <w:top w:val="nil"/>
        <w:left w:val="nil"/>
        <w:bottom w:val="nil"/>
        <w:right w:val="nil"/>
        <w:between w:val="nil"/>
        <w:bar w:val="nil"/>
      </w:pBdr>
      <w:spacing w:after="120"/>
      <w:jc w:val="both"/>
    </w:pPr>
    <w:rPr>
      <w:rFonts w:ascii="Calibri" w:eastAsia="Arial Unicode MS" w:hAnsi="Arial Unicode MS" w:cs="Arial Unicode MS"/>
      <w:color w:val="000000"/>
      <w:sz w:val="22"/>
      <w:szCs w:val="22"/>
      <w:u w:color="000000"/>
      <w:bdr w:val="nil"/>
    </w:rPr>
  </w:style>
  <w:style w:type="character" w:customStyle="1" w:styleId="Hyperlink0">
    <w:name w:val="Hyperlink.0"/>
    <w:basedOn w:val="DefaultParagraphFont"/>
    <w:rsid w:val="00E40FA4"/>
    <w:rPr>
      <w:u w:val="single"/>
    </w:rPr>
  </w:style>
  <w:style w:type="paragraph" w:customStyle="1" w:styleId="Body">
    <w:name w:val="Body"/>
    <w:rsid w:val="00E40FA4"/>
    <w:pPr>
      <w:pBdr>
        <w:top w:val="nil"/>
        <w:left w:val="nil"/>
        <w:bottom w:val="nil"/>
        <w:right w:val="nil"/>
        <w:between w:val="nil"/>
        <w:bar w:val="nil"/>
      </w:pBdr>
    </w:pPr>
    <w:rPr>
      <w:color w:val="000000"/>
      <w:u w:color="000000"/>
      <w:bdr w:val="nil"/>
    </w:rPr>
  </w:style>
  <w:style w:type="paragraph" w:customStyle="1" w:styleId="TableStyle1A">
    <w:name w:val="Table Style 1 A"/>
    <w:rsid w:val="00E40FA4"/>
    <w:pPr>
      <w:pBdr>
        <w:top w:val="nil"/>
        <w:left w:val="nil"/>
        <w:bottom w:val="nil"/>
        <w:right w:val="nil"/>
        <w:between w:val="nil"/>
        <w:bar w:val="nil"/>
      </w:pBdr>
    </w:pPr>
    <w:rPr>
      <w:rFonts w:ascii="Helvetica" w:eastAsia="Arial Unicode MS" w:hAnsi="Arial Unicode MS" w:cs="Arial Unicode MS"/>
      <w:b/>
      <w:bCs/>
      <w:color w:val="000000"/>
      <w:sz w:val="20"/>
      <w:szCs w:val="20"/>
      <w:u w:color="000000"/>
      <w:bdr w:val="nil"/>
    </w:rPr>
  </w:style>
  <w:style w:type="paragraph" w:customStyle="1" w:styleId="TableStyle2A">
    <w:name w:val="Table Style 2 A"/>
    <w:rsid w:val="00E40FA4"/>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rPr>
  </w:style>
  <w:style w:type="numbering" w:customStyle="1" w:styleId="List51">
    <w:name w:val="List 51"/>
    <w:basedOn w:val="NoList"/>
    <w:rsid w:val="00E40FA4"/>
    <w:pPr>
      <w:numPr>
        <w:numId w:val="25"/>
      </w:numPr>
    </w:pPr>
  </w:style>
  <w:style w:type="paragraph" w:customStyle="1" w:styleId="Pa23">
    <w:name w:val="Pa23"/>
    <w:basedOn w:val="Default"/>
    <w:next w:val="Default"/>
    <w:uiPriority w:val="99"/>
    <w:rsid w:val="00E40FA4"/>
    <w:pPr>
      <w:spacing w:line="201" w:lineRule="atLeast"/>
    </w:pPr>
    <w:rPr>
      <w:rFonts w:ascii="RijksoverheidSerif" w:eastAsiaTheme="minorHAnsi" w:hAnsi="RijksoverheidSerif" w:cstheme="minorBidi"/>
      <w:color w:val="auto"/>
      <w:lang w:val="en-CA" w:bidi="ar-SA"/>
    </w:rPr>
  </w:style>
  <w:style w:type="character" w:customStyle="1" w:styleId="Heading1Char">
    <w:name w:val="Heading 1 Char"/>
    <w:basedOn w:val="DefaultParagraphFont"/>
    <w:link w:val="Heading1"/>
    <w:uiPriority w:val="99"/>
    <w:rsid w:val="005C6D4B"/>
    <w:rPr>
      <w:rFonts w:ascii="Arial Bold" w:hAnsi="Arial Bold"/>
      <w:b/>
      <w:bCs/>
      <w:caps/>
      <w:kern w:val="28"/>
      <w:sz w:val="28"/>
    </w:rPr>
  </w:style>
  <w:style w:type="character" w:customStyle="1" w:styleId="A4">
    <w:name w:val="A4"/>
    <w:uiPriority w:val="99"/>
    <w:rsid w:val="00E40FA4"/>
    <w:rPr>
      <w:rFonts w:ascii="Myriad Pro Light" w:hAnsi="Myriad Pro Light" w:cs="Myriad Pro Ligh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799">
      <w:bodyDiv w:val="1"/>
      <w:marLeft w:val="0"/>
      <w:marRight w:val="0"/>
      <w:marTop w:val="0"/>
      <w:marBottom w:val="0"/>
      <w:divBdr>
        <w:top w:val="none" w:sz="0" w:space="0" w:color="auto"/>
        <w:left w:val="none" w:sz="0" w:space="0" w:color="auto"/>
        <w:bottom w:val="none" w:sz="0" w:space="0" w:color="auto"/>
        <w:right w:val="none" w:sz="0" w:space="0" w:color="auto"/>
      </w:divBdr>
    </w:div>
    <w:div w:id="24406778">
      <w:bodyDiv w:val="1"/>
      <w:marLeft w:val="0"/>
      <w:marRight w:val="0"/>
      <w:marTop w:val="0"/>
      <w:marBottom w:val="0"/>
      <w:divBdr>
        <w:top w:val="none" w:sz="0" w:space="0" w:color="auto"/>
        <w:left w:val="none" w:sz="0" w:space="0" w:color="auto"/>
        <w:bottom w:val="none" w:sz="0" w:space="0" w:color="auto"/>
        <w:right w:val="none" w:sz="0" w:space="0" w:color="auto"/>
      </w:divBdr>
    </w:div>
    <w:div w:id="189687012">
      <w:bodyDiv w:val="1"/>
      <w:marLeft w:val="0"/>
      <w:marRight w:val="0"/>
      <w:marTop w:val="0"/>
      <w:marBottom w:val="0"/>
      <w:divBdr>
        <w:top w:val="none" w:sz="0" w:space="0" w:color="auto"/>
        <w:left w:val="none" w:sz="0" w:space="0" w:color="auto"/>
        <w:bottom w:val="none" w:sz="0" w:space="0" w:color="auto"/>
        <w:right w:val="none" w:sz="0" w:space="0" w:color="auto"/>
      </w:divBdr>
    </w:div>
    <w:div w:id="252320582">
      <w:bodyDiv w:val="1"/>
      <w:marLeft w:val="0"/>
      <w:marRight w:val="0"/>
      <w:marTop w:val="0"/>
      <w:marBottom w:val="0"/>
      <w:divBdr>
        <w:top w:val="none" w:sz="0" w:space="0" w:color="auto"/>
        <w:left w:val="none" w:sz="0" w:space="0" w:color="auto"/>
        <w:bottom w:val="none" w:sz="0" w:space="0" w:color="auto"/>
        <w:right w:val="none" w:sz="0" w:space="0" w:color="auto"/>
      </w:divBdr>
    </w:div>
    <w:div w:id="336883514">
      <w:bodyDiv w:val="1"/>
      <w:marLeft w:val="0"/>
      <w:marRight w:val="0"/>
      <w:marTop w:val="0"/>
      <w:marBottom w:val="0"/>
      <w:divBdr>
        <w:top w:val="none" w:sz="0" w:space="0" w:color="auto"/>
        <w:left w:val="none" w:sz="0" w:space="0" w:color="auto"/>
        <w:bottom w:val="none" w:sz="0" w:space="0" w:color="auto"/>
        <w:right w:val="none" w:sz="0" w:space="0" w:color="auto"/>
      </w:divBdr>
    </w:div>
    <w:div w:id="485366254">
      <w:bodyDiv w:val="1"/>
      <w:marLeft w:val="0"/>
      <w:marRight w:val="0"/>
      <w:marTop w:val="0"/>
      <w:marBottom w:val="0"/>
      <w:divBdr>
        <w:top w:val="none" w:sz="0" w:space="0" w:color="auto"/>
        <w:left w:val="none" w:sz="0" w:space="0" w:color="auto"/>
        <w:bottom w:val="none" w:sz="0" w:space="0" w:color="auto"/>
        <w:right w:val="none" w:sz="0" w:space="0" w:color="auto"/>
      </w:divBdr>
    </w:div>
    <w:div w:id="495613546">
      <w:bodyDiv w:val="1"/>
      <w:marLeft w:val="0"/>
      <w:marRight w:val="0"/>
      <w:marTop w:val="0"/>
      <w:marBottom w:val="0"/>
      <w:divBdr>
        <w:top w:val="none" w:sz="0" w:space="0" w:color="auto"/>
        <w:left w:val="none" w:sz="0" w:space="0" w:color="auto"/>
        <w:bottom w:val="none" w:sz="0" w:space="0" w:color="auto"/>
        <w:right w:val="none" w:sz="0" w:space="0" w:color="auto"/>
      </w:divBdr>
    </w:div>
    <w:div w:id="537008305">
      <w:bodyDiv w:val="1"/>
      <w:marLeft w:val="0"/>
      <w:marRight w:val="0"/>
      <w:marTop w:val="0"/>
      <w:marBottom w:val="0"/>
      <w:divBdr>
        <w:top w:val="none" w:sz="0" w:space="0" w:color="auto"/>
        <w:left w:val="none" w:sz="0" w:space="0" w:color="auto"/>
        <w:bottom w:val="none" w:sz="0" w:space="0" w:color="auto"/>
        <w:right w:val="none" w:sz="0" w:space="0" w:color="auto"/>
      </w:divBdr>
    </w:div>
    <w:div w:id="555437249">
      <w:bodyDiv w:val="1"/>
      <w:marLeft w:val="0"/>
      <w:marRight w:val="0"/>
      <w:marTop w:val="0"/>
      <w:marBottom w:val="0"/>
      <w:divBdr>
        <w:top w:val="none" w:sz="0" w:space="0" w:color="auto"/>
        <w:left w:val="none" w:sz="0" w:space="0" w:color="auto"/>
        <w:bottom w:val="none" w:sz="0" w:space="0" w:color="auto"/>
        <w:right w:val="none" w:sz="0" w:space="0" w:color="auto"/>
      </w:divBdr>
    </w:div>
    <w:div w:id="582422386">
      <w:bodyDiv w:val="1"/>
      <w:marLeft w:val="0"/>
      <w:marRight w:val="0"/>
      <w:marTop w:val="0"/>
      <w:marBottom w:val="0"/>
      <w:divBdr>
        <w:top w:val="none" w:sz="0" w:space="0" w:color="auto"/>
        <w:left w:val="none" w:sz="0" w:space="0" w:color="auto"/>
        <w:bottom w:val="none" w:sz="0" w:space="0" w:color="auto"/>
        <w:right w:val="none" w:sz="0" w:space="0" w:color="auto"/>
      </w:divBdr>
    </w:div>
    <w:div w:id="654184543">
      <w:bodyDiv w:val="1"/>
      <w:marLeft w:val="0"/>
      <w:marRight w:val="0"/>
      <w:marTop w:val="0"/>
      <w:marBottom w:val="0"/>
      <w:divBdr>
        <w:top w:val="none" w:sz="0" w:space="0" w:color="auto"/>
        <w:left w:val="none" w:sz="0" w:space="0" w:color="auto"/>
        <w:bottom w:val="none" w:sz="0" w:space="0" w:color="auto"/>
        <w:right w:val="none" w:sz="0" w:space="0" w:color="auto"/>
      </w:divBdr>
      <w:divsChild>
        <w:div w:id="223834578">
          <w:marLeft w:val="274"/>
          <w:marRight w:val="0"/>
          <w:marTop w:val="60"/>
          <w:marBottom w:val="60"/>
          <w:divBdr>
            <w:top w:val="none" w:sz="0" w:space="0" w:color="auto"/>
            <w:left w:val="none" w:sz="0" w:space="0" w:color="auto"/>
            <w:bottom w:val="none" w:sz="0" w:space="0" w:color="auto"/>
            <w:right w:val="none" w:sz="0" w:space="0" w:color="auto"/>
          </w:divBdr>
        </w:div>
      </w:divsChild>
    </w:div>
    <w:div w:id="666789407">
      <w:bodyDiv w:val="1"/>
      <w:marLeft w:val="0"/>
      <w:marRight w:val="0"/>
      <w:marTop w:val="0"/>
      <w:marBottom w:val="0"/>
      <w:divBdr>
        <w:top w:val="none" w:sz="0" w:space="0" w:color="auto"/>
        <w:left w:val="none" w:sz="0" w:space="0" w:color="auto"/>
        <w:bottom w:val="none" w:sz="0" w:space="0" w:color="auto"/>
        <w:right w:val="none" w:sz="0" w:space="0" w:color="auto"/>
      </w:divBdr>
      <w:divsChild>
        <w:div w:id="14355384">
          <w:marLeft w:val="547"/>
          <w:marRight w:val="0"/>
          <w:marTop w:val="0"/>
          <w:marBottom w:val="0"/>
          <w:divBdr>
            <w:top w:val="none" w:sz="0" w:space="0" w:color="auto"/>
            <w:left w:val="none" w:sz="0" w:space="0" w:color="auto"/>
            <w:bottom w:val="none" w:sz="0" w:space="0" w:color="auto"/>
            <w:right w:val="none" w:sz="0" w:space="0" w:color="auto"/>
          </w:divBdr>
        </w:div>
        <w:div w:id="603348091">
          <w:marLeft w:val="547"/>
          <w:marRight w:val="0"/>
          <w:marTop w:val="0"/>
          <w:marBottom w:val="0"/>
          <w:divBdr>
            <w:top w:val="none" w:sz="0" w:space="0" w:color="auto"/>
            <w:left w:val="none" w:sz="0" w:space="0" w:color="auto"/>
            <w:bottom w:val="none" w:sz="0" w:space="0" w:color="auto"/>
            <w:right w:val="none" w:sz="0" w:space="0" w:color="auto"/>
          </w:divBdr>
        </w:div>
        <w:div w:id="708459458">
          <w:marLeft w:val="547"/>
          <w:marRight w:val="0"/>
          <w:marTop w:val="0"/>
          <w:marBottom w:val="0"/>
          <w:divBdr>
            <w:top w:val="none" w:sz="0" w:space="0" w:color="auto"/>
            <w:left w:val="none" w:sz="0" w:space="0" w:color="auto"/>
            <w:bottom w:val="none" w:sz="0" w:space="0" w:color="auto"/>
            <w:right w:val="none" w:sz="0" w:space="0" w:color="auto"/>
          </w:divBdr>
        </w:div>
        <w:div w:id="789011870">
          <w:marLeft w:val="547"/>
          <w:marRight w:val="0"/>
          <w:marTop w:val="0"/>
          <w:marBottom w:val="0"/>
          <w:divBdr>
            <w:top w:val="none" w:sz="0" w:space="0" w:color="auto"/>
            <w:left w:val="none" w:sz="0" w:space="0" w:color="auto"/>
            <w:bottom w:val="none" w:sz="0" w:space="0" w:color="auto"/>
            <w:right w:val="none" w:sz="0" w:space="0" w:color="auto"/>
          </w:divBdr>
        </w:div>
        <w:div w:id="851841413">
          <w:marLeft w:val="547"/>
          <w:marRight w:val="0"/>
          <w:marTop w:val="0"/>
          <w:marBottom w:val="0"/>
          <w:divBdr>
            <w:top w:val="none" w:sz="0" w:space="0" w:color="auto"/>
            <w:left w:val="none" w:sz="0" w:space="0" w:color="auto"/>
            <w:bottom w:val="none" w:sz="0" w:space="0" w:color="auto"/>
            <w:right w:val="none" w:sz="0" w:space="0" w:color="auto"/>
          </w:divBdr>
        </w:div>
        <w:div w:id="1515879310">
          <w:marLeft w:val="547"/>
          <w:marRight w:val="0"/>
          <w:marTop w:val="0"/>
          <w:marBottom w:val="0"/>
          <w:divBdr>
            <w:top w:val="none" w:sz="0" w:space="0" w:color="auto"/>
            <w:left w:val="none" w:sz="0" w:space="0" w:color="auto"/>
            <w:bottom w:val="none" w:sz="0" w:space="0" w:color="auto"/>
            <w:right w:val="none" w:sz="0" w:space="0" w:color="auto"/>
          </w:divBdr>
        </w:div>
        <w:div w:id="2072993624">
          <w:marLeft w:val="547"/>
          <w:marRight w:val="0"/>
          <w:marTop w:val="0"/>
          <w:marBottom w:val="0"/>
          <w:divBdr>
            <w:top w:val="none" w:sz="0" w:space="0" w:color="auto"/>
            <w:left w:val="none" w:sz="0" w:space="0" w:color="auto"/>
            <w:bottom w:val="none" w:sz="0" w:space="0" w:color="auto"/>
            <w:right w:val="none" w:sz="0" w:space="0" w:color="auto"/>
          </w:divBdr>
        </w:div>
      </w:divsChild>
    </w:div>
    <w:div w:id="683482217">
      <w:bodyDiv w:val="1"/>
      <w:marLeft w:val="0"/>
      <w:marRight w:val="0"/>
      <w:marTop w:val="0"/>
      <w:marBottom w:val="0"/>
      <w:divBdr>
        <w:top w:val="none" w:sz="0" w:space="0" w:color="auto"/>
        <w:left w:val="none" w:sz="0" w:space="0" w:color="auto"/>
        <w:bottom w:val="none" w:sz="0" w:space="0" w:color="auto"/>
        <w:right w:val="none" w:sz="0" w:space="0" w:color="auto"/>
      </w:divBdr>
    </w:div>
    <w:div w:id="881819496">
      <w:bodyDiv w:val="1"/>
      <w:marLeft w:val="0"/>
      <w:marRight w:val="0"/>
      <w:marTop w:val="0"/>
      <w:marBottom w:val="0"/>
      <w:divBdr>
        <w:top w:val="none" w:sz="0" w:space="0" w:color="auto"/>
        <w:left w:val="none" w:sz="0" w:space="0" w:color="auto"/>
        <w:bottom w:val="none" w:sz="0" w:space="0" w:color="auto"/>
        <w:right w:val="none" w:sz="0" w:space="0" w:color="auto"/>
      </w:divBdr>
    </w:div>
    <w:div w:id="934243388">
      <w:bodyDiv w:val="1"/>
      <w:marLeft w:val="0"/>
      <w:marRight w:val="0"/>
      <w:marTop w:val="0"/>
      <w:marBottom w:val="0"/>
      <w:divBdr>
        <w:top w:val="none" w:sz="0" w:space="0" w:color="auto"/>
        <w:left w:val="none" w:sz="0" w:space="0" w:color="auto"/>
        <w:bottom w:val="none" w:sz="0" w:space="0" w:color="auto"/>
        <w:right w:val="none" w:sz="0" w:space="0" w:color="auto"/>
      </w:divBdr>
    </w:div>
    <w:div w:id="946035309">
      <w:bodyDiv w:val="1"/>
      <w:marLeft w:val="0"/>
      <w:marRight w:val="0"/>
      <w:marTop w:val="0"/>
      <w:marBottom w:val="0"/>
      <w:divBdr>
        <w:top w:val="none" w:sz="0" w:space="0" w:color="auto"/>
        <w:left w:val="none" w:sz="0" w:space="0" w:color="auto"/>
        <w:bottom w:val="none" w:sz="0" w:space="0" w:color="auto"/>
        <w:right w:val="none" w:sz="0" w:space="0" w:color="auto"/>
      </w:divBdr>
    </w:div>
    <w:div w:id="956984703">
      <w:bodyDiv w:val="1"/>
      <w:marLeft w:val="0"/>
      <w:marRight w:val="0"/>
      <w:marTop w:val="0"/>
      <w:marBottom w:val="0"/>
      <w:divBdr>
        <w:top w:val="none" w:sz="0" w:space="0" w:color="auto"/>
        <w:left w:val="none" w:sz="0" w:space="0" w:color="auto"/>
        <w:bottom w:val="none" w:sz="0" w:space="0" w:color="auto"/>
        <w:right w:val="none" w:sz="0" w:space="0" w:color="auto"/>
      </w:divBdr>
      <w:divsChild>
        <w:div w:id="531771730">
          <w:marLeft w:val="547"/>
          <w:marRight w:val="0"/>
          <w:marTop w:val="0"/>
          <w:marBottom w:val="0"/>
          <w:divBdr>
            <w:top w:val="none" w:sz="0" w:space="0" w:color="auto"/>
            <w:left w:val="none" w:sz="0" w:space="0" w:color="auto"/>
            <w:bottom w:val="none" w:sz="0" w:space="0" w:color="auto"/>
            <w:right w:val="none" w:sz="0" w:space="0" w:color="auto"/>
          </w:divBdr>
        </w:div>
        <w:div w:id="805004263">
          <w:marLeft w:val="547"/>
          <w:marRight w:val="0"/>
          <w:marTop w:val="0"/>
          <w:marBottom w:val="0"/>
          <w:divBdr>
            <w:top w:val="none" w:sz="0" w:space="0" w:color="auto"/>
            <w:left w:val="none" w:sz="0" w:space="0" w:color="auto"/>
            <w:bottom w:val="none" w:sz="0" w:space="0" w:color="auto"/>
            <w:right w:val="none" w:sz="0" w:space="0" w:color="auto"/>
          </w:divBdr>
        </w:div>
        <w:div w:id="999698407">
          <w:marLeft w:val="547"/>
          <w:marRight w:val="0"/>
          <w:marTop w:val="0"/>
          <w:marBottom w:val="0"/>
          <w:divBdr>
            <w:top w:val="none" w:sz="0" w:space="0" w:color="auto"/>
            <w:left w:val="none" w:sz="0" w:space="0" w:color="auto"/>
            <w:bottom w:val="none" w:sz="0" w:space="0" w:color="auto"/>
            <w:right w:val="none" w:sz="0" w:space="0" w:color="auto"/>
          </w:divBdr>
        </w:div>
        <w:div w:id="1055737770">
          <w:marLeft w:val="547"/>
          <w:marRight w:val="0"/>
          <w:marTop w:val="0"/>
          <w:marBottom w:val="0"/>
          <w:divBdr>
            <w:top w:val="none" w:sz="0" w:space="0" w:color="auto"/>
            <w:left w:val="none" w:sz="0" w:space="0" w:color="auto"/>
            <w:bottom w:val="none" w:sz="0" w:space="0" w:color="auto"/>
            <w:right w:val="none" w:sz="0" w:space="0" w:color="auto"/>
          </w:divBdr>
        </w:div>
        <w:div w:id="1265840220">
          <w:marLeft w:val="547"/>
          <w:marRight w:val="0"/>
          <w:marTop w:val="0"/>
          <w:marBottom w:val="0"/>
          <w:divBdr>
            <w:top w:val="none" w:sz="0" w:space="0" w:color="auto"/>
            <w:left w:val="none" w:sz="0" w:space="0" w:color="auto"/>
            <w:bottom w:val="none" w:sz="0" w:space="0" w:color="auto"/>
            <w:right w:val="none" w:sz="0" w:space="0" w:color="auto"/>
          </w:divBdr>
        </w:div>
        <w:div w:id="1529295210">
          <w:marLeft w:val="547"/>
          <w:marRight w:val="0"/>
          <w:marTop w:val="0"/>
          <w:marBottom w:val="0"/>
          <w:divBdr>
            <w:top w:val="none" w:sz="0" w:space="0" w:color="auto"/>
            <w:left w:val="none" w:sz="0" w:space="0" w:color="auto"/>
            <w:bottom w:val="none" w:sz="0" w:space="0" w:color="auto"/>
            <w:right w:val="none" w:sz="0" w:space="0" w:color="auto"/>
          </w:divBdr>
        </w:div>
      </w:divsChild>
    </w:div>
    <w:div w:id="998533767">
      <w:bodyDiv w:val="1"/>
      <w:marLeft w:val="0"/>
      <w:marRight w:val="0"/>
      <w:marTop w:val="0"/>
      <w:marBottom w:val="0"/>
      <w:divBdr>
        <w:top w:val="none" w:sz="0" w:space="0" w:color="auto"/>
        <w:left w:val="none" w:sz="0" w:space="0" w:color="auto"/>
        <w:bottom w:val="none" w:sz="0" w:space="0" w:color="auto"/>
        <w:right w:val="none" w:sz="0" w:space="0" w:color="auto"/>
      </w:divBdr>
      <w:divsChild>
        <w:div w:id="241986031">
          <w:marLeft w:val="0"/>
          <w:marRight w:val="0"/>
          <w:marTop w:val="0"/>
          <w:marBottom w:val="0"/>
          <w:divBdr>
            <w:top w:val="none" w:sz="0" w:space="0" w:color="auto"/>
            <w:left w:val="none" w:sz="0" w:space="0" w:color="auto"/>
            <w:bottom w:val="none" w:sz="0" w:space="0" w:color="auto"/>
            <w:right w:val="none" w:sz="0" w:space="0" w:color="auto"/>
          </w:divBdr>
        </w:div>
        <w:div w:id="717629986">
          <w:marLeft w:val="0"/>
          <w:marRight w:val="0"/>
          <w:marTop w:val="0"/>
          <w:marBottom w:val="0"/>
          <w:divBdr>
            <w:top w:val="none" w:sz="0" w:space="0" w:color="auto"/>
            <w:left w:val="none" w:sz="0" w:space="0" w:color="auto"/>
            <w:bottom w:val="none" w:sz="0" w:space="0" w:color="auto"/>
            <w:right w:val="none" w:sz="0" w:space="0" w:color="auto"/>
          </w:divBdr>
        </w:div>
        <w:div w:id="1662272205">
          <w:marLeft w:val="0"/>
          <w:marRight w:val="0"/>
          <w:marTop w:val="0"/>
          <w:marBottom w:val="0"/>
          <w:divBdr>
            <w:top w:val="none" w:sz="0" w:space="0" w:color="auto"/>
            <w:left w:val="none" w:sz="0" w:space="0" w:color="auto"/>
            <w:bottom w:val="none" w:sz="0" w:space="0" w:color="auto"/>
            <w:right w:val="none" w:sz="0" w:space="0" w:color="auto"/>
          </w:divBdr>
        </w:div>
      </w:divsChild>
    </w:div>
    <w:div w:id="1099986941">
      <w:bodyDiv w:val="1"/>
      <w:marLeft w:val="0"/>
      <w:marRight w:val="0"/>
      <w:marTop w:val="0"/>
      <w:marBottom w:val="0"/>
      <w:divBdr>
        <w:top w:val="none" w:sz="0" w:space="0" w:color="auto"/>
        <w:left w:val="none" w:sz="0" w:space="0" w:color="auto"/>
        <w:bottom w:val="none" w:sz="0" w:space="0" w:color="auto"/>
        <w:right w:val="none" w:sz="0" w:space="0" w:color="auto"/>
      </w:divBdr>
    </w:div>
    <w:div w:id="1169253908">
      <w:bodyDiv w:val="1"/>
      <w:marLeft w:val="0"/>
      <w:marRight w:val="0"/>
      <w:marTop w:val="0"/>
      <w:marBottom w:val="0"/>
      <w:divBdr>
        <w:top w:val="none" w:sz="0" w:space="0" w:color="auto"/>
        <w:left w:val="none" w:sz="0" w:space="0" w:color="auto"/>
        <w:bottom w:val="none" w:sz="0" w:space="0" w:color="auto"/>
        <w:right w:val="none" w:sz="0" w:space="0" w:color="auto"/>
      </w:divBdr>
      <w:divsChild>
        <w:div w:id="176358141">
          <w:marLeft w:val="1166"/>
          <w:marRight w:val="0"/>
          <w:marTop w:val="0"/>
          <w:marBottom w:val="0"/>
          <w:divBdr>
            <w:top w:val="none" w:sz="0" w:space="0" w:color="auto"/>
            <w:left w:val="none" w:sz="0" w:space="0" w:color="auto"/>
            <w:bottom w:val="none" w:sz="0" w:space="0" w:color="auto"/>
            <w:right w:val="none" w:sz="0" w:space="0" w:color="auto"/>
          </w:divBdr>
        </w:div>
        <w:div w:id="357128083">
          <w:marLeft w:val="1166"/>
          <w:marRight w:val="0"/>
          <w:marTop w:val="0"/>
          <w:marBottom w:val="0"/>
          <w:divBdr>
            <w:top w:val="none" w:sz="0" w:space="0" w:color="auto"/>
            <w:left w:val="none" w:sz="0" w:space="0" w:color="auto"/>
            <w:bottom w:val="none" w:sz="0" w:space="0" w:color="auto"/>
            <w:right w:val="none" w:sz="0" w:space="0" w:color="auto"/>
          </w:divBdr>
        </w:div>
        <w:div w:id="808867311">
          <w:marLeft w:val="1166"/>
          <w:marRight w:val="0"/>
          <w:marTop w:val="0"/>
          <w:marBottom w:val="0"/>
          <w:divBdr>
            <w:top w:val="none" w:sz="0" w:space="0" w:color="auto"/>
            <w:left w:val="none" w:sz="0" w:space="0" w:color="auto"/>
            <w:bottom w:val="none" w:sz="0" w:space="0" w:color="auto"/>
            <w:right w:val="none" w:sz="0" w:space="0" w:color="auto"/>
          </w:divBdr>
        </w:div>
        <w:div w:id="1873884479">
          <w:marLeft w:val="1166"/>
          <w:marRight w:val="0"/>
          <w:marTop w:val="0"/>
          <w:marBottom w:val="0"/>
          <w:divBdr>
            <w:top w:val="none" w:sz="0" w:space="0" w:color="auto"/>
            <w:left w:val="none" w:sz="0" w:space="0" w:color="auto"/>
            <w:bottom w:val="none" w:sz="0" w:space="0" w:color="auto"/>
            <w:right w:val="none" w:sz="0" w:space="0" w:color="auto"/>
          </w:divBdr>
        </w:div>
      </w:divsChild>
    </w:div>
    <w:div w:id="1219391949">
      <w:bodyDiv w:val="1"/>
      <w:marLeft w:val="0"/>
      <w:marRight w:val="0"/>
      <w:marTop w:val="0"/>
      <w:marBottom w:val="0"/>
      <w:divBdr>
        <w:top w:val="none" w:sz="0" w:space="0" w:color="auto"/>
        <w:left w:val="none" w:sz="0" w:space="0" w:color="auto"/>
        <w:bottom w:val="none" w:sz="0" w:space="0" w:color="auto"/>
        <w:right w:val="none" w:sz="0" w:space="0" w:color="auto"/>
      </w:divBdr>
    </w:div>
    <w:div w:id="1279222986">
      <w:bodyDiv w:val="1"/>
      <w:marLeft w:val="0"/>
      <w:marRight w:val="0"/>
      <w:marTop w:val="0"/>
      <w:marBottom w:val="0"/>
      <w:divBdr>
        <w:top w:val="none" w:sz="0" w:space="0" w:color="auto"/>
        <w:left w:val="none" w:sz="0" w:space="0" w:color="auto"/>
        <w:bottom w:val="none" w:sz="0" w:space="0" w:color="auto"/>
        <w:right w:val="none" w:sz="0" w:space="0" w:color="auto"/>
      </w:divBdr>
    </w:div>
    <w:div w:id="1305113089">
      <w:bodyDiv w:val="1"/>
      <w:marLeft w:val="0"/>
      <w:marRight w:val="0"/>
      <w:marTop w:val="0"/>
      <w:marBottom w:val="0"/>
      <w:divBdr>
        <w:top w:val="none" w:sz="0" w:space="0" w:color="auto"/>
        <w:left w:val="none" w:sz="0" w:space="0" w:color="auto"/>
        <w:bottom w:val="none" w:sz="0" w:space="0" w:color="auto"/>
        <w:right w:val="none" w:sz="0" w:space="0" w:color="auto"/>
      </w:divBdr>
    </w:div>
    <w:div w:id="1309171284">
      <w:bodyDiv w:val="1"/>
      <w:marLeft w:val="0"/>
      <w:marRight w:val="0"/>
      <w:marTop w:val="0"/>
      <w:marBottom w:val="0"/>
      <w:divBdr>
        <w:top w:val="none" w:sz="0" w:space="0" w:color="auto"/>
        <w:left w:val="none" w:sz="0" w:space="0" w:color="auto"/>
        <w:bottom w:val="none" w:sz="0" w:space="0" w:color="auto"/>
        <w:right w:val="none" w:sz="0" w:space="0" w:color="auto"/>
      </w:divBdr>
    </w:div>
    <w:div w:id="1371800411">
      <w:bodyDiv w:val="1"/>
      <w:marLeft w:val="0"/>
      <w:marRight w:val="0"/>
      <w:marTop w:val="0"/>
      <w:marBottom w:val="0"/>
      <w:divBdr>
        <w:top w:val="none" w:sz="0" w:space="0" w:color="auto"/>
        <w:left w:val="none" w:sz="0" w:space="0" w:color="auto"/>
        <w:bottom w:val="none" w:sz="0" w:space="0" w:color="auto"/>
        <w:right w:val="none" w:sz="0" w:space="0" w:color="auto"/>
      </w:divBdr>
    </w:div>
    <w:div w:id="1494643587">
      <w:bodyDiv w:val="1"/>
      <w:marLeft w:val="0"/>
      <w:marRight w:val="0"/>
      <w:marTop w:val="0"/>
      <w:marBottom w:val="0"/>
      <w:divBdr>
        <w:top w:val="none" w:sz="0" w:space="0" w:color="auto"/>
        <w:left w:val="none" w:sz="0" w:space="0" w:color="auto"/>
        <w:bottom w:val="none" w:sz="0" w:space="0" w:color="auto"/>
        <w:right w:val="none" w:sz="0" w:space="0" w:color="auto"/>
      </w:divBdr>
    </w:div>
    <w:div w:id="1538664767">
      <w:bodyDiv w:val="1"/>
      <w:marLeft w:val="0"/>
      <w:marRight w:val="0"/>
      <w:marTop w:val="0"/>
      <w:marBottom w:val="0"/>
      <w:divBdr>
        <w:top w:val="none" w:sz="0" w:space="0" w:color="auto"/>
        <w:left w:val="none" w:sz="0" w:space="0" w:color="auto"/>
        <w:bottom w:val="none" w:sz="0" w:space="0" w:color="auto"/>
        <w:right w:val="none" w:sz="0" w:space="0" w:color="auto"/>
      </w:divBdr>
    </w:div>
    <w:div w:id="1563558308">
      <w:bodyDiv w:val="1"/>
      <w:marLeft w:val="0"/>
      <w:marRight w:val="0"/>
      <w:marTop w:val="0"/>
      <w:marBottom w:val="0"/>
      <w:divBdr>
        <w:top w:val="none" w:sz="0" w:space="0" w:color="auto"/>
        <w:left w:val="none" w:sz="0" w:space="0" w:color="auto"/>
        <w:bottom w:val="none" w:sz="0" w:space="0" w:color="auto"/>
        <w:right w:val="none" w:sz="0" w:space="0" w:color="auto"/>
      </w:divBdr>
    </w:div>
    <w:div w:id="1647318199">
      <w:bodyDiv w:val="1"/>
      <w:marLeft w:val="0"/>
      <w:marRight w:val="0"/>
      <w:marTop w:val="0"/>
      <w:marBottom w:val="0"/>
      <w:divBdr>
        <w:top w:val="none" w:sz="0" w:space="0" w:color="auto"/>
        <w:left w:val="none" w:sz="0" w:space="0" w:color="auto"/>
        <w:bottom w:val="none" w:sz="0" w:space="0" w:color="auto"/>
        <w:right w:val="none" w:sz="0" w:space="0" w:color="auto"/>
      </w:divBdr>
    </w:div>
    <w:div w:id="1671787955">
      <w:bodyDiv w:val="1"/>
      <w:marLeft w:val="0"/>
      <w:marRight w:val="0"/>
      <w:marTop w:val="0"/>
      <w:marBottom w:val="0"/>
      <w:divBdr>
        <w:top w:val="none" w:sz="0" w:space="0" w:color="auto"/>
        <w:left w:val="none" w:sz="0" w:space="0" w:color="auto"/>
        <w:bottom w:val="none" w:sz="0" w:space="0" w:color="auto"/>
        <w:right w:val="none" w:sz="0" w:space="0" w:color="auto"/>
      </w:divBdr>
    </w:div>
    <w:div w:id="1673528378">
      <w:bodyDiv w:val="1"/>
      <w:marLeft w:val="0"/>
      <w:marRight w:val="0"/>
      <w:marTop w:val="0"/>
      <w:marBottom w:val="0"/>
      <w:divBdr>
        <w:top w:val="none" w:sz="0" w:space="0" w:color="auto"/>
        <w:left w:val="none" w:sz="0" w:space="0" w:color="auto"/>
        <w:bottom w:val="none" w:sz="0" w:space="0" w:color="auto"/>
        <w:right w:val="none" w:sz="0" w:space="0" w:color="auto"/>
      </w:divBdr>
    </w:div>
    <w:div w:id="1685283282">
      <w:bodyDiv w:val="1"/>
      <w:marLeft w:val="0"/>
      <w:marRight w:val="0"/>
      <w:marTop w:val="0"/>
      <w:marBottom w:val="0"/>
      <w:divBdr>
        <w:top w:val="none" w:sz="0" w:space="0" w:color="auto"/>
        <w:left w:val="none" w:sz="0" w:space="0" w:color="auto"/>
        <w:bottom w:val="none" w:sz="0" w:space="0" w:color="auto"/>
        <w:right w:val="none" w:sz="0" w:space="0" w:color="auto"/>
      </w:divBdr>
      <w:divsChild>
        <w:div w:id="669255957">
          <w:marLeft w:val="446"/>
          <w:marRight w:val="0"/>
          <w:marTop w:val="0"/>
          <w:marBottom w:val="0"/>
          <w:divBdr>
            <w:top w:val="none" w:sz="0" w:space="0" w:color="auto"/>
            <w:left w:val="none" w:sz="0" w:space="0" w:color="auto"/>
            <w:bottom w:val="none" w:sz="0" w:space="0" w:color="auto"/>
            <w:right w:val="none" w:sz="0" w:space="0" w:color="auto"/>
          </w:divBdr>
        </w:div>
        <w:div w:id="833375000">
          <w:marLeft w:val="446"/>
          <w:marRight w:val="0"/>
          <w:marTop w:val="0"/>
          <w:marBottom w:val="0"/>
          <w:divBdr>
            <w:top w:val="none" w:sz="0" w:space="0" w:color="auto"/>
            <w:left w:val="none" w:sz="0" w:space="0" w:color="auto"/>
            <w:bottom w:val="none" w:sz="0" w:space="0" w:color="auto"/>
            <w:right w:val="none" w:sz="0" w:space="0" w:color="auto"/>
          </w:divBdr>
        </w:div>
        <w:div w:id="1138111620">
          <w:marLeft w:val="446"/>
          <w:marRight w:val="0"/>
          <w:marTop w:val="0"/>
          <w:marBottom w:val="0"/>
          <w:divBdr>
            <w:top w:val="none" w:sz="0" w:space="0" w:color="auto"/>
            <w:left w:val="none" w:sz="0" w:space="0" w:color="auto"/>
            <w:bottom w:val="none" w:sz="0" w:space="0" w:color="auto"/>
            <w:right w:val="none" w:sz="0" w:space="0" w:color="auto"/>
          </w:divBdr>
        </w:div>
        <w:div w:id="1140031430">
          <w:marLeft w:val="446"/>
          <w:marRight w:val="0"/>
          <w:marTop w:val="0"/>
          <w:marBottom w:val="0"/>
          <w:divBdr>
            <w:top w:val="none" w:sz="0" w:space="0" w:color="auto"/>
            <w:left w:val="none" w:sz="0" w:space="0" w:color="auto"/>
            <w:bottom w:val="none" w:sz="0" w:space="0" w:color="auto"/>
            <w:right w:val="none" w:sz="0" w:space="0" w:color="auto"/>
          </w:divBdr>
        </w:div>
        <w:div w:id="1452552852">
          <w:marLeft w:val="446"/>
          <w:marRight w:val="0"/>
          <w:marTop w:val="0"/>
          <w:marBottom w:val="0"/>
          <w:divBdr>
            <w:top w:val="none" w:sz="0" w:space="0" w:color="auto"/>
            <w:left w:val="none" w:sz="0" w:space="0" w:color="auto"/>
            <w:bottom w:val="none" w:sz="0" w:space="0" w:color="auto"/>
            <w:right w:val="none" w:sz="0" w:space="0" w:color="auto"/>
          </w:divBdr>
        </w:div>
        <w:div w:id="1970165344">
          <w:marLeft w:val="446"/>
          <w:marRight w:val="0"/>
          <w:marTop w:val="0"/>
          <w:marBottom w:val="0"/>
          <w:divBdr>
            <w:top w:val="none" w:sz="0" w:space="0" w:color="auto"/>
            <w:left w:val="none" w:sz="0" w:space="0" w:color="auto"/>
            <w:bottom w:val="none" w:sz="0" w:space="0" w:color="auto"/>
            <w:right w:val="none" w:sz="0" w:space="0" w:color="auto"/>
          </w:divBdr>
        </w:div>
      </w:divsChild>
    </w:div>
    <w:div w:id="1707177774">
      <w:bodyDiv w:val="1"/>
      <w:marLeft w:val="0"/>
      <w:marRight w:val="0"/>
      <w:marTop w:val="0"/>
      <w:marBottom w:val="0"/>
      <w:divBdr>
        <w:top w:val="none" w:sz="0" w:space="0" w:color="auto"/>
        <w:left w:val="none" w:sz="0" w:space="0" w:color="auto"/>
        <w:bottom w:val="none" w:sz="0" w:space="0" w:color="auto"/>
        <w:right w:val="none" w:sz="0" w:space="0" w:color="auto"/>
      </w:divBdr>
    </w:div>
    <w:div w:id="1721980498">
      <w:bodyDiv w:val="1"/>
      <w:marLeft w:val="0"/>
      <w:marRight w:val="0"/>
      <w:marTop w:val="0"/>
      <w:marBottom w:val="0"/>
      <w:divBdr>
        <w:top w:val="none" w:sz="0" w:space="0" w:color="auto"/>
        <w:left w:val="none" w:sz="0" w:space="0" w:color="auto"/>
        <w:bottom w:val="none" w:sz="0" w:space="0" w:color="auto"/>
        <w:right w:val="none" w:sz="0" w:space="0" w:color="auto"/>
      </w:divBdr>
    </w:div>
    <w:div w:id="1731880528">
      <w:bodyDiv w:val="1"/>
      <w:marLeft w:val="0"/>
      <w:marRight w:val="0"/>
      <w:marTop w:val="0"/>
      <w:marBottom w:val="0"/>
      <w:divBdr>
        <w:top w:val="none" w:sz="0" w:space="0" w:color="auto"/>
        <w:left w:val="none" w:sz="0" w:space="0" w:color="auto"/>
        <w:bottom w:val="none" w:sz="0" w:space="0" w:color="auto"/>
        <w:right w:val="none" w:sz="0" w:space="0" w:color="auto"/>
      </w:divBdr>
    </w:div>
    <w:div w:id="1767270352">
      <w:bodyDiv w:val="1"/>
      <w:marLeft w:val="0"/>
      <w:marRight w:val="0"/>
      <w:marTop w:val="0"/>
      <w:marBottom w:val="0"/>
      <w:divBdr>
        <w:top w:val="none" w:sz="0" w:space="0" w:color="auto"/>
        <w:left w:val="none" w:sz="0" w:space="0" w:color="auto"/>
        <w:bottom w:val="none" w:sz="0" w:space="0" w:color="auto"/>
        <w:right w:val="none" w:sz="0" w:space="0" w:color="auto"/>
      </w:divBdr>
    </w:div>
    <w:div w:id="1843277688">
      <w:bodyDiv w:val="1"/>
      <w:marLeft w:val="0"/>
      <w:marRight w:val="0"/>
      <w:marTop w:val="0"/>
      <w:marBottom w:val="0"/>
      <w:divBdr>
        <w:top w:val="none" w:sz="0" w:space="0" w:color="auto"/>
        <w:left w:val="none" w:sz="0" w:space="0" w:color="auto"/>
        <w:bottom w:val="none" w:sz="0" w:space="0" w:color="auto"/>
        <w:right w:val="none" w:sz="0" w:space="0" w:color="auto"/>
      </w:divBdr>
    </w:div>
    <w:div w:id="1866870167">
      <w:bodyDiv w:val="1"/>
      <w:marLeft w:val="0"/>
      <w:marRight w:val="0"/>
      <w:marTop w:val="0"/>
      <w:marBottom w:val="0"/>
      <w:divBdr>
        <w:top w:val="none" w:sz="0" w:space="0" w:color="auto"/>
        <w:left w:val="none" w:sz="0" w:space="0" w:color="auto"/>
        <w:bottom w:val="none" w:sz="0" w:space="0" w:color="auto"/>
        <w:right w:val="none" w:sz="0" w:space="0" w:color="auto"/>
      </w:divBdr>
    </w:div>
    <w:div w:id="1935360932">
      <w:bodyDiv w:val="1"/>
      <w:marLeft w:val="0"/>
      <w:marRight w:val="0"/>
      <w:marTop w:val="0"/>
      <w:marBottom w:val="0"/>
      <w:divBdr>
        <w:top w:val="none" w:sz="0" w:space="0" w:color="auto"/>
        <w:left w:val="none" w:sz="0" w:space="0" w:color="auto"/>
        <w:bottom w:val="none" w:sz="0" w:space="0" w:color="auto"/>
        <w:right w:val="none" w:sz="0" w:space="0" w:color="auto"/>
      </w:divBdr>
    </w:div>
    <w:div w:id="1946577927">
      <w:bodyDiv w:val="1"/>
      <w:marLeft w:val="0"/>
      <w:marRight w:val="0"/>
      <w:marTop w:val="0"/>
      <w:marBottom w:val="0"/>
      <w:divBdr>
        <w:top w:val="none" w:sz="0" w:space="0" w:color="auto"/>
        <w:left w:val="none" w:sz="0" w:space="0" w:color="auto"/>
        <w:bottom w:val="none" w:sz="0" w:space="0" w:color="auto"/>
        <w:right w:val="none" w:sz="0" w:space="0" w:color="auto"/>
      </w:divBdr>
    </w:div>
    <w:div w:id="1978561024">
      <w:bodyDiv w:val="1"/>
      <w:marLeft w:val="0"/>
      <w:marRight w:val="0"/>
      <w:marTop w:val="0"/>
      <w:marBottom w:val="0"/>
      <w:divBdr>
        <w:top w:val="none" w:sz="0" w:space="0" w:color="auto"/>
        <w:left w:val="none" w:sz="0" w:space="0" w:color="auto"/>
        <w:bottom w:val="none" w:sz="0" w:space="0" w:color="auto"/>
        <w:right w:val="none" w:sz="0" w:space="0" w:color="auto"/>
      </w:divBdr>
    </w:div>
    <w:div w:id="2009553253">
      <w:bodyDiv w:val="1"/>
      <w:marLeft w:val="0"/>
      <w:marRight w:val="0"/>
      <w:marTop w:val="0"/>
      <w:marBottom w:val="0"/>
      <w:divBdr>
        <w:top w:val="none" w:sz="0" w:space="0" w:color="auto"/>
        <w:left w:val="none" w:sz="0" w:space="0" w:color="auto"/>
        <w:bottom w:val="none" w:sz="0" w:space="0" w:color="auto"/>
        <w:right w:val="none" w:sz="0" w:space="0" w:color="auto"/>
      </w:divBdr>
      <w:divsChild>
        <w:div w:id="5178022">
          <w:marLeft w:val="446"/>
          <w:marRight w:val="0"/>
          <w:marTop w:val="0"/>
          <w:marBottom w:val="0"/>
          <w:divBdr>
            <w:top w:val="none" w:sz="0" w:space="0" w:color="auto"/>
            <w:left w:val="none" w:sz="0" w:space="0" w:color="auto"/>
            <w:bottom w:val="none" w:sz="0" w:space="0" w:color="auto"/>
            <w:right w:val="none" w:sz="0" w:space="0" w:color="auto"/>
          </w:divBdr>
        </w:div>
        <w:div w:id="85618079">
          <w:marLeft w:val="1166"/>
          <w:marRight w:val="0"/>
          <w:marTop w:val="0"/>
          <w:marBottom w:val="0"/>
          <w:divBdr>
            <w:top w:val="none" w:sz="0" w:space="0" w:color="auto"/>
            <w:left w:val="none" w:sz="0" w:space="0" w:color="auto"/>
            <w:bottom w:val="none" w:sz="0" w:space="0" w:color="auto"/>
            <w:right w:val="none" w:sz="0" w:space="0" w:color="auto"/>
          </w:divBdr>
        </w:div>
        <w:div w:id="287708410">
          <w:marLeft w:val="446"/>
          <w:marRight w:val="0"/>
          <w:marTop w:val="0"/>
          <w:marBottom w:val="0"/>
          <w:divBdr>
            <w:top w:val="none" w:sz="0" w:space="0" w:color="auto"/>
            <w:left w:val="none" w:sz="0" w:space="0" w:color="auto"/>
            <w:bottom w:val="none" w:sz="0" w:space="0" w:color="auto"/>
            <w:right w:val="none" w:sz="0" w:space="0" w:color="auto"/>
          </w:divBdr>
        </w:div>
        <w:div w:id="767123492">
          <w:marLeft w:val="1166"/>
          <w:marRight w:val="0"/>
          <w:marTop w:val="0"/>
          <w:marBottom w:val="0"/>
          <w:divBdr>
            <w:top w:val="none" w:sz="0" w:space="0" w:color="auto"/>
            <w:left w:val="none" w:sz="0" w:space="0" w:color="auto"/>
            <w:bottom w:val="none" w:sz="0" w:space="0" w:color="auto"/>
            <w:right w:val="none" w:sz="0" w:space="0" w:color="auto"/>
          </w:divBdr>
        </w:div>
        <w:div w:id="802578082">
          <w:marLeft w:val="446"/>
          <w:marRight w:val="0"/>
          <w:marTop w:val="0"/>
          <w:marBottom w:val="0"/>
          <w:divBdr>
            <w:top w:val="none" w:sz="0" w:space="0" w:color="auto"/>
            <w:left w:val="none" w:sz="0" w:space="0" w:color="auto"/>
            <w:bottom w:val="none" w:sz="0" w:space="0" w:color="auto"/>
            <w:right w:val="none" w:sz="0" w:space="0" w:color="auto"/>
          </w:divBdr>
        </w:div>
        <w:div w:id="804078891">
          <w:marLeft w:val="1166"/>
          <w:marRight w:val="0"/>
          <w:marTop w:val="0"/>
          <w:marBottom w:val="0"/>
          <w:divBdr>
            <w:top w:val="none" w:sz="0" w:space="0" w:color="auto"/>
            <w:left w:val="none" w:sz="0" w:space="0" w:color="auto"/>
            <w:bottom w:val="none" w:sz="0" w:space="0" w:color="auto"/>
            <w:right w:val="none" w:sz="0" w:space="0" w:color="auto"/>
          </w:divBdr>
        </w:div>
        <w:div w:id="1460145612">
          <w:marLeft w:val="1166"/>
          <w:marRight w:val="0"/>
          <w:marTop w:val="0"/>
          <w:marBottom w:val="0"/>
          <w:divBdr>
            <w:top w:val="none" w:sz="0" w:space="0" w:color="auto"/>
            <w:left w:val="none" w:sz="0" w:space="0" w:color="auto"/>
            <w:bottom w:val="none" w:sz="0" w:space="0" w:color="auto"/>
            <w:right w:val="none" w:sz="0" w:space="0" w:color="auto"/>
          </w:divBdr>
        </w:div>
        <w:div w:id="21044471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s://wle-mekong.cgiar.org/essential_grid/mk-23-rivers-for-life-and-livelihoods-classification-of-river-health-in-the-salween-river/" TargetMode="External"/><Relationship Id="rId39" Type="http://schemas.openxmlformats.org/officeDocument/2006/relationships/customXml" Target="../customXml/item2.xml"/><Relationship Id="rId21" Type="http://schemas.openxmlformats.org/officeDocument/2006/relationships/hyperlink" Target="http://www.mrcmekong.org/" TargetMode="External"/><Relationship Id="rId34" Type="http://schemas.openxmlformats.org/officeDocument/2006/relationships/hyperlink" Target="https://www.oxfam.org.au/what-we-do/infrastructure-people-and-environment/save-the-mekong/gia-manu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hyperlink" Target="https://www.oxfam.org.au/what-we-do/infrastructure-people-and-environment/save-the-mekong/mekonginclusion/"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le-mekong.cgiar.org/essential_grid/mk-26-river-food-systems-from-villagers-perspectives-in-the-mekong-delta/" TargetMode="External"/><Relationship Id="rId32" Type="http://schemas.openxmlformats.org/officeDocument/2006/relationships/hyperlink" Target="http://www.mmiid.org/content/myanmar-healthy-rivers-initiative"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mrcmekong.org/topics/pnpca-prior-consultation/pak-beng-hydropower-project/" TargetMode="External"/><Relationship Id="rId28" Type="http://schemas.openxmlformats.org/officeDocument/2006/relationships/hyperlink" Target="https://wle-mekong.cgiar.org/essential_grid/mk-27-inclusive-development-paths-for-healthy-red-river-landscapes-based-on-ecosystem-services/"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hyperlink" Target="http://www.mrcmekong.org/news-and-events/news/official-annoucement-regional-stakeholder-forum-on-the-council-study-and-the-pak-beng-hydropower-projec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myanmarhealthyrivers.org/" TargetMode="External"/><Relationship Id="rId27" Type="http://schemas.openxmlformats.org/officeDocument/2006/relationships/hyperlink" Target="https://wle-mekong.cgiar.org/essential_grid/mk-25-developing-an-operational-framework-for-river-health-assessment-in-the-mekong-river-basin/" TargetMode="External"/><Relationship Id="rId30" Type="http://schemas.openxmlformats.org/officeDocument/2006/relationships/hyperlink" Target="http://www.mrcmekong.org/publications/topic/pnpca-prior-consultation" TargetMode="External"/><Relationship Id="rId35" Type="http://schemas.openxmlformats.org/officeDocument/2006/relationships/hyperlink" Target="https://wle-mekong.cgiar.org/projects/mk24/"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le-mekong.cgiar.org/essential_grid/mk22-balancing-river-health-and-hydropower-requirements-in-the-lancang-river-basin/" TargetMode="External"/><Relationship Id="rId33" Type="http://schemas.openxmlformats.org/officeDocument/2006/relationships/hyperlink" Target="http://www.ifc.org/hydroadvisory" TargetMode="Externa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fc.org/wps/wcm/connect/industry_ext_content/ifc_external_corporate_site/hydro+advisory/news/all+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1D43DB-EB87-4AF8-A765-E8DBE7B3119B}"/>
</file>

<file path=customXml/itemProps2.xml><?xml version="1.0" encoding="utf-8"?>
<ds:datastoreItem xmlns:ds="http://schemas.openxmlformats.org/officeDocument/2006/customXml" ds:itemID="{F4C7C1B1-D92A-4123-88B2-9D18569F9387}"/>
</file>

<file path=customXml/itemProps3.xml><?xml version="1.0" encoding="utf-8"?>
<ds:datastoreItem xmlns:ds="http://schemas.openxmlformats.org/officeDocument/2006/customXml" ds:itemID="{A59305CD-14D9-4194-B527-39E228D35128}"/>
</file>

<file path=customXml/itemProps4.xml><?xml version="1.0" encoding="utf-8"?>
<ds:datastoreItem xmlns:ds="http://schemas.openxmlformats.org/officeDocument/2006/customXml" ds:itemID="{FD15C98B-1477-4127-AC96-30E5CB1EC919}"/>
</file>

<file path=docProps/app.xml><?xml version="1.0" encoding="utf-8"?>
<Properties xmlns="http://schemas.openxmlformats.org/officeDocument/2006/extended-properties" xmlns:vt="http://schemas.openxmlformats.org/officeDocument/2006/docPropsVTypes">
  <Template>Normal.dotm</Template>
  <TotalTime>0</TotalTime>
  <Pages>41</Pages>
  <Words>19840</Words>
  <Characters>120397</Characters>
  <Application>Microsoft Office Word</Application>
  <DocSecurity>0</DocSecurity>
  <Lines>1003</Lines>
  <Paragraphs>279</Paragraphs>
  <ScaleCrop>false</ScaleCrop>
  <HeadingPairs>
    <vt:vector size="2" baseType="variant">
      <vt:variant>
        <vt:lpstr>Title</vt:lpstr>
      </vt:variant>
      <vt:variant>
        <vt:i4>1</vt:i4>
      </vt:variant>
    </vt:vector>
  </HeadingPairs>
  <TitlesOfParts>
    <vt:vector size="1" baseType="lpstr">
      <vt:lpstr>Greater Mekong Water Resources Program’s Approach to Policy Dialogue: evaluative study</vt:lpstr>
    </vt:vector>
  </TitlesOfParts>
  <Company/>
  <LinksUpToDate>false</LinksUpToDate>
  <CharactersWithSpaces>139958</CharactersWithSpaces>
  <SharedDoc>false</SharedDoc>
  <HLinks>
    <vt:vector size="138" baseType="variant">
      <vt:variant>
        <vt:i4>1900599</vt:i4>
      </vt:variant>
      <vt:variant>
        <vt:i4>152</vt:i4>
      </vt:variant>
      <vt:variant>
        <vt:i4>0</vt:i4>
      </vt:variant>
      <vt:variant>
        <vt:i4>5</vt:i4>
      </vt:variant>
      <vt:variant>
        <vt:lpwstr/>
      </vt:variant>
      <vt:variant>
        <vt:lpwstr>_Toc190777137</vt:lpwstr>
      </vt:variant>
      <vt:variant>
        <vt:i4>1900599</vt:i4>
      </vt:variant>
      <vt:variant>
        <vt:i4>149</vt:i4>
      </vt:variant>
      <vt:variant>
        <vt:i4>0</vt:i4>
      </vt:variant>
      <vt:variant>
        <vt:i4>5</vt:i4>
      </vt:variant>
      <vt:variant>
        <vt:lpwstr/>
      </vt:variant>
      <vt:variant>
        <vt:lpwstr>_Toc190777136</vt:lpwstr>
      </vt:variant>
      <vt:variant>
        <vt:i4>1900599</vt:i4>
      </vt:variant>
      <vt:variant>
        <vt:i4>146</vt:i4>
      </vt:variant>
      <vt:variant>
        <vt:i4>0</vt:i4>
      </vt:variant>
      <vt:variant>
        <vt:i4>5</vt:i4>
      </vt:variant>
      <vt:variant>
        <vt:lpwstr/>
      </vt:variant>
      <vt:variant>
        <vt:lpwstr>_Toc190777135</vt:lpwstr>
      </vt:variant>
      <vt:variant>
        <vt:i4>1441854</vt:i4>
      </vt:variant>
      <vt:variant>
        <vt:i4>137</vt:i4>
      </vt:variant>
      <vt:variant>
        <vt:i4>0</vt:i4>
      </vt:variant>
      <vt:variant>
        <vt:i4>5</vt:i4>
      </vt:variant>
      <vt:variant>
        <vt:lpwstr/>
      </vt:variant>
      <vt:variant>
        <vt:lpwstr>_Toc187812936</vt:lpwstr>
      </vt:variant>
      <vt:variant>
        <vt:i4>1441854</vt:i4>
      </vt:variant>
      <vt:variant>
        <vt:i4>128</vt:i4>
      </vt:variant>
      <vt:variant>
        <vt:i4>0</vt:i4>
      </vt:variant>
      <vt:variant>
        <vt:i4>5</vt:i4>
      </vt:variant>
      <vt:variant>
        <vt:lpwstr/>
      </vt:variant>
      <vt:variant>
        <vt:lpwstr>_Toc187812935</vt:lpwstr>
      </vt:variant>
      <vt:variant>
        <vt:i4>1441854</vt:i4>
      </vt:variant>
      <vt:variant>
        <vt:i4>119</vt:i4>
      </vt:variant>
      <vt:variant>
        <vt:i4>0</vt:i4>
      </vt:variant>
      <vt:variant>
        <vt:i4>5</vt:i4>
      </vt:variant>
      <vt:variant>
        <vt:lpwstr/>
      </vt:variant>
      <vt:variant>
        <vt:lpwstr>_Toc187812934</vt:lpwstr>
      </vt:variant>
      <vt:variant>
        <vt:i4>1441854</vt:i4>
      </vt:variant>
      <vt:variant>
        <vt:i4>113</vt:i4>
      </vt:variant>
      <vt:variant>
        <vt:i4>0</vt:i4>
      </vt:variant>
      <vt:variant>
        <vt:i4>5</vt:i4>
      </vt:variant>
      <vt:variant>
        <vt:lpwstr/>
      </vt:variant>
      <vt:variant>
        <vt:lpwstr>_Toc187812933</vt:lpwstr>
      </vt:variant>
      <vt:variant>
        <vt:i4>1441854</vt:i4>
      </vt:variant>
      <vt:variant>
        <vt:i4>104</vt:i4>
      </vt:variant>
      <vt:variant>
        <vt:i4>0</vt:i4>
      </vt:variant>
      <vt:variant>
        <vt:i4>5</vt:i4>
      </vt:variant>
      <vt:variant>
        <vt:lpwstr/>
      </vt:variant>
      <vt:variant>
        <vt:lpwstr>_Toc187812932</vt:lpwstr>
      </vt:variant>
      <vt:variant>
        <vt:i4>1441854</vt:i4>
      </vt:variant>
      <vt:variant>
        <vt:i4>98</vt:i4>
      </vt:variant>
      <vt:variant>
        <vt:i4>0</vt:i4>
      </vt:variant>
      <vt:variant>
        <vt:i4>5</vt:i4>
      </vt:variant>
      <vt:variant>
        <vt:lpwstr/>
      </vt:variant>
      <vt:variant>
        <vt:lpwstr>_Toc187812931</vt:lpwstr>
      </vt:variant>
      <vt:variant>
        <vt:i4>1441854</vt:i4>
      </vt:variant>
      <vt:variant>
        <vt:i4>92</vt:i4>
      </vt:variant>
      <vt:variant>
        <vt:i4>0</vt:i4>
      </vt:variant>
      <vt:variant>
        <vt:i4>5</vt:i4>
      </vt:variant>
      <vt:variant>
        <vt:lpwstr/>
      </vt:variant>
      <vt:variant>
        <vt:lpwstr>_Toc187812930</vt:lpwstr>
      </vt:variant>
      <vt:variant>
        <vt:i4>1507390</vt:i4>
      </vt:variant>
      <vt:variant>
        <vt:i4>86</vt:i4>
      </vt:variant>
      <vt:variant>
        <vt:i4>0</vt:i4>
      </vt:variant>
      <vt:variant>
        <vt:i4>5</vt:i4>
      </vt:variant>
      <vt:variant>
        <vt:lpwstr/>
      </vt:variant>
      <vt:variant>
        <vt:lpwstr>_Toc187812929</vt:lpwstr>
      </vt:variant>
      <vt:variant>
        <vt:i4>1507390</vt:i4>
      </vt:variant>
      <vt:variant>
        <vt:i4>80</vt:i4>
      </vt:variant>
      <vt:variant>
        <vt:i4>0</vt:i4>
      </vt:variant>
      <vt:variant>
        <vt:i4>5</vt:i4>
      </vt:variant>
      <vt:variant>
        <vt:lpwstr/>
      </vt:variant>
      <vt:variant>
        <vt:lpwstr>_Toc187812928</vt:lpwstr>
      </vt:variant>
      <vt:variant>
        <vt:i4>1507390</vt:i4>
      </vt:variant>
      <vt:variant>
        <vt:i4>74</vt:i4>
      </vt:variant>
      <vt:variant>
        <vt:i4>0</vt:i4>
      </vt:variant>
      <vt:variant>
        <vt:i4>5</vt:i4>
      </vt:variant>
      <vt:variant>
        <vt:lpwstr/>
      </vt:variant>
      <vt:variant>
        <vt:lpwstr>_Toc187812927</vt:lpwstr>
      </vt:variant>
      <vt:variant>
        <vt:i4>1507390</vt:i4>
      </vt:variant>
      <vt:variant>
        <vt:i4>68</vt:i4>
      </vt:variant>
      <vt:variant>
        <vt:i4>0</vt:i4>
      </vt:variant>
      <vt:variant>
        <vt:i4>5</vt:i4>
      </vt:variant>
      <vt:variant>
        <vt:lpwstr/>
      </vt:variant>
      <vt:variant>
        <vt:lpwstr>_Toc187812926</vt:lpwstr>
      </vt:variant>
      <vt:variant>
        <vt:i4>1507390</vt:i4>
      </vt:variant>
      <vt:variant>
        <vt:i4>59</vt:i4>
      </vt:variant>
      <vt:variant>
        <vt:i4>0</vt:i4>
      </vt:variant>
      <vt:variant>
        <vt:i4>5</vt:i4>
      </vt:variant>
      <vt:variant>
        <vt:lpwstr/>
      </vt:variant>
      <vt:variant>
        <vt:lpwstr>_Toc187812925</vt:lpwstr>
      </vt:variant>
      <vt:variant>
        <vt:i4>1507390</vt:i4>
      </vt:variant>
      <vt:variant>
        <vt:i4>53</vt:i4>
      </vt:variant>
      <vt:variant>
        <vt:i4>0</vt:i4>
      </vt:variant>
      <vt:variant>
        <vt:i4>5</vt:i4>
      </vt:variant>
      <vt:variant>
        <vt:lpwstr/>
      </vt:variant>
      <vt:variant>
        <vt:lpwstr>_Toc187812924</vt:lpwstr>
      </vt:variant>
      <vt:variant>
        <vt:i4>1507390</vt:i4>
      </vt:variant>
      <vt:variant>
        <vt:i4>47</vt:i4>
      </vt:variant>
      <vt:variant>
        <vt:i4>0</vt:i4>
      </vt:variant>
      <vt:variant>
        <vt:i4>5</vt:i4>
      </vt:variant>
      <vt:variant>
        <vt:lpwstr/>
      </vt:variant>
      <vt:variant>
        <vt:lpwstr>_Toc187812923</vt:lpwstr>
      </vt:variant>
      <vt:variant>
        <vt:i4>1507390</vt:i4>
      </vt:variant>
      <vt:variant>
        <vt:i4>41</vt:i4>
      </vt:variant>
      <vt:variant>
        <vt:i4>0</vt:i4>
      </vt:variant>
      <vt:variant>
        <vt:i4>5</vt:i4>
      </vt:variant>
      <vt:variant>
        <vt:lpwstr/>
      </vt:variant>
      <vt:variant>
        <vt:lpwstr>_Toc187812922</vt:lpwstr>
      </vt:variant>
      <vt:variant>
        <vt:i4>1507390</vt:i4>
      </vt:variant>
      <vt:variant>
        <vt:i4>35</vt:i4>
      </vt:variant>
      <vt:variant>
        <vt:i4>0</vt:i4>
      </vt:variant>
      <vt:variant>
        <vt:i4>5</vt:i4>
      </vt:variant>
      <vt:variant>
        <vt:lpwstr/>
      </vt:variant>
      <vt:variant>
        <vt:lpwstr>_Toc187812921</vt:lpwstr>
      </vt:variant>
      <vt:variant>
        <vt:i4>1507390</vt:i4>
      </vt:variant>
      <vt:variant>
        <vt:i4>29</vt:i4>
      </vt:variant>
      <vt:variant>
        <vt:i4>0</vt:i4>
      </vt:variant>
      <vt:variant>
        <vt:i4>5</vt:i4>
      </vt:variant>
      <vt:variant>
        <vt:lpwstr/>
      </vt:variant>
      <vt:variant>
        <vt:lpwstr>_Toc187812920</vt:lpwstr>
      </vt:variant>
      <vt:variant>
        <vt:i4>1310782</vt:i4>
      </vt:variant>
      <vt:variant>
        <vt:i4>23</vt:i4>
      </vt:variant>
      <vt:variant>
        <vt:i4>0</vt:i4>
      </vt:variant>
      <vt:variant>
        <vt:i4>5</vt:i4>
      </vt:variant>
      <vt:variant>
        <vt:lpwstr/>
      </vt:variant>
      <vt:variant>
        <vt:lpwstr>_Toc187812919</vt:lpwstr>
      </vt:variant>
      <vt:variant>
        <vt:i4>1310782</vt:i4>
      </vt:variant>
      <vt:variant>
        <vt:i4>17</vt:i4>
      </vt:variant>
      <vt:variant>
        <vt:i4>0</vt:i4>
      </vt:variant>
      <vt:variant>
        <vt:i4>5</vt:i4>
      </vt:variant>
      <vt:variant>
        <vt:lpwstr/>
      </vt:variant>
      <vt:variant>
        <vt:lpwstr>_Toc187812918</vt:lpwstr>
      </vt:variant>
      <vt:variant>
        <vt:i4>1310782</vt:i4>
      </vt:variant>
      <vt:variant>
        <vt:i4>11</vt:i4>
      </vt:variant>
      <vt:variant>
        <vt:i4>0</vt:i4>
      </vt:variant>
      <vt:variant>
        <vt:i4>5</vt:i4>
      </vt:variant>
      <vt:variant>
        <vt:lpwstr/>
      </vt:variant>
      <vt:variant>
        <vt:lpwstr>_Toc187812917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Mekong Water Resources Program’s approach to policy dialogue: evaluative study</dc:title>
  <dc:creator/>
  <cp:lastModifiedBy/>
  <cp:revision>1</cp:revision>
  <dcterms:created xsi:type="dcterms:W3CDTF">2017-09-27T22:35:00Z</dcterms:created>
  <dcterms:modified xsi:type="dcterms:W3CDTF">2017-09-27T22:37:00Z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04cd2bf6-378a-4b79-a98e-6709119a97be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1128000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