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C4" w:rsidRPr="006D52FD" w:rsidRDefault="00D064C4" w:rsidP="00D064C4">
      <w:pPr>
        <w:spacing w:after="240"/>
        <w:rPr>
          <w:rFonts w:ascii="Helvetica" w:hAnsi="Helvetica" w:cs="Helvetica"/>
          <w:b/>
          <w:bCs/>
          <w:color w:val="002060"/>
          <w:sz w:val="24"/>
          <w:lang w:eastAsia="en-US"/>
        </w:rPr>
      </w:pPr>
      <w:r w:rsidRPr="006D52FD">
        <w:rPr>
          <w:rFonts w:ascii="Helvetica" w:hAnsi="Helvetica" w:cs="Helvetica"/>
          <w:b/>
          <w:bCs/>
          <w:color w:val="002060"/>
          <w:sz w:val="24"/>
          <w:lang w:eastAsia="en-US"/>
        </w:rPr>
        <w:t>Management re</w:t>
      </w:r>
      <w:bookmarkStart w:id="0" w:name="_GoBack"/>
      <w:bookmarkEnd w:id="0"/>
      <w:r w:rsidRPr="006D52FD">
        <w:rPr>
          <w:rFonts w:ascii="Helvetica" w:hAnsi="Helvetica" w:cs="Helvetica"/>
          <w:b/>
          <w:bCs/>
          <w:color w:val="002060"/>
          <w:sz w:val="24"/>
          <w:lang w:eastAsia="en-US"/>
        </w:rPr>
        <w:t xml:space="preserve">sponse to the recommendations </w:t>
      </w:r>
    </w:p>
    <w:tbl>
      <w:tblPr>
        <w:tblStyle w:val="ODETable"/>
        <w:tblW w:w="0" w:type="auto"/>
        <w:tblLook w:val="04A0" w:firstRow="1" w:lastRow="0" w:firstColumn="1" w:lastColumn="0" w:noHBand="0" w:noVBand="1"/>
      </w:tblPr>
      <w:tblGrid>
        <w:gridCol w:w="3429"/>
        <w:gridCol w:w="1274"/>
        <w:gridCol w:w="3646"/>
        <w:gridCol w:w="3229"/>
        <w:gridCol w:w="2672"/>
      </w:tblGrid>
      <w:tr w:rsidR="00D064C4" w:rsidRPr="006D52FD" w:rsidTr="00D064C4">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323E4F" w:themeFill="text2" w:themeFillShade="BF"/>
          </w:tcPr>
          <w:p w:rsidR="00D064C4" w:rsidRPr="006D52FD" w:rsidRDefault="00D064C4" w:rsidP="00BD4E11">
            <w:pPr>
              <w:pStyle w:val="Heading3"/>
              <w:outlineLvl w:val="2"/>
              <w:rPr>
                <w:rFonts w:cs="Helvetica"/>
                <w:b/>
                <w:bCs/>
                <w:sz w:val="22"/>
                <w:szCs w:val="22"/>
              </w:rPr>
            </w:pPr>
            <w:r w:rsidRPr="006D52FD">
              <w:rPr>
                <w:rFonts w:cs="Helvetica"/>
                <w:b/>
                <w:bCs/>
                <w:sz w:val="22"/>
                <w:szCs w:val="22"/>
              </w:rPr>
              <w:t>Recommendation</w:t>
            </w:r>
          </w:p>
        </w:tc>
        <w:tc>
          <w:tcPr>
            <w:tcW w:w="1276" w:type="dxa"/>
            <w:shd w:val="clear" w:color="auto" w:fill="323E4F" w:themeFill="text2" w:themeFillShade="BF"/>
          </w:tcPr>
          <w:p w:rsidR="00D064C4" w:rsidRPr="006D52FD" w:rsidRDefault="00D064C4" w:rsidP="00BD4E11">
            <w:pPr>
              <w:pStyle w:val="Heading3"/>
              <w:outlineLvl w:val="2"/>
              <w:rPr>
                <w:rFonts w:cs="Helvetica"/>
                <w:b/>
                <w:bCs/>
                <w:sz w:val="22"/>
                <w:szCs w:val="22"/>
              </w:rPr>
            </w:pPr>
            <w:r w:rsidRPr="006D52FD">
              <w:rPr>
                <w:rFonts w:cs="Helvetica"/>
                <w:b/>
                <w:bCs/>
                <w:sz w:val="22"/>
                <w:szCs w:val="22"/>
              </w:rPr>
              <w:t xml:space="preserve">Response </w:t>
            </w:r>
            <w:r w:rsidRPr="006D52FD">
              <w:rPr>
                <w:rFonts w:cs="Helvetica"/>
                <w:b/>
                <w:bCs/>
                <w:sz w:val="22"/>
                <w:szCs w:val="22"/>
              </w:rPr>
              <w:br/>
            </w:r>
          </w:p>
        </w:tc>
        <w:tc>
          <w:tcPr>
            <w:tcW w:w="3686" w:type="dxa"/>
            <w:shd w:val="clear" w:color="auto" w:fill="323E4F" w:themeFill="text2" w:themeFillShade="BF"/>
          </w:tcPr>
          <w:p w:rsidR="00D064C4" w:rsidRPr="006D52FD" w:rsidRDefault="00D064C4" w:rsidP="00BD4E11">
            <w:pPr>
              <w:pStyle w:val="Heading3"/>
              <w:outlineLvl w:val="2"/>
              <w:rPr>
                <w:rFonts w:cs="Helvetica"/>
                <w:b/>
                <w:bCs/>
                <w:sz w:val="22"/>
                <w:szCs w:val="22"/>
              </w:rPr>
            </w:pPr>
            <w:r w:rsidRPr="006D52FD">
              <w:rPr>
                <w:rFonts w:cs="Helvetica"/>
                <w:b/>
                <w:bCs/>
                <w:sz w:val="22"/>
                <w:szCs w:val="22"/>
              </w:rPr>
              <w:t xml:space="preserve">Explanation </w:t>
            </w:r>
          </w:p>
        </w:tc>
        <w:tc>
          <w:tcPr>
            <w:tcW w:w="3260" w:type="dxa"/>
            <w:shd w:val="clear" w:color="auto" w:fill="323E4F" w:themeFill="text2" w:themeFillShade="BF"/>
          </w:tcPr>
          <w:p w:rsidR="00D064C4" w:rsidRPr="006D52FD" w:rsidRDefault="00D064C4" w:rsidP="00BD4E11">
            <w:pPr>
              <w:pStyle w:val="Heading3"/>
              <w:outlineLvl w:val="2"/>
              <w:rPr>
                <w:rFonts w:cs="Helvetica"/>
                <w:b/>
                <w:bCs/>
                <w:sz w:val="22"/>
                <w:szCs w:val="22"/>
              </w:rPr>
            </w:pPr>
            <w:r w:rsidRPr="006D52FD">
              <w:rPr>
                <w:rFonts w:cs="Helvetica"/>
                <w:b/>
                <w:bCs/>
                <w:sz w:val="22"/>
                <w:szCs w:val="22"/>
              </w:rPr>
              <w:t xml:space="preserve">Action plan </w:t>
            </w:r>
          </w:p>
        </w:tc>
        <w:tc>
          <w:tcPr>
            <w:tcW w:w="2693" w:type="dxa"/>
            <w:shd w:val="clear" w:color="auto" w:fill="323E4F" w:themeFill="text2" w:themeFillShade="BF"/>
          </w:tcPr>
          <w:p w:rsidR="00D064C4" w:rsidRPr="006D52FD" w:rsidRDefault="00D064C4" w:rsidP="00BD4E11">
            <w:pPr>
              <w:pStyle w:val="Heading3"/>
              <w:outlineLvl w:val="2"/>
              <w:rPr>
                <w:rFonts w:cs="Helvetica"/>
                <w:b/>
                <w:bCs/>
                <w:sz w:val="22"/>
                <w:szCs w:val="22"/>
              </w:rPr>
            </w:pPr>
            <w:r w:rsidRPr="006D52FD">
              <w:rPr>
                <w:rFonts w:cs="Helvetica"/>
                <w:b/>
                <w:bCs/>
                <w:sz w:val="22"/>
                <w:szCs w:val="22"/>
              </w:rPr>
              <w:t>If practical, please specify timeframe here</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color w:val="auto"/>
                <w:sz w:val="22"/>
                <w:szCs w:val="22"/>
                <w:lang w:eastAsia="en-US"/>
              </w:rPr>
            </w:pPr>
            <w:r w:rsidRPr="006D52FD">
              <w:rPr>
                <w:rFonts w:ascii="Helvetica" w:hAnsi="Helvetica" w:cs="Helvetica"/>
                <w:color w:val="auto"/>
                <w:sz w:val="22"/>
                <w:szCs w:val="22"/>
                <w:lang w:eastAsia="en-US"/>
              </w:rPr>
              <w:t xml:space="preserve">Bring implementing partners together to </w:t>
            </w:r>
            <w:r w:rsidRPr="006D52FD">
              <w:rPr>
                <w:rFonts w:ascii="Helvetica" w:hAnsi="Helvetica" w:cs="Helvetica"/>
                <w:b/>
                <w:bCs/>
                <w:color w:val="auto"/>
                <w:sz w:val="22"/>
                <w:szCs w:val="22"/>
                <w:lang w:eastAsia="en-US"/>
              </w:rPr>
              <w:t>agree on a common definition</w:t>
            </w:r>
            <w:r w:rsidRPr="006D52FD">
              <w:rPr>
                <w:rFonts w:ascii="Helvetica" w:hAnsi="Helvetica" w:cs="Helvetica"/>
                <w:color w:val="auto"/>
                <w:sz w:val="22"/>
                <w:szCs w:val="22"/>
                <w:lang w:eastAsia="en-US"/>
              </w:rPr>
              <w:t xml:space="preserve"> and understanding of policy, policy influencing, and dialogue.</w:t>
            </w:r>
          </w:p>
        </w:tc>
        <w:tc>
          <w:tcPr>
            <w:tcW w:w="1276" w:type="dxa"/>
            <w:shd w:val="clear" w:color="auto" w:fill="00B050"/>
          </w:tcPr>
          <w:p w:rsidR="00D064C4" w:rsidRPr="006D52FD" w:rsidRDefault="00D064C4" w:rsidP="00BD4E11">
            <w:pPr>
              <w:pStyle w:val="Heading3"/>
              <w:outlineLvl w:val="2"/>
              <w:rPr>
                <w:rFonts w:cs="Helvetica"/>
                <w:sz w:val="22"/>
                <w:szCs w:val="22"/>
                <w:highlight w:val="green"/>
              </w:rPr>
            </w:pPr>
            <w:r w:rsidRPr="006D52FD">
              <w:rPr>
                <w:rFonts w:cs="Helvetica"/>
                <w:sz w:val="22"/>
                <w:szCs w:val="22"/>
              </w:rPr>
              <w:t>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Having a common understanding and definition of policy, policy influencing and policy dialogue would allow consistency amongst partners and more effective approach. Each partner however has its own objectives and approach to policy, which need</w:t>
            </w:r>
            <w:r>
              <w:rPr>
                <w:rFonts w:ascii="Helvetica" w:hAnsi="Helvetica" w:cs="Helvetica"/>
                <w:sz w:val="22"/>
                <w:szCs w:val="22"/>
              </w:rPr>
              <w:t>s</w:t>
            </w:r>
            <w:r w:rsidRPr="006D52FD">
              <w:rPr>
                <w:rFonts w:ascii="Helvetica" w:hAnsi="Helvetica" w:cs="Helvetica"/>
                <w:sz w:val="22"/>
                <w:szCs w:val="22"/>
              </w:rPr>
              <w:t xml:space="preserve"> to be acknowledged.</w:t>
            </w:r>
          </w:p>
        </w:tc>
        <w:tc>
          <w:tcPr>
            <w:tcW w:w="3260" w:type="dxa"/>
            <w:shd w:val="clear" w:color="auto" w:fill="BDD6EE" w:themeFill="accent1" w:themeFillTint="66"/>
          </w:tcPr>
          <w:p w:rsidR="00D064C4" w:rsidRPr="006D52FD" w:rsidRDefault="00D064C4" w:rsidP="00BD4E11">
            <w:pPr>
              <w:contextualSpacing/>
              <w:rPr>
                <w:rFonts w:ascii="Helvetica" w:hAnsi="Helvetica" w:cs="Helvetica"/>
                <w:sz w:val="22"/>
                <w:szCs w:val="22"/>
              </w:rPr>
            </w:pPr>
            <w:r w:rsidRPr="006D52FD">
              <w:rPr>
                <w:rFonts w:ascii="Helvetica" w:hAnsi="Helvetica" w:cs="Helvetica"/>
                <w:sz w:val="22"/>
                <w:szCs w:val="22"/>
              </w:rPr>
              <w:t xml:space="preserve">DFAT will work with all implementing partners to agree on a common understanding of policy, policy influencing and dialogue, noting each partner has its own agenda to pursue. </w:t>
            </w:r>
          </w:p>
          <w:p w:rsidR="00D064C4" w:rsidRPr="006D52FD" w:rsidRDefault="00D064C4" w:rsidP="00BD4E11">
            <w:pPr>
              <w:pStyle w:val="BodyText"/>
              <w:rPr>
                <w:rFonts w:ascii="Helvetica" w:hAnsi="Helvetica" w:cs="Helvetica"/>
                <w:sz w:val="22"/>
                <w:szCs w:val="22"/>
              </w:rPr>
            </w:pP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Agree on common definition and understanding by the next annual partners’ meeting (exact date TBC).</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color w:val="auto"/>
                <w:sz w:val="22"/>
                <w:szCs w:val="22"/>
                <w:lang w:eastAsia="en-US"/>
              </w:rPr>
            </w:pPr>
            <w:r w:rsidRPr="006D52FD">
              <w:rPr>
                <w:rFonts w:ascii="Helvetica" w:hAnsi="Helvetica" w:cs="Helvetica"/>
                <w:b/>
                <w:bCs/>
                <w:color w:val="auto"/>
                <w:sz w:val="22"/>
                <w:szCs w:val="22"/>
                <w:lang w:eastAsia="en-US"/>
              </w:rPr>
              <w:t xml:space="preserve">Political economy analyses </w:t>
            </w:r>
            <w:r w:rsidRPr="006D52FD">
              <w:rPr>
                <w:rFonts w:ascii="Helvetica" w:hAnsi="Helvetica" w:cs="Helvetica"/>
                <w:color w:val="auto"/>
                <w:sz w:val="22"/>
                <w:szCs w:val="22"/>
                <w:lang w:eastAsia="en-US"/>
              </w:rPr>
              <w:t>should be annually updated by implementing partners and for the program as a whole.</w:t>
            </w:r>
          </w:p>
        </w:tc>
        <w:tc>
          <w:tcPr>
            <w:tcW w:w="1276" w:type="dxa"/>
            <w:shd w:val="clear" w:color="auto" w:fill="FFC000"/>
          </w:tcPr>
          <w:p w:rsidR="00D064C4" w:rsidRPr="006D52FD" w:rsidRDefault="00D064C4" w:rsidP="00BD4E11">
            <w:pPr>
              <w:pStyle w:val="Heading3"/>
              <w:outlineLvl w:val="2"/>
              <w:rPr>
                <w:rFonts w:cs="Helvetica"/>
                <w:sz w:val="22"/>
                <w:szCs w:val="22"/>
              </w:rPr>
            </w:pPr>
            <w:r w:rsidRPr="006D52FD">
              <w:rPr>
                <w:rFonts w:cs="Helvetica"/>
                <w:sz w:val="22"/>
                <w:szCs w:val="22"/>
              </w:rPr>
              <w:t>Partially 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DFAT and implementing partners have in the past used the annual partners’ meeting to have in-depth discussions about the political economic situation in the region. However, more could be done to embed political economy analysis into partners’ annual work</w:t>
            </w:r>
            <w:r>
              <w:rPr>
                <w:rFonts w:ascii="Helvetica" w:hAnsi="Helvetica" w:cs="Helvetica"/>
                <w:sz w:val="22"/>
                <w:szCs w:val="22"/>
              </w:rPr>
              <w:t xml:space="preserve"> </w:t>
            </w:r>
            <w:r w:rsidRPr="006D52FD">
              <w:rPr>
                <w:rFonts w:ascii="Helvetica" w:hAnsi="Helvetica" w:cs="Helvetica"/>
                <w:sz w:val="22"/>
                <w:szCs w:val="22"/>
              </w:rPr>
              <w:t>plan (possibly to be revised on a 6 monthly basis).</w:t>
            </w:r>
          </w:p>
        </w:tc>
        <w:tc>
          <w:tcPr>
            <w:tcW w:w="3260" w:type="dxa"/>
            <w:shd w:val="clear" w:color="auto" w:fill="BDD6EE" w:themeFill="accent1" w:themeFillTint="66"/>
          </w:tcPr>
          <w:p w:rsidR="00D064C4" w:rsidRPr="006D52FD" w:rsidRDefault="00D064C4" w:rsidP="00BD4E11">
            <w:pPr>
              <w:contextualSpacing/>
              <w:rPr>
                <w:rFonts w:ascii="Helvetica" w:hAnsi="Helvetica" w:cs="Helvetica"/>
                <w:sz w:val="22"/>
                <w:szCs w:val="22"/>
              </w:rPr>
            </w:pPr>
            <w:r w:rsidRPr="006D52FD">
              <w:rPr>
                <w:rFonts w:ascii="Helvetica" w:hAnsi="Helvetica" w:cs="Helvetica"/>
                <w:sz w:val="22"/>
                <w:szCs w:val="22"/>
              </w:rPr>
              <w:t>Allow more time for discussion at the next partners’ meeting to make sure all partners are fully aware of the importance of ongoing political economy analysis in their daily work.</w:t>
            </w: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 xml:space="preserve">Use annual partners’ meeting as a platform for this exercise and discussion. </w:t>
            </w:r>
          </w:p>
        </w:tc>
      </w:tr>
      <w:tr w:rsidR="00D064C4" w:rsidRPr="006D52FD" w:rsidTr="00D064C4">
        <w:tc>
          <w:tcPr>
            <w:tcW w:w="3459" w:type="dxa"/>
            <w:shd w:val="clear" w:color="auto" w:fill="BDD6EE" w:themeFill="accent1" w:themeFillTint="66"/>
          </w:tcPr>
          <w:p w:rsidR="00D064C4" w:rsidRPr="006D52FD" w:rsidRDefault="00D064C4" w:rsidP="00BD4E11">
            <w:pPr>
              <w:pStyle w:val="BodyText"/>
              <w:spacing w:after="0"/>
              <w:rPr>
                <w:rFonts w:ascii="Helvetica" w:hAnsi="Helvetica" w:cs="Helvetica"/>
                <w:color w:val="auto"/>
                <w:sz w:val="22"/>
                <w:szCs w:val="22"/>
                <w:lang w:eastAsia="en-US"/>
              </w:rPr>
            </w:pPr>
            <w:r w:rsidRPr="006D52FD">
              <w:rPr>
                <w:rFonts w:ascii="Helvetica" w:hAnsi="Helvetica" w:cs="Helvetica"/>
                <w:color w:val="auto"/>
                <w:sz w:val="22"/>
                <w:szCs w:val="22"/>
                <w:lang w:eastAsia="en-US"/>
              </w:rPr>
              <w:t xml:space="preserve">In consultation with implementing partners, </w:t>
            </w:r>
            <w:r w:rsidRPr="006D52FD">
              <w:rPr>
                <w:rFonts w:ascii="Helvetica" w:hAnsi="Helvetica" w:cs="Helvetica"/>
                <w:b/>
                <w:bCs/>
                <w:color w:val="auto"/>
                <w:sz w:val="22"/>
                <w:szCs w:val="22"/>
                <w:lang w:eastAsia="en-US"/>
              </w:rPr>
              <w:t xml:space="preserve">focus on a few policy issues </w:t>
            </w:r>
            <w:r w:rsidRPr="006D52FD">
              <w:rPr>
                <w:rFonts w:ascii="Helvetica" w:hAnsi="Helvetica" w:cs="Helvetica"/>
                <w:color w:val="auto"/>
                <w:sz w:val="22"/>
                <w:szCs w:val="22"/>
                <w:lang w:eastAsia="en-US"/>
              </w:rPr>
              <w:t>on which GMWRP could exert some influence, and convene a series of dialogue events on these issues.</w:t>
            </w:r>
          </w:p>
        </w:tc>
        <w:tc>
          <w:tcPr>
            <w:tcW w:w="1276" w:type="dxa"/>
            <w:shd w:val="clear" w:color="auto" w:fill="00B050"/>
          </w:tcPr>
          <w:p w:rsidR="00D064C4" w:rsidRPr="006D52FD" w:rsidRDefault="00D064C4" w:rsidP="00BD4E11">
            <w:pPr>
              <w:pStyle w:val="Heading3"/>
              <w:outlineLvl w:val="2"/>
              <w:rPr>
                <w:rFonts w:cs="Helvetica"/>
                <w:sz w:val="22"/>
                <w:szCs w:val="22"/>
              </w:rPr>
            </w:pPr>
            <w:r w:rsidRPr="006D52FD">
              <w:rPr>
                <w:rFonts w:cs="Helvetica"/>
                <w:sz w:val="22"/>
                <w:szCs w:val="22"/>
              </w:rPr>
              <w:t>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 xml:space="preserve">DFAT agrees on focusing on a few strategic policy issues where we can exercise some influence. The program should nonetheless remain flexible and </w:t>
            </w:r>
            <w:r>
              <w:rPr>
                <w:rFonts w:ascii="Helvetica" w:hAnsi="Helvetica" w:cs="Helvetica"/>
                <w:sz w:val="22"/>
                <w:szCs w:val="22"/>
              </w:rPr>
              <w:t xml:space="preserve">able to respond opportunistically to </w:t>
            </w:r>
            <w:r w:rsidRPr="006D52FD">
              <w:rPr>
                <w:rFonts w:ascii="Helvetica" w:hAnsi="Helvetica" w:cs="Helvetica"/>
                <w:sz w:val="22"/>
                <w:szCs w:val="22"/>
              </w:rPr>
              <w:t>emerging policy priorities</w:t>
            </w:r>
            <w:r>
              <w:rPr>
                <w:rFonts w:ascii="Helvetica" w:hAnsi="Helvetica" w:cs="Helvetica"/>
                <w:sz w:val="22"/>
                <w:szCs w:val="22"/>
              </w:rPr>
              <w:t>.</w:t>
            </w:r>
          </w:p>
        </w:tc>
        <w:tc>
          <w:tcPr>
            <w:tcW w:w="3260" w:type="dxa"/>
            <w:shd w:val="clear" w:color="auto" w:fill="BDD6EE" w:themeFill="accent1" w:themeFillTint="66"/>
          </w:tcPr>
          <w:p w:rsidR="00D064C4" w:rsidRPr="006D52FD" w:rsidRDefault="00D064C4" w:rsidP="00BD4E11">
            <w:pPr>
              <w:contextualSpacing/>
              <w:rPr>
                <w:rFonts w:ascii="Helvetica" w:hAnsi="Helvetica" w:cs="Helvetica"/>
                <w:color w:val="auto"/>
                <w:sz w:val="22"/>
                <w:szCs w:val="22"/>
                <w:lang w:eastAsia="en-US"/>
              </w:rPr>
            </w:pPr>
            <w:r w:rsidRPr="006D52FD">
              <w:rPr>
                <w:rFonts w:ascii="Helvetica" w:hAnsi="Helvetica" w:cs="Helvetica"/>
                <w:color w:val="auto"/>
                <w:sz w:val="22"/>
                <w:szCs w:val="22"/>
                <w:lang w:eastAsia="en-US"/>
              </w:rPr>
              <w:t xml:space="preserve">DFAT will continue to work closely with partners to identify specific issues they are best placed to focus on. </w:t>
            </w: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Reflect this in annual work</w:t>
            </w:r>
            <w:r>
              <w:rPr>
                <w:rFonts w:ascii="Helvetica" w:hAnsi="Helvetica" w:cs="Helvetica"/>
                <w:sz w:val="22"/>
                <w:szCs w:val="22"/>
              </w:rPr>
              <w:t xml:space="preserve"> </w:t>
            </w:r>
            <w:r w:rsidRPr="006D52FD">
              <w:rPr>
                <w:rFonts w:ascii="Helvetica" w:hAnsi="Helvetica" w:cs="Helvetica"/>
                <w:sz w:val="22"/>
                <w:szCs w:val="22"/>
              </w:rPr>
              <w:t>plans with a limited number of indicators and policy issues.</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sz w:val="22"/>
                <w:szCs w:val="22"/>
              </w:rPr>
            </w:pPr>
            <w:r w:rsidRPr="006D52FD">
              <w:rPr>
                <w:rFonts w:ascii="Helvetica" w:hAnsi="Helvetica" w:cs="Helvetica"/>
                <w:b/>
                <w:bCs/>
                <w:sz w:val="22"/>
                <w:szCs w:val="22"/>
              </w:rPr>
              <w:lastRenderedPageBreak/>
              <w:t xml:space="preserve">Revise M&amp;E frameworks </w:t>
            </w:r>
            <w:r w:rsidRPr="006D52FD">
              <w:rPr>
                <w:rFonts w:ascii="Helvetica" w:hAnsi="Helvetica" w:cs="Helvetica"/>
                <w:sz w:val="22"/>
                <w:szCs w:val="22"/>
              </w:rPr>
              <w:t>for GMWRP and for each partner to ensure clearer evidence of influence of policy dialogue (i.e. procedural change, policy content, and behaviour change).</w:t>
            </w:r>
          </w:p>
        </w:tc>
        <w:tc>
          <w:tcPr>
            <w:tcW w:w="1276" w:type="dxa"/>
            <w:shd w:val="clear" w:color="auto" w:fill="00B050"/>
          </w:tcPr>
          <w:p w:rsidR="00D064C4" w:rsidRPr="006D52FD" w:rsidRDefault="00D064C4" w:rsidP="00BD4E11">
            <w:pPr>
              <w:pStyle w:val="Heading3"/>
              <w:outlineLvl w:val="2"/>
              <w:rPr>
                <w:rFonts w:cs="Helvetica"/>
                <w:sz w:val="22"/>
                <w:szCs w:val="22"/>
              </w:rPr>
            </w:pPr>
            <w:r w:rsidRPr="006D52FD">
              <w:rPr>
                <w:rFonts w:cs="Helvetica"/>
                <w:sz w:val="22"/>
                <w:szCs w:val="22"/>
              </w:rPr>
              <w:t>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Policy dialogue outcomes insufficiently captured in whole of program (and individual partners’) M&amp; E framework.</w:t>
            </w:r>
          </w:p>
        </w:tc>
        <w:tc>
          <w:tcPr>
            <w:tcW w:w="3260" w:type="dxa"/>
            <w:shd w:val="clear" w:color="auto" w:fill="BDD6EE" w:themeFill="accent1" w:themeFillTint="66"/>
          </w:tcPr>
          <w:p w:rsidR="00D064C4" w:rsidRPr="006D52FD" w:rsidRDefault="00D064C4" w:rsidP="00BD4E11">
            <w:pPr>
              <w:contextualSpacing/>
              <w:rPr>
                <w:rFonts w:ascii="Helvetica" w:hAnsi="Helvetica" w:cs="Helvetica"/>
                <w:sz w:val="22"/>
                <w:szCs w:val="22"/>
                <w:lang w:eastAsia="en-US"/>
              </w:rPr>
            </w:pPr>
            <w:r w:rsidRPr="006D52FD">
              <w:rPr>
                <w:rFonts w:ascii="Helvetica" w:hAnsi="Helvetica" w:cs="Helvetica"/>
                <w:color w:val="auto"/>
                <w:sz w:val="22"/>
                <w:szCs w:val="22"/>
                <w:lang w:eastAsia="en-US"/>
              </w:rPr>
              <w:t>Identify additions to M&amp;E framework that would assist DFAT and each partner</w:t>
            </w:r>
            <w:r>
              <w:rPr>
                <w:rFonts w:ascii="Helvetica" w:hAnsi="Helvetica" w:cs="Helvetica"/>
                <w:color w:val="auto"/>
                <w:sz w:val="22"/>
                <w:szCs w:val="22"/>
                <w:lang w:eastAsia="en-US"/>
              </w:rPr>
              <w:t>s</w:t>
            </w:r>
            <w:r w:rsidRPr="006D52FD">
              <w:rPr>
                <w:rFonts w:ascii="Helvetica" w:hAnsi="Helvetica" w:cs="Helvetica"/>
                <w:color w:val="auto"/>
                <w:sz w:val="22"/>
                <w:szCs w:val="22"/>
                <w:lang w:eastAsia="en-US"/>
              </w:rPr>
              <w:t xml:space="preserve"> to better capture their contribution to meaningful policy dialogue</w:t>
            </w:r>
            <w:r>
              <w:rPr>
                <w:rFonts w:ascii="Helvetica" w:hAnsi="Helvetica" w:cs="Helvetica"/>
                <w:color w:val="auto"/>
                <w:sz w:val="22"/>
                <w:szCs w:val="22"/>
                <w:lang w:eastAsia="en-US"/>
              </w:rPr>
              <w:t>.</w:t>
            </w: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color w:val="auto"/>
                <w:sz w:val="22"/>
                <w:szCs w:val="22"/>
                <w:lang w:eastAsia="en-US"/>
              </w:rPr>
              <w:t xml:space="preserve">Agree </w:t>
            </w:r>
            <w:r w:rsidRPr="006D52FD">
              <w:rPr>
                <w:rFonts w:ascii="Helvetica" w:hAnsi="Helvetica" w:cs="Helvetica"/>
                <w:sz w:val="22"/>
                <w:szCs w:val="22"/>
              </w:rPr>
              <w:t>addition</w:t>
            </w:r>
            <w:r w:rsidRPr="006D52FD">
              <w:rPr>
                <w:rFonts w:ascii="Helvetica" w:hAnsi="Helvetica" w:cs="Helvetica"/>
                <w:color w:val="auto"/>
                <w:sz w:val="22"/>
                <w:szCs w:val="22"/>
                <w:lang w:eastAsia="en-US"/>
              </w:rPr>
              <w:t xml:space="preserve"> to M&amp;E framework for each partner by the next annual partners’ meeting.</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sz w:val="22"/>
                <w:szCs w:val="22"/>
              </w:rPr>
            </w:pPr>
            <w:r w:rsidRPr="006D52FD">
              <w:rPr>
                <w:rFonts w:ascii="Helvetica" w:hAnsi="Helvetica" w:cs="Helvetica"/>
                <w:sz w:val="22"/>
                <w:szCs w:val="22"/>
              </w:rPr>
              <w:t xml:space="preserve">Review </w:t>
            </w:r>
            <w:r w:rsidRPr="006D52FD">
              <w:rPr>
                <w:rFonts w:ascii="Helvetica" w:hAnsi="Helvetica" w:cs="Helvetica"/>
                <w:b/>
                <w:bCs/>
                <w:sz w:val="22"/>
                <w:szCs w:val="22"/>
              </w:rPr>
              <w:t>lessons learned from other policy dialogue initiatives</w:t>
            </w:r>
            <w:r w:rsidRPr="006D52FD">
              <w:rPr>
                <w:rFonts w:ascii="Helvetica" w:hAnsi="Helvetica" w:cs="Helvetica"/>
                <w:sz w:val="22"/>
                <w:szCs w:val="22"/>
              </w:rPr>
              <w:t xml:space="preserve"> (i.e. SEI/SUMERNET, IUCN Mekong Water Dialogues, IUCN BRIDGE, etc.).</w:t>
            </w:r>
          </w:p>
        </w:tc>
        <w:tc>
          <w:tcPr>
            <w:tcW w:w="1276" w:type="dxa"/>
            <w:shd w:val="clear" w:color="auto" w:fill="00B050"/>
          </w:tcPr>
          <w:p w:rsidR="00D064C4" w:rsidRPr="006D52FD" w:rsidRDefault="00D064C4" w:rsidP="00BD4E11">
            <w:pPr>
              <w:pStyle w:val="Heading3"/>
              <w:outlineLvl w:val="2"/>
              <w:rPr>
                <w:rFonts w:cs="Helvetica"/>
                <w:sz w:val="22"/>
                <w:szCs w:val="22"/>
              </w:rPr>
            </w:pPr>
            <w:r w:rsidRPr="006D52FD">
              <w:rPr>
                <w:rFonts w:cs="Helvetica"/>
                <w:sz w:val="22"/>
                <w:szCs w:val="22"/>
              </w:rPr>
              <w:t>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Perceived deficiency in policy dialogue outcomes led study authors to offer examples of other initiatives that DFAT could learn from.</w:t>
            </w:r>
          </w:p>
        </w:tc>
        <w:tc>
          <w:tcPr>
            <w:tcW w:w="3260" w:type="dxa"/>
            <w:shd w:val="clear" w:color="auto" w:fill="BDD6EE" w:themeFill="accent1" w:themeFillTint="66"/>
          </w:tcPr>
          <w:p w:rsidR="00D064C4" w:rsidRPr="006D52FD" w:rsidRDefault="00D064C4" w:rsidP="00BD4E11">
            <w:pPr>
              <w:contextualSpacing/>
              <w:rPr>
                <w:rFonts w:ascii="Helvetica" w:hAnsi="Helvetica" w:cs="Helvetica"/>
                <w:color w:val="auto"/>
                <w:sz w:val="22"/>
                <w:szCs w:val="22"/>
                <w:lang w:eastAsia="en-US"/>
              </w:rPr>
            </w:pPr>
            <w:r w:rsidRPr="006D52FD">
              <w:rPr>
                <w:rFonts w:ascii="Helvetica" w:hAnsi="Helvetica" w:cs="Helvetica"/>
                <w:color w:val="auto"/>
                <w:sz w:val="22"/>
                <w:szCs w:val="22"/>
                <w:lang w:eastAsia="en-US"/>
              </w:rPr>
              <w:t>DFAT to request partners to reflect on the examples provided and discuss at next annual partners’ meeting.</w:t>
            </w: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color w:val="auto"/>
                <w:sz w:val="22"/>
                <w:szCs w:val="22"/>
                <w:lang w:eastAsia="en-US"/>
              </w:rPr>
              <w:t>Include a session on lessons from other policy dialogue initiatives at next annual partners’ meeting.</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sz w:val="22"/>
                <w:szCs w:val="22"/>
              </w:rPr>
            </w:pPr>
            <w:r w:rsidRPr="006D52FD">
              <w:rPr>
                <w:rFonts w:ascii="Helvetica" w:hAnsi="Helvetica" w:cs="Helvetica"/>
                <w:sz w:val="22"/>
                <w:szCs w:val="22"/>
              </w:rPr>
              <w:t xml:space="preserve">Ensure </w:t>
            </w:r>
            <w:r w:rsidRPr="006D52FD">
              <w:rPr>
                <w:rFonts w:ascii="Helvetica" w:hAnsi="Helvetica" w:cs="Helvetica"/>
                <w:b/>
                <w:bCs/>
                <w:sz w:val="22"/>
                <w:szCs w:val="22"/>
              </w:rPr>
              <w:t>right balance of participants at Greater Mekong Forum</w:t>
            </w:r>
            <w:r w:rsidRPr="006D52FD">
              <w:rPr>
                <w:rFonts w:ascii="Helvetica" w:hAnsi="Helvetica" w:cs="Helvetica"/>
                <w:sz w:val="22"/>
                <w:szCs w:val="22"/>
              </w:rPr>
              <w:t xml:space="preserve"> on Water Food and Energy (i.e. more policy makers).</w:t>
            </w:r>
          </w:p>
        </w:tc>
        <w:tc>
          <w:tcPr>
            <w:tcW w:w="1276" w:type="dxa"/>
            <w:shd w:val="clear" w:color="auto" w:fill="00B050"/>
          </w:tcPr>
          <w:p w:rsidR="00D064C4" w:rsidRPr="006D52FD" w:rsidRDefault="00D064C4" w:rsidP="00BD4E11">
            <w:pPr>
              <w:pStyle w:val="Heading3"/>
              <w:outlineLvl w:val="2"/>
              <w:rPr>
                <w:rFonts w:cs="Helvetica"/>
                <w:sz w:val="22"/>
                <w:szCs w:val="22"/>
              </w:rPr>
            </w:pPr>
            <w:r w:rsidRPr="006D52FD">
              <w:rPr>
                <w:rFonts w:cs="Helvetica"/>
                <w:sz w:val="22"/>
                <w:szCs w:val="22"/>
              </w:rPr>
              <w:t>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 xml:space="preserve">Extensive representation </w:t>
            </w:r>
            <w:r>
              <w:rPr>
                <w:rFonts w:ascii="Helvetica" w:hAnsi="Helvetica" w:cs="Helvetica"/>
                <w:sz w:val="22"/>
                <w:szCs w:val="22"/>
              </w:rPr>
              <w:t xml:space="preserve">at the Forum </w:t>
            </w:r>
            <w:r w:rsidRPr="006D52FD">
              <w:rPr>
                <w:rFonts w:ascii="Helvetica" w:hAnsi="Helvetica" w:cs="Helvetica"/>
                <w:sz w:val="22"/>
                <w:szCs w:val="22"/>
              </w:rPr>
              <w:t xml:space="preserve">from </w:t>
            </w:r>
            <w:r>
              <w:rPr>
                <w:rFonts w:ascii="Helvetica" w:hAnsi="Helvetica" w:cs="Helvetica"/>
                <w:sz w:val="22"/>
                <w:szCs w:val="22"/>
              </w:rPr>
              <w:t xml:space="preserve">the </w:t>
            </w:r>
            <w:r w:rsidRPr="006D52FD">
              <w:rPr>
                <w:rFonts w:ascii="Helvetica" w:hAnsi="Helvetica" w:cs="Helvetica"/>
                <w:sz w:val="22"/>
                <w:szCs w:val="22"/>
              </w:rPr>
              <w:t>six Greater Mekong countries is already achieved</w:t>
            </w:r>
            <w:r>
              <w:rPr>
                <w:rFonts w:ascii="Helvetica" w:hAnsi="Helvetica" w:cs="Helvetica"/>
                <w:sz w:val="22"/>
                <w:szCs w:val="22"/>
              </w:rPr>
              <w:t xml:space="preserve"> however, we agree that there could be greater engagement and participation from </w:t>
            </w:r>
            <w:r w:rsidRPr="006D52FD">
              <w:rPr>
                <w:rFonts w:ascii="Helvetica" w:hAnsi="Helvetica" w:cs="Helvetica"/>
                <w:sz w:val="22"/>
                <w:szCs w:val="22"/>
              </w:rPr>
              <w:t>public policy makers (i.e. Government officials)</w:t>
            </w:r>
            <w:r>
              <w:rPr>
                <w:rFonts w:ascii="Helvetica" w:hAnsi="Helvetica" w:cs="Helvetica"/>
                <w:sz w:val="22"/>
                <w:szCs w:val="22"/>
              </w:rPr>
              <w:t xml:space="preserve">. </w:t>
            </w:r>
            <w:r w:rsidRPr="006D52FD">
              <w:rPr>
                <w:rFonts w:ascii="Helvetica" w:hAnsi="Helvetica" w:cs="Helvetica"/>
                <w:sz w:val="22"/>
                <w:szCs w:val="22"/>
              </w:rPr>
              <w:t xml:space="preserve"> </w:t>
            </w:r>
            <w:r>
              <w:rPr>
                <w:rFonts w:ascii="Helvetica" w:hAnsi="Helvetica" w:cs="Helvetica"/>
                <w:sz w:val="22"/>
                <w:szCs w:val="22"/>
              </w:rPr>
              <w:t xml:space="preserve">The Forum does attract a </w:t>
            </w:r>
            <w:r w:rsidRPr="006D52FD">
              <w:rPr>
                <w:rFonts w:ascii="Helvetica" w:hAnsi="Helvetica" w:cs="Helvetica"/>
                <w:sz w:val="22"/>
                <w:szCs w:val="22"/>
              </w:rPr>
              <w:t>large number of policy shapers</w:t>
            </w:r>
            <w:r>
              <w:rPr>
                <w:rFonts w:ascii="Helvetica" w:hAnsi="Helvetica" w:cs="Helvetica"/>
                <w:sz w:val="22"/>
                <w:szCs w:val="22"/>
              </w:rPr>
              <w:t xml:space="preserve"> including members of National Mekong Committees who actively engage on policy dialogue during the Forum.</w:t>
            </w:r>
          </w:p>
        </w:tc>
        <w:tc>
          <w:tcPr>
            <w:tcW w:w="3260" w:type="dxa"/>
            <w:shd w:val="clear" w:color="auto" w:fill="BDD6EE" w:themeFill="accent1" w:themeFillTint="66"/>
          </w:tcPr>
          <w:p w:rsidR="00D064C4" w:rsidRPr="006D52FD" w:rsidRDefault="00D064C4" w:rsidP="00BD4E11">
            <w:pPr>
              <w:contextualSpacing/>
              <w:rPr>
                <w:rFonts w:ascii="Helvetica" w:hAnsi="Helvetica" w:cs="Helvetica"/>
                <w:color w:val="auto"/>
                <w:sz w:val="22"/>
                <w:szCs w:val="22"/>
                <w:lang w:eastAsia="en-US"/>
              </w:rPr>
            </w:pPr>
            <w:r w:rsidRPr="006D52FD">
              <w:rPr>
                <w:rFonts w:ascii="Helvetica" w:hAnsi="Helvetica" w:cs="Helvetica"/>
                <w:color w:val="auto"/>
                <w:sz w:val="22"/>
                <w:szCs w:val="22"/>
                <w:lang w:eastAsia="en-US"/>
              </w:rPr>
              <w:t xml:space="preserve">Ensure Forum structure demands all </w:t>
            </w:r>
            <w:r>
              <w:rPr>
                <w:rFonts w:ascii="Helvetica" w:hAnsi="Helvetica" w:cs="Helvetica"/>
                <w:color w:val="auto"/>
                <w:sz w:val="22"/>
                <w:szCs w:val="22"/>
                <w:lang w:eastAsia="en-US"/>
              </w:rPr>
              <w:t xml:space="preserve">participants </w:t>
            </w:r>
            <w:r w:rsidRPr="006D52FD">
              <w:rPr>
                <w:rFonts w:ascii="Helvetica" w:hAnsi="Helvetica" w:cs="Helvetica"/>
                <w:color w:val="auto"/>
                <w:sz w:val="22"/>
                <w:szCs w:val="22"/>
                <w:lang w:eastAsia="en-US"/>
              </w:rPr>
              <w:t>in attendance to articulate their policy advice, and pathway to influence.</w:t>
            </w:r>
            <w:r>
              <w:rPr>
                <w:rFonts w:ascii="Helvetica" w:hAnsi="Helvetica" w:cs="Helvetica"/>
                <w:color w:val="auto"/>
                <w:sz w:val="22"/>
                <w:szCs w:val="22"/>
                <w:lang w:eastAsia="en-US"/>
              </w:rPr>
              <w:t xml:space="preserve"> DFAT will ensure a greater attendance by Government officials by requesting the Team Leader of Water, Land and Ecosystem (WLE) to invite each participating government through the Forum organiser, to expand the invitation to target ministries in Greater Mekong region. GMWRP management team will also contact DFAT water focal points in posts of the region asking them to </w:t>
            </w:r>
            <w:r>
              <w:rPr>
                <w:rFonts w:ascii="Helvetica" w:hAnsi="Helvetica" w:cs="Helvetica"/>
                <w:color w:val="auto"/>
                <w:sz w:val="22"/>
                <w:szCs w:val="22"/>
                <w:lang w:eastAsia="en-US"/>
              </w:rPr>
              <w:lastRenderedPageBreak/>
              <w:t>generate interest within their networks.</w:t>
            </w:r>
          </w:p>
        </w:tc>
        <w:tc>
          <w:tcPr>
            <w:tcW w:w="2693" w:type="dxa"/>
            <w:shd w:val="clear" w:color="auto" w:fill="BDD6EE" w:themeFill="accent1" w:themeFillTint="66"/>
          </w:tcPr>
          <w:p w:rsidR="00D064C4" w:rsidRPr="00F5784E" w:rsidRDefault="00D064C4" w:rsidP="00BD4E11">
            <w:pPr>
              <w:rPr>
                <w:rFonts w:ascii="Helvetica" w:hAnsi="Helvetica" w:cstheme="minorBidi"/>
                <w:sz w:val="22"/>
                <w:szCs w:val="22"/>
                <w:lang w:val="en-US" w:bidi="lo-LA"/>
              </w:rPr>
            </w:pPr>
            <w:r w:rsidRPr="006D52FD">
              <w:rPr>
                <w:rFonts w:ascii="Helvetica" w:hAnsi="Helvetica" w:cs="Helvetica"/>
                <w:sz w:val="22"/>
                <w:szCs w:val="22"/>
              </w:rPr>
              <w:lastRenderedPageBreak/>
              <w:t>Evidenced at next Forum</w:t>
            </w:r>
            <w:r>
              <w:rPr>
                <w:rFonts w:ascii="Helvetica" w:hAnsi="Helvetica" w:cs="Helvetica"/>
                <w:sz w:val="22"/>
                <w:szCs w:val="22"/>
              </w:rPr>
              <w:t xml:space="preserve"> set for </w:t>
            </w:r>
            <w:r>
              <w:rPr>
                <w:rFonts w:ascii="Helvetica" w:hAnsi="Helvetica" w:cstheme="minorBidi" w:hint="cs"/>
                <w:sz w:val="22"/>
                <w:szCs w:val="22"/>
                <w:cs/>
                <w:lang w:bidi="lo-LA"/>
              </w:rPr>
              <w:t xml:space="preserve">25-27 </w:t>
            </w:r>
            <w:r>
              <w:rPr>
                <w:rFonts w:ascii="Helvetica" w:hAnsi="Helvetica" w:cstheme="minorBidi"/>
                <w:sz w:val="22"/>
                <w:szCs w:val="22"/>
                <w:lang w:val="en-US" w:bidi="lo-LA"/>
              </w:rPr>
              <w:t>October 2017 in Yangon.</w:t>
            </w:r>
          </w:p>
        </w:tc>
      </w:tr>
      <w:tr w:rsidR="00D064C4" w:rsidRPr="006D52FD" w:rsidTr="00D064C4">
        <w:trPr>
          <w:trHeight w:val="3705"/>
        </w:trPr>
        <w:tc>
          <w:tcPr>
            <w:tcW w:w="3459" w:type="dxa"/>
            <w:shd w:val="clear" w:color="auto" w:fill="BDD6EE" w:themeFill="accent1" w:themeFillTint="66"/>
          </w:tcPr>
          <w:p w:rsidR="00D064C4" w:rsidRPr="006D52FD" w:rsidRDefault="00D064C4" w:rsidP="00BD4E11">
            <w:pPr>
              <w:pStyle w:val="BodyText"/>
              <w:rPr>
                <w:rFonts w:ascii="Helvetica" w:hAnsi="Helvetica" w:cs="Helvetica"/>
                <w:sz w:val="22"/>
                <w:szCs w:val="22"/>
              </w:rPr>
            </w:pPr>
            <w:r w:rsidRPr="006D52FD">
              <w:rPr>
                <w:rFonts w:ascii="Helvetica" w:hAnsi="Helvetica" w:cs="Helvetica"/>
                <w:sz w:val="22"/>
                <w:szCs w:val="22"/>
              </w:rPr>
              <w:t xml:space="preserve">Implementing Partners need to </w:t>
            </w:r>
            <w:r w:rsidRPr="006D52FD">
              <w:rPr>
                <w:rFonts w:ascii="Helvetica" w:hAnsi="Helvetica" w:cs="Helvetica"/>
                <w:b/>
                <w:bCs/>
                <w:sz w:val="22"/>
                <w:szCs w:val="22"/>
              </w:rPr>
              <w:t xml:space="preserve">give gender issues greater priority </w:t>
            </w:r>
            <w:r w:rsidRPr="006D52FD">
              <w:rPr>
                <w:rFonts w:ascii="Helvetica" w:hAnsi="Helvetica" w:cs="Helvetica"/>
                <w:sz w:val="22"/>
                <w:szCs w:val="22"/>
              </w:rPr>
              <w:t>and visibility, and strengthen their own internal organisational gender capacity.</w:t>
            </w:r>
          </w:p>
        </w:tc>
        <w:tc>
          <w:tcPr>
            <w:tcW w:w="1276" w:type="dxa"/>
            <w:shd w:val="clear" w:color="auto" w:fill="FFC000"/>
          </w:tcPr>
          <w:p w:rsidR="00D064C4" w:rsidRPr="006D52FD" w:rsidRDefault="00D064C4" w:rsidP="00BD4E11">
            <w:pPr>
              <w:pStyle w:val="Heading3"/>
              <w:outlineLvl w:val="2"/>
              <w:rPr>
                <w:rFonts w:cs="Helvetica"/>
                <w:sz w:val="22"/>
                <w:szCs w:val="22"/>
              </w:rPr>
            </w:pPr>
            <w:r>
              <w:rPr>
                <w:rFonts w:cs="Helvetica"/>
                <w:sz w:val="22"/>
                <w:szCs w:val="22"/>
              </w:rPr>
              <w:t>Partially Agree</w:t>
            </w:r>
          </w:p>
        </w:tc>
        <w:tc>
          <w:tcPr>
            <w:tcW w:w="3686" w:type="dxa"/>
            <w:shd w:val="clear" w:color="auto" w:fill="BDD6EE" w:themeFill="accent1" w:themeFillTint="66"/>
          </w:tcPr>
          <w:p w:rsidR="00D064C4" w:rsidRPr="00BD02AA" w:rsidRDefault="00D064C4" w:rsidP="00BD4E11">
            <w:pPr>
              <w:contextualSpacing/>
              <w:rPr>
                <w:lang w:eastAsia="en-US"/>
              </w:rPr>
            </w:pPr>
            <w:r w:rsidRPr="007348A3">
              <w:rPr>
                <w:rFonts w:ascii="Helvetica" w:hAnsi="Helvetica" w:cs="Helvetica"/>
                <w:color w:val="auto"/>
                <w:sz w:val="22"/>
                <w:szCs w:val="22"/>
                <w:lang w:eastAsia="en-US"/>
              </w:rPr>
              <w:t>DFAT believe</w:t>
            </w:r>
            <w:r>
              <w:rPr>
                <w:rFonts w:ascii="Helvetica" w:hAnsi="Helvetica" w:cs="Helvetica"/>
                <w:color w:val="auto"/>
                <w:sz w:val="22"/>
                <w:szCs w:val="22"/>
                <w:lang w:eastAsia="en-US"/>
              </w:rPr>
              <w:t>s</w:t>
            </w:r>
            <w:r w:rsidRPr="007348A3">
              <w:rPr>
                <w:rFonts w:ascii="Helvetica" w:hAnsi="Helvetica" w:cs="Helvetica"/>
                <w:color w:val="auto"/>
                <w:sz w:val="22"/>
                <w:szCs w:val="22"/>
                <w:lang w:eastAsia="en-US"/>
              </w:rPr>
              <w:t xml:space="preserve"> all partners currently give gender issues priority</w:t>
            </w:r>
            <w:r>
              <w:rPr>
                <w:rFonts w:ascii="Helvetica" w:hAnsi="Helvetica" w:cs="Helvetica"/>
                <w:color w:val="auto"/>
                <w:sz w:val="22"/>
                <w:szCs w:val="22"/>
                <w:lang w:eastAsia="en-US"/>
              </w:rPr>
              <w:t xml:space="preserve"> with </w:t>
            </w:r>
            <w:r w:rsidRPr="007348A3">
              <w:rPr>
                <w:rFonts w:ascii="Helvetica" w:hAnsi="Helvetica" w:cs="Helvetica"/>
                <w:color w:val="auto"/>
                <w:sz w:val="22"/>
                <w:szCs w:val="22"/>
                <w:lang w:eastAsia="en-US"/>
              </w:rPr>
              <w:t xml:space="preserve"> IFC’s work on Women in Water in Myanmar, Oxfam’s work on Gender Impact Assessment of hydropower projects and WLE’s research activities that specifically look at gender issues are practical examples of that. </w:t>
            </w:r>
            <w:r>
              <w:rPr>
                <w:rFonts w:ascii="Helvetica" w:hAnsi="Helvetica" w:cs="Helvetica"/>
                <w:color w:val="auto"/>
                <w:sz w:val="22"/>
                <w:szCs w:val="22"/>
                <w:lang w:eastAsia="en-US"/>
              </w:rPr>
              <w:t xml:space="preserve">However, these efforts </w:t>
            </w:r>
            <w:r w:rsidRPr="007348A3">
              <w:rPr>
                <w:rFonts w:ascii="Helvetica" w:hAnsi="Helvetica" w:cs="Helvetica"/>
                <w:color w:val="auto"/>
                <w:sz w:val="22"/>
                <w:szCs w:val="22"/>
                <w:lang w:eastAsia="en-US"/>
              </w:rPr>
              <w:t>need to be</w:t>
            </w:r>
            <w:r>
              <w:rPr>
                <w:rFonts w:ascii="Helvetica" w:hAnsi="Helvetica" w:cs="Helvetica"/>
                <w:color w:val="auto"/>
                <w:sz w:val="22"/>
                <w:szCs w:val="22"/>
                <w:lang w:eastAsia="en-US"/>
              </w:rPr>
              <w:t xml:space="preserve"> sustained. </w:t>
            </w:r>
            <w:r w:rsidRPr="007348A3">
              <w:rPr>
                <w:rFonts w:ascii="Helvetica" w:hAnsi="Helvetica" w:cs="Helvetica"/>
                <w:color w:val="auto"/>
                <w:sz w:val="22"/>
                <w:szCs w:val="22"/>
                <w:lang w:eastAsia="en-US"/>
              </w:rPr>
              <w:t xml:space="preserve"> </w:t>
            </w:r>
            <w:r>
              <w:rPr>
                <w:rFonts w:ascii="Helvetica" w:hAnsi="Helvetica" w:cs="Helvetica"/>
                <w:color w:val="auto"/>
                <w:sz w:val="22"/>
                <w:szCs w:val="22"/>
                <w:lang w:eastAsia="en-US"/>
              </w:rPr>
              <w:t>F</w:t>
            </w:r>
            <w:r w:rsidRPr="007348A3">
              <w:rPr>
                <w:rFonts w:ascii="Helvetica" w:hAnsi="Helvetica" w:cs="Helvetica"/>
                <w:color w:val="auto"/>
                <w:sz w:val="22"/>
                <w:szCs w:val="22"/>
                <w:lang w:eastAsia="en-US"/>
              </w:rPr>
              <w:t>urther efforts could be made by all partners to invest more resources in gender mainstreaming across their portfolio of work.</w:t>
            </w:r>
          </w:p>
        </w:tc>
        <w:tc>
          <w:tcPr>
            <w:tcW w:w="3260" w:type="dxa"/>
            <w:shd w:val="clear" w:color="auto" w:fill="BDD6EE" w:themeFill="accent1" w:themeFillTint="66"/>
          </w:tcPr>
          <w:p w:rsidR="00D064C4" w:rsidRPr="006D52FD" w:rsidRDefault="00D064C4" w:rsidP="00BD4E11">
            <w:pPr>
              <w:contextualSpacing/>
              <w:rPr>
                <w:rFonts w:ascii="Helvetica" w:hAnsi="Helvetica" w:cs="Helvetica"/>
                <w:color w:val="auto"/>
                <w:sz w:val="22"/>
                <w:szCs w:val="22"/>
                <w:lang w:eastAsia="en-US"/>
              </w:rPr>
            </w:pPr>
            <w:r w:rsidRPr="006D52FD">
              <w:rPr>
                <w:rFonts w:ascii="Helvetica" w:hAnsi="Helvetica" w:cs="Helvetica"/>
                <w:color w:val="auto"/>
                <w:sz w:val="22"/>
                <w:szCs w:val="22"/>
                <w:lang w:eastAsia="en-US"/>
              </w:rPr>
              <w:t>Check whether M&amp;E Frameworks are sufficiently capturing contribution of partners to progressing gender equality.</w:t>
            </w:r>
            <w:r w:rsidRPr="00565572">
              <w:rPr>
                <w:rFonts w:ascii="Helvetica" w:hAnsi="Helvetica" w:cs="Helvetica"/>
                <w:color w:val="auto"/>
                <w:sz w:val="22"/>
                <w:szCs w:val="22"/>
                <w:lang w:eastAsia="en-US"/>
              </w:rPr>
              <w:t xml:space="preserve"> Encourage MRC in particular </w:t>
            </w:r>
            <w:r>
              <w:rPr>
                <w:rFonts w:ascii="Helvetica" w:hAnsi="Helvetica" w:cs="Helvetica"/>
                <w:color w:val="auto"/>
                <w:sz w:val="22"/>
                <w:szCs w:val="22"/>
                <w:lang w:eastAsia="en-US"/>
              </w:rPr>
              <w:t>to</w:t>
            </w:r>
            <w:r w:rsidRPr="00565572">
              <w:rPr>
                <w:rFonts w:ascii="Helvetica" w:hAnsi="Helvetica" w:cs="Helvetica"/>
                <w:color w:val="auto"/>
                <w:sz w:val="22"/>
                <w:szCs w:val="22"/>
                <w:lang w:eastAsia="en-US"/>
              </w:rPr>
              <w:t xml:space="preserve"> allocate more resources to gender mainstreaming</w:t>
            </w:r>
            <w:r>
              <w:rPr>
                <w:rFonts w:ascii="Helvetica" w:hAnsi="Helvetica" w:cs="Helvetica"/>
                <w:color w:val="auto"/>
                <w:sz w:val="22"/>
                <w:szCs w:val="22"/>
                <w:lang w:eastAsia="en-US"/>
              </w:rPr>
              <w:t>.</w:t>
            </w: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Monitor progress from partners’ progress reports and discuss with partners at steering committee meetings.</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sz w:val="22"/>
                <w:szCs w:val="22"/>
              </w:rPr>
            </w:pPr>
            <w:r w:rsidRPr="006D52FD">
              <w:rPr>
                <w:rFonts w:ascii="Helvetica" w:hAnsi="Helvetica" w:cs="Helvetica"/>
                <w:sz w:val="22"/>
                <w:szCs w:val="22"/>
              </w:rPr>
              <w:t xml:space="preserve">Implementing partners should work with DFAT Mekong Water Team to </w:t>
            </w:r>
            <w:r w:rsidRPr="006D52FD">
              <w:rPr>
                <w:rFonts w:ascii="Helvetica" w:hAnsi="Helvetica" w:cs="Helvetica"/>
                <w:b/>
                <w:bCs/>
                <w:sz w:val="22"/>
                <w:szCs w:val="22"/>
              </w:rPr>
              <w:t xml:space="preserve">develop whole-of-GMWRP communication products </w:t>
            </w:r>
            <w:r w:rsidRPr="006D52FD">
              <w:rPr>
                <w:rFonts w:ascii="Helvetica" w:hAnsi="Helvetica" w:cs="Helvetica"/>
                <w:sz w:val="22"/>
                <w:szCs w:val="22"/>
              </w:rPr>
              <w:t>to raise the profile of the program as a whole.</w:t>
            </w:r>
          </w:p>
        </w:tc>
        <w:tc>
          <w:tcPr>
            <w:tcW w:w="1276" w:type="dxa"/>
            <w:shd w:val="clear" w:color="auto" w:fill="00B050"/>
          </w:tcPr>
          <w:p w:rsidR="00D064C4" w:rsidRPr="006D52FD" w:rsidRDefault="00D064C4" w:rsidP="00BD4E11">
            <w:pPr>
              <w:pStyle w:val="Heading3"/>
              <w:outlineLvl w:val="2"/>
              <w:rPr>
                <w:rFonts w:cs="Helvetica"/>
                <w:sz w:val="22"/>
                <w:szCs w:val="22"/>
              </w:rPr>
            </w:pPr>
            <w:r>
              <w:rPr>
                <w:rFonts w:cs="Helvetica"/>
                <w:sz w:val="22"/>
                <w:szCs w:val="22"/>
              </w:rPr>
              <w:t>A</w:t>
            </w:r>
            <w:r w:rsidRPr="006D52FD">
              <w:rPr>
                <w:rFonts w:cs="Helvetica"/>
                <w:sz w:val="22"/>
                <w:szCs w:val="22"/>
              </w:rPr>
              <w:t>gree</w:t>
            </w:r>
            <w:r>
              <w:rPr>
                <w:rFonts w:cs="Helvetica"/>
                <w:sz w:val="22"/>
                <w:szCs w:val="22"/>
              </w:rPr>
              <w:t xml:space="preserve"> </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Pr>
                <w:rFonts w:ascii="Helvetica" w:hAnsi="Helvetica" w:cs="Helvetica"/>
                <w:sz w:val="22"/>
                <w:szCs w:val="22"/>
              </w:rPr>
              <w:t xml:space="preserve">Communicating on impact of the program as a whole remains a priority. </w:t>
            </w:r>
            <w:r w:rsidRPr="006D52FD">
              <w:rPr>
                <w:rFonts w:ascii="Helvetica" w:hAnsi="Helvetica" w:cs="Helvetica"/>
                <w:sz w:val="22"/>
                <w:szCs w:val="22"/>
              </w:rPr>
              <w:t>Each partner already has their own communication products</w:t>
            </w:r>
            <w:r>
              <w:rPr>
                <w:rFonts w:ascii="Helvetica" w:hAnsi="Helvetica" w:cs="Helvetica"/>
                <w:sz w:val="22"/>
                <w:szCs w:val="22"/>
              </w:rPr>
              <w:t xml:space="preserve"> but the GMWRP would benefit from developing new communication products for both external and internal (DFAT) audiences</w:t>
            </w:r>
            <w:r w:rsidRPr="006D52FD">
              <w:rPr>
                <w:rFonts w:ascii="Helvetica" w:hAnsi="Helvetica" w:cs="Helvetica"/>
                <w:sz w:val="22"/>
                <w:szCs w:val="22"/>
              </w:rPr>
              <w:t>. DFAT commissioned a communication</w:t>
            </w:r>
            <w:r>
              <w:rPr>
                <w:rFonts w:ascii="Helvetica" w:hAnsi="Helvetica" w:cs="Helvetica"/>
                <w:sz w:val="22"/>
                <w:szCs w:val="22"/>
              </w:rPr>
              <w:t>s</w:t>
            </w:r>
            <w:r w:rsidRPr="006D52FD">
              <w:rPr>
                <w:rFonts w:ascii="Helvetica" w:hAnsi="Helvetica" w:cs="Helvetica"/>
                <w:sz w:val="22"/>
                <w:szCs w:val="22"/>
              </w:rPr>
              <w:t xml:space="preserve"> consultant to develop a brochure, banner </w:t>
            </w:r>
            <w:r>
              <w:rPr>
                <w:rFonts w:ascii="Helvetica" w:hAnsi="Helvetica" w:cs="Helvetica"/>
                <w:sz w:val="22"/>
                <w:szCs w:val="22"/>
              </w:rPr>
              <w:t xml:space="preserve">for GMWRP to better communicate how DFAT is supporting water resources management through different partners in Greater Mekong region. </w:t>
            </w:r>
          </w:p>
        </w:tc>
        <w:tc>
          <w:tcPr>
            <w:tcW w:w="3260" w:type="dxa"/>
            <w:shd w:val="clear" w:color="auto" w:fill="BDD6EE" w:themeFill="accent1" w:themeFillTint="66"/>
          </w:tcPr>
          <w:p w:rsidR="00D064C4" w:rsidRDefault="00D064C4" w:rsidP="00BD4E11">
            <w:pPr>
              <w:contextualSpacing/>
              <w:rPr>
                <w:rFonts w:ascii="Helvetica" w:hAnsi="Helvetica" w:cs="Helvetica"/>
                <w:color w:val="auto"/>
                <w:sz w:val="22"/>
                <w:szCs w:val="22"/>
                <w:lang w:eastAsia="en-US"/>
              </w:rPr>
            </w:pPr>
            <w:r w:rsidRPr="006D52FD">
              <w:rPr>
                <w:rFonts w:ascii="Helvetica" w:hAnsi="Helvetica" w:cs="Helvetica"/>
                <w:color w:val="auto"/>
                <w:sz w:val="22"/>
                <w:szCs w:val="22"/>
                <w:lang w:eastAsia="en-US"/>
              </w:rPr>
              <w:t>Update the 2016 brochure, by including flavour of the work of all key partners.</w:t>
            </w:r>
          </w:p>
          <w:p w:rsidR="00D064C4" w:rsidRPr="00552623" w:rsidRDefault="00D064C4" w:rsidP="00BD4E11">
            <w:pPr>
              <w:contextualSpacing/>
              <w:rPr>
                <w:rFonts w:ascii="Helvetica" w:hAnsi="Helvetica" w:cs="Helvetica"/>
                <w:color w:val="auto"/>
                <w:sz w:val="22"/>
                <w:szCs w:val="22"/>
                <w:lang w:eastAsia="en-US"/>
              </w:rPr>
            </w:pPr>
            <w:r w:rsidRPr="00552623">
              <w:rPr>
                <w:rFonts w:ascii="Helvetica" w:hAnsi="Helvetica" w:cs="Helvetica"/>
                <w:color w:val="auto"/>
                <w:sz w:val="22"/>
                <w:szCs w:val="22"/>
                <w:lang w:eastAsia="en-US"/>
              </w:rPr>
              <w:t xml:space="preserve">Review communications plans for coherence of messages for target audiences and develop specific GMWRP Communication Plan. </w:t>
            </w:r>
          </w:p>
          <w:p w:rsidR="00D064C4" w:rsidRPr="00552623" w:rsidRDefault="00D064C4" w:rsidP="00BD4E11">
            <w:pPr>
              <w:pStyle w:val="BodyText"/>
              <w:rPr>
                <w:lang w:eastAsia="en-US"/>
              </w:rPr>
            </w:pPr>
          </w:p>
        </w:tc>
        <w:tc>
          <w:tcPr>
            <w:tcW w:w="2693"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Develop and use products at upcoming events.</w:t>
            </w:r>
          </w:p>
        </w:tc>
      </w:tr>
      <w:tr w:rsidR="00D064C4" w:rsidRPr="006D52FD" w:rsidTr="00D064C4">
        <w:tc>
          <w:tcPr>
            <w:tcW w:w="3459" w:type="dxa"/>
            <w:shd w:val="clear" w:color="auto" w:fill="BDD6EE" w:themeFill="accent1" w:themeFillTint="66"/>
          </w:tcPr>
          <w:p w:rsidR="00D064C4" w:rsidRPr="006D52FD" w:rsidRDefault="00D064C4" w:rsidP="00BD4E11">
            <w:pPr>
              <w:pStyle w:val="BodyText"/>
              <w:rPr>
                <w:rFonts w:ascii="Helvetica" w:hAnsi="Helvetica" w:cs="Helvetica"/>
                <w:sz w:val="22"/>
                <w:szCs w:val="22"/>
              </w:rPr>
            </w:pPr>
            <w:r w:rsidRPr="006D52FD">
              <w:rPr>
                <w:rFonts w:ascii="Helvetica" w:hAnsi="Helvetica" w:cs="Helvetica"/>
                <w:sz w:val="22"/>
                <w:szCs w:val="22"/>
              </w:rPr>
              <w:lastRenderedPageBreak/>
              <w:t xml:space="preserve">Foster </w:t>
            </w:r>
            <w:r w:rsidRPr="006D52FD">
              <w:rPr>
                <w:rFonts w:ascii="Helvetica" w:hAnsi="Helvetica" w:cs="Helvetica"/>
                <w:b/>
                <w:bCs/>
                <w:sz w:val="22"/>
                <w:szCs w:val="22"/>
              </w:rPr>
              <w:t xml:space="preserve">meaningful collaboration between GMWRP partners </w:t>
            </w:r>
            <w:r w:rsidRPr="006D52FD">
              <w:rPr>
                <w:rFonts w:ascii="Helvetica" w:hAnsi="Helvetica" w:cs="Helvetica"/>
                <w:sz w:val="22"/>
                <w:szCs w:val="22"/>
              </w:rPr>
              <w:t xml:space="preserve">to overcome the existing silo mentality and materialise the promised actions and collaborations. </w:t>
            </w:r>
          </w:p>
        </w:tc>
        <w:tc>
          <w:tcPr>
            <w:tcW w:w="1276" w:type="dxa"/>
            <w:shd w:val="clear" w:color="auto" w:fill="FFC000"/>
          </w:tcPr>
          <w:p w:rsidR="00D064C4" w:rsidRPr="006D52FD" w:rsidRDefault="00D064C4" w:rsidP="00BD4E11">
            <w:pPr>
              <w:pStyle w:val="Heading3"/>
              <w:outlineLvl w:val="2"/>
              <w:rPr>
                <w:rFonts w:cs="Helvetica"/>
                <w:sz w:val="22"/>
                <w:szCs w:val="22"/>
              </w:rPr>
            </w:pPr>
            <w:r w:rsidRPr="006D52FD">
              <w:rPr>
                <w:rFonts w:cs="Helvetica"/>
                <w:sz w:val="22"/>
                <w:szCs w:val="22"/>
              </w:rPr>
              <w:t>Partially agree</w:t>
            </w:r>
          </w:p>
        </w:tc>
        <w:tc>
          <w:tcPr>
            <w:tcW w:w="3686" w:type="dxa"/>
            <w:shd w:val="clear" w:color="auto" w:fill="BDD6EE" w:themeFill="accent1" w:themeFillTint="66"/>
          </w:tcPr>
          <w:p w:rsidR="00D064C4" w:rsidRPr="006D52FD" w:rsidRDefault="00D064C4" w:rsidP="00BD4E11">
            <w:pPr>
              <w:rPr>
                <w:rFonts w:ascii="Helvetica" w:hAnsi="Helvetica" w:cs="Helvetica"/>
                <w:sz w:val="22"/>
                <w:szCs w:val="22"/>
              </w:rPr>
            </w:pPr>
            <w:r w:rsidRPr="006D52FD">
              <w:rPr>
                <w:rFonts w:ascii="Helvetica" w:hAnsi="Helvetica" w:cs="Helvetica"/>
                <w:sz w:val="22"/>
                <w:szCs w:val="22"/>
              </w:rPr>
              <w:t>Implementing partners are already collaborating with different pillars. However, more could be done to ensure accountability to commitments made between partners.</w:t>
            </w:r>
          </w:p>
        </w:tc>
        <w:tc>
          <w:tcPr>
            <w:tcW w:w="3260" w:type="dxa"/>
            <w:shd w:val="clear" w:color="auto" w:fill="BDD6EE" w:themeFill="accent1" w:themeFillTint="66"/>
          </w:tcPr>
          <w:p w:rsidR="00D064C4" w:rsidRPr="006D52FD" w:rsidRDefault="00D064C4" w:rsidP="00BD4E11">
            <w:pPr>
              <w:pStyle w:val="BodyText"/>
              <w:rPr>
                <w:rFonts w:ascii="Helvetica" w:hAnsi="Helvetica" w:cs="Helvetica"/>
                <w:sz w:val="22"/>
                <w:szCs w:val="22"/>
                <w:lang w:eastAsia="en-US"/>
              </w:rPr>
            </w:pPr>
            <w:r w:rsidRPr="00552623">
              <w:rPr>
                <w:rFonts w:ascii="Helvetica" w:hAnsi="Helvetica" w:cs="Helvetica"/>
                <w:color w:val="auto"/>
                <w:sz w:val="22"/>
                <w:szCs w:val="22"/>
                <w:lang w:eastAsia="en-US"/>
              </w:rPr>
              <w:t>DFAT collects and shares quarterly calendar of key events amongst implementing partners to promote collaboration opportunities.</w:t>
            </w:r>
            <w:r w:rsidRPr="006D52FD">
              <w:rPr>
                <w:rFonts w:ascii="Helvetica" w:hAnsi="Helvetica" w:cs="Helvetica"/>
                <w:sz w:val="22"/>
                <w:szCs w:val="22"/>
                <w:lang w:eastAsia="en-US"/>
              </w:rPr>
              <w:t xml:space="preserve"> </w:t>
            </w:r>
          </w:p>
        </w:tc>
        <w:tc>
          <w:tcPr>
            <w:tcW w:w="2693" w:type="dxa"/>
            <w:shd w:val="clear" w:color="auto" w:fill="BDD6EE" w:themeFill="accent1" w:themeFillTint="66"/>
          </w:tcPr>
          <w:p w:rsidR="00D064C4" w:rsidRPr="006D52FD" w:rsidRDefault="00D064C4" w:rsidP="00BD4E11">
            <w:pPr>
              <w:contextualSpacing/>
              <w:rPr>
                <w:rFonts w:ascii="Helvetica" w:hAnsi="Helvetica" w:cs="Helvetica"/>
                <w:color w:val="auto"/>
                <w:sz w:val="22"/>
                <w:szCs w:val="22"/>
                <w:lang w:eastAsia="en-US"/>
              </w:rPr>
            </w:pPr>
            <w:r w:rsidRPr="006D52FD">
              <w:rPr>
                <w:rFonts w:ascii="Helvetica" w:hAnsi="Helvetica" w:cs="Helvetica"/>
                <w:color w:val="auto"/>
                <w:sz w:val="22"/>
                <w:szCs w:val="22"/>
                <w:lang w:eastAsia="en-US"/>
              </w:rPr>
              <w:t>Organise quarterly teleconferences between partner leaders, convened by DFAT.</w:t>
            </w:r>
          </w:p>
          <w:p w:rsidR="00D064C4" w:rsidRPr="006D52FD" w:rsidRDefault="00D064C4" w:rsidP="00BD4E11">
            <w:pPr>
              <w:rPr>
                <w:rFonts w:ascii="Helvetica" w:hAnsi="Helvetica" w:cs="Helvetica"/>
                <w:sz w:val="22"/>
                <w:szCs w:val="22"/>
              </w:rPr>
            </w:pPr>
          </w:p>
        </w:tc>
      </w:tr>
    </w:tbl>
    <w:p w:rsidR="00D064C4" w:rsidRPr="006D52FD" w:rsidRDefault="00D064C4" w:rsidP="00D064C4">
      <w:pPr>
        <w:pStyle w:val="Heading2"/>
        <w:rPr>
          <w:rFonts w:cs="Helvetica"/>
          <w:b/>
          <w:sz w:val="22"/>
          <w:szCs w:val="22"/>
        </w:rPr>
      </w:pPr>
    </w:p>
    <w:p w:rsidR="00D064C4" w:rsidRPr="006D52FD" w:rsidRDefault="00D064C4" w:rsidP="00D064C4">
      <w:pPr>
        <w:pStyle w:val="BodyText"/>
        <w:rPr>
          <w:rFonts w:ascii="Helvetica" w:hAnsi="Helvetica" w:cs="Helvetica"/>
          <w:sz w:val="22"/>
          <w:szCs w:val="22"/>
        </w:rPr>
      </w:pPr>
    </w:p>
    <w:p w:rsidR="00C25263" w:rsidRDefault="00C25263"/>
    <w:sectPr w:rsidR="00C25263" w:rsidSect="00380308">
      <w:headerReference w:type="even" r:id="rId6"/>
      <w:headerReference w:type="default" r:id="rId7"/>
      <w:footerReference w:type="even" r:id="rId8"/>
      <w:footerReference w:type="default" r:id="rId9"/>
      <w:headerReference w:type="first" r:id="rId10"/>
      <w:footerReference w:type="first" r:id="rId11"/>
      <w:pgSz w:w="16840" w:h="11900" w:orient="landscape" w:code="9"/>
      <w:pgMar w:top="1219" w:right="1219" w:bottom="1219" w:left="136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AF" w:rsidRDefault="00EE32AF" w:rsidP="00EE32AF">
      <w:r>
        <w:separator/>
      </w:r>
    </w:p>
  </w:endnote>
  <w:endnote w:type="continuationSeparator" w:id="0">
    <w:p w:rsidR="00EE32AF" w:rsidRDefault="00EE32AF" w:rsidP="00EE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F" w:rsidRDefault="00EE3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F" w:rsidRDefault="00EE3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F" w:rsidRDefault="00EE3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AF" w:rsidRDefault="00EE32AF" w:rsidP="00EE32AF">
      <w:r>
        <w:separator/>
      </w:r>
    </w:p>
  </w:footnote>
  <w:footnote w:type="continuationSeparator" w:id="0">
    <w:p w:rsidR="00EE32AF" w:rsidRDefault="00EE32AF" w:rsidP="00EE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F" w:rsidRDefault="00EE3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F" w:rsidRDefault="00EE3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F" w:rsidRDefault="00EE3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C4"/>
    <w:rsid w:val="00C25263"/>
    <w:rsid w:val="00D064C4"/>
    <w:rsid w:val="00EE3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4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D064C4"/>
    <w:pPr>
      <w:spacing w:after="0" w:line="240" w:lineRule="auto"/>
    </w:pPr>
    <w:rPr>
      <w:rFonts w:ascii="Franklin Gothic Book" w:eastAsia="Times New Roman" w:hAnsi="Franklin Gothic Book" w:cs="Times New Roman"/>
      <w:color w:val="000000" w:themeColor="text1"/>
      <w:sz w:val="21"/>
      <w:szCs w:val="24"/>
      <w:lang w:eastAsia="en-AU"/>
    </w:rPr>
  </w:style>
  <w:style w:type="paragraph" w:styleId="Heading2">
    <w:name w:val="heading 2"/>
    <w:next w:val="BodyText"/>
    <w:link w:val="Heading2Char"/>
    <w:uiPriority w:val="2"/>
    <w:qFormat/>
    <w:rsid w:val="00D064C4"/>
    <w:pPr>
      <w:keepNext/>
      <w:keepLines/>
      <w:spacing w:before="227" w:after="57" w:line="288" w:lineRule="auto"/>
      <w:outlineLvl w:val="1"/>
    </w:pPr>
    <w:rPr>
      <w:rFonts w:ascii="Helvetica" w:eastAsia="Times New Roman" w:hAnsi="Helvetica" w:cs="Times New Roman"/>
      <w:color w:val="127AA5"/>
      <w:kern w:val="28"/>
      <w:sz w:val="24"/>
      <w:szCs w:val="32"/>
      <w:lang w:eastAsia="en-AU"/>
    </w:rPr>
  </w:style>
  <w:style w:type="paragraph" w:styleId="Heading3">
    <w:name w:val="heading 3"/>
    <w:next w:val="BodyText"/>
    <w:link w:val="Heading3Char"/>
    <w:uiPriority w:val="2"/>
    <w:qFormat/>
    <w:rsid w:val="00D064C4"/>
    <w:pPr>
      <w:keepNext/>
      <w:keepLines/>
      <w:spacing w:before="227" w:after="57" w:line="300" w:lineRule="auto"/>
      <w:outlineLvl w:val="2"/>
    </w:pPr>
    <w:rPr>
      <w:rFonts w:ascii="Helvetica" w:eastAsia="Times New Roman" w:hAnsi="Helvetica" w:cs="Times New Roman"/>
      <w:kern w:val="2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D064C4"/>
    <w:rPr>
      <w:rFonts w:ascii="Helvetica" w:eastAsia="Times New Roman" w:hAnsi="Helvetica" w:cs="Times New Roman"/>
      <w:color w:val="127AA5"/>
      <w:kern w:val="28"/>
      <w:sz w:val="24"/>
      <w:szCs w:val="32"/>
      <w:lang w:eastAsia="en-AU"/>
    </w:rPr>
  </w:style>
  <w:style w:type="character" w:customStyle="1" w:styleId="Heading3Char">
    <w:name w:val="Heading 3 Char"/>
    <w:basedOn w:val="DefaultParagraphFont"/>
    <w:link w:val="Heading3"/>
    <w:uiPriority w:val="2"/>
    <w:rsid w:val="00D064C4"/>
    <w:rPr>
      <w:rFonts w:ascii="Helvetica" w:eastAsia="Times New Roman" w:hAnsi="Helvetica" w:cs="Times New Roman"/>
      <w:kern w:val="28"/>
      <w:sz w:val="21"/>
      <w:szCs w:val="21"/>
      <w:lang w:eastAsia="en-AU"/>
    </w:rPr>
  </w:style>
  <w:style w:type="paragraph" w:styleId="BodyText">
    <w:name w:val="Body Text"/>
    <w:link w:val="BodyTextChar"/>
    <w:qFormat/>
    <w:rsid w:val="00D064C4"/>
    <w:pPr>
      <w:spacing w:before="57" w:after="142" w:line="288" w:lineRule="auto"/>
    </w:pPr>
    <w:rPr>
      <w:rFonts w:ascii="Franklin Gothic Book" w:eastAsia="Times New Roman" w:hAnsi="Franklin Gothic Book" w:cs="Times New Roman"/>
      <w:color w:val="000000" w:themeColor="text1"/>
      <w:sz w:val="21"/>
      <w:szCs w:val="24"/>
      <w:lang w:eastAsia="en-AU"/>
    </w:rPr>
  </w:style>
  <w:style w:type="character" w:customStyle="1" w:styleId="BodyTextChar">
    <w:name w:val="Body Text Char"/>
    <w:basedOn w:val="DefaultParagraphFont"/>
    <w:link w:val="BodyText"/>
    <w:rsid w:val="00D064C4"/>
    <w:rPr>
      <w:rFonts w:ascii="Franklin Gothic Book" w:eastAsia="Times New Roman" w:hAnsi="Franklin Gothic Book" w:cs="Times New Roman"/>
      <w:color w:val="000000" w:themeColor="text1"/>
      <w:sz w:val="21"/>
      <w:szCs w:val="24"/>
      <w:lang w:eastAsia="en-AU"/>
    </w:rPr>
  </w:style>
  <w:style w:type="table" w:customStyle="1" w:styleId="ODETable">
    <w:name w:val="ODE Table"/>
    <w:basedOn w:val="TableNormal"/>
    <w:uiPriority w:val="99"/>
    <w:rsid w:val="00D064C4"/>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C000" w:themeFill="accent4"/>
    </w:tcPr>
    <w:tblStylePr w:type="firstRow">
      <w:tblPr/>
      <w:tcPr>
        <w:shd w:val="clear" w:color="auto" w:fill="ED7D31" w:themeFill="accent2"/>
      </w:tcPr>
    </w:tblStylePr>
  </w:style>
  <w:style w:type="paragraph" w:styleId="Header">
    <w:name w:val="header"/>
    <w:basedOn w:val="Normal"/>
    <w:link w:val="HeaderChar"/>
    <w:uiPriority w:val="99"/>
    <w:unhideWhenUsed/>
    <w:rsid w:val="00EE32AF"/>
    <w:pPr>
      <w:tabs>
        <w:tab w:val="center" w:pos="4513"/>
        <w:tab w:val="right" w:pos="9026"/>
      </w:tabs>
    </w:pPr>
  </w:style>
  <w:style w:type="character" w:customStyle="1" w:styleId="HeaderChar">
    <w:name w:val="Header Char"/>
    <w:basedOn w:val="DefaultParagraphFont"/>
    <w:link w:val="Header"/>
    <w:uiPriority w:val="99"/>
    <w:rsid w:val="00EE32AF"/>
    <w:rPr>
      <w:rFonts w:ascii="Franklin Gothic Book" w:eastAsia="Times New Roman" w:hAnsi="Franklin Gothic Book" w:cs="Times New Roman"/>
      <w:color w:val="000000" w:themeColor="text1"/>
      <w:sz w:val="21"/>
      <w:szCs w:val="24"/>
      <w:lang w:eastAsia="en-AU"/>
    </w:rPr>
  </w:style>
  <w:style w:type="paragraph" w:styleId="Footer">
    <w:name w:val="footer"/>
    <w:basedOn w:val="Normal"/>
    <w:link w:val="FooterChar"/>
    <w:uiPriority w:val="99"/>
    <w:unhideWhenUsed/>
    <w:rsid w:val="00EE32AF"/>
    <w:pPr>
      <w:tabs>
        <w:tab w:val="center" w:pos="4513"/>
        <w:tab w:val="right" w:pos="9026"/>
      </w:tabs>
    </w:pPr>
  </w:style>
  <w:style w:type="character" w:customStyle="1" w:styleId="FooterChar">
    <w:name w:val="Footer Char"/>
    <w:basedOn w:val="DefaultParagraphFont"/>
    <w:link w:val="Footer"/>
    <w:uiPriority w:val="99"/>
    <w:rsid w:val="00EE32AF"/>
    <w:rPr>
      <w:rFonts w:ascii="Franklin Gothic Book" w:eastAsia="Times New Roman" w:hAnsi="Franklin Gothic Book" w:cs="Times New Roman"/>
      <w:color w:val="000000" w:themeColor="text1"/>
      <w:sz w:val="21"/>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73C225-0C40-4540-B4BB-38EF7F3D80D2}"/>
</file>

<file path=customXml/itemProps2.xml><?xml version="1.0" encoding="utf-8"?>
<ds:datastoreItem xmlns:ds="http://schemas.openxmlformats.org/officeDocument/2006/customXml" ds:itemID="{6BE32EDB-B056-45FA-ABAE-588B0832CFA0}"/>
</file>

<file path=customXml/itemProps3.xml><?xml version="1.0" encoding="utf-8"?>
<ds:datastoreItem xmlns:ds="http://schemas.openxmlformats.org/officeDocument/2006/customXml" ds:itemID="{3472C39B-D503-4069-89E5-5AE83F9209CC}"/>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Greater Mekong Water Resources Program’s approach to policy dialogue: management response to evaluative study</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Mekong Water Resources Program’s approach to policy dialogue: management response to evaluative study</dc:title>
  <dc:subject/>
  <dc:creator/>
  <cp:keywords/>
  <dc:description/>
  <cp:lastModifiedBy/>
  <cp:revision>1</cp:revision>
  <dcterms:created xsi:type="dcterms:W3CDTF">2017-09-27T22:37:00Z</dcterms:created>
  <dcterms:modified xsi:type="dcterms:W3CDTF">2017-09-27T22:39:00Z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e4582196-a169-45a8-9a3a-3ad4e699fee9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1128200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