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C1EE7" w14:textId="77777777" w:rsidR="000929AA" w:rsidRPr="00964B35" w:rsidRDefault="000929AA" w:rsidP="000929AA">
      <w:pPr>
        <w:spacing w:before="360"/>
        <w:jc w:val="center"/>
      </w:pPr>
      <w:bookmarkStart w:id="0" w:name="_GoBack"/>
      <w:bookmarkEnd w:id="0"/>
      <w:r w:rsidRPr="00964B35">
        <w:rPr>
          <w:caps/>
          <w:noProof/>
          <w:lang w:eastAsia="en-AU"/>
        </w:rPr>
        <w:drawing>
          <wp:inline distT="0" distB="0" distL="0" distR="0" wp14:anchorId="01CF0A07" wp14:editId="07FDE0F2">
            <wp:extent cx="246697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3E4A6AB8" w14:textId="3D7FD563" w:rsidR="000929AA" w:rsidRPr="00964B35" w:rsidRDefault="000929AA" w:rsidP="000929AA">
      <w:pPr>
        <w:spacing w:before="360"/>
        <w:jc w:val="center"/>
        <w:rPr>
          <w:sz w:val="36"/>
          <w:szCs w:val="36"/>
        </w:rPr>
      </w:pPr>
      <w:r w:rsidRPr="00964B35">
        <w:rPr>
          <w:sz w:val="36"/>
          <w:szCs w:val="36"/>
        </w:rPr>
        <w:t xml:space="preserve">Australian Government response to the </w:t>
      </w:r>
      <w:r w:rsidRPr="00964B35">
        <w:rPr>
          <w:sz w:val="36"/>
          <w:szCs w:val="36"/>
        </w:rPr>
        <w:br/>
        <w:t>Joint S</w:t>
      </w:r>
      <w:r w:rsidR="006570EA" w:rsidRPr="00964B35">
        <w:rPr>
          <w:sz w:val="36"/>
          <w:szCs w:val="36"/>
        </w:rPr>
        <w:t xml:space="preserve">tanding </w:t>
      </w:r>
      <w:r w:rsidRPr="00964B35">
        <w:rPr>
          <w:sz w:val="36"/>
          <w:szCs w:val="36"/>
        </w:rPr>
        <w:t>Committee on T</w:t>
      </w:r>
      <w:r w:rsidR="00230F00" w:rsidRPr="00964B35">
        <w:rPr>
          <w:sz w:val="36"/>
          <w:szCs w:val="36"/>
        </w:rPr>
        <w:t xml:space="preserve">reaties </w:t>
      </w:r>
      <w:r w:rsidR="002E6C60" w:rsidRPr="00964B35">
        <w:rPr>
          <w:sz w:val="36"/>
          <w:szCs w:val="36"/>
        </w:rPr>
        <w:t>r</w:t>
      </w:r>
      <w:r w:rsidRPr="00964B35">
        <w:rPr>
          <w:sz w:val="36"/>
          <w:szCs w:val="36"/>
        </w:rPr>
        <w:t>eport</w:t>
      </w:r>
      <w:r w:rsidR="00EC1BC2" w:rsidRPr="00964B35">
        <w:rPr>
          <w:sz w:val="36"/>
          <w:szCs w:val="36"/>
        </w:rPr>
        <w:t xml:space="preserve"> 181</w:t>
      </w:r>
      <w:r w:rsidRPr="00964B35">
        <w:rPr>
          <w:sz w:val="36"/>
          <w:szCs w:val="36"/>
        </w:rPr>
        <w:t>:</w:t>
      </w:r>
    </w:p>
    <w:p w14:paraId="47ECF6C6" w14:textId="4389109D" w:rsidR="000929AA" w:rsidRPr="00964B35" w:rsidRDefault="000929AA" w:rsidP="000929AA">
      <w:pPr>
        <w:spacing w:before="240"/>
        <w:jc w:val="center"/>
        <w:rPr>
          <w:i/>
          <w:sz w:val="36"/>
          <w:szCs w:val="36"/>
        </w:rPr>
      </w:pPr>
      <w:r w:rsidRPr="00964B35">
        <w:rPr>
          <w:i/>
          <w:sz w:val="36"/>
          <w:szCs w:val="36"/>
        </w:rPr>
        <w:t xml:space="preserve">Inquiry into </w:t>
      </w:r>
      <w:r w:rsidR="006570EA" w:rsidRPr="00964B35">
        <w:rPr>
          <w:i/>
          <w:sz w:val="36"/>
          <w:szCs w:val="36"/>
        </w:rPr>
        <w:t xml:space="preserve">the </w:t>
      </w:r>
      <w:r w:rsidR="00212A85" w:rsidRPr="00964B35">
        <w:rPr>
          <w:i/>
          <w:sz w:val="36"/>
          <w:szCs w:val="36"/>
        </w:rPr>
        <w:t xml:space="preserve">Comprehensive and Progressive Agreement for </w:t>
      </w:r>
      <w:r w:rsidR="006570EA" w:rsidRPr="00964B35">
        <w:rPr>
          <w:i/>
          <w:sz w:val="36"/>
          <w:szCs w:val="36"/>
        </w:rPr>
        <w:t xml:space="preserve">Trans-Pacific Partnership </w:t>
      </w:r>
    </w:p>
    <w:p w14:paraId="2AB572EB" w14:textId="77B447D7" w:rsidR="000929AA" w:rsidRPr="00964B35" w:rsidRDefault="000929AA" w:rsidP="00433FCB">
      <w:pPr>
        <w:spacing w:before="240"/>
        <w:jc w:val="center"/>
        <w:rPr>
          <w:caps/>
          <w:sz w:val="28"/>
          <w:szCs w:val="28"/>
        </w:rPr>
      </w:pPr>
    </w:p>
    <w:p w14:paraId="37246314" w14:textId="66833C06" w:rsidR="000929AA" w:rsidRPr="00964B35" w:rsidRDefault="005F24B8" w:rsidP="000929AA">
      <w:pPr>
        <w:spacing w:before="240"/>
        <w:jc w:val="right"/>
        <w:rPr>
          <w:caps/>
          <w:sz w:val="28"/>
          <w:szCs w:val="28"/>
        </w:rPr>
      </w:pPr>
      <w:r>
        <w:rPr>
          <w:caps/>
          <w:sz w:val="28"/>
          <w:szCs w:val="28"/>
        </w:rPr>
        <w:t>APRIL</w:t>
      </w:r>
      <w:r w:rsidR="003608B5" w:rsidRPr="00964B35">
        <w:rPr>
          <w:caps/>
          <w:sz w:val="28"/>
          <w:szCs w:val="28"/>
        </w:rPr>
        <w:t xml:space="preserve"> 2019</w:t>
      </w:r>
    </w:p>
    <w:p w14:paraId="09F9D547" w14:textId="47081230" w:rsidR="000929AA" w:rsidRPr="00964B35" w:rsidRDefault="000929AA" w:rsidP="000929AA">
      <w:pPr>
        <w:jc w:val="center"/>
        <w:rPr>
          <w:b/>
        </w:rPr>
      </w:pPr>
      <w:r w:rsidRPr="00964B35">
        <w:rPr>
          <w:caps/>
          <w:sz w:val="28"/>
          <w:szCs w:val="28"/>
        </w:rPr>
        <w:br w:type="page"/>
      </w:r>
      <w:r w:rsidR="006570EA" w:rsidRPr="00964B35">
        <w:rPr>
          <w:b/>
        </w:rPr>
        <w:lastRenderedPageBreak/>
        <w:t xml:space="preserve">Australian Government response to the Joint Standing </w:t>
      </w:r>
      <w:r w:rsidRPr="00964B35">
        <w:rPr>
          <w:b/>
        </w:rPr>
        <w:t>Committee on Tr</w:t>
      </w:r>
      <w:r w:rsidR="006570EA" w:rsidRPr="00964B35">
        <w:rPr>
          <w:b/>
        </w:rPr>
        <w:t>eaties</w:t>
      </w:r>
      <w:r w:rsidRPr="00964B35">
        <w:rPr>
          <w:b/>
        </w:rPr>
        <w:t xml:space="preserve"> Report</w:t>
      </w:r>
      <w:r w:rsidR="006570EA" w:rsidRPr="00964B35">
        <w:rPr>
          <w:b/>
        </w:rPr>
        <w:t xml:space="preserve"> </w:t>
      </w:r>
      <w:r w:rsidR="00212A85" w:rsidRPr="00964B35">
        <w:rPr>
          <w:b/>
        </w:rPr>
        <w:t>181</w:t>
      </w:r>
    </w:p>
    <w:p w14:paraId="5077C48E" w14:textId="77777777" w:rsidR="000929AA" w:rsidRPr="00964B35" w:rsidRDefault="000929AA" w:rsidP="000929AA">
      <w:pPr>
        <w:jc w:val="center"/>
        <w:rPr>
          <w:b/>
        </w:rPr>
      </w:pPr>
    </w:p>
    <w:p w14:paraId="1DBC6B88" w14:textId="38D019ED" w:rsidR="000929AA" w:rsidRPr="00964B35" w:rsidRDefault="000929AA" w:rsidP="000929AA">
      <w:pPr>
        <w:jc w:val="center"/>
        <w:rPr>
          <w:i/>
        </w:rPr>
      </w:pPr>
      <w:r w:rsidRPr="00964B35">
        <w:rPr>
          <w:i/>
        </w:rPr>
        <w:t xml:space="preserve">Inquiry into </w:t>
      </w:r>
      <w:r w:rsidR="006570EA" w:rsidRPr="00964B35">
        <w:rPr>
          <w:i/>
        </w:rPr>
        <w:t xml:space="preserve">the </w:t>
      </w:r>
      <w:r w:rsidR="006C7DDC" w:rsidRPr="00964B35">
        <w:rPr>
          <w:i/>
        </w:rPr>
        <w:t>Comprehensive and Progressive Agreement for Trans-Pacific Partnership</w:t>
      </w:r>
    </w:p>
    <w:p w14:paraId="6076021E" w14:textId="77777777" w:rsidR="000929AA" w:rsidRPr="00964B35" w:rsidRDefault="000929AA" w:rsidP="000929AA">
      <w:pPr>
        <w:jc w:val="center"/>
        <w:rPr>
          <w:b/>
        </w:rPr>
      </w:pPr>
    </w:p>
    <w:p w14:paraId="2A3C1E34" w14:textId="77777777" w:rsidR="000929AA" w:rsidRPr="00964B35" w:rsidRDefault="000929AA" w:rsidP="000929AA">
      <w:pPr>
        <w:jc w:val="center"/>
      </w:pPr>
    </w:p>
    <w:p w14:paraId="5F5F7A8B" w14:textId="3E294764" w:rsidR="006570EA" w:rsidRPr="00964B35" w:rsidRDefault="00E316D3" w:rsidP="00E316D3">
      <w:r w:rsidRPr="00964B35">
        <w:t xml:space="preserve">The Government thanks the Committee for its consideration of the </w:t>
      </w:r>
      <w:r w:rsidR="006C7DDC" w:rsidRPr="00964B35">
        <w:t>Comprehensive and Progressive Agreement for Trans-Pacific Partnership</w:t>
      </w:r>
      <w:r w:rsidR="006570EA" w:rsidRPr="00964B35">
        <w:t xml:space="preserve"> (</w:t>
      </w:r>
      <w:r w:rsidR="0003058E" w:rsidRPr="00964B35">
        <w:t>TPP-11</w:t>
      </w:r>
      <w:r w:rsidR="00B93FEE" w:rsidRPr="00964B35">
        <w:t>).</w:t>
      </w:r>
    </w:p>
    <w:p w14:paraId="6CED158A" w14:textId="77777777" w:rsidR="006570EA" w:rsidRPr="00964B35" w:rsidRDefault="006570EA" w:rsidP="006570EA"/>
    <w:p w14:paraId="1BCC433D" w14:textId="0C2A0CD6" w:rsidR="00520A61" w:rsidRPr="00964B35" w:rsidRDefault="006570EA" w:rsidP="00520A61">
      <w:pPr>
        <w:autoSpaceDE w:val="0"/>
        <w:autoSpaceDN w:val="0"/>
        <w:rPr>
          <w:bCs/>
        </w:rPr>
      </w:pPr>
      <w:r w:rsidRPr="00964B35">
        <w:t>The Government welcomes the Committee’s final recommendatio</w:t>
      </w:r>
      <w:r w:rsidR="008033E9" w:rsidRPr="00964B35">
        <w:t xml:space="preserve">n that binding treaty action be </w:t>
      </w:r>
      <w:r w:rsidRPr="00964B35">
        <w:t xml:space="preserve">taken in relation to the </w:t>
      </w:r>
      <w:r w:rsidR="0003058E" w:rsidRPr="00964B35">
        <w:t>TPP-11</w:t>
      </w:r>
      <w:r w:rsidRPr="00964B35">
        <w:t>.</w:t>
      </w:r>
      <w:r w:rsidR="00442637" w:rsidRPr="00964B35">
        <w:t xml:space="preserve"> </w:t>
      </w:r>
      <w:r w:rsidR="00520A61" w:rsidRPr="00964B35">
        <w:t xml:space="preserve">Australia ratified the </w:t>
      </w:r>
      <w:r w:rsidR="0003058E" w:rsidRPr="00964B35">
        <w:t>TPP-11</w:t>
      </w:r>
      <w:r w:rsidR="00520A61" w:rsidRPr="00964B35">
        <w:t xml:space="preserve"> on 31 October 2018 and it entered into force on 30 December 2018.  </w:t>
      </w:r>
    </w:p>
    <w:p w14:paraId="2B2A5D88" w14:textId="6786E3FE" w:rsidR="006570EA" w:rsidRPr="00964B35" w:rsidRDefault="006570EA" w:rsidP="006570EA"/>
    <w:p w14:paraId="1352F689" w14:textId="0D51E5A1" w:rsidR="006570EA" w:rsidRPr="00964B35" w:rsidRDefault="006570EA" w:rsidP="006570EA">
      <w:r w:rsidRPr="00964B35">
        <w:t xml:space="preserve">The </w:t>
      </w:r>
      <w:r w:rsidR="00E316D3" w:rsidRPr="00964B35">
        <w:t xml:space="preserve">Government provides the </w:t>
      </w:r>
      <w:r w:rsidRPr="00964B35">
        <w:t xml:space="preserve">following responses to the </w:t>
      </w:r>
      <w:r w:rsidR="007D6A22" w:rsidRPr="00964B35">
        <w:t xml:space="preserve">Committee’s </w:t>
      </w:r>
      <w:r w:rsidR="00B93FEE" w:rsidRPr="00964B35">
        <w:t>r</w:t>
      </w:r>
      <w:r w:rsidRPr="00964B35">
        <w:t>ecommendations</w:t>
      </w:r>
      <w:r w:rsidR="00E316D3" w:rsidRPr="00964B35">
        <w:t>.</w:t>
      </w:r>
    </w:p>
    <w:p w14:paraId="70C8AE39" w14:textId="77777777" w:rsidR="006570EA" w:rsidRPr="00964B35" w:rsidRDefault="006570EA" w:rsidP="006570EA"/>
    <w:p w14:paraId="2A7D33E0" w14:textId="75BB8E66" w:rsidR="000929AA" w:rsidRPr="00964B35" w:rsidRDefault="000929AA" w:rsidP="000929AA">
      <w:pPr>
        <w:autoSpaceDE w:val="0"/>
        <w:autoSpaceDN w:val="0"/>
        <w:rPr>
          <w:b/>
          <w:bCs/>
          <w:iCs/>
          <w:u w:val="single"/>
        </w:rPr>
      </w:pPr>
      <w:r w:rsidRPr="00964B35">
        <w:rPr>
          <w:b/>
          <w:bCs/>
          <w:iCs/>
          <w:u w:val="single"/>
        </w:rPr>
        <w:t>Reco</w:t>
      </w:r>
      <w:r w:rsidR="0092518F" w:rsidRPr="00964B35">
        <w:rPr>
          <w:b/>
          <w:bCs/>
          <w:iCs/>
          <w:u w:val="single"/>
        </w:rPr>
        <w:t>mmendation 1</w:t>
      </w:r>
    </w:p>
    <w:p w14:paraId="3752D7C4" w14:textId="77777777" w:rsidR="004B332C" w:rsidRPr="00964B35" w:rsidRDefault="004B332C" w:rsidP="000929AA">
      <w:pPr>
        <w:autoSpaceDE w:val="0"/>
        <w:autoSpaceDN w:val="0"/>
        <w:rPr>
          <w:b/>
          <w:bCs/>
          <w:iCs/>
          <w:u w:val="single"/>
        </w:rPr>
      </w:pPr>
    </w:p>
    <w:p w14:paraId="359A273C" w14:textId="024FCDB0" w:rsidR="000929AA" w:rsidRPr="00964B35" w:rsidRDefault="00C76E1E" w:rsidP="000929AA">
      <w:pPr>
        <w:autoSpaceDE w:val="0"/>
        <w:autoSpaceDN w:val="0"/>
        <w:rPr>
          <w:b/>
          <w:i/>
        </w:rPr>
      </w:pPr>
      <w:r w:rsidRPr="00964B35">
        <w:rPr>
          <w:b/>
          <w:i/>
        </w:rPr>
        <w:t>The Committee recommends that, in the event that the Parties to the Comprehensive and Progressive Agreement for Trans-Pacific Partnership between the Government of Australia and the Governments of: Brunei Darussalam, Canada, Chile, Japan, Malaysia, Mexico, New Zealand, Peru, Singapore and Vietnam agree to reinstate the suspended provisions of the Trans Pacific Partnership Agreement, the reinstatement be treated as an amendment to the Treaty and be subject to an inquiry by the Committee.</w:t>
      </w:r>
    </w:p>
    <w:p w14:paraId="4A928944" w14:textId="77777777" w:rsidR="00C76E1E" w:rsidRPr="00964B35" w:rsidRDefault="00C76E1E" w:rsidP="000929AA">
      <w:pPr>
        <w:autoSpaceDE w:val="0"/>
        <w:autoSpaceDN w:val="0"/>
        <w:rPr>
          <w:color w:val="000000"/>
        </w:rPr>
      </w:pPr>
    </w:p>
    <w:p w14:paraId="75DFE689" w14:textId="77777777" w:rsidR="000929AA" w:rsidRPr="00964B35" w:rsidRDefault="000929AA" w:rsidP="000929AA">
      <w:pPr>
        <w:autoSpaceDE w:val="0"/>
        <w:autoSpaceDN w:val="0"/>
        <w:rPr>
          <w:b/>
          <w:bCs/>
          <w:iCs/>
          <w:color w:val="000000"/>
        </w:rPr>
      </w:pPr>
      <w:r w:rsidRPr="00964B35">
        <w:rPr>
          <w:b/>
          <w:bCs/>
          <w:iCs/>
          <w:color w:val="000000"/>
        </w:rPr>
        <w:t xml:space="preserve">Response: </w:t>
      </w:r>
    </w:p>
    <w:p w14:paraId="34E9DE2E" w14:textId="222B7C52" w:rsidR="00E14275" w:rsidRPr="00964B35" w:rsidRDefault="00E14275" w:rsidP="00E14275">
      <w:pPr>
        <w:autoSpaceDE w:val="0"/>
        <w:autoSpaceDN w:val="0"/>
        <w:rPr>
          <w:color w:val="000000"/>
        </w:rPr>
      </w:pPr>
    </w:p>
    <w:p w14:paraId="46DA057D" w14:textId="77777777" w:rsidR="006A02D0" w:rsidRPr="00964B35" w:rsidRDefault="0014755C" w:rsidP="00E14275">
      <w:pPr>
        <w:autoSpaceDE w:val="0"/>
        <w:autoSpaceDN w:val="0"/>
        <w:rPr>
          <w:bCs/>
        </w:rPr>
      </w:pPr>
      <w:r w:rsidRPr="00964B35">
        <w:rPr>
          <w:bCs/>
        </w:rPr>
        <w:t xml:space="preserve">The Government notes the recommendation. </w:t>
      </w:r>
    </w:p>
    <w:p w14:paraId="2E25353E" w14:textId="77777777" w:rsidR="006A02D0" w:rsidRPr="00964B35" w:rsidRDefault="006A02D0" w:rsidP="00E14275">
      <w:pPr>
        <w:autoSpaceDE w:val="0"/>
        <w:autoSpaceDN w:val="0"/>
        <w:rPr>
          <w:bCs/>
        </w:rPr>
      </w:pPr>
    </w:p>
    <w:p w14:paraId="794D1C5E" w14:textId="4B44EC2C" w:rsidR="00BD1D71" w:rsidRPr="00964B35" w:rsidRDefault="000730E0" w:rsidP="00E14275">
      <w:pPr>
        <w:autoSpaceDE w:val="0"/>
        <w:autoSpaceDN w:val="0"/>
        <w:rPr>
          <w:bCs/>
        </w:rPr>
      </w:pPr>
      <w:r w:rsidRPr="00964B35">
        <w:rPr>
          <w:bCs/>
        </w:rPr>
        <w:t xml:space="preserve">Should the suspended provisions be reinstated, this would </w:t>
      </w:r>
      <w:r w:rsidR="00B1234D" w:rsidRPr="00964B35">
        <w:rPr>
          <w:bCs/>
        </w:rPr>
        <w:t xml:space="preserve">be treated as a treaty amendment and </w:t>
      </w:r>
      <w:r w:rsidRPr="00964B35">
        <w:rPr>
          <w:bCs/>
        </w:rPr>
        <w:t xml:space="preserve">would </w:t>
      </w:r>
      <w:r w:rsidR="00B1234D" w:rsidRPr="00964B35">
        <w:rPr>
          <w:bCs/>
        </w:rPr>
        <w:t xml:space="preserve">be subject to scrutiny by the Joint Standing Committee on Treaties (JSCOT). </w:t>
      </w:r>
    </w:p>
    <w:p w14:paraId="22569F25" w14:textId="043B1E22" w:rsidR="00C807E4" w:rsidRPr="00964B35" w:rsidRDefault="00C807E4" w:rsidP="00C807E4">
      <w:pPr>
        <w:autoSpaceDE w:val="0"/>
        <w:autoSpaceDN w:val="0"/>
        <w:rPr>
          <w:bCs/>
        </w:rPr>
      </w:pPr>
    </w:p>
    <w:p w14:paraId="19F29D30" w14:textId="7DEE1612" w:rsidR="000841E9" w:rsidRPr="00964B35" w:rsidRDefault="0092518F" w:rsidP="000929AA">
      <w:pPr>
        <w:autoSpaceDE w:val="0"/>
        <w:autoSpaceDN w:val="0"/>
        <w:rPr>
          <w:b/>
          <w:bCs/>
          <w:iCs/>
          <w:color w:val="000000"/>
          <w:u w:val="single"/>
        </w:rPr>
      </w:pPr>
      <w:r w:rsidRPr="00964B35">
        <w:rPr>
          <w:b/>
          <w:bCs/>
          <w:iCs/>
          <w:color w:val="000000"/>
          <w:u w:val="single"/>
        </w:rPr>
        <w:t>Recommendation 2</w:t>
      </w:r>
    </w:p>
    <w:p w14:paraId="31D1A0C8" w14:textId="77777777" w:rsidR="004B332C" w:rsidRPr="00964B35" w:rsidRDefault="004B332C" w:rsidP="000929AA">
      <w:pPr>
        <w:autoSpaceDE w:val="0"/>
        <w:autoSpaceDN w:val="0"/>
        <w:rPr>
          <w:b/>
          <w:bCs/>
          <w:iCs/>
          <w:color w:val="000000"/>
          <w:u w:val="single"/>
        </w:rPr>
      </w:pPr>
    </w:p>
    <w:p w14:paraId="08D3FFD9" w14:textId="63F9DA0D" w:rsidR="00CF72C3" w:rsidRPr="00964B35" w:rsidRDefault="00CF72C3" w:rsidP="000929AA">
      <w:pPr>
        <w:autoSpaceDE w:val="0"/>
        <w:autoSpaceDN w:val="0"/>
        <w:rPr>
          <w:b/>
          <w:i/>
          <w:color w:val="000000"/>
        </w:rPr>
      </w:pPr>
      <w:r w:rsidRPr="00964B35">
        <w:rPr>
          <w:b/>
          <w:i/>
          <w:color w:val="000000"/>
        </w:rPr>
        <w:t>The Committee recommends that the Australian Government review Australia’s bilateral trade agreements with TPP 11 Parties with a view to withdrawing from those which are no longer beneficial to Australian businesses.</w:t>
      </w:r>
    </w:p>
    <w:p w14:paraId="032F1246" w14:textId="77777777" w:rsidR="00CF72C3" w:rsidRPr="00964B35" w:rsidRDefault="00CF72C3" w:rsidP="000929AA">
      <w:pPr>
        <w:autoSpaceDE w:val="0"/>
        <w:autoSpaceDN w:val="0"/>
        <w:rPr>
          <w:b/>
          <w:i/>
          <w:color w:val="000000"/>
        </w:rPr>
      </w:pPr>
    </w:p>
    <w:p w14:paraId="205BB32B" w14:textId="77777777" w:rsidR="00CF72C3" w:rsidRPr="00964B35" w:rsidRDefault="00CF72C3" w:rsidP="00CF72C3">
      <w:pPr>
        <w:autoSpaceDE w:val="0"/>
        <w:autoSpaceDN w:val="0"/>
        <w:rPr>
          <w:b/>
          <w:bCs/>
          <w:iCs/>
          <w:color w:val="000000"/>
        </w:rPr>
      </w:pPr>
      <w:r w:rsidRPr="00964B35">
        <w:rPr>
          <w:b/>
          <w:bCs/>
          <w:iCs/>
          <w:color w:val="000000"/>
        </w:rPr>
        <w:t xml:space="preserve">Response: </w:t>
      </w:r>
    </w:p>
    <w:p w14:paraId="22A284DC" w14:textId="77777777" w:rsidR="007B2DC1" w:rsidRPr="00964B35" w:rsidRDefault="007B2DC1" w:rsidP="00CF72C3">
      <w:pPr>
        <w:autoSpaceDE w:val="0"/>
        <w:autoSpaceDN w:val="0"/>
        <w:rPr>
          <w:color w:val="000000"/>
        </w:rPr>
      </w:pPr>
    </w:p>
    <w:p w14:paraId="78F54B0A" w14:textId="2615852B" w:rsidR="00CF72C3" w:rsidRPr="00964B35" w:rsidRDefault="00CF72C3" w:rsidP="00CF72C3">
      <w:pPr>
        <w:autoSpaceDE w:val="0"/>
        <w:autoSpaceDN w:val="0"/>
        <w:rPr>
          <w:bCs/>
        </w:rPr>
      </w:pPr>
      <w:r w:rsidRPr="00964B35">
        <w:rPr>
          <w:color w:val="000000"/>
        </w:rPr>
        <w:t xml:space="preserve">The Government notes the </w:t>
      </w:r>
      <w:r w:rsidRPr="00964B35">
        <w:rPr>
          <w:bCs/>
        </w:rPr>
        <w:t xml:space="preserve">recommendation. </w:t>
      </w:r>
    </w:p>
    <w:p w14:paraId="754CB757" w14:textId="77777777" w:rsidR="00CF72C3" w:rsidRPr="00964B35" w:rsidRDefault="00CF72C3" w:rsidP="00CF72C3">
      <w:pPr>
        <w:autoSpaceDE w:val="0"/>
        <w:autoSpaceDN w:val="0"/>
        <w:rPr>
          <w:bCs/>
        </w:rPr>
      </w:pPr>
    </w:p>
    <w:p w14:paraId="0A39418B" w14:textId="5C7AB6BE" w:rsidR="00E01945" w:rsidRPr="00964B35" w:rsidRDefault="00BF1510" w:rsidP="004F2102">
      <w:pPr>
        <w:autoSpaceDE w:val="0"/>
        <w:autoSpaceDN w:val="0"/>
        <w:rPr>
          <w:bCs/>
        </w:rPr>
      </w:pPr>
      <w:r w:rsidRPr="00964B35">
        <w:rPr>
          <w:bCs/>
        </w:rPr>
        <w:t>As a plurilateral agreement with eleven parties, the negotiation of</w:t>
      </w:r>
      <w:r w:rsidR="0003058E" w:rsidRPr="00964B35">
        <w:rPr>
          <w:bCs/>
        </w:rPr>
        <w:t xml:space="preserve"> the</w:t>
      </w:r>
      <w:r w:rsidRPr="00964B35">
        <w:rPr>
          <w:bCs/>
        </w:rPr>
        <w:t xml:space="preserve"> </w:t>
      </w:r>
      <w:r w:rsidRPr="00964B35">
        <w:rPr>
          <w:bCs/>
        </w:rPr>
        <w:br/>
      </w:r>
      <w:r w:rsidR="0003058E" w:rsidRPr="00964B35">
        <w:rPr>
          <w:bCs/>
        </w:rPr>
        <w:t>TPP-11</w:t>
      </w:r>
      <w:r w:rsidRPr="00964B35">
        <w:rPr>
          <w:bCs/>
        </w:rPr>
        <w:t xml:space="preserve"> needed to take into account the interests of a diverse group of countries. Bilateral agreements between Australia and its trading partners, </w:t>
      </w:r>
      <w:r w:rsidR="00B1234D" w:rsidRPr="00964B35">
        <w:rPr>
          <w:bCs/>
        </w:rPr>
        <w:t xml:space="preserve">including </w:t>
      </w:r>
      <w:r w:rsidR="0003058E" w:rsidRPr="00964B35">
        <w:rPr>
          <w:bCs/>
        </w:rPr>
        <w:t>TPP-11</w:t>
      </w:r>
      <w:r w:rsidR="00B1234D" w:rsidRPr="00964B35">
        <w:rPr>
          <w:bCs/>
        </w:rPr>
        <w:t xml:space="preserve"> countries</w:t>
      </w:r>
      <w:r w:rsidR="00DA73AA" w:rsidRPr="00964B35">
        <w:rPr>
          <w:bCs/>
        </w:rPr>
        <w:t xml:space="preserve">, provide an opportunity to </w:t>
      </w:r>
      <w:r w:rsidRPr="00964B35">
        <w:rPr>
          <w:bCs/>
        </w:rPr>
        <w:t>pursue bilateral interests</w:t>
      </w:r>
      <w:r w:rsidR="00CD7D26" w:rsidRPr="00964B35">
        <w:rPr>
          <w:bCs/>
        </w:rPr>
        <w:t>, typically in the</w:t>
      </w:r>
      <w:r w:rsidR="00E01945" w:rsidRPr="00964B35">
        <w:rPr>
          <w:bCs/>
        </w:rPr>
        <w:t xml:space="preserve"> form of greater market access. For example, the bilateral agreement with Peru contains </w:t>
      </w:r>
      <w:r w:rsidR="00E15FB4" w:rsidRPr="00964B35">
        <w:rPr>
          <w:bCs/>
        </w:rPr>
        <w:t xml:space="preserve">far </w:t>
      </w:r>
      <w:r w:rsidR="00E01945" w:rsidRPr="00964B35">
        <w:rPr>
          <w:bCs/>
        </w:rPr>
        <w:lastRenderedPageBreak/>
        <w:t xml:space="preserve">better market access outcomes on </w:t>
      </w:r>
      <w:r w:rsidR="00E15FB4" w:rsidRPr="00964B35">
        <w:rPr>
          <w:bCs/>
        </w:rPr>
        <w:t xml:space="preserve">priority areas </w:t>
      </w:r>
      <w:r w:rsidR="00E01945" w:rsidRPr="00964B35">
        <w:rPr>
          <w:bCs/>
        </w:rPr>
        <w:t xml:space="preserve">than </w:t>
      </w:r>
      <w:r w:rsidR="00E15FB4" w:rsidRPr="00964B35">
        <w:rPr>
          <w:bCs/>
        </w:rPr>
        <w:t xml:space="preserve">what is contained in the </w:t>
      </w:r>
      <w:r w:rsidR="0003058E" w:rsidRPr="00964B35">
        <w:rPr>
          <w:bCs/>
        </w:rPr>
        <w:t>TPP-11</w:t>
      </w:r>
      <w:r w:rsidR="00E15FB4" w:rsidRPr="00964B35">
        <w:rPr>
          <w:bCs/>
        </w:rPr>
        <w:t>. These include quota access for sugar, dairy, rice and sorghum, faster phase out of tariffs for beef, and elimination of tariffs for pharmaceuticals and medi</w:t>
      </w:r>
      <w:r w:rsidR="00C20034" w:rsidRPr="00964B35">
        <w:rPr>
          <w:bCs/>
        </w:rPr>
        <w:t>c</w:t>
      </w:r>
      <w:r w:rsidR="00E15FB4" w:rsidRPr="00964B35">
        <w:rPr>
          <w:bCs/>
        </w:rPr>
        <w:t>al devices.</w:t>
      </w:r>
      <w:r w:rsidR="00C20034" w:rsidRPr="00964B35">
        <w:rPr>
          <w:bCs/>
        </w:rPr>
        <w:t xml:space="preserve"> </w:t>
      </w:r>
      <w:r w:rsidR="0073015A" w:rsidRPr="00964B35">
        <w:rPr>
          <w:bCs/>
        </w:rPr>
        <w:t>Peru will also recognise Australian university degrees.</w:t>
      </w:r>
    </w:p>
    <w:p w14:paraId="47C0DB80" w14:textId="77777777" w:rsidR="00E01945" w:rsidRPr="00964B35" w:rsidRDefault="00E01945" w:rsidP="004F2102">
      <w:pPr>
        <w:autoSpaceDE w:val="0"/>
        <w:autoSpaceDN w:val="0"/>
        <w:rPr>
          <w:bCs/>
        </w:rPr>
      </w:pPr>
    </w:p>
    <w:p w14:paraId="2CA3E0B4" w14:textId="4121C64A" w:rsidR="00BF1510" w:rsidRPr="00964B35" w:rsidRDefault="00CD7D26" w:rsidP="004F2102">
      <w:pPr>
        <w:autoSpaceDE w:val="0"/>
        <w:autoSpaceDN w:val="0"/>
        <w:rPr>
          <w:bCs/>
        </w:rPr>
      </w:pPr>
      <w:r w:rsidRPr="00964B35">
        <w:rPr>
          <w:bCs/>
        </w:rPr>
        <w:t>The Government is helping business maximise the benefits of all of our t</w:t>
      </w:r>
      <w:r w:rsidR="00B1234D" w:rsidRPr="00964B35">
        <w:rPr>
          <w:bCs/>
        </w:rPr>
        <w:t>rade agreements,</w:t>
      </w:r>
      <w:r w:rsidR="00657C29" w:rsidRPr="00964B35">
        <w:rPr>
          <w:bCs/>
        </w:rPr>
        <w:t xml:space="preserve"> including</w:t>
      </w:r>
      <w:r w:rsidR="00B1234D" w:rsidRPr="00964B35">
        <w:rPr>
          <w:bCs/>
        </w:rPr>
        <w:t xml:space="preserve"> through the Free Trade Agreement (FTA)</w:t>
      </w:r>
      <w:r w:rsidRPr="00964B35">
        <w:rPr>
          <w:bCs/>
        </w:rPr>
        <w:t xml:space="preserve"> portal</w:t>
      </w:r>
      <w:r w:rsidR="00657C29" w:rsidRPr="00964B35">
        <w:rPr>
          <w:bCs/>
        </w:rPr>
        <w:t xml:space="preserve">, through over 100 FTA seminars targeting SMEs, conducted across metropolitan and regional Australia, and through regular consultation with business.   </w:t>
      </w:r>
    </w:p>
    <w:p w14:paraId="3BF67D78" w14:textId="356710FF" w:rsidR="005A3322" w:rsidRPr="00964B35" w:rsidRDefault="005A3322" w:rsidP="00CF72C3">
      <w:pPr>
        <w:autoSpaceDE w:val="0"/>
        <w:autoSpaceDN w:val="0"/>
        <w:rPr>
          <w:b/>
          <w:bCs/>
          <w:iCs/>
          <w:color w:val="000000"/>
          <w:u w:val="single"/>
        </w:rPr>
      </w:pPr>
    </w:p>
    <w:p w14:paraId="75C6C087" w14:textId="0AB1ECBD" w:rsidR="00CF72C3" w:rsidRPr="00964B35" w:rsidRDefault="00CF72C3" w:rsidP="00CF72C3">
      <w:pPr>
        <w:autoSpaceDE w:val="0"/>
        <w:autoSpaceDN w:val="0"/>
        <w:rPr>
          <w:b/>
          <w:bCs/>
          <w:iCs/>
          <w:color w:val="000000"/>
          <w:u w:val="single"/>
        </w:rPr>
      </w:pPr>
      <w:r w:rsidRPr="00964B35">
        <w:rPr>
          <w:b/>
          <w:bCs/>
          <w:iCs/>
          <w:color w:val="000000"/>
          <w:u w:val="single"/>
        </w:rPr>
        <w:t>Recommendation 3</w:t>
      </w:r>
    </w:p>
    <w:p w14:paraId="25806DDB" w14:textId="77777777" w:rsidR="00CF72C3" w:rsidRPr="00964B35" w:rsidRDefault="00CF72C3" w:rsidP="00CF72C3">
      <w:pPr>
        <w:autoSpaceDE w:val="0"/>
        <w:autoSpaceDN w:val="0"/>
        <w:rPr>
          <w:b/>
          <w:i/>
          <w:color w:val="000000"/>
        </w:rPr>
      </w:pPr>
    </w:p>
    <w:p w14:paraId="0A39E70C" w14:textId="79C41D9B" w:rsidR="000929AA" w:rsidRPr="00964B35" w:rsidRDefault="00CF72C3" w:rsidP="00CF72C3">
      <w:pPr>
        <w:autoSpaceDE w:val="0"/>
        <w:autoSpaceDN w:val="0"/>
        <w:rPr>
          <w:b/>
          <w:i/>
          <w:color w:val="000000"/>
        </w:rPr>
      </w:pPr>
      <w:r w:rsidRPr="00964B35">
        <w:rPr>
          <w:b/>
          <w:i/>
          <w:color w:val="000000"/>
        </w:rPr>
        <w:t>The Committee recommends that the Australian Government consider implementing a process through which independent modelling and analysis of a proposed trade agreement is undertaken by the Productivity Commission, or equivalent organisation, and provided to the Committee alongside the NIA to improve assessment of the agreement.</w:t>
      </w:r>
    </w:p>
    <w:p w14:paraId="52201E11" w14:textId="77777777" w:rsidR="00CF72C3" w:rsidRPr="00964B35" w:rsidRDefault="00CF72C3" w:rsidP="000841E9">
      <w:pPr>
        <w:autoSpaceDE w:val="0"/>
        <w:autoSpaceDN w:val="0"/>
        <w:rPr>
          <w:b/>
          <w:bCs/>
          <w:iCs/>
          <w:color w:val="000000"/>
        </w:rPr>
      </w:pPr>
    </w:p>
    <w:p w14:paraId="6A617519" w14:textId="3232D7AF" w:rsidR="000841E9" w:rsidRPr="00964B35" w:rsidRDefault="000841E9" w:rsidP="000841E9">
      <w:pPr>
        <w:autoSpaceDE w:val="0"/>
        <w:autoSpaceDN w:val="0"/>
        <w:rPr>
          <w:b/>
          <w:bCs/>
          <w:iCs/>
          <w:color w:val="000000"/>
        </w:rPr>
      </w:pPr>
      <w:r w:rsidRPr="00964B35">
        <w:rPr>
          <w:b/>
          <w:bCs/>
          <w:iCs/>
          <w:color w:val="000000"/>
        </w:rPr>
        <w:t xml:space="preserve">Response: </w:t>
      </w:r>
    </w:p>
    <w:p w14:paraId="63891E74" w14:textId="77777777" w:rsidR="00862BA4" w:rsidRPr="00964B35" w:rsidRDefault="00862BA4" w:rsidP="000841E9">
      <w:pPr>
        <w:autoSpaceDE w:val="0"/>
        <w:autoSpaceDN w:val="0"/>
        <w:rPr>
          <w:b/>
          <w:bCs/>
          <w:iCs/>
          <w:color w:val="000000"/>
        </w:rPr>
      </w:pPr>
    </w:p>
    <w:p w14:paraId="297B6253" w14:textId="15219158" w:rsidR="00176034" w:rsidRPr="00964B35" w:rsidRDefault="006570EA" w:rsidP="00176034">
      <w:pPr>
        <w:autoSpaceDE w:val="0"/>
        <w:autoSpaceDN w:val="0"/>
        <w:rPr>
          <w:bCs/>
        </w:rPr>
      </w:pPr>
      <w:r w:rsidRPr="00964B35">
        <w:rPr>
          <w:color w:val="000000"/>
        </w:rPr>
        <w:t xml:space="preserve">The Government </w:t>
      </w:r>
      <w:r w:rsidR="005F24B8">
        <w:rPr>
          <w:color w:val="000000"/>
        </w:rPr>
        <w:t>notes</w:t>
      </w:r>
      <w:r w:rsidR="0092518F" w:rsidRPr="00964B35">
        <w:rPr>
          <w:color w:val="000000"/>
        </w:rPr>
        <w:t xml:space="preserve"> </w:t>
      </w:r>
      <w:r w:rsidR="005933E5" w:rsidRPr="00964B35">
        <w:rPr>
          <w:color w:val="000000"/>
        </w:rPr>
        <w:t>the</w:t>
      </w:r>
      <w:r w:rsidRPr="00964B35">
        <w:rPr>
          <w:bCs/>
        </w:rPr>
        <w:t xml:space="preserve"> recommendation. </w:t>
      </w:r>
    </w:p>
    <w:p w14:paraId="09B0D94D" w14:textId="3AB78793" w:rsidR="002B3828" w:rsidRPr="00964B35" w:rsidRDefault="002B3828" w:rsidP="00EA72A6">
      <w:pPr>
        <w:autoSpaceDE w:val="0"/>
        <w:autoSpaceDN w:val="0"/>
        <w:rPr>
          <w:bCs/>
        </w:rPr>
      </w:pPr>
    </w:p>
    <w:p w14:paraId="01A4251A" w14:textId="2AE7149B" w:rsidR="00AA3CE7" w:rsidRPr="00964B35" w:rsidRDefault="00AA3CE7" w:rsidP="008033E9">
      <w:pPr>
        <w:autoSpaceDE w:val="0"/>
        <w:autoSpaceDN w:val="0"/>
        <w:rPr>
          <w:color w:val="000000"/>
        </w:rPr>
      </w:pPr>
      <w:r w:rsidRPr="00964B35">
        <w:rPr>
          <w:color w:val="000000"/>
        </w:rPr>
        <w:t>Economic modelling of trade agreements is only one tool to assess whether an agreement is in the national interest.</w:t>
      </w:r>
      <w:r w:rsidRPr="00964B35">
        <w:rPr>
          <w:bCs/>
        </w:rPr>
        <w:t xml:space="preserve"> </w:t>
      </w:r>
      <w:r w:rsidR="00B1234D" w:rsidRPr="00964B35">
        <w:rPr>
          <w:bCs/>
        </w:rPr>
        <w:t xml:space="preserve">The Department of Foreign Affairs and Trade </w:t>
      </w:r>
      <w:r w:rsidR="00A7692E" w:rsidRPr="00964B35">
        <w:rPr>
          <w:bCs/>
        </w:rPr>
        <w:t>commissions</w:t>
      </w:r>
      <w:r w:rsidR="00D72549" w:rsidRPr="00964B35">
        <w:rPr>
          <w:bCs/>
        </w:rPr>
        <w:t xml:space="preserve"> </w:t>
      </w:r>
      <w:r w:rsidR="00543C58" w:rsidRPr="00964B35">
        <w:rPr>
          <w:bCs/>
        </w:rPr>
        <w:t>economic modelling of trade agreements on a case</w:t>
      </w:r>
      <w:r w:rsidR="00543C58" w:rsidRPr="00964B35">
        <w:rPr>
          <w:bCs/>
        </w:rPr>
        <w:noBreakHyphen/>
        <w:t>by</w:t>
      </w:r>
      <w:r w:rsidR="00543C58" w:rsidRPr="00964B35">
        <w:rPr>
          <w:bCs/>
        </w:rPr>
        <w:noBreakHyphen/>
        <w:t xml:space="preserve">case basis. Statistical and methodological limitations mean that </w:t>
      </w:r>
      <w:r w:rsidR="005E07F6" w:rsidRPr="00964B35">
        <w:rPr>
          <w:color w:val="000000"/>
        </w:rPr>
        <w:t>current models are un</w:t>
      </w:r>
      <w:r w:rsidR="00EA72A6" w:rsidRPr="00964B35">
        <w:rPr>
          <w:color w:val="000000"/>
        </w:rPr>
        <w:t xml:space="preserve">able to estimate the total impact of an FTA on the economy. </w:t>
      </w:r>
      <w:r w:rsidR="00543C58" w:rsidRPr="00964B35">
        <w:rPr>
          <w:color w:val="000000"/>
        </w:rPr>
        <w:t xml:space="preserve">For example, </w:t>
      </w:r>
      <w:r w:rsidR="005909F7" w:rsidRPr="00964B35">
        <w:rPr>
          <w:color w:val="000000"/>
        </w:rPr>
        <w:t>it is difficult to model accurately the impact of changes to non-tariff barriers, trade facilitation, increased regulatory certainty and other aspects of an FTA</w:t>
      </w:r>
      <w:r w:rsidRPr="00964B35">
        <w:rPr>
          <w:color w:val="000000"/>
        </w:rPr>
        <w:t xml:space="preserve"> such as rules</w:t>
      </w:r>
      <w:r w:rsidR="007E7D25">
        <w:rPr>
          <w:color w:val="000000"/>
        </w:rPr>
        <w:t xml:space="preserve"> of origin</w:t>
      </w:r>
      <w:r w:rsidR="005909F7" w:rsidRPr="00964B35">
        <w:rPr>
          <w:color w:val="000000"/>
        </w:rPr>
        <w:t xml:space="preserve">. </w:t>
      </w:r>
    </w:p>
    <w:p w14:paraId="5BD60B77" w14:textId="27488E79" w:rsidR="005A3322" w:rsidRPr="00964B35" w:rsidRDefault="005A3322">
      <w:pPr>
        <w:rPr>
          <w:color w:val="000000"/>
        </w:rPr>
      </w:pPr>
    </w:p>
    <w:p w14:paraId="6B7FC17D" w14:textId="0DD6B07D" w:rsidR="000929AA" w:rsidRPr="00964B35" w:rsidRDefault="005A3322" w:rsidP="000929AA">
      <w:pPr>
        <w:autoSpaceDE w:val="0"/>
        <w:autoSpaceDN w:val="0"/>
        <w:rPr>
          <w:b/>
          <w:bCs/>
          <w:iCs/>
          <w:color w:val="000000"/>
          <w:u w:val="single"/>
        </w:rPr>
      </w:pPr>
      <w:r w:rsidRPr="00964B35">
        <w:rPr>
          <w:b/>
          <w:bCs/>
          <w:iCs/>
          <w:color w:val="000000"/>
          <w:u w:val="single"/>
        </w:rPr>
        <w:t>Recommendation 4</w:t>
      </w:r>
      <w:r w:rsidR="000841E9" w:rsidRPr="00964B35">
        <w:rPr>
          <w:b/>
          <w:bCs/>
          <w:iCs/>
          <w:color w:val="000000"/>
          <w:u w:val="single"/>
        </w:rPr>
        <w:t>:</w:t>
      </w:r>
    </w:p>
    <w:p w14:paraId="1F2ECE80" w14:textId="77777777" w:rsidR="00454A02" w:rsidRPr="00964B35" w:rsidRDefault="00454A02" w:rsidP="000929AA">
      <w:pPr>
        <w:autoSpaceDE w:val="0"/>
        <w:autoSpaceDN w:val="0"/>
        <w:rPr>
          <w:b/>
          <w:bCs/>
          <w:iCs/>
          <w:color w:val="000000"/>
        </w:rPr>
      </w:pPr>
    </w:p>
    <w:p w14:paraId="6E89B1E7" w14:textId="16FA61BE" w:rsidR="006570EA" w:rsidRPr="00964B35" w:rsidRDefault="005A3322" w:rsidP="000929AA">
      <w:pPr>
        <w:autoSpaceDE w:val="0"/>
        <w:autoSpaceDN w:val="0"/>
        <w:rPr>
          <w:color w:val="000000"/>
          <w:lang w:eastAsia="zh-CN"/>
        </w:rPr>
      </w:pPr>
      <w:r w:rsidRPr="00964B35">
        <w:rPr>
          <w:b/>
          <w:i/>
          <w:color w:val="000000"/>
        </w:rPr>
        <w:t>The Committee supports the Comprehensive and Progressive Agreement for Trans-Pacific Partnership between the Government of Australia and the Governments of: Brunei Darussalam, Canada, Chile, Japan, Malaysia, Mexico, New Zealand, Peru, Singapore and Vietnam and recommends that binding treaty action be taken.</w:t>
      </w:r>
    </w:p>
    <w:p w14:paraId="2D794A4C" w14:textId="77777777" w:rsidR="005A3322" w:rsidRPr="00964B35" w:rsidRDefault="005A3322" w:rsidP="000841E9">
      <w:pPr>
        <w:autoSpaceDE w:val="0"/>
        <w:autoSpaceDN w:val="0"/>
        <w:rPr>
          <w:b/>
          <w:bCs/>
          <w:iCs/>
          <w:color w:val="000000"/>
        </w:rPr>
      </w:pPr>
    </w:p>
    <w:p w14:paraId="337AD34B" w14:textId="5D5F5629" w:rsidR="000841E9" w:rsidRPr="00964B35" w:rsidRDefault="000841E9" w:rsidP="000841E9">
      <w:pPr>
        <w:autoSpaceDE w:val="0"/>
        <w:autoSpaceDN w:val="0"/>
        <w:rPr>
          <w:b/>
          <w:bCs/>
          <w:iCs/>
          <w:color w:val="000000"/>
        </w:rPr>
      </w:pPr>
      <w:r w:rsidRPr="00964B35">
        <w:rPr>
          <w:b/>
          <w:bCs/>
          <w:iCs/>
          <w:color w:val="000000"/>
        </w:rPr>
        <w:t xml:space="preserve">Response: </w:t>
      </w:r>
    </w:p>
    <w:p w14:paraId="0CC287E0" w14:textId="77777777" w:rsidR="007B2DC1" w:rsidRPr="00964B35" w:rsidRDefault="007B2DC1" w:rsidP="006570EA">
      <w:pPr>
        <w:autoSpaceDE w:val="0"/>
        <w:autoSpaceDN w:val="0"/>
        <w:rPr>
          <w:color w:val="000000"/>
        </w:rPr>
      </w:pPr>
    </w:p>
    <w:p w14:paraId="62A7C41F" w14:textId="530BACE5" w:rsidR="00A00F33" w:rsidRPr="000C4079" w:rsidRDefault="006570EA" w:rsidP="000C4079">
      <w:pPr>
        <w:autoSpaceDE w:val="0"/>
        <w:autoSpaceDN w:val="0"/>
        <w:rPr>
          <w:bCs/>
        </w:rPr>
      </w:pPr>
      <w:r w:rsidRPr="00964B35">
        <w:rPr>
          <w:color w:val="000000"/>
        </w:rPr>
        <w:t xml:space="preserve">The Government agrees </w:t>
      </w:r>
      <w:r w:rsidR="008549D1" w:rsidRPr="00964B35">
        <w:rPr>
          <w:color w:val="000000"/>
        </w:rPr>
        <w:t>with the</w:t>
      </w:r>
      <w:r w:rsidRPr="00964B35">
        <w:rPr>
          <w:bCs/>
        </w:rPr>
        <w:t xml:space="preserve"> recommendation.</w:t>
      </w:r>
      <w:r w:rsidR="00520A61" w:rsidRPr="00964B35">
        <w:rPr>
          <w:bCs/>
        </w:rPr>
        <w:t xml:space="preserve"> </w:t>
      </w:r>
      <w:r w:rsidR="00520A61" w:rsidRPr="00964B35">
        <w:t xml:space="preserve">Australia ratified the </w:t>
      </w:r>
      <w:r w:rsidR="0003058E" w:rsidRPr="00964B35">
        <w:t>TPP-11</w:t>
      </w:r>
      <w:r w:rsidR="00520A61" w:rsidRPr="00964B35">
        <w:t xml:space="preserve"> on 31 October 2018 and it entered into force on 30 December 2018.  </w:t>
      </w:r>
    </w:p>
    <w:sectPr w:rsidR="00A00F33" w:rsidRPr="000C4079" w:rsidSect="005B2C7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2A68D" w14:textId="77777777" w:rsidR="00A30CC3" w:rsidRDefault="00A30CC3" w:rsidP="008C0AE0">
      <w:r>
        <w:separator/>
      </w:r>
    </w:p>
  </w:endnote>
  <w:endnote w:type="continuationSeparator" w:id="0">
    <w:p w14:paraId="7B5D0802" w14:textId="77777777" w:rsidR="00A30CC3" w:rsidRDefault="00A30CC3" w:rsidP="008C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8B30" w14:textId="77777777" w:rsidR="002775D2" w:rsidRDefault="00277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921594"/>
      <w:docPartObj>
        <w:docPartGallery w:val="Page Numbers (Bottom of Page)"/>
        <w:docPartUnique/>
      </w:docPartObj>
    </w:sdtPr>
    <w:sdtEndPr>
      <w:rPr>
        <w:noProof/>
      </w:rPr>
    </w:sdtEndPr>
    <w:sdtContent>
      <w:p w14:paraId="6D1AAACB" w14:textId="47353D7C" w:rsidR="00A30CC3" w:rsidRDefault="00A30CC3" w:rsidP="006570EA">
        <w:pPr>
          <w:pStyle w:val="Footer"/>
          <w:jc w:val="center"/>
        </w:pPr>
        <w:r>
          <w:fldChar w:fldCharType="begin"/>
        </w:r>
        <w:r>
          <w:instrText xml:space="preserve"> PAGE   \* MERGEFORMAT </w:instrText>
        </w:r>
        <w:r>
          <w:fldChar w:fldCharType="separate"/>
        </w:r>
        <w:r w:rsidR="002775D2">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E6628" w14:textId="77777777" w:rsidR="002775D2" w:rsidRDefault="0027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EB4F4" w14:textId="77777777" w:rsidR="00A30CC3" w:rsidRDefault="00A30CC3" w:rsidP="008C0AE0">
      <w:r>
        <w:separator/>
      </w:r>
    </w:p>
  </w:footnote>
  <w:footnote w:type="continuationSeparator" w:id="0">
    <w:p w14:paraId="64D38FA1" w14:textId="77777777" w:rsidR="00A30CC3" w:rsidRDefault="00A30CC3" w:rsidP="008C0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FA938" w14:textId="77777777" w:rsidR="002775D2" w:rsidRDefault="00277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ACC21" w14:textId="77777777" w:rsidR="002775D2" w:rsidRDefault="00277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70233" w14:textId="77777777" w:rsidR="002775D2" w:rsidRDefault="00277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404"/>
    <w:multiLevelType w:val="hybridMultilevel"/>
    <w:tmpl w:val="86B2D99C"/>
    <w:lvl w:ilvl="0" w:tplc="618E1484">
      <w:numFmt w:val="bullet"/>
      <w:lvlText w:val="–"/>
      <w:lvlJc w:val="left"/>
      <w:pPr>
        <w:ind w:left="1080" w:hanging="360"/>
      </w:pPr>
      <w:rPr>
        <w:rFonts w:ascii="Calibri" w:eastAsia="Times New Roman" w:hAnsi="Calibri" w:hint="default"/>
      </w:rPr>
    </w:lvl>
    <w:lvl w:ilvl="1" w:tplc="0C090003">
      <w:start w:val="1"/>
      <w:numFmt w:val="bullet"/>
      <w:lvlText w:val="o"/>
      <w:lvlJc w:val="left"/>
      <w:pPr>
        <w:ind w:left="1800" w:hanging="360"/>
      </w:pPr>
      <w:rPr>
        <w:rFonts w:ascii="Courier New" w:hAnsi="Courier New" w:cs="Times New Roman"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Times New Roman"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Times New Roman"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0F4334ED"/>
    <w:multiLevelType w:val="multilevel"/>
    <w:tmpl w:val="5E78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57D0F"/>
    <w:multiLevelType w:val="hybridMultilevel"/>
    <w:tmpl w:val="0D0C0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297ED4"/>
    <w:multiLevelType w:val="multilevel"/>
    <w:tmpl w:val="CB841A5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 w15:restartNumberingAfterBreak="0">
    <w:nsid w:val="19D069BA"/>
    <w:multiLevelType w:val="multilevel"/>
    <w:tmpl w:val="90162CC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15:restartNumberingAfterBreak="0">
    <w:nsid w:val="1A8505C1"/>
    <w:multiLevelType w:val="hybridMultilevel"/>
    <w:tmpl w:val="E3027A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DF86A75"/>
    <w:multiLevelType w:val="multilevel"/>
    <w:tmpl w:val="7AFCB22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15:restartNumberingAfterBreak="0">
    <w:nsid w:val="246E38F2"/>
    <w:multiLevelType w:val="hybridMultilevel"/>
    <w:tmpl w:val="F3CC65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1F560B"/>
    <w:multiLevelType w:val="multilevel"/>
    <w:tmpl w:val="D474FB6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9" w15:restartNumberingAfterBreak="0">
    <w:nsid w:val="319C7BCA"/>
    <w:multiLevelType w:val="hybridMultilevel"/>
    <w:tmpl w:val="77EE758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0" w15:restartNumberingAfterBreak="0">
    <w:nsid w:val="3C513397"/>
    <w:multiLevelType w:val="hybridMultilevel"/>
    <w:tmpl w:val="E112E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195F0F"/>
    <w:multiLevelType w:val="hybridMultilevel"/>
    <w:tmpl w:val="1BE8F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BEB3E80"/>
    <w:multiLevelType w:val="multilevel"/>
    <w:tmpl w:val="10AA8E2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3" w15:restartNumberingAfterBreak="0">
    <w:nsid w:val="4D766CD0"/>
    <w:multiLevelType w:val="multilevel"/>
    <w:tmpl w:val="884AFCA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4" w15:restartNumberingAfterBreak="0">
    <w:nsid w:val="579422E3"/>
    <w:multiLevelType w:val="hybridMultilevel"/>
    <w:tmpl w:val="78F27744"/>
    <w:lvl w:ilvl="0" w:tplc="2A241030">
      <w:start w:val="1"/>
      <w:numFmt w:val="lowerLetter"/>
      <w:lvlText w:val="%1"/>
      <w:lvlJc w:val="left"/>
      <w:pPr>
        <w:tabs>
          <w:tab w:val="num" w:pos="1980"/>
        </w:tabs>
        <w:ind w:left="1980" w:hanging="360"/>
      </w:pPr>
      <w:rPr>
        <w:rFonts w:hint="default"/>
        <w:b w:val="0"/>
      </w:rPr>
    </w:lvl>
    <w:lvl w:ilvl="1" w:tplc="48266394">
      <w:start w:val="1"/>
      <w:numFmt w:val="bullet"/>
      <w:lvlText w:val=""/>
      <w:lvlJc w:val="left"/>
      <w:pPr>
        <w:tabs>
          <w:tab w:val="num" w:pos="1980"/>
        </w:tabs>
        <w:ind w:left="1980" w:hanging="360"/>
      </w:pPr>
      <w:rPr>
        <w:rFonts w:ascii="Symbol" w:hAnsi="Symbol" w:hint="default"/>
        <w:b w:val="0"/>
      </w:rPr>
    </w:lvl>
    <w:lvl w:ilvl="2" w:tplc="BBDEE802">
      <w:start w:val="1"/>
      <w:numFmt w:val="bullet"/>
      <w:lvlText w:val=""/>
      <w:lvlJc w:val="left"/>
      <w:pPr>
        <w:tabs>
          <w:tab w:val="num" w:pos="3420"/>
        </w:tabs>
        <w:ind w:left="3420" w:hanging="360"/>
      </w:pPr>
      <w:rPr>
        <w:rFonts w:ascii="Symbol" w:hAnsi="Symbol" w:hint="default"/>
        <w:b w:val="0"/>
      </w:rPr>
    </w:lvl>
    <w:lvl w:ilvl="3" w:tplc="42DE995A">
      <w:start w:val="1"/>
      <w:numFmt w:val="bullet"/>
      <w:lvlText w:val="o"/>
      <w:lvlJc w:val="left"/>
      <w:pPr>
        <w:tabs>
          <w:tab w:val="num" w:pos="4140"/>
        </w:tabs>
        <w:ind w:left="4140" w:hanging="360"/>
      </w:pPr>
      <w:rPr>
        <w:rFonts w:ascii="Courier New" w:hAnsi="Courier New" w:cs="Courier New" w:hint="default"/>
        <w:b w:val="0"/>
      </w:rPr>
    </w:lvl>
    <w:lvl w:ilvl="4" w:tplc="B106B2BE">
      <w:start w:val="4"/>
      <w:numFmt w:val="bullet"/>
      <w:lvlText w:val="-"/>
      <w:lvlJc w:val="left"/>
      <w:pPr>
        <w:tabs>
          <w:tab w:val="num" w:pos="5040"/>
        </w:tabs>
        <w:ind w:left="5040" w:hanging="540"/>
      </w:pPr>
      <w:rPr>
        <w:rFonts w:ascii="Times New Roman" w:eastAsia="Times New Roman" w:hAnsi="Times New Roman" w:cs="Times New Roman" w:hint="default"/>
      </w:rPr>
    </w:lvl>
    <w:lvl w:ilvl="5" w:tplc="B1AED680" w:tentative="1">
      <w:start w:val="1"/>
      <w:numFmt w:val="bullet"/>
      <w:lvlText w:val=""/>
      <w:lvlJc w:val="left"/>
      <w:pPr>
        <w:tabs>
          <w:tab w:val="num" w:pos="5580"/>
        </w:tabs>
        <w:ind w:left="5580" w:hanging="360"/>
      </w:pPr>
      <w:rPr>
        <w:rFonts w:ascii="Wingdings" w:hAnsi="Wingdings" w:hint="default"/>
      </w:rPr>
    </w:lvl>
    <w:lvl w:ilvl="6" w:tplc="8D00B75A" w:tentative="1">
      <w:start w:val="1"/>
      <w:numFmt w:val="bullet"/>
      <w:lvlText w:val=""/>
      <w:lvlJc w:val="left"/>
      <w:pPr>
        <w:tabs>
          <w:tab w:val="num" w:pos="6300"/>
        </w:tabs>
        <w:ind w:left="6300" w:hanging="360"/>
      </w:pPr>
      <w:rPr>
        <w:rFonts w:ascii="Symbol" w:hAnsi="Symbol" w:hint="default"/>
      </w:rPr>
    </w:lvl>
    <w:lvl w:ilvl="7" w:tplc="69DA66BC" w:tentative="1">
      <w:start w:val="1"/>
      <w:numFmt w:val="bullet"/>
      <w:lvlText w:val="o"/>
      <w:lvlJc w:val="left"/>
      <w:pPr>
        <w:tabs>
          <w:tab w:val="num" w:pos="7020"/>
        </w:tabs>
        <w:ind w:left="7020" w:hanging="360"/>
      </w:pPr>
      <w:rPr>
        <w:rFonts w:ascii="Courier New" w:hAnsi="Courier New" w:cs="Courier New" w:hint="default"/>
      </w:rPr>
    </w:lvl>
    <w:lvl w:ilvl="8" w:tplc="D7601C52" w:tentative="1">
      <w:start w:val="1"/>
      <w:numFmt w:val="bullet"/>
      <w:lvlText w:val=""/>
      <w:lvlJc w:val="left"/>
      <w:pPr>
        <w:tabs>
          <w:tab w:val="num" w:pos="7740"/>
        </w:tabs>
        <w:ind w:left="7740" w:hanging="360"/>
      </w:pPr>
      <w:rPr>
        <w:rFonts w:ascii="Wingdings" w:hAnsi="Wingdings" w:hint="default"/>
      </w:rPr>
    </w:lvl>
  </w:abstractNum>
  <w:abstractNum w:abstractNumId="15" w15:restartNumberingAfterBreak="0">
    <w:nsid w:val="61053EA4"/>
    <w:multiLevelType w:val="hybridMultilevel"/>
    <w:tmpl w:val="C772E1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3"/>
  </w:num>
  <w:num w:numId="4">
    <w:abstractNumId w:val="5"/>
  </w:num>
  <w:num w:numId="5">
    <w:abstractNumId w:val="11"/>
  </w:num>
  <w:num w:numId="6">
    <w:abstractNumId w:val="2"/>
  </w:num>
  <w:num w:numId="7">
    <w:abstractNumId w:val="4"/>
  </w:num>
  <w:num w:numId="8">
    <w:abstractNumId w:val="6"/>
  </w:num>
  <w:num w:numId="9">
    <w:abstractNumId w:val="0"/>
  </w:num>
  <w:num w:numId="10">
    <w:abstractNumId w:val="7"/>
  </w:num>
  <w:num w:numId="11">
    <w:abstractNumId w:val="10"/>
  </w:num>
  <w:num w:numId="12">
    <w:abstractNumId w:val="14"/>
  </w:num>
  <w:num w:numId="13">
    <w:abstractNumId w:val="15"/>
  </w:num>
  <w:num w:numId="14">
    <w:abstractNumId w:val="1"/>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AA"/>
    <w:rsid w:val="00002E4B"/>
    <w:rsid w:val="000046B2"/>
    <w:rsid w:val="00006D8F"/>
    <w:rsid w:val="0002239B"/>
    <w:rsid w:val="00022EAE"/>
    <w:rsid w:val="000258F0"/>
    <w:rsid w:val="0002679F"/>
    <w:rsid w:val="0003058E"/>
    <w:rsid w:val="000337CE"/>
    <w:rsid w:val="00057C6B"/>
    <w:rsid w:val="0006767D"/>
    <w:rsid w:val="000730E0"/>
    <w:rsid w:val="00074A1B"/>
    <w:rsid w:val="00075D6A"/>
    <w:rsid w:val="000841E9"/>
    <w:rsid w:val="000851F8"/>
    <w:rsid w:val="00086548"/>
    <w:rsid w:val="00086F80"/>
    <w:rsid w:val="000929AA"/>
    <w:rsid w:val="000A15A1"/>
    <w:rsid w:val="000A2245"/>
    <w:rsid w:val="000A33CC"/>
    <w:rsid w:val="000B1FF0"/>
    <w:rsid w:val="000C39D6"/>
    <w:rsid w:val="000C3F9D"/>
    <w:rsid w:val="000C4079"/>
    <w:rsid w:val="000C6297"/>
    <w:rsid w:val="000C6D2E"/>
    <w:rsid w:val="000D56CF"/>
    <w:rsid w:val="000D7AC2"/>
    <w:rsid w:val="000E1C84"/>
    <w:rsid w:val="000E26E3"/>
    <w:rsid w:val="000E3386"/>
    <w:rsid w:val="000E7AD0"/>
    <w:rsid w:val="000F61E0"/>
    <w:rsid w:val="000F6CA8"/>
    <w:rsid w:val="00100CE5"/>
    <w:rsid w:val="00100D4E"/>
    <w:rsid w:val="00107CBE"/>
    <w:rsid w:val="00114C27"/>
    <w:rsid w:val="00116C15"/>
    <w:rsid w:val="00120846"/>
    <w:rsid w:val="00130D21"/>
    <w:rsid w:val="00143A3D"/>
    <w:rsid w:val="0014755C"/>
    <w:rsid w:val="0014759C"/>
    <w:rsid w:val="00162436"/>
    <w:rsid w:val="0016252E"/>
    <w:rsid w:val="00162EF3"/>
    <w:rsid w:val="00165CB2"/>
    <w:rsid w:val="001713C1"/>
    <w:rsid w:val="0017401D"/>
    <w:rsid w:val="001741BE"/>
    <w:rsid w:val="0017471E"/>
    <w:rsid w:val="00176034"/>
    <w:rsid w:val="0017620F"/>
    <w:rsid w:val="0018420D"/>
    <w:rsid w:val="00184CEB"/>
    <w:rsid w:val="00192746"/>
    <w:rsid w:val="001974B4"/>
    <w:rsid w:val="001A4D35"/>
    <w:rsid w:val="001B08E7"/>
    <w:rsid w:val="001B57D3"/>
    <w:rsid w:val="001B7444"/>
    <w:rsid w:val="001C430F"/>
    <w:rsid w:val="001C5AE6"/>
    <w:rsid w:val="001C6F91"/>
    <w:rsid w:val="001D1419"/>
    <w:rsid w:val="001D2F59"/>
    <w:rsid w:val="001D4BB3"/>
    <w:rsid w:val="001E5952"/>
    <w:rsid w:val="001E7E08"/>
    <w:rsid w:val="001F175B"/>
    <w:rsid w:val="001F50A8"/>
    <w:rsid w:val="001F6FEF"/>
    <w:rsid w:val="00212A85"/>
    <w:rsid w:val="00212BAB"/>
    <w:rsid w:val="002173DF"/>
    <w:rsid w:val="002239C4"/>
    <w:rsid w:val="002276E1"/>
    <w:rsid w:val="00230F00"/>
    <w:rsid w:val="0023421F"/>
    <w:rsid w:val="00235CEA"/>
    <w:rsid w:val="00247C7B"/>
    <w:rsid w:val="00252AD1"/>
    <w:rsid w:val="00254DAA"/>
    <w:rsid w:val="0025752C"/>
    <w:rsid w:val="00257ACF"/>
    <w:rsid w:val="00261322"/>
    <w:rsid w:val="00265795"/>
    <w:rsid w:val="002775D2"/>
    <w:rsid w:val="00287123"/>
    <w:rsid w:val="00287AEA"/>
    <w:rsid w:val="00293473"/>
    <w:rsid w:val="002972CA"/>
    <w:rsid w:val="002A161E"/>
    <w:rsid w:val="002A27FB"/>
    <w:rsid w:val="002A2DA0"/>
    <w:rsid w:val="002A6B2F"/>
    <w:rsid w:val="002B3828"/>
    <w:rsid w:val="002B5F10"/>
    <w:rsid w:val="002C2216"/>
    <w:rsid w:val="002C2672"/>
    <w:rsid w:val="002C3514"/>
    <w:rsid w:val="002D194D"/>
    <w:rsid w:val="002D19B7"/>
    <w:rsid w:val="002D2628"/>
    <w:rsid w:val="002D6218"/>
    <w:rsid w:val="002D7340"/>
    <w:rsid w:val="002E034A"/>
    <w:rsid w:val="002E6C60"/>
    <w:rsid w:val="002F1EEE"/>
    <w:rsid w:val="002F2296"/>
    <w:rsid w:val="002F55C8"/>
    <w:rsid w:val="002F5672"/>
    <w:rsid w:val="002F66C0"/>
    <w:rsid w:val="00304669"/>
    <w:rsid w:val="003158F0"/>
    <w:rsid w:val="00321716"/>
    <w:rsid w:val="0032387C"/>
    <w:rsid w:val="00324BC7"/>
    <w:rsid w:val="00326858"/>
    <w:rsid w:val="00326FB4"/>
    <w:rsid w:val="00332635"/>
    <w:rsid w:val="003370F4"/>
    <w:rsid w:val="00344A74"/>
    <w:rsid w:val="003470D6"/>
    <w:rsid w:val="00347264"/>
    <w:rsid w:val="003475AF"/>
    <w:rsid w:val="00352176"/>
    <w:rsid w:val="003527E0"/>
    <w:rsid w:val="00352BF8"/>
    <w:rsid w:val="00353436"/>
    <w:rsid w:val="00355C91"/>
    <w:rsid w:val="003608B5"/>
    <w:rsid w:val="003633B5"/>
    <w:rsid w:val="00365393"/>
    <w:rsid w:val="00374EF4"/>
    <w:rsid w:val="00385AA1"/>
    <w:rsid w:val="00392DF8"/>
    <w:rsid w:val="003A6B9F"/>
    <w:rsid w:val="003A735B"/>
    <w:rsid w:val="003B02CF"/>
    <w:rsid w:val="003B39F6"/>
    <w:rsid w:val="003B490A"/>
    <w:rsid w:val="003B496B"/>
    <w:rsid w:val="003C0C56"/>
    <w:rsid w:val="003C4542"/>
    <w:rsid w:val="003C580A"/>
    <w:rsid w:val="003E6458"/>
    <w:rsid w:val="003E6C32"/>
    <w:rsid w:val="003F6399"/>
    <w:rsid w:val="003F6879"/>
    <w:rsid w:val="003F7D7E"/>
    <w:rsid w:val="004003A7"/>
    <w:rsid w:val="004056F3"/>
    <w:rsid w:val="0041383D"/>
    <w:rsid w:val="004164EA"/>
    <w:rsid w:val="00417CC8"/>
    <w:rsid w:val="004213DA"/>
    <w:rsid w:val="00421C37"/>
    <w:rsid w:val="00423D29"/>
    <w:rsid w:val="0043274C"/>
    <w:rsid w:val="00433FCB"/>
    <w:rsid w:val="004343B6"/>
    <w:rsid w:val="00436547"/>
    <w:rsid w:val="00437D9C"/>
    <w:rsid w:val="00442637"/>
    <w:rsid w:val="00445907"/>
    <w:rsid w:val="00446906"/>
    <w:rsid w:val="004538F5"/>
    <w:rsid w:val="00454626"/>
    <w:rsid w:val="00454A02"/>
    <w:rsid w:val="00461B98"/>
    <w:rsid w:val="0046318D"/>
    <w:rsid w:val="004717CD"/>
    <w:rsid w:val="00484373"/>
    <w:rsid w:val="004846D1"/>
    <w:rsid w:val="00485045"/>
    <w:rsid w:val="00485DD6"/>
    <w:rsid w:val="00491015"/>
    <w:rsid w:val="00491B1C"/>
    <w:rsid w:val="00495A23"/>
    <w:rsid w:val="004A497D"/>
    <w:rsid w:val="004A7BEF"/>
    <w:rsid w:val="004B2A76"/>
    <w:rsid w:val="004B2E94"/>
    <w:rsid w:val="004B332C"/>
    <w:rsid w:val="004C13CE"/>
    <w:rsid w:val="004C4B8E"/>
    <w:rsid w:val="004D67E3"/>
    <w:rsid w:val="004E667E"/>
    <w:rsid w:val="004F121D"/>
    <w:rsid w:val="004F2102"/>
    <w:rsid w:val="004F2EB1"/>
    <w:rsid w:val="004F3943"/>
    <w:rsid w:val="004F569C"/>
    <w:rsid w:val="004F7860"/>
    <w:rsid w:val="00501AA6"/>
    <w:rsid w:val="00503358"/>
    <w:rsid w:val="00505AD5"/>
    <w:rsid w:val="00505BCA"/>
    <w:rsid w:val="00511E04"/>
    <w:rsid w:val="0051304D"/>
    <w:rsid w:val="00513201"/>
    <w:rsid w:val="0051453C"/>
    <w:rsid w:val="00516C82"/>
    <w:rsid w:val="00520A61"/>
    <w:rsid w:val="00520DE9"/>
    <w:rsid w:val="00521EFD"/>
    <w:rsid w:val="00523704"/>
    <w:rsid w:val="00535133"/>
    <w:rsid w:val="00536998"/>
    <w:rsid w:val="00542AFE"/>
    <w:rsid w:val="00543C58"/>
    <w:rsid w:val="00545506"/>
    <w:rsid w:val="00553245"/>
    <w:rsid w:val="00553DF0"/>
    <w:rsid w:val="00562CDE"/>
    <w:rsid w:val="0057013B"/>
    <w:rsid w:val="00570ED0"/>
    <w:rsid w:val="005757C7"/>
    <w:rsid w:val="00580F3D"/>
    <w:rsid w:val="005818BF"/>
    <w:rsid w:val="00585AE9"/>
    <w:rsid w:val="005909F7"/>
    <w:rsid w:val="00591D10"/>
    <w:rsid w:val="005933E5"/>
    <w:rsid w:val="00597BA6"/>
    <w:rsid w:val="005A3322"/>
    <w:rsid w:val="005A3917"/>
    <w:rsid w:val="005B23C6"/>
    <w:rsid w:val="005B2C70"/>
    <w:rsid w:val="005B517B"/>
    <w:rsid w:val="005C2E68"/>
    <w:rsid w:val="005C3965"/>
    <w:rsid w:val="005C3D38"/>
    <w:rsid w:val="005C3FD3"/>
    <w:rsid w:val="005C4A7C"/>
    <w:rsid w:val="005C5E7C"/>
    <w:rsid w:val="005D217A"/>
    <w:rsid w:val="005D2B68"/>
    <w:rsid w:val="005E013F"/>
    <w:rsid w:val="005E07F6"/>
    <w:rsid w:val="005E52CE"/>
    <w:rsid w:val="005E5ECA"/>
    <w:rsid w:val="005F109F"/>
    <w:rsid w:val="005F24B8"/>
    <w:rsid w:val="005F3EC0"/>
    <w:rsid w:val="00600D0C"/>
    <w:rsid w:val="00607CB0"/>
    <w:rsid w:val="00607D7B"/>
    <w:rsid w:val="0061149A"/>
    <w:rsid w:val="00614E2E"/>
    <w:rsid w:val="0062342E"/>
    <w:rsid w:val="00625A49"/>
    <w:rsid w:val="00637917"/>
    <w:rsid w:val="00637BB4"/>
    <w:rsid w:val="00642D15"/>
    <w:rsid w:val="006452EE"/>
    <w:rsid w:val="0065102C"/>
    <w:rsid w:val="00651EC6"/>
    <w:rsid w:val="00652927"/>
    <w:rsid w:val="00653018"/>
    <w:rsid w:val="006570EA"/>
    <w:rsid w:val="00657C29"/>
    <w:rsid w:val="0066019C"/>
    <w:rsid w:val="006621F2"/>
    <w:rsid w:val="006677D4"/>
    <w:rsid w:val="006746CC"/>
    <w:rsid w:val="0068038A"/>
    <w:rsid w:val="00682998"/>
    <w:rsid w:val="00684547"/>
    <w:rsid w:val="00684E2A"/>
    <w:rsid w:val="00686125"/>
    <w:rsid w:val="00690DC9"/>
    <w:rsid w:val="00692067"/>
    <w:rsid w:val="006A02D0"/>
    <w:rsid w:val="006A6AFA"/>
    <w:rsid w:val="006A6B28"/>
    <w:rsid w:val="006A769B"/>
    <w:rsid w:val="006B2ED6"/>
    <w:rsid w:val="006B4D57"/>
    <w:rsid w:val="006B6E60"/>
    <w:rsid w:val="006B7614"/>
    <w:rsid w:val="006C30BB"/>
    <w:rsid w:val="006C446E"/>
    <w:rsid w:val="006C7DDC"/>
    <w:rsid w:val="006D464A"/>
    <w:rsid w:val="006E7CCC"/>
    <w:rsid w:val="006F4ABF"/>
    <w:rsid w:val="006F5951"/>
    <w:rsid w:val="0070422B"/>
    <w:rsid w:val="00710849"/>
    <w:rsid w:val="00711335"/>
    <w:rsid w:val="0072613C"/>
    <w:rsid w:val="0073015A"/>
    <w:rsid w:val="007323B3"/>
    <w:rsid w:val="00733D85"/>
    <w:rsid w:val="00734009"/>
    <w:rsid w:val="007367AF"/>
    <w:rsid w:val="00745EDF"/>
    <w:rsid w:val="007553BE"/>
    <w:rsid w:val="00760129"/>
    <w:rsid w:val="00774563"/>
    <w:rsid w:val="00780112"/>
    <w:rsid w:val="007844BA"/>
    <w:rsid w:val="00785779"/>
    <w:rsid w:val="00793758"/>
    <w:rsid w:val="007975B5"/>
    <w:rsid w:val="007A0914"/>
    <w:rsid w:val="007A0A9A"/>
    <w:rsid w:val="007B04D0"/>
    <w:rsid w:val="007B1C88"/>
    <w:rsid w:val="007B2DC1"/>
    <w:rsid w:val="007C2988"/>
    <w:rsid w:val="007D18EA"/>
    <w:rsid w:val="007D5818"/>
    <w:rsid w:val="007D6A22"/>
    <w:rsid w:val="007E1667"/>
    <w:rsid w:val="007E3B27"/>
    <w:rsid w:val="007E6279"/>
    <w:rsid w:val="007E71F8"/>
    <w:rsid w:val="007E7D25"/>
    <w:rsid w:val="007F57AB"/>
    <w:rsid w:val="007F5ADA"/>
    <w:rsid w:val="00801C9B"/>
    <w:rsid w:val="008033E9"/>
    <w:rsid w:val="0080394E"/>
    <w:rsid w:val="00803DD6"/>
    <w:rsid w:val="0081006D"/>
    <w:rsid w:val="00810394"/>
    <w:rsid w:val="00811A73"/>
    <w:rsid w:val="00824BFB"/>
    <w:rsid w:val="00825B48"/>
    <w:rsid w:val="00827C60"/>
    <w:rsid w:val="008405A3"/>
    <w:rsid w:val="008442C9"/>
    <w:rsid w:val="008455D1"/>
    <w:rsid w:val="0085354A"/>
    <w:rsid w:val="008549D1"/>
    <w:rsid w:val="0085564B"/>
    <w:rsid w:val="0085584C"/>
    <w:rsid w:val="00857B98"/>
    <w:rsid w:val="00861EA1"/>
    <w:rsid w:val="00862BA4"/>
    <w:rsid w:val="00867168"/>
    <w:rsid w:val="008723B7"/>
    <w:rsid w:val="0088249D"/>
    <w:rsid w:val="00884DBB"/>
    <w:rsid w:val="00892043"/>
    <w:rsid w:val="008A1D20"/>
    <w:rsid w:val="008A38E2"/>
    <w:rsid w:val="008A5784"/>
    <w:rsid w:val="008B0259"/>
    <w:rsid w:val="008C0AE0"/>
    <w:rsid w:val="008C4E90"/>
    <w:rsid w:val="008C7C8C"/>
    <w:rsid w:val="008D05A3"/>
    <w:rsid w:val="008D3167"/>
    <w:rsid w:val="008D3B70"/>
    <w:rsid w:val="008D6D16"/>
    <w:rsid w:val="008E1ADD"/>
    <w:rsid w:val="008E2322"/>
    <w:rsid w:val="008E6629"/>
    <w:rsid w:val="0090433C"/>
    <w:rsid w:val="00911D03"/>
    <w:rsid w:val="00913E16"/>
    <w:rsid w:val="00913F38"/>
    <w:rsid w:val="00915B09"/>
    <w:rsid w:val="0092518F"/>
    <w:rsid w:val="0092711D"/>
    <w:rsid w:val="00930619"/>
    <w:rsid w:val="00947C67"/>
    <w:rsid w:val="00952ED4"/>
    <w:rsid w:val="00955F92"/>
    <w:rsid w:val="009561C8"/>
    <w:rsid w:val="00957921"/>
    <w:rsid w:val="009605CA"/>
    <w:rsid w:val="00961EED"/>
    <w:rsid w:val="0096280D"/>
    <w:rsid w:val="00964B35"/>
    <w:rsid w:val="00970E8F"/>
    <w:rsid w:val="00971A15"/>
    <w:rsid w:val="009724B2"/>
    <w:rsid w:val="009766EC"/>
    <w:rsid w:val="00976B6A"/>
    <w:rsid w:val="00981008"/>
    <w:rsid w:val="00983E53"/>
    <w:rsid w:val="00985FD1"/>
    <w:rsid w:val="009861D7"/>
    <w:rsid w:val="0099562D"/>
    <w:rsid w:val="00996405"/>
    <w:rsid w:val="009A4035"/>
    <w:rsid w:val="009A4DCA"/>
    <w:rsid w:val="009A6542"/>
    <w:rsid w:val="009B2E23"/>
    <w:rsid w:val="009B69DE"/>
    <w:rsid w:val="009C1300"/>
    <w:rsid w:val="009C3E6C"/>
    <w:rsid w:val="009C7C91"/>
    <w:rsid w:val="009D24F4"/>
    <w:rsid w:val="009D3CA6"/>
    <w:rsid w:val="009D4245"/>
    <w:rsid w:val="009E0777"/>
    <w:rsid w:val="009E15EC"/>
    <w:rsid w:val="009E2CF5"/>
    <w:rsid w:val="009F3EBA"/>
    <w:rsid w:val="009F76DF"/>
    <w:rsid w:val="00A00F33"/>
    <w:rsid w:val="00A0447E"/>
    <w:rsid w:val="00A0508B"/>
    <w:rsid w:val="00A11694"/>
    <w:rsid w:val="00A125A8"/>
    <w:rsid w:val="00A14383"/>
    <w:rsid w:val="00A26561"/>
    <w:rsid w:val="00A30CC3"/>
    <w:rsid w:val="00A32507"/>
    <w:rsid w:val="00A37D74"/>
    <w:rsid w:val="00A40206"/>
    <w:rsid w:val="00A4156C"/>
    <w:rsid w:val="00A41C83"/>
    <w:rsid w:val="00A4413D"/>
    <w:rsid w:val="00A552F8"/>
    <w:rsid w:val="00A5602F"/>
    <w:rsid w:val="00A570B8"/>
    <w:rsid w:val="00A602F2"/>
    <w:rsid w:val="00A62B6E"/>
    <w:rsid w:val="00A63BFB"/>
    <w:rsid w:val="00A65D05"/>
    <w:rsid w:val="00A734E0"/>
    <w:rsid w:val="00A73557"/>
    <w:rsid w:val="00A7692E"/>
    <w:rsid w:val="00A774B7"/>
    <w:rsid w:val="00A775C1"/>
    <w:rsid w:val="00A77887"/>
    <w:rsid w:val="00A833DA"/>
    <w:rsid w:val="00A86BEA"/>
    <w:rsid w:val="00A9057E"/>
    <w:rsid w:val="00A93B15"/>
    <w:rsid w:val="00A97EE1"/>
    <w:rsid w:val="00AA1948"/>
    <w:rsid w:val="00AA3CE7"/>
    <w:rsid w:val="00AA5BF6"/>
    <w:rsid w:val="00AB5E67"/>
    <w:rsid w:val="00AB6AB6"/>
    <w:rsid w:val="00AB7205"/>
    <w:rsid w:val="00AC0561"/>
    <w:rsid w:val="00AC725F"/>
    <w:rsid w:val="00AD0340"/>
    <w:rsid w:val="00AD0D5E"/>
    <w:rsid w:val="00AD2289"/>
    <w:rsid w:val="00AE3747"/>
    <w:rsid w:val="00AE4ECB"/>
    <w:rsid w:val="00AE6B64"/>
    <w:rsid w:val="00AE6C64"/>
    <w:rsid w:val="00AF115A"/>
    <w:rsid w:val="00B02B3C"/>
    <w:rsid w:val="00B04341"/>
    <w:rsid w:val="00B1234D"/>
    <w:rsid w:val="00B1318F"/>
    <w:rsid w:val="00B210FD"/>
    <w:rsid w:val="00B224BF"/>
    <w:rsid w:val="00B236B4"/>
    <w:rsid w:val="00B255C5"/>
    <w:rsid w:val="00B33875"/>
    <w:rsid w:val="00B35BE5"/>
    <w:rsid w:val="00B36712"/>
    <w:rsid w:val="00B43990"/>
    <w:rsid w:val="00B44DFD"/>
    <w:rsid w:val="00B56128"/>
    <w:rsid w:val="00B563FF"/>
    <w:rsid w:val="00B5670D"/>
    <w:rsid w:val="00B62778"/>
    <w:rsid w:val="00B63DB8"/>
    <w:rsid w:val="00B72C76"/>
    <w:rsid w:val="00B74F83"/>
    <w:rsid w:val="00B81F61"/>
    <w:rsid w:val="00B837DA"/>
    <w:rsid w:val="00B93FEE"/>
    <w:rsid w:val="00B9645D"/>
    <w:rsid w:val="00B968A7"/>
    <w:rsid w:val="00BA259A"/>
    <w:rsid w:val="00BA3538"/>
    <w:rsid w:val="00BA3B6E"/>
    <w:rsid w:val="00BA6940"/>
    <w:rsid w:val="00BB2443"/>
    <w:rsid w:val="00BB3E9E"/>
    <w:rsid w:val="00BB4D5C"/>
    <w:rsid w:val="00BB7A80"/>
    <w:rsid w:val="00BC02F7"/>
    <w:rsid w:val="00BC27FE"/>
    <w:rsid w:val="00BC7D95"/>
    <w:rsid w:val="00BD17BA"/>
    <w:rsid w:val="00BD1D71"/>
    <w:rsid w:val="00BD2784"/>
    <w:rsid w:val="00BD4756"/>
    <w:rsid w:val="00BD4E6D"/>
    <w:rsid w:val="00BE61B6"/>
    <w:rsid w:val="00BF01F1"/>
    <w:rsid w:val="00BF1073"/>
    <w:rsid w:val="00BF1510"/>
    <w:rsid w:val="00BF2828"/>
    <w:rsid w:val="00BF6D81"/>
    <w:rsid w:val="00BF7989"/>
    <w:rsid w:val="00C079C0"/>
    <w:rsid w:val="00C103CB"/>
    <w:rsid w:val="00C10ACF"/>
    <w:rsid w:val="00C13D53"/>
    <w:rsid w:val="00C16C53"/>
    <w:rsid w:val="00C17DEB"/>
    <w:rsid w:val="00C20034"/>
    <w:rsid w:val="00C20147"/>
    <w:rsid w:val="00C2630D"/>
    <w:rsid w:val="00C344D1"/>
    <w:rsid w:val="00C35583"/>
    <w:rsid w:val="00C367B2"/>
    <w:rsid w:val="00C40355"/>
    <w:rsid w:val="00C47DBF"/>
    <w:rsid w:val="00C52284"/>
    <w:rsid w:val="00C53592"/>
    <w:rsid w:val="00C53F54"/>
    <w:rsid w:val="00C5592D"/>
    <w:rsid w:val="00C568A1"/>
    <w:rsid w:val="00C56BB3"/>
    <w:rsid w:val="00C62E11"/>
    <w:rsid w:val="00C63A5F"/>
    <w:rsid w:val="00C63B07"/>
    <w:rsid w:val="00C64AA7"/>
    <w:rsid w:val="00C71D50"/>
    <w:rsid w:val="00C73E65"/>
    <w:rsid w:val="00C742D2"/>
    <w:rsid w:val="00C76869"/>
    <w:rsid w:val="00C76A63"/>
    <w:rsid w:val="00C76E1E"/>
    <w:rsid w:val="00C807E4"/>
    <w:rsid w:val="00C81AC2"/>
    <w:rsid w:val="00C826DC"/>
    <w:rsid w:val="00C90BCB"/>
    <w:rsid w:val="00C94A92"/>
    <w:rsid w:val="00C952C5"/>
    <w:rsid w:val="00C95787"/>
    <w:rsid w:val="00C95CF3"/>
    <w:rsid w:val="00C96DB5"/>
    <w:rsid w:val="00CA1B13"/>
    <w:rsid w:val="00CA71B6"/>
    <w:rsid w:val="00CA7B8E"/>
    <w:rsid w:val="00CA7BB9"/>
    <w:rsid w:val="00CC16CC"/>
    <w:rsid w:val="00CC18F4"/>
    <w:rsid w:val="00CC508C"/>
    <w:rsid w:val="00CD1172"/>
    <w:rsid w:val="00CD4772"/>
    <w:rsid w:val="00CD4930"/>
    <w:rsid w:val="00CD7D26"/>
    <w:rsid w:val="00CF162A"/>
    <w:rsid w:val="00CF19E5"/>
    <w:rsid w:val="00CF4EC9"/>
    <w:rsid w:val="00CF72C3"/>
    <w:rsid w:val="00D03DA8"/>
    <w:rsid w:val="00D10CE4"/>
    <w:rsid w:val="00D12889"/>
    <w:rsid w:val="00D13543"/>
    <w:rsid w:val="00D14DEB"/>
    <w:rsid w:val="00D16602"/>
    <w:rsid w:val="00D234B4"/>
    <w:rsid w:val="00D2721E"/>
    <w:rsid w:val="00D331D9"/>
    <w:rsid w:val="00D410C4"/>
    <w:rsid w:val="00D414A8"/>
    <w:rsid w:val="00D4227A"/>
    <w:rsid w:val="00D462B2"/>
    <w:rsid w:val="00D535EF"/>
    <w:rsid w:val="00D5512C"/>
    <w:rsid w:val="00D56C34"/>
    <w:rsid w:val="00D6326C"/>
    <w:rsid w:val="00D64185"/>
    <w:rsid w:val="00D645C5"/>
    <w:rsid w:val="00D7040C"/>
    <w:rsid w:val="00D71B87"/>
    <w:rsid w:val="00D72549"/>
    <w:rsid w:val="00D73BCF"/>
    <w:rsid w:val="00D8706E"/>
    <w:rsid w:val="00D90A99"/>
    <w:rsid w:val="00D95287"/>
    <w:rsid w:val="00D96557"/>
    <w:rsid w:val="00D97DEC"/>
    <w:rsid w:val="00DA100F"/>
    <w:rsid w:val="00DA4063"/>
    <w:rsid w:val="00DA73AA"/>
    <w:rsid w:val="00DB07AD"/>
    <w:rsid w:val="00DB7B23"/>
    <w:rsid w:val="00DB7F41"/>
    <w:rsid w:val="00DC00AE"/>
    <w:rsid w:val="00DC6ED1"/>
    <w:rsid w:val="00DD0272"/>
    <w:rsid w:val="00DD0E8E"/>
    <w:rsid w:val="00DD14BD"/>
    <w:rsid w:val="00DD6E65"/>
    <w:rsid w:val="00DE04F6"/>
    <w:rsid w:val="00DE310A"/>
    <w:rsid w:val="00DE38DA"/>
    <w:rsid w:val="00DE49EB"/>
    <w:rsid w:val="00DF6AC0"/>
    <w:rsid w:val="00E016DA"/>
    <w:rsid w:val="00E01945"/>
    <w:rsid w:val="00E14275"/>
    <w:rsid w:val="00E15FB4"/>
    <w:rsid w:val="00E17023"/>
    <w:rsid w:val="00E17A44"/>
    <w:rsid w:val="00E234F6"/>
    <w:rsid w:val="00E259D5"/>
    <w:rsid w:val="00E30096"/>
    <w:rsid w:val="00E316D3"/>
    <w:rsid w:val="00E329A0"/>
    <w:rsid w:val="00E33B2A"/>
    <w:rsid w:val="00E4192B"/>
    <w:rsid w:val="00E42CBC"/>
    <w:rsid w:val="00E432B8"/>
    <w:rsid w:val="00E5161F"/>
    <w:rsid w:val="00E53CA4"/>
    <w:rsid w:val="00E568F2"/>
    <w:rsid w:val="00E60D71"/>
    <w:rsid w:val="00E66075"/>
    <w:rsid w:val="00E66E5A"/>
    <w:rsid w:val="00E677AD"/>
    <w:rsid w:val="00E71AC6"/>
    <w:rsid w:val="00E81210"/>
    <w:rsid w:val="00E82D51"/>
    <w:rsid w:val="00E87612"/>
    <w:rsid w:val="00E8795E"/>
    <w:rsid w:val="00E91C01"/>
    <w:rsid w:val="00EA2E60"/>
    <w:rsid w:val="00EA4C02"/>
    <w:rsid w:val="00EA72A6"/>
    <w:rsid w:val="00EB6BCD"/>
    <w:rsid w:val="00EC00EB"/>
    <w:rsid w:val="00EC1BC2"/>
    <w:rsid w:val="00EC3362"/>
    <w:rsid w:val="00EC49D9"/>
    <w:rsid w:val="00EC7B79"/>
    <w:rsid w:val="00ED08D6"/>
    <w:rsid w:val="00ED0A6E"/>
    <w:rsid w:val="00ED1248"/>
    <w:rsid w:val="00ED218B"/>
    <w:rsid w:val="00ED3893"/>
    <w:rsid w:val="00EE11B2"/>
    <w:rsid w:val="00EE14BA"/>
    <w:rsid w:val="00EE1B56"/>
    <w:rsid w:val="00EE4509"/>
    <w:rsid w:val="00EF36A0"/>
    <w:rsid w:val="00EF745A"/>
    <w:rsid w:val="00F0110E"/>
    <w:rsid w:val="00F04AB2"/>
    <w:rsid w:val="00F04F0D"/>
    <w:rsid w:val="00F054F9"/>
    <w:rsid w:val="00F0633A"/>
    <w:rsid w:val="00F11962"/>
    <w:rsid w:val="00F13358"/>
    <w:rsid w:val="00F16B2E"/>
    <w:rsid w:val="00F316D9"/>
    <w:rsid w:val="00F32785"/>
    <w:rsid w:val="00F407CC"/>
    <w:rsid w:val="00F46D07"/>
    <w:rsid w:val="00F52B86"/>
    <w:rsid w:val="00F572ED"/>
    <w:rsid w:val="00F6127D"/>
    <w:rsid w:val="00F616B4"/>
    <w:rsid w:val="00F617DF"/>
    <w:rsid w:val="00F61A19"/>
    <w:rsid w:val="00F6534B"/>
    <w:rsid w:val="00F66D2D"/>
    <w:rsid w:val="00F713E9"/>
    <w:rsid w:val="00F817E7"/>
    <w:rsid w:val="00F8289E"/>
    <w:rsid w:val="00F9644F"/>
    <w:rsid w:val="00F967BE"/>
    <w:rsid w:val="00FA15D9"/>
    <w:rsid w:val="00FA5B06"/>
    <w:rsid w:val="00FB0CB8"/>
    <w:rsid w:val="00FB251C"/>
    <w:rsid w:val="00FC0B09"/>
    <w:rsid w:val="00FC0B89"/>
    <w:rsid w:val="00FC22C2"/>
    <w:rsid w:val="00FC2610"/>
    <w:rsid w:val="00FC45E4"/>
    <w:rsid w:val="00FD19DF"/>
    <w:rsid w:val="00FD47F2"/>
    <w:rsid w:val="00FD6B39"/>
    <w:rsid w:val="00FE3C12"/>
    <w:rsid w:val="00FF02DA"/>
    <w:rsid w:val="00FF12B0"/>
    <w:rsid w:val="00FF561E"/>
    <w:rsid w:val="00FF62C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3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9A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929AA"/>
    <w:rPr>
      <w:rFonts w:ascii="Tahoma" w:hAnsi="Tahoma" w:cs="Tahoma"/>
      <w:sz w:val="16"/>
      <w:szCs w:val="16"/>
    </w:rPr>
  </w:style>
  <w:style w:type="character" w:customStyle="1" w:styleId="BalloonTextChar">
    <w:name w:val="Balloon Text Char"/>
    <w:basedOn w:val="DefaultParagraphFont"/>
    <w:link w:val="BalloonText"/>
    <w:rsid w:val="000929AA"/>
    <w:rPr>
      <w:rFonts w:ascii="Tahoma" w:eastAsia="Times New Roman" w:hAnsi="Tahoma" w:cs="Tahoma"/>
      <w:sz w:val="16"/>
      <w:szCs w:val="16"/>
      <w:lang w:eastAsia="en-US"/>
    </w:rPr>
  </w:style>
  <w:style w:type="paragraph" w:styleId="Date">
    <w:name w:val="Date"/>
    <w:basedOn w:val="Normal"/>
    <w:next w:val="Normal"/>
    <w:link w:val="DateChar"/>
    <w:rsid w:val="000929AA"/>
  </w:style>
  <w:style w:type="character" w:customStyle="1" w:styleId="DateChar">
    <w:name w:val="Date Char"/>
    <w:basedOn w:val="DefaultParagraphFont"/>
    <w:link w:val="Date"/>
    <w:rsid w:val="000929AA"/>
    <w:rPr>
      <w:rFonts w:eastAsia="Times New Roman"/>
      <w:sz w:val="24"/>
      <w:szCs w:val="24"/>
      <w:lang w:eastAsia="en-US"/>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CV te"/>
    <w:basedOn w:val="Normal"/>
    <w:link w:val="ListParagraphChar"/>
    <w:uiPriority w:val="34"/>
    <w:qFormat/>
    <w:rsid w:val="000929AA"/>
    <w:pPr>
      <w:ind w:left="720"/>
      <w:contextualSpacing/>
    </w:pPr>
    <w:rPr>
      <w:rFonts w:eastAsiaTheme="minorEastAsia"/>
    </w:rPr>
  </w:style>
  <w:style w:type="paragraph" w:customStyle="1" w:styleId="Default">
    <w:name w:val="Default"/>
    <w:basedOn w:val="Normal"/>
    <w:rsid w:val="000929AA"/>
    <w:pPr>
      <w:autoSpaceDE w:val="0"/>
      <w:autoSpaceDN w:val="0"/>
    </w:pPr>
    <w:rPr>
      <w:rFonts w:ascii="Arial Black" w:eastAsiaTheme="minorEastAsia" w:hAnsi="Arial Black"/>
      <w:color w:val="000000"/>
      <w:lang w:eastAsia="zh-CN"/>
    </w:rPr>
  </w:style>
  <w:style w:type="character" w:styleId="Hyperlink">
    <w:name w:val="Hyperlink"/>
    <w:basedOn w:val="DefaultParagraphFont"/>
    <w:uiPriority w:val="99"/>
    <w:rsid w:val="00022EAE"/>
    <w:rPr>
      <w:color w:val="0000FF" w:themeColor="hyperlink"/>
      <w:u w:val="single"/>
    </w:rPr>
  </w:style>
  <w:style w:type="character" w:styleId="CommentReference">
    <w:name w:val="annotation reference"/>
    <w:basedOn w:val="DefaultParagraphFont"/>
    <w:rsid w:val="00445907"/>
    <w:rPr>
      <w:sz w:val="16"/>
      <w:szCs w:val="16"/>
    </w:rPr>
  </w:style>
  <w:style w:type="paragraph" w:styleId="CommentText">
    <w:name w:val="annotation text"/>
    <w:basedOn w:val="Normal"/>
    <w:link w:val="CommentTextChar"/>
    <w:rsid w:val="00445907"/>
    <w:rPr>
      <w:sz w:val="20"/>
      <w:szCs w:val="20"/>
    </w:rPr>
  </w:style>
  <w:style w:type="character" w:customStyle="1" w:styleId="CommentTextChar">
    <w:name w:val="Comment Text Char"/>
    <w:basedOn w:val="DefaultParagraphFont"/>
    <w:link w:val="CommentText"/>
    <w:rsid w:val="00445907"/>
    <w:rPr>
      <w:rFonts w:eastAsia="Times New Roman"/>
      <w:lang w:eastAsia="en-US"/>
    </w:rPr>
  </w:style>
  <w:style w:type="paragraph" w:styleId="CommentSubject">
    <w:name w:val="annotation subject"/>
    <w:basedOn w:val="CommentText"/>
    <w:next w:val="CommentText"/>
    <w:link w:val="CommentSubjectChar"/>
    <w:rsid w:val="00445907"/>
    <w:rPr>
      <w:b/>
      <w:bCs/>
    </w:rPr>
  </w:style>
  <w:style w:type="character" w:customStyle="1" w:styleId="CommentSubjectChar">
    <w:name w:val="Comment Subject Char"/>
    <w:basedOn w:val="CommentTextChar"/>
    <w:link w:val="CommentSubject"/>
    <w:rsid w:val="00445907"/>
    <w:rPr>
      <w:rFonts w:eastAsia="Times New Roman"/>
      <w:b/>
      <w:bCs/>
      <w:lang w:eastAsia="en-US"/>
    </w:rPr>
  </w:style>
  <w:style w:type="character" w:styleId="Emphasis">
    <w:name w:val="Emphasis"/>
    <w:basedOn w:val="DefaultParagraphFont"/>
    <w:uiPriority w:val="20"/>
    <w:qFormat/>
    <w:rsid w:val="00827C60"/>
    <w:rPr>
      <w:b/>
      <w:bCs/>
      <w:i w:val="0"/>
      <w:iCs w:val="0"/>
    </w:rPr>
  </w:style>
  <w:style w:type="character" w:customStyle="1" w:styleId="st1">
    <w:name w:val="st1"/>
    <w:basedOn w:val="DefaultParagraphFont"/>
    <w:rsid w:val="00827C60"/>
  </w:style>
  <w:style w:type="paragraph" w:styleId="Header">
    <w:name w:val="header"/>
    <w:basedOn w:val="Normal"/>
    <w:link w:val="HeaderChar"/>
    <w:rsid w:val="008C0AE0"/>
    <w:pPr>
      <w:tabs>
        <w:tab w:val="center" w:pos="4513"/>
        <w:tab w:val="right" w:pos="9026"/>
      </w:tabs>
    </w:pPr>
  </w:style>
  <w:style w:type="character" w:customStyle="1" w:styleId="HeaderChar">
    <w:name w:val="Header Char"/>
    <w:basedOn w:val="DefaultParagraphFont"/>
    <w:link w:val="Header"/>
    <w:rsid w:val="008C0AE0"/>
    <w:rPr>
      <w:rFonts w:eastAsia="Times New Roman"/>
      <w:sz w:val="24"/>
      <w:szCs w:val="24"/>
      <w:lang w:eastAsia="en-US"/>
    </w:rPr>
  </w:style>
  <w:style w:type="paragraph" w:styleId="Footer">
    <w:name w:val="footer"/>
    <w:basedOn w:val="Normal"/>
    <w:link w:val="FooterChar"/>
    <w:uiPriority w:val="99"/>
    <w:rsid w:val="008C0AE0"/>
    <w:pPr>
      <w:tabs>
        <w:tab w:val="center" w:pos="4513"/>
        <w:tab w:val="right" w:pos="9026"/>
      </w:tabs>
    </w:pPr>
  </w:style>
  <w:style w:type="character" w:customStyle="1" w:styleId="FooterChar">
    <w:name w:val="Footer Char"/>
    <w:basedOn w:val="DefaultParagraphFont"/>
    <w:link w:val="Footer"/>
    <w:uiPriority w:val="99"/>
    <w:rsid w:val="008C0AE0"/>
    <w:rPr>
      <w:rFonts w:eastAsia="Times New Roman"/>
      <w:sz w:val="24"/>
      <w:szCs w:val="24"/>
      <w:lang w:eastAsia="en-US"/>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D4227A"/>
    <w:rPr>
      <w:sz w:val="24"/>
      <w:szCs w:val="24"/>
      <w:lang w:eastAsia="en-US"/>
    </w:rPr>
  </w:style>
  <w:style w:type="paragraph" w:styleId="Revision">
    <w:name w:val="Revision"/>
    <w:hidden/>
    <w:uiPriority w:val="99"/>
    <w:semiHidden/>
    <w:rsid w:val="007844BA"/>
    <w:rPr>
      <w:rFonts w:eastAsia="Times New Roman"/>
      <w:sz w:val="24"/>
      <w:szCs w:val="24"/>
      <w:lang w:eastAsia="en-US"/>
    </w:rPr>
  </w:style>
  <w:style w:type="paragraph" w:styleId="NormalWeb">
    <w:name w:val="Normal (Web)"/>
    <w:basedOn w:val="Normal"/>
    <w:uiPriority w:val="99"/>
    <w:unhideWhenUsed/>
    <w:rsid w:val="00CA7B8E"/>
    <w:pPr>
      <w:spacing w:before="100" w:beforeAutospacing="1" w:after="100" w:afterAutospacing="1"/>
    </w:pPr>
    <w:rPr>
      <w:rFonts w:eastAsiaTheme="minorHAnsi"/>
      <w:lang w:eastAsia="en-AU"/>
    </w:rPr>
  </w:style>
  <w:style w:type="table" w:styleId="TableGrid">
    <w:name w:val="Table Grid"/>
    <w:basedOn w:val="TableNormal"/>
    <w:uiPriority w:val="39"/>
    <w:rsid w:val="006829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ohead3">
    <w:name w:val="legcohead3"/>
    <w:basedOn w:val="Normal"/>
    <w:link w:val="legcohead3Char"/>
    <w:rsid w:val="00682998"/>
    <w:pPr>
      <w:keepNext/>
    </w:pPr>
    <w:rPr>
      <w:rFonts w:ascii="Verdana" w:hAnsi="Verdana"/>
      <w:b/>
      <w:kern w:val="28"/>
      <w:sz w:val="22"/>
      <w:szCs w:val="20"/>
      <w:lang w:val="en-US" w:eastAsia="x-none"/>
    </w:rPr>
  </w:style>
  <w:style w:type="character" w:customStyle="1" w:styleId="legcohead3Char">
    <w:name w:val="legcohead3 Char"/>
    <w:link w:val="legcohead3"/>
    <w:rsid w:val="00682998"/>
    <w:rPr>
      <w:rFonts w:ascii="Verdana" w:eastAsia="Times New Roman" w:hAnsi="Verdana"/>
      <w:b/>
      <w:kern w:val="28"/>
      <w:sz w:val="22"/>
      <w:lang w:val="en-US" w:eastAsia="x-none"/>
    </w:rPr>
  </w:style>
  <w:style w:type="paragraph" w:styleId="NoSpacing">
    <w:name w:val="No Spacing"/>
    <w:link w:val="NoSpacingChar"/>
    <w:uiPriority w:val="1"/>
    <w:qFormat/>
    <w:rsid w:val="00BD4E6D"/>
    <w:rPr>
      <w:rFonts w:ascii="Calibri" w:eastAsia="Times New Roman" w:hAnsi="Calibri"/>
      <w:sz w:val="22"/>
      <w:szCs w:val="22"/>
      <w:lang w:val="en-US" w:eastAsia="en-AU"/>
    </w:rPr>
  </w:style>
  <w:style w:type="character" w:customStyle="1" w:styleId="NoSpacingChar">
    <w:name w:val="No Spacing Char"/>
    <w:link w:val="NoSpacing"/>
    <w:uiPriority w:val="1"/>
    <w:rsid w:val="00BD4E6D"/>
    <w:rPr>
      <w:rFonts w:ascii="Calibri" w:eastAsia="Times New Roman" w:hAnsi="Calibri"/>
      <w:sz w:val="22"/>
      <w:szCs w:val="22"/>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9892">
      <w:bodyDiv w:val="1"/>
      <w:marLeft w:val="0"/>
      <w:marRight w:val="0"/>
      <w:marTop w:val="0"/>
      <w:marBottom w:val="0"/>
      <w:divBdr>
        <w:top w:val="none" w:sz="0" w:space="0" w:color="auto"/>
        <w:left w:val="none" w:sz="0" w:space="0" w:color="auto"/>
        <w:bottom w:val="none" w:sz="0" w:space="0" w:color="auto"/>
        <w:right w:val="none" w:sz="0" w:space="0" w:color="auto"/>
      </w:divBdr>
    </w:div>
    <w:div w:id="41248696">
      <w:bodyDiv w:val="1"/>
      <w:marLeft w:val="0"/>
      <w:marRight w:val="0"/>
      <w:marTop w:val="0"/>
      <w:marBottom w:val="0"/>
      <w:divBdr>
        <w:top w:val="none" w:sz="0" w:space="0" w:color="auto"/>
        <w:left w:val="none" w:sz="0" w:space="0" w:color="auto"/>
        <w:bottom w:val="none" w:sz="0" w:space="0" w:color="auto"/>
        <w:right w:val="none" w:sz="0" w:space="0" w:color="auto"/>
      </w:divBdr>
    </w:div>
    <w:div w:id="102699930">
      <w:bodyDiv w:val="1"/>
      <w:marLeft w:val="0"/>
      <w:marRight w:val="0"/>
      <w:marTop w:val="0"/>
      <w:marBottom w:val="0"/>
      <w:divBdr>
        <w:top w:val="none" w:sz="0" w:space="0" w:color="auto"/>
        <w:left w:val="none" w:sz="0" w:space="0" w:color="auto"/>
        <w:bottom w:val="none" w:sz="0" w:space="0" w:color="auto"/>
        <w:right w:val="none" w:sz="0" w:space="0" w:color="auto"/>
      </w:divBdr>
    </w:div>
    <w:div w:id="190806560">
      <w:bodyDiv w:val="1"/>
      <w:marLeft w:val="0"/>
      <w:marRight w:val="0"/>
      <w:marTop w:val="0"/>
      <w:marBottom w:val="0"/>
      <w:divBdr>
        <w:top w:val="none" w:sz="0" w:space="0" w:color="auto"/>
        <w:left w:val="none" w:sz="0" w:space="0" w:color="auto"/>
        <w:bottom w:val="none" w:sz="0" w:space="0" w:color="auto"/>
        <w:right w:val="none" w:sz="0" w:space="0" w:color="auto"/>
      </w:divBdr>
    </w:div>
    <w:div w:id="259068134">
      <w:bodyDiv w:val="1"/>
      <w:marLeft w:val="0"/>
      <w:marRight w:val="0"/>
      <w:marTop w:val="0"/>
      <w:marBottom w:val="0"/>
      <w:divBdr>
        <w:top w:val="none" w:sz="0" w:space="0" w:color="auto"/>
        <w:left w:val="none" w:sz="0" w:space="0" w:color="auto"/>
        <w:bottom w:val="none" w:sz="0" w:space="0" w:color="auto"/>
        <w:right w:val="none" w:sz="0" w:space="0" w:color="auto"/>
      </w:divBdr>
    </w:div>
    <w:div w:id="295257990">
      <w:bodyDiv w:val="1"/>
      <w:marLeft w:val="0"/>
      <w:marRight w:val="0"/>
      <w:marTop w:val="0"/>
      <w:marBottom w:val="0"/>
      <w:divBdr>
        <w:top w:val="none" w:sz="0" w:space="0" w:color="auto"/>
        <w:left w:val="none" w:sz="0" w:space="0" w:color="auto"/>
        <w:bottom w:val="none" w:sz="0" w:space="0" w:color="auto"/>
        <w:right w:val="none" w:sz="0" w:space="0" w:color="auto"/>
      </w:divBdr>
    </w:div>
    <w:div w:id="298265250">
      <w:bodyDiv w:val="1"/>
      <w:marLeft w:val="0"/>
      <w:marRight w:val="0"/>
      <w:marTop w:val="0"/>
      <w:marBottom w:val="0"/>
      <w:divBdr>
        <w:top w:val="none" w:sz="0" w:space="0" w:color="auto"/>
        <w:left w:val="none" w:sz="0" w:space="0" w:color="auto"/>
        <w:bottom w:val="none" w:sz="0" w:space="0" w:color="auto"/>
        <w:right w:val="none" w:sz="0" w:space="0" w:color="auto"/>
      </w:divBdr>
    </w:div>
    <w:div w:id="355078443">
      <w:bodyDiv w:val="1"/>
      <w:marLeft w:val="0"/>
      <w:marRight w:val="0"/>
      <w:marTop w:val="0"/>
      <w:marBottom w:val="0"/>
      <w:divBdr>
        <w:top w:val="none" w:sz="0" w:space="0" w:color="auto"/>
        <w:left w:val="none" w:sz="0" w:space="0" w:color="auto"/>
        <w:bottom w:val="none" w:sz="0" w:space="0" w:color="auto"/>
        <w:right w:val="none" w:sz="0" w:space="0" w:color="auto"/>
      </w:divBdr>
    </w:div>
    <w:div w:id="426082200">
      <w:bodyDiv w:val="1"/>
      <w:marLeft w:val="0"/>
      <w:marRight w:val="0"/>
      <w:marTop w:val="0"/>
      <w:marBottom w:val="0"/>
      <w:divBdr>
        <w:top w:val="none" w:sz="0" w:space="0" w:color="auto"/>
        <w:left w:val="none" w:sz="0" w:space="0" w:color="auto"/>
        <w:bottom w:val="none" w:sz="0" w:space="0" w:color="auto"/>
        <w:right w:val="none" w:sz="0" w:space="0" w:color="auto"/>
      </w:divBdr>
    </w:div>
    <w:div w:id="486091944">
      <w:bodyDiv w:val="1"/>
      <w:marLeft w:val="0"/>
      <w:marRight w:val="0"/>
      <w:marTop w:val="0"/>
      <w:marBottom w:val="0"/>
      <w:divBdr>
        <w:top w:val="none" w:sz="0" w:space="0" w:color="auto"/>
        <w:left w:val="none" w:sz="0" w:space="0" w:color="auto"/>
        <w:bottom w:val="none" w:sz="0" w:space="0" w:color="auto"/>
        <w:right w:val="none" w:sz="0" w:space="0" w:color="auto"/>
      </w:divBdr>
    </w:div>
    <w:div w:id="519900804">
      <w:bodyDiv w:val="1"/>
      <w:marLeft w:val="0"/>
      <w:marRight w:val="0"/>
      <w:marTop w:val="0"/>
      <w:marBottom w:val="0"/>
      <w:divBdr>
        <w:top w:val="none" w:sz="0" w:space="0" w:color="auto"/>
        <w:left w:val="none" w:sz="0" w:space="0" w:color="auto"/>
        <w:bottom w:val="none" w:sz="0" w:space="0" w:color="auto"/>
        <w:right w:val="none" w:sz="0" w:space="0" w:color="auto"/>
      </w:divBdr>
    </w:div>
    <w:div w:id="575627388">
      <w:bodyDiv w:val="1"/>
      <w:marLeft w:val="0"/>
      <w:marRight w:val="0"/>
      <w:marTop w:val="0"/>
      <w:marBottom w:val="0"/>
      <w:divBdr>
        <w:top w:val="none" w:sz="0" w:space="0" w:color="auto"/>
        <w:left w:val="none" w:sz="0" w:space="0" w:color="auto"/>
        <w:bottom w:val="none" w:sz="0" w:space="0" w:color="auto"/>
        <w:right w:val="none" w:sz="0" w:space="0" w:color="auto"/>
      </w:divBdr>
    </w:div>
    <w:div w:id="593823570">
      <w:bodyDiv w:val="1"/>
      <w:marLeft w:val="0"/>
      <w:marRight w:val="0"/>
      <w:marTop w:val="0"/>
      <w:marBottom w:val="0"/>
      <w:divBdr>
        <w:top w:val="none" w:sz="0" w:space="0" w:color="auto"/>
        <w:left w:val="none" w:sz="0" w:space="0" w:color="auto"/>
        <w:bottom w:val="none" w:sz="0" w:space="0" w:color="auto"/>
        <w:right w:val="none" w:sz="0" w:space="0" w:color="auto"/>
      </w:divBdr>
    </w:div>
    <w:div w:id="614100154">
      <w:bodyDiv w:val="1"/>
      <w:marLeft w:val="0"/>
      <w:marRight w:val="0"/>
      <w:marTop w:val="0"/>
      <w:marBottom w:val="0"/>
      <w:divBdr>
        <w:top w:val="none" w:sz="0" w:space="0" w:color="auto"/>
        <w:left w:val="none" w:sz="0" w:space="0" w:color="auto"/>
        <w:bottom w:val="none" w:sz="0" w:space="0" w:color="auto"/>
        <w:right w:val="none" w:sz="0" w:space="0" w:color="auto"/>
      </w:divBdr>
    </w:div>
    <w:div w:id="632370653">
      <w:bodyDiv w:val="1"/>
      <w:marLeft w:val="0"/>
      <w:marRight w:val="0"/>
      <w:marTop w:val="0"/>
      <w:marBottom w:val="0"/>
      <w:divBdr>
        <w:top w:val="none" w:sz="0" w:space="0" w:color="auto"/>
        <w:left w:val="none" w:sz="0" w:space="0" w:color="auto"/>
        <w:bottom w:val="none" w:sz="0" w:space="0" w:color="auto"/>
        <w:right w:val="none" w:sz="0" w:space="0" w:color="auto"/>
      </w:divBdr>
    </w:div>
    <w:div w:id="759759671">
      <w:bodyDiv w:val="1"/>
      <w:marLeft w:val="0"/>
      <w:marRight w:val="0"/>
      <w:marTop w:val="0"/>
      <w:marBottom w:val="0"/>
      <w:divBdr>
        <w:top w:val="none" w:sz="0" w:space="0" w:color="auto"/>
        <w:left w:val="none" w:sz="0" w:space="0" w:color="auto"/>
        <w:bottom w:val="none" w:sz="0" w:space="0" w:color="auto"/>
        <w:right w:val="none" w:sz="0" w:space="0" w:color="auto"/>
      </w:divBdr>
    </w:div>
    <w:div w:id="802313050">
      <w:bodyDiv w:val="1"/>
      <w:marLeft w:val="0"/>
      <w:marRight w:val="0"/>
      <w:marTop w:val="0"/>
      <w:marBottom w:val="0"/>
      <w:divBdr>
        <w:top w:val="none" w:sz="0" w:space="0" w:color="auto"/>
        <w:left w:val="none" w:sz="0" w:space="0" w:color="auto"/>
        <w:bottom w:val="none" w:sz="0" w:space="0" w:color="auto"/>
        <w:right w:val="none" w:sz="0" w:space="0" w:color="auto"/>
      </w:divBdr>
    </w:div>
    <w:div w:id="815800672">
      <w:bodyDiv w:val="1"/>
      <w:marLeft w:val="0"/>
      <w:marRight w:val="0"/>
      <w:marTop w:val="0"/>
      <w:marBottom w:val="0"/>
      <w:divBdr>
        <w:top w:val="none" w:sz="0" w:space="0" w:color="auto"/>
        <w:left w:val="none" w:sz="0" w:space="0" w:color="auto"/>
        <w:bottom w:val="none" w:sz="0" w:space="0" w:color="auto"/>
        <w:right w:val="none" w:sz="0" w:space="0" w:color="auto"/>
      </w:divBdr>
    </w:div>
    <w:div w:id="878129077">
      <w:bodyDiv w:val="1"/>
      <w:marLeft w:val="0"/>
      <w:marRight w:val="0"/>
      <w:marTop w:val="0"/>
      <w:marBottom w:val="0"/>
      <w:divBdr>
        <w:top w:val="none" w:sz="0" w:space="0" w:color="auto"/>
        <w:left w:val="none" w:sz="0" w:space="0" w:color="auto"/>
        <w:bottom w:val="none" w:sz="0" w:space="0" w:color="auto"/>
        <w:right w:val="none" w:sz="0" w:space="0" w:color="auto"/>
      </w:divBdr>
    </w:div>
    <w:div w:id="897469979">
      <w:bodyDiv w:val="1"/>
      <w:marLeft w:val="0"/>
      <w:marRight w:val="0"/>
      <w:marTop w:val="0"/>
      <w:marBottom w:val="0"/>
      <w:divBdr>
        <w:top w:val="none" w:sz="0" w:space="0" w:color="auto"/>
        <w:left w:val="none" w:sz="0" w:space="0" w:color="auto"/>
        <w:bottom w:val="none" w:sz="0" w:space="0" w:color="auto"/>
        <w:right w:val="none" w:sz="0" w:space="0" w:color="auto"/>
      </w:divBdr>
    </w:div>
    <w:div w:id="1037585719">
      <w:bodyDiv w:val="1"/>
      <w:marLeft w:val="0"/>
      <w:marRight w:val="0"/>
      <w:marTop w:val="0"/>
      <w:marBottom w:val="0"/>
      <w:divBdr>
        <w:top w:val="none" w:sz="0" w:space="0" w:color="auto"/>
        <w:left w:val="none" w:sz="0" w:space="0" w:color="auto"/>
        <w:bottom w:val="none" w:sz="0" w:space="0" w:color="auto"/>
        <w:right w:val="none" w:sz="0" w:space="0" w:color="auto"/>
      </w:divBdr>
    </w:div>
    <w:div w:id="1078484346">
      <w:bodyDiv w:val="1"/>
      <w:marLeft w:val="0"/>
      <w:marRight w:val="0"/>
      <w:marTop w:val="0"/>
      <w:marBottom w:val="0"/>
      <w:divBdr>
        <w:top w:val="none" w:sz="0" w:space="0" w:color="auto"/>
        <w:left w:val="none" w:sz="0" w:space="0" w:color="auto"/>
        <w:bottom w:val="none" w:sz="0" w:space="0" w:color="auto"/>
        <w:right w:val="none" w:sz="0" w:space="0" w:color="auto"/>
      </w:divBdr>
    </w:div>
    <w:div w:id="1156873203">
      <w:bodyDiv w:val="1"/>
      <w:marLeft w:val="0"/>
      <w:marRight w:val="0"/>
      <w:marTop w:val="0"/>
      <w:marBottom w:val="0"/>
      <w:divBdr>
        <w:top w:val="none" w:sz="0" w:space="0" w:color="auto"/>
        <w:left w:val="none" w:sz="0" w:space="0" w:color="auto"/>
        <w:bottom w:val="none" w:sz="0" w:space="0" w:color="auto"/>
        <w:right w:val="none" w:sz="0" w:space="0" w:color="auto"/>
      </w:divBdr>
    </w:div>
    <w:div w:id="1231427928">
      <w:bodyDiv w:val="1"/>
      <w:marLeft w:val="0"/>
      <w:marRight w:val="0"/>
      <w:marTop w:val="0"/>
      <w:marBottom w:val="0"/>
      <w:divBdr>
        <w:top w:val="none" w:sz="0" w:space="0" w:color="auto"/>
        <w:left w:val="none" w:sz="0" w:space="0" w:color="auto"/>
        <w:bottom w:val="none" w:sz="0" w:space="0" w:color="auto"/>
        <w:right w:val="none" w:sz="0" w:space="0" w:color="auto"/>
      </w:divBdr>
    </w:div>
    <w:div w:id="1418402497">
      <w:bodyDiv w:val="1"/>
      <w:marLeft w:val="0"/>
      <w:marRight w:val="0"/>
      <w:marTop w:val="0"/>
      <w:marBottom w:val="0"/>
      <w:divBdr>
        <w:top w:val="none" w:sz="0" w:space="0" w:color="auto"/>
        <w:left w:val="none" w:sz="0" w:space="0" w:color="auto"/>
        <w:bottom w:val="none" w:sz="0" w:space="0" w:color="auto"/>
        <w:right w:val="none" w:sz="0" w:space="0" w:color="auto"/>
      </w:divBdr>
    </w:div>
    <w:div w:id="1436364431">
      <w:bodyDiv w:val="1"/>
      <w:marLeft w:val="0"/>
      <w:marRight w:val="0"/>
      <w:marTop w:val="0"/>
      <w:marBottom w:val="0"/>
      <w:divBdr>
        <w:top w:val="none" w:sz="0" w:space="0" w:color="auto"/>
        <w:left w:val="none" w:sz="0" w:space="0" w:color="auto"/>
        <w:bottom w:val="none" w:sz="0" w:space="0" w:color="auto"/>
        <w:right w:val="none" w:sz="0" w:space="0" w:color="auto"/>
      </w:divBdr>
    </w:div>
    <w:div w:id="1454011597">
      <w:bodyDiv w:val="1"/>
      <w:marLeft w:val="0"/>
      <w:marRight w:val="0"/>
      <w:marTop w:val="0"/>
      <w:marBottom w:val="0"/>
      <w:divBdr>
        <w:top w:val="none" w:sz="0" w:space="0" w:color="auto"/>
        <w:left w:val="none" w:sz="0" w:space="0" w:color="auto"/>
        <w:bottom w:val="none" w:sz="0" w:space="0" w:color="auto"/>
        <w:right w:val="none" w:sz="0" w:space="0" w:color="auto"/>
      </w:divBdr>
    </w:div>
    <w:div w:id="1559704076">
      <w:bodyDiv w:val="1"/>
      <w:marLeft w:val="0"/>
      <w:marRight w:val="0"/>
      <w:marTop w:val="0"/>
      <w:marBottom w:val="0"/>
      <w:divBdr>
        <w:top w:val="none" w:sz="0" w:space="0" w:color="auto"/>
        <w:left w:val="none" w:sz="0" w:space="0" w:color="auto"/>
        <w:bottom w:val="none" w:sz="0" w:space="0" w:color="auto"/>
        <w:right w:val="none" w:sz="0" w:space="0" w:color="auto"/>
      </w:divBdr>
    </w:div>
    <w:div w:id="1658027866">
      <w:bodyDiv w:val="1"/>
      <w:marLeft w:val="0"/>
      <w:marRight w:val="0"/>
      <w:marTop w:val="0"/>
      <w:marBottom w:val="0"/>
      <w:divBdr>
        <w:top w:val="none" w:sz="0" w:space="0" w:color="auto"/>
        <w:left w:val="none" w:sz="0" w:space="0" w:color="auto"/>
        <w:bottom w:val="none" w:sz="0" w:space="0" w:color="auto"/>
        <w:right w:val="none" w:sz="0" w:space="0" w:color="auto"/>
      </w:divBdr>
    </w:div>
    <w:div w:id="1680036454">
      <w:bodyDiv w:val="1"/>
      <w:marLeft w:val="0"/>
      <w:marRight w:val="0"/>
      <w:marTop w:val="0"/>
      <w:marBottom w:val="0"/>
      <w:divBdr>
        <w:top w:val="none" w:sz="0" w:space="0" w:color="auto"/>
        <w:left w:val="none" w:sz="0" w:space="0" w:color="auto"/>
        <w:bottom w:val="none" w:sz="0" w:space="0" w:color="auto"/>
        <w:right w:val="none" w:sz="0" w:space="0" w:color="auto"/>
      </w:divBdr>
    </w:div>
    <w:div w:id="1694914024">
      <w:bodyDiv w:val="1"/>
      <w:marLeft w:val="0"/>
      <w:marRight w:val="0"/>
      <w:marTop w:val="0"/>
      <w:marBottom w:val="0"/>
      <w:divBdr>
        <w:top w:val="none" w:sz="0" w:space="0" w:color="auto"/>
        <w:left w:val="none" w:sz="0" w:space="0" w:color="auto"/>
        <w:bottom w:val="none" w:sz="0" w:space="0" w:color="auto"/>
        <w:right w:val="none" w:sz="0" w:space="0" w:color="auto"/>
      </w:divBdr>
    </w:div>
    <w:div w:id="1697735528">
      <w:bodyDiv w:val="1"/>
      <w:marLeft w:val="0"/>
      <w:marRight w:val="0"/>
      <w:marTop w:val="0"/>
      <w:marBottom w:val="0"/>
      <w:divBdr>
        <w:top w:val="none" w:sz="0" w:space="0" w:color="auto"/>
        <w:left w:val="none" w:sz="0" w:space="0" w:color="auto"/>
        <w:bottom w:val="none" w:sz="0" w:space="0" w:color="auto"/>
        <w:right w:val="none" w:sz="0" w:space="0" w:color="auto"/>
      </w:divBdr>
    </w:div>
    <w:div w:id="1699160813">
      <w:bodyDiv w:val="1"/>
      <w:marLeft w:val="0"/>
      <w:marRight w:val="0"/>
      <w:marTop w:val="0"/>
      <w:marBottom w:val="0"/>
      <w:divBdr>
        <w:top w:val="none" w:sz="0" w:space="0" w:color="auto"/>
        <w:left w:val="none" w:sz="0" w:space="0" w:color="auto"/>
        <w:bottom w:val="none" w:sz="0" w:space="0" w:color="auto"/>
        <w:right w:val="none" w:sz="0" w:space="0" w:color="auto"/>
      </w:divBdr>
    </w:div>
    <w:div w:id="1712268753">
      <w:bodyDiv w:val="1"/>
      <w:marLeft w:val="0"/>
      <w:marRight w:val="0"/>
      <w:marTop w:val="0"/>
      <w:marBottom w:val="0"/>
      <w:divBdr>
        <w:top w:val="none" w:sz="0" w:space="0" w:color="auto"/>
        <w:left w:val="none" w:sz="0" w:space="0" w:color="auto"/>
        <w:bottom w:val="none" w:sz="0" w:space="0" w:color="auto"/>
        <w:right w:val="none" w:sz="0" w:space="0" w:color="auto"/>
      </w:divBdr>
    </w:div>
    <w:div w:id="1729916237">
      <w:bodyDiv w:val="1"/>
      <w:marLeft w:val="0"/>
      <w:marRight w:val="0"/>
      <w:marTop w:val="0"/>
      <w:marBottom w:val="0"/>
      <w:divBdr>
        <w:top w:val="none" w:sz="0" w:space="0" w:color="auto"/>
        <w:left w:val="none" w:sz="0" w:space="0" w:color="auto"/>
        <w:bottom w:val="none" w:sz="0" w:space="0" w:color="auto"/>
        <w:right w:val="none" w:sz="0" w:space="0" w:color="auto"/>
      </w:divBdr>
    </w:div>
    <w:div w:id="1749568916">
      <w:bodyDiv w:val="1"/>
      <w:marLeft w:val="0"/>
      <w:marRight w:val="0"/>
      <w:marTop w:val="0"/>
      <w:marBottom w:val="0"/>
      <w:divBdr>
        <w:top w:val="none" w:sz="0" w:space="0" w:color="auto"/>
        <w:left w:val="none" w:sz="0" w:space="0" w:color="auto"/>
        <w:bottom w:val="none" w:sz="0" w:space="0" w:color="auto"/>
        <w:right w:val="none" w:sz="0" w:space="0" w:color="auto"/>
      </w:divBdr>
    </w:div>
    <w:div w:id="1812482677">
      <w:bodyDiv w:val="1"/>
      <w:marLeft w:val="0"/>
      <w:marRight w:val="0"/>
      <w:marTop w:val="0"/>
      <w:marBottom w:val="0"/>
      <w:divBdr>
        <w:top w:val="none" w:sz="0" w:space="0" w:color="auto"/>
        <w:left w:val="none" w:sz="0" w:space="0" w:color="auto"/>
        <w:bottom w:val="none" w:sz="0" w:space="0" w:color="auto"/>
        <w:right w:val="none" w:sz="0" w:space="0" w:color="auto"/>
      </w:divBdr>
    </w:div>
    <w:div w:id="1866402650">
      <w:bodyDiv w:val="1"/>
      <w:marLeft w:val="0"/>
      <w:marRight w:val="0"/>
      <w:marTop w:val="0"/>
      <w:marBottom w:val="0"/>
      <w:divBdr>
        <w:top w:val="none" w:sz="0" w:space="0" w:color="auto"/>
        <w:left w:val="none" w:sz="0" w:space="0" w:color="auto"/>
        <w:bottom w:val="none" w:sz="0" w:space="0" w:color="auto"/>
        <w:right w:val="none" w:sz="0" w:space="0" w:color="auto"/>
      </w:divBdr>
    </w:div>
    <w:div w:id="1906524220">
      <w:bodyDiv w:val="1"/>
      <w:marLeft w:val="0"/>
      <w:marRight w:val="0"/>
      <w:marTop w:val="0"/>
      <w:marBottom w:val="0"/>
      <w:divBdr>
        <w:top w:val="none" w:sz="0" w:space="0" w:color="auto"/>
        <w:left w:val="none" w:sz="0" w:space="0" w:color="auto"/>
        <w:bottom w:val="none" w:sz="0" w:space="0" w:color="auto"/>
        <w:right w:val="none" w:sz="0" w:space="0" w:color="auto"/>
      </w:divBdr>
    </w:div>
    <w:div w:id="1953510742">
      <w:bodyDiv w:val="1"/>
      <w:marLeft w:val="0"/>
      <w:marRight w:val="0"/>
      <w:marTop w:val="0"/>
      <w:marBottom w:val="0"/>
      <w:divBdr>
        <w:top w:val="none" w:sz="0" w:space="0" w:color="auto"/>
        <w:left w:val="none" w:sz="0" w:space="0" w:color="auto"/>
        <w:bottom w:val="none" w:sz="0" w:space="0" w:color="auto"/>
        <w:right w:val="none" w:sz="0" w:space="0" w:color="auto"/>
      </w:divBdr>
    </w:div>
    <w:div w:id="1993944933">
      <w:bodyDiv w:val="1"/>
      <w:marLeft w:val="0"/>
      <w:marRight w:val="0"/>
      <w:marTop w:val="0"/>
      <w:marBottom w:val="0"/>
      <w:divBdr>
        <w:top w:val="none" w:sz="0" w:space="0" w:color="auto"/>
        <w:left w:val="none" w:sz="0" w:space="0" w:color="auto"/>
        <w:bottom w:val="none" w:sz="0" w:space="0" w:color="auto"/>
        <w:right w:val="none" w:sz="0" w:space="0" w:color="auto"/>
      </w:divBdr>
    </w:div>
    <w:div w:id="2013026090">
      <w:bodyDiv w:val="1"/>
      <w:marLeft w:val="0"/>
      <w:marRight w:val="0"/>
      <w:marTop w:val="0"/>
      <w:marBottom w:val="0"/>
      <w:divBdr>
        <w:top w:val="none" w:sz="0" w:space="0" w:color="auto"/>
        <w:left w:val="none" w:sz="0" w:space="0" w:color="auto"/>
        <w:bottom w:val="none" w:sz="0" w:space="0" w:color="auto"/>
        <w:right w:val="none" w:sz="0" w:space="0" w:color="auto"/>
      </w:divBdr>
    </w:div>
    <w:div w:id="2031032087">
      <w:bodyDiv w:val="1"/>
      <w:marLeft w:val="0"/>
      <w:marRight w:val="0"/>
      <w:marTop w:val="0"/>
      <w:marBottom w:val="0"/>
      <w:divBdr>
        <w:top w:val="none" w:sz="0" w:space="0" w:color="auto"/>
        <w:left w:val="none" w:sz="0" w:space="0" w:color="auto"/>
        <w:bottom w:val="none" w:sz="0" w:space="0" w:color="auto"/>
        <w:right w:val="none" w:sz="0" w:space="0" w:color="auto"/>
      </w:divBdr>
    </w:div>
    <w:div w:id="2043508358">
      <w:bodyDiv w:val="1"/>
      <w:marLeft w:val="0"/>
      <w:marRight w:val="0"/>
      <w:marTop w:val="0"/>
      <w:marBottom w:val="0"/>
      <w:divBdr>
        <w:top w:val="none" w:sz="0" w:space="0" w:color="auto"/>
        <w:left w:val="none" w:sz="0" w:space="0" w:color="auto"/>
        <w:bottom w:val="none" w:sz="0" w:space="0" w:color="auto"/>
        <w:right w:val="none" w:sz="0" w:space="0" w:color="auto"/>
      </w:divBdr>
    </w:div>
    <w:div w:id="2068607391">
      <w:bodyDiv w:val="1"/>
      <w:marLeft w:val="0"/>
      <w:marRight w:val="0"/>
      <w:marTop w:val="0"/>
      <w:marBottom w:val="0"/>
      <w:divBdr>
        <w:top w:val="none" w:sz="0" w:space="0" w:color="auto"/>
        <w:left w:val="none" w:sz="0" w:space="0" w:color="auto"/>
        <w:bottom w:val="none" w:sz="0" w:space="0" w:color="auto"/>
        <w:right w:val="none" w:sz="0" w:space="0" w:color="auto"/>
      </w:divBdr>
    </w:div>
    <w:div w:id="2120294233">
      <w:bodyDiv w:val="1"/>
      <w:marLeft w:val="0"/>
      <w:marRight w:val="0"/>
      <w:marTop w:val="0"/>
      <w:marBottom w:val="0"/>
      <w:divBdr>
        <w:top w:val="none" w:sz="0" w:space="0" w:color="auto"/>
        <w:left w:val="none" w:sz="0" w:space="0" w:color="auto"/>
        <w:bottom w:val="none" w:sz="0" w:space="0" w:color="auto"/>
        <w:right w:val="none" w:sz="0" w:space="0" w:color="auto"/>
      </w:divBdr>
    </w:div>
    <w:div w:id="214599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298564EED8AB44BC12193B94D45F0C" ma:contentTypeVersion="1" ma:contentTypeDescription="Create a new document." ma:contentTypeScope="" ma:versionID="6f7d71dfea6a436d95a743c9022bcb2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ABFB08-5195-4D64-B0A3-F96B74623FBD}"/>
</file>

<file path=customXml/itemProps2.xml><?xml version="1.0" encoding="utf-8"?>
<ds:datastoreItem xmlns:ds="http://schemas.openxmlformats.org/officeDocument/2006/customXml" ds:itemID="{0C7E4CFA-87DB-4CA3-923D-325C69AB2736}"/>
</file>

<file path=customXml/itemProps3.xml><?xml version="1.0" encoding="utf-8"?>
<ds:datastoreItem xmlns:ds="http://schemas.openxmlformats.org/officeDocument/2006/customXml" ds:itemID="{237A4523-F88B-48A9-9844-36AFFAC02BD1}"/>
</file>

<file path=customXml/itemProps4.xml><?xml version="1.0" encoding="utf-8"?>
<ds:datastoreItem xmlns:ds="http://schemas.openxmlformats.org/officeDocument/2006/customXml" ds:itemID="{3DF13E1C-4500-4139-BD13-AD1D523E4AC2}"/>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2019-04-05T04:18:00Z</dcterms:created>
  <dcterms:modified xsi:type="dcterms:W3CDTF">2019-04-05T04:18:00Z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76021656-486d-439e-8b03-265a4678574c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0x0101005D298564EED8AB44BC12193B94D45F0C</vt:lpwstr>
  </property>
  <property fmtid="{D5CDD505-2E9C-101B-9397-08002B2CF9AE}" pid="6" name="Order">
    <vt:r8>7100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