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F14AB" w:rsidRPr="001D4473" w:rsidRDefault="002F14AB" w:rsidP="001D4473">
      <w:pPr>
        <w:spacing w:after="0"/>
        <w:rPr>
          <w:rFonts w:cs="Arial"/>
          <w:sz w:val="20"/>
        </w:rPr>
      </w:pPr>
      <w:bookmarkStart w:id="0" w:name="_Hlk23228816"/>
      <w:r w:rsidRPr="00BA18B5">
        <w:rPr>
          <w:b/>
          <w:sz w:val="20"/>
        </w:rPr>
        <w:t>Project Title:</w:t>
      </w:r>
      <w:r w:rsidR="00BE000F" w:rsidRPr="001D4473">
        <w:rPr>
          <w:sz w:val="20"/>
        </w:rPr>
        <w:tab/>
      </w:r>
      <w:r w:rsidR="00BE000F" w:rsidRPr="001D4473">
        <w:rPr>
          <w:sz w:val="20"/>
        </w:rPr>
        <w:tab/>
      </w:r>
      <w:r w:rsidR="00143F5A">
        <w:rPr>
          <w:rFonts w:cs="Arial"/>
          <w:sz w:val="20"/>
        </w:rPr>
        <w:t>Governance for Resilient Development in the Pacific</w:t>
      </w:r>
    </w:p>
    <w:p w:rsidR="002F14AB" w:rsidRPr="00BA18B5" w:rsidRDefault="002F14AB" w:rsidP="001D4473">
      <w:pPr>
        <w:spacing w:after="0"/>
        <w:rPr>
          <w:b/>
          <w:sz w:val="20"/>
        </w:rPr>
      </w:pPr>
      <w:r w:rsidRPr="00BA18B5">
        <w:rPr>
          <w:b/>
          <w:sz w:val="20"/>
        </w:rPr>
        <w:t>Project Number:</w:t>
      </w:r>
      <w:r w:rsidR="00EA5FB1" w:rsidRPr="00BA18B5">
        <w:rPr>
          <w:b/>
          <w:sz w:val="20"/>
        </w:rPr>
        <w:tab/>
      </w:r>
      <w:r w:rsidR="00BA18B5" w:rsidRPr="00BA18B5">
        <w:rPr>
          <w:b/>
          <w:sz w:val="20"/>
        </w:rPr>
        <w:tab/>
      </w:r>
      <w:r w:rsidR="00205F43" w:rsidRPr="005118AF">
        <w:rPr>
          <w:bCs/>
          <w:sz w:val="20"/>
        </w:rPr>
        <w:t>00</w:t>
      </w:r>
      <w:r w:rsidR="00F36A48">
        <w:rPr>
          <w:bCs/>
          <w:sz w:val="20"/>
        </w:rPr>
        <w:t>120330</w:t>
      </w:r>
    </w:p>
    <w:p w:rsidR="002F14AB" w:rsidRPr="001D4473" w:rsidRDefault="002F14AB" w:rsidP="001D4473">
      <w:pPr>
        <w:spacing w:after="0"/>
        <w:rPr>
          <w:rFonts w:cs="Arial"/>
          <w:sz w:val="20"/>
        </w:rPr>
      </w:pPr>
      <w:r w:rsidRPr="00BA18B5">
        <w:rPr>
          <w:b/>
          <w:sz w:val="20"/>
        </w:rPr>
        <w:t>Implementing Partner:</w:t>
      </w:r>
      <w:r w:rsidR="00BE000F" w:rsidRPr="001D4473">
        <w:rPr>
          <w:sz w:val="20"/>
        </w:rPr>
        <w:tab/>
      </w:r>
      <w:r w:rsidR="00993875" w:rsidRPr="001D4473">
        <w:rPr>
          <w:rFonts w:cs="Arial"/>
          <w:sz w:val="20"/>
        </w:rPr>
        <w:t>United Nations Development Programme</w:t>
      </w:r>
    </w:p>
    <w:p w:rsidR="005057AA" w:rsidRDefault="002F14AB" w:rsidP="001D4473">
      <w:pPr>
        <w:spacing w:after="0"/>
        <w:rPr>
          <w:sz w:val="20"/>
        </w:rPr>
      </w:pPr>
      <w:r w:rsidRPr="00BA18B5">
        <w:rPr>
          <w:b/>
          <w:sz w:val="20"/>
        </w:rPr>
        <w:t>Start Date:</w:t>
      </w:r>
      <w:r w:rsidR="00BE000F" w:rsidRPr="001D4473">
        <w:rPr>
          <w:sz w:val="20"/>
        </w:rPr>
        <w:tab/>
      </w:r>
      <w:r w:rsidR="00BE000F" w:rsidRPr="001D4473">
        <w:rPr>
          <w:sz w:val="20"/>
        </w:rPr>
        <w:tab/>
      </w:r>
      <w:r w:rsidR="005057AA">
        <w:rPr>
          <w:sz w:val="20"/>
        </w:rPr>
        <w:t>29</w:t>
      </w:r>
      <w:r w:rsidR="00D03CEA">
        <w:rPr>
          <w:sz w:val="20"/>
        </w:rPr>
        <w:t xml:space="preserve"> March 2019</w:t>
      </w:r>
    </w:p>
    <w:p w:rsidR="00993875" w:rsidRPr="001D4473" w:rsidRDefault="002F14AB" w:rsidP="001D4473">
      <w:pPr>
        <w:spacing w:after="0"/>
        <w:rPr>
          <w:sz w:val="20"/>
        </w:rPr>
      </w:pPr>
      <w:r w:rsidRPr="00BA18B5">
        <w:rPr>
          <w:b/>
          <w:sz w:val="20"/>
        </w:rPr>
        <w:t>End Date:</w:t>
      </w:r>
      <w:r w:rsidR="00BE000F" w:rsidRPr="001D4473">
        <w:rPr>
          <w:sz w:val="20"/>
        </w:rPr>
        <w:tab/>
      </w:r>
      <w:r w:rsidR="00BE000F" w:rsidRPr="001D4473">
        <w:rPr>
          <w:sz w:val="20"/>
        </w:rPr>
        <w:tab/>
      </w:r>
      <w:r w:rsidR="007B33D2">
        <w:rPr>
          <w:sz w:val="20"/>
        </w:rPr>
        <w:t>30 June</w:t>
      </w:r>
      <w:r w:rsidR="00BE000F" w:rsidRPr="001D4473">
        <w:rPr>
          <w:sz w:val="20"/>
        </w:rPr>
        <w:t xml:space="preserve"> 202</w:t>
      </w:r>
      <w:r w:rsidR="007B33D2">
        <w:rPr>
          <w:sz w:val="20"/>
        </w:rPr>
        <w:t>4</w:t>
      </w:r>
      <w:r w:rsidRPr="001D4473">
        <w:rPr>
          <w:sz w:val="20"/>
        </w:rPr>
        <w:tab/>
      </w:r>
      <w:r w:rsidRPr="001D4473">
        <w:rPr>
          <w:sz w:val="20"/>
        </w:rPr>
        <w:tab/>
      </w:r>
    </w:p>
    <w:p w:rsidR="002F14AB" w:rsidRPr="001D4473" w:rsidRDefault="002F14AB" w:rsidP="001D4473">
      <w:pPr>
        <w:spacing w:after="0"/>
        <w:rPr>
          <w:sz w:val="20"/>
        </w:rPr>
      </w:pPr>
      <w:r w:rsidRPr="00BA18B5">
        <w:rPr>
          <w:b/>
          <w:sz w:val="20"/>
        </w:rPr>
        <w:t>PAC Meeting date:</w:t>
      </w:r>
      <w:r w:rsidRPr="001D4473">
        <w:rPr>
          <w:sz w:val="20"/>
        </w:rPr>
        <w:t xml:space="preserve"> </w:t>
      </w:r>
      <w:r w:rsidRPr="001D4473">
        <w:rPr>
          <w:sz w:val="20"/>
        </w:rPr>
        <w:tab/>
      </w:r>
      <w:r w:rsidR="003D403B" w:rsidRPr="001D4473">
        <w:rPr>
          <w:sz w:val="20"/>
        </w:rPr>
        <w:t>20 November 2019</w:t>
      </w:r>
    </w:p>
    <w:p w:rsidR="002F14AB" w:rsidRDefault="002F14AB" w:rsidP="001D4473">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2"/>
      </w:tblGrid>
      <w:tr w:rsidR="001D4473" w:rsidTr="00F06271">
        <w:tc>
          <w:tcPr>
            <w:tcW w:w="9818" w:type="dxa"/>
            <w:shd w:val="clear" w:color="auto" w:fill="auto"/>
            <w:vAlign w:val="center"/>
          </w:tcPr>
          <w:p w:rsidR="001D4473" w:rsidRPr="008A59C5" w:rsidRDefault="001D4473" w:rsidP="00F06271">
            <w:pPr>
              <w:spacing w:after="0"/>
              <w:jc w:val="center"/>
              <w:rPr>
                <w:b/>
                <w:sz w:val="20"/>
                <w:szCs w:val="20"/>
              </w:rPr>
            </w:pPr>
            <w:r w:rsidRPr="008A59C5">
              <w:rPr>
                <w:b/>
                <w:sz w:val="20"/>
                <w:szCs w:val="20"/>
              </w:rPr>
              <w:t>Brief Description</w:t>
            </w:r>
          </w:p>
        </w:tc>
      </w:tr>
      <w:tr w:rsidR="001D4473" w:rsidTr="0043211C">
        <w:trPr>
          <w:trHeight w:val="3441"/>
        </w:trPr>
        <w:tc>
          <w:tcPr>
            <w:tcW w:w="9818" w:type="dxa"/>
            <w:shd w:val="clear" w:color="auto" w:fill="auto"/>
          </w:tcPr>
          <w:p w:rsidR="002D0984" w:rsidRPr="002D0984" w:rsidRDefault="00D56C63" w:rsidP="002D0984">
            <w:pPr>
              <w:spacing w:after="0"/>
              <w:jc w:val="both"/>
              <w:rPr>
                <w:rFonts w:cs="Arial"/>
              </w:rPr>
            </w:pPr>
            <w:r w:rsidRPr="0043211C">
              <w:rPr>
                <w:rFonts w:cs="Arial"/>
                <w:sz w:val="20"/>
              </w:rPr>
              <w:t xml:space="preserve">The Pacific region is facing considerable economic and social development challenges due to the increasing impact of climate change and geo-hazards. At the same time, development in these countries is potentially increasing this vulnerability to climate change and disasters. </w:t>
            </w:r>
            <w:r w:rsidR="003B262D" w:rsidRPr="0043211C">
              <w:rPr>
                <w:rFonts w:cs="Arial"/>
                <w:sz w:val="20"/>
              </w:rPr>
              <w:t xml:space="preserve">The Framework for Resilient Development in the Pacific (FRDP), endorsed in 2016 by Pacific leaders, demonstrates a clear recognition that managing climate change and disaster related risk must be undertaken in the context of economic development and the achievement of the Sustainable Development Goals (SDGs). The </w:t>
            </w:r>
            <w:r w:rsidR="00090983">
              <w:rPr>
                <w:rFonts w:cs="Arial"/>
                <w:sz w:val="20"/>
              </w:rPr>
              <w:t xml:space="preserve">Governance for Resilient Development in the Pacific project </w:t>
            </w:r>
            <w:r w:rsidR="003B262D" w:rsidRPr="0043211C">
              <w:rPr>
                <w:rFonts w:cs="Arial"/>
                <w:sz w:val="20"/>
              </w:rPr>
              <w:t xml:space="preserve">has three outcomes areas to work with countries across the region to address these risks by development: 1) government planning and financing systems enable gender </w:t>
            </w:r>
            <w:r w:rsidR="00A649FD">
              <w:rPr>
                <w:rFonts w:cs="Arial"/>
                <w:sz w:val="20"/>
              </w:rPr>
              <w:t xml:space="preserve">and socially inclusive </w:t>
            </w:r>
            <w:r w:rsidR="003B262D" w:rsidRPr="0043211C">
              <w:rPr>
                <w:rFonts w:cs="Arial"/>
                <w:sz w:val="20"/>
              </w:rPr>
              <w:t xml:space="preserve">risk-informed development; 2) country oversight and accountability systems require </w:t>
            </w:r>
            <w:r w:rsidR="00A649FD" w:rsidRPr="0043211C">
              <w:rPr>
                <w:rFonts w:cs="Arial"/>
                <w:sz w:val="20"/>
              </w:rPr>
              <w:t xml:space="preserve">gender </w:t>
            </w:r>
            <w:r w:rsidR="00A649FD">
              <w:rPr>
                <w:rFonts w:cs="Arial"/>
                <w:sz w:val="20"/>
              </w:rPr>
              <w:t xml:space="preserve">and socially inclusive </w:t>
            </w:r>
            <w:r w:rsidR="003B262D" w:rsidRPr="0043211C">
              <w:rPr>
                <w:rFonts w:cs="Arial"/>
                <w:sz w:val="20"/>
              </w:rPr>
              <w:t xml:space="preserve">risk-informed development; and 3) regional organisations, policies and practices are actively supporting </w:t>
            </w:r>
            <w:r w:rsidR="00A649FD" w:rsidRPr="0043211C">
              <w:rPr>
                <w:rFonts w:cs="Arial"/>
                <w:sz w:val="20"/>
              </w:rPr>
              <w:t xml:space="preserve">gender </w:t>
            </w:r>
            <w:r w:rsidR="00A649FD">
              <w:rPr>
                <w:rFonts w:cs="Arial"/>
                <w:sz w:val="20"/>
              </w:rPr>
              <w:t xml:space="preserve">and socially inclusive </w:t>
            </w:r>
            <w:r w:rsidR="003B262D" w:rsidRPr="0043211C">
              <w:rPr>
                <w:rFonts w:cs="Arial"/>
                <w:sz w:val="20"/>
              </w:rPr>
              <w:t>risk-informed development.</w:t>
            </w:r>
            <w:r w:rsidR="002D0984" w:rsidRPr="0043211C">
              <w:rPr>
                <w:rFonts w:cs="Arial"/>
                <w:sz w:val="20"/>
              </w:rPr>
              <w:t xml:space="preserve"> </w:t>
            </w:r>
            <w:r w:rsidR="00256FBF" w:rsidRPr="0043211C">
              <w:rPr>
                <w:rFonts w:cs="Arial"/>
                <w:sz w:val="20"/>
              </w:rPr>
              <w:t xml:space="preserve">UNDP is partnering with a range of </w:t>
            </w:r>
            <w:r w:rsidR="002D0984" w:rsidRPr="0043211C">
              <w:rPr>
                <w:rFonts w:cs="Arial"/>
                <w:sz w:val="20"/>
              </w:rPr>
              <w:t xml:space="preserve">partners </w:t>
            </w:r>
            <w:r w:rsidR="00256FBF" w:rsidRPr="0043211C">
              <w:rPr>
                <w:rFonts w:cs="Arial"/>
                <w:sz w:val="20"/>
              </w:rPr>
              <w:t xml:space="preserve">to deliver this </w:t>
            </w:r>
            <w:r w:rsidR="00253797">
              <w:rPr>
                <w:rFonts w:cs="Arial"/>
                <w:sz w:val="20"/>
              </w:rPr>
              <w:t>project</w:t>
            </w:r>
            <w:r w:rsidR="00256FBF" w:rsidRPr="0043211C">
              <w:rPr>
                <w:rFonts w:cs="Arial"/>
                <w:sz w:val="20"/>
              </w:rPr>
              <w:t xml:space="preserve"> across the Pacific </w:t>
            </w:r>
            <w:r w:rsidR="002D0984" w:rsidRPr="0043211C">
              <w:rPr>
                <w:rFonts w:cs="Arial"/>
                <w:sz w:val="20"/>
              </w:rPr>
              <w:t xml:space="preserve">including Australian Department of Foreign Affairs and Trade (DFAT), the New Zealand Ministry of Foreign Affairs and Trade (MFAT), Korea International Cooperation Agency (KOICA) and Swedish International Development Cooperation </w:t>
            </w:r>
            <w:r w:rsidR="00B16668">
              <w:rPr>
                <w:rFonts w:cs="Arial"/>
                <w:sz w:val="20"/>
              </w:rPr>
              <w:t>Agency</w:t>
            </w:r>
            <w:r w:rsidR="00B16668" w:rsidRPr="0043211C">
              <w:rPr>
                <w:rFonts w:cs="Arial"/>
                <w:sz w:val="20"/>
              </w:rPr>
              <w:t xml:space="preserve"> </w:t>
            </w:r>
            <w:r w:rsidR="002D0984" w:rsidRPr="0043211C">
              <w:rPr>
                <w:rFonts w:cs="Arial"/>
                <w:sz w:val="20"/>
              </w:rPr>
              <w:t>(SIDA).</w:t>
            </w:r>
          </w:p>
        </w:tc>
      </w:tr>
    </w:tbl>
    <w:p w:rsidR="001D4473" w:rsidRDefault="001D4473" w:rsidP="001D4473">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7"/>
        <w:gridCol w:w="1638"/>
        <w:gridCol w:w="1127"/>
      </w:tblGrid>
      <w:tr w:rsidR="00733273" w:rsidTr="007B33D2">
        <w:tc>
          <w:tcPr>
            <w:tcW w:w="6827" w:type="dxa"/>
            <w:vMerge w:val="restart"/>
            <w:shd w:val="clear" w:color="auto" w:fill="auto"/>
          </w:tcPr>
          <w:p w:rsidR="00733273" w:rsidRPr="005057AA" w:rsidRDefault="00733273" w:rsidP="00733273">
            <w:pPr>
              <w:spacing w:after="0"/>
              <w:rPr>
                <w:b/>
                <w:bCs/>
                <w:sz w:val="18"/>
                <w:szCs w:val="18"/>
              </w:rPr>
            </w:pPr>
            <w:bookmarkStart w:id="1" w:name="_Hlk23331480"/>
            <w:r w:rsidRPr="005057AA">
              <w:rPr>
                <w:b/>
                <w:bCs/>
                <w:sz w:val="18"/>
                <w:szCs w:val="18"/>
              </w:rPr>
              <w:t>Contributing Outcome (UNDAF/CPD, RPD or GPD):</w:t>
            </w:r>
          </w:p>
          <w:p w:rsidR="00733273" w:rsidRPr="005057AA" w:rsidRDefault="00733273" w:rsidP="00733273">
            <w:pPr>
              <w:spacing w:after="0"/>
              <w:rPr>
                <w:rFonts w:cs="Arial"/>
                <w:i/>
                <w:iCs/>
                <w:sz w:val="18"/>
                <w:szCs w:val="18"/>
              </w:rPr>
            </w:pPr>
            <w:r w:rsidRPr="005057AA">
              <w:rPr>
                <w:rFonts w:cs="Arial"/>
                <w:sz w:val="18"/>
                <w:szCs w:val="18"/>
              </w:rPr>
              <w:t xml:space="preserve">UNDP 2018-2021 </w:t>
            </w:r>
            <w:r w:rsidRPr="005057AA">
              <w:rPr>
                <w:rFonts w:cs="Arial"/>
                <w:i/>
                <w:iCs/>
                <w:sz w:val="18"/>
                <w:szCs w:val="18"/>
              </w:rPr>
              <w:t>Outcome 2</w:t>
            </w:r>
            <w:r>
              <w:rPr>
                <w:rFonts w:cs="Arial"/>
                <w:i/>
                <w:iCs/>
                <w:sz w:val="18"/>
                <w:szCs w:val="18"/>
              </w:rPr>
              <w:t>:</w:t>
            </w:r>
            <w:r w:rsidRPr="005057AA">
              <w:rPr>
                <w:rFonts w:cs="Arial"/>
                <w:i/>
                <w:iCs/>
                <w:sz w:val="18"/>
                <w:szCs w:val="18"/>
              </w:rPr>
              <w:t xml:space="preserve"> Accelerate structural transformations for sustainable development</w:t>
            </w:r>
          </w:p>
          <w:p w:rsidR="00733273" w:rsidRPr="005057AA" w:rsidRDefault="00733273" w:rsidP="00733273">
            <w:pPr>
              <w:spacing w:after="0"/>
              <w:rPr>
                <w:sz w:val="18"/>
                <w:szCs w:val="18"/>
              </w:rPr>
            </w:pPr>
            <w:r w:rsidRPr="005057AA">
              <w:rPr>
                <w:rFonts w:cs="Arial"/>
                <w:sz w:val="18"/>
                <w:szCs w:val="18"/>
              </w:rPr>
              <w:t xml:space="preserve">UNDP SRPD </w:t>
            </w:r>
            <w:r w:rsidRPr="005057AA">
              <w:rPr>
                <w:rFonts w:cs="Arial"/>
                <w:i/>
                <w:iCs/>
                <w:sz w:val="18"/>
                <w:szCs w:val="18"/>
              </w:rPr>
              <w:t>Outcome 1: By 2022, people and ecosystems in the Pacific are more resilient to the impacts of climate change, climate variability and disasters; and environmental protection is strengthened</w:t>
            </w:r>
          </w:p>
          <w:p w:rsidR="00733273" w:rsidRPr="005057AA" w:rsidRDefault="00733273" w:rsidP="00733273">
            <w:pPr>
              <w:spacing w:after="0"/>
              <w:rPr>
                <w:b/>
                <w:bCs/>
                <w:sz w:val="18"/>
                <w:szCs w:val="18"/>
              </w:rPr>
            </w:pPr>
            <w:r w:rsidRPr="005057AA">
              <w:rPr>
                <w:b/>
                <w:bCs/>
                <w:sz w:val="18"/>
                <w:szCs w:val="18"/>
              </w:rPr>
              <w:t>Indicative Output(s) with gender marker</w:t>
            </w:r>
          </w:p>
          <w:p w:rsidR="00733273" w:rsidRPr="005057AA" w:rsidRDefault="00733273" w:rsidP="00733273">
            <w:pPr>
              <w:spacing w:after="0"/>
              <w:rPr>
                <w:rFonts w:cs="Arial"/>
                <w:i/>
                <w:iCs/>
                <w:color w:val="212529"/>
                <w:sz w:val="18"/>
                <w:szCs w:val="18"/>
                <w:shd w:val="clear" w:color="auto" w:fill="FFFFFF"/>
              </w:rPr>
            </w:pPr>
            <w:r w:rsidRPr="005057AA">
              <w:rPr>
                <w:rFonts w:cs="Arial"/>
                <w:color w:val="212529"/>
                <w:sz w:val="18"/>
                <w:szCs w:val="18"/>
                <w:shd w:val="clear" w:color="auto" w:fill="FFFFFF"/>
              </w:rPr>
              <w:t xml:space="preserve">UNDP </w:t>
            </w:r>
            <w:r w:rsidRPr="005057AA">
              <w:rPr>
                <w:rFonts w:cs="Arial"/>
                <w:color w:val="26282A"/>
                <w:sz w:val="18"/>
                <w:szCs w:val="18"/>
                <w:shd w:val="clear" w:color="auto" w:fill="FFFFFF"/>
              </w:rPr>
              <w:t>2018-2021</w:t>
            </w:r>
            <w:r w:rsidRPr="005057AA">
              <w:rPr>
                <w:rFonts w:cs="Arial"/>
                <w:i/>
                <w:iCs/>
                <w:color w:val="212529"/>
                <w:sz w:val="18"/>
                <w:szCs w:val="18"/>
                <w:shd w:val="clear" w:color="auto" w:fill="FFFFFF"/>
              </w:rPr>
              <w:t xml:space="preserve"> Output 2.4: Solutions developed financed and applied at scale to reduce disaster risks and promote climate change adaptation promote the sustainable use of natural resources and green commodity chains and transform to clean energy and zero-carbon development</w:t>
            </w:r>
          </w:p>
          <w:p w:rsidR="00733273" w:rsidRPr="005057AA" w:rsidRDefault="00733273" w:rsidP="00733273">
            <w:pPr>
              <w:spacing w:after="0"/>
              <w:rPr>
                <w:rFonts w:cs="Arial"/>
                <w:i/>
                <w:iCs/>
                <w:sz w:val="18"/>
                <w:szCs w:val="18"/>
              </w:rPr>
            </w:pPr>
            <w:r w:rsidRPr="005057AA">
              <w:rPr>
                <w:rFonts w:cs="Arial"/>
                <w:sz w:val="18"/>
                <w:szCs w:val="18"/>
              </w:rPr>
              <w:t xml:space="preserve">UNDP SRPD </w:t>
            </w:r>
            <w:r w:rsidRPr="005057AA">
              <w:rPr>
                <w:rFonts w:cs="Arial"/>
                <w:i/>
                <w:iCs/>
                <w:sz w:val="18"/>
                <w:szCs w:val="18"/>
              </w:rPr>
              <w:t>Output 1.2: Effective risk-informed development plans disaster preparedness and recovery mechanisms in place at the national sector and subnational levels</w:t>
            </w:r>
          </w:p>
          <w:p w:rsidR="00733273" w:rsidRPr="005057AA" w:rsidRDefault="00733273" w:rsidP="00733273">
            <w:pPr>
              <w:spacing w:after="0"/>
              <w:rPr>
                <w:sz w:val="18"/>
                <w:szCs w:val="18"/>
              </w:rPr>
            </w:pPr>
            <w:r w:rsidRPr="005057AA">
              <w:rPr>
                <w:rFonts w:cs="Arial"/>
                <w:b/>
                <w:bCs/>
                <w:iCs/>
                <w:color w:val="212529"/>
                <w:sz w:val="18"/>
                <w:szCs w:val="18"/>
                <w:shd w:val="clear" w:color="auto" w:fill="FFFFFF"/>
              </w:rPr>
              <w:t xml:space="preserve">Gender Marker: </w:t>
            </w:r>
            <w:r w:rsidRPr="005057AA">
              <w:rPr>
                <w:rFonts w:cs="Arial"/>
                <w:i/>
                <w:iCs/>
                <w:sz w:val="18"/>
                <w:szCs w:val="18"/>
              </w:rPr>
              <w:t>GEN2 (</w:t>
            </w:r>
            <w:r>
              <w:rPr>
                <w:rFonts w:cs="Arial"/>
                <w:i/>
                <w:iCs/>
                <w:sz w:val="18"/>
                <w:szCs w:val="18"/>
              </w:rPr>
              <w:t>g</w:t>
            </w:r>
            <w:r w:rsidRPr="005057AA">
              <w:rPr>
                <w:rFonts w:cs="Arial"/>
                <w:i/>
                <w:iCs/>
                <w:sz w:val="18"/>
                <w:szCs w:val="18"/>
              </w:rPr>
              <w:t>ender equality is a significant objective)</w:t>
            </w:r>
            <w:bookmarkEnd w:id="1"/>
          </w:p>
        </w:tc>
        <w:tc>
          <w:tcPr>
            <w:tcW w:w="1638" w:type="dxa"/>
            <w:shd w:val="clear" w:color="auto" w:fill="auto"/>
          </w:tcPr>
          <w:p w:rsidR="00733273" w:rsidRPr="005057AA" w:rsidRDefault="00733273" w:rsidP="00733273">
            <w:pPr>
              <w:spacing w:after="0"/>
              <w:rPr>
                <w:sz w:val="18"/>
                <w:szCs w:val="18"/>
              </w:rPr>
            </w:pPr>
            <w:r w:rsidRPr="005057AA">
              <w:rPr>
                <w:sz w:val="18"/>
                <w:szCs w:val="18"/>
              </w:rPr>
              <w:t>Total resources required (US$):</w:t>
            </w:r>
          </w:p>
        </w:tc>
        <w:tc>
          <w:tcPr>
            <w:tcW w:w="1127" w:type="dxa"/>
            <w:shd w:val="clear" w:color="auto" w:fill="auto"/>
          </w:tcPr>
          <w:p w:rsidR="00733273" w:rsidRPr="005057AA" w:rsidRDefault="00733273" w:rsidP="00733273">
            <w:pPr>
              <w:spacing w:after="0"/>
              <w:jc w:val="right"/>
              <w:rPr>
                <w:b/>
                <w:sz w:val="18"/>
                <w:szCs w:val="18"/>
              </w:rPr>
            </w:pPr>
            <w:r w:rsidRPr="005057AA">
              <w:rPr>
                <w:b/>
                <w:sz w:val="18"/>
                <w:szCs w:val="18"/>
              </w:rPr>
              <w:t>$19,</w:t>
            </w:r>
            <w:r w:rsidR="007B33D2">
              <w:rPr>
                <w:b/>
                <w:sz w:val="18"/>
                <w:szCs w:val="18"/>
              </w:rPr>
              <w:t>087,936</w:t>
            </w:r>
          </w:p>
        </w:tc>
      </w:tr>
      <w:tr w:rsidR="00733273" w:rsidTr="007B33D2">
        <w:tc>
          <w:tcPr>
            <w:tcW w:w="6827" w:type="dxa"/>
            <w:vMerge/>
            <w:shd w:val="clear" w:color="auto" w:fill="auto"/>
          </w:tcPr>
          <w:p w:rsidR="00733273" w:rsidRPr="005057AA" w:rsidRDefault="00733273" w:rsidP="00733273">
            <w:pPr>
              <w:spacing w:after="0"/>
              <w:rPr>
                <w:sz w:val="18"/>
                <w:szCs w:val="18"/>
              </w:rPr>
            </w:pPr>
          </w:p>
        </w:tc>
        <w:tc>
          <w:tcPr>
            <w:tcW w:w="1638" w:type="dxa"/>
            <w:shd w:val="clear" w:color="auto" w:fill="auto"/>
          </w:tcPr>
          <w:p w:rsidR="00733273" w:rsidRPr="005057AA" w:rsidRDefault="00733273" w:rsidP="00733273">
            <w:pPr>
              <w:spacing w:after="0"/>
              <w:rPr>
                <w:sz w:val="18"/>
                <w:szCs w:val="18"/>
              </w:rPr>
            </w:pPr>
            <w:r w:rsidRPr="005057AA">
              <w:rPr>
                <w:sz w:val="18"/>
                <w:szCs w:val="18"/>
              </w:rPr>
              <w:t>Total resources allocated</w:t>
            </w:r>
            <w:r w:rsidRPr="005057AA">
              <w:rPr>
                <w:rStyle w:val="FootnoteReference"/>
                <w:rFonts w:ascii="Calibri Light" w:hAnsi="Calibri Light"/>
                <w:szCs w:val="18"/>
              </w:rPr>
              <w:footnoteReference w:id="1"/>
            </w:r>
            <w:r w:rsidRPr="005057AA">
              <w:rPr>
                <w:sz w:val="18"/>
                <w:szCs w:val="18"/>
              </w:rPr>
              <w:t>:</w:t>
            </w:r>
          </w:p>
        </w:tc>
        <w:tc>
          <w:tcPr>
            <w:tcW w:w="1127" w:type="dxa"/>
            <w:shd w:val="clear" w:color="auto" w:fill="auto"/>
          </w:tcPr>
          <w:p w:rsidR="00733273" w:rsidRPr="005057AA" w:rsidRDefault="00733273" w:rsidP="00733273">
            <w:pPr>
              <w:spacing w:after="0"/>
              <w:rPr>
                <w:sz w:val="18"/>
                <w:szCs w:val="18"/>
              </w:rPr>
            </w:pPr>
          </w:p>
        </w:tc>
      </w:tr>
      <w:tr w:rsidR="00733273" w:rsidTr="007B33D2">
        <w:tc>
          <w:tcPr>
            <w:tcW w:w="6827" w:type="dxa"/>
            <w:vMerge/>
            <w:shd w:val="clear" w:color="auto" w:fill="auto"/>
          </w:tcPr>
          <w:p w:rsidR="00733273" w:rsidRPr="005057AA" w:rsidRDefault="00733273" w:rsidP="00733273">
            <w:pPr>
              <w:spacing w:after="0"/>
              <w:rPr>
                <w:sz w:val="18"/>
                <w:szCs w:val="18"/>
              </w:rPr>
            </w:pPr>
          </w:p>
        </w:tc>
        <w:tc>
          <w:tcPr>
            <w:tcW w:w="1638" w:type="dxa"/>
            <w:shd w:val="clear" w:color="auto" w:fill="auto"/>
          </w:tcPr>
          <w:p w:rsidR="00733273" w:rsidRPr="005057AA" w:rsidRDefault="00733273" w:rsidP="00733273">
            <w:pPr>
              <w:spacing w:after="0"/>
              <w:ind w:left="328"/>
              <w:rPr>
                <w:sz w:val="18"/>
                <w:szCs w:val="18"/>
              </w:rPr>
            </w:pPr>
            <w:r w:rsidRPr="005057AA">
              <w:rPr>
                <w:sz w:val="18"/>
                <w:szCs w:val="18"/>
              </w:rPr>
              <w:t>UNDP TRAC:</w:t>
            </w:r>
          </w:p>
        </w:tc>
        <w:tc>
          <w:tcPr>
            <w:tcW w:w="1127" w:type="dxa"/>
            <w:shd w:val="clear" w:color="auto" w:fill="auto"/>
          </w:tcPr>
          <w:p w:rsidR="00733273" w:rsidRPr="005057AA" w:rsidRDefault="00733273" w:rsidP="00733273">
            <w:pPr>
              <w:spacing w:after="0"/>
              <w:jc w:val="right"/>
              <w:rPr>
                <w:sz w:val="18"/>
                <w:szCs w:val="18"/>
              </w:rPr>
            </w:pPr>
            <w:r w:rsidRPr="005057AA">
              <w:rPr>
                <w:sz w:val="18"/>
                <w:szCs w:val="18"/>
              </w:rPr>
              <w:t>-</w:t>
            </w:r>
          </w:p>
        </w:tc>
      </w:tr>
      <w:tr w:rsidR="00733273" w:rsidTr="007B33D2">
        <w:tc>
          <w:tcPr>
            <w:tcW w:w="6827" w:type="dxa"/>
            <w:vMerge/>
            <w:shd w:val="clear" w:color="auto" w:fill="auto"/>
          </w:tcPr>
          <w:p w:rsidR="00733273" w:rsidRPr="005057AA" w:rsidRDefault="00733273" w:rsidP="00733273">
            <w:pPr>
              <w:spacing w:after="0"/>
              <w:rPr>
                <w:sz w:val="18"/>
                <w:szCs w:val="18"/>
              </w:rPr>
            </w:pPr>
          </w:p>
        </w:tc>
        <w:tc>
          <w:tcPr>
            <w:tcW w:w="1638" w:type="dxa"/>
            <w:shd w:val="clear" w:color="auto" w:fill="auto"/>
          </w:tcPr>
          <w:p w:rsidR="00733273" w:rsidRPr="005057AA" w:rsidRDefault="00733273" w:rsidP="00733273">
            <w:pPr>
              <w:spacing w:after="0"/>
              <w:ind w:left="328"/>
              <w:rPr>
                <w:sz w:val="18"/>
                <w:szCs w:val="18"/>
              </w:rPr>
            </w:pPr>
            <w:r w:rsidRPr="005057AA">
              <w:rPr>
                <w:sz w:val="18"/>
                <w:szCs w:val="18"/>
              </w:rPr>
              <w:t>Donor-DFAT:</w:t>
            </w:r>
          </w:p>
        </w:tc>
        <w:tc>
          <w:tcPr>
            <w:tcW w:w="1127" w:type="dxa"/>
            <w:shd w:val="clear" w:color="auto" w:fill="auto"/>
          </w:tcPr>
          <w:p w:rsidR="00733273" w:rsidRPr="005057AA" w:rsidRDefault="00733273" w:rsidP="00733273">
            <w:pPr>
              <w:spacing w:after="0"/>
              <w:jc w:val="right"/>
              <w:rPr>
                <w:sz w:val="18"/>
                <w:szCs w:val="18"/>
              </w:rPr>
            </w:pPr>
            <w:r w:rsidRPr="005057AA">
              <w:rPr>
                <w:sz w:val="18"/>
                <w:szCs w:val="18"/>
              </w:rPr>
              <w:t>$7,258,0</w:t>
            </w:r>
            <w:r>
              <w:rPr>
                <w:sz w:val="18"/>
                <w:szCs w:val="18"/>
              </w:rPr>
              <w:t>00</w:t>
            </w:r>
          </w:p>
        </w:tc>
      </w:tr>
      <w:tr w:rsidR="007B33D2" w:rsidTr="007B33D2">
        <w:tc>
          <w:tcPr>
            <w:tcW w:w="6827" w:type="dxa"/>
            <w:vMerge/>
            <w:shd w:val="clear" w:color="auto" w:fill="auto"/>
          </w:tcPr>
          <w:p w:rsidR="007B33D2" w:rsidRPr="005057AA" w:rsidRDefault="007B33D2" w:rsidP="007B33D2">
            <w:pPr>
              <w:spacing w:after="0"/>
              <w:rPr>
                <w:sz w:val="18"/>
                <w:szCs w:val="18"/>
              </w:rPr>
            </w:pPr>
          </w:p>
        </w:tc>
        <w:tc>
          <w:tcPr>
            <w:tcW w:w="1638" w:type="dxa"/>
            <w:shd w:val="clear" w:color="auto" w:fill="auto"/>
          </w:tcPr>
          <w:p w:rsidR="007B33D2" w:rsidRPr="005057AA" w:rsidRDefault="007B33D2" w:rsidP="007B33D2">
            <w:pPr>
              <w:spacing w:after="0"/>
              <w:ind w:left="328"/>
              <w:rPr>
                <w:sz w:val="18"/>
                <w:szCs w:val="18"/>
              </w:rPr>
            </w:pPr>
            <w:r w:rsidRPr="005057AA">
              <w:rPr>
                <w:sz w:val="18"/>
                <w:szCs w:val="18"/>
              </w:rPr>
              <w:t>Donor-KOICA:</w:t>
            </w:r>
          </w:p>
        </w:tc>
        <w:tc>
          <w:tcPr>
            <w:tcW w:w="1127" w:type="dxa"/>
            <w:shd w:val="clear" w:color="auto" w:fill="auto"/>
          </w:tcPr>
          <w:p w:rsidR="007B33D2" w:rsidRPr="005057AA" w:rsidRDefault="007B33D2" w:rsidP="007B33D2">
            <w:pPr>
              <w:spacing w:after="0"/>
              <w:jc w:val="right"/>
              <w:rPr>
                <w:sz w:val="18"/>
                <w:szCs w:val="18"/>
              </w:rPr>
            </w:pPr>
            <w:r w:rsidRPr="005057AA">
              <w:rPr>
                <w:sz w:val="18"/>
                <w:szCs w:val="18"/>
              </w:rPr>
              <w:t>$7,</w:t>
            </w:r>
            <w:r>
              <w:rPr>
                <w:sz w:val="18"/>
                <w:szCs w:val="18"/>
              </w:rPr>
              <w:t>425</w:t>
            </w:r>
            <w:r w:rsidRPr="005057AA">
              <w:rPr>
                <w:sz w:val="18"/>
                <w:szCs w:val="18"/>
              </w:rPr>
              <w:t>,</w:t>
            </w:r>
            <w:r>
              <w:rPr>
                <w:sz w:val="18"/>
                <w:szCs w:val="18"/>
              </w:rPr>
              <w:t>743</w:t>
            </w:r>
          </w:p>
        </w:tc>
      </w:tr>
      <w:tr w:rsidR="00733273" w:rsidTr="007B33D2">
        <w:tc>
          <w:tcPr>
            <w:tcW w:w="6827" w:type="dxa"/>
            <w:vMerge/>
            <w:shd w:val="clear" w:color="auto" w:fill="auto"/>
          </w:tcPr>
          <w:p w:rsidR="00733273" w:rsidRPr="005057AA" w:rsidRDefault="00733273" w:rsidP="00733273">
            <w:pPr>
              <w:spacing w:after="0"/>
              <w:rPr>
                <w:sz w:val="18"/>
                <w:szCs w:val="18"/>
              </w:rPr>
            </w:pPr>
          </w:p>
        </w:tc>
        <w:tc>
          <w:tcPr>
            <w:tcW w:w="1638" w:type="dxa"/>
            <w:shd w:val="clear" w:color="auto" w:fill="auto"/>
          </w:tcPr>
          <w:p w:rsidR="00733273" w:rsidRPr="005057AA" w:rsidRDefault="00733273" w:rsidP="00733273">
            <w:pPr>
              <w:spacing w:after="0"/>
              <w:ind w:left="328"/>
              <w:rPr>
                <w:sz w:val="18"/>
                <w:szCs w:val="18"/>
              </w:rPr>
            </w:pPr>
            <w:r w:rsidRPr="005057AA">
              <w:rPr>
                <w:sz w:val="18"/>
                <w:szCs w:val="18"/>
              </w:rPr>
              <w:t>Donor-</w:t>
            </w:r>
            <w:r w:rsidR="007B33D2">
              <w:rPr>
                <w:sz w:val="18"/>
                <w:szCs w:val="18"/>
              </w:rPr>
              <w:t>MFAT</w:t>
            </w:r>
            <w:r w:rsidRPr="005057AA">
              <w:rPr>
                <w:sz w:val="18"/>
                <w:szCs w:val="18"/>
              </w:rPr>
              <w:t>:</w:t>
            </w:r>
          </w:p>
        </w:tc>
        <w:tc>
          <w:tcPr>
            <w:tcW w:w="1127" w:type="dxa"/>
            <w:shd w:val="clear" w:color="auto" w:fill="auto"/>
          </w:tcPr>
          <w:p w:rsidR="00733273" w:rsidRPr="005057AA" w:rsidRDefault="00733273" w:rsidP="00733273">
            <w:pPr>
              <w:spacing w:after="0"/>
              <w:jc w:val="right"/>
              <w:rPr>
                <w:sz w:val="18"/>
                <w:szCs w:val="18"/>
              </w:rPr>
            </w:pPr>
            <w:r w:rsidRPr="005057AA">
              <w:rPr>
                <w:sz w:val="18"/>
                <w:szCs w:val="18"/>
              </w:rPr>
              <w:t>$</w:t>
            </w:r>
            <w:r w:rsidR="007B33D2">
              <w:rPr>
                <w:sz w:val="18"/>
                <w:szCs w:val="18"/>
              </w:rPr>
              <w:t>3,752,000</w:t>
            </w:r>
          </w:p>
        </w:tc>
      </w:tr>
      <w:tr w:rsidR="00733273" w:rsidTr="007B33D2">
        <w:tc>
          <w:tcPr>
            <w:tcW w:w="6827" w:type="dxa"/>
            <w:vMerge/>
            <w:shd w:val="clear" w:color="auto" w:fill="auto"/>
          </w:tcPr>
          <w:p w:rsidR="00733273" w:rsidRPr="005057AA" w:rsidRDefault="00733273" w:rsidP="00733273">
            <w:pPr>
              <w:spacing w:after="0"/>
              <w:rPr>
                <w:sz w:val="18"/>
                <w:szCs w:val="18"/>
              </w:rPr>
            </w:pPr>
          </w:p>
        </w:tc>
        <w:tc>
          <w:tcPr>
            <w:tcW w:w="1638" w:type="dxa"/>
            <w:shd w:val="clear" w:color="auto" w:fill="auto"/>
          </w:tcPr>
          <w:p w:rsidR="00733273" w:rsidRPr="005057AA" w:rsidRDefault="00733273" w:rsidP="00733273">
            <w:pPr>
              <w:spacing w:after="0"/>
              <w:ind w:left="328"/>
              <w:rPr>
                <w:sz w:val="18"/>
                <w:szCs w:val="18"/>
              </w:rPr>
            </w:pPr>
            <w:r w:rsidRPr="005057AA">
              <w:rPr>
                <w:sz w:val="18"/>
                <w:szCs w:val="18"/>
              </w:rPr>
              <w:t>Donor-SIDA:</w:t>
            </w:r>
          </w:p>
        </w:tc>
        <w:tc>
          <w:tcPr>
            <w:tcW w:w="1127" w:type="dxa"/>
            <w:shd w:val="clear" w:color="auto" w:fill="auto"/>
          </w:tcPr>
          <w:p w:rsidR="00733273" w:rsidRPr="005057AA" w:rsidRDefault="00733273" w:rsidP="00733273">
            <w:pPr>
              <w:spacing w:after="0"/>
              <w:jc w:val="right"/>
              <w:rPr>
                <w:sz w:val="18"/>
                <w:szCs w:val="18"/>
              </w:rPr>
            </w:pPr>
            <w:r w:rsidRPr="005057AA">
              <w:rPr>
                <w:sz w:val="18"/>
                <w:szCs w:val="18"/>
              </w:rPr>
              <w:t>$65</w:t>
            </w:r>
            <w:r>
              <w:rPr>
                <w:sz w:val="18"/>
                <w:szCs w:val="18"/>
              </w:rPr>
              <w:t>2,193</w:t>
            </w:r>
          </w:p>
        </w:tc>
      </w:tr>
      <w:tr w:rsidR="00205F43" w:rsidTr="007B33D2">
        <w:tc>
          <w:tcPr>
            <w:tcW w:w="6827" w:type="dxa"/>
            <w:vMerge/>
            <w:shd w:val="clear" w:color="auto" w:fill="auto"/>
          </w:tcPr>
          <w:p w:rsidR="00205F43" w:rsidRPr="005057AA" w:rsidRDefault="00205F43" w:rsidP="00205F43">
            <w:pPr>
              <w:spacing w:after="0"/>
              <w:rPr>
                <w:sz w:val="18"/>
                <w:szCs w:val="18"/>
              </w:rPr>
            </w:pPr>
          </w:p>
        </w:tc>
        <w:tc>
          <w:tcPr>
            <w:tcW w:w="1638" w:type="dxa"/>
            <w:shd w:val="clear" w:color="auto" w:fill="auto"/>
          </w:tcPr>
          <w:p w:rsidR="00205F43" w:rsidRPr="005057AA" w:rsidRDefault="00205F43" w:rsidP="00205F43">
            <w:pPr>
              <w:spacing w:after="0"/>
              <w:rPr>
                <w:sz w:val="18"/>
                <w:szCs w:val="18"/>
              </w:rPr>
            </w:pPr>
            <w:r w:rsidRPr="005057AA">
              <w:rPr>
                <w:sz w:val="18"/>
                <w:szCs w:val="18"/>
              </w:rPr>
              <w:t>Unfunded:</w:t>
            </w:r>
          </w:p>
        </w:tc>
        <w:tc>
          <w:tcPr>
            <w:tcW w:w="1127" w:type="dxa"/>
            <w:shd w:val="clear" w:color="auto" w:fill="auto"/>
          </w:tcPr>
          <w:p w:rsidR="00205F43" w:rsidRPr="005057AA" w:rsidRDefault="00205F43" w:rsidP="00205F43">
            <w:pPr>
              <w:spacing w:after="0"/>
              <w:jc w:val="right"/>
              <w:rPr>
                <w:sz w:val="18"/>
                <w:szCs w:val="18"/>
              </w:rPr>
            </w:pPr>
            <w:r w:rsidRPr="005057AA">
              <w:rPr>
                <w:sz w:val="18"/>
                <w:szCs w:val="18"/>
              </w:rPr>
              <w:t>-</w:t>
            </w:r>
          </w:p>
        </w:tc>
      </w:tr>
    </w:tbl>
    <w:p w:rsidR="001D4473" w:rsidRDefault="001D4473" w:rsidP="001D4473">
      <w:pPr>
        <w:spacing w:after="0"/>
      </w:pPr>
    </w:p>
    <w:p w:rsidR="002F14AB" w:rsidRPr="001D4473" w:rsidRDefault="002F14AB" w:rsidP="00FD0D8A">
      <w:pPr>
        <w:tabs>
          <w:tab w:val="left" w:pos="960"/>
        </w:tabs>
        <w:spacing w:after="0"/>
        <w:rPr>
          <w:sz w:val="20"/>
          <w:szCs w:val="20"/>
        </w:rPr>
      </w:pPr>
      <w:r w:rsidRPr="001D4473">
        <w:rPr>
          <w:sz w:val="20"/>
          <w:szCs w:val="20"/>
        </w:rPr>
        <w:t>Agreed by (signatures):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4"/>
      </w:tblGrid>
      <w:tr w:rsidR="00FD0D8A" w:rsidRPr="001D4473" w:rsidTr="00FD0D8A">
        <w:tc>
          <w:tcPr>
            <w:tcW w:w="3194" w:type="dxa"/>
            <w:shd w:val="clear" w:color="auto" w:fill="auto"/>
          </w:tcPr>
          <w:p w:rsidR="00FD0D8A" w:rsidRPr="008A59C5" w:rsidRDefault="00FD0D8A" w:rsidP="001D4473">
            <w:pPr>
              <w:spacing w:after="0"/>
              <w:jc w:val="center"/>
              <w:rPr>
                <w:b/>
                <w:sz w:val="20"/>
                <w:szCs w:val="20"/>
              </w:rPr>
            </w:pPr>
            <w:r w:rsidRPr="008A59C5">
              <w:rPr>
                <w:b/>
                <w:sz w:val="20"/>
                <w:szCs w:val="20"/>
              </w:rPr>
              <w:t>UNDP</w:t>
            </w:r>
          </w:p>
        </w:tc>
      </w:tr>
      <w:tr w:rsidR="00FD0D8A" w:rsidRPr="001D4473" w:rsidTr="00FD0D8A">
        <w:trPr>
          <w:trHeight w:val="973"/>
        </w:trPr>
        <w:tc>
          <w:tcPr>
            <w:tcW w:w="3194" w:type="dxa"/>
            <w:shd w:val="clear" w:color="auto" w:fill="auto"/>
          </w:tcPr>
          <w:p w:rsidR="00FD0D8A" w:rsidRPr="008A59C5" w:rsidRDefault="00FD0D8A" w:rsidP="001D4473">
            <w:pPr>
              <w:spacing w:after="0"/>
              <w:rPr>
                <w:sz w:val="18"/>
                <w:szCs w:val="20"/>
              </w:rPr>
            </w:pPr>
          </w:p>
          <w:p w:rsidR="00FD0D8A" w:rsidRPr="008A59C5" w:rsidRDefault="00FD0D8A" w:rsidP="001D4473">
            <w:pPr>
              <w:spacing w:after="0"/>
              <w:rPr>
                <w:sz w:val="18"/>
                <w:szCs w:val="20"/>
              </w:rPr>
            </w:pPr>
          </w:p>
          <w:p w:rsidR="00FD0D8A" w:rsidRDefault="00FD0D8A" w:rsidP="001D4473">
            <w:pPr>
              <w:spacing w:after="0"/>
              <w:rPr>
                <w:sz w:val="18"/>
                <w:szCs w:val="20"/>
              </w:rPr>
            </w:pPr>
          </w:p>
          <w:p w:rsidR="00FD0D8A" w:rsidRDefault="00FD0D8A" w:rsidP="001D4473">
            <w:pPr>
              <w:spacing w:after="0"/>
              <w:rPr>
                <w:sz w:val="18"/>
                <w:szCs w:val="20"/>
              </w:rPr>
            </w:pPr>
          </w:p>
          <w:p w:rsidR="00FD0D8A" w:rsidRDefault="00FD0D8A" w:rsidP="001D4473">
            <w:pPr>
              <w:spacing w:after="0"/>
              <w:rPr>
                <w:sz w:val="18"/>
                <w:szCs w:val="20"/>
              </w:rPr>
            </w:pPr>
            <w:r w:rsidRPr="008A59C5">
              <w:rPr>
                <w:sz w:val="18"/>
                <w:szCs w:val="20"/>
              </w:rPr>
              <w:t>Print Name:</w:t>
            </w:r>
          </w:p>
          <w:p w:rsidR="00CD50C8" w:rsidRPr="008A59C5" w:rsidRDefault="00CD50C8" w:rsidP="001D4473">
            <w:pPr>
              <w:spacing w:after="0"/>
              <w:rPr>
                <w:sz w:val="18"/>
                <w:szCs w:val="20"/>
              </w:rPr>
            </w:pPr>
          </w:p>
        </w:tc>
      </w:tr>
      <w:tr w:rsidR="00FD0D8A" w:rsidRPr="001D4473" w:rsidTr="00FD0D8A">
        <w:tc>
          <w:tcPr>
            <w:tcW w:w="3194" w:type="dxa"/>
            <w:shd w:val="clear" w:color="auto" w:fill="auto"/>
          </w:tcPr>
          <w:p w:rsidR="00FD0D8A" w:rsidRDefault="00FD0D8A" w:rsidP="001D4473">
            <w:pPr>
              <w:spacing w:after="0"/>
              <w:rPr>
                <w:sz w:val="18"/>
                <w:szCs w:val="20"/>
              </w:rPr>
            </w:pPr>
            <w:r w:rsidRPr="008A59C5">
              <w:rPr>
                <w:sz w:val="18"/>
                <w:szCs w:val="20"/>
              </w:rPr>
              <w:t>Date:</w:t>
            </w:r>
          </w:p>
          <w:p w:rsidR="00CD50C8" w:rsidRPr="008A59C5" w:rsidRDefault="00CD50C8" w:rsidP="001D4473">
            <w:pPr>
              <w:spacing w:after="0"/>
              <w:rPr>
                <w:sz w:val="18"/>
                <w:szCs w:val="20"/>
              </w:rPr>
            </w:pPr>
          </w:p>
        </w:tc>
      </w:tr>
      <w:bookmarkEnd w:id="0"/>
    </w:tbl>
    <w:p w:rsidR="008A59C5" w:rsidRDefault="008A59C5" w:rsidP="001D4473">
      <w:pPr>
        <w:spacing w:after="0"/>
      </w:pPr>
    </w:p>
    <w:p w:rsidR="00454E28" w:rsidRDefault="00241855" w:rsidP="00454E28">
      <w:pPr>
        <w:spacing w:after="0"/>
        <w:jc w:val="right"/>
      </w:pPr>
      <w:r>
        <w:rPr>
          <w:sz w:val="16"/>
          <w:u w:val="single"/>
        </w:rPr>
        <w:t>v5</w:t>
      </w:r>
      <w:r w:rsidR="00454E28" w:rsidRPr="00454E28">
        <w:rPr>
          <w:sz w:val="16"/>
        </w:rPr>
        <w:t xml:space="preserve">: </w:t>
      </w:r>
      <w:r w:rsidR="007B33D2">
        <w:rPr>
          <w:sz w:val="16"/>
        </w:rPr>
        <w:t>2</w:t>
      </w:r>
      <w:r w:rsidR="005D3F0B">
        <w:rPr>
          <w:sz w:val="16"/>
        </w:rPr>
        <w:t>7</w:t>
      </w:r>
      <w:r w:rsidR="00454E28" w:rsidRPr="00454E28">
        <w:rPr>
          <w:sz w:val="16"/>
        </w:rPr>
        <w:t xml:space="preserve"> </w:t>
      </w:r>
      <w:r w:rsidR="008D4CF7">
        <w:rPr>
          <w:sz w:val="16"/>
        </w:rPr>
        <w:t>Nov</w:t>
      </w:r>
      <w:r w:rsidR="00454E28" w:rsidRPr="00454E28">
        <w:rPr>
          <w:sz w:val="16"/>
        </w:rPr>
        <w:t xml:space="preserve"> 2019</w:t>
      </w:r>
    </w:p>
    <w:p w:rsidR="00174DFE" w:rsidRPr="00135431" w:rsidRDefault="00174DFE" w:rsidP="001D4473">
      <w:pPr>
        <w:spacing w:after="0"/>
      </w:pPr>
    </w:p>
    <w:p w:rsidR="00807B7B" w:rsidRDefault="00807B7B" w:rsidP="00521E34">
      <w:pPr>
        <w:pStyle w:val="TOCHeading"/>
        <w:jc w:val="left"/>
      </w:pPr>
      <w:bookmarkStart w:id="2" w:name="_Hlk22762897"/>
      <w:r w:rsidRPr="00135431">
        <w:t>Table of Contents</w:t>
      </w:r>
    </w:p>
    <w:p w:rsidR="00A242DE" w:rsidRDefault="00BB5675">
      <w:pPr>
        <w:pStyle w:val="TOC1"/>
        <w:rPr>
          <w:rFonts w:eastAsiaTheme="minorEastAsia" w:cstheme="minorBidi"/>
          <w:b w:val="0"/>
          <w:bCs w:val="0"/>
          <w:caps w:val="0"/>
          <w:noProof/>
          <w:sz w:val="22"/>
          <w:szCs w:val="22"/>
        </w:rPr>
      </w:pPr>
      <w:r>
        <w:fldChar w:fldCharType="begin"/>
      </w:r>
      <w:r>
        <w:instrText xml:space="preserve"> TOC \o "1-2" \h \z \u </w:instrText>
      </w:r>
      <w:r>
        <w:fldChar w:fldCharType="separate"/>
      </w:r>
      <w:hyperlink w:anchor="_Toc25740061" w:history="1">
        <w:r w:rsidR="00A242DE" w:rsidRPr="00D72E90">
          <w:rPr>
            <w:rStyle w:val="Hyperlink"/>
            <w:noProof/>
          </w:rPr>
          <w:t>List of acronyms</w:t>
        </w:r>
        <w:r w:rsidR="00A242DE">
          <w:rPr>
            <w:noProof/>
            <w:webHidden/>
          </w:rPr>
          <w:tab/>
        </w:r>
        <w:r w:rsidR="00A242DE">
          <w:rPr>
            <w:noProof/>
            <w:webHidden/>
          </w:rPr>
          <w:fldChar w:fldCharType="begin"/>
        </w:r>
        <w:r w:rsidR="00A242DE">
          <w:rPr>
            <w:noProof/>
            <w:webHidden/>
          </w:rPr>
          <w:instrText xml:space="preserve"> PAGEREF _Toc25740061 \h </w:instrText>
        </w:r>
        <w:r w:rsidR="00A242DE">
          <w:rPr>
            <w:noProof/>
            <w:webHidden/>
          </w:rPr>
        </w:r>
        <w:r w:rsidR="00A242DE">
          <w:rPr>
            <w:noProof/>
            <w:webHidden/>
          </w:rPr>
          <w:fldChar w:fldCharType="separate"/>
        </w:r>
        <w:r w:rsidR="004F5751">
          <w:rPr>
            <w:noProof/>
            <w:webHidden/>
          </w:rPr>
          <w:t>3</w:t>
        </w:r>
        <w:r w:rsidR="00A242DE">
          <w:rPr>
            <w:noProof/>
            <w:webHidden/>
          </w:rPr>
          <w:fldChar w:fldCharType="end"/>
        </w:r>
      </w:hyperlink>
    </w:p>
    <w:p w:rsidR="00A242DE" w:rsidRDefault="00292FFB">
      <w:pPr>
        <w:pStyle w:val="TOC1"/>
        <w:rPr>
          <w:rFonts w:eastAsiaTheme="minorEastAsia" w:cstheme="minorBidi"/>
          <w:b w:val="0"/>
          <w:bCs w:val="0"/>
          <w:caps w:val="0"/>
          <w:noProof/>
          <w:sz w:val="22"/>
          <w:szCs w:val="22"/>
        </w:rPr>
      </w:pPr>
      <w:hyperlink w:anchor="_Toc25740062" w:history="1">
        <w:r w:rsidR="00A242DE" w:rsidRPr="00D72E90">
          <w:rPr>
            <w:rStyle w:val="Hyperlink"/>
            <w:noProof/>
          </w:rPr>
          <w:t>1.</w:t>
        </w:r>
        <w:r w:rsidR="00A242DE">
          <w:rPr>
            <w:rFonts w:eastAsiaTheme="minorEastAsia" w:cstheme="minorBidi"/>
            <w:b w:val="0"/>
            <w:bCs w:val="0"/>
            <w:caps w:val="0"/>
            <w:noProof/>
            <w:sz w:val="22"/>
            <w:szCs w:val="22"/>
          </w:rPr>
          <w:tab/>
        </w:r>
        <w:r w:rsidR="00A242DE" w:rsidRPr="00D72E90">
          <w:rPr>
            <w:rStyle w:val="Hyperlink"/>
            <w:noProof/>
          </w:rPr>
          <w:t>Development Challenge</w:t>
        </w:r>
        <w:r w:rsidR="00A242DE">
          <w:rPr>
            <w:noProof/>
            <w:webHidden/>
          </w:rPr>
          <w:tab/>
        </w:r>
        <w:r w:rsidR="00A242DE">
          <w:rPr>
            <w:noProof/>
            <w:webHidden/>
          </w:rPr>
          <w:fldChar w:fldCharType="begin"/>
        </w:r>
        <w:r w:rsidR="00A242DE">
          <w:rPr>
            <w:noProof/>
            <w:webHidden/>
          </w:rPr>
          <w:instrText xml:space="preserve"> PAGEREF _Toc25740062 \h </w:instrText>
        </w:r>
        <w:r w:rsidR="00A242DE">
          <w:rPr>
            <w:noProof/>
            <w:webHidden/>
          </w:rPr>
        </w:r>
        <w:r w:rsidR="00A242DE">
          <w:rPr>
            <w:noProof/>
            <w:webHidden/>
          </w:rPr>
          <w:fldChar w:fldCharType="separate"/>
        </w:r>
        <w:r w:rsidR="004F5751">
          <w:rPr>
            <w:noProof/>
            <w:webHidden/>
          </w:rPr>
          <w:t>4</w:t>
        </w:r>
        <w:r w:rsidR="00A242DE">
          <w:rPr>
            <w:noProof/>
            <w:webHidden/>
          </w:rPr>
          <w:fldChar w:fldCharType="end"/>
        </w:r>
      </w:hyperlink>
    </w:p>
    <w:p w:rsidR="00A242DE" w:rsidRDefault="00292FFB">
      <w:pPr>
        <w:pStyle w:val="TOC1"/>
        <w:rPr>
          <w:rFonts w:eastAsiaTheme="minorEastAsia" w:cstheme="minorBidi"/>
          <w:b w:val="0"/>
          <w:bCs w:val="0"/>
          <w:caps w:val="0"/>
          <w:noProof/>
          <w:sz w:val="22"/>
          <w:szCs w:val="22"/>
        </w:rPr>
      </w:pPr>
      <w:hyperlink w:anchor="_Toc25740063" w:history="1">
        <w:r w:rsidR="00A242DE" w:rsidRPr="00D72E90">
          <w:rPr>
            <w:rStyle w:val="Hyperlink"/>
            <w:noProof/>
          </w:rPr>
          <w:t>2.</w:t>
        </w:r>
        <w:r w:rsidR="00A242DE">
          <w:rPr>
            <w:rFonts w:eastAsiaTheme="minorEastAsia" w:cstheme="minorBidi"/>
            <w:b w:val="0"/>
            <w:bCs w:val="0"/>
            <w:caps w:val="0"/>
            <w:noProof/>
            <w:sz w:val="22"/>
            <w:szCs w:val="22"/>
          </w:rPr>
          <w:tab/>
        </w:r>
        <w:r w:rsidR="00A242DE" w:rsidRPr="00D72E90">
          <w:rPr>
            <w:rStyle w:val="Hyperlink"/>
            <w:noProof/>
          </w:rPr>
          <w:t>Strategy</w:t>
        </w:r>
        <w:r w:rsidR="00A242DE">
          <w:rPr>
            <w:noProof/>
            <w:webHidden/>
          </w:rPr>
          <w:tab/>
        </w:r>
        <w:r w:rsidR="00A242DE">
          <w:rPr>
            <w:noProof/>
            <w:webHidden/>
          </w:rPr>
          <w:fldChar w:fldCharType="begin"/>
        </w:r>
        <w:r w:rsidR="00A242DE">
          <w:rPr>
            <w:noProof/>
            <w:webHidden/>
          </w:rPr>
          <w:instrText xml:space="preserve"> PAGEREF _Toc25740063 \h </w:instrText>
        </w:r>
        <w:r w:rsidR="00A242DE">
          <w:rPr>
            <w:noProof/>
            <w:webHidden/>
          </w:rPr>
        </w:r>
        <w:r w:rsidR="00A242DE">
          <w:rPr>
            <w:noProof/>
            <w:webHidden/>
          </w:rPr>
          <w:fldChar w:fldCharType="separate"/>
        </w:r>
        <w:r w:rsidR="004F5751">
          <w:rPr>
            <w:noProof/>
            <w:webHidden/>
          </w:rPr>
          <w:t>6</w:t>
        </w:r>
        <w:r w:rsidR="00A242DE">
          <w:rPr>
            <w:noProof/>
            <w:webHidden/>
          </w:rPr>
          <w:fldChar w:fldCharType="end"/>
        </w:r>
      </w:hyperlink>
    </w:p>
    <w:p w:rsidR="00A242DE" w:rsidRDefault="00292FFB">
      <w:pPr>
        <w:pStyle w:val="TOC2"/>
        <w:rPr>
          <w:rFonts w:eastAsiaTheme="minorEastAsia" w:cstheme="minorBidi"/>
          <w:smallCaps w:val="0"/>
          <w:noProof/>
          <w:sz w:val="22"/>
          <w:szCs w:val="22"/>
        </w:rPr>
      </w:pPr>
      <w:hyperlink w:anchor="_Toc25740064" w:history="1">
        <w:r w:rsidR="00A242DE" w:rsidRPr="00D72E90">
          <w:rPr>
            <w:rStyle w:val="Hyperlink"/>
            <w:noProof/>
          </w:rPr>
          <w:t>Theory of change</w:t>
        </w:r>
        <w:r w:rsidR="00A242DE">
          <w:rPr>
            <w:noProof/>
            <w:webHidden/>
          </w:rPr>
          <w:tab/>
        </w:r>
        <w:r w:rsidR="00A242DE">
          <w:rPr>
            <w:noProof/>
            <w:webHidden/>
          </w:rPr>
          <w:fldChar w:fldCharType="begin"/>
        </w:r>
        <w:r w:rsidR="00A242DE">
          <w:rPr>
            <w:noProof/>
            <w:webHidden/>
          </w:rPr>
          <w:instrText xml:space="preserve"> PAGEREF _Toc25740064 \h </w:instrText>
        </w:r>
        <w:r w:rsidR="00A242DE">
          <w:rPr>
            <w:noProof/>
            <w:webHidden/>
          </w:rPr>
        </w:r>
        <w:r w:rsidR="00A242DE">
          <w:rPr>
            <w:noProof/>
            <w:webHidden/>
          </w:rPr>
          <w:fldChar w:fldCharType="separate"/>
        </w:r>
        <w:r w:rsidR="004F5751">
          <w:rPr>
            <w:noProof/>
            <w:webHidden/>
          </w:rPr>
          <w:t>6</w:t>
        </w:r>
        <w:r w:rsidR="00A242DE">
          <w:rPr>
            <w:noProof/>
            <w:webHidden/>
          </w:rPr>
          <w:fldChar w:fldCharType="end"/>
        </w:r>
      </w:hyperlink>
    </w:p>
    <w:p w:rsidR="00A242DE" w:rsidRDefault="00292FFB">
      <w:pPr>
        <w:pStyle w:val="TOC2"/>
        <w:rPr>
          <w:rFonts w:eastAsiaTheme="minorEastAsia" w:cstheme="minorBidi"/>
          <w:smallCaps w:val="0"/>
          <w:noProof/>
          <w:sz w:val="22"/>
          <w:szCs w:val="22"/>
        </w:rPr>
      </w:pPr>
      <w:hyperlink w:anchor="_Toc25740065" w:history="1">
        <w:r w:rsidR="00A242DE" w:rsidRPr="00D72E90">
          <w:rPr>
            <w:rStyle w:val="Hyperlink"/>
            <w:noProof/>
          </w:rPr>
          <w:t>Approach</w:t>
        </w:r>
        <w:r w:rsidR="00A242DE">
          <w:rPr>
            <w:noProof/>
            <w:webHidden/>
          </w:rPr>
          <w:tab/>
        </w:r>
        <w:r w:rsidR="00A242DE">
          <w:rPr>
            <w:noProof/>
            <w:webHidden/>
          </w:rPr>
          <w:fldChar w:fldCharType="begin"/>
        </w:r>
        <w:r w:rsidR="00A242DE">
          <w:rPr>
            <w:noProof/>
            <w:webHidden/>
          </w:rPr>
          <w:instrText xml:space="preserve"> PAGEREF _Toc25740065 \h </w:instrText>
        </w:r>
        <w:r w:rsidR="00A242DE">
          <w:rPr>
            <w:noProof/>
            <w:webHidden/>
          </w:rPr>
        </w:r>
        <w:r w:rsidR="00A242DE">
          <w:rPr>
            <w:noProof/>
            <w:webHidden/>
          </w:rPr>
          <w:fldChar w:fldCharType="separate"/>
        </w:r>
        <w:r w:rsidR="004F5751">
          <w:rPr>
            <w:noProof/>
            <w:webHidden/>
          </w:rPr>
          <w:t>7</w:t>
        </w:r>
        <w:r w:rsidR="00A242DE">
          <w:rPr>
            <w:noProof/>
            <w:webHidden/>
          </w:rPr>
          <w:fldChar w:fldCharType="end"/>
        </w:r>
      </w:hyperlink>
    </w:p>
    <w:p w:rsidR="00A242DE" w:rsidRDefault="00292FFB">
      <w:pPr>
        <w:pStyle w:val="TOC2"/>
        <w:rPr>
          <w:rFonts w:eastAsiaTheme="minorEastAsia" w:cstheme="minorBidi"/>
          <w:smallCaps w:val="0"/>
          <w:noProof/>
          <w:sz w:val="22"/>
          <w:szCs w:val="22"/>
        </w:rPr>
      </w:pPr>
      <w:hyperlink w:anchor="_Toc25740066" w:history="1">
        <w:r w:rsidR="00A242DE" w:rsidRPr="00D72E90">
          <w:rPr>
            <w:rStyle w:val="Hyperlink"/>
            <w:noProof/>
          </w:rPr>
          <w:t>Intervention Logic</w:t>
        </w:r>
        <w:r w:rsidR="00A242DE">
          <w:rPr>
            <w:noProof/>
            <w:webHidden/>
          </w:rPr>
          <w:tab/>
        </w:r>
        <w:r w:rsidR="00A242DE">
          <w:rPr>
            <w:noProof/>
            <w:webHidden/>
          </w:rPr>
          <w:fldChar w:fldCharType="begin"/>
        </w:r>
        <w:r w:rsidR="00A242DE">
          <w:rPr>
            <w:noProof/>
            <w:webHidden/>
          </w:rPr>
          <w:instrText xml:space="preserve"> PAGEREF _Toc25740066 \h </w:instrText>
        </w:r>
        <w:r w:rsidR="00A242DE">
          <w:rPr>
            <w:noProof/>
            <w:webHidden/>
          </w:rPr>
        </w:r>
        <w:r w:rsidR="00A242DE">
          <w:rPr>
            <w:noProof/>
            <w:webHidden/>
          </w:rPr>
          <w:fldChar w:fldCharType="separate"/>
        </w:r>
        <w:r w:rsidR="004F5751">
          <w:rPr>
            <w:noProof/>
            <w:webHidden/>
          </w:rPr>
          <w:t>8</w:t>
        </w:r>
        <w:r w:rsidR="00A242DE">
          <w:rPr>
            <w:noProof/>
            <w:webHidden/>
          </w:rPr>
          <w:fldChar w:fldCharType="end"/>
        </w:r>
      </w:hyperlink>
    </w:p>
    <w:p w:rsidR="00A242DE" w:rsidRDefault="00292FFB">
      <w:pPr>
        <w:pStyle w:val="TOC2"/>
        <w:rPr>
          <w:rFonts w:eastAsiaTheme="minorEastAsia" w:cstheme="minorBidi"/>
          <w:smallCaps w:val="0"/>
          <w:noProof/>
          <w:sz w:val="22"/>
          <w:szCs w:val="22"/>
        </w:rPr>
      </w:pPr>
      <w:hyperlink w:anchor="_Toc25740067" w:history="1">
        <w:r w:rsidR="00A242DE" w:rsidRPr="00D72E90">
          <w:rPr>
            <w:rStyle w:val="Hyperlink"/>
            <w:noProof/>
          </w:rPr>
          <w:t>Gender and Social Inclusion</w:t>
        </w:r>
        <w:r w:rsidR="00A242DE">
          <w:rPr>
            <w:noProof/>
            <w:webHidden/>
          </w:rPr>
          <w:tab/>
        </w:r>
        <w:r w:rsidR="00A242DE">
          <w:rPr>
            <w:noProof/>
            <w:webHidden/>
          </w:rPr>
          <w:fldChar w:fldCharType="begin"/>
        </w:r>
        <w:r w:rsidR="00A242DE">
          <w:rPr>
            <w:noProof/>
            <w:webHidden/>
          </w:rPr>
          <w:instrText xml:space="preserve"> PAGEREF _Toc25740067 \h </w:instrText>
        </w:r>
        <w:r w:rsidR="00A242DE">
          <w:rPr>
            <w:noProof/>
            <w:webHidden/>
          </w:rPr>
        </w:r>
        <w:r w:rsidR="00A242DE">
          <w:rPr>
            <w:noProof/>
            <w:webHidden/>
          </w:rPr>
          <w:fldChar w:fldCharType="separate"/>
        </w:r>
        <w:r w:rsidR="004F5751">
          <w:rPr>
            <w:noProof/>
            <w:webHidden/>
          </w:rPr>
          <w:t>9</w:t>
        </w:r>
        <w:r w:rsidR="00A242DE">
          <w:rPr>
            <w:noProof/>
            <w:webHidden/>
          </w:rPr>
          <w:fldChar w:fldCharType="end"/>
        </w:r>
      </w:hyperlink>
    </w:p>
    <w:p w:rsidR="00A242DE" w:rsidRDefault="00292FFB">
      <w:pPr>
        <w:pStyle w:val="TOC2"/>
        <w:rPr>
          <w:rFonts w:eastAsiaTheme="minorEastAsia" w:cstheme="minorBidi"/>
          <w:smallCaps w:val="0"/>
          <w:noProof/>
          <w:sz w:val="22"/>
          <w:szCs w:val="22"/>
        </w:rPr>
      </w:pPr>
      <w:hyperlink w:anchor="_Toc25740068" w:history="1">
        <w:r w:rsidR="00A242DE" w:rsidRPr="00D72E90">
          <w:rPr>
            <w:rStyle w:val="Hyperlink"/>
            <w:noProof/>
          </w:rPr>
          <w:t>Country and Entry Point Selection CRITERIA</w:t>
        </w:r>
        <w:r w:rsidR="00A242DE">
          <w:rPr>
            <w:noProof/>
            <w:webHidden/>
          </w:rPr>
          <w:tab/>
        </w:r>
        <w:r w:rsidR="00A242DE">
          <w:rPr>
            <w:noProof/>
            <w:webHidden/>
          </w:rPr>
          <w:fldChar w:fldCharType="begin"/>
        </w:r>
        <w:r w:rsidR="00A242DE">
          <w:rPr>
            <w:noProof/>
            <w:webHidden/>
          </w:rPr>
          <w:instrText xml:space="preserve"> PAGEREF _Toc25740068 \h </w:instrText>
        </w:r>
        <w:r w:rsidR="00A242DE">
          <w:rPr>
            <w:noProof/>
            <w:webHidden/>
          </w:rPr>
        </w:r>
        <w:r w:rsidR="00A242DE">
          <w:rPr>
            <w:noProof/>
            <w:webHidden/>
          </w:rPr>
          <w:fldChar w:fldCharType="separate"/>
        </w:r>
        <w:r w:rsidR="004F5751">
          <w:rPr>
            <w:noProof/>
            <w:webHidden/>
          </w:rPr>
          <w:t>10</w:t>
        </w:r>
        <w:r w:rsidR="00A242DE">
          <w:rPr>
            <w:noProof/>
            <w:webHidden/>
          </w:rPr>
          <w:fldChar w:fldCharType="end"/>
        </w:r>
      </w:hyperlink>
    </w:p>
    <w:p w:rsidR="00A242DE" w:rsidRDefault="00292FFB">
      <w:pPr>
        <w:pStyle w:val="TOC1"/>
        <w:rPr>
          <w:rFonts w:eastAsiaTheme="minorEastAsia" w:cstheme="minorBidi"/>
          <w:b w:val="0"/>
          <w:bCs w:val="0"/>
          <w:caps w:val="0"/>
          <w:noProof/>
          <w:sz w:val="22"/>
          <w:szCs w:val="22"/>
        </w:rPr>
      </w:pPr>
      <w:hyperlink w:anchor="_Toc25740069" w:history="1">
        <w:r w:rsidR="00A242DE" w:rsidRPr="00D72E90">
          <w:rPr>
            <w:rStyle w:val="Hyperlink"/>
            <w:noProof/>
          </w:rPr>
          <w:t>3.</w:t>
        </w:r>
        <w:r w:rsidR="00A242DE">
          <w:rPr>
            <w:rFonts w:eastAsiaTheme="minorEastAsia" w:cstheme="minorBidi"/>
            <w:b w:val="0"/>
            <w:bCs w:val="0"/>
            <w:caps w:val="0"/>
            <w:noProof/>
            <w:sz w:val="22"/>
            <w:szCs w:val="22"/>
          </w:rPr>
          <w:tab/>
        </w:r>
        <w:r w:rsidR="00A242DE" w:rsidRPr="00D72E90">
          <w:rPr>
            <w:rStyle w:val="Hyperlink"/>
            <w:noProof/>
          </w:rPr>
          <w:t>Results and Partnerships</w:t>
        </w:r>
        <w:r w:rsidR="00A242DE">
          <w:rPr>
            <w:noProof/>
            <w:webHidden/>
          </w:rPr>
          <w:tab/>
        </w:r>
        <w:r w:rsidR="00A242DE">
          <w:rPr>
            <w:noProof/>
            <w:webHidden/>
          </w:rPr>
          <w:fldChar w:fldCharType="begin"/>
        </w:r>
        <w:r w:rsidR="00A242DE">
          <w:rPr>
            <w:noProof/>
            <w:webHidden/>
          </w:rPr>
          <w:instrText xml:space="preserve"> PAGEREF _Toc25740069 \h </w:instrText>
        </w:r>
        <w:r w:rsidR="00A242DE">
          <w:rPr>
            <w:noProof/>
            <w:webHidden/>
          </w:rPr>
        </w:r>
        <w:r w:rsidR="00A242DE">
          <w:rPr>
            <w:noProof/>
            <w:webHidden/>
          </w:rPr>
          <w:fldChar w:fldCharType="separate"/>
        </w:r>
        <w:r w:rsidR="004F5751">
          <w:rPr>
            <w:noProof/>
            <w:webHidden/>
          </w:rPr>
          <w:t>11</w:t>
        </w:r>
        <w:r w:rsidR="00A242DE">
          <w:rPr>
            <w:noProof/>
            <w:webHidden/>
          </w:rPr>
          <w:fldChar w:fldCharType="end"/>
        </w:r>
      </w:hyperlink>
    </w:p>
    <w:p w:rsidR="00A242DE" w:rsidRDefault="00292FFB">
      <w:pPr>
        <w:pStyle w:val="TOC2"/>
        <w:rPr>
          <w:rFonts w:eastAsiaTheme="minorEastAsia" w:cstheme="minorBidi"/>
          <w:smallCaps w:val="0"/>
          <w:noProof/>
          <w:sz w:val="22"/>
          <w:szCs w:val="22"/>
        </w:rPr>
      </w:pPr>
      <w:hyperlink w:anchor="_Toc25740070" w:history="1">
        <w:r w:rsidR="00A242DE" w:rsidRPr="00D72E90">
          <w:rPr>
            <w:rStyle w:val="Hyperlink"/>
            <w:noProof/>
          </w:rPr>
          <w:t>Expected Results</w:t>
        </w:r>
        <w:r w:rsidR="00A242DE">
          <w:rPr>
            <w:noProof/>
            <w:webHidden/>
          </w:rPr>
          <w:tab/>
        </w:r>
        <w:r w:rsidR="00A242DE">
          <w:rPr>
            <w:noProof/>
            <w:webHidden/>
          </w:rPr>
          <w:fldChar w:fldCharType="begin"/>
        </w:r>
        <w:r w:rsidR="00A242DE">
          <w:rPr>
            <w:noProof/>
            <w:webHidden/>
          </w:rPr>
          <w:instrText xml:space="preserve"> PAGEREF _Toc25740070 \h </w:instrText>
        </w:r>
        <w:r w:rsidR="00A242DE">
          <w:rPr>
            <w:noProof/>
            <w:webHidden/>
          </w:rPr>
        </w:r>
        <w:r w:rsidR="00A242DE">
          <w:rPr>
            <w:noProof/>
            <w:webHidden/>
          </w:rPr>
          <w:fldChar w:fldCharType="separate"/>
        </w:r>
        <w:r w:rsidR="004F5751">
          <w:rPr>
            <w:noProof/>
            <w:webHidden/>
          </w:rPr>
          <w:t>11</w:t>
        </w:r>
        <w:r w:rsidR="00A242DE">
          <w:rPr>
            <w:noProof/>
            <w:webHidden/>
          </w:rPr>
          <w:fldChar w:fldCharType="end"/>
        </w:r>
      </w:hyperlink>
    </w:p>
    <w:p w:rsidR="00A242DE" w:rsidRDefault="00292FFB">
      <w:pPr>
        <w:pStyle w:val="TOC2"/>
        <w:rPr>
          <w:rFonts w:eastAsiaTheme="minorEastAsia" w:cstheme="minorBidi"/>
          <w:smallCaps w:val="0"/>
          <w:noProof/>
          <w:sz w:val="22"/>
          <w:szCs w:val="22"/>
        </w:rPr>
      </w:pPr>
      <w:hyperlink w:anchor="_Toc25740071" w:history="1">
        <w:r w:rsidR="00A242DE" w:rsidRPr="00D72E90">
          <w:rPr>
            <w:rStyle w:val="Hyperlink"/>
            <w:noProof/>
          </w:rPr>
          <w:t>Partnerships</w:t>
        </w:r>
        <w:r w:rsidR="00A242DE">
          <w:rPr>
            <w:noProof/>
            <w:webHidden/>
          </w:rPr>
          <w:tab/>
        </w:r>
        <w:r w:rsidR="00A242DE">
          <w:rPr>
            <w:noProof/>
            <w:webHidden/>
          </w:rPr>
          <w:fldChar w:fldCharType="begin"/>
        </w:r>
        <w:r w:rsidR="00A242DE">
          <w:rPr>
            <w:noProof/>
            <w:webHidden/>
          </w:rPr>
          <w:instrText xml:space="preserve"> PAGEREF _Toc25740071 \h </w:instrText>
        </w:r>
        <w:r w:rsidR="00A242DE">
          <w:rPr>
            <w:noProof/>
            <w:webHidden/>
          </w:rPr>
        </w:r>
        <w:r w:rsidR="00A242DE">
          <w:rPr>
            <w:noProof/>
            <w:webHidden/>
          </w:rPr>
          <w:fldChar w:fldCharType="separate"/>
        </w:r>
        <w:r w:rsidR="004F5751">
          <w:rPr>
            <w:noProof/>
            <w:webHidden/>
          </w:rPr>
          <w:t>15</w:t>
        </w:r>
        <w:r w:rsidR="00A242DE">
          <w:rPr>
            <w:noProof/>
            <w:webHidden/>
          </w:rPr>
          <w:fldChar w:fldCharType="end"/>
        </w:r>
      </w:hyperlink>
    </w:p>
    <w:p w:rsidR="00A242DE" w:rsidRDefault="00292FFB">
      <w:pPr>
        <w:pStyle w:val="TOC2"/>
        <w:rPr>
          <w:rFonts w:eastAsiaTheme="minorEastAsia" w:cstheme="minorBidi"/>
          <w:smallCaps w:val="0"/>
          <w:noProof/>
          <w:sz w:val="22"/>
          <w:szCs w:val="22"/>
        </w:rPr>
      </w:pPr>
      <w:hyperlink w:anchor="_Toc25740072" w:history="1">
        <w:r w:rsidR="00A242DE" w:rsidRPr="00D72E90">
          <w:rPr>
            <w:rStyle w:val="Hyperlink"/>
            <w:noProof/>
          </w:rPr>
          <w:t>Sustainability and Scale</w:t>
        </w:r>
        <w:r w:rsidR="00A242DE">
          <w:rPr>
            <w:noProof/>
            <w:webHidden/>
          </w:rPr>
          <w:tab/>
        </w:r>
        <w:r w:rsidR="00A242DE">
          <w:rPr>
            <w:noProof/>
            <w:webHidden/>
          </w:rPr>
          <w:fldChar w:fldCharType="begin"/>
        </w:r>
        <w:r w:rsidR="00A242DE">
          <w:rPr>
            <w:noProof/>
            <w:webHidden/>
          </w:rPr>
          <w:instrText xml:space="preserve"> PAGEREF _Toc25740072 \h </w:instrText>
        </w:r>
        <w:r w:rsidR="00A242DE">
          <w:rPr>
            <w:noProof/>
            <w:webHidden/>
          </w:rPr>
        </w:r>
        <w:r w:rsidR="00A242DE">
          <w:rPr>
            <w:noProof/>
            <w:webHidden/>
          </w:rPr>
          <w:fldChar w:fldCharType="separate"/>
        </w:r>
        <w:r w:rsidR="004F5751">
          <w:rPr>
            <w:noProof/>
            <w:webHidden/>
          </w:rPr>
          <w:t>18</w:t>
        </w:r>
        <w:r w:rsidR="00A242DE">
          <w:rPr>
            <w:noProof/>
            <w:webHidden/>
          </w:rPr>
          <w:fldChar w:fldCharType="end"/>
        </w:r>
      </w:hyperlink>
    </w:p>
    <w:p w:rsidR="00A242DE" w:rsidRDefault="00292FFB">
      <w:pPr>
        <w:pStyle w:val="TOC2"/>
        <w:rPr>
          <w:rFonts w:eastAsiaTheme="minorEastAsia" w:cstheme="minorBidi"/>
          <w:smallCaps w:val="0"/>
          <w:noProof/>
          <w:sz w:val="22"/>
          <w:szCs w:val="22"/>
        </w:rPr>
      </w:pPr>
      <w:hyperlink w:anchor="_Toc25740073" w:history="1">
        <w:r w:rsidR="00A242DE" w:rsidRPr="00D72E90">
          <w:rPr>
            <w:rStyle w:val="Hyperlink"/>
            <w:noProof/>
          </w:rPr>
          <w:t>Risk Management</w:t>
        </w:r>
        <w:r w:rsidR="00A242DE">
          <w:rPr>
            <w:noProof/>
            <w:webHidden/>
          </w:rPr>
          <w:tab/>
        </w:r>
        <w:r w:rsidR="00A242DE">
          <w:rPr>
            <w:noProof/>
            <w:webHidden/>
          </w:rPr>
          <w:fldChar w:fldCharType="begin"/>
        </w:r>
        <w:r w:rsidR="00A242DE">
          <w:rPr>
            <w:noProof/>
            <w:webHidden/>
          </w:rPr>
          <w:instrText xml:space="preserve"> PAGEREF _Toc25740073 \h </w:instrText>
        </w:r>
        <w:r w:rsidR="00A242DE">
          <w:rPr>
            <w:noProof/>
            <w:webHidden/>
          </w:rPr>
        </w:r>
        <w:r w:rsidR="00A242DE">
          <w:rPr>
            <w:noProof/>
            <w:webHidden/>
          </w:rPr>
          <w:fldChar w:fldCharType="separate"/>
        </w:r>
        <w:r w:rsidR="004F5751">
          <w:rPr>
            <w:noProof/>
            <w:webHidden/>
          </w:rPr>
          <w:t>19</w:t>
        </w:r>
        <w:r w:rsidR="00A242DE">
          <w:rPr>
            <w:noProof/>
            <w:webHidden/>
          </w:rPr>
          <w:fldChar w:fldCharType="end"/>
        </w:r>
      </w:hyperlink>
    </w:p>
    <w:p w:rsidR="00A242DE" w:rsidRDefault="00292FFB">
      <w:pPr>
        <w:pStyle w:val="TOC1"/>
        <w:rPr>
          <w:rFonts w:eastAsiaTheme="minorEastAsia" w:cstheme="minorBidi"/>
          <w:b w:val="0"/>
          <w:bCs w:val="0"/>
          <w:caps w:val="0"/>
          <w:noProof/>
          <w:sz w:val="22"/>
          <w:szCs w:val="22"/>
        </w:rPr>
      </w:pPr>
      <w:hyperlink w:anchor="_Toc25740074" w:history="1">
        <w:r w:rsidR="00A242DE" w:rsidRPr="00D72E90">
          <w:rPr>
            <w:rStyle w:val="Hyperlink"/>
            <w:noProof/>
            <w:lang w:val="fr-CA"/>
          </w:rPr>
          <w:t>4.</w:t>
        </w:r>
        <w:r w:rsidR="00A242DE">
          <w:rPr>
            <w:rFonts w:eastAsiaTheme="minorEastAsia" w:cstheme="minorBidi"/>
            <w:b w:val="0"/>
            <w:bCs w:val="0"/>
            <w:caps w:val="0"/>
            <w:noProof/>
            <w:sz w:val="22"/>
            <w:szCs w:val="22"/>
          </w:rPr>
          <w:tab/>
        </w:r>
        <w:r w:rsidR="00A242DE" w:rsidRPr="00D72E90">
          <w:rPr>
            <w:rStyle w:val="Hyperlink"/>
            <w:noProof/>
          </w:rPr>
          <w:t>Project</w:t>
        </w:r>
        <w:r w:rsidR="00A242DE" w:rsidRPr="00D72E90">
          <w:rPr>
            <w:rStyle w:val="Hyperlink"/>
            <w:noProof/>
            <w:lang w:val="fr-CA"/>
          </w:rPr>
          <w:t xml:space="preserve"> </w:t>
        </w:r>
        <w:r w:rsidR="00A242DE" w:rsidRPr="00D72E90">
          <w:rPr>
            <w:rStyle w:val="Hyperlink"/>
            <w:noProof/>
          </w:rPr>
          <w:t>Management</w:t>
        </w:r>
        <w:r w:rsidR="00A242DE">
          <w:rPr>
            <w:noProof/>
            <w:webHidden/>
          </w:rPr>
          <w:tab/>
        </w:r>
        <w:r w:rsidR="00A242DE">
          <w:rPr>
            <w:noProof/>
            <w:webHidden/>
          </w:rPr>
          <w:fldChar w:fldCharType="begin"/>
        </w:r>
        <w:r w:rsidR="00A242DE">
          <w:rPr>
            <w:noProof/>
            <w:webHidden/>
          </w:rPr>
          <w:instrText xml:space="preserve"> PAGEREF _Toc25740074 \h </w:instrText>
        </w:r>
        <w:r w:rsidR="00A242DE">
          <w:rPr>
            <w:noProof/>
            <w:webHidden/>
          </w:rPr>
        </w:r>
        <w:r w:rsidR="00A242DE">
          <w:rPr>
            <w:noProof/>
            <w:webHidden/>
          </w:rPr>
          <w:fldChar w:fldCharType="separate"/>
        </w:r>
        <w:r w:rsidR="004F5751">
          <w:rPr>
            <w:noProof/>
            <w:webHidden/>
          </w:rPr>
          <w:t>20</w:t>
        </w:r>
        <w:r w:rsidR="00A242DE">
          <w:rPr>
            <w:noProof/>
            <w:webHidden/>
          </w:rPr>
          <w:fldChar w:fldCharType="end"/>
        </w:r>
      </w:hyperlink>
    </w:p>
    <w:p w:rsidR="00A242DE" w:rsidRDefault="00292FFB">
      <w:pPr>
        <w:pStyle w:val="TOC1"/>
        <w:rPr>
          <w:rFonts w:eastAsiaTheme="minorEastAsia" w:cstheme="minorBidi"/>
          <w:b w:val="0"/>
          <w:bCs w:val="0"/>
          <w:caps w:val="0"/>
          <w:noProof/>
          <w:sz w:val="22"/>
          <w:szCs w:val="22"/>
        </w:rPr>
      </w:pPr>
      <w:hyperlink w:anchor="_Toc25740075" w:history="1">
        <w:r w:rsidR="00A242DE" w:rsidRPr="00D72E90">
          <w:rPr>
            <w:rStyle w:val="Hyperlink"/>
            <w:noProof/>
          </w:rPr>
          <w:t>5.</w:t>
        </w:r>
        <w:r w:rsidR="00A242DE">
          <w:rPr>
            <w:rFonts w:eastAsiaTheme="minorEastAsia" w:cstheme="minorBidi"/>
            <w:b w:val="0"/>
            <w:bCs w:val="0"/>
            <w:caps w:val="0"/>
            <w:noProof/>
            <w:sz w:val="22"/>
            <w:szCs w:val="22"/>
          </w:rPr>
          <w:tab/>
        </w:r>
        <w:r w:rsidR="00A242DE" w:rsidRPr="00D72E90">
          <w:rPr>
            <w:rStyle w:val="Hyperlink"/>
            <w:noProof/>
          </w:rPr>
          <w:t>Results Framework</w:t>
        </w:r>
        <w:r w:rsidR="00A242DE">
          <w:rPr>
            <w:noProof/>
            <w:webHidden/>
          </w:rPr>
          <w:tab/>
        </w:r>
        <w:r w:rsidR="00A242DE">
          <w:rPr>
            <w:noProof/>
            <w:webHidden/>
          </w:rPr>
          <w:fldChar w:fldCharType="begin"/>
        </w:r>
        <w:r w:rsidR="00A242DE">
          <w:rPr>
            <w:noProof/>
            <w:webHidden/>
          </w:rPr>
          <w:instrText xml:space="preserve"> PAGEREF _Toc25740075 \h </w:instrText>
        </w:r>
        <w:r w:rsidR="00A242DE">
          <w:rPr>
            <w:noProof/>
            <w:webHidden/>
          </w:rPr>
        </w:r>
        <w:r w:rsidR="00A242DE">
          <w:rPr>
            <w:noProof/>
            <w:webHidden/>
          </w:rPr>
          <w:fldChar w:fldCharType="separate"/>
        </w:r>
        <w:r w:rsidR="004F5751">
          <w:rPr>
            <w:noProof/>
            <w:webHidden/>
          </w:rPr>
          <w:t>22</w:t>
        </w:r>
        <w:r w:rsidR="00A242DE">
          <w:rPr>
            <w:noProof/>
            <w:webHidden/>
          </w:rPr>
          <w:fldChar w:fldCharType="end"/>
        </w:r>
      </w:hyperlink>
    </w:p>
    <w:p w:rsidR="00A242DE" w:rsidRDefault="00292FFB">
      <w:pPr>
        <w:pStyle w:val="TOC1"/>
        <w:rPr>
          <w:rFonts w:eastAsiaTheme="minorEastAsia" w:cstheme="minorBidi"/>
          <w:b w:val="0"/>
          <w:bCs w:val="0"/>
          <w:caps w:val="0"/>
          <w:noProof/>
          <w:sz w:val="22"/>
          <w:szCs w:val="22"/>
        </w:rPr>
      </w:pPr>
      <w:hyperlink w:anchor="_Toc25740076" w:history="1">
        <w:r w:rsidR="00A242DE" w:rsidRPr="00D72E90">
          <w:rPr>
            <w:rStyle w:val="Hyperlink"/>
            <w:noProof/>
          </w:rPr>
          <w:t>6.</w:t>
        </w:r>
        <w:r w:rsidR="00A242DE">
          <w:rPr>
            <w:rFonts w:eastAsiaTheme="minorEastAsia" w:cstheme="minorBidi"/>
            <w:b w:val="0"/>
            <w:bCs w:val="0"/>
            <w:caps w:val="0"/>
            <w:noProof/>
            <w:sz w:val="22"/>
            <w:szCs w:val="22"/>
          </w:rPr>
          <w:tab/>
        </w:r>
        <w:r w:rsidR="00A242DE" w:rsidRPr="00D72E90">
          <w:rPr>
            <w:rStyle w:val="Hyperlink"/>
            <w:noProof/>
          </w:rPr>
          <w:t>Monitoring, Evaluation and Learning</w:t>
        </w:r>
        <w:r w:rsidR="00A242DE">
          <w:rPr>
            <w:noProof/>
            <w:webHidden/>
          </w:rPr>
          <w:tab/>
        </w:r>
        <w:r w:rsidR="00A242DE">
          <w:rPr>
            <w:noProof/>
            <w:webHidden/>
          </w:rPr>
          <w:fldChar w:fldCharType="begin"/>
        </w:r>
        <w:r w:rsidR="00A242DE">
          <w:rPr>
            <w:noProof/>
            <w:webHidden/>
          </w:rPr>
          <w:instrText xml:space="preserve"> PAGEREF _Toc25740076 \h </w:instrText>
        </w:r>
        <w:r w:rsidR="00A242DE">
          <w:rPr>
            <w:noProof/>
            <w:webHidden/>
          </w:rPr>
        </w:r>
        <w:r w:rsidR="00A242DE">
          <w:rPr>
            <w:noProof/>
            <w:webHidden/>
          </w:rPr>
          <w:fldChar w:fldCharType="separate"/>
        </w:r>
        <w:r w:rsidR="004F5751">
          <w:rPr>
            <w:noProof/>
            <w:webHidden/>
          </w:rPr>
          <w:t>24</w:t>
        </w:r>
        <w:r w:rsidR="00A242DE">
          <w:rPr>
            <w:noProof/>
            <w:webHidden/>
          </w:rPr>
          <w:fldChar w:fldCharType="end"/>
        </w:r>
      </w:hyperlink>
    </w:p>
    <w:p w:rsidR="00A242DE" w:rsidRDefault="00292FFB">
      <w:pPr>
        <w:pStyle w:val="TOC2"/>
        <w:rPr>
          <w:rFonts w:eastAsiaTheme="minorEastAsia" w:cstheme="minorBidi"/>
          <w:smallCaps w:val="0"/>
          <w:noProof/>
          <w:sz w:val="22"/>
          <w:szCs w:val="22"/>
        </w:rPr>
      </w:pPr>
      <w:hyperlink w:anchor="_Toc25740077" w:history="1">
        <w:r w:rsidR="00A242DE" w:rsidRPr="00D72E90">
          <w:rPr>
            <w:rStyle w:val="Hyperlink"/>
            <w:noProof/>
          </w:rPr>
          <w:t>Approach and Purpose</w:t>
        </w:r>
        <w:r w:rsidR="00A242DE">
          <w:rPr>
            <w:noProof/>
            <w:webHidden/>
          </w:rPr>
          <w:tab/>
        </w:r>
        <w:r w:rsidR="00A242DE">
          <w:rPr>
            <w:noProof/>
            <w:webHidden/>
          </w:rPr>
          <w:fldChar w:fldCharType="begin"/>
        </w:r>
        <w:r w:rsidR="00A242DE">
          <w:rPr>
            <w:noProof/>
            <w:webHidden/>
          </w:rPr>
          <w:instrText xml:space="preserve"> PAGEREF _Toc25740077 \h </w:instrText>
        </w:r>
        <w:r w:rsidR="00A242DE">
          <w:rPr>
            <w:noProof/>
            <w:webHidden/>
          </w:rPr>
        </w:r>
        <w:r w:rsidR="00A242DE">
          <w:rPr>
            <w:noProof/>
            <w:webHidden/>
          </w:rPr>
          <w:fldChar w:fldCharType="separate"/>
        </w:r>
        <w:r w:rsidR="004F5751">
          <w:rPr>
            <w:noProof/>
            <w:webHidden/>
          </w:rPr>
          <w:t>24</w:t>
        </w:r>
        <w:r w:rsidR="00A242DE">
          <w:rPr>
            <w:noProof/>
            <w:webHidden/>
          </w:rPr>
          <w:fldChar w:fldCharType="end"/>
        </w:r>
      </w:hyperlink>
    </w:p>
    <w:p w:rsidR="00A242DE" w:rsidRDefault="00292FFB">
      <w:pPr>
        <w:pStyle w:val="TOC2"/>
        <w:rPr>
          <w:rFonts w:eastAsiaTheme="minorEastAsia" w:cstheme="minorBidi"/>
          <w:smallCaps w:val="0"/>
          <w:noProof/>
          <w:sz w:val="22"/>
          <w:szCs w:val="22"/>
        </w:rPr>
      </w:pPr>
      <w:hyperlink w:anchor="_Toc25740078" w:history="1">
        <w:r w:rsidR="00A242DE" w:rsidRPr="00D72E90">
          <w:rPr>
            <w:rStyle w:val="Hyperlink"/>
            <w:noProof/>
          </w:rPr>
          <w:t>Data Collection &amp; Analysis</w:t>
        </w:r>
        <w:r w:rsidR="00A242DE">
          <w:rPr>
            <w:noProof/>
            <w:webHidden/>
          </w:rPr>
          <w:tab/>
        </w:r>
        <w:r w:rsidR="00A242DE">
          <w:rPr>
            <w:noProof/>
            <w:webHidden/>
          </w:rPr>
          <w:fldChar w:fldCharType="begin"/>
        </w:r>
        <w:r w:rsidR="00A242DE">
          <w:rPr>
            <w:noProof/>
            <w:webHidden/>
          </w:rPr>
          <w:instrText xml:space="preserve"> PAGEREF _Toc25740078 \h </w:instrText>
        </w:r>
        <w:r w:rsidR="00A242DE">
          <w:rPr>
            <w:noProof/>
            <w:webHidden/>
          </w:rPr>
        </w:r>
        <w:r w:rsidR="00A242DE">
          <w:rPr>
            <w:noProof/>
            <w:webHidden/>
          </w:rPr>
          <w:fldChar w:fldCharType="separate"/>
        </w:r>
        <w:r w:rsidR="004F5751">
          <w:rPr>
            <w:noProof/>
            <w:webHidden/>
          </w:rPr>
          <w:t>24</w:t>
        </w:r>
        <w:r w:rsidR="00A242DE">
          <w:rPr>
            <w:noProof/>
            <w:webHidden/>
          </w:rPr>
          <w:fldChar w:fldCharType="end"/>
        </w:r>
      </w:hyperlink>
    </w:p>
    <w:p w:rsidR="00A242DE" w:rsidRDefault="00292FFB">
      <w:pPr>
        <w:pStyle w:val="TOC2"/>
        <w:rPr>
          <w:rFonts w:eastAsiaTheme="minorEastAsia" w:cstheme="minorBidi"/>
          <w:smallCaps w:val="0"/>
          <w:noProof/>
          <w:sz w:val="22"/>
          <w:szCs w:val="22"/>
        </w:rPr>
      </w:pPr>
      <w:hyperlink w:anchor="_Toc25740079" w:history="1">
        <w:r w:rsidR="00A242DE" w:rsidRPr="00D72E90">
          <w:rPr>
            <w:rStyle w:val="Hyperlink"/>
            <w:noProof/>
          </w:rPr>
          <w:t>Monitoring and Reporting Plan</w:t>
        </w:r>
        <w:r w:rsidR="00A242DE">
          <w:rPr>
            <w:noProof/>
            <w:webHidden/>
          </w:rPr>
          <w:tab/>
        </w:r>
        <w:r w:rsidR="00A242DE">
          <w:rPr>
            <w:noProof/>
            <w:webHidden/>
          </w:rPr>
          <w:fldChar w:fldCharType="begin"/>
        </w:r>
        <w:r w:rsidR="00A242DE">
          <w:rPr>
            <w:noProof/>
            <w:webHidden/>
          </w:rPr>
          <w:instrText xml:space="preserve"> PAGEREF _Toc25740079 \h </w:instrText>
        </w:r>
        <w:r w:rsidR="00A242DE">
          <w:rPr>
            <w:noProof/>
            <w:webHidden/>
          </w:rPr>
        </w:r>
        <w:r w:rsidR="00A242DE">
          <w:rPr>
            <w:noProof/>
            <w:webHidden/>
          </w:rPr>
          <w:fldChar w:fldCharType="separate"/>
        </w:r>
        <w:r w:rsidR="004F5751">
          <w:rPr>
            <w:noProof/>
            <w:webHidden/>
          </w:rPr>
          <w:t>26</w:t>
        </w:r>
        <w:r w:rsidR="00A242DE">
          <w:rPr>
            <w:noProof/>
            <w:webHidden/>
          </w:rPr>
          <w:fldChar w:fldCharType="end"/>
        </w:r>
      </w:hyperlink>
    </w:p>
    <w:p w:rsidR="00A242DE" w:rsidRDefault="00292FFB">
      <w:pPr>
        <w:pStyle w:val="TOC2"/>
        <w:rPr>
          <w:rFonts w:eastAsiaTheme="minorEastAsia" w:cstheme="minorBidi"/>
          <w:smallCaps w:val="0"/>
          <w:noProof/>
          <w:sz w:val="22"/>
          <w:szCs w:val="22"/>
        </w:rPr>
      </w:pPr>
      <w:hyperlink w:anchor="_Toc25740080" w:history="1">
        <w:r w:rsidR="00A242DE" w:rsidRPr="00D72E90">
          <w:rPr>
            <w:rStyle w:val="Hyperlink"/>
            <w:noProof/>
          </w:rPr>
          <w:t>Knowledge Sharing &amp; Learning</w:t>
        </w:r>
        <w:r w:rsidR="00A242DE">
          <w:rPr>
            <w:noProof/>
            <w:webHidden/>
          </w:rPr>
          <w:tab/>
        </w:r>
        <w:r w:rsidR="00A242DE">
          <w:rPr>
            <w:noProof/>
            <w:webHidden/>
          </w:rPr>
          <w:fldChar w:fldCharType="begin"/>
        </w:r>
        <w:r w:rsidR="00A242DE">
          <w:rPr>
            <w:noProof/>
            <w:webHidden/>
          </w:rPr>
          <w:instrText xml:space="preserve"> PAGEREF _Toc25740080 \h </w:instrText>
        </w:r>
        <w:r w:rsidR="00A242DE">
          <w:rPr>
            <w:noProof/>
            <w:webHidden/>
          </w:rPr>
        </w:r>
        <w:r w:rsidR="00A242DE">
          <w:rPr>
            <w:noProof/>
            <w:webHidden/>
          </w:rPr>
          <w:fldChar w:fldCharType="separate"/>
        </w:r>
        <w:r w:rsidR="004F5751">
          <w:rPr>
            <w:noProof/>
            <w:webHidden/>
          </w:rPr>
          <w:t>28</w:t>
        </w:r>
        <w:r w:rsidR="00A242DE">
          <w:rPr>
            <w:noProof/>
            <w:webHidden/>
          </w:rPr>
          <w:fldChar w:fldCharType="end"/>
        </w:r>
      </w:hyperlink>
    </w:p>
    <w:p w:rsidR="00A242DE" w:rsidRDefault="00292FFB">
      <w:pPr>
        <w:pStyle w:val="TOC1"/>
        <w:rPr>
          <w:rFonts w:eastAsiaTheme="minorEastAsia" w:cstheme="minorBidi"/>
          <w:b w:val="0"/>
          <w:bCs w:val="0"/>
          <w:caps w:val="0"/>
          <w:noProof/>
          <w:sz w:val="22"/>
          <w:szCs w:val="22"/>
        </w:rPr>
      </w:pPr>
      <w:hyperlink w:anchor="_Toc25740081" w:history="1">
        <w:r w:rsidR="00A242DE" w:rsidRPr="00D72E90">
          <w:rPr>
            <w:rStyle w:val="Hyperlink"/>
            <w:noProof/>
          </w:rPr>
          <w:t>7.</w:t>
        </w:r>
        <w:r w:rsidR="00A242DE">
          <w:rPr>
            <w:rFonts w:eastAsiaTheme="minorEastAsia" w:cstheme="minorBidi"/>
            <w:b w:val="0"/>
            <w:bCs w:val="0"/>
            <w:caps w:val="0"/>
            <w:noProof/>
            <w:sz w:val="22"/>
            <w:szCs w:val="22"/>
          </w:rPr>
          <w:tab/>
        </w:r>
        <w:r w:rsidR="00A242DE" w:rsidRPr="00D72E90">
          <w:rPr>
            <w:rStyle w:val="Hyperlink"/>
            <w:noProof/>
          </w:rPr>
          <w:t>Work Plan</w:t>
        </w:r>
        <w:r w:rsidR="00A242DE">
          <w:rPr>
            <w:noProof/>
            <w:webHidden/>
          </w:rPr>
          <w:tab/>
        </w:r>
        <w:r w:rsidR="00A242DE">
          <w:rPr>
            <w:noProof/>
            <w:webHidden/>
          </w:rPr>
          <w:fldChar w:fldCharType="begin"/>
        </w:r>
        <w:r w:rsidR="00A242DE">
          <w:rPr>
            <w:noProof/>
            <w:webHidden/>
          </w:rPr>
          <w:instrText xml:space="preserve"> PAGEREF _Toc25740081 \h </w:instrText>
        </w:r>
        <w:r w:rsidR="00A242DE">
          <w:rPr>
            <w:noProof/>
            <w:webHidden/>
          </w:rPr>
        </w:r>
        <w:r w:rsidR="00A242DE">
          <w:rPr>
            <w:noProof/>
            <w:webHidden/>
          </w:rPr>
          <w:fldChar w:fldCharType="separate"/>
        </w:r>
        <w:r w:rsidR="004F5751">
          <w:rPr>
            <w:noProof/>
            <w:webHidden/>
          </w:rPr>
          <w:t>29</w:t>
        </w:r>
        <w:r w:rsidR="00A242DE">
          <w:rPr>
            <w:noProof/>
            <w:webHidden/>
          </w:rPr>
          <w:fldChar w:fldCharType="end"/>
        </w:r>
      </w:hyperlink>
    </w:p>
    <w:p w:rsidR="00A242DE" w:rsidRDefault="00292FFB">
      <w:pPr>
        <w:pStyle w:val="TOC1"/>
        <w:rPr>
          <w:rFonts w:eastAsiaTheme="minorEastAsia" w:cstheme="minorBidi"/>
          <w:b w:val="0"/>
          <w:bCs w:val="0"/>
          <w:caps w:val="0"/>
          <w:noProof/>
          <w:sz w:val="22"/>
          <w:szCs w:val="22"/>
        </w:rPr>
      </w:pPr>
      <w:hyperlink w:anchor="_Toc25740082" w:history="1">
        <w:r w:rsidR="00A242DE" w:rsidRPr="00D72E90">
          <w:rPr>
            <w:rStyle w:val="Hyperlink"/>
            <w:noProof/>
          </w:rPr>
          <w:t>8.</w:t>
        </w:r>
        <w:r w:rsidR="00A242DE">
          <w:rPr>
            <w:rFonts w:eastAsiaTheme="minorEastAsia" w:cstheme="minorBidi"/>
            <w:b w:val="0"/>
            <w:bCs w:val="0"/>
            <w:caps w:val="0"/>
            <w:noProof/>
            <w:sz w:val="22"/>
            <w:szCs w:val="22"/>
          </w:rPr>
          <w:tab/>
        </w:r>
        <w:r w:rsidR="00A242DE" w:rsidRPr="00D72E90">
          <w:rPr>
            <w:rStyle w:val="Hyperlink"/>
            <w:noProof/>
          </w:rPr>
          <w:t>Governance and Management Arrangements</w:t>
        </w:r>
        <w:r w:rsidR="00A242DE">
          <w:rPr>
            <w:noProof/>
            <w:webHidden/>
          </w:rPr>
          <w:tab/>
        </w:r>
        <w:r w:rsidR="00A242DE">
          <w:rPr>
            <w:noProof/>
            <w:webHidden/>
          </w:rPr>
          <w:fldChar w:fldCharType="begin"/>
        </w:r>
        <w:r w:rsidR="00A242DE">
          <w:rPr>
            <w:noProof/>
            <w:webHidden/>
          </w:rPr>
          <w:instrText xml:space="preserve"> PAGEREF _Toc25740082 \h </w:instrText>
        </w:r>
        <w:r w:rsidR="00A242DE">
          <w:rPr>
            <w:noProof/>
            <w:webHidden/>
          </w:rPr>
        </w:r>
        <w:r w:rsidR="00A242DE">
          <w:rPr>
            <w:noProof/>
            <w:webHidden/>
          </w:rPr>
          <w:fldChar w:fldCharType="separate"/>
        </w:r>
        <w:r w:rsidR="004F5751">
          <w:rPr>
            <w:noProof/>
            <w:webHidden/>
          </w:rPr>
          <w:t>32</w:t>
        </w:r>
        <w:r w:rsidR="00A242DE">
          <w:rPr>
            <w:noProof/>
            <w:webHidden/>
          </w:rPr>
          <w:fldChar w:fldCharType="end"/>
        </w:r>
      </w:hyperlink>
    </w:p>
    <w:p w:rsidR="00A242DE" w:rsidRDefault="00292FFB">
      <w:pPr>
        <w:pStyle w:val="TOC1"/>
        <w:rPr>
          <w:rFonts w:eastAsiaTheme="minorEastAsia" w:cstheme="minorBidi"/>
          <w:b w:val="0"/>
          <w:bCs w:val="0"/>
          <w:caps w:val="0"/>
          <w:noProof/>
          <w:sz w:val="22"/>
          <w:szCs w:val="22"/>
        </w:rPr>
      </w:pPr>
      <w:hyperlink w:anchor="_Toc25740083" w:history="1">
        <w:r w:rsidR="00A242DE" w:rsidRPr="00D72E90">
          <w:rPr>
            <w:rStyle w:val="Hyperlink"/>
            <w:noProof/>
          </w:rPr>
          <w:t>9.</w:t>
        </w:r>
        <w:r w:rsidR="00A242DE">
          <w:rPr>
            <w:rFonts w:eastAsiaTheme="minorEastAsia" w:cstheme="minorBidi"/>
            <w:b w:val="0"/>
            <w:bCs w:val="0"/>
            <w:caps w:val="0"/>
            <w:noProof/>
            <w:sz w:val="22"/>
            <w:szCs w:val="22"/>
          </w:rPr>
          <w:tab/>
        </w:r>
        <w:r w:rsidR="00A242DE" w:rsidRPr="00D72E90">
          <w:rPr>
            <w:rStyle w:val="Hyperlink"/>
            <w:noProof/>
          </w:rPr>
          <w:t>Legal Context and Risk Management</w:t>
        </w:r>
        <w:r w:rsidR="00A242DE">
          <w:rPr>
            <w:noProof/>
            <w:webHidden/>
          </w:rPr>
          <w:tab/>
        </w:r>
        <w:r w:rsidR="00A242DE">
          <w:rPr>
            <w:noProof/>
            <w:webHidden/>
          </w:rPr>
          <w:fldChar w:fldCharType="begin"/>
        </w:r>
        <w:r w:rsidR="00A242DE">
          <w:rPr>
            <w:noProof/>
            <w:webHidden/>
          </w:rPr>
          <w:instrText xml:space="preserve"> PAGEREF _Toc25740083 \h </w:instrText>
        </w:r>
        <w:r w:rsidR="00A242DE">
          <w:rPr>
            <w:noProof/>
            <w:webHidden/>
          </w:rPr>
        </w:r>
        <w:r w:rsidR="00A242DE">
          <w:rPr>
            <w:noProof/>
            <w:webHidden/>
          </w:rPr>
          <w:fldChar w:fldCharType="separate"/>
        </w:r>
        <w:r w:rsidR="004F5751">
          <w:rPr>
            <w:noProof/>
            <w:webHidden/>
          </w:rPr>
          <w:t>36</w:t>
        </w:r>
        <w:r w:rsidR="00A242DE">
          <w:rPr>
            <w:noProof/>
            <w:webHidden/>
          </w:rPr>
          <w:fldChar w:fldCharType="end"/>
        </w:r>
      </w:hyperlink>
    </w:p>
    <w:p w:rsidR="00A242DE" w:rsidRDefault="00292FFB">
      <w:pPr>
        <w:pStyle w:val="TOC1"/>
        <w:rPr>
          <w:rFonts w:eastAsiaTheme="minorEastAsia" w:cstheme="minorBidi"/>
          <w:b w:val="0"/>
          <w:bCs w:val="0"/>
          <w:caps w:val="0"/>
          <w:noProof/>
          <w:sz w:val="22"/>
          <w:szCs w:val="22"/>
        </w:rPr>
      </w:pPr>
      <w:hyperlink w:anchor="_Toc25740084" w:history="1">
        <w:r w:rsidR="00A242DE" w:rsidRPr="00D72E90">
          <w:rPr>
            <w:rStyle w:val="Hyperlink"/>
            <w:noProof/>
          </w:rPr>
          <w:t>10.</w:t>
        </w:r>
        <w:r w:rsidR="00A242DE">
          <w:rPr>
            <w:rFonts w:eastAsiaTheme="minorEastAsia" w:cstheme="minorBidi"/>
            <w:b w:val="0"/>
            <w:bCs w:val="0"/>
            <w:caps w:val="0"/>
            <w:noProof/>
            <w:sz w:val="22"/>
            <w:szCs w:val="22"/>
          </w:rPr>
          <w:tab/>
        </w:r>
        <w:r w:rsidR="00A242DE" w:rsidRPr="00D72E90">
          <w:rPr>
            <w:rStyle w:val="Hyperlink"/>
            <w:noProof/>
          </w:rPr>
          <w:t>ANNEXES</w:t>
        </w:r>
        <w:r w:rsidR="00A242DE">
          <w:rPr>
            <w:noProof/>
            <w:webHidden/>
          </w:rPr>
          <w:tab/>
        </w:r>
        <w:r w:rsidR="00A242DE">
          <w:rPr>
            <w:noProof/>
            <w:webHidden/>
          </w:rPr>
          <w:fldChar w:fldCharType="begin"/>
        </w:r>
        <w:r w:rsidR="00A242DE">
          <w:rPr>
            <w:noProof/>
            <w:webHidden/>
          </w:rPr>
          <w:instrText xml:space="preserve"> PAGEREF _Toc25740084 \h </w:instrText>
        </w:r>
        <w:r w:rsidR="00A242DE">
          <w:rPr>
            <w:noProof/>
            <w:webHidden/>
          </w:rPr>
        </w:r>
        <w:r w:rsidR="00A242DE">
          <w:rPr>
            <w:noProof/>
            <w:webHidden/>
          </w:rPr>
          <w:fldChar w:fldCharType="separate"/>
        </w:r>
        <w:r w:rsidR="004F5751">
          <w:rPr>
            <w:noProof/>
            <w:webHidden/>
          </w:rPr>
          <w:t>38</w:t>
        </w:r>
        <w:r w:rsidR="00A242DE">
          <w:rPr>
            <w:noProof/>
            <w:webHidden/>
          </w:rPr>
          <w:fldChar w:fldCharType="end"/>
        </w:r>
      </w:hyperlink>
    </w:p>
    <w:p w:rsidR="00A242DE" w:rsidRDefault="00292FFB">
      <w:pPr>
        <w:pStyle w:val="TOC2"/>
        <w:tabs>
          <w:tab w:val="left" w:pos="1540"/>
        </w:tabs>
        <w:rPr>
          <w:rFonts w:eastAsiaTheme="minorEastAsia" w:cstheme="minorBidi"/>
          <w:smallCaps w:val="0"/>
          <w:noProof/>
          <w:sz w:val="22"/>
          <w:szCs w:val="22"/>
        </w:rPr>
      </w:pPr>
      <w:hyperlink w:anchor="_Toc25740085" w:history="1">
        <w:r w:rsidR="00A242DE" w:rsidRPr="00D72E90">
          <w:rPr>
            <w:rStyle w:val="Hyperlink"/>
            <w:noProof/>
          </w:rPr>
          <w:t>ANNEX I.</w:t>
        </w:r>
        <w:r w:rsidR="00A242DE">
          <w:rPr>
            <w:rFonts w:eastAsiaTheme="minorEastAsia" w:cstheme="minorBidi"/>
            <w:smallCaps w:val="0"/>
            <w:noProof/>
            <w:sz w:val="22"/>
            <w:szCs w:val="22"/>
          </w:rPr>
          <w:tab/>
        </w:r>
        <w:r w:rsidR="00A242DE" w:rsidRPr="00D72E90">
          <w:rPr>
            <w:rStyle w:val="Hyperlink"/>
            <w:noProof/>
          </w:rPr>
          <w:t>Project Quality Assurance Report</w:t>
        </w:r>
        <w:r w:rsidR="00A242DE">
          <w:rPr>
            <w:noProof/>
            <w:webHidden/>
          </w:rPr>
          <w:tab/>
        </w:r>
        <w:r w:rsidR="00A242DE">
          <w:rPr>
            <w:noProof/>
            <w:webHidden/>
          </w:rPr>
          <w:fldChar w:fldCharType="begin"/>
        </w:r>
        <w:r w:rsidR="00A242DE">
          <w:rPr>
            <w:noProof/>
            <w:webHidden/>
          </w:rPr>
          <w:instrText xml:space="preserve"> PAGEREF _Toc25740085 \h </w:instrText>
        </w:r>
        <w:r w:rsidR="00A242DE">
          <w:rPr>
            <w:noProof/>
            <w:webHidden/>
          </w:rPr>
        </w:r>
        <w:r w:rsidR="00A242DE">
          <w:rPr>
            <w:noProof/>
            <w:webHidden/>
          </w:rPr>
          <w:fldChar w:fldCharType="separate"/>
        </w:r>
        <w:r w:rsidR="004F5751">
          <w:rPr>
            <w:noProof/>
            <w:webHidden/>
          </w:rPr>
          <w:t>38</w:t>
        </w:r>
        <w:r w:rsidR="00A242DE">
          <w:rPr>
            <w:noProof/>
            <w:webHidden/>
          </w:rPr>
          <w:fldChar w:fldCharType="end"/>
        </w:r>
      </w:hyperlink>
    </w:p>
    <w:p w:rsidR="00A242DE" w:rsidRDefault="00292FFB">
      <w:pPr>
        <w:pStyle w:val="TOC2"/>
        <w:tabs>
          <w:tab w:val="left" w:pos="1540"/>
        </w:tabs>
        <w:rPr>
          <w:rFonts w:eastAsiaTheme="minorEastAsia" w:cstheme="minorBidi"/>
          <w:smallCaps w:val="0"/>
          <w:noProof/>
          <w:sz w:val="22"/>
          <w:szCs w:val="22"/>
        </w:rPr>
      </w:pPr>
      <w:hyperlink w:anchor="_Toc25740086" w:history="1">
        <w:r w:rsidR="00A242DE" w:rsidRPr="00D72E90">
          <w:rPr>
            <w:rStyle w:val="Hyperlink"/>
            <w:noProof/>
          </w:rPr>
          <w:t>ANNEX II.</w:t>
        </w:r>
        <w:r w:rsidR="00A242DE">
          <w:rPr>
            <w:rFonts w:eastAsiaTheme="minorEastAsia" w:cstheme="minorBidi"/>
            <w:smallCaps w:val="0"/>
            <w:noProof/>
            <w:sz w:val="22"/>
            <w:szCs w:val="22"/>
          </w:rPr>
          <w:tab/>
        </w:r>
        <w:r w:rsidR="00A242DE" w:rsidRPr="00D72E90">
          <w:rPr>
            <w:rStyle w:val="Hyperlink"/>
            <w:noProof/>
          </w:rPr>
          <w:t>UNDP Social &amp; Environmental Screening</w:t>
        </w:r>
        <w:r w:rsidR="00A242DE">
          <w:rPr>
            <w:noProof/>
            <w:webHidden/>
          </w:rPr>
          <w:tab/>
        </w:r>
        <w:r w:rsidR="00A242DE">
          <w:rPr>
            <w:noProof/>
            <w:webHidden/>
          </w:rPr>
          <w:fldChar w:fldCharType="begin"/>
        </w:r>
        <w:r w:rsidR="00A242DE">
          <w:rPr>
            <w:noProof/>
            <w:webHidden/>
          </w:rPr>
          <w:instrText xml:space="preserve"> PAGEREF _Toc25740086 \h </w:instrText>
        </w:r>
        <w:r w:rsidR="00A242DE">
          <w:rPr>
            <w:noProof/>
            <w:webHidden/>
          </w:rPr>
        </w:r>
        <w:r w:rsidR="00A242DE">
          <w:rPr>
            <w:noProof/>
            <w:webHidden/>
          </w:rPr>
          <w:fldChar w:fldCharType="separate"/>
        </w:r>
        <w:r w:rsidR="004F5751">
          <w:rPr>
            <w:noProof/>
            <w:webHidden/>
          </w:rPr>
          <w:t>39</w:t>
        </w:r>
        <w:r w:rsidR="00A242DE">
          <w:rPr>
            <w:noProof/>
            <w:webHidden/>
          </w:rPr>
          <w:fldChar w:fldCharType="end"/>
        </w:r>
      </w:hyperlink>
    </w:p>
    <w:p w:rsidR="00A242DE" w:rsidRDefault="00292FFB">
      <w:pPr>
        <w:pStyle w:val="TOC2"/>
        <w:tabs>
          <w:tab w:val="left" w:pos="1540"/>
        </w:tabs>
        <w:rPr>
          <w:rFonts w:eastAsiaTheme="minorEastAsia" w:cstheme="minorBidi"/>
          <w:smallCaps w:val="0"/>
          <w:noProof/>
          <w:sz w:val="22"/>
          <w:szCs w:val="22"/>
        </w:rPr>
      </w:pPr>
      <w:hyperlink w:anchor="_Toc25740087" w:history="1">
        <w:r w:rsidR="00A242DE" w:rsidRPr="00D72E90">
          <w:rPr>
            <w:rStyle w:val="Hyperlink"/>
            <w:noProof/>
          </w:rPr>
          <w:t>ANNEX III.</w:t>
        </w:r>
        <w:r w:rsidR="00A242DE">
          <w:rPr>
            <w:rFonts w:eastAsiaTheme="minorEastAsia" w:cstheme="minorBidi"/>
            <w:smallCaps w:val="0"/>
            <w:noProof/>
            <w:sz w:val="22"/>
            <w:szCs w:val="22"/>
          </w:rPr>
          <w:tab/>
        </w:r>
        <w:r w:rsidR="00A242DE" w:rsidRPr="00D72E90">
          <w:rPr>
            <w:rStyle w:val="Hyperlink"/>
            <w:noProof/>
          </w:rPr>
          <w:t>Risk Log</w:t>
        </w:r>
        <w:r w:rsidR="00A242DE">
          <w:rPr>
            <w:noProof/>
            <w:webHidden/>
          </w:rPr>
          <w:tab/>
        </w:r>
        <w:r w:rsidR="00A242DE">
          <w:rPr>
            <w:noProof/>
            <w:webHidden/>
          </w:rPr>
          <w:fldChar w:fldCharType="begin"/>
        </w:r>
        <w:r w:rsidR="00A242DE">
          <w:rPr>
            <w:noProof/>
            <w:webHidden/>
          </w:rPr>
          <w:instrText xml:space="preserve"> PAGEREF _Toc25740087 \h </w:instrText>
        </w:r>
        <w:r w:rsidR="00A242DE">
          <w:rPr>
            <w:noProof/>
            <w:webHidden/>
          </w:rPr>
        </w:r>
        <w:r w:rsidR="00A242DE">
          <w:rPr>
            <w:noProof/>
            <w:webHidden/>
          </w:rPr>
          <w:fldChar w:fldCharType="separate"/>
        </w:r>
        <w:r w:rsidR="004F5751">
          <w:rPr>
            <w:noProof/>
            <w:webHidden/>
          </w:rPr>
          <w:t>47</w:t>
        </w:r>
        <w:r w:rsidR="00A242DE">
          <w:rPr>
            <w:noProof/>
            <w:webHidden/>
          </w:rPr>
          <w:fldChar w:fldCharType="end"/>
        </w:r>
      </w:hyperlink>
    </w:p>
    <w:p w:rsidR="00A242DE" w:rsidRDefault="00292FFB">
      <w:pPr>
        <w:pStyle w:val="TOC2"/>
        <w:tabs>
          <w:tab w:val="left" w:pos="1540"/>
        </w:tabs>
        <w:rPr>
          <w:rFonts w:eastAsiaTheme="minorEastAsia" w:cstheme="minorBidi"/>
          <w:smallCaps w:val="0"/>
          <w:noProof/>
          <w:sz w:val="22"/>
          <w:szCs w:val="22"/>
        </w:rPr>
      </w:pPr>
      <w:hyperlink w:anchor="_Toc25740088" w:history="1">
        <w:r w:rsidR="00A242DE" w:rsidRPr="00D72E90">
          <w:rPr>
            <w:rStyle w:val="Hyperlink"/>
            <w:noProof/>
          </w:rPr>
          <w:t>ANNEX IV.</w:t>
        </w:r>
        <w:r w:rsidR="00A242DE">
          <w:rPr>
            <w:rFonts w:eastAsiaTheme="minorEastAsia" w:cstheme="minorBidi"/>
            <w:smallCaps w:val="0"/>
            <w:noProof/>
            <w:sz w:val="22"/>
            <w:szCs w:val="22"/>
          </w:rPr>
          <w:tab/>
        </w:r>
        <w:r w:rsidR="00A242DE" w:rsidRPr="00D72E90">
          <w:rPr>
            <w:rStyle w:val="Hyperlink"/>
            <w:noProof/>
          </w:rPr>
          <w:t>Capacity Assessment</w:t>
        </w:r>
        <w:r w:rsidR="00A242DE">
          <w:rPr>
            <w:noProof/>
            <w:webHidden/>
          </w:rPr>
          <w:tab/>
        </w:r>
        <w:r w:rsidR="00A242DE">
          <w:rPr>
            <w:noProof/>
            <w:webHidden/>
          </w:rPr>
          <w:fldChar w:fldCharType="begin"/>
        </w:r>
        <w:r w:rsidR="00A242DE">
          <w:rPr>
            <w:noProof/>
            <w:webHidden/>
          </w:rPr>
          <w:instrText xml:space="preserve"> PAGEREF _Toc25740088 \h </w:instrText>
        </w:r>
        <w:r w:rsidR="00A242DE">
          <w:rPr>
            <w:noProof/>
            <w:webHidden/>
          </w:rPr>
        </w:r>
        <w:r w:rsidR="00A242DE">
          <w:rPr>
            <w:noProof/>
            <w:webHidden/>
          </w:rPr>
          <w:fldChar w:fldCharType="separate"/>
        </w:r>
        <w:r w:rsidR="004F5751">
          <w:rPr>
            <w:noProof/>
            <w:webHidden/>
          </w:rPr>
          <w:t>49</w:t>
        </w:r>
        <w:r w:rsidR="00A242DE">
          <w:rPr>
            <w:noProof/>
            <w:webHidden/>
          </w:rPr>
          <w:fldChar w:fldCharType="end"/>
        </w:r>
      </w:hyperlink>
    </w:p>
    <w:p w:rsidR="00A242DE" w:rsidRDefault="00292FFB">
      <w:pPr>
        <w:pStyle w:val="TOC2"/>
        <w:tabs>
          <w:tab w:val="left" w:pos="1540"/>
        </w:tabs>
        <w:rPr>
          <w:rFonts w:eastAsiaTheme="minorEastAsia" w:cstheme="minorBidi"/>
          <w:smallCaps w:val="0"/>
          <w:noProof/>
          <w:sz w:val="22"/>
          <w:szCs w:val="22"/>
        </w:rPr>
      </w:pPr>
      <w:hyperlink w:anchor="_Toc25740089" w:history="1">
        <w:r w:rsidR="00A242DE" w:rsidRPr="00D72E90">
          <w:rPr>
            <w:rStyle w:val="Hyperlink"/>
            <w:noProof/>
          </w:rPr>
          <w:t>ANNEX V.</w:t>
        </w:r>
        <w:r w:rsidR="00A242DE">
          <w:rPr>
            <w:rFonts w:eastAsiaTheme="minorEastAsia" w:cstheme="minorBidi"/>
            <w:smallCaps w:val="0"/>
            <w:noProof/>
            <w:sz w:val="22"/>
            <w:szCs w:val="22"/>
          </w:rPr>
          <w:tab/>
        </w:r>
        <w:r w:rsidR="00A242DE" w:rsidRPr="00D72E90">
          <w:rPr>
            <w:rStyle w:val="Hyperlink"/>
            <w:noProof/>
          </w:rPr>
          <w:t>Project Management: Terms of Reference</w:t>
        </w:r>
        <w:r w:rsidR="00A242DE">
          <w:rPr>
            <w:noProof/>
            <w:webHidden/>
          </w:rPr>
          <w:tab/>
        </w:r>
        <w:r w:rsidR="00A242DE">
          <w:rPr>
            <w:noProof/>
            <w:webHidden/>
          </w:rPr>
          <w:fldChar w:fldCharType="begin"/>
        </w:r>
        <w:r w:rsidR="00A242DE">
          <w:rPr>
            <w:noProof/>
            <w:webHidden/>
          </w:rPr>
          <w:instrText xml:space="preserve"> PAGEREF _Toc25740089 \h </w:instrText>
        </w:r>
        <w:r w:rsidR="00A242DE">
          <w:rPr>
            <w:noProof/>
            <w:webHidden/>
          </w:rPr>
        </w:r>
        <w:r w:rsidR="00A242DE">
          <w:rPr>
            <w:noProof/>
            <w:webHidden/>
          </w:rPr>
          <w:fldChar w:fldCharType="separate"/>
        </w:r>
        <w:r w:rsidR="004F5751">
          <w:rPr>
            <w:noProof/>
            <w:webHidden/>
          </w:rPr>
          <w:t>49</w:t>
        </w:r>
        <w:r w:rsidR="00A242DE">
          <w:rPr>
            <w:noProof/>
            <w:webHidden/>
          </w:rPr>
          <w:fldChar w:fldCharType="end"/>
        </w:r>
      </w:hyperlink>
    </w:p>
    <w:p w:rsidR="00A242DE" w:rsidRDefault="00292FFB">
      <w:pPr>
        <w:pStyle w:val="TOC2"/>
        <w:tabs>
          <w:tab w:val="left" w:pos="1540"/>
        </w:tabs>
        <w:rPr>
          <w:rFonts w:eastAsiaTheme="minorEastAsia" w:cstheme="minorBidi"/>
          <w:smallCaps w:val="0"/>
          <w:noProof/>
          <w:sz w:val="22"/>
          <w:szCs w:val="22"/>
        </w:rPr>
      </w:pPr>
      <w:hyperlink w:anchor="_Toc25740090" w:history="1">
        <w:r w:rsidR="00A242DE" w:rsidRPr="00D72E90">
          <w:rPr>
            <w:rStyle w:val="Hyperlink"/>
            <w:noProof/>
          </w:rPr>
          <w:t>ANNEX VI.</w:t>
        </w:r>
        <w:r w:rsidR="00A242DE">
          <w:rPr>
            <w:rFonts w:eastAsiaTheme="minorEastAsia" w:cstheme="minorBidi"/>
            <w:smallCaps w:val="0"/>
            <w:noProof/>
            <w:sz w:val="22"/>
            <w:szCs w:val="22"/>
          </w:rPr>
          <w:tab/>
        </w:r>
        <w:r w:rsidR="00A242DE" w:rsidRPr="00D72E90">
          <w:rPr>
            <w:rStyle w:val="Hyperlink"/>
            <w:noProof/>
          </w:rPr>
          <w:t>Gender and Social Inclusion: Baseline Analysis</w:t>
        </w:r>
        <w:r w:rsidR="00A242DE">
          <w:rPr>
            <w:noProof/>
            <w:webHidden/>
          </w:rPr>
          <w:tab/>
        </w:r>
        <w:r w:rsidR="00A242DE">
          <w:rPr>
            <w:noProof/>
            <w:webHidden/>
          </w:rPr>
          <w:fldChar w:fldCharType="begin"/>
        </w:r>
        <w:r w:rsidR="00A242DE">
          <w:rPr>
            <w:noProof/>
            <w:webHidden/>
          </w:rPr>
          <w:instrText xml:space="preserve"> PAGEREF _Toc25740090 \h </w:instrText>
        </w:r>
        <w:r w:rsidR="00A242DE">
          <w:rPr>
            <w:noProof/>
            <w:webHidden/>
          </w:rPr>
        </w:r>
        <w:r w:rsidR="00A242DE">
          <w:rPr>
            <w:noProof/>
            <w:webHidden/>
          </w:rPr>
          <w:fldChar w:fldCharType="separate"/>
        </w:r>
        <w:r w:rsidR="004F5751">
          <w:rPr>
            <w:noProof/>
            <w:webHidden/>
          </w:rPr>
          <w:t>52</w:t>
        </w:r>
        <w:r w:rsidR="00A242DE">
          <w:rPr>
            <w:noProof/>
            <w:webHidden/>
          </w:rPr>
          <w:fldChar w:fldCharType="end"/>
        </w:r>
      </w:hyperlink>
    </w:p>
    <w:p w:rsidR="00A242DE" w:rsidRDefault="00292FFB">
      <w:pPr>
        <w:pStyle w:val="TOC2"/>
        <w:tabs>
          <w:tab w:val="left" w:pos="1540"/>
        </w:tabs>
        <w:rPr>
          <w:rFonts w:eastAsiaTheme="minorEastAsia" w:cstheme="minorBidi"/>
          <w:smallCaps w:val="0"/>
          <w:noProof/>
          <w:sz w:val="22"/>
          <w:szCs w:val="22"/>
        </w:rPr>
      </w:pPr>
      <w:hyperlink w:anchor="_Toc25740091" w:history="1">
        <w:r w:rsidR="00A242DE" w:rsidRPr="00D72E90">
          <w:rPr>
            <w:rStyle w:val="Hyperlink"/>
            <w:noProof/>
          </w:rPr>
          <w:t>ANNEX VII.</w:t>
        </w:r>
        <w:r w:rsidR="00A242DE">
          <w:rPr>
            <w:rFonts w:eastAsiaTheme="minorEastAsia" w:cstheme="minorBidi"/>
            <w:smallCaps w:val="0"/>
            <w:noProof/>
            <w:sz w:val="22"/>
            <w:szCs w:val="22"/>
          </w:rPr>
          <w:tab/>
        </w:r>
        <w:r w:rsidR="00A242DE" w:rsidRPr="00D72E90">
          <w:rPr>
            <w:rStyle w:val="Hyperlink"/>
            <w:noProof/>
          </w:rPr>
          <w:t>PRRP Lessons Learned</w:t>
        </w:r>
        <w:r w:rsidR="00A242DE">
          <w:rPr>
            <w:noProof/>
            <w:webHidden/>
          </w:rPr>
          <w:tab/>
        </w:r>
        <w:r w:rsidR="00A242DE">
          <w:rPr>
            <w:noProof/>
            <w:webHidden/>
          </w:rPr>
          <w:fldChar w:fldCharType="begin"/>
        </w:r>
        <w:r w:rsidR="00A242DE">
          <w:rPr>
            <w:noProof/>
            <w:webHidden/>
          </w:rPr>
          <w:instrText xml:space="preserve"> PAGEREF _Toc25740091 \h </w:instrText>
        </w:r>
        <w:r w:rsidR="00A242DE">
          <w:rPr>
            <w:noProof/>
            <w:webHidden/>
          </w:rPr>
        </w:r>
        <w:r w:rsidR="00A242DE">
          <w:rPr>
            <w:noProof/>
            <w:webHidden/>
          </w:rPr>
          <w:fldChar w:fldCharType="separate"/>
        </w:r>
        <w:r w:rsidR="004F5751">
          <w:rPr>
            <w:noProof/>
            <w:webHidden/>
          </w:rPr>
          <w:t>55</w:t>
        </w:r>
        <w:r w:rsidR="00A242DE">
          <w:rPr>
            <w:noProof/>
            <w:webHidden/>
          </w:rPr>
          <w:fldChar w:fldCharType="end"/>
        </w:r>
      </w:hyperlink>
    </w:p>
    <w:p w:rsidR="00A242DE" w:rsidRDefault="00292FFB" w:rsidP="00A242DE">
      <w:pPr>
        <w:pStyle w:val="TOC2"/>
        <w:tabs>
          <w:tab w:val="left" w:pos="1560"/>
        </w:tabs>
        <w:rPr>
          <w:rFonts w:eastAsiaTheme="minorEastAsia" w:cstheme="minorBidi"/>
          <w:smallCaps w:val="0"/>
          <w:noProof/>
          <w:sz w:val="22"/>
          <w:szCs w:val="22"/>
        </w:rPr>
      </w:pPr>
      <w:hyperlink w:anchor="_Toc25740092" w:history="1">
        <w:r w:rsidR="00A242DE" w:rsidRPr="00D72E90">
          <w:rPr>
            <w:rStyle w:val="Hyperlink"/>
            <w:noProof/>
          </w:rPr>
          <w:t>ANNEX VIII.</w:t>
        </w:r>
        <w:r w:rsidR="00A242DE">
          <w:rPr>
            <w:rFonts w:eastAsiaTheme="minorEastAsia" w:cstheme="minorBidi"/>
            <w:smallCaps w:val="0"/>
            <w:noProof/>
            <w:sz w:val="22"/>
            <w:szCs w:val="22"/>
          </w:rPr>
          <w:tab/>
        </w:r>
        <w:r w:rsidR="00A242DE" w:rsidRPr="00D72E90">
          <w:rPr>
            <w:rStyle w:val="Hyperlink"/>
            <w:noProof/>
          </w:rPr>
          <w:t>Koica Logical Framework and Work Plan</w:t>
        </w:r>
        <w:r w:rsidR="00A242DE">
          <w:rPr>
            <w:noProof/>
            <w:webHidden/>
          </w:rPr>
          <w:tab/>
        </w:r>
        <w:r w:rsidR="00A242DE">
          <w:rPr>
            <w:noProof/>
            <w:webHidden/>
          </w:rPr>
          <w:fldChar w:fldCharType="begin"/>
        </w:r>
        <w:r w:rsidR="00A242DE">
          <w:rPr>
            <w:noProof/>
            <w:webHidden/>
          </w:rPr>
          <w:instrText xml:space="preserve"> PAGEREF _Toc25740092 \h </w:instrText>
        </w:r>
        <w:r w:rsidR="00A242DE">
          <w:rPr>
            <w:noProof/>
            <w:webHidden/>
          </w:rPr>
        </w:r>
        <w:r w:rsidR="00A242DE">
          <w:rPr>
            <w:noProof/>
            <w:webHidden/>
          </w:rPr>
          <w:fldChar w:fldCharType="separate"/>
        </w:r>
        <w:r w:rsidR="004F5751">
          <w:rPr>
            <w:noProof/>
            <w:webHidden/>
          </w:rPr>
          <w:t>56</w:t>
        </w:r>
        <w:r w:rsidR="00A242DE">
          <w:rPr>
            <w:noProof/>
            <w:webHidden/>
          </w:rPr>
          <w:fldChar w:fldCharType="end"/>
        </w:r>
      </w:hyperlink>
    </w:p>
    <w:p w:rsidR="00BB5675" w:rsidRPr="00BB5675" w:rsidRDefault="00BB5675" w:rsidP="00BB5675">
      <w:r>
        <w:fldChar w:fldCharType="end"/>
      </w:r>
    </w:p>
    <w:bookmarkEnd w:id="2"/>
    <w:p w:rsidR="00A3070D" w:rsidRDefault="00A3070D" w:rsidP="005D42C5">
      <w:pPr>
        <w:pStyle w:val="Heading1"/>
        <w:jc w:val="left"/>
      </w:pPr>
      <w:r>
        <w:br w:type="page"/>
      </w:r>
      <w:bookmarkStart w:id="3" w:name="_Toc25739952"/>
      <w:bookmarkStart w:id="4" w:name="_Toc25740061"/>
      <w:r>
        <w:t>List of acronyms</w:t>
      </w:r>
      <w:bookmarkEnd w:id="3"/>
      <w:bookmarkEnd w:id="4"/>
    </w:p>
    <w:p w:rsidR="003A03E3" w:rsidRDefault="003A03E3" w:rsidP="00A3070D">
      <w:pPr>
        <w:rPr>
          <w:b/>
          <w:bCs/>
        </w:rPr>
        <w:sectPr w:rsidR="003A03E3" w:rsidSect="008662D8">
          <w:footerReference w:type="even" r:id="rId12"/>
          <w:footerReference w:type="default" r:id="rId13"/>
          <w:headerReference w:type="first" r:id="rId14"/>
          <w:footerReference w:type="first" r:id="rId15"/>
          <w:pgSz w:w="11906" w:h="16838" w:code="9"/>
          <w:pgMar w:top="864" w:right="1152" w:bottom="864" w:left="1152" w:header="720" w:footer="432" w:gutter="0"/>
          <w:cols w:space="708"/>
          <w:titlePg/>
          <w:docGrid w:linePitch="360"/>
        </w:sectPr>
      </w:pPr>
    </w:p>
    <w:p w:rsidR="00F95F08" w:rsidRDefault="00F95F08" w:rsidP="00A3070D">
      <w:pPr>
        <w:rPr>
          <w:b/>
          <w:bCs/>
        </w:rPr>
      </w:pPr>
      <w:r>
        <w:rPr>
          <w:b/>
          <w:bCs/>
        </w:rPr>
        <w:t>ADB</w:t>
      </w:r>
      <w:r>
        <w:rPr>
          <w:b/>
          <w:bCs/>
        </w:rPr>
        <w:tab/>
      </w:r>
      <w:r w:rsidRPr="005A338D">
        <w:t>Asian Development Bank</w:t>
      </w:r>
    </w:p>
    <w:p w:rsidR="004A2F9C" w:rsidRDefault="004A2F9C" w:rsidP="00A3070D">
      <w:pPr>
        <w:rPr>
          <w:b/>
          <w:bCs/>
        </w:rPr>
      </w:pPr>
      <w:r>
        <w:rPr>
          <w:b/>
          <w:bCs/>
        </w:rPr>
        <w:t>APCP</w:t>
      </w:r>
      <w:r>
        <w:rPr>
          <w:b/>
          <w:bCs/>
        </w:rPr>
        <w:tab/>
      </w:r>
      <w:r w:rsidRPr="005A338D">
        <w:t>Australian Pacific Climate Partnership</w:t>
      </w:r>
    </w:p>
    <w:p w:rsidR="00F96F8C" w:rsidRDefault="00F96F8C" w:rsidP="00A3070D">
      <w:r w:rsidRPr="005A338D">
        <w:rPr>
          <w:b/>
          <w:bCs/>
        </w:rPr>
        <w:t>CCA</w:t>
      </w:r>
      <w:r>
        <w:tab/>
        <w:t xml:space="preserve">Climate Change Adaptation </w:t>
      </w:r>
    </w:p>
    <w:p w:rsidR="0081514A" w:rsidRDefault="0081514A" w:rsidP="00A3070D">
      <w:r w:rsidRPr="005A338D">
        <w:rPr>
          <w:b/>
          <w:bCs/>
        </w:rPr>
        <w:t>CCB</w:t>
      </w:r>
      <w:r>
        <w:tab/>
        <w:t>Climate Change Budget Integration Index</w:t>
      </w:r>
    </w:p>
    <w:p w:rsidR="00DD49E1" w:rsidRDefault="00DD49E1" w:rsidP="006F3A05">
      <w:pPr>
        <w:ind w:left="709" w:hanging="709"/>
      </w:pPr>
      <w:r w:rsidRPr="005A338D">
        <w:rPr>
          <w:b/>
          <w:bCs/>
        </w:rPr>
        <w:t>CCDRM</w:t>
      </w:r>
      <w:r>
        <w:tab/>
        <w:t>Climate Change</w:t>
      </w:r>
      <w:r w:rsidR="00A274E5">
        <w:t xml:space="preserve"> and Disaster Risk Management</w:t>
      </w:r>
    </w:p>
    <w:p w:rsidR="00B8497D" w:rsidRDefault="00B8497D" w:rsidP="005A338D">
      <w:pPr>
        <w:ind w:right="-373"/>
      </w:pPr>
      <w:r w:rsidRPr="005A338D">
        <w:rPr>
          <w:b/>
          <w:bCs/>
        </w:rPr>
        <w:t>CFN</w:t>
      </w:r>
      <w:r>
        <w:tab/>
        <w:t>Climate Finance Network</w:t>
      </w:r>
    </w:p>
    <w:p w:rsidR="00F95F08" w:rsidRPr="000A7F6A" w:rsidRDefault="00F95F08" w:rsidP="006F3A05">
      <w:pPr>
        <w:ind w:left="709" w:hanging="709"/>
      </w:pPr>
      <w:r w:rsidRPr="005A338D">
        <w:rPr>
          <w:b/>
          <w:bCs/>
        </w:rPr>
        <w:t>CROP</w:t>
      </w:r>
      <w:r w:rsidRPr="005A338D">
        <w:rPr>
          <w:b/>
          <w:bCs/>
        </w:rPr>
        <w:tab/>
      </w:r>
      <w:r w:rsidRPr="006F3A05">
        <w:rPr>
          <w:rFonts w:cs="Arial"/>
        </w:rPr>
        <w:t>Council</w:t>
      </w:r>
      <w:r>
        <w:t xml:space="preserve"> of Regional Organisations in the Pacific </w:t>
      </w:r>
    </w:p>
    <w:p w:rsidR="00A274E5" w:rsidRDefault="00A274E5" w:rsidP="00A3070D">
      <w:r w:rsidRPr="005A338D">
        <w:rPr>
          <w:b/>
          <w:bCs/>
        </w:rPr>
        <w:t>CSO</w:t>
      </w:r>
      <w:r>
        <w:tab/>
        <w:t>Civil Society Organisation</w:t>
      </w:r>
    </w:p>
    <w:p w:rsidR="00F96F8C" w:rsidRDefault="00F96F8C" w:rsidP="006F3A05">
      <w:pPr>
        <w:ind w:left="709" w:hanging="709"/>
      </w:pPr>
      <w:r w:rsidRPr="005A338D">
        <w:rPr>
          <w:b/>
          <w:bCs/>
        </w:rPr>
        <w:t>DFAT</w:t>
      </w:r>
      <w:r>
        <w:tab/>
        <w:t>[</w:t>
      </w:r>
      <w:r w:rsidRPr="006F3A05">
        <w:rPr>
          <w:rFonts w:cs="Arial"/>
        </w:rPr>
        <w:t>Australian</w:t>
      </w:r>
      <w:r>
        <w:t>] Department of Foreign Affairs and Trade</w:t>
      </w:r>
    </w:p>
    <w:p w:rsidR="003A03E3" w:rsidRDefault="003A03E3" w:rsidP="00A3070D">
      <w:r w:rsidRPr="005A338D">
        <w:rPr>
          <w:b/>
          <w:bCs/>
        </w:rPr>
        <w:t>DIM</w:t>
      </w:r>
      <w:r>
        <w:tab/>
        <w:t>Direct Implementation Modality</w:t>
      </w:r>
    </w:p>
    <w:p w:rsidR="004C0BEA" w:rsidRDefault="004C0BEA" w:rsidP="00A3070D">
      <w:r w:rsidRPr="005A338D">
        <w:rPr>
          <w:b/>
          <w:bCs/>
        </w:rPr>
        <w:t>DPC</w:t>
      </w:r>
      <w:r>
        <w:tab/>
        <w:t>Direct Project Costing</w:t>
      </w:r>
    </w:p>
    <w:p w:rsidR="001151C2" w:rsidRDefault="001151C2" w:rsidP="00A3070D">
      <w:r w:rsidRPr="005A338D">
        <w:rPr>
          <w:b/>
          <w:bCs/>
        </w:rPr>
        <w:t>DPO</w:t>
      </w:r>
      <w:r>
        <w:tab/>
        <w:t>Disabled People’s Organisation</w:t>
      </w:r>
    </w:p>
    <w:p w:rsidR="00F96F8C" w:rsidRDefault="00F96F8C" w:rsidP="00A3070D">
      <w:r w:rsidRPr="005A338D">
        <w:rPr>
          <w:b/>
          <w:bCs/>
        </w:rPr>
        <w:t>DRR</w:t>
      </w:r>
      <w:r>
        <w:tab/>
        <w:t xml:space="preserve">Disaster Risk Reduction </w:t>
      </w:r>
    </w:p>
    <w:p w:rsidR="0081514A" w:rsidRDefault="0081514A" w:rsidP="00A3070D">
      <w:r w:rsidRPr="005A338D">
        <w:rPr>
          <w:b/>
          <w:bCs/>
        </w:rPr>
        <w:t>EU</w:t>
      </w:r>
      <w:r>
        <w:tab/>
        <w:t xml:space="preserve">European Union </w:t>
      </w:r>
    </w:p>
    <w:p w:rsidR="004C0BEA" w:rsidRDefault="004C0BEA" w:rsidP="00A3070D">
      <w:r w:rsidRPr="005A338D">
        <w:rPr>
          <w:b/>
          <w:bCs/>
        </w:rPr>
        <w:t>FAQC</w:t>
      </w:r>
      <w:r>
        <w:tab/>
        <w:t>[DFAT] Final Aid Quality Check</w:t>
      </w:r>
    </w:p>
    <w:p w:rsidR="00F96F8C" w:rsidRDefault="00F96F8C" w:rsidP="006F3A05">
      <w:pPr>
        <w:ind w:left="709" w:hanging="709"/>
      </w:pPr>
      <w:r w:rsidRPr="005A338D">
        <w:rPr>
          <w:b/>
          <w:bCs/>
        </w:rPr>
        <w:t>FRDP</w:t>
      </w:r>
      <w:r>
        <w:tab/>
      </w:r>
      <w:r w:rsidRPr="006F3A05">
        <w:rPr>
          <w:rFonts w:cs="Arial"/>
        </w:rPr>
        <w:t>Framework</w:t>
      </w:r>
      <w:r>
        <w:t xml:space="preserve"> for Resilient Development in the Pacific </w:t>
      </w:r>
    </w:p>
    <w:p w:rsidR="000558DD" w:rsidRDefault="000558DD" w:rsidP="00A3070D">
      <w:pPr>
        <w:rPr>
          <w:rFonts w:cs="Arial"/>
        </w:rPr>
      </w:pPr>
      <w:r w:rsidRPr="005A338D">
        <w:rPr>
          <w:b/>
          <w:bCs/>
        </w:rPr>
        <w:t>GCCF</w:t>
      </w:r>
      <w:r>
        <w:tab/>
      </w:r>
      <w:r w:rsidRPr="00135431">
        <w:rPr>
          <w:rFonts w:cs="Arial"/>
        </w:rPr>
        <w:t>Governance for Climate Change Finance</w:t>
      </w:r>
    </w:p>
    <w:p w:rsidR="0081514A" w:rsidRDefault="0081514A" w:rsidP="006F3A05">
      <w:pPr>
        <w:ind w:left="709" w:hanging="709"/>
      </w:pPr>
      <w:r w:rsidRPr="005A338D">
        <w:rPr>
          <w:rFonts w:cs="Arial"/>
          <w:b/>
          <w:bCs/>
        </w:rPr>
        <w:t>GEN2</w:t>
      </w:r>
      <w:r>
        <w:rPr>
          <w:rFonts w:cs="Arial"/>
        </w:rPr>
        <w:tab/>
      </w:r>
      <w:r w:rsidR="00A9182A">
        <w:rPr>
          <w:rFonts w:cs="Arial"/>
        </w:rPr>
        <w:t xml:space="preserve">UNDP Gender </w:t>
      </w:r>
      <w:r w:rsidR="005B30A8">
        <w:rPr>
          <w:rFonts w:cs="Arial"/>
        </w:rPr>
        <w:t>Rating</w:t>
      </w:r>
      <w:r w:rsidR="00A9182A">
        <w:rPr>
          <w:rFonts w:cs="Arial"/>
        </w:rPr>
        <w:t xml:space="preserve"> 2 (significant contributions to gender equality)</w:t>
      </w:r>
    </w:p>
    <w:p w:rsidR="001151C2" w:rsidRDefault="001151C2" w:rsidP="00A3070D">
      <w:r w:rsidRPr="005A338D">
        <w:rPr>
          <w:b/>
          <w:bCs/>
        </w:rPr>
        <w:t>GSI</w:t>
      </w:r>
      <w:r>
        <w:tab/>
        <w:t xml:space="preserve">Gender </w:t>
      </w:r>
      <w:r w:rsidR="00A649FD">
        <w:t>and Social Inclusion</w:t>
      </w:r>
    </w:p>
    <w:p w:rsidR="00F95F08" w:rsidRDefault="00F95F08" w:rsidP="00A3070D">
      <w:r w:rsidRPr="005A338D">
        <w:rPr>
          <w:b/>
          <w:bCs/>
        </w:rPr>
        <w:t>IFC</w:t>
      </w:r>
      <w:r>
        <w:tab/>
        <w:t>International Finance Corporation</w:t>
      </w:r>
    </w:p>
    <w:p w:rsidR="003A03E3" w:rsidRDefault="003A03E3" w:rsidP="00A3070D">
      <w:pPr>
        <w:rPr>
          <w:rFonts w:cs="Arial"/>
        </w:rPr>
      </w:pPr>
      <w:r w:rsidRPr="005A338D">
        <w:rPr>
          <w:b/>
          <w:bCs/>
        </w:rPr>
        <w:t>IRMU</w:t>
      </w:r>
      <w:r>
        <w:tab/>
      </w:r>
      <w:r w:rsidRPr="00135431">
        <w:rPr>
          <w:rFonts w:cs="Arial"/>
        </w:rPr>
        <w:t>Integrated Results &amp; Monitoring Unit</w:t>
      </w:r>
    </w:p>
    <w:p w:rsidR="004A2F9C" w:rsidRDefault="004A2F9C" w:rsidP="00A3070D">
      <w:r w:rsidRPr="005A338D">
        <w:rPr>
          <w:rFonts w:cs="Arial"/>
          <w:b/>
          <w:bCs/>
        </w:rPr>
        <w:t>KM</w:t>
      </w:r>
      <w:r>
        <w:rPr>
          <w:rFonts w:cs="Arial"/>
        </w:rPr>
        <w:tab/>
        <w:t xml:space="preserve">Knowledge Management </w:t>
      </w:r>
    </w:p>
    <w:p w:rsidR="00F96F8C" w:rsidRDefault="00F96F8C" w:rsidP="00A3070D">
      <w:pPr>
        <w:rPr>
          <w:rFonts w:cs="Arial"/>
        </w:rPr>
      </w:pPr>
      <w:r w:rsidRPr="005A338D">
        <w:rPr>
          <w:b/>
          <w:bCs/>
        </w:rPr>
        <w:t>KOICA</w:t>
      </w:r>
      <w:r>
        <w:tab/>
      </w:r>
      <w:r w:rsidRPr="004F7943">
        <w:rPr>
          <w:rFonts w:cs="Arial"/>
        </w:rPr>
        <w:t>Korea International Cooperation Agency</w:t>
      </w:r>
    </w:p>
    <w:p w:rsidR="0081514A" w:rsidRDefault="0081514A" w:rsidP="00A3070D">
      <w:r w:rsidRPr="005A338D">
        <w:rPr>
          <w:rFonts w:cs="Arial"/>
          <w:b/>
          <w:bCs/>
        </w:rPr>
        <w:t>KPI</w:t>
      </w:r>
      <w:r>
        <w:rPr>
          <w:rFonts w:cs="Arial"/>
        </w:rPr>
        <w:tab/>
        <w:t>Key Performance Indicator</w:t>
      </w:r>
    </w:p>
    <w:p w:rsidR="00F96F8C" w:rsidRDefault="00F96F8C" w:rsidP="006F3A05">
      <w:pPr>
        <w:ind w:left="709" w:hanging="709"/>
        <w:rPr>
          <w:rFonts w:cs="Arial"/>
        </w:rPr>
      </w:pPr>
      <w:r w:rsidRPr="005A338D">
        <w:rPr>
          <w:b/>
          <w:bCs/>
        </w:rPr>
        <w:t>MFAT</w:t>
      </w:r>
      <w:r>
        <w:tab/>
        <w:t>[</w:t>
      </w:r>
      <w:r>
        <w:rPr>
          <w:rFonts w:cs="Arial"/>
        </w:rPr>
        <w:t>New Zealand] Ministry of Foreign Affairs and Trade</w:t>
      </w:r>
    </w:p>
    <w:p w:rsidR="0081514A" w:rsidRDefault="0081514A" w:rsidP="00A3070D">
      <w:pPr>
        <w:rPr>
          <w:rFonts w:cs="Arial"/>
        </w:rPr>
      </w:pPr>
      <w:r w:rsidRPr="005A338D">
        <w:rPr>
          <w:rFonts w:cs="Arial"/>
          <w:b/>
          <w:bCs/>
        </w:rPr>
        <w:t>ME</w:t>
      </w:r>
      <w:r w:rsidR="00934D21">
        <w:rPr>
          <w:rFonts w:cs="Arial"/>
          <w:b/>
          <w:bCs/>
        </w:rPr>
        <w:t>L</w:t>
      </w:r>
      <w:r>
        <w:rPr>
          <w:rFonts w:cs="Arial"/>
        </w:rPr>
        <w:tab/>
        <w:t>Monitoring</w:t>
      </w:r>
      <w:r w:rsidR="00934D21">
        <w:rPr>
          <w:rFonts w:cs="Arial"/>
        </w:rPr>
        <w:t xml:space="preserve">, </w:t>
      </w:r>
      <w:r>
        <w:rPr>
          <w:rFonts w:cs="Arial"/>
        </w:rPr>
        <w:t>Evaluation</w:t>
      </w:r>
      <w:r w:rsidR="00934D21">
        <w:rPr>
          <w:rFonts w:cs="Arial"/>
        </w:rPr>
        <w:t xml:space="preserve"> and Learning</w:t>
      </w:r>
    </w:p>
    <w:p w:rsidR="0081514A" w:rsidRDefault="0081514A" w:rsidP="006F3A05">
      <w:pPr>
        <w:ind w:left="709" w:hanging="709"/>
        <w:rPr>
          <w:rFonts w:cs="Arial"/>
        </w:rPr>
      </w:pPr>
      <w:r w:rsidRPr="005A338D">
        <w:rPr>
          <w:rFonts w:cs="Arial"/>
          <w:b/>
          <w:bCs/>
        </w:rPr>
        <w:t>MWCPA</w:t>
      </w:r>
      <w:r>
        <w:rPr>
          <w:rFonts w:cs="Arial"/>
        </w:rPr>
        <w:t xml:space="preserve"> [Fiji] Ministry of Women, Children and Poverty Alleviation</w:t>
      </w:r>
      <w:r w:rsidRPr="005A338D">
        <w:rPr>
          <w:rFonts w:cs="Arial"/>
        </w:rPr>
        <w:tab/>
      </w:r>
    </w:p>
    <w:p w:rsidR="00A274E5" w:rsidRDefault="00A274E5" w:rsidP="00A3070D">
      <w:pPr>
        <w:rPr>
          <w:rFonts w:cs="Arial"/>
        </w:rPr>
      </w:pPr>
      <w:r w:rsidRPr="005A338D">
        <w:rPr>
          <w:rFonts w:cs="Arial"/>
          <w:b/>
          <w:bCs/>
        </w:rPr>
        <w:t>NGO</w:t>
      </w:r>
      <w:r>
        <w:rPr>
          <w:rFonts w:cs="Arial"/>
        </w:rPr>
        <w:tab/>
        <w:t>Non-governmental Organisation</w:t>
      </w:r>
    </w:p>
    <w:p w:rsidR="001151C2" w:rsidRDefault="001151C2" w:rsidP="006F3A05">
      <w:pPr>
        <w:ind w:left="709" w:hanging="709"/>
        <w:rPr>
          <w:rFonts w:cs="Arial"/>
        </w:rPr>
      </w:pPr>
      <w:r w:rsidRPr="005A338D">
        <w:rPr>
          <w:rFonts w:cs="Arial"/>
          <w:b/>
          <w:bCs/>
        </w:rPr>
        <w:t>ODE</w:t>
      </w:r>
      <w:r>
        <w:rPr>
          <w:rFonts w:cs="Arial"/>
        </w:rPr>
        <w:tab/>
        <w:t xml:space="preserve">[DFAT] Office of Development Effectiveness </w:t>
      </w:r>
    </w:p>
    <w:p w:rsidR="00F95F08" w:rsidRDefault="00F95F08" w:rsidP="006F3A05">
      <w:pPr>
        <w:ind w:left="709" w:hanging="709"/>
        <w:rPr>
          <w:rFonts w:cs="Arial"/>
        </w:rPr>
      </w:pPr>
      <w:r w:rsidRPr="005A338D">
        <w:rPr>
          <w:rFonts w:cs="Arial"/>
          <w:b/>
          <w:bCs/>
        </w:rPr>
        <w:t>PASAI</w:t>
      </w:r>
      <w:r w:rsidRPr="005A338D">
        <w:rPr>
          <w:rFonts w:cs="Arial"/>
          <w:b/>
          <w:bCs/>
        </w:rPr>
        <w:tab/>
      </w:r>
      <w:r w:rsidRPr="005A338D">
        <w:rPr>
          <w:rFonts w:cs="Arial"/>
        </w:rPr>
        <w:t>Pacific Association of Supreme Audit Institutions</w:t>
      </w:r>
    </w:p>
    <w:p w:rsidR="004C0BEA" w:rsidRDefault="004C0BEA" w:rsidP="00A3070D">
      <w:pPr>
        <w:rPr>
          <w:rFonts w:cs="Arial"/>
        </w:rPr>
      </w:pPr>
      <w:r w:rsidRPr="005A338D">
        <w:rPr>
          <w:rFonts w:cs="Arial"/>
          <w:b/>
          <w:bCs/>
        </w:rPr>
        <w:t>PEA</w:t>
      </w:r>
      <w:r>
        <w:rPr>
          <w:rFonts w:cs="Arial"/>
        </w:rPr>
        <w:tab/>
        <w:t>Political Economy Analysis</w:t>
      </w:r>
    </w:p>
    <w:p w:rsidR="00632D9E" w:rsidRPr="000A7F6A" w:rsidRDefault="00632D9E" w:rsidP="00A3070D">
      <w:pPr>
        <w:rPr>
          <w:rFonts w:cs="Arial"/>
        </w:rPr>
      </w:pPr>
      <w:r w:rsidRPr="005A338D">
        <w:rPr>
          <w:rFonts w:cs="Arial"/>
          <w:b/>
          <w:bCs/>
        </w:rPr>
        <w:t>PFM</w:t>
      </w:r>
      <w:r>
        <w:rPr>
          <w:rFonts w:cs="Arial"/>
        </w:rPr>
        <w:tab/>
        <w:t xml:space="preserve">Public Financial Management </w:t>
      </w:r>
    </w:p>
    <w:p w:rsidR="00F95F08" w:rsidRPr="000A7F6A" w:rsidRDefault="00F95F08" w:rsidP="006F3A05">
      <w:pPr>
        <w:ind w:left="709" w:hanging="709"/>
        <w:rPr>
          <w:rFonts w:cs="Arial"/>
        </w:rPr>
      </w:pPr>
      <w:r w:rsidRPr="005A338D">
        <w:rPr>
          <w:rFonts w:cs="Arial"/>
          <w:b/>
          <w:bCs/>
        </w:rPr>
        <w:t>PFTAC</w:t>
      </w:r>
      <w:r>
        <w:rPr>
          <w:rFonts w:cs="Arial"/>
          <w:b/>
          <w:bCs/>
        </w:rPr>
        <w:tab/>
      </w:r>
      <w:r w:rsidRPr="005A338D">
        <w:rPr>
          <w:rFonts w:cs="Arial"/>
        </w:rPr>
        <w:t>Pacific Financial Technical Assistance Centre</w:t>
      </w:r>
    </w:p>
    <w:p w:rsidR="001151C2" w:rsidRDefault="001151C2" w:rsidP="00A3070D">
      <w:pPr>
        <w:rPr>
          <w:rFonts w:cs="Arial"/>
        </w:rPr>
      </w:pPr>
      <w:r w:rsidRPr="005A338D">
        <w:rPr>
          <w:rFonts w:cs="Arial"/>
          <w:b/>
          <w:bCs/>
        </w:rPr>
        <w:t>PIC</w:t>
      </w:r>
      <w:r>
        <w:rPr>
          <w:rFonts w:cs="Arial"/>
        </w:rPr>
        <w:tab/>
        <w:t>Pacific Island Country</w:t>
      </w:r>
    </w:p>
    <w:p w:rsidR="00A32295" w:rsidRDefault="00A32295" w:rsidP="00A3070D">
      <w:pPr>
        <w:rPr>
          <w:rFonts w:cs="Arial"/>
        </w:rPr>
      </w:pPr>
      <w:r w:rsidRPr="005A338D">
        <w:rPr>
          <w:rFonts w:cs="Arial"/>
          <w:b/>
          <w:bCs/>
        </w:rPr>
        <w:t>PIF</w:t>
      </w:r>
      <w:r w:rsidR="00B8497D">
        <w:rPr>
          <w:rFonts w:cs="Arial"/>
          <w:b/>
          <w:bCs/>
        </w:rPr>
        <w:t>S</w:t>
      </w:r>
      <w:r>
        <w:rPr>
          <w:rFonts w:cs="Arial"/>
        </w:rPr>
        <w:tab/>
        <w:t xml:space="preserve">Pacific Island Forum </w:t>
      </w:r>
      <w:r w:rsidR="00F95F08">
        <w:rPr>
          <w:rFonts w:cs="Arial"/>
        </w:rPr>
        <w:t>Secretariat</w:t>
      </w:r>
    </w:p>
    <w:p w:rsidR="00F95F08" w:rsidRDefault="00F95F08" w:rsidP="00A3070D">
      <w:pPr>
        <w:rPr>
          <w:rFonts w:cs="Arial"/>
        </w:rPr>
      </w:pPr>
      <w:r w:rsidRPr="005A338D">
        <w:rPr>
          <w:rFonts w:cs="Arial"/>
          <w:b/>
          <w:bCs/>
        </w:rPr>
        <w:t>PIPSO</w:t>
      </w:r>
      <w:r>
        <w:rPr>
          <w:rFonts w:cs="Arial"/>
        </w:rPr>
        <w:tab/>
        <w:t xml:space="preserve">Pacific Islands Private Sector Organisation </w:t>
      </w:r>
    </w:p>
    <w:p w:rsidR="003A03E3" w:rsidRDefault="003A03E3" w:rsidP="006F3A05">
      <w:pPr>
        <w:ind w:left="709" w:hanging="709"/>
        <w:rPr>
          <w:rFonts w:cs="Arial"/>
        </w:rPr>
      </w:pPr>
      <w:r w:rsidRPr="005A338D">
        <w:rPr>
          <w:rFonts w:cs="Arial"/>
          <w:b/>
          <w:bCs/>
        </w:rPr>
        <w:t>PPEI</w:t>
      </w:r>
      <w:r>
        <w:rPr>
          <w:rFonts w:cs="Arial"/>
        </w:rPr>
        <w:tab/>
      </w:r>
      <w:r w:rsidR="000558DD">
        <w:rPr>
          <w:rFonts w:cs="Arial"/>
        </w:rPr>
        <w:t>Pacific Parliamentary Effectiveness Initiative</w:t>
      </w:r>
    </w:p>
    <w:p w:rsidR="001151C2" w:rsidRDefault="001151C2" w:rsidP="00A3070D">
      <w:pPr>
        <w:rPr>
          <w:rFonts w:cs="Arial"/>
        </w:rPr>
      </w:pPr>
      <w:proofErr w:type="spellStart"/>
      <w:r w:rsidRPr="005A338D">
        <w:rPr>
          <w:rFonts w:cs="Arial"/>
          <w:b/>
          <w:bCs/>
        </w:rPr>
        <w:t>ProPa</w:t>
      </w:r>
      <w:proofErr w:type="spellEnd"/>
      <w:r>
        <w:rPr>
          <w:rFonts w:cs="Arial"/>
        </w:rPr>
        <w:tab/>
        <w:t>Protection in the Pacific network</w:t>
      </w:r>
    </w:p>
    <w:p w:rsidR="00F95F08" w:rsidRPr="005A338D" w:rsidRDefault="00F95F08" w:rsidP="00A3070D">
      <w:pPr>
        <w:rPr>
          <w:b/>
          <w:bCs/>
        </w:rPr>
      </w:pPr>
      <w:r w:rsidRPr="005A338D">
        <w:rPr>
          <w:rFonts w:cs="Arial"/>
          <w:b/>
          <w:bCs/>
        </w:rPr>
        <w:t>PRP</w:t>
      </w:r>
      <w:r w:rsidRPr="005A338D">
        <w:rPr>
          <w:rFonts w:cs="Arial"/>
          <w:b/>
          <w:bCs/>
        </w:rPr>
        <w:tab/>
      </w:r>
      <w:r w:rsidRPr="005A338D">
        <w:rPr>
          <w:rFonts w:cs="Arial"/>
        </w:rPr>
        <w:t>Pacific Resilience Partnership</w:t>
      </w:r>
    </w:p>
    <w:p w:rsidR="00A3070D" w:rsidRDefault="008251B7" w:rsidP="00A3070D">
      <w:r>
        <w:rPr>
          <w:b/>
          <w:bCs/>
        </w:rPr>
        <w:t>PRRP</w:t>
      </w:r>
      <w:r w:rsidR="00F96F8C">
        <w:tab/>
        <w:t>Pacific Risk Resilience Programme</w:t>
      </w:r>
    </w:p>
    <w:p w:rsidR="001151C2" w:rsidRDefault="001151C2" w:rsidP="00A3070D">
      <w:r w:rsidRPr="005A338D">
        <w:rPr>
          <w:b/>
          <w:bCs/>
        </w:rPr>
        <w:t>RID</w:t>
      </w:r>
      <w:r>
        <w:tab/>
        <w:t>Risk Informed Development</w:t>
      </w:r>
    </w:p>
    <w:p w:rsidR="00632D9E" w:rsidRDefault="00632D9E" w:rsidP="00A3070D">
      <w:r w:rsidRPr="005A338D">
        <w:rPr>
          <w:b/>
          <w:bCs/>
        </w:rPr>
        <w:t>SBAA</w:t>
      </w:r>
      <w:r>
        <w:tab/>
        <w:t>Standard Basic Assistance Agreement</w:t>
      </w:r>
    </w:p>
    <w:p w:rsidR="00DD49E1" w:rsidRDefault="00DD49E1" w:rsidP="00A3070D">
      <w:r w:rsidRPr="005A338D">
        <w:rPr>
          <w:b/>
          <w:bCs/>
        </w:rPr>
        <w:t>SDG</w:t>
      </w:r>
      <w:r>
        <w:tab/>
        <w:t>Sustainable Development Goals</w:t>
      </w:r>
    </w:p>
    <w:p w:rsidR="00F96F8C" w:rsidRDefault="00F96F8C" w:rsidP="006F3A05">
      <w:pPr>
        <w:ind w:left="709" w:hanging="709"/>
        <w:rPr>
          <w:rFonts w:cs="Arial"/>
        </w:rPr>
      </w:pPr>
      <w:r w:rsidRPr="005A338D">
        <w:rPr>
          <w:b/>
          <w:bCs/>
        </w:rPr>
        <w:t>SIDA</w:t>
      </w:r>
      <w:r>
        <w:tab/>
      </w:r>
      <w:r w:rsidRPr="004F7943">
        <w:rPr>
          <w:rFonts w:cs="Arial"/>
        </w:rPr>
        <w:t xml:space="preserve">Swedish International Development Cooperation </w:t>
      </w:r>
      <w:r>
        <w:rPr>
          <w:rFonts w:cs="Arial"/>
        </w:rPr>
        <w:t>Agency</w:t>
      </w:r>
    </w:p>
    <w:p w:rsidR="00F96F8C" w:rsidRDefault="00F96F8C" w:rsidP="00A3070D">
      <w:r w:rsidRPr="005A338D">
        <w:rPr>
          <w:b/>
          <w:bCs/>
        </w:rPr>
        <w:t>UNDP</w:t>
      </w:r>
      <w:r>
        <w:tab/>
        <w:t>United Nations Development Programme</w:t>
      </w:r>
    </w:p>
    <w:p w:rsidR="00632D9E" w:rsidRDefault="00632D9E" w:rsidP="006F3A05">
      <w:pPr>
        <w:ind w:left="709" w:hanging="709"/>
      </w:pPr>
      <w:r w:rsidRPr="005A338D">
        <w:rPr>
          <w:b/>
          <w:bCs/>
        </w:rPr>
        <w:t>UNSMS</w:t>
      </w:r>
      <w:r>
        <w:tab/>
      </w:r>
      <w:r w:rsidRPr="006F3A05">
        <w:rPr>
          <w:rFonts w:cs="Arial"/>
        </w:rPr>
        <w:t>United</w:t>
      </w:r>
      <w:r>
        <w:t xml:space="preserve"> Nations Security Management System</w:t>
      </w:r>
    </w:p>
    <w:p w:rsidR="00F95F08" w:rsidRDefault="00F95F08" w:rsidP="00A3070D">
      <w:r w:rsidRPr="005A338D">
        <w:rPr>
          <w:b/>
          <w:bCs/>
        </w:rPr>
        <w:t>WB</w:t>
      </w:r>
      <w:r>
        <w:tab/>
        <w:t>World Bank</w:t>
      </w:r>
    </w:p>
    <w:p w:rsidR="003A03E3" w:rsidRDefault="003A03E3" w:rsidP="009D6B25">
      <w:pPr>
        <w:pStyle w:val="Heading1"/>
        <w:numPr>
          <w:ilvl w:val="0"/>
          <w:numId w:val="8"/>
        </w:numPr>
        <w:jc w:val="left"/>
        <w:sectPr w:rsidR="003A03E3" w:rsidSect="005A338D">
          <w:type w:val="continuous"/>
          <w:pgSz w:w="11906" w:h="16838" w:code="9"/>
          <w:pgMar w:top="864" w:right="1152" w:bottom="864" w:left="1152" w:header="720" w:footer="432" w:gutter="0"/>
          <w:cols w:num="2" w:space="708"/>
          <w:titlePg/>
          <w:docGrid w:linePitch="360"/>
        </w:sectPr>
      </w:pPr>
    </w:p>
    <w:p w:rsidR="002F14AB" w:rsidRPr="00135431" w:rsidRDefault="002F14AB" w:rsidP="009D6B25">
      <w:pPr>
        <w:pStyle w:val="Heading1"/>
        <w:numPr>
          <w:ilvl w:val="0"/>
          <w:numId w:val="8"/>
        </w:numPr>
        <w:jc w:val="left"/>
      </w:pPr>
      <w:r w:rsidRPr="00135431">
        <w:br w:type="page"/>
      </w:r>
      <w:bookmarkStart w:id="5" w:name="_Toc22745642"/>
      <w:bookmarkStart w:id="6" w:name="_Toc25739953"/>
      <w:bookmarkStart w:id="7" w:name="_Toc25740062"/>
      <w:r w:rsidRPr="00270183">
        <w:t>D</w:t>
      </w:r>
      <w:r w:rsidRPr="00135431">
        <w:t>evelopment Challenge</w:t>
      </w:r>
      <w:bookmarkEnd w:id="5"/>
      <w:bookmarkEnd w:id="6"/>
      <w:bookmarkEnd w:id="7"/>
    </w:p>
    <w:p w:rsidR="00F36FAD" w:rsidRPr="00135431" w:rsidRDefault="00F36FAD" w:rsidP="00F36FAD">
      <w:pPr>
        <w:spacing w:after="0"/>
        <w:jc w:val="both"/>
        <w:rPr>
          <w:rFonts w:ascii="Calibri" w:hAnsi="Calibri" w:cs="Calibri"/>
          <w:iCs/>
          <w:lang w:val="en-US"/>
        </w:rPr>
      </w:pPr>
      <w:r w:rsidRPr="00135431">
        <w:rPr>
          <w:rFonts w:ascii="Calibri" w:hAnsi="Calibri" w:cs="Calibri"/>
          <w:iCs/>
        </w:rPr>
        <w:t>The Pacific region is facing considerable economic and social development challenges due to the increasing impact of climate change and geo-hazards.</w:t>
      </w:r>
      <w:r w:rsidRPr="00135431">
        <w:rPr>
          <w:rStyle w:val="FootnoteReference"/>
          <w:rFonts w:ascii="Calibri" w:hAnsi="Calibri" w:cs="Calibri"/>
          <w:iCs/>
          <w:sz w:val="22"/>
        </w:rPr>
        <w:footnoteReference w:id="2"/>
      </w:r>
      <w:r w:rsidRPr="00135431">
        <w:rPr>
          <w:rFonts w:ascii="Calibri" w:hAnsi="Calibri" w:cs="Calibri"/>
          <w:iCs/>
        </w:rPr>
        <w:t xml:space="preserve"> With limited human resources and existing social and economic challenges, Pacific Island Countries</w:t>
      </w:r>
      <w:r w:rsidR="00E02BB3">
        <w:rPr>
          <w:rFonts w:ascii="Calibri" w:hAnsi="Calibri" w:cs="Calibri"/>
          <w:iCs/>
        </w:rPr>
        <w:t xml:space="preserve"> (PICs)</w:t>
      </w:r>
      <w:r w:rsidRPr="00135431">
        <w:rPr>
          <w:rFonts w:ascii="Calibri" w:hAnsi="Calibri" w:cs="Calibri"/>
          <w:iCs/>
        </w:rPr>
        <w:t xml:space="preserve"> are struggling to manage these impacts and are likely to see reversals in development gains made to date.</w:t>
      </w:r>
      <w:r w:rsidRPr="00135431">
        <w:rPr>
          <w:rStyle w:val="FootnoteReference"/>
          <w:rFonts w:ascii="Calibri" w:hAnsi="Calibri" w:cs="Calibri"/>
          <w:iCs/>
          <w:sz w:val="22"/>
        </w:rPr>
        <w:footnoteReference w:id="3"/>
      </w:r>
      <w:r w:rsidRPr="00135431">
        <w:rPr>
          <w:rFonts w:ascii="Calibri" w:hAnsi="Calibri" w:cs="Calibri"/>
          <w:iCs/>
        </w:rPr>
        <w:t xml:space="preserve"> Australian Government research undertaken by DFAT’s  Office of Development Effectiveness (ODE), has identified this as a major risk for Pacific social and economic development.</w:t>
      </w:r>
      <w:r w:rsidRPr="00135431">
        <w:rPr>
          <w:rFonts w:ascii="Calibri" w:hAnsi="Calibri" w:cs="Calibri"/>
          <w:iCs/>
          <w:lang w:val="en-US"/>
        </w:rPr>
        <w:t xml:space="preserve"> Similarly, when disasters do occur losses can sometimes amount to as much as half of gross domestic product</w:t>
      </w:r>
      <w:r w:rsidR="00DC3D64">
        <w:rPr>
          <w:rStyle w:val="FootnoteReference"/>
          <w:rFonts w:cs="Calibri"/>
          <w:iCs/>
          <w:lang w:val="en-US"/>
        </w:rPr>
        <w:footnoteReference w:id="4"/>
      </w:r>
      <w:r w:rsidRPr="00135431">
        <w:rPr>
          <w:rFonts w:ascii="Calibri" w:hAnsi="Calibri" w:cs="Calibri"/>
          <w:iCs/>
          <w:lang w:val="en-US"/>
        </w:rPr>
        <w:t>.</w:t>
      </w:r>
    </w:p>
    <w:p w:rsidR="00F36FAD" w:rsidRPr="00135431" w:rsidRDefault="00F36FAD" w:rsidP="00F36FAD">
      <w:pPr>
        <w:spacing w:after="0"/>
        <w:jc w:val="both"/>
        <w:rPr>
          <w:rFonts w:ascii="Calibri" w:hAnsi="Calibri" w:cs="Calibri"/>
          <w:iCs/>
          <w:lang w:val="en-US"/>
        </w:rPr>
      </w:pPr>
    </w:p>
    <w:p w:rsidR="00F36FAD" w:rsidRPr="00135431" w:rsidRDefault="00F36FAD" w:rsidP="00F36FAD">
      <w:pPr>
        <w:spacing w:after="0"/>
        <w:jc w:val="both"/>
        <w:rPr>
          <w:rFonts w:ascii="Calibri" w:hAnsi="Calibri" w:cs="Calibri"/>
          <w:lang w:val="en-US"/>
        </w:rPr>
      </w:pPr>
      <w:r w:rsidRPr="00135431">
        <w:rPr>
          <w:rFonts w:ascii="Calibri" w:hAnsi="Calibri" w:cs="Calibri"/>
          <w:iCs/>
          <w:lang w:val="en-US"/>
        </w:rPr>
        <w:t>At the same time, development in these countries is potentially increasing this vulnerability to climate change and disasters. For instance, severe overcrowding, proliferation of informal housing and unplanned settlement, inadequate water supply, poor sanitation and solid waste disposal can increase vulnerability</w:t>
      </w:r>
      <w:r w:rsidR="00DC3D64">
        <w:rPr>
          <w:rStyle w:val="FootnoteReference"/>
          <w:rFonts w:cs="Calibri"/>
          <w:iCs/>
          <w:lang w:val="en-US"/>
        </w:rPr>
        <w:footnoteReference w:id="5"/>
      </w:r>
      <w:r w:rsidRPr="00135431">
        <w:rPr>
          <w:rFonts w:ascii="Calibri" w:hAnsi="Calibri" w:cs="Calibri"/>
          <w:iCs/>
          <w:lang w:val="en-US"/>
        </w:rPr>
        <w:t>. Central to this increasing</w:t>
      </w:r>
      <w:r w:rsidRPr="00135431">
        <w:rPr>
          <w:rFonts w:ascii="Calibri" w:hAnsi="Calibri" w:cs="Calibri"/>
          <w:lang w:val="en-US"/>
        </w:rPr>
        <w:t xml:space="preserve"> vulnerability are gender and social inclusion dimension</w:t>
      </w:r>
      <w:r w:rsidR="00B040BF">
        <w:rPr>
          <w:rFonts w:ascii="Calibri" w:hAnsi="Calibri" w:cs="Calibri"/>
          <w:lang w:val="en-US"/>
        </w:rPr>
        <w:t>s</w:t>
      </w:r>
      <w:r w:rsidRPr="00135431">
        <w:rPr>
          <w:rFonts w:ascii="Calibri" w:hAnsi="Calibri" w:cs="Calibri"/>
          <w:lang w:val="en-US"/>
        </w:rPr>
        <w:t xml:space="preserve">. Women and marginal groups are not only more likely to be disproportionately affected by the impacts of climate change and disasters, but they can also be powerful agents of change to reduce these vulnerabilities. In general, </w:t>
      </w:r>
      <w:r w:rsidRPr="00135431">
        <w:rPr>
          <w:rFonts w:ascii="Calibri" w:hAnsi="Calibri" w:cs="Calibri"/>
        </w:rPr>
        <w:t xml:space="preserve">action for climate change has given limited attention to the different experience of men and women and the need for policy and </w:t>
      </w:r>
      <w:r w:rsidR="00895613">
        <w:rPr>
          <w:rFonts w:ascii="Calibri" w:hAnsi="Calibri" w:cs="Calibri"/>
        </w:rPr>
        <w:t xml:space="preserve">programme </w:t>
      </w:r>
      <w:r w:rsidRPr="00135431">
        <w:rPr>
          <w:rFonts w:ascii="Calibri" w:hAnsi="Calibri" w:cs="Calibri"/>
        </w:rPr>
        <w:t>development which addresses these different needs</w:t>
      </w:r>
      <w:r w:rsidRPr="00135431">
        <w:rPr>
          <w:rStyle w:val="FootnoteReference"/>
          <w:rFonts w:ascii="Calibri" w:hAnsi="Calibri" w:cs="Calibri"/>
          <w:sz w:val="22"/>
        </w:rPr>
        <w:footnoteReference w:id="6"/>
      </w:r>
      <w:r w:rsidRPr="00135431">
        <w:rPr>
          <w:rFonts w:ascii="Calibri" w:hAnsi="Calibri" w:cs="Calibri"/>
        </w:rPr>
        <w:t>.</w:t>
      </w:r>
      <w:r w:rsidRPr="00135431">
        <w:rPr>
          <w:rFonts w:ascii="Calibri" w:hAnsi="Calibri" w:cs="Calibri"/>
          <w:lang w:val="en-US"/>
        </w:rPr>
        <w:t xml:space="preserve"> </w:t>
      </w:r>
    </w:p>
    <w:p w:rsidR="00BD24EA" w:rsidRDefault="00BD24EA" w:rsidP="00F36FAD">
      <w:pPr>
        <w:spacing w:after="0"/>
        <w:jc w:val="both"/>
        <w:rPr>
          <w:rFonts w:ascii="Calibri" w:hAnsi="Calibri" w:cs="Calibri"/>
          <w:iCs/>
        </w:rPr>
      </w:pPr>
    </w:p>
    <w:p w:rsidR="00F36FAD" w:rsidRPr="00135431" w:rsidRDefault="00F36FAD" w:rsidP="00F36FAD">
      <w:pPr>
        <w:spacing w:after="0"/>
        <w:jc w:val="both"/>
        <w:rPr>
          <w:rFonts w:ascii="Calibri" w:hAnsi="Calibri" w:cs="Calibri"/>
          <w:iCs/>
        </w:rPr>
      </w:pPr>
      <w:r w:rsidRPr="00135431">
        <w:rPr>
          <w:rFonts w:ascii="Calibri" w:hAnsi="Calibri" w:cs="Calibri"/>
          <w:iCs/>
        </w:rPr>
        <w:t xml:space="preserve">The Framework for Resilient Development in the Pacific (FRDP), endorsed in 2016 by Pacific leaders, </w:t>
      </w:r>
      <w:r w:rsidRPr="00135431">
        <w:rPr>
          <w:rFonts w:ascii="Calibri" w:hAnsi="Calibri" w:cs="Calibri"/>
          <w:iCs/>
          <w:lang w:val="en-US"/>
        </w:rPr>
        <w:t xml:space="preserve">demonstrates a clear recognition that </w:t>
      </w:r>
      <w:r w:rsidRPr="00135431">
        <w:rPr>
          <w:rFonts w:ascii="Calibri" w:hAnsi="Calibri" w:cs="Calibri"/>
          <w:iCs/>
        </w:rPr>
        <w:t>managing climate change and disaster</w:t>
      </w:r>
      <w:r w:rsidRPr="00135431">
        <w:rPr>
          <w:rFonts w:ascii="Calibri" w:hAnsi="Calibri" w:cs="Calibri"/>
          <w:iCs/>
          <w:lang w:val="en-US"/>
        </w:rPr>
        <w:t xml:space="preserve"> related </w:t>
      </w:r>
      <w:r w:rsidRPr="00135431">
        <w:rPr>
          <w:rFonts w:ascii="Calibri" w:hAnsi="Calibri" w:cs="Calibri"/>
          <w:iCs/>
        </w:rPr>
        <w:t xml:space="preserve">risk </w:t>
      </w:r>
      <w:r w:rsidRPr="00135431">
        <w:rPr>
          <w:rFonts w:ascii="Calibri" w:hAnsi="Calibri" w:cs="Calibri"/>
          <w:iCs/>
          <w:lang w:val="en-US"/>
        </w:rPr>
        <w:t xml:space="preserve">must be undertaken in the context of </w:t>
      </w:r>
      <w:r w:rsidRPr="00135431">
        <w:rPr>
          <w:rFonts w:ascii="Calibri" w:hAnsi="Calibri" w:cs="Calibri"/>
          <w:iCs/>
        </w:rPr>
        <w:t>economic development.</w:t>
      </w:r>
      <w:r w:rsidRPr="00135431">
        <w:rPr>
          <w:rFonts w:ascii="Calibri" w:hAnsi="Calibri" w:cs="Calibri"/>
          <w:iCs/>
          <w:lang w:val="en-US"/>
        </w:rPr>
        <w:t xml:space="preserve"> </w:t>
      </w:r>
      <w:r w:rsidRPr="00135431">
        <w:rPr>
          <w:rFonts w:ascii="Calibri" w:hAnsi="Calibri" w:cs="Calibri"/>
          <w:iCs/>
        </w:rPr>
        <w:t xml:space="preserve">The FRDP treats climate and disaster risks as fundamental development issue and as a first principle it calls for countries to ‘mainstream </w:t>
      </w:r>
      <w:r w:rsidR="00E02BB3">
        <w:rPr>
          <w:rFonts w:ascii="Calibri" w:hAnsi="Calibri" w:cs="Calibri"/>
          <w:iCs/>
        </w:rPr>
        <w:t xml:space="preserve">[them] </w:t>
      </w:r>
      <w:r w:rsidRPr="00135431">
        <w:rPr>
          <w:rFonts w:ascii="Calibri" w:hAnsi="Calibri" w:cs="Calibri"/>
          <w:iCs/>
        </w:rPr>
        <w:t>into development planning including policy making, planning, financing, programming and implementation, to build resilience’</w:t>
      </w:r>
      <w:r w:rsidRPr="00135431">
        <w:rPr>
          <w:rStyle w:val="FootnoteReference"/>
          <w:rFonts w:ascii="Calibri" w:hAnsi="Calibri" w:cs="Calibri"/>
          <w:iCs/>
          <w:sz w:val="22"/>
        </w:rPr>
        <w:footnoteReference w:id="7"/>
      </w:r>
      <w:r w:rsidRPr="00135431">
        <w:rPr>
          <w:rFonts w:ascii="Calibri" w:hAnsi="Calibri" w:cs="Calibri"/>
          <w:iCs/>
        </w:rPr>
        <w:t>. It also places gender and protection as key principles that are central to the implementation of the FRDP</w:t>
      </w:r>
      <w:r w:rsidRPr="00135431">
        <w:rPr>
          <w:rStyle w:val="FootnoteReference"/>
          <w:rFonts w:ascii="Calibri" w:hAnsi="Calibri" w:cs="Calibri"/>
          <w:iCs/>
          <w:sz w:val="22"/>
        </w:rPr>
        <w:footnoteReference w:id="8"/>
      </w:r>
      <w:r w:rsidRPr="00135431">
        <w:rPr>
          <w:rFonts w:ascii="Calibri" w:hAnsi="Calibri" w:cs="Calibri"/>
          <w:iCs/>
        </w:rPr>
        <w:t>.</w:t>
      </w:r>
    </w:p>
    <w:p w:rsidR="00F36FAD" w:rsidRPr="00135431" w:rsidRDefault="00F36FAD" w:rsidP="00F36FAD">
      <w:pPr>
        <w:spacing w:after="0"/>
        <w:jc w:val="both"/>
        <w:rPr>
          <w:rFonts w:ascii="Calibri" w:hAnsi="Calibri" w:cs="Calibri"/>
          <w:iCs/>
        </w:rPr>
      </w:pPr>
    </w:p>
    <w:p w:rsidR="00F36FAD" w:rsidRPr="00135431" w:rsidRDefault="00F36FAD" w:rsidP="00F36FAD">
      <w:pPr>
        <w:spacing w:after="0"/>
        <w:jc w:val="both"/>
        <w:rPr>
          <w:rFonts w:ascii="Calibri" w:hAnsi="Calibri" w:cs="Calibri"/>
          <w:iCs/>
        </w:rPr>
      </w:pPr>
      <w:r w:rsidRPr="00135431">
        <w:rPr>
          <w:rFonts w:ascii="Calibri" w:hAnsi="Calibri" w:cs="Calibri"/>
          <w:iCs/>
          <w:lang w:val="en-US"/>
        </w:rPr>
        <w:t xml:space="preserve">Measures taken to </w:t>
      </w:r>
      <w:r w:rsidRPr="00135431">
        <w:rPr>
          <w:rFonts w:ascii="Calibri" w:hAnsi="Calibri" w:cs="Calibri"/>
          <w:iCs/>
        </w:rPr>
        <w:t xml:space="preserve">address climate change and disaster risk </w:t>
      </w:r>
      <w:r w:rsidRPr="00135431">
        <w:rPr>
          <w:rFonts w:ascii="Calibri" w:hAnsi="Calibri" w:cs="Calibri"/>
          <w:iCs/>
          <w:lang w:val="en-US"/>
        </w:rPr>
        <w:t xml:space="preserve">tend to bypass </w:t>
      </w:r>
      <w:r w:rsidRPr="00135431">
        <w:rPr>
          <w:rFonts w:ascii="Calibri" w:hAnsi="Calibri" w:cs="Calibri"/>
          <w:iCs/>
        </w:rPr>
        <w:t>development planning, budgeting and program</w:t>
      </w:r>
      <w:r w:rsidRPr="00135431">
        <w:rPr>
          <w:rFonts w:ascii="Calibri" w:hAnsi="Calibri" w:cs="Calibri"/>
          <w:iCs/>
          <w:lang w:val="en-US"/>
        </w:rPr>
        <w:t>me</w:t>
      </w:r>
      <w:r w:rsidRPr="00135431">
        <w:rPr>
          <w:rFonts w:ascii="Calibri" w:hAnsi="Calibri" w:cs="Calibri"/>
          <w:iCs/>
        </w:rPr>
        <w:t xml:space="preserve"> implementation </w:t>
      </w:r>
      <w:r w:rsidRPr="00135431">
        <w:rPr>
          <w:rFonts w:ascii="Calibri" w:hAnsi="Calibri" w:cs="Calibri"/>
          <w:iCs/>
          <w:lang w:val="en-US"/>
        </w:rPr>
        <w:t xml:space="preserve">at </w:t>
      </w:r>
      <w:r w:rsidRPr="00135431">
        <w:rPr>
          <w:rFonts w:ascii="Calibri" w:hAnsi="Calibri" w:cs="Calibri"/>
          <w:iCs/>
        </w:rPr>
        <w:t xml:space="preserve">national and subnational </w:t>
      </w:r>
      <w:r w:rsidRPr="00135431">
        <w:rPr>
          <w:rFonts w:ascii="Calibri" w:hAnsi="Calibri" w:cs="Calibri"/>
          <w:iCs/>
          <w:lang w:val="en-US"/>
        </w:rPr>
        <w:t>levels of government</w:t>
      </w:r>
      <w:r w:rsidRPr="00135431">
        <w:rPr>
          <w:rFonts w:ascii="Calibri" w:hAnsi="Calibri" w:cs="Calibri"/>
          <w:iCs/>
        </w:rPr>
        <w:t>.</w:t>
      </w:r>
      <w:r w:rsidRPr="00135431">
        <w:rPr>
          <w:rFonts w:ascii="Calibri" w:hAnsi="Calibri" w:cs="Calibri"/>
          <w:iCs/>
          <w:lang w:val="en-US"/>
        </w:rPr>
        <w:t xml:space="preserve"> These ‘risk-first’ approaches treat climate and disaster risks as an add on to development work requiring new or parallel sets of processes rather than embedding risk management into the fundamentals of development</w:t>
      </w:r>
      <w:r w:rsidR="00DC3D64">
        <w:rPr>
          <w:rStyle w:val="FootnoteReference"/>
          <w:rFonts w:cs="Calibri"/>
          <w:iCs/>
          <w:lang w:val="en-US"/>
        </w:rPr>
        <w:footnoteReference w:id="9"/>
      </w:r>
      <w:r w:rsidRPr="00135431">
        <w:rPr>
          <w:rFonts w:ascii="Calibri" w:hAnsi="Calibri" w:cs="Calibri"/>
          <w:iCs/>
          <w:lang w:val="en-US"/>
        </w:rPr>
        <w:t>. As a result, such approaches tend to target specific locations or sectors (termed as ‘narrow adaptation’), rather than focusing on strengthening the resilience of whole systems of governance</w:t>
      </w:r>
      <w:r w:rsidRPr="00135431">
        <w:rPr>
          <w:rFonts w:ascii="Calibri" w:hAnsi="Calibri" w:cs="Calibri"/>
          <w:iCs/>
        </w:rPr>
        <w:t>.</w:t>
      </w:r>
    </w:p>
    <w:p w:rsidR="00F36FAD" w:rsidRPr="00135431" w:rsidRDefault="00F36FAD" w:rsidP="00F36FAD">
      <w:pPr>
        <w:spacing w:after="0"/>
        <w:jc w:val="both"/>
        <w:rPr>
          <w:rFonts w:ascii="Calibri" w:hAnsi="Calibri" w:cs="Calibri"/>
          <w:iCs/>
          <w:lang w:val="en-US"/>
        </w:rPr>
      </w:pPr>
    </w:p>
    <w:p w:rsidR="00F36FAD" w:rsidRPr="00135431" w:rsidRDefault="00F36FAD" w:rsidP="00F36FAD">
      <w:pPr>
        <w:spacing w:after="0"/>
        <w:jc w:val="both"/>
        <w:rPr>
          <w:rFonts w:ascii="Calibri" w:hAnsi="Calibri" w:cs="Calibri"/>
          <w:lang w:val="en-US"/>
        </w:rPr>
      </w:pPr>
      <w:r w:rsidRPr="00135431">
        <w:rPr>
          <w:rFonts w:ascii="Calibri" w:hAnsi="Calibri" w:cs="Calibri"/>
          <w:iCs/>
          <w:lang w:val="en-US"/>
        </w:rPr>
        <w:t>Countries in the Pacific have been able to access significant level</w:t>
      </w:r>
      <w:r w:rsidR="00B6250C">
        <w:rPr>
          <w:rFonts w:ascii="Calibri" w:hAnsi="Calibri" w:cs="Calibri"/>
          <w:iCs/>
          <w:lang w:val="en-US"/>
        </w:rPr>
        <w:t>s</w:t>
      </w:r>
      <w:r w:rsidRPr="00135431">
        <w:rPr>
          <w:rFonts w:ascii="Calibri" w:hAnsi="Calibri" w:cs="Calibri"/>
          <w:iCs/>
          <w:lang w:val="en-US"/>
        </w:rPr>
        <w:t xml:space="preserve"> of funding to address goals relating to the FRDP</w:t>
      </w:r>
      <w:r w:rsidRPr="00135431">
        <w:rPr>
          <w:rStyle w:val="FootnoteReference"/>
          <w:rFonts w:ascii="Calibri" w:hAnsi="Calibri" w:cs="Calibri"/>
          <w:iCs/>
          <w:sz w:val="22"/>
        </w:rPr>
        <w:footnoteReference w:id="10"/>
      </w:r>
      <w:r w:rsidR="00B6250C">
        <w:rPr>
          <w:rFonts w:ascii="Calibri" w:hAnsi="Calibri" w:cs="Calibri"/>
          <w:iCs/>
          <w:lang w:val="en-US"/>
        </w:rPr>
        <w:t>,</w:t>
      </w:r>
      <w:r w:rsidRPr="00135431">
        <w:rPr>
          <w:rFonts w:ascii="Calibri" w:hAnsi="Calibri" w:cs="Calibri"/>
          <w:iCs/>
          <w:lang w:val="en-US"/>
        </w:rPr>
        <w:t xml:space="preserve"> but questions still remain around effectiveness. For instance, over the </w:t>
      </w:r>
      <w:r w:rsidRPr="00135431">
        <w:rPr>
          <w:rFonts w:ascii="Calibri" w:hAnsi="Calibri" w:cs="Calibri"/>
          <w:lang w:val="en-US"/>
        </w:rPr>
        <w:t>last ten years US$1.1</w:t>
      </w:r>
      <w:r w:rsidR="00B6250C">
        <w:rPr>
          <w:rFonts w:ascii="Calibri" w:hAnsi="Calibri" w:cs="Calibri"/>
          <w:lang w:val="en-US"/>
        </w:rPr>
        <w:t xml:space="preserve"> </w:t>
      </w:r>
      <w:r w:rsidRPr="00135431">
        <w:rPr>
          <w:rFonts w:ascii="Calibri" w:hAnsi="Calibri" w:cs="Calibri"/>
          <w:lang w:val="en-US"/>
        </w:rPr>
        <w:t>b</w:t>
      </w:r>
      <w:r w:rsidR="00B6250C">
        <w:rPr>
          <w:rFonts w:ascii="Calibri" w:hAnsi="Calibri" w:cs="Calibri"/>
          <w:lang w:val="en-US"/>
        </w:rPr>
        <w:t>illio</w:t>
      </w:r>
      <w:r w:rsidRPr="00135431">
        <w:rPr>
          <w:rFonts w:ascii="Calibri" w:hAnsi="Calibri" w:cs="Calibri"/>
          <w:lang w:val="en-US"/>
        </w:rPr>
        <w:t xml:space="preserve">n has been accessed by PICs to address climate change adaptation and mitigation. Whilst the focus has historically been on gaining ‘access’, more questions are being raised around the ‘effectiveness’ of this financing. This has shown that a large portion (about 86%) of this funding is project-focused, outside of budget allocation systems and generally targeted at ‘narrow’ adaptation </w:t>
      </w:r>
      <w:r w:rsidRPr="000A7F6A">
        <w:rPr>
          <w:rFonts w:ascii="Calibri" w:hAnsi="Calibri" w:cs="Calibri"/>
          <w:lang w:val="en-US"/>
        </w:rPr>
        <w:t xml:space="preserve">measures </w:t>
      </w:r>
      <w:r w:rsidRPr="00FA2F79">
        <w:rPr>
          <w:rFonts w:ascii="Calibri" w:hAnsi="Calibri" w:cs="Calibri"/>
          <w:lang w:val="en-US"/>
        </w:rPr>
        <w:t>i</w:t>
      </w:r>
      <w:r w:rsidRPr="00E06AA2">
        <w:rPr>
          <w:rFonts w:ascii="Calibri" w:hAnsi="Calibri" w:cs="Calibri"/>
          <w:lang w:val="en-US"/>
        </w:rPr>
        <w:t>n</w:t>
      </w:r>
      <w:r w:rsidRPr="0091517F">
        <w:rPr>
          <w:rFonts w:ascii="Calibri" w:hAnsi="Calibri" w:cs="Calibri"/>
          <w:lang w:val="en-US"/>
        </w:rPr>
        <w:t>stead of</w:t>
      </w:r>
      <w:r w:rsidR="00B6250C" w:rsidRPr="0091517F">
        <w:rPr>
          <w:rFonts w:ascii="Calibri" w:hAnsi="Calibri" w:cs="Calibri"/>
          <w:lang w:val="en-US"/>
        </w:rPr>
        <w:t xml:space="preserve"> transf</w:t>
      </w:r>
      <w:r w:rsidR="00B6250C" w:rsidRPr="00B32CD7">
        <w:rPr>
          <w:rFonts w:ascii="Calibri" w:hAnsi="Calibri" w:cs="Calibri"/>
          <w:lang w:val="en-US"/>
        </w:rPr>
        <w:t>orming</w:t>
      </w:r>
      <w:r w:rsidR="00B6250C">
        <w:rPr>
          <w:rFonts w:ascii="Calibri" w:hAnsi="Calibri" w:cs="Calibri"/>
          <w:lang w:val="en-US"/>
        </w:rPr>
        <w:t xml:space="preserve"> planning and budgeting systems</w:t>
      </w:r>
      <w:r w:rsidR="00270183">
        <w:rPr>
          <w:rStyle w:val="FootnoteReference"/>
          <w:rFonts w:cs="Calibri"/>
          <w:lang w:val="en-US"/>
        </w:rPr>
        <w:footnoteReference w:id="11"/>
      </w:r>
      <w:r w:rsidRPr="00135431">
        <w:rPr>
          <w:rFonts w:ascii="Calibri" w:hAnsi="Calibri" w:cs="Calibri"/>
          <w:lang w:val="en-US"/>
        </w:rPr>
        <w:t>. These trends again highlight the need for more programmatic approaches embedded within development programming and systems.</w:t>
      </w:r>
    </w:p>
    <w:p w:rsidR="00BD24EA" w:rsidRDefault="00BD24EA" w:rsidP="00F36FAD">
      <w:pPr>
        <w:spacing w:after="0"/>
        <w:jc w:val="both"/>
        <w:rPr>
          <w:rFonts w:ascii="Calibri" w:hAnsi="Calibri" w:cs="Calibri"/>
          <w:iCs/>
          <w:lang w:val="en-US"/>
        </w:rPr>
      </w:pPr>
    </w:p>
    <w:p w:rsidR="00B6250C" w:rsidRDefault="00B6250C" w:rsidP="00B6250C">
      <w:pPr>
        <w:spacing w:after="0"/>
        <w:jc w:val="both"/>
        <w:rPr>
          <w:rFonts w:ascii="Calibri" w:hAnsi="Calibri" w:cs="Calibri"/>
          <w:iCs/>
          <w:lang w:val="en-US"/>
        </w:rPr>
      </w:pPr>
      <w:r w:rsidRPr="00135431">
        <w:rPr>
          <w:rFonts w:ascii="Calibri" w:hAnsi="Calibri" w:cs="Calibri"/>
          <w:iCs/>
        </w:rPr>
        <w:t xml:space="preserve">Climate change investments in the Pacific often fall outside of domestic development planning, budgeting and implementation processes and are conventionally delivered through stand-alone investments. </w:t>
      </w:r>
      <w:r>
        <w:rPr>
          <w:rFonts w:ascii="Calibri" w:hAnsi="Calibri" w:cs="Calibri"/>
          <w:iCs/>
        </w:rPr>
        <w:t>Further, p</w:t>
      </w:r>
      <w:r w:rsidRPr="00135431">
        <w:rPr>
          <w:rFonts w:ascii="Calibri" w:hAnsi="Calibri" w:cs="Calibri"/>
          <w:iCs/>
        </w:rPr>
        <w:t xml:space="preserve">lanning, budgeting and implementation processes for development are not adequately risk informed. This poses fundamental challenges for </w:t>
      </w:r>
      <w:r w:rsidRPr="00135431">
        <w:rPr>
          <w:rFonts w:ascii="Calibri" w:hAnsi="Calibri" w:cs="Calibri"/>
          <w:iCs/>
          <w:u w:val="single"/>
        </w:rPr>
        <w:t>sustainable development</w:t>
      </w:r>
      <w:r w:rsidRPr="00135431">
        <w:rPr>
          <w:rFonts w:ascii="Calibri" w:hAnsi="Calibri" w:cs="Calibri"/>
          <w:iCs/>
        </w:rPr>
        <w:t xml:space="preserve"> and dealing with climate change as a development issue, given that vulnerability in the region to climate change is largely rooted in ‘unchecked’</w:t>
      </w:r>
      <w:r w:rsidRPr="00135431">
        <w:rPr>
          <w:rFonts w:ascii="Calibri" w:hAnsi="Calibri" w:cs="Calibri"/>
        </w:rPr>
        <w:t xml:space="preserve"> development and gender and social disparities.</w:t>
      </w:r>
      <w:r>
        <w:rPr>
          <w:rFonts w:ascii="Calibri" w:hAnsi="Calibri" w:cs="Calibri"/>
          <w:iCs/>
          <w:lang w:val="en-US"/>
        </w:rPr>
        <w:t xml:space="preserve"> E</w:t>
      </w:r>
      <w:r w:rsidRPr="00135431">
        <w:rPr>
          <w:rFonts w:ascii="Calibri" w:hAnsi="Calibri" w:cs="Calibri"/>
          <w:iCs/>
          <w:lang w:val="en-US"/>
        </w:rPr>
        <w:t>ven when priorities have been identified, they tend to have been lost when mainstreamed into national development planning and budgetary processes. Consequently, risk management interventions often do not emerge as a priority and receive relatively low budget allocations across PICs i.e. between 4% and 10% of total development budget allocations</w:t>
      </w:r>
      <w:r>
        <w:rPr>
          <w:rStyle w:val="FootnoteReference"/>
          <w:rFonts w:cs="Calibri"/>
          <w:iCs/>
          <w:lang w:val="en-US"/>
        </w:rPr>
        <w:footnoteReference w:id="12"/>
      </w:r>
      <w:r w:rsidRPr="00135431">
        <w:rPr>
          <w:rFonts w:ascii="Calibri" w:hAnsi="Calibri" w:cs="Calibri"/>
          <w:iCs/>
          <w:lang w:val="en-US"/>
        </w:rPr>
        <w:t>.</w:t>
      </w:r>
    </w:p>
    <w:p w:rsidR="00B6250C" w:rsidRPr="00135431" w:rsidRDefault="00B6250C" w:rsidP="00B6250C">
      <w:pPr>
        <w:spacing w:after="0"/>
        <w:jc w:val="both"/>
        <w:rPr>
          <w:rFonts w:ascii="Calibri" w:hAnsi="Calibri" w:cs="Calibri"/>
          <w:iCs/>
          <w:lang w:val="en-US"/>
        </w:rPr>
      </w:pPr>
    </w:p>
    <w:p w:rsidR="00B6250C" w:rsidRPr="005A338D" w:rsidRDefault="00B6250C" w:rsidP="005A338D">
      <w:pPr>
        <w:jc w:val="both"/>
      </w:pPr>
      <w:r w:rsidRPr="005A338D">
        <w:rPr>
          <w:rFonts w:ascii="Calibri" w:hAnsi="Calibri" w:cs="Calibri"/>
        </w:rPr>
        <w:t>In response to such concerns, there is growing demand for the treatment of risk as an integral part of development</w:t>
      </w:r>
      <w:r w:rsidR="00062DD7">
        <w:rPr>
          <w:rFonts w:ascii="Calibri" w:hAnsi="Calibri" w:cs="Calibri"/>
        </w:rPr>
        <w:t>; a</w:t>
      </w:r>
      <w:r w:rsidRPr="005A338D">
        <w:rPr>
          <w:rFonts w:ascii="Calibri" w:hAnsi="Calibri" w:cs="Calibri"/>
        </w:rPr>
        <w:t xml:space="preserve"> ‘development first’ approach </w:t>
      </w:r>
      <w:r w:rsidR="00062DD7">
        <w:rPr>
          <w:rFonts w:ascii="Calibri" w:hAnsi="Calibri" w:cs="Calibri"/>
        </w:rPr>
        <w:t xml:space="preserve">to managing risk </w:t>
      </w:r>
      <w:r w:rsidRPr="005A338D">
        <w:rPr>
          <w:rFonts w:ascii="Calibri" w:hAnsi="Calibri" w:cs="Calibri"/>
        </w:rPr>
        <w:t>is gaining traction</w:t>
      </w:r>
      <w:r w:rsidRPr="005A338D">
        <w:rPr>
          <w:rFonts w:ascii="Calibri" w:hAnsi="Calibri"/>
          <w:vertAlign w:val="superscript"/>
        </w:rPr>
        <w:footnoteReference w:id="13"/>
      </w:r>
      <w:r w:rsidRPr="005A338D">
        <w:rPr>
          <w:rFonts w:ascii="Calibri" w:hAnsi="Calibri" w:cs="Calibri"/>
          <w:vertAlign w:val="superscript"/>
        </w:rPr>
        <w:t>.</w:t>
      </w:r>
      <w:r>
        <w:rPr>
          <w:rFonts w:ascii="Calibri" w:hAnsi="Calibri" w:cs="Calibri"/>
        </w:rPr>
        <w:t xml:space="preserve"> </w:t>
      </w:r>
      <w:r w:rsidRPr="000A7F6A">
        <w:rPr>
          <w:rFonts w:ascii="Calibri" w:hAnsi="Calibri" w:cs="Calibri"/>
        </w:rPr>
        <w:t xml:space="preserve">Current </w:t>
      </w:r>
      <w:r>
        <w:rPr>
          <w:rFonts w:ascii="Calibri" w:hAnsi="Calibri" w:cs="Calibri"/>
        </w:rPr>
        <w:t>d</w:t>
      </w:r>
      <w:r w:rsidRPr="00135431">
        <w:rPr>
          <w:rFonts w:ascii="Calibri" w:hAnsi="Calibri" w:cs="Calibri"/>
        </w:rPr>
        <w:t xml:space="preserve">evelopment planning, processes and tools generally do not take into account climate change and gender risk management. This can be </w:t>
      </w:r>
      <w:r>
        <w:rPr>
          <w:rFonts w:ascii="Calibri" w:hAnsi="Calibri" w:cs="Calibri"/>
        </w:rPr>
        <w:t xml:space="preserve">partly </w:t>
      </w:r>
      <w:r w:rsidRPr="00135431">
        <w:rPr>
          <w:rFonts w:ascii="Calibri" w:hAnsi="Calibri" w:cs="Calibri"/>
        </w:rPr>
        <w:t xml:space="preserve">attributed to the fact that public financial management processes are mostly built around sectors, posing challenges for </w:t>
      </w:r>
      <w:r w:rsidRPr="00135431">
        <w:rPr>
          <w:rFonts w:ascii="Calibri" w:hAnsi="Calibri" w:cs="Calibri"/>
          <w:u w:val="single"/>
        </w:rPr>
        <w:t>mainstreaming</w:t>
      </w:r>
      <w:r w:rsidRPr="00135431">
        <w:rPr>
          <w:rFonts w:ascii="Calibri" w:hAnsi="Calibri" w:cs="Calibri"/>
        </w:rPr>
        <w:t xml:space="preserve"> of cross-cutting issues such as climate change</w:t>
      </w:r>
      <w:r w:rsidR="00062DD7">
        <w:rPr>
          <w:rFonts w:ascii="Calibri" w:hAnsi="Calibri" w:cs="Calibri"/>
        </w:rPr>
        <w:t xml:space="preserve"> and </w:t>
      </w:r>
      <w:r w:rsidR="002E4231">
        <w:rPr>
          <w:rFonts w:ascii="Calibri" w:hAnsi="Calibri" w:cs="Calibri"/>
        </w:rPr>
        <w:t>gender and social inclusive</w:t>
      </w:r>
      <w:r w:rsidR="00062DD7">
        <w:rPr>
          <w:rFonts w:ascii="Calibri" w:hAnsi="Calibri" w:cs="Calibri"/>
        </w:rPr>
        <w:t xml:space="preserve"> development</w:t>
      </w:r>
      <w:r w:rsidRPr="00135431">
        <w:rPr>
          <w:rFonts w:ascii="Calibri" w:hAnsi="Calibri" w:cs="Calibri"/>
        </w:rPr>
        <w:t xml:space="preserve"> into the planning and budgeting processes. </w:t>
      </w:r>
    </w:p>
    <w:p w:rsidR="00B6250C" w:rsidRPr="00135431" w:rsidRDefault="00B6250C" w:rsidP="00B6250C">
      <w:pPr>
        <w:pStyle w:val="Default"/>
        <w:spacing w:line="259" w:lineRule="auto"/>
        <w:jc w:val="both"/>
        <w:rPr>
          <w:rFonts w:ascii="Calibri" w:hAnsi="Calibri" w:cs="Calibri"/>
          <w:sz w:val="22"/>
          <w:szCs w:val="22"/>
        </w:rPr>
      </w:pPr>
      <w:r>
        <w:rPr>
          <w:rFonts w:ascii="Calibri" w:hAnsi="Calibri" w:cs="Calibri"/>
          <w:iCs/>
          <w:sz w:val="22"/>
          <w:szCs w:val="22"/>
        </w:rPr>
        <w:t>In addition, d</w:t>
      </w:r>
      <w:r w:rsidRPr="00135431">
        <w:rPr>
          <w:rFonts w:ascii="Calibri" w:hAnsi="Calibri" w:cs="Calibri"/>
          <w:iCs/>
          <w:sz w:val="22"/>
          <w:szCs w:val="22"/>
        </w:rPr>
        <w:t xml:space="preserve">evelopment decision makers and practitioners are generally not engaged or adequately equipped to manage climate and disaster risks. People are at the root of more sustainable development outcomes, however in the Pacific there is often a </w:t>
      </w:r>
      <w:r w:rsidR="00A50AC9">
        <w:rPr>
          <w:rFonts w:ascii="Calibri" w:hAnsi="Calibri" w:cs="Calibri"/>
          <w:iCs/>
          <w:sz w:val="22"/>
          <w:szCs w:val="22"/>
        </w:rPr>
        <w:t>lack of space, time and capacity within</w:t>
      </w:r>
      <w:r w:rsidR="00926269">
        <w:rPr>
          <w:rFonts w:ascii="Calibri" w:hAnsi="Calibri" w:cs="Calibri"/>
          <w:iCs/>
          <w:sz w:val="22"/>
          <w:szCs w:val="22"/>
        </w:rPr>
        <w:t xml:space="preserve"> planning and budgeting functions and leadershi</w:t>
      </w:r>
      <w:r w:rsidR="00A50AC9">
        <w:rPr>
          <w:rFonts w:ascii="Calibri" w:hAnsi="Calibri" w:cs="Calibri"/>
          <w:iCs/>
          <w:sz w:val="22"/>
          <w:szCs w:val="22"/>
        </w:rPr>
        <w:t xml:space="preserve">p to promote </w:t>
      </w:r>
      <w:r w:rsidR="00926269">
        <w:rPr>
          <w:rFonts w:ascii="Calibri" w:hAnsi="Calibri" w:cs="Calibri"/>
          <w:iCs/>
          <w:sz w:val="22"/>
          <w:szCs w:val="22"/>
        </w:rPr>
        <w:t>climate change and disaster risk management</w:t>
      </w:r>
      <w:r w:rsidRPr="00135431">
        <w:rPr>
          <w:rFonts w:ascii="Calibri" w:hAnsi="Calibri" w:cs="Calibri"/>
          <w:iCs/>
          <w:sz w:val="22"/>
          <w:szCs w:val="22"/>
        </w:rPr>
        <w:t xml:space="preserve">. </w:t>
      </w:r>
      <w:r w:rsidR="00A50AC9">
        <w:rPr>
          <w:rFonts w:ascii="Calibri" w:hAnsi="Calibri" w:cs="Calibri"/>
          <w:iCs/>
          <w:sz w:val="22"/>
          <w:szCs w:val="22"/>
        </w:rPr>
        <w:t xml:space="preserve">Similarly, </w:t>
      </w:r>
      <w:r w:rsidRPr="00135431">
        <w:rPr>
          <w:rFonts w:ascii="Calibri" w:hAnsi="Calibri" w:cs="Calibri"/>
          <w:iCs/>
          <w:sz w:val="22"/>
          <w:szCs w:val="22"/>
        </w:rPr>
        <w:t>technical climate change and disaster risk management functions</w:t>
      </w:r>
      <w:r w:rsidR="00A50AC9">
        <w:rPr>
          <w:rFonts w:ascii="Calibri" w:hAnsi="Calibri" w:cs="Calibri"/>
          <w:iCs/>
          <w:sz w:val="22"/>
          <w:szCs w:val="22"/>
        </w:rPr>
        <w:t xml:space="preserve"> often have l</w:t>
      </w:r>
      <w:r w:rsidRPr="00135431">
        <w:rPr>
          <w:rFonts w:ascii="Calibri" w:hAnsi="Calibri" w:cs="Calibri"/>
          <w:iCs/>
          <w:sz w:val="22"/>
          <w:szCs w:val="22"/>
        </w:rPr>
        <w:t xml:space="preserve">ittle or no </w:t>
      </w:r>
      <w:r w:rsidR="00062DD7">
        <w:rPr>
          <w:rFonts w:ascii="Calibri" w:hAnsi="Calibri" w:cs="Calibri"/>
          <w:iCs/>
          <w:sz w:val="22"/>
          <w:szCs w:val="22"/>
        </w:rPr>
        <w:t>access to</w:t>
      </w:r>
      <w:r w:rsidRPr="00135431">
        <w:rPr>
          <w:rFonts w:ascii="Calibri" w:hAnsi="Calibri" w:cs="Calibri"/>
          <w:iCs/>
          <w:sz w:val="22"/>
          <w:szCs w:val="22"/>
        </w:rPr>
        <w:t xml:space="preserve"> support planning and finance officers in government or private sector to risk inform their development activities. To drive sustainable development, it is critical that development decision makers and practitioners have the awareness and fit-for-purpose knowledge of risk management</w:t>
      </w:r>
      <w:r w:rsidRPr="00135431">
        <w:rPr>
          <w:rFonts w:ascii="Calibri" w:hAnsi="Calibri" w:cs="Calibri"/>
          <w:sz w:val="22"/>
          <w:szCs w:val="22"/>
        </w:rPr>
        <w:t xml:space="preserve"> to drive and sustain risk informed development from within development practice.</w:t>
      </w:r>
    </w:p>
    <w:p w:rsidR="00A22CE5" w:rsidRDefault="00B6250C" w:rsidP="00A22CE5">
      <w:pPr>
        <w:spacing w:after="0"/>
        <w:jc w:val="both"/>
        <w:rPr>
          <w:rFonts w:ascii="Calibri" w:hAnsi="Calibri" w:cs="Calibri"/>
          <w:iCs/>
          <w:lang w:val="en-US"/>
        </w:rPr>
      </w:pPr>
      <w:r>
        <w:rPr>
          <w:rFonts w:ascii="Calibri" w:hAnsi="Calibri" w:cs="Calibri"/>
          <w:iCs/>
          <w:lang w:val="en-US"/>
        </w:rPr>
        <w:t>Finally, previous</w:t>
      </w:r>
      <w:r w:rsidRPr="00135431">
        <w:rPr>
          <w:rFonts w:ascii="Calibri" w:hAnsi="Calibri" w:cs="Calibri"/>
          <w:iCs/>
          <w:lang w:val="en-US"/>
        </w:rPr>
        <w:t xml:space="preserve"> efforts </w:t>
      </w:r>
      <w:r w:rsidRPr="00135431">
        <w:rPr>
          <w:rFonts w:ascii="Calibri" w:hAnsi="Calibri" w:cs="Calibri"/>
          <w:iCs/>
        </w:rPr>
        <w:t>to mainstream CCA and DRR often assume</w:t>
      </w:r>
      <w:r>
        <w:rPr>
          <w:rFonts w:ascii="Calibri" w:hAnsi="Calibri" w:cs="Calibri"/>
          <w:iCs/>
        </w:rPr>
        <w:t>d</w:t>
      </w:r>
      <w:r w:rsidRPr="00135431">
        <w:rPr>
          <w:rFonts w:ascii="Calibri" w:hAnsi="Calibri" w:cs="Calibri"/>
          <w:iCs/>
        </w:rPr>
        <w:t xml:space="preserve"> that the underlying development planning </w:t>
      </w:r>
      <w:r w:rsidRPr="00135431">
        <w:rPr>
          <w:rFonts w:ascii="Calibri" w:hAnsi="Calibri" w:cs="Calibri"/>
          <w:iCs/>
          <w:lang w:val="en-US"/>
        </w:rPr>
        <w:t xml:space="preserve">and financing </w:t>
      </w:r>
      <w:r w:rsidRPr="00135431">
        <w:rPr>
          <w:rFonts w:ascii="Calibri" w:hAnsi="Calibri" w:cs="Calibri"/>
          <w:iCs/>
        </w:rPr>
        <w:t xml:space="preserve">systems </w:t>
      </w:r>
      <w:r w:rsidRPr="00135431">
        <w:rPr>
          <w:rFonts w:ascii="Calibri" w:hAnsi="Calibri" w:cs="Calibri"/>
          <w:iCs/>
          <w:lang w:val="en-US"/>
        </w:rPr>
        <w:t xml:space="preserve">are </w:t>
      </w:r>
      <w:r w:rsidRPr="00135431">
        <w:rPr>
          <w:rFonts w:ascii="Calibri" w:hAnsi="Calibri" w:cs="Calibri"/>
          <w:iCs/>
        </w:rPr>
        <w:t>robust. Increasing effort is now being made to strengthen these development planning, prioritisation, decision-making and budgetary processes</w:t>
      </w:r>
      <w:r>
        <w:rPr>
          <w:rFonts w:ascii="Calibri" w:hAnsi="Calibri" w:cs="Calibri"/>
          <w:iCs/>
          <w:lang w:val="en-US"/>
        </w:rPr>
        <w:t xml:space="preserve"> and integration of risk has to happen in cooperation with these systems strengthening efforts. </w:t>
      </w:r>
    </w:p>
    <w:p w:rsidR="00A22CE5" w:rsidRDefault="00A22CE5" w:rsidP="00A22CE5">
      <w:pPr>
        <w:spacing w:after="0"/>
        <w:jc w:val="both"/>
        <w:rPr>
          <w:rFonts w:ascii="Calibri" w:hAnsi="Calibri" w:cs="Calibri"/>
          <w:iCs/>
          <w:lang w:val="en-US"/>
        </w:rPr>
      </w:pPr>
    </w:p>
    <w:p w:rsidR="00F36FAD" w:rsidRPr="00135431" w:rsidRDefault="00A22CE5" w:rsidP="00A22CE5">
      <w:pPr>
        <w:pStyle w:val="Caption"/>
        <w:rPr>
          <w:rFonts w:ascii="Calibri" w:hAnsi="Calibri" w:cs="Calibri"/>
          <w:u w:val="single"/>
          <w:lang w:val="en-US"/>
        </w:rPr>
      </w:pPr>
      <w:r>
        <w:t xml:space="preserve">Table </w:t>
      </w:r>
      <w:fldSimple w:instr=" SEQ Table \* ARABIC ">
        <w:r w:rsidR="004F5751">
          <w:rPr>
            <w:noProof/>
          </w:rPr>
          <w:t>1</w:t>
        </w:r>
      </w:fldSimple>
      <w:r>
        <w:t xml:space="preserve"> problem definition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7359"/>
      </w:tblGrid>
      <w:tr w:rsidR="00F36FAD" w:rsidRPr="00135431" w:rsidTr="00270183">
        <w:tc>
          <w:tcPr>
            <w:tcW w:w="2235" w:type="dxa"/>
            <w:shd w:val="clear" w:color="auto" w:fill="808080"/>
          </w:tcPr>
          <w:p w:rsidR="00F36FAD" w:rsidRPr="00135431" w:rsidRDefault="00F36FAD" w:rsidP="00391FF9">
            <w:pPr>
              <w:spacing w:after="0" w:line="240" w:lineRule="auto"/>
              <w:jc w:val="both"/>
              <w:rPr>
                <w:rFonts w:ascii="Calibri" w:hAnsi="Calibri" w:cs="Calibri"/>
                <w:color w:val="FFFFFF"/>
                <w:sz w:val="20"/>
                <w:szCs w:val="20"/>
                <w:lang w:val="en-US"/>
              </w:rPr>
            </w:pPr>
            <w:r w:rsidRPr="00135431">
              <w:rPr>
                <w:rFonts w:ascii="Calibri" w:hAnsi="Calibri" w:cs="Calibri"/>
                <w:color w:val="FFFFFF"/>
                <w:sz w:val="20"/>
                <w:szCs w:val="20"/>
                <w:lang w:val="en-US"/>
              </w:rPr>
              <w:t>Development Challenge</w:t>
            </w:r>
          </w:p>
        </w:tc>
        <w:tc>
          <w:tcPr>
            <w:tcW w:w="7371" w:type="dxa"/>
            <w:shd w:val="clear" w:color="auto" w:fill="auto"/>
          </w:tcPr>
          <w:p w:rsidR="00F36FAD" w:rsidRPr="00270183" w:rsidRDefault="00F36FAD" w:rsidP="00391FF9">
            <w:pPr>
              <w:spacing w:after="0" w:line="240" w:lineRule="auto"/>
              <w:jc w:val="both"/>
              <w:rPr>
                <w:rFonts w:ascii="Calibri" w:hAnsi="Calibri" w:cs="Calibri"/>
                <w:sz w:val="18"/>
                <w:szCs w:val="20"/>
                <w:lang w:val="en-US"/>
              </w:rPr>
            </w:pPr>
            <w:r w:rsidRPr="00270183">
              <w:rPr>
                <w:rFonts w:ascii="Calibri" w:hAnsi="Calibri" w:cs="Calibri"/>
                <w:sz w:val="18"/>
                <w:szCs w:val="20"/>
                <w:lang w:val="en-US"/>
              </w:rPr>
              <w:t xml:space="preserve">Climate </w:t>
            </w:r>
            <w:r w:rsidR="00E02BB3">
              <w:rPr>
                <w:rFonts w:ascii="Calibri" w:hAnsi="Calibri" w:cs="Calibri"/>
                <w:sz w:val="18"/>
                <w:szCs w:val="20"/>
                <w:lang w:val="en-US"/>
              </w:rPr>
              <w:t>c</w:t>
            </w:r>
            <w:r w:rsidRPr="00270183">
              <w:rPr>
                <w:rFonts w:ascii="Calibri" w:hAnsi="Calibri" w:cs="Calibri"/>
                <w:sz w:val="18"/>
                <w:szCs w:val="20"/>
                <w:lang w:val="en-US"/>
              </w:rPr>
              <w:t xml:space="preserve">hange and </w:t>
            </w:r>
            <w:r w:rsidR="00E02BB3">
              <w:rPr>
                <w:rFonts w:ascii="Calibri" w:hAnsi="Calibri" w:cs="Calibri"/>
                <w:sz w:val="18"/>
                <w:szCs w:val="20"/>
                <w:lang w:val="en-US"/>
              </w:rPr>
              <w:t>d</w:t>
            </w:r>
            <w:r w:rsidRPr="00270183">
              <w:rPr>
                <w:rFonts w:ascii="Calibri" w:hAnsi="Calibri" w:cs="Calibri"/>
                <w:sz w:val="18"/>
                <w:szCs w:val="20"/>
                <w:lang w:val="en-US"/>
              </w:rPr>
              <w:t>isasters severely hamper achievement of SDGs in the Pacific</w:t>
            </w:r>
            <w:r w:rsidR="00E02BB3">
              <w:rPr>
                <w:rFonts w:ascii="Calibri" w:hAnsi="Calibri" w:cs="Calibri"/>
                <w:sz w:val="18"/>
                <w:szCs w:val="20"/>
                <w:lang w:val="en-US"/>
              </w:rPr>
              <w:t>.</w:t>
            </w:r>
          </w:p>
        </w:tc>
      </w:tr>
      <w:tr w:rsidR="00F36FAD" w:rsidRPr="00135431" w:rsidTr="00270183">
        <w:tc>
          <w:tcPr>
            <w:tcW w:w="2235" w:type="dxa"/>
            <w:shd w:val="clear" w:color="auto" w:fill="808080"/>
          </w:tcPr>
          <w:p w:rsidR="00F36FAD" w:rsidRPr="00135431" w:rsidRDefault="00F36FAD" w:rsidP="00391FF9">
            <w:pPr>
              <w:spacing w:after="0" w:line="240" w:lineRule="auto"/>
              <w:jc w:val="both"/>
              <w:rPr>
                <w:rFonts w:ascii="Calibri" w:hAnsi="Calibri" w:cs="Calibri"/>
                <w:color w:val="FFFFFF"/>
                <w:sz w:val="20"/>
                <w:szCs w:val="20"/>
                <w:lang w:val="en-US"/>
              </w:rPr>
            </w:pPr>
            <w:r w:rsidRPr="00135431">
              <w:rPr>
                <w:rFonts w:ascii="Calibri" w:hAnsi="Calibri" w:cs="Calibri"/>
                <w:color w:val="FFFFFF"/>
                <w:sz w:val="20"/>
                <w:szCs w:val="20"/>
                <w:lang w:val="en-US"/>
              </w:rPr>
              <w:t>Immediate Causes</w:t>
            </w:r>
          </w:p>
        </w:tc>
        <w:tc>
          <w:tcPr>
            <w:tcW w:w="7371" w:type="dxa"/>
            <w:shd w:val="clear" w:color="auto" w:fill="auto"/>
          </w:tcPr>
          <w:p w:rsidR="00F36FAD" w:rsidRPr="00270183" w:rsidRDefault="00AA2919" w:rsidP="00AA2919">
            <w:pPr>
              <w:spacing w:after="0" w:line="240" w:lineRule="auto"/>
              <w:jc w:val="both"/>
              <w:rPr>
                <w:rFonts w:ascii="Calibri" w:hAnsi="Calibri" w:cs="Calibri"/>
                <w:sz w:val="18"/>
                <w:szCs w:val="20"/>
                <w:lang w:val="en-US"/>
              </w:rPr>
            </w:pPr>
            <w:r w:rsidRPr="00270183">
              <w:rPr>
                <w:rFonts w:ascii="Calibri" w:hAnsi="Calibri" w:cs="Calibri"/>
                <w:sz w:val="18"/>
                <w:szCs w:val="20"/>
                <w:lang w:val="en-US"/>
              </w:rPr>
              <w:t>Exposure to h</w:t>
            </w:r>
            <w:r w:rsidR="00F36FAD" w:rsidRPr="00270183">
              <w:rPr>
                <w:rFonts w:ascii="Calibri" w:hAnsi="Calibri" w:cs="Calibri"/>
                <w:sz w:val="18"/>
                <w:szCs w:val="20"/>
                <w:lang w:val="en-US"/>
              </w:rPr>
              <w:t>azard</w:t>
            </w:r>
            <w:r w:rsidRPr="00270183">
              <w:rPr>
                <w:rFonts w:ascii="Calibri" w:hAnsi="Calibri" w:cs="Calibri"/>
                <w:sz w:val="18"/>
                <w:szCs w:val="20"/>
                <w:lang w:val="en-US"/>
              </w:rPr>
              <w:t xml:space="preserve">s and specific </w:t>
            </w:r>
            <w:r w:rsidR="00F36FAD" w:rsidRPr="00270183">
              <w:rPr>
                <w:rFonts w:ascii="Calibri" w:hAnsi="Calibri" w:cs="Calibri"/>
                <w:sz w:val="18"/>
                <w:szCs w:val="20"/>
                <w:lang w:val="en-US"/>
              </w:rPr>
              <w:t>context</w:t>
            </w:r>
            <w:r w:rsidRPr="00270183">
              <w:rPr>
                <w:rFonts w:ascii="Calibri" w:hAnsi="Calibri" w:cs="Calibri"/>
                <w:sz w:val="18"/>
                <w:szCs w:val="20"/>
                <w:lang w:val="en-US"/>
              </w:rPr>
              <w:t xml:space="preserve"> of Pacific island countries make them more vulnerable to these hazards</w:t>
            </w:r>
            <w:r w:rsidR="00E02BB3">
              <w:rPr>
                <w:rFonts w:ascii="Calibri" w:hAnsi="Calibri" w:cs="Calibri"/>
                <w:sz w:val="18"/>
                <w:szCs w:val="20"/>
                <w:lang w:val="en-US"/>
              </w:rPr>
              <w:t>.</w:t>
            </w:r>
          </w:p>
        </w:tc>
      </w:tr>
      <w:tr w:rsidR="00F36FAD" w:rsidRPr="00135431" w:rsidTr="00270183">
        <w:tc>
          <w:tcPr>
            <w:tcW w:w="2235" w:type="dxa"/>
            <w:shd w:val="clear" w:color="auto" w:fill="808080"/>
          </w:tcPr>
          <w:p w:rsidR="00F36FAD" w:rsidRPr="00135431" w:rsidRDefault="00F36FAD" w:rsidP="00391FF9">
            <w:pPr>
              <w:spacing w:after="0" w:line="240" w:lineRule="auto"/>
              <w:jc w:val="both"/>
              <w:rPr>
                <w:rFonts w:ascii="Calibri" w:hAnsi="Calibri" w:cs="Calibri"/>
                <w:color w:val="FFFFFF"/>
                <w:sz w:val="20"/>
                <w:szCs w:val="20"/>
                <w:lang w:val="en-US"/>
              </w:rPr>
            </w:pPr>
            <w:r w:rsidRPr="00135431">
              <w:rPr>
                <w:rFonts w:ascii="Calibri" w:hAnsi="Calibri" w:cs="Calibri"/>
                <w:color w:val="FFFFFF"/>
                <w:sz w:val="20"/>
                <w:szCs w:val="20"/>
                <w:lang w:val="en-US"/>
              </w:rPr>
              <w:t>Underlying Causes</w:t>
            </w:r>
          </w:p>
        </w:tc>
        <w:tc>
          <w:tcPr>
            <w:tcW w:w="7371" w:type="dxa"/>
            <w:shd w:val="clear" w:color="auto" w:fill="auto"/>
          </w:tcPr>
          <w:p w:rsidR="00F36FAD" w:rsidRPr="00270183" w:rsidRDefault="00F36FAD" w:rsidP="00391FF9">
            <w:pPr>
              <w:spacing w:after="0" w:line="240" w:lineRule="auto"/>
              <w:jc w:val="both"/>
              <w:rPr>
                <w:rFonts w:ascii="Calibri" w:hAnsi="Calibri" w:cs="Calibri"/>
                <w:sz w:val="18"/>
                <w:szCs w:val="20"/>
                <w:lang w:val="en-US"/>
              </w:rPr>
            </w:pPr>
            <w:r w:rsidRPr="00270183">
              <w:rPr>
                <w:rFonts w:ascii="Calibri" w:hAnsi="Calibri" w:cs="Calibri"/>
                <w:sz w:val="18"/>
                <w:szCs w:val="20"/>
                <w:lang w:val="en-US"/>
              </w:rPr>
              <w:t xml:space="preserve">Development </w:t>
            </w:r>
            <w:r w:rsidR="00AA2919" w:rsidRPr="00270183">
              <w:rPr>
                <w:rFonts w:ascii="Calibri" w:hAnsi="Calibri" w:cs="Calibri"/>
                <w:sz w:val="18"/>
                <w:szCs w:val="20"/>
                <w:lang w:val="en-US"/>
              </w:rPr>
              <w:t xml:space="preserve">is </w:t>
            </w:r>
            <w:r w:rsidR="00270183">
              <w:rPr>
                <w:rFonts w:ascii="Calibri" w:hAnsi="Calibri" w:cs="Calibri"/>
                <w:sz w:val="18"/>
                <w:szCs w:val="20"/>
                <w:lang w:val="en-US"/>
              </w:rPr>
              <w:t>largely planned, financed and implemented in a way that is not sensitive to the risks of climate change and disasters</w:t>
            </w:r>
            <w:r w:rsidR="00E02BB3">
              <w:rPr>
                <w:rFonts w:ascii="Calibri" w:hAnsi="Calibri" w:cs="Calibri"/>
                <w:sz w:val="18"/>
                <w:szCs w:val="20"/>
                <w:lang w:val="en-US"/>
              </w:rPr>
              <w:t>.</w:t>
            </w:r>
          </w:p>
          <w:p w:rsidR="00F36FAD" w:rsidRPr="00270183" w:rsidRDefault="00270183" w:rsidP="00391FF9">
            <w:pPr>
              <w:spacing w:after="0" w:line="240" w:lineRule="auto"/>
              <w:jc w:val="both"/>
              <w:rPr>
                <w:rFonts w:ascii="Calibri" w:hAnsi="Calibri" w:cs="Calibri"/>
                <w:sz w:val="18"/>
                <w:szCs w:val="20"/>
                <w:lang w:val="en-US"/>
              </w:rPr>
            </w:pPr>
            <w:r>
              <w:rPr>
                <w:rFonts w:ascii="Calibri" w:hAnsi="Calibri" w:cs="Calibri"/>
                <w:sz w:val="18"/>
                <w:szCs w:val="20"/>
                <w:lang w:val="en-US"/>
              </w:rPr>
              <w:t>Furthermore, there is a l</w:t>
            </w:r>
            <w:r w:rsidR="00F36FAD" w:rsidRPr="00270183">
              <w:rPr>
                <w:rFonts w:ascii="Calibri" w:hAnsi="Calibri" w:cs="Calibri"/>
                <w:sz w:val="18"/>
                <w:szCs w:val="20"/>
                <w:lang w:val="en-US"/>
              </w:rPr>
              <w:t xml:space="preserve">ack of </w:t>
            </w:r>
            <w:r>
              <w:rPr>
                <w:rFonts w:ascii="Calibri" w:hAnsi="Calibri" w:cs="Calibri"/>
                <w:sz w:val="18"/>
                <w:szCs w:val="20"/>
                <w:lang w:val="en-US"/>
              </w:rPr>
              <w:t xml:space="preserve">the </w:t>
            </w:r>
            <w:r w:rsidR="00F36FAD" w:rsidRPr="00270183">
              <w:rPr>
                <w:rFonts w:ascii="Calibri" w:hAnsi="Calibri" w:cs="Calibri"/>
                <w:sz w:val="18"/>
                <w:szCs w:val="20"/>
                <w:lang w:val="en-US"/>
              </w:rPr>
              <w:t xml:space="preserve">human </w:t>
            </w:r>
            <w:r>
              <w:rPr>
                <w:rFonts w:ascii="Calibri" w:hAnsi="Calibri" w:cs="Calibri"/>
                <w:sz w:val="18"/>
                <w:szCs w:val="20"/>
                <w:lang w:val="en-US"/>
              </w:rPr>
              <w:t>dimensions to understanding and managing these risks</w:t>
            </w:r>
          </w:p>
          <w:p w:rsidR="00F36FAD" w:rsidRPr="00270183" w:rsidRDefault="00F36FAD" w:rsidP="00391FF9">
            <w:pPr>
              <w:spacing w:after="0" w:line="240" w:lineRule="auto"/>
              <w:jc w:val="both"/>
              <w:rPr>
                <w:rFonts w:ascii="Calibri" w:hAnsi="Calibri" w:cs="Calibri"/>
                <w:sz w:val="18"/>
                <w:szCs w:val="20"/>
                <w:lang w:val="en-US"/>
              </w:rPr>
            </w:pPr>
            <w:r w:rsidRPr="00270183">
              <w:rPr>
                <w:rFonts w:ascii="Calibri" w:hAnsi="Calibri" w:cs="Calibri"/>
                <w:sz w:val="18"/>
                <w:szCs w:val="20"/>
                <w:lang w:val="en-US"/>
              </w:rPr>
              <w:t xml:space="preserve">Current approaches to mainstreaming and CCDRM </w:t>
            </w:r>
            <w:r w:rsidR="004B4E61" w:rsidRPr="00270183">
              <w:rPr>
                <w:rFonts w:ascii="Calibri" w:hAnsi="Calibri" w:cs="Calibri"/>
                <w:sz w:val="18"/>
                <w:szCs w:val="20"/>
                <w:lang w:val="en-US"/>
              </w:rPr>
              <w:t xml:space="preserve">are not </w:t>
            </w:r>
            <w:r w:rsidR="00270183">
              <w:rPr>
                <w:rFonts w:ascii="Calibri" w:hAnsi="Calibri" w:cs="Calibri"/>
                <w:sz w:val="18"/>
                <w:szCs w:val="20"/>
                <w:lang w:val="en-US"/>
              </w:rPr>
              <w:t>yet leading to systems change</w:t>
            </w:r>
            <w:r w:rsidR="00E02BB3">
              <w:rPr>
                <w:rFonts w:ascii="Calibri" w:hAnsi="Calibri" w:cs="Calibri"/>
                <w:sz w:val="18"/>
                <w:szCs w:val="20"/>
                <w:lang w:val="en-US"/>
              </w:rPr>
              <w:t>.</w:t>
            </w:r>
          </w:p>
        </w:tc>
      </w:tr>
      <w:tr w:rsidR="00F36FAD" w:rsidRPr="00135431" w:rsidTr="00270183">
        <w:tc>
          <w:tcPr>
            <w:tcW w:w="2235" w:type="dxa"/>
            <w:shd w:val="clear" w:color="auto" w:fill="808080"/>
          </w:tcPr>
          <w:p w:rsidR="00F36FAD" w:rsidRPr="00135431" w:rsidRDefault="00F36FAD" w:rsidP="00391FF9">
            <w:pPr>
              <w:spacing w:after="0" w:line="240" w:lineRule="auto"/>
              <w:jc w:val="both"/>
              <w:rPr>
                <w:rFonts w:ascii="Calibri" w:hAnsi="Calibri" w:cs="Calibri"/>
                <w:color w:val="FFFFFF"/>
                <w:sz w:val="20"/>
                <w:szCs w:val="20"/>
                <w:lang w:val="en-US"/>
              </w:rPr>
            </w:pPr>
            <w:r w:rsidRPr="00135431">
              <w:rPr>
                <w:rFonts w:ascii="Calibri" w:hAnsi="Calibri" w:cs="Calibri"/>
                <w:color w:val="FFFFFF"/>
                <w:sz w:val="20"/>
                <w:szCs w:val="20"/>
                <w:lang w:val="en-US"/>
              </w:rPr>
              <w:t>Structural Causes</w:t>
            </w:r>
          </w:p>
        </w:tc>
        <w:tc>
          <w:tcPr>
            <w:tcW w:w="7371" w:type="dxa"/>
            <w:shd w:val="clear" w:color="auto" w:fill="auto"/>
          </w:tcPr>
          <w:p w:rsidR="00F36FAD" w:rsidRPr="00270183" w:rsidRDefault="00AA2919" w:rsidP="00AE18C5">
            <w:pPr>
              <w:spacing w:after="0" w:line="240" w:lineRule="auto"/>
              <w:jc w:val="both"/>
              <w:rPr>
                <w:rFonts w:ascii="Calibri" w:hAnsi="Calibri" w:cs="Calibri"/>
                <w:sz w:val="18"/>
                <w:szCs w:val="20"/>
                <w:lang w:val="en-US"/>
              </w:rPr>
            </w:pPr>
            <w:r w:rsidRPr="00270183">
              <w:rPr>
                <w:rFonts w:ascii="Calibri" w:hAnsi="Calibri" w:cs="Calibri"/>
                <w:sz w:val="18"/>
                <w:szCs w:val="20"/>
                <w:lang w:val="en-US"/>
              </w:rPr>
              <w:t xml:space="preserve">Governance for development, is not genuinely integrating risk into planning, financing and implementation. </w:t>
            </w:r>
            <w:r w:rsidR="00270183" w:rsidRPr="00270183">
              <w:rPr>
                <w:rFonts w:ascii="Calibri" w:hAnsi="Calibri" w:cs="Calibri"/>
                <w:sz w:val="18"/>
                <w:szCs w:val="20"/>
                <w:lang w:val="en-US"/>
              </w:rPr>
              <w:t xml:space="preserve">Risk needs to be integrated into </w:t>
            </w:r>
            <w:r w:rsidRPr="00270183">
              <w:rPr>
                <w:rFonts w:ascii="Calibri" w:hAnsi="Calibri" w:cs="Calibri"/>
                <w:sz w:val="18"/>
                <w:szCs w:val="20"/>
                <w:lang w:val="en-US"/>
              </w:rPr>
              <w:t>the people, mechanisms and processes</w:t>
            </w:r>
            <w:r w:rsidR="00270183" w:rsidRPr="00270183">
              <w:rPr>
                <w:rFonts w:ascii="Calibri" w:hAnsi="Calibri" w:cs="Calibri"/>
                <w:sz w:val="18"/>
                <w:szCs w:val="20"/>
                <w:lang w:val="en-US"/>
              </w:rPr>
              <w:t xml:space="preserve"> of governance</w:t>
            </w:r>
            <w:r w:rsidRPr="00270183">
              <w:rPr>
                <w:rFonts w:ascii="Calibri" w:hAnsi="Calibri" w:cs="Calibri"/>
                <w:sz w:val="18"/>
                <w:szCs w:val="20"/>
                <w:lang w:val="en-US"/>
              </w:rPr>
              <w:t xml:space="preserve">, </w:t>
            </w:r>
            <w:r w:rsidR="00270183" w:rsidRPr="00270183">
              <w:rPr>
                <w:rFonts w:ascii="Calibri" w:hAnsi="Calibri" w:cs="Calibri"/>
                <w:sz w:val="18"/>
                <w:szCs w:val="20"/>
                <w:lang w:val="en-US"/>
              </w:rPr>
              <w:t xml:space="preserve">in order for this </w:t>
            </w:r>
            <w:r w:rsidRPr="00270183">
              <w:rPr>
                <w:rFonts w:ascii="Calibri" w:hAnsi="Calibri" w:cs="Calibri"/>
                <w:sz w:val="18"/>
                <w:szCs w:val="20"/>
                <w:lang w:val="en-US"/>
              </w:rPr>
              <w:t>transformation to occur.</w:t>
            </w:r>
          </w:p>
        </w:tc>
      </w:tr>
      <w:tr w:rsidR="00F36FAD" w:rsidRPr="00135431" w:rsidTr="00270183">
        <w:tc>
          <w:tcPr>
            <w:tcW w:w="2235" w:type="dxa"/>
            <w:shd w:val="clear" w:color="auto" w:fill="808080"/>
          </w:tcPr>
          <w:p w:rsidR="00F36FAD" w:rsidRPr="00135431" w:rsidRDefault="00F36FAD" w:rsidP="00391FF9">
            <w:pPr>
              <w:spacing w:after="0" w:line="240" w:lineRule="auto"/>
              <w:jc w:val="both"/>
              <w:rPr>
                <w:rFonts w:ascii="Calibri" w:hAnsi="Calibri" w:cs="Calibri"/>
                <w:color w:val="FFFFFF"/>
                <w:sz w:val="20"/>
                <w:szCs w:val="20"/>
                <w:lang w:val="en-US"/>
              </w:rPr>
            </w:pPr>
            <w:r w:rsidRPr="00135431">
              <w:rPr>
                <w:rFonts w:ascii="Calibri" w:hAnsi="Calibri" w:cs="Calibri"/>
                <w:color w:val="FFFFFF"/>
                <w:sz w:val="20"/>
                <w:szCs w:val="20"/>
                <w:lang w:val="en-US"/>
              </w:rPr>
              <w:t>Problem Definition</w:t>
            </w:r>
          </w:p>
        </w:tc>
        <w:tc>
          <w:tcPr>
            <w:tcW w:w="7371" w:type="dxa"/>
            <w:shd w:val="clear" w:color="auto" w:fill="auto"/>
          </w:tcPr>
          <w:p w:rsidR="00F36FAD" w:rsidRPr="00270183" w:rsidRDefault="00F36FAD" w:rsidP="009D6B25">
            <w:pPr>
              <w:pStyle w:val="ListParagraph"/>
              <w:numPr>
                <w:ilvl w:val="0"/>
                <w:numId w:val="11"/>
              </w:numPr>
              <w:spacing w:after="0" w:line="240" w:lineRule="auto"/>
              <w:contextualSpacing w:val="0"/>
              <w:jc w:val="both"/>
              <w:rPr>
                <w:rFonts w:ascii="Calibri" w:hAnsi="Calibri" w:cs="Calibri"/>
                <w:sz w:val="18"/>
                <w:szCs w:val="20"/>
                <w:lang w:val="en-US"/>
              </w:rPr>
            </w:pPr>
            <w:r w:rsidRPr="00270183">
              <w:rPr>
                <w:rFonts w:ascii="Calibri" w:hAnsi="Calibri" w:cs="Calibri"/>
                <w:sz w:val="18"/>
                <w:szCs w:val="20"/>
                <w:lang w:val="en-US"/>
              </w:rPr>
              <w:t>Development systems for planning, financing and accountability are not risk-informed</w:t>
            </w:r>
            <w:r w:rsidR="00E02BB3">
              <w:rPr>
                <w:rFonts w:ascii="Calibri" w:hAnsi="Calibri" w:cs="Calibri"/>
                <w:sz w:val="18"/>
                <w:szCs w:val="20"/>
                <w:lang w:val="en-US"/>
              </w:rPr>
              <w:t>.</w:t>
            </w:r>
          </w:p>
          <w:p w:rsidR="00F36FAD" w:rsidRPr="00270183" w:rsidRDefault="00AE18C5" w:rsidP="009D6B25">
            <w:pPr>
              <w:pStyle w:val="ListParagraph"/>
              <w:numPr>
                <w:ilvl w:val="0"/>
                <w:numId w:val="11"/>
              </w:numPr>
              <w:spacing w:after="0" w:line="240" w:lineRule="auto"/>
              <w:contextualSpacing w:val="0"/>
              <w:jc w:val="both"/>
              <w:rPr>
                <w:rFonts w:ascii="Calibri" w:hAnsi="Calibri" w:cs="Calibri"/>
                <w:sz w:val="18"/>
                <w:szCs w:val="20"/>
                <w:lang w:val="en-US"/>
              </w:rPr>
            </w:pPr>
            <w:r w:rsidRPr="00270183">
              <w:rPr>
                <w:rFonts w:ascii="Calibri" w:hAnsi="Calibri" w:cs="Calibri"/>
                <w:sz w:val="18"/>
                <w:szCs w:val="20"/>
                <w:lang w:val="en-US"/>
              </w:rPr>
              <w:t>The n</w:t>
            </w:r>
            <w:r w:rsidR="00F36FAD" w:rsidRPr="00270183">
              <w:rPr>
                <w:rFonts w:ascii="Calibri" w:hAnsi="Calibri" w:cs="Calibri"/>
                <w:sz w:val="18"/>
                <w:szCs w:val="20"/>
                <w:lang w:val="en-US"/>
              </w:rPr>
              <w:t xml:space="preserve">arrative across PICs is mainly focused on accessing climate finances and less so on </w:t>
            </w:r>
            <w:r w:rsidRPr="00270183">
              <w:rPr>
                <w:rFonts w:ascii="Calibri" w:hAnsi="Calibri" w:cs="Calibri"/>
                <w:sz w:val="18"/>
                <w:szCs w:val="20"/>
                <w:lang w:val="en-US"/>
              </w:rPr>
              <w:t xml:space="preserve">the management of all financing for </w:t>
            </w:r>
            <w:r w:rsidR="00F36FAD" w:rsidRPr="00270183">
              <w:rPr>
                <w:rFonts w:ascii="Calibri" w:hAnsi="Calibri" w:cs="Calibri"/>
                <w:sz w:val="18"/>
                <w:szCs w:val="20"/>
                <w:lang w:val="en-US"/>
              </w:rPr>
              <w:t xml:space="preserve">development </w:t>
            </w:r>
            <w:r w:rsidRPr="00270183">
              <w:rPr>
                <w:rFonts w:ascii="Calibri" w:hAnsi="Calibri" w:cs="Calibri"/>
                <w:sz w:val="18"/>
                <w:szCs w:val="20"/>
                <w:lang w:val="en-US"/>
              </w:rPr>
              <w:t xml:space="preserve">that is </w:t>
            </w:r>
            <w:r w:rsidR="00F36FAD" w:rsidRPr="00270183">
              <w:rPr>
                <w:rFonts w:ascii="Calibri" w:hAnsi="Calibri" w:cs="Calibri"/>
                <w:sz w:val="18"/>
                <w:szCs w:val="20"/>
                <w:lang w:val="en-US"/>
              </w:rPr>
              <w:t>risk-informed</w:t>
            </w:r>
            <w:r w:rsidR="00E02BB3">
              <w:rPr>
                <w:rFonts w:ascii="Calibri" w:hAnsi="Calibri" w:cs="Calibri"/>
                <w:sz w:val="18"/>
                <w:szCs w:val="20"/>
                <w:lang w:val="en-US"/>
              </w:rPr>
              <w:t>.</w:t>
            </w:r>
          </w:p>
        </w:tc>
      </w:tr>
    </w:tbl>
    <w:p w:rsidR="00F36FAD" w:rsidRPr="00135431" w:rsidRDefault="00F36FAD" w:rsidP="00C37970">
      <w:pPr>
        <w:spacing w:after="0" w:line="240" w:lineRule="auto"/>
        <w:jc w:val="both"/>
        <w:rPr>
          <w:rFonts w:ascii="Calibri" w:hAnsi="Calibri" w:cs="Calibri"/>
        </w:rPr>
      </w:pPr>
    </w:p>
    <w:p w:rsidR="002F14AB" w:rsidRPr="00135431" w:rsidRDefault="00EA63AB" w:rsidP="009D6B25">
      <w:pPr>
        <w:pStyle w:val="Heading1"/>
        <w:numPr>
          <w:ilvl w:val="0"/>
          <w:numId w:val="8"/>
        </w:numPr>
        <w:jc w:val="left"/>
      </w:pPr>
      <w:bookmarkStart w:id="8" w:name="_Toc21679258"/>
      <w:bookmarkStart w:id="9" w:name="_Toc22745646"/>
      <w:r>
        <w:br w:type="page"/>
      </w:r>
      <w:bookmarkStart w:id="10" w:name="_Toc25739954"/>
      <w:bookmarkStart w:id="11" w:name="_Toc25740063"/>
      <w:r w:rsidR="002F14AB" w:rsidRPr="00135431">
        <w:t>Strategy</w:t>
      </w:r>
      <w:bookmarkEnd w:id="8"/>
      <w:bookmarkEnd w:id="9"/>
      <w:bookmarkEnd w:id="10"/>
      <w:bookmarkEnd w:id="11"/>
    </w:p>
    <w:p w:rsidR="009F737F" w:rsidRDefault="009F737F" w:rsidP="009F737F">
      <w:pPr>
        <w:pStyle w:val="Heading2"/>
        <w:jc w:val="left"/>
        <w:rPr>
          <w:sz w:val="26"/>
          <w:szCs w:val="26"/>
          <w:lang w:eastAsia="en-US"/>
        </w:rPr>
      </w:pPr>
      <w:bookmarkStart w:id="12" w:name="_Toc25739955"/>
      <w:bookmarkStart w:id="13" w:name="_Toc25740064"/>
      <w:r>
        <w:t>Theory of change</w:t>
      </w:r>
      <w:bookmarkEnd w:id="12"/>
      <w:bookmarkEnd w:id="13"/>
    </w:p>
    <w:p w:rsidR="00723A9E" w:rsidRDefault="00EA5FED" w:rsidP="00C92C39">
      <w:pPr>
        <w:spacing w:after="0"/>
        <w:jc w:val="both"/>
      </w:pPr>
      <w:r w:rsidRPr="00135431">
        <w:t xml:space="preserve">The </w:t>
      </w:r>
      <w:r w:rsidR="008251B7">
        <w:t>Governance for Resilient Development in the Pacific (</w:t>
      </w:r>
      <w:r w:rsidR="00BE36BD">
        <w:t>Gov4Res</w:t>
      </w:r>
      <w:r w:rsidR="008251B7">
        <w:t xml:space="preserve">) project </w:t>
      </w:r>
      <w:r w:rsidRPr="00135431">
        <w:t xml:space="preserve">theory of change rests on a core assumption that Pacific Island people will be more resilient to the impacts of climate change and disasters if countries manage all development through a risk informed approach. The </w:t>
      </w:r>
      <w:r w:rsidR="00253797">
        <w:t>project</w:t>
      </w:r>
      <w:r w:rsidR="00895613">
        <w:t xml:space="preserve"> </w:t>
      </w:r>
      <w:r w:rsidRPr="00135431">
        <w:t>further assumes that this will happen through locally led change, with different approaches emerging in each country context</w:t>
      </w:r>
      <w:r w:rsidR="001A49AB">
        <w:t xml:space="preserve">, and based </w:t>
      </w:r>
      <w:r w:rsidR="00AB1F94">
        <w:t xml:space="preserve">around </w:t>
      </w:r>
      <w:r w:rsidR="00AB1F94" w:rsidRPr="001A49AB">
        <w:rPr>
          <w:b/>
        </w:rPr>
        <w:t>change</w:t>
      </w:r>
      <w:r w:rsidR="001A49AB">
        <w:t xml:space="preserve"> along the following dimensions</w:t>
      </w:r>
      <w:r w:rsidR="00C92C39">
        <w:t>:</w:t>
      </w:r>
    </w:p>
    <w:p w:rsidR="00AB35A6" w:rsidRPr="00723A9E" w:rsidRDefault="00AB35A6" w:rsidP="009D6B25">
      <w:pPr>
        <w:numPr>
          <w:ilvl w:val="0"/>
          <w:numId w:val="18"/>
        </w:numPr>
        <w:spacing w:after="60"/>
        <w:ind w:left="357" w:hanging="357"/>
        <w:jc w:val="both"/>
      </w:pPr>
      <w:r w:rsidRPr="00723A9E">
        <w:t xml:space="preserve">Core among these is that changes in the </w:t>
      </w:r>
      <w:r w:rsidRPr="00C92C39">
        <w:rPr>
          <w:i/>
        </w:rPr>
        <w:t>government systems</w:t>
      </w:r>
      <w:r w:rsidRPr="00723A9E">
        <w:t xml:space="preserve"> responsible for planning, financing and development oversight will contribute to more resilient development for people. While </w:t>
      </w:r>
      <w:r w:rsidR="008251B7">
        <w:t xml:space="preserve">GRDP </w:t>
      </w:r>
      <w:r w:rsidRPr="00723A9E">
        <w:t xml:space="preserve">will not work directly with communities, except as part of local government or sector programs to influence their integration with central government agencies, it is assumed that over time, people in communities in each country will experience increased resilience because of the introduction of </w:t>
      </w:r>
      <w:r w:rsidR="00E632B9">
        <w:t>risk informed development (</w:t>
      </w:r>
      <w:r w:rsidRPr="00723A9E">
        <w:t>RID</w:t>
      </w:r>
      <w:r w:rsidR="00E632B9">
        <w:t>)</w:t>
      </w:r>
      <w:r w:rsidRPr="00723A9E">
        <w:t>.</w:t>
      </w:r>
    </w:p>
    <w:p w:rsidR="00AB35A6" w:rsidRPr="00723A9E" w:rsidRDefault="00AB35A6" w:rsidP="009D6B25">
      <w:pPr>
        <w:numPr>
          <w:ilvl w:val="0"/>
          <w:numId w:val="18"/>
        </w:numPr>
        <w:spacing w:after="60"/>
        <w:ind w:left="357" w:hanging="357"/>
        <w:jc w:val="both"/>
      </w:pPr>
      <w:r w:rsidRPr="00723A9E">
        <w:t xml:space="preserve">The </w:t>
      </w:r>
      <w:r w:rsidR="00253797">
        <w:t>project</w:t>
      </w:r>
      <w:r w:rsidR="00895613">
        <w:t xml:space="preserve"> </w:t>
      </w:r>
      <w:r w:rsidRPr="00723A9E">
        <w:t xml:space="preserve">also assumes that the formal and informal </w:t>
      </w:r>
      <w:r w:rsidRPr="00C92C39">
        <w:rPr>
          <w:i/>
        </w:rPr>
        <w:t>accountability systems</w:t>
      </w:r>
      <w:r w:rsidRPr="00723A9E">
        <w:t xml:space="preserve"> in country are influential in shaping national and local government systems especially those systems responsible for finance and development implementation. While this will take different forms in each country, it is a core assumption that </w:t>
      </w:r>
      <w:r w:rsidR="00493840">
        <w:t>GRDP</w:t>
      </w:r>
      <w:r w:rsidR="00493840" w:rsidRPr="00723A9E">
        <w:t xml:space="preserve"> will</w:t>
      </w:r>
      <w:r w:rsidRPr="00723A9E">
        <w:t xml:space="preserve"> be able to work with these groups to have them in turn hold government systems accountable and thus enhance the likelihood of sustained change in those government systems.</w:t>
      </w:r>
    </w:p>
    <w:p w:rsidR="009F737F" w:rsidRDefault="00AB35A6" w:rsidP="009D6B25">
      <w:pPr>
        <w:numPr>
          <w:ilvl w:val="0"/>
          <w:numId w:val="18"/>
        </w:numPr>
        <w:spacing w:after="60"/>
        <w:ind w:left="357" w:hanging="357"/>
        <w:jc w:val="both"/>
      </w:pPr>
      <w:r w:rsidRPr="00723A9E">
        <w:t xml:space="preserve">Finally, a further core assumption for this </w:t>
      </w:r>
      <w:r w:rsidR="00253797">
        <w:t>project</w:t>
      </w:r>
      <w:r w:rsidR="00895613">
        <w:t xml:space="preserve"> </w:t>
      </w:r>
      <w:r w:rsidRPr="00723A9E">
        <w:t xml:space="preserve">is that </w:t>
      </w:r>
      <w:r w:rsidRPr="000A7F6A">
        <w:rPr>
          <w:i/>
        </w:rPr>
        <w:t>regional agents</w:t>
      </w:r>
      <w:r w:rsidRPr="00723A9E">
        <w:t xml:space="preserve"> are open to engaging with a RID approach and that they are sufficiently influential in Pacific Island countries to leverage further change towards RID. This is </w:t>
      </w:r>
      <w:r w:rsidR="00C02D88">
        <w:t xml:space="preserve">the </w:t>
      </w:r>
      <w:r w:rsidRPr="00723A9E">
        <w:t xml:space="preserve">most unexplored assumption for </w:t>
      </w:r>
      <w:r w:rsidR="008251B7">
        <w:t>GRDP</w:t>
      </w:r>
      <w:r w:rsidR="007E1EB5" w:rsidRPr="00593A6A">
        <w:t xml:space="preserve"> and</w:t>
      </w:r>
      <w:r w:rsidR="00641F60" w:rsidRPr="005A338D">
        <w:t xml:space="preserve"> is critical for achieving scale and sustainability</w:t>
      </w:r>
      <w:r w:rsidR="00593A6A" w:rsidRPr="005A338D">
        <w:t xml:space="preserve"> across the region</w:t>
      </w:r>
      <w:r w:rsidRPr="00593A6A">
        <w:t>.</w:t>
      </w:r>
      <w:r w:rsidR="00641F60" w:rsidRPr="00593A6A">
        <w:t xml:space="preserve"> In</w:t>
      </w:r>
      <w:r w:rsidR="00641F60" w:rsidRPr="00C70610">
        <w:t xml:space="preserve">fluencing regional agents to drive the risk informed development agenda will enable the </w:t>
      </w:r>
      <w:r w:rsidR="00253797">
        <w:t>project</w:t>
      </w:r>
      <w:r w:rsidR="00641F60" w:rsidRPr="00C70610">
        <w:t xml:space="preserve"> to expand its impact beyond the scope and </w:t>
      </w:r>
      <w:r w:rsidR="00641F60" w:rsidRPr="005A338D">
        <w:t>life of</w:t>
      </w:r>
      <w:r w:rsidR="00CE6DA7" w:rsidRPr="005A338D">
        <w:t xml:space="preserve"> its delivery</w:t>
      </w:r>
      <w:r w:rsidR="00641F60" w:rsidRPr="005A338D">
        <w:t>.</w:t>
      </w:r>
      <w:r w:rsidRPr="005A338D">
        <w:t xml:space="preserve"> Given</w:t>
      </w:r>
      <w:r w:rsidRPr="00723A9E">
        <w:t xml:space="preserve"> the breadth and number of Pacific regional actors and agents, it will require careful attention through monitoring and evaluation to ensure that </w:t>
      </w:r>
      <w:r w:rsidR="00253797">
        <w:t>project</w:t>
      </w:r>
      <w:r w:rsidR="00895613">
        <w:t xml:space="preserve"> </w:t>
      </w:r>
      <w:r w:rsidRPr="00723A9E">
        <w:t>activity in this work area is contributing to change.</w:t>
      </w:r>
      <w:r w:rsidR="00641F60">
        <w:t xml:space="preserve"> </w:t>
      </w:r>
    </w:p>
    <w:p w:rsidR="00524967" w:rsidRDefault="00524967" w:rsidP="00524967">
      <w:pPr>
        <w:spacing w:after="60"/>
        <w:jc w:val="both"/>
      </w:pPr>
    </w:p>
    <w:p w:rsidR="00524967" w:rsidRDefault="00524967" w:rsidP="005A338D">
      <w:pPr>
        <w:pStyle w:val="Caption"/>
      </w:pPr>
      <w:r>
        <w:t>F</w:t>
      </w:r>
      <w:r w:rsidR="00DE3407">
        <w:t>igure</w:t>
      </w:r>
      <w:r>
        <w:t xml:space="preserve"> </w:t>
      </w:r>
      <w:fldSimple w:instr=" SEQ Figure \* ARABIC ">
        <w:r w:rsidR="004F5751">
          <w:rPr>
            <w:noProof/>
          </w:rPr>
          <w:t>1</w:t>
        </w:r>
      </w:fldSimple>
      <w:r>
        <w:t xml:space="preserve"> </w:t>
      </w:r>
      <w:r w:rsidR="00253797">
        <w:t>project</w:t>
      </w:r>
      <w:r>
        <w:t xml:space="preserve"> logic </w:t>
      </w:r>
    </w:p>
    <w:p w:rsidR="00524967" w:rsidRDefault="00524967" w:rsidP="00524967">
      <w:pPr>
        <w:spacing w:after="60"/>
        <w:jc w:val="both"/>
      </w:pPr>
      <w:r>
        <w:rPr>
          <w:noProof/>
        </w:rPr>
        <w:drawing>
          <wp:inline distT="0" distB="0" distL="0" distR="0" wp14:anchorId="6FB23EAB" wp14:editId="241B10F9">
            <wp:extent cx="6097270" cy="3034665"/>
            <wp:effectExtent l="0" t="0" r="0" b="635"/>
            <wp:docPr id="8"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C Imag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5029" cy="3048481"/>
                    </a:xfrm>
                    <a:prstGeom prst="rect">
                      <a:avLst/>
                    </a:prstGeom>
                  </pic:spPr>
                </pic:pic>
              </a:graphicData>
            </a:graphic>
          </wp:inline>
        </w:drawing>
      </w:r>
    </w:p>
    <w:p w:rsidR="00524967" w:rsidRDefault="00524967" w:rsidP="005A338D">
      <w:pPr>
        <w:spacing w:after="60"/>
        <w:jc w:val="both"/>
      </w:pPr>
    </w:p>
    <w:p w:rsidR="00A22CE5" w:rsidRDefault="00A22CE5" w:rsidP="00496A45">
      <w:pPr>
        <w:pStyle w:val="Heading2"/>
        <w:jc w:val="left"/>
      </w:pPr>
      <w:bookmarkStart w:id="14" w:name="_Toc22745648"/>
      <w:bookmarkStart w:id="15" w:name="_Hlk22915774"/>
    </w:p>
    <w:p w:rsidR="006A1BEE" w:rsidRPr="00135431" w:rsidRDefault="006A1BEE" w:rsidP="00496A45">
      <w:pPr>
        <w:pStyle w:val="Heading2"/>
        <w:jc w:val="left"/>
      </w:pPr>
      <w:bookmarkStart w:id="16" w:name="_Toc25739956"/>
      <w:bookmarkStart w:id="17" w:name="_Toc25740065"/>
      <w:r w:rsidRPr="00135431">
        <w:t>Approach</w:t>
      </w:r>
      <w:bookmarkEnd w:id="14"/>
      <w:bookmarkEnd w:id="16"/>
      <w:bookmarkEnd w:id="17"/>
    </w:p>
    <w:bookmarkEnd w:id="15"/>
    <w:p w:rsidR="007370B7" w:rsidRDefault="007370B7" w:rsidP="00C92C39">
      <w:pPr>
        <w:jc w:val="both"/>
      </w:pPr>
      <w:r w:rsidRPr="00135431">
        <w:rPr>
          <w:bCs/>
        </w:rPr>
        <w:t xml:space="preserve">The core proposition for </w:t>
      </w:r>
      <w:r w:rsidR="008251B7">
        <w:rPr>
          <w:bCs/>
        </w:rPr>
        <w:t>GRDP</w:t>
      </w:r>
      <w:r w:rsidRPr="00135431">
        <w:rPr>
          <w:bCs/>
        </w:rPr>
        <w:t xml:space="preserve"> is that Pacific Island people will be more resilient to the impacts of climate change and disasters if Pacific countries manage all development through a risk</w:t>
      </w:r>
      <w:r>
        <w:rPr>
          <w:bCs/>
        </w:rPr>
        <w:t xml:space="preserve"> lens</w:t>
      </w:r>
      <w:r w:rsidRPr="00135431">
        <w:t>.</w:t>
      </w:r>
      <w:r>
        <w:t xml:space="preserve"> </w:t>
      </w:r>
      <w:r w:rsidR="009413D8" w:rsidRPr="00254259">
        <w:t>Th</w:t>
      </w:r>
      <w:r>
        <w:t xml:space="preserve">is is consistent with the </w:t>
      </w:r>
      <w:r w:rsidR="009413D8" w:rsidRPr="00254259">
        <w:t xml:space="preserve">FRDP </w:t>
      </w:r>
      <w:r>
        <w:t xml:space="preserve">which </w:t>
      </w:r>
      <w:r w:rsidR="009413D8" w:rsidRPr="00254259">
        <w:t>calls for the ‘mainstreaming’ of climate and disaster risk treat</w:t>
      </w:r>
      <w:r w:rsidR="00254259" w:rsidRPr="00254259">
        <w:t xml:space="preserve">ing </w:t>
      </w:r>
      <w:r w:rsidR="009413D8" w:rsidRPr="00254259">
        <w:rPr>
          <w:u w:val="single"/>
        </w:rPr>
        <w:t>risk management as a fundamental development issue</w:t>
      </w:r>
      <w:r w:rsidR="009413D8" w:rsidRPr="00254259">
        <w:t>. It guides practitioners to ‘</w:t>
      </w:r>
      <w:r w:rsidR="009413D8" w:rsidRPr="00254259">
        <w:rPr>
          <w:i/>
        </w:rPr>
        <w:t>mainstream into development planning including policy making, planning, financing, programming and implementation, to build resilience’</w:t>
      </w:r>
      <w:r w:rsidR="009413D8" w:rsidRPr="00254259">
        <w:t xml:space="preserve">. </w:t>
      </w:r>
      <w:r w:rsidR="00E12C8A" w:rsidRPr="00254259">
        <w:t xml:space="preserve">Traditionally, </w:t>
      </w:r>
      <w:r w:rsidR="008B2292" w:rsidRPr="00254259">
        <w:t xml:space="preserve">approaches to </w:t>
      </w:r>
      <w:r w:rsidR="00440BB3" w:rsidRPr="00254259">
        <w:t xml:space="preserve">managing </w:t>
      </w:r>
      <w:r w:rsidR="00E12C8A" w:rsidRPr="00254259">
        <w:t>climate change and disaster risks have been standalone activities outside development policy and practice and yet these risks are largely rooted in ‘unchecked’ development.</w:t>
      </w:r>
      <w:r w:rsidR="001A49AB" w:rsidRPr="00254259">
        <w:t xml:space="preserve"> </w:t>
      </w:r>
      <w:r w:rsidR="008251B7">
        <w:t>GRDP</w:t>
      </w:r>
      <w:r w:rsidR="00254259" w:rsidRPr="00254259">
        <w:t xml:space="preserve"> ’s approach </w:t>
      </w:r>
      <w:r>
        <w:t xml:space="preserve">therefore </w:t>
      </w:r>
      <w:r w:rsidR="00254259" w:rsidRPr="00254259">
        <w:t xml:space="preserve">is to better position countries to </w:t>
      </w:r>
      <w:r w:rsidR="00254259" w:rsidRPr="007370B7">
        <w:rPr>
          <w:b/>
        </w:rPr>
        <w:t>‘risk inform’</w:t>
      </w:r>
      <w:r w:rsidR="00254259" w:rsidRPr="00254259">
        <w:t xml:space="preserve"> their own development to the threats of climate change and disasters</w:t>
      </w:r>
      <w:r>
        <w:t xml:space="preserve">. </w:t>
      </w:r>
      <w:r w:rsidR="00254259" w:rsidRPr="00254259">
        <w:t xml:space="preserve">Specifically, </w:t>
      </w:r>
      <w:r w:rsidR="008251B7">
        <w:t>GRDP</w:t>
      </w:r>
      <w:r w:rsidR="00440BB3" w:rsidRPr="00254259">
        <w:t xml:space="preserve"> </w:t>
      </w:r>
      <w:r w:rsidR="00254259" w:rsidRPr="00254259">
        <w:t xml:space="preserve">will </w:t>
      </w:r>
      <w:r w:rsidR="00440BB3" w:rsidRPr="00254259">
        <w:t xml:space="preserve">focuses on </w:t>
      </w:r>
      <w:r w:rsidR="00440BB3" w:rsidRPr="00254259">
        <w:rPr>
          <w:b/>
        </w:rPr>
        <w:t>systems change</w:t>
      </w:r>
      <w:r w:rsidR="00440BB3" w:rsidRPr="00254259">
        <w:t xml:space="preserve"> at national, sectoral, subnational and community levels</w:t>
      </w:r>
      <w:r w:rsidR="00254259" w:rsidRPr="00254259">
        <w:t xml:space="preserve"> in order to achieve </w:t>
      </w:r>
      <w:r w:rsidRPr="007370B7">
        <w:t>risk informed development</w:t>
      </w:r>
      <w:r>
        <w:t xml:space="preserve"> (RID). It will approach the understanding and management of risks from </w:t>
      </w:r>
      <w:r w:rsidR="006A1BEE" w:rsidRPr="00135431">
        <w:t>existing development processes</w:t>
      </w:r>
      <w:r w:rsidR="00BC46EE">
        <w:t xml:space="preserve"> – termed the </w:t>
      </w:r>
      <w:r w:rsidR="00BC46EE" w:rsidRPr="001A49AB">
        <w:rPr>
          <w:b/>
        </w:rPr>
        <w:t>‘development-first’</w:t>
      </w:r>
      <w:r w:rsidR="00BC46EE">
        <w:t xml:space="preserve"> approach to risk-informing development</w:t>
      </w:r>
      <w:r w:rsidR="00BC46EE">
        <w:rPr>
          <w:rStyle w:val="FootnoteReference"/>
        </w:rPr>
        <w:footnoteReference w:id="14"/>
      </w:r>
      <w:r w:rsidR="006A1BEE" w:rsidRPr="00135431">
        <w:t>.</w:t>
      </w:r>
    </w:p>
    <w:p w:rsidR="00DE3407" w:rsidRDefault="001A49AB" w:rsidP="00963BB2">
      <w:pPr>
        <w:jc w:val="both"/>
      </w:pPr>
      <w:r>
        <w:t>T</w:t>
      </w:r>
      <w:r w:rsidR="00834334" w:rsidRPr="00135431">
        <w:t xml:space="preserve">he </w:t>
      </w:r>
      <w:r w:rsidR="008251B7">
        <w:t>GRDP</w:t>
      </w:r>
      <w:r w:rsidR="00834334" w:rsidRPr="00135431">
        <w:t xml:space="preserve"> </w:t>
      </w:r>
      <w:r w:rsidR="00E12C8A">
        <w:t xml:space="preserve">approach to systems change </w:t>
      </w:r>
      <w:r w:rsidR="00834334" w:rsidRPr="00135431">
        <w:t xml:space="preserve">is drawn from </w:t>
      </w:r>
      <w:r w:rsidR="00834334" w:rsidRPr="001A49AB">
        <w:rPr>
          <w:b/>
        </w:rPr>
        <w:t>adaptive approaches</w:t>
      </w:r>
      <w:r w:rsidR="00834334" w:rsidRPr="00135431">
        <w:t xml:space="preserve"> to development management. Like </w:t>
      </w:r>
      <w:r w:rsidR="00596B5D">
        <w:t>PRRP</w:t>
      </w:r>
      <w:r w:rsidR="00834334" w:rsidRPr="00135431">
        <w:t xml:space="preserve">, the </w:t>
      </w:r>
      <w:r w:rsidR="00253797">
        <w:t>project</w:t>
      </w:r>
      <w:r w:rsidR="00895613">
        <w:t xml:space="preserve"> </w:t>
      </w:r>
      <w:r w:rsidR="00834334" w:rsidRPr="00135431">
        <w:t xml:space="preserve">will start work in each country where there is momentum and interest, adapting specific activities as required. It will focus on listening </w:t>
      </w:r>
      <w:r w:rsidR="00B040BF">
        <w:t xml:space="preserve">to </w:t>
      </w:r>
      <w:r w:rsidR="00834334" w:rsidRPr="00135431">
        <w:t xml:space="preserve">and working with Pacific Island governments and people, co-designing the change required in each country context. It will draw from a range of possible activities to best adapt to the needs and opportunities within each context. The </w:t>
      </w:r>
      <w:r w:rsidR="00253797">
        <w:t>project</w:t>
      </w:r>
      <w:r w:rsidR="00895613">
        <w:t xml:space="preserve"> </w:t>
      </w:r>
      <w:r w:rsidR="00834334" w:rsidRPr="00135431">
        <w:t xml:space="preserve">activities are largely drawn from the extensive experience under </w:t>
      </w:r>
      <w:r w:rsidR="00596B5D">
        <w:t>PRRP</w:t>
      </w:r>
      <w:r w:rsidR="00834334" w:rsidRPr="00135431">
        <w:t xml:space="preserve">. They are designed to be adapted to each country context. They will each contribute to several of the outputs and the </w:t>
      </w:r>
      <w:r w:rsidR="00253797">
        <w:t>project</w:t>
      </w:r>
      <w:r w:rsidR="00895613">
        <w:t xml:space="preserve"> </w:t>
      </w:r>
      <w:r w:rsidR="00834334" w:rsidRPr="00135431">
        <w:t>outcomes. Utili</w:t>
      </w:r>
      <w:r w:rsidR="00DE3407">
        <w:t>s</w:t>
      </w:r>
      <w:r w:rsidR="00834334" w:rsidRPr="00135431">
        <w:t xml:space="preserve">ing a </w:t>
      </w:r>
      <w:r w:rsidR="00895613">
        <w:t xml:space="preserve">programme </w:t>
      </w:r>
      <w:r w:rsidR="00834334" w:rsidRPr="00135431">
        <w:t xml:space="preserve">wide action – reflection cycle, the activities will be adapted over time to </w:t>
      </w:r>
      <w:r w:rsidR="00834334" w:rsidRPr="00927AEC">
        <w:t xml:space="preserve">support progress towards the </w:t>
      </w:r>
      <w:r w:rsidR="008251B7">
        <w:t>GRDP</w:t>
      </w:r>
      <w:r w:rsidR="00834334" w:rsidRPr="00927AEC">
        <w:t xml:space="preserve"> outputs and outcomes.</w:t>
      </w:r>
    </w:p>
    <w:p w:rsidR="00CE6DA7" w:rsidRDefault="00DE3407" w:rsidP="005A338D">
      <w:pPr>
        <w:pStyle w:val="Caption"/>
      </w:pPr>
      <w:r>
        <w:t xml:space="preserve">Figure </w:t>
      </w:r>
      <w:fldSimple w:instr=" SEQ Figure \* ARABIC ">
        <w:r w:rsidR="004F5751">
          <w:rPr>
            <w:noProof/>
          </w:rPr>
          <w:t>2</w:t>
        </w:r>
      </w:fldSimple>
      <w:r>
        <w:t xml:space="preserve"> action-reflection cycle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592"/>
      </w:tblGrid>
      <w:tr w:rsidR="00CE6DA7" w:rsidTr="004D316D">
        <w:tc>
          <w:tcPr>
            <w:tcW w:w="9818" w:type="dxa"/>
            <w:shd w:val="clear" w:color="auto" w:fill="auto"/>
          </w:tcPr>
          <w:p w:rsidR="00CE6DA7" w:rsidRDefault="00263570" w:rsidP="004D316D">
            <w:pPr>
              <w:jc w:val="center"/>
            </w:pPr>
            <w:r>
              <w:rPr>
                <w:noProof/>
              </w:rPr>
              <w:drawing>
                <wp:inline distT="0" distB="0" distL="0" distR="0" wp14:anchorId="2B10C5C3" wp14:editId="3D7F8662">
                  <wp:extent cx="3016618" cy="2598152"/>
                  <wp:effectExtent l="12700" t="12700" r="6350" b="18415"/>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39340" cy="2617722"/>
                          </a:xfrm>
                          <a:prstGeom prst="rect">
                            <a:avLst/>
                          </a:prstGeom>
                          <a:noFill/>
                          <a:ln w="9525">
                            <a:solidFill>
                              <a:srgbClr val="CFCDCD"/>
                            </a:solidFill>
                            <a:miter lim="800000"/>
                            <a:headEnd/>
                            <a:tailEnd/>
                          </a:ln>
                        </pic:spPr>
                      </pic:pic>
                    </a:graphicData>
                  </a:graphic>
                </wp:inline>
              </w:drawing>
            </w:r>
          </w:p>
        </w:tc>
      </w:tr>
    </w:tbl>
    <w:p w:rsidR="00834334" w:rsidRPr="00135431" w:rsidRDefault="008251B7" w:rsidP="00963BB2">
      <w:pPr>
        <w:keepNext/>
        <w:jc w:val="both"/>
      </w:pPr>
      <w:r>
        <w:t>GRDP</w:t>
      </w:r>
      <w:r w:rsidRPr="000A7F6A">
        <w:t xml:space="preserve"> recognises</w:t>
      </w:r>
      <w:r w:rsidR="00834334" w:rsidRPr="00FA2F79">
        <w:t xml:space="preserve"> that it</w:t>
      </w:r>
      <w:r w:rsidR="00834334" w:rsidRPr="00135431">
        <w:t xml:space="preserve"> is operating in a complex and diverse system in the Pacific where many actors are seeking to influence the way in which Pacific Island countries and people adapt to the risks of climate change and disasters.</w:t>
      </w:r>
      <w:r w:rsidR="00834334">
        <w:t xml:space="preserve"> </w:t>
      </w:r>
      <w:r w:rsidR="00834334" w:rsidRPr="00135431">
        <w:t xml:space="preserve">Building on the considerable experience of </w:t>
      </w:r>
      <w:r w:rsidR="00596B5D">
        <w:t>PRRP</w:t>
      </w:r>
      <w:r w:rsidR="00834334" w:rsidRPr="00135431">
        <w:t xml:space="preserve"> (see Annex</w:t>
      </w:r>
      <w:r w:rsidR="00834334">
        <w:t xml:space="preserve"> </w:t>
      </w:r>
      <w:r w:rsidR="00D766F3" w:rsidRPr="007370B7">
        <w:t>V</w:t>
      </w:r>
      <w:r w:rsidR="002A0FB3">
        <w:t>I</w:t>
      </w:r>
      <w:r w:rsidR="00D766F3" w:rsidRPr="007370B7">
        <w:t>I</w:t>
      </w:r>
      <w:r w:rsidR="00834334">
        <w:t>)</w:t>
      </w:r>
      <w:r w:rsidR="00834334" w:rsidRPr="00135431">
        <w:t xml:space="preserve">, </w:t>
      </w:r>
      <w:r>
        <w:t>GRDP</w:t>
      </w:r>
      <w:r w:rsidRPr="00135431">
        <w:t xml:space="preserve"> will</w:t>
      </w:r>
      <w:r w:rsidR="00834334" w:rsidRPr="00135431">
        <w:t xml:space="preserve"> seek to align its work with existing and influential </w:t>
      </w:r>
      <w:r w:rsidR="00834334" w:rsidRPr="001A49AB">
        <w:rPr>
          <w:b/>
        </w:rPr>
        <w:t>‘drivers’ of change</w:t>
      </w:r>
      <w:r w:rsidR="00834334" w:rsidRPr="00135431">
        <w:t xml:space="preserve"> in</w:t>
      </w:r>
      <w:r w:rsidR="00B040BF">
        <w:t xml:space="preserve"> the</w:t>
      </w:r>
      <w:r w:rsidR="00834334" w:rsidRPr="00135431">
        <w:t xml:space="preserve"> Pacific and work in partnership with a wide range of other actors</w:t>
      </w:r>
      <w:r w:rsidR="00834334">
        <w:t xml:space="preserve">. </w:t>
      </w:r>
      <w:r w:rsidR="00453FF0">
        <w:t>PRRP</w:t>
      </w:r>
      <w:r w:rsidR="00834334" w:rsidRPr="00135431">
        <w:t xml:space="preserve"> experience together with the baseline research undertaken for this </w:t>
      </w:r>
      <w:r w:rsidR="00253797">
        <w:t>project</w:t>
      </w:r>
      <w:r w:rsidR="00895613">
        <w:t xml:space="preserve"> </w:t>
      </w:r>
      <w:r w:rsidR="00834334" w:rsidRPr="00135431">
        <w:t xml:space="preserve">has highlighted that the factors that drive or influence </w:t>
      </w:r>
      <w:r w:rsidR="00B040BF">
        <w:t xml:space="preserve">the approach of </w:t>
      </w:r>
      <w:r w:rsidR="00834334" w:rsidRPr="00135431">
        <w:t xml:space="preserve">Pacific Island countries approach to managing risks of climate change and disasters are both </w:t>
      </w:r>
      <w:r w:rsidR="00834334" w:rsidRPr="00254259">
        <w:rPr>
          <w:i/>
        </w:rPr>
        <w:t>technical</w:t>
      </w:r>
      <w:r w:rsidR="00834334" w:rsidRPr="00135431">
        <w:t xml:space="preserve"> and </w:t>
      </w:r>
      <w:r w:rsidR="00834334" w:rsidRPr="00254259">
        <w:rPr>
          <w:i/>
        </w:rPr>
        <w:t>political</w:t>
      </w:r>
      <w:r w:rsidR="00834334" w:rsidRPr="00135431">
        <w:t xml:space="preserve">. </w:t>
      </w:r>
      <w:r>
        <w:t>GRDP</w:t>
      </w:r>
      <w:r w:rsidRPr="00135431">
        <w:t xml:space="preserve"> activities</w:t>
      </w:r>
      <w:r w:rsidR="00834334" w:rsidRPr="00135431">
        <w:t xml:space="preserve"> will cluster around these drivers, using opportunities in each Pacific </w:t>
      </w:r>
      <w:r w:rsidR="00B040BF">
        <w:t>I</w:t>
      </w:r>
      <w:r w:rsidR="00834334" w:rsidRPr="00135431">
        <w:t>sland country to influence change</w:t>
      </w:r>
      <w:r w:rsidR="00834334">
        <w:t>:</w:t>
      </w:r>
    </w:p>
    <w:p w:rsidR="00834334" w:rsidRPr="00240617" w:rsidRDefault="00834334" w:rsidP="009D6B25">
      <w:pPr>
        <w:numPr>
          <w:ilvl w:val="0"/>
          <w:numId w:val="17"/>
        </w:numPr>
        <w:spacing w:after="60"/>
        <w:ind w:left="357" w:hanging="357"/>
        <w:jc w:val="both"/>
      </w:pPr>
      <w:r>
        <w:rPr>
          <w:i/>
        </w:rPr>
        <w:t>T</w:t>
      </w:r>
      <w:r w:rsidRPr="00240617">
        <w:rPr>
          <w:i/>
        </w:rPr>
        <w:t>echnical perspective:</w:t>
      </w:r>
      <w:r w:rsidRPr="00240617">
        <w:t xml:space="preserve"> </w:t>
      </w:r>
      <w:r w:rsidR="001A49AB">
        <w:t>t</w:t>
      </w:r>
      <w:r w:rsidRPr="00240617">
        <w:t xml:space="preserve">hrough activities that provide information and evidence </w:t>
      </w:r>
      <w:r w:rsidR="00E12C8A">
        <w:t>in support of RID</w:t>
      </w:r>
      <w:r w:rsidRPr="00240617">
        <w:t xml:space="preserve">, develop capacity and support the utilisation of appropriate tools for risk screening and other tasks. </w:t>
      </w:r>
      <w:r w:rsidR="008251B7">
        <w:t>GRDP</w:t>
      </w:r>
      <w:r w:rsidR="008251B7" w:rsidRPr="00240617">
        <w:t xml:space="preserve"> understands</w:t>
      </w:r>
      <w:r w:rsidRPr="00240617">
        <w:t xml:space="preserve"> the importance of development and climate financing and the ways in </w:t>
      </w:r>
      <w:r w:rsidR="00B040BF">
        <w:t xml:space="preserve">which </w:t>
      </w:r>
      <w:r w:rsidRPr="00240617">
        <w:t xml:space="preserve">financial flows shape </w:t>
      </w:r>
      <w:r w:rsidR="00B040BF">
        <w:t>country</w:t>
      </w:r>
      <w:r w:rsidR="00B040BF" w:rsidRPr="00240617">
        <w:t xml:space="preserve"> </w:t>
      </w:r>
      <w:r w:rsidRPr="00240617">
        <w:t>response</w:t>
      </w:r>
      <w:r w:rsidR="00B040BF">
        <w:t>s</w:t>
      </w:r>
      <w:r w:rsidRPr="00240617">
        <w:t xml:space="preserve"> to climate change and disaster risks. It will look for opportunities to help shape systems that manage finance and support countries to understand the value and the challenges</w:t>
      </w:r>
      <w:r w:rsidR="00E12C8A">
        <w:t>,</w:t>
      </w:r>
      <w:r w:rsidRPr="00240617">
        <w:t xml:space="preserve"> in particular</w:t>
      </w:r>
      <w:r w:rsidR="00E12C8A">
        <w:t>,</w:t>
      </w:r>
      <w:r w:rsidRPr="00240617">
        <w:t xml:space="preserve"> financing arrangements.</w:t>
      </w:r>
    </w:p>
    <w:p w:rsidR="00834334" w:rsidRPr="00135431" w:rsidRDefault="00834334" w:rsidP="009D6B25">
      <w:pPr>
        <w:numPr>
          <w:ilvl w:val="0"/>
          <w:numId w:val="17"/>
        </w:numPr>
        <w:spacing w:after="60"/>
        <w:ind w:left="357" w:hanging="357"/>
        <w:jc w:val="both"/>
      </w:pPr>
      <w:r>
        <w:rPr>
          <w:i/>
        </w:rPr>
        <w:t>P</w:t>
      </w:r>
      <w:r w:rsidRPr="00240617">
        <w:rPr>
          <w:i/>
        </w:rPr>
        <w:t>olitical perspective</w:t>
      </w:r>
      <w:r w:rsidRPr="00240617">
        <w:rPr>
          <w:b/>
          <w:i/>
        </w:rPr>
        <w:t xml:space="preserve">: </w:t>
      </w:r>
      <w:r>
        <w:t>a</w:t>
      </w:r>
      <w:r w:rsidRPr="00135431">
        <w:t xml:space="preserve">longside this, </w:t>
      </w:r>
      <w:r w:rsidR="008251B7">
        <w:t>GRDP</w:t>
      </w:r>
      <w:r w:rsidR="008251B7" w:rsidRPr="00135431">
        <w:t xml:space="preserve"> will</w:t>
      </w:r>
      <w:r w:rsidRPr="00135431">
        <w:t xml:space="preserve"> also seek to influence and align with important political drivers of change in</w:t>
      </w:r>
      <w:r w:rsidR="00B040BF">
        <w:t xml:space="preserve"> the</w:t>
      </w:r>
      <w:r w:rsidRPr="00135431">
        <w:t xml:space="preserve"> Pacific. This includes working with and seeking to influence leaders, both formal and informal leaders</w:t>
      </w:r>
      <w:r w:rsidR="00E12C8A">
        <w:t xml:space="preserve"> in-country and regionally</w:t>
      </w:r>
      <w:r w:rsidRPr="00135431">
        <w:t>. It includes attention to the narrative around climate change and disaster risk</w:t>
      </w:r>
      <w:r w:rsidR="00E12C8A">
        <w:t xml:space="preserve"> financing in particular</w:t>
      </w:r>
      <w:r w:rsidRPr="00135431">
        <w:t>, aiming to support a narrative which positions Pacific Island countries to lead and determine their response to the risks of climate change and disasters.</w:t>
      </w:r>
    </w:p>
    <w:p w:rsidR="00834334" w:rsidRPr="00135431" w:rsidRDefault="00834334" w:rsidP="00834334">
      <w:pPr>
        <w:pStyle w:val="Heading2"/>
        <w:jc w:val="left"/>
      </w:pPr>
      <w:bookmarkStart w:id="18" w:name="_Toc25739957"/>
      <w:bookmarkStart w:id="19" w:name="_Toc25740066"/>
      <w:r>
        <w:t>Intervention Logic</w:t>
      </w:r>
      <w:bookmarkEnd w:id="18"/>
      <w:bookmarkEnd w:id="19"/>
    </w:p>
    <w:p w:rsidR="00E12C8A" w:rsidRDefault="001A49AB" w:rsidP="001A49AB">
      <w:pPr>
        <w:spacing w:after="0"/>
        <w:jc w:val="both"/>
      </w:pPr>
      <w:r w:rsidRPr="00C92C39">
        <w:rPr>
          <w:b/>
        </w:rPr>
        <w:t xml:space="preserve">PATHWAYS OF INFLUENCE: </w:t>
      </w:r>
      <w:r w:rsidRPr="00135431">
        <w:t xml:space="preserve">Lessons from </w:t>
      </w:r>
      <w:r w:rsidR="00453FF0">
        <w:t>PRRP</w:t>
      </w:r>
      <w:r w:rsidRPr="00135431">
        <w:t xml:space="preserve"> indicate that sustained and comprehensive </w:t>
      </w:r>
      <w:r w:rsidR="00D766F3">
        <w:t xml:space="preserve">change for risk-informed development </w:t>
      </w:r>
      <w:r w:rsidRPr="00135431">
        <w:t xml:space="preserve">is best achieved through </w:t>
      </w:r>
      <w:r w:rsidR="00E12C8A">
        <w:t xml:space="preserve">multiple development pathways. </w:t>
      </w:r>
      <w:r w:rsidR="008251B7">
        <w:t>GRDP will</w:t>
      </w:r>
      <w:r w:rsidR="00D766F3">
        <w:t xml:space="preserve"> work to influence </w:t>
      </w:r>
      <w:r w:rsidR="00E12C8A" w:rsidRPr="00135431">
        <w:t>change</w:t>
      </w:r>
      <w:r w:rsidR="00D766F3">
        <w:t xml:space="preserve"> </w:t>
      </w:r>
      <w:r w:rsidR="00E12C8A">
        <w:t>through the following:</w:t>
      </w:r>
    </w:p>
    <w:p w:rsidR="00E12C8A" w:rsidRDefault="00E12C8A" w:rsidP="009D6B25">
      <w:pPr>
        <w:numPr>
          <w:ilvl w:val="0"/>
          <w:numId w:val="20"/>
        </w:numPr>
        <w:spacing w:after="0"/>
        <w:jc w:val="both"/>
      </w:pPr>
      <w:r w:rsidRPr="00E12C8A">
        <w:rPr>
          <w:i/>
        </w:rPr>
        <w:t>C</w:t>
      </w:r>
      <w:r w:rsidR="001A49AB" w:rsidRPr="00E12C8A">
        <w:rPr>
          <w:i/>
        </w:rPr>
        <w:t>entral</w:t>
      </w:r>
      <w:r w:rsidR="001A49AB" w:rsidRPr="00135431">
        <w:t xml:space="preserve"> </w:t>
      </w:r>
      <w:r w:rsidR="001A49AB" w:rsidRPr="005A338D">
        <w:rPr>
          <w:i/>
          <w:iCs/>
        </w:rPr>
        <w:t>development planning, financing and oversight systems</w:t>
      </w:r>
      <w:r w:rsidR="00B040BF">
        <w:t>:</w:t>
      </w:r>
      <w:r w:rsidR="001A49AB">
        <w:t xml:space="preserve"> b</w:t>
      </w:r>
      <w:r w:rsidR="001A49AB" w:rsidRPr="00135431">
        <w:t xml:space="preserve">ased on this learning, </w:t>
      </w:r>
      <w:r w:rsidR="008251B7">
        <w:t>GRDP</w:t>
      </w:r>
      <w:r w:rsidR="008251B7" w:rsidRPr="00135431">
        <w:t xml:space="preserve"> will</w:t>
      </w:r>
      <w:r w:rsidR="001A49AB" w:rsidRPr="00135431">
        <w:t xml:space="preserve"> aim to introduce a risk informed approach to central government agency systems, in particular those responsible for planning, finance and oversight of development in Pacific Island countries, in order to support a sustained and consistent take up of RID throughout each country. It will particularly target those </w:t>
      </w:r>
      <w:r w:rsidR="004A417D">
        <w:t>government</w:t>
      </w:r>
      <w:r w:rsidR="001A49AB" w:rsidRPr="00135431">
        <w:t xml:space="preserve"> systems responsible for planning</w:t>
      </w:r>
      <w:r w:rsidR="00D766F3">
        <w:t xml:space="preserve"> and </w:t>
      </w:r>
      <w:r w:rsidR="001A49AB" w:rsidRPr="00135431">
        <w:t>finance, introducing tools and supporting the capacity of those systems to fully encompass a risk informed approach to development planning and implementation</w:t>
      </w:r>
      <w:r w:rsidR="001A49AB">
        <w:t>.</w:t>
      </w:r>
    </w:p>
    <w:p w:rsidR="001A49AB" w:rsidRPr="00BC46EE" w:rsidRDefault="00E12C8A" w:rsidP="009D6B25">
      <w:pPr>
        <w:numPr>
          <w:ilvl w:val="0"/>
          <w:numId w:val="20"/>
        </w:numPr>
        <w:spacing w:after="0"/>
        <w:jc w:val="both"/>
      </w:pPr>
      <w:r w:rsidRPr="00E12C8A">
        <w:rPr>
          <w:i/>
        </w:rPr>
        <w:t xml:space="preserve">Vertical </w:t>
      </w:r>
      <w:r w:rsidR="009F744F">
        <w:rPr>
          <w:i/>
        </w:rPr>
        <w:t>pathways</w:t>
      </w:r>
      <w:r w:rsidRPr="00E12C8A">
        <w:rPr>
          <w:i/>
        </w:rPr>
        <w:t>:</w:t>
      </w:r>
      <w:r>
        <w:t xml:space="preserve"> </w:t>
      </w:r>
      <w:r w:rsidR="008251B7">
        <w:t>GRDP</w:t>
      </w:r>
      <w:r w:rsidR="008251B7" w:rsidRPr="00135431">
        <w:t xml:space="preserve"> recognises</w:t>
      </w:r>
      <w:r w:rsidR="001A49AB" w:rsidRPr="00135431">
        <w:t xml:space="preserve"> that this focus on central agencies and government should be</w:t>
      </w:r>
      <w:r w:rsidR="00F206C3">
        <w:t xml:space="preserve"> fully</w:t>
      </w:r>
      <w:r w:rsidR="001A49AB" w:rsidRPr="00135431">
        <w:t xml:space="preserve"> integrated with other levels of development</w:t>
      </w:r>
      <w:r w:rsidR="00F206C3">
        <w:t>, ultimately connecting with community needs and activity</w:t>
      </w:r>
      <w:r w:rsidR="001A49AB" w:rsidRPr="00135431">
        <w:t xml:space="preserve">. It will continue to utilise and develop partnerships with </w:t>
      </w:r>
      <w:r w:rsidR="00F206C3">
        <w:t xml:space="preserve">local government, </w:t>
      </w:r>
      <w:r w:rsidR="001A49AB" w:rsidRPr="00135431">
        <w:t xml:space="preserve">sector programs, </w:t>
      </w:r>
      <w:r w:rsidR="00F206C3">
        <w:t xml:space="preserve">and </w:t>
      </w:r>
      <w:r w:rsidR="00B040BF">
        <w:t xml:space="preserve">the </w:t>
      </w:r>
      <w:r w:rsidR="001A49AB" w:rsidRPr="00135431">
        <w:t>private sector to ensure their planning and budget submissions are risk informed. It will take up opportunities to work with these actors to demonstrate the value of RID and therefore further influence and build the case for change in central government systems.</w:t>
      </w:r>
    </w:p>
    <w:p w:rsidR="001A49AB" w:rsidRPr="00135431" w:rsidRDefault="00E12C8A" w:rsidP="009D6B25">
      <w:pPr>
        <w:numPr>
          <w:ilvl w:val="0"/>
          <w:numId w:val="19"/>
        </w:numPr>
        <w:spacing w:after="60"/>
        <w:ind w:left="357" w:hanging="357"/>
        <w:jc w:val="both"/>
      </w:pPr>
      <w:r w:rsidRPr="00D766F3">
        <w:rPr>
          <w:i/>
        </w:rPr>
        <w:t>Accountability mechanisms:</w:t>
      </w:r>
      <w:r>
        <w:t xml:space="preserve"> a</w:t>
      </w:r>
      <w:r w:rsidR="001A49AB" w:rsidRPr="00135431">
        <w:t xml:space="preserve">longside this work to shape the ‘supply’ side of government agencies, </w:t>
      </w:r>
      <w:r w:rsidR="008251B7">
        <w:t>GRDP</w:t>
      </w:r>
      <w:r w:rsidR="008251B7" w:rsidRPr="00135431">
        <w:t xml:space="preserve"> will</w:t>
      </w:r>
      <w:r w:rsidR="001A49AB" w:rsidRPr="00135431">
        <w:t xml:space="preserve"> work to support increased </w:t>
      </w:r>
      <w:r w:rsidR="001A49AB" w:rsidRPr="00E12C8A">
        <w:t>accountability for</w:t>
      </w:r>
      <w:r w:rsidR="001A49AB" w:rsidRPr="00135431">
        <w:t xml:space="preserve"> RID. This is a new work area from those under </w:t>
      </w:r>
      <w:r w:rsidR="008251B7">
        <w:t>GRDP</w:t>
      </w:r>
      <w:r w:rsidR="001A49AB" w:rsidRPr="00135431">
        <w:t xml:space="preserve">. Baseline research undertaken for this </w:t>
      </w:r>
      <w:r w:rsidR="00253797">
        <w:t>project</w:t>
      </w:r>
      <w:r w:rsidR="00895613">
        <w:t xml:space="preserve"> </w:t>
      </w:r>
      <w:r w:rsidR="001A49AB" w:rsidRPr="00135431">
        <w:t xml:space="preserve">has shown that to motivate and support change in </w:t>
      </w:r>
      <w:r w:rsidR="004A417D">
        <w:t>government</w:t>
      </w:r>
      <w:r w:rsidR="001A49AB" w:rsidRPr="00135431">
        <w:t xml:space="preserve"> systems there should also be accompanying changes in the interests and focus of formal accountability mechanism. To this end, </w:t>
      </w:r>
      <w:r w:rsidR="008251B7">
        <w:t>GRDP</w:t>
      </w:r>
      <w:r w:rsidR="008251B7" w:rsidRPr="00135431">
        <w:t xml:space="preserve"> will</w:t>
      </w:r>
      <w:r w:rsidR="001A49AB" w:rsidRPr="00135431">
        <w:t xml:space="preserve"> work to support formal audit and parliamentary systems to better understand RID and to require its integration into government systems. </w:t>
      </w:r>
      <w:r w:rsidR="008251B7">
        <w:t>GRDP</w:t>
      </w:r>
      <w:r w:rsidR="008251B7" w:rsidRPr="00135431">
        <w:t xml:space="preserve"> will</w:t>
      </w:r>
      <w:r w:rsidR="001A49AB" w:rsidRPr="00135431">
        <w:t xml:space="preserve"> also work with informal accountability mechanisms such as media, women’s organisations, youth and churches as well as the private sector, to build their interest in demanding integration of climate change and disaster risk in development. This latter work is likely to </w:t>
      </w:r>
      <w:r w:rsidR="00F206C3">
        <w:t xml:space="preserve">work through other initiatives and </w:t>
      </w:r>
      <w:r w:rsidR="001A49AB" w:rsidRPr="00135431">
        <w:t xml:space="preserve">networks within and across countries to share information and evidence about the value of RID. </w:t>
      </w:r>
    </w:p>
    <w:p w:rsidR="001A49AB" w:rsidRDefault="001A49AB" w:rsidP="001A49AB">
      <w:pPr>
        <w:spacing w:after="0"/>
        <w:jc w:val="both"/>
      </w:pPr>
    </w:p>
    <w:p w:rsidR="00834334" w:rsidRDefault="00834334" w:rsidP="00834334">
      <w:pPr>
        <w:jc w:val="both"/>
      </w:pPr>
      <w:r w:rsidRPr="00240617">
        <w:rPr>
          <w:b/>
        </w:rPr>
        <w:t xml:space="preserve">DEMONSTRATION: </w:t>
      </w:r>
      <w:r>
        <w:t>u</w:t>
      </w:r>
      <w:r w:rsidRPr="00135431">
        <w:t xml:space="preserve">nder the previous program, </w:t>
      </w:r>
      <w:r w:rsidR="00453FF0">
        <w:t>PRRP</w:t>
      </w:r>
      <w:r w:rsidRPr="00135431">
        <w:t xml:space="preserve">, there was considerable demonstration </w:t>
      </w:r>
      <w:r>
        <w:t xml:space="preserve">of </w:t>
      </w:r>
      <w:r w:rsidRPr="00135431">
        <w:t xml:space="preserve">the benefits for communities and governments </w:t>
      </w:r>
      <w:r>
        <w:t>for risk-informing development</w:t>
      </w:r>
      <w:r w:rsidRPr="00135431">
        <w:t>.</w:t>
      </w:r>
      <w:r>
        <w:t xml:space="preserve"> </w:t>
      </w:r>
      <w:r w:rsidR="000E7FB5">
        <w:t>PRRP</w:t>
      </w:r>
      <w:r w:rsidRPr="00135431">
        <w:t xml:space="preserve"> also demonstrated that sustaining risk informed </w:t>
      </w:r>
      <w:r>
        <w:t xml:space="preserve">development </w:t>
      </w:r>
      <w:r w:rsidRPr="00135431">
        <w:t xml:space="preserve">and ensuring that it influenced country development, required </w:t>
      </w:r>
      <w:r w:rsidRPr="00135431">
        <w:rPr>
          <w:bCs/>
        </w:rPr>
        <w:t>integration</w:t>
      </w:r>
      <w:r>
        <w:rPr>
          <w:bCs/>
        </w:rPr>
        <w:t xml:space="preserve"> through multiple development pathways</w:t>
      </w:r>
      <w:r w:rsidRPr="00135431">
        <w:t>. While community, private sector and sectoral projects can demonstrate the value of RID and provide immediate benefits for people, without integration into the core development systems of that country, usually managed by government, these good examples are unlikely to be sustained.</w:t>
      </w:r>
    </w:p>
    <w:p w:rsidR="000A7F6A" w:rsidRDefault="00240617" w:rsidP="00C92C39">
      <w:pPr>
        <w:jc w:val="both"/>
      </w:pPr>
      <w:r w:rsidRPr="00240617">
        <w:rPr>
          <w:b/>
        </w:rPr>
        <w:t xml:space="preserve">NARRATIVE: </w:t>
      </w:r>
      <w:r>
        <w:t>f</w:t>
      </w:r>
      <w:r w:rsidR="006A1BEE" w:rsidRPr="00135431">
        <w:t xml:space="preserve">inally, while </w:t>
      </w:r>
      <w:r w:rsidR="008251B7">
        <w:t>GRDP</w:t>
      </w:r>
      <w:r w:rsidR="008251B7" w:rsidRPr="00135431">
        <w:t xml:space="preserve"> is</w:t>
      </w:r>
      <w:r w:rsidR="006A1BEE" w:rsidRPr="00135431">
        <w:t xml:space="preserve"> focused on working with Pacific </w:t>
      </w:r>
      <w:r w:rsidR="00A73D56">
        <w:t>I</w:t>
      </w:r>
      <w:r w:rsidR="006A1BEE" w:rsidRPr="00135431">
        <w:t xml:space="preserve">sland countries, it recognises that the Pacific is a unique context where countries are influenced by each other and are impacted by a range of regional actors. These include Pacific regional organisations alongside a range of donors and multilateral organisations. These agents control resources for development in the region. They also influence the ‘narrative’ around climate change and disaster. That is the common wisdom about what is required to best mitigate and adapt to the impacts of climate change and disaster in the Pacific. </w:t>
      </w:r>
    </w:p>
    <w:p w:rsidR="00DE3407" w:rsidRDefault="000A7F6A" w:rsidP="00C92C39">
      <w:pPr>
        <w:jc w:val="both"/>
      </w:pPr>
      <w:r w:rsidRPr="005A338D">
        <w:rPr>
          <w:b/>
          <w:bCs/>
        </w:rPr>
        <w:t>LEADERSHIP</w:t>
      </w:r>
      <w:r w:rsidRPr="00593A6A">
        <w:t xml:space="preserve">: </w:t>
      </w:r>
      <w:r w:rsidRPr="00C70610">
        <w:t>m</w:t>
      </w:r>
      <w:r w:rsidR="006A1BEE" w:rsidRPr="005A338D">
        <w:t>uch of the funding and technical capacity for climate change and disaster risk response is controlled by these regional agents.</w:t>
      </w:r>
      <w:r w:rsidRPr="005A338D">
        <w:t xml:space="preserve"> R</w:t>
      </w:r>
      <w:r w:rsidR="006A1BEE" w:rsidRPr="005A338D">
        <w:t>esponding to these agents consumes much of the time and focus of Pacific Island governments and people.</w:t>
      </w:r>
      <w:r w:rsidR="00E12C8A" w:rsidRPr="005A338D">
        <w:t xml:space="preserve"> </w:t>
      </w:r>
      <w:r w:rsidR="008251B7">
        <w:t>GRDP</w:t>
      </w:r>
      <w:r w:rsidR="008251B7" w:rsidRPr="005A338D">
        <w:t xml:space="preserve"> will</w:t>
      </w:r>
      <w:r w:rsidR="006A1BEE" w:rsidRPr="005A338D">
        <w:t xml:space="preserve"> therefore also seek to influence these regional agents, specifically to utilise</w:t>
      </w:r>
      <w:r w:rsidR="006A1BEE" w:rsidRPr="00135431">
        <w:t xml:space="preserve"> their wider influence to increase opportunities to champion and further advocate for a RID approach to addressing climate change and disaster. Activities in this work area will include participation in regional resilience programs and activities, information and evidence sharing through Pacific networks and collaborative partnerships with specific regional agents to leverage influence through their programs and expertise. The intention will be to utilise the unique significance of regional agents in the Pacific to support the development of RID within Pacific </w:t>
      </w:r>
      <w:r w:rsidR="00A73D56">
        <w:t>I</w:t>
      </w:r>
      <w:r w:rsidR="006A1BEE" w:rsidRPr="00135431">
        <w:t xml:space="preserve">sland countries. This includes countries which are not the direct focus for </w:t>
      </w:r>
      <w:r w:rsidR="008251B7">
        <w:t>GRDP</w:t>
      </w:r>
      <w:r w:rsidR="008251B7" w:rsidRPr="00135431">
        <w:t>,</w:t>
      </w:r>
      <w:r w:rsidR="006A1BEE" w:rsidRPr="00135431">
        <w:t xml:space="preserve"> enabling a wider dissemination of a risk informed approach across the region</w:t>
      </w:r>
      <w:r w:rsidR="00DE3407">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72"/>
      </w:tblGrid>
      <w:tr w:rsidR="00DE3407" w:rsidTr="00DE3407">
        <w:tc>
          <w:tcPr>
            <w:tcW w:w="9592" w:type="dxa"/>
          </w:tcPr>
          <w:p w:rsidR="00DE3407" w:rsidRDefault="00DE3407" w:rsidP="005A338D">
            <w:pPr>
              <w:pStyle w:val="Heading4"/>
              <w:spacing w:before="120"/>
            </w:pPr>
            <w:r>
              <w:t>Box 1. pacific risk resilience programme (phase i 2012-2019)</w:t>
            </w:r>
          </w:p>
          <w:p w:rsidR="00DE3407" w:rsidRPr="00DE3407" w:rsidRDefault="00DE3407" w:rsidP="00DE3407">
            <w:pPr>
              <w:spacing w:before="120" w:after="120" w:line="240" w:lineRule="auto"/>
              <w:rPr>
                <w:sz w:val="20"/>
              </w:rPr>
            </w:pPr>
            <w:r>
              <w:rPr>
                <w:sz w:val="20"/>
              </w:rPr>
              <w:t>The Pacific Risk Resilience Programme (</w:t>
            </w:r>
            <w:r w:rsidR="00BB5775">
              <w:rPr>
                <w:sz w:val="20"/>
              </w:rPr>
              <w:t>PRRP</w:t>
            </w:r>
            <w:r>
              <w:rPr>
                <w:sz w:val="20"/>
              </w:rPr>
              <w:t>) was a five year Australian and Swedish Government funded programme which operated in four countries from 2012-2019. The programme worked</w:t>
            </w:r>
            <w:r w:rsidRPr="009F0CAC">
              <w:rPr>
                <w:sz w:val="20"/>
              </w:rPr>
              <w:t xml:space="preserve"> with countries to ensure that managing the risks to climate change and disasters </w:t>
            </w:r>
            <w:r>
              <w:rPr>
                <w:sz w:val="20"/>
              </w:rPr>
              <w:t>were</w:t>
            </w:r>
            <w:r w:rsidRPr="009F0CAC">
              <w:rPr>
                <w:sz w:val="20"/>
              </w:rPr>
              <w:t xml:space="preserve"> central to development decision making. It </w:t>
            </w:r>
            <w:r>
              <w:rPr>
                <w:sz w:val="20"/>
              </w:rPr>
              <w:t>did</w:t>
            </w:r>
            <w:r w:rsidRPr="009F0CAC">
              <w:rPr>
                <w:sz w:val="20"/>
              </w:rPr>
              <w:t xml:space="preserve"> this by improving the core components of their risk governance structures: the people, mechanisms and processes, referred to as the risk governance building blocks. These constitute</w:t>
            </w:r>
            <w:r>
              <w:rPr>
                <w:sz w:val="20"/>
              </w:rPr>
              <w:t>d</w:t>
            </w:r>
            <w:r w:rsidRPr="009F0CAC">
              <w:rPr>
                <w:sz w:val="20"/>
              </w:rPr>
              <w:t xml:space="preserve"> the main instruments of the programme and are delivered through development pathways</w:t>
            </w:r>
            <w:r>
              <w:rPr>
                <w:sz w:val="20"/>
              </w:rPr>
              <w:t xml:space="preserve"> </w:t>
            </w:r>
            <w:r w:rsidRPr="009F0CAC">
              <w:rPr>
                <w:sz w:val="20"/>
              </w:rPr>
              <w:t>from national, sub-national to community level. The main objective of this work is to risk-inform development in a gender and socially inclusive manner as defined by the core principle of the Framework for Resilient Development in the Pacific (FRDP) for achieving resilient development.</w:t>
            </w:r>
            <w:r>
              <w:rPr>
                <w:sz w:val="20"/>
              </w:rPr>
              <w:t xml:space="preserve"> The successes and learning from this programme are central to informing the second phase of the </w:t>
            </w:r>
            <w:r w:rsidR="000E7FB5">
              <w:rPr>
                <w:sz w:val="20"/>
              </w:rPr>
              <w:t>PRRP</w:t>
            </w:r>
            <w:r>
              <w:rPr>
                <w:sz w:val="20"/>
              </w:rPr>
              <w:t xml:space="preserve">. </w:t>
            </w:r>
            <w:r w:rsidRPr="009F0CAC">
              <w:rPr>
                <w:sz w:val="20"/>
              </w:rPr>
              <w:t xml:space="preserve">Annex V provides a summary of the key lessons learned from this first phase, which are reflected throughout the design and theory of change for </w:t>
            </w:r>
            <w:r w:rsidR="008251B7">
              <w:rPr>
                <w:sz w:val="20"/>
              </w:rPr>
              <w:t>GRDP</w:t>
            </w:r>
            <w:r w:rsidR="008251B7" w:rsidRPr="009F0CAC">
              <w:rPr>
                <w:sz w:val="20"/>
              </w:rPr>
              <w:t>.</w:t>
            </w:r>
            <w:r w:rsidRPr="009F0CAC">
              <w:rPr>
                <w:sz w:val="20"/>
              </w:rPr>
              <w:t xml:space="preserve"> </w:t>
            </w:r>
          </w:p>
        </w:tc>
      </w:tr>
    </w:tbl>
    <w:p w:rsidR="00B435B8" w:rsidRPr="00135431" w:rsidRDefault="00B435B8" w:rsidP="00B435B8">
      <w:pPr>
        <w:pStyle w:val="Heading2"/>
        <w:jc w:val="left"/>
      </w:pPr>
      <w:bookmarkStart w:id="20" w:name="_Toc22745649"/>
      <w:bookmarkStart w:id="21" w:name="_Toc25739958"/>
      <w:bookmarkStart w:id="22" w:name="_Toc25740067"/>
      <w:r w:rsidRPr="00DA7561">
        <w:t xml:space="preserve">Gender </w:t>
      </w:r>
      <w:bookmarkEnd w:id="20"/>
      <w:r w:rsidR="002E4231">
        <w:t>and Social Inclusion</w:t>
      </w:r>
      <w:bookmarkEnd w:id="21"/>
      <w:bookmarkEnd w:id="22"/>
    </w:p>
    <w:p w:rsidR="00B435B8" w:rsidRPr="00135431" w:rsidRDefault="008251B7" w:rsidP="00A76B39">
      <w:pPr>
        <w:jc w:val="both"/>
      </w:pPr>
      <w:r>
        <w:t>GRDP</w:t>
      </w:r>
      <w:r w:rsidRPr="00135431">
        <w:t xml:space="preserve"> proposes</w:t>
      </w:r>
      <w:r w:rsidR="00B435B8" w:rsidRPr="00135431">
        <w:t xml:space="preserve"> that effective attention to climate change and disaster risks requires understanding those risks from the experience of people most likely to be vulnerable to impacts of climate change and disasters. This includes women, people with disabilit</w:t>
      </w:r>
      <w:r w:rsidR="00C907F0">
        <w:t>ies</w:t>
      </w:r>
      <w:r w:rsidR="00B435B8" w:rsidRPr="00135431">
        <w:t xml:space="preserve"> and other marginalised groups. </w:t>
      </w:r>
      <w:r>
        <w:t>GRDP</w:t>
      </w:r>
      <w:r w:rsidRPr="00135431">
        <w:t xml:space="preserve"> will</w:t>
      </w:r>
      <w:r w:rsidR="00B435B8" w:rsidRPr="00135431">
        <w:t xml:space="preserve"> utilise the learning from </w:t>
      </w:r>
      <w:r w:rsidR="000E7FB5">
        <w:t>PRRP</w:t>
      </w:r>
      <w:r w:rsidR="00B435B8" w:rsidRPr="00135431">
        <w:t xml:space="preserve"> to partner with ministries of women in each of its focus countries as part of its work with central government agencies. Utilising existing experience and knowledge of the women’s machinery of government within those government systems is an efficient way to draw on contextually relevant knowledge of the risks for women around climate change and disaster. It is also more likely to lead to a sustained focus on women in the </w:t>
      </w:r>
      <w:r w:rsidR="004A417D">
        <w:t>government</w:t>
      </w:r>
      <w:r w:rsidR="00B435B8" w:rsidRPr="00135431">
        <w:t xml:space="preserve"> management of and ongoing attention to those risks.</w:t>
      </w:r>
    </w:p>
    <w:p w:rsidR="00B435B8" w:rsidRPr="00135431" w:rsidRDefault="00B435B8" w:rsidP="00A76B39">
      <w:pPr>
        <w:jc w:val="both"/>
      </w:pPr>
      <w:r w:rsidRPr="00135431">
        <w:t xml:space="preserve">Where there are existing government departments of social welfare or community development with responsibility for people with disability and other vulnerable groups such as the elderly or children, </w:t>
      </w:r>
      <w:r w:rsidR="008251B7">
        <w:t>GRDP</w:t>
      </w:r>
      <w:r w:rsidR="008251B7" w:rsidRPr="00135431">
        <w:t xml:space="preserve"> proposes</w:t>
      </w:r>
      <w:r w:rsidRPr="00135431">
        <w:t xml:space="preserve"> to also collaborate with these ministries to utilise the existing understanding of risk and have this integrated into a risk informed development approach within central government agencies. As required, some collaboration will also be undertaken with external representative groups such as Disabled People’s Organisations (DPO) to ensure their experience and information is utilised. The aim for </w:t>
      </w:r>
      <w:r w:rsidR="008251B7">
        <w:t>GRDP</w:t>
      </w:r>
      <w:r w:rsidR="008251B7" w:rsidRPr="00135431">
        <w:t xml:space="preserve"> will</w:t>
      </w:r>
      <w:r w:rsidRPr="00135431">
        <w:t xml:space="preserve"> be to facilitate the interaction of these government departments and non-government organisations with the central systems of government, as appropriate, to ensure that their information, knowledge and experience informs the risk understanding and integration within the systems.</w:t>
      </w:r>
      <w:r w:rsidR="00A76B39">
        <w:t xml:space="preserve"> </w:t>
      </w:r>
      <w:r w:rsidRPr="00135431">
        <w:t xml:space="preserve">In addition, as part of the second work area of the program, </w:t>
      </w:r>
      <w:r w:rsidR="008251B7">
        <w:t>GRDP</w:t>
      </w:r>
      <w:r w:rsidR="008251B7" w:rsidRPr="00135431">
        <w:t xml:space="preserve"> will</w:t>
      </w:r>
      <w:r w:rsidRPr="00135431">
        <w:t xml:space="preserve"> work with a range of partners and civil society, including groups representing women and people living with disability. Under this work area the intention is to support these groups’ active engagement to hold government accountable for RID. That includes an understanding of risk developed with comprehensive attention to the risks of climate change and disasters for women and vulnerable groups.</w:t>
      </w:r>
      <w:r w:rsidR="003A6EEA">
        <w:t xml:space="preserve"> The level and quality of this interaction will be measured as part of the baseline and on-going monitoring and evaluation (see Annex VI for more detail).</w:t>
      </w:r>
    </w:p>
    <w:p w:rsidR="00B435B8" w:rsidRDefault="008251B7" w:rsidP="00A76B39">
      <w:pPr>
        <w:jc w:val="both"/>
      </w:pPr>
      <w:r>
        <w:t>GRDP</w:t>
      </w:r>
      <w:r w:rsidRPr="00135431">
        <w:t xml:space="preserve"> will</w:t>
      </w:r>
      <w:r w:rsidR="00B435B8" w:rsidRPr="00135431">
        <w:t xml:space="preserve"> utilise the experience of </w:t>
      </w:r>
      <w:r w:rsidR="00C328A6">
        <w:t>PRRP</w:t>
      </w:r>
      <w:r w:rsidR="00B435B8" w:rsidRPr="00135431">
        <w:t xml:space="preserve"> to foster networks across the region as appropriate to build momentum for climate change and disaster risk that is </w:t>
      </w:r>
      <w:r w:rsidR="00334F07" w:rsidRPr="00334F07">
        <w:t>gender and social</w:t>
      </w:r>
      <w:r w:rsidR="00334F07">
        <w:t>ly</w:t>
      </w:r>
      <w:r w:rsidR="00334F07" w:rsidRPr="00334F07">
        <w:t xml:space="preserve"> inclusive</w:t>
      </w:r>
      <w:r w:rsidR="00B435B8" w:rsidRPr="00135431">
        <w:t xml:space="preserve">. This will build on the experience of </w:t>
      </w:r>
      <w:r w:rsidR="00A73D56">
        <w:t xml:space="preserve">the </w:t>
      </w:r>
      <w:r w:rsidR="00B435B8" w:rsidRPr="00135431">
        <w:t xml:space="preserve">highly effective </w:t>
      </w:r>
      <w:r w:rsidR="004B4E61">
        <w:t>Protection in the Pacific (</w:t>
      </w:r>
      <w:proofErr w:type="spellStart"/>
      <w:r w:rsidR="00B435B8" w:rsidRPr="00135431">
        <w:t>ProPa</w:t>
      </w:r>
      <w:proofErr w:type="spellEnd"/>
      <w:r w:rsidR="004B4E61">
        <w:t xml:space="preserve">) </w:t>
      </w:r>
      <w:r w:rsidR="00B435B8" w:rsidRPr="00135431">
        <w:t xml:space="preserve">network (see Box </w:t>
      </w:r>
      <w:r w:rsidR="00A22CE5">
        <w:t>2</w:t>
      </w:r>
      <w:r w:rsidR="00B435B8" w:rsidRPr="00135431">
        <w:t xml:space="preserve">), which demonstrated the value of cross regional networks as a vehicle to increase the voice of women in climate change and disaster risk integration.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72"/>
      </w:tblGrid>
      <w:tr w:rsidR="00DE3407" w:rsidTr="00DE3407">
        <w:tc>
          <w:tcPr>
            <w:tcW w:w="9572" w:type="dxa"/>
          </w:tcPr>
          <w:p w:rsidR="00DE3407" w:rsidRDefault="00DE3407" w:rsidP="005A338D">
            <w:pPr>
              <w:pStyle w:val="Heading4"/>
              <w:spacing w:before="120"/>
            </w:pPr>
            <w:r>
              <w:t>Box 2. The P</w:t>
            </w:r>
            <w:r w:rsidR="00FB1776">
              <w:t>ro</w:t>
            </w:r>
            <w:r>
              <w:t>Pa Network</w:t>
            </w:r>
          </w:p>
          <w:p w:rsidR="00DE3407" w:rsidRPr="00DE3407" w:rsidRDefault="00DE3407" w:rsidP="00DE3407">
            <w:pPr>
              <w:spacing w:before="120"/>
              <w:jc w:val="both"/>
              <w:rPr>
                <w:sz w:val="20"/>
              </w:rPr>
            </w:pPr>
            <w:r w:rsidRPr="00C07C83">
              <w:rPr>
                <w:sz w:val="20"/>
              </w:rPr>
              <w:t xml:space="preserve">The </w:t>
            </w:r>
            <w:proofErr w:type="spellStart"/>
            <w:r w:rsidRPr="00C07C83">
              <w:rPr>
                <w:sz w:val="20"/>
              </w:rPr>
              <w:t>ProPa</w:t>
            </w:r>
            <w:proofErr w:type="spellEnd"/>
            <w:r w:rsidRPr="00C07C83">
              <w:rPr>
                <w:sz w:val="20"/>
              </w:rPr>
              <w:t xml:space="preserve"> network includes government officials from relevant Ministries of Women in the four </w:t>
            </w:r>
            <w:r w:rsidR="00C328A6">
              <w:rPr>
                <w:sz w:val="20"/>
              </w:rPr>
              <w:t>PRRP</w:t>
            </w:r>
            <w:r w:rsidRPr="00C07C83">
              <w:rPr>
                <w:sz w:val="20"/>
              </w:rPr>
              <w:t xml:space="preserve"> pilot countries. This group came together to advocate for common regional approaches to integrating gender concerns into climate change and disaster risk planning and financing. Funded as part of the </w:t>
            </w:r>
            <w:r w:rsidR="00C328A6">
              <w:rPr>
                <w:sz w:val="20"/>
              </w:rPr>
              <w:t>PRRP</w:t>
            </w:r>
            <w:r w:rsidRPr="00C07C83">
              <w:rPr>
                <w:sz w:val="20"/>
              </w:rPr>
              <w:t xml:space="preserve">, with assistance from the DFAT Gender Equity Fund, the network has been an effective advocate for gender </w:t>
            </w:r>
            <w:r w:rsidR="00334F07">
              <w:rPr>
                <w:sz w:val="20"/>
              </w:rPr>
              <w:t xml:space="preserve">and social </w:t>
            </w:r>
            <w:r w:rsidRPr="00C07C83">
              <w:rPr>
                <w:sz w:val="20"/>
              </w:rPr>
              <w:t xml:space="preserve">inclusion. It helps stakeholders address the root causes of risk by unpacking gender and social dimensions of vulnerability (including land rights, migration and deep-rooted inequalities). It advocates for the protection of human rights as central to all climate change and disaster risk management actions. </w:t>
            </w:r>
            <w:r w:rsidRPr="00045806">
              <w:rPr>
                <w:sz w:val="20"/>
              </w:rPr>
              <w:t xml:space="preserve">Its </w:t>
            </w:r>
            <w:r w:rsidRPr="00DE3407">
              <w:rPr>
                <w:sz w:val="20"/>
              </w:rPr>
              <w:t xml:space="preserve">focus on social inclusion has seen increased inclusion of minority groups, and persons with disabilities (PWD), through integration of disability as a key factor contributing to risk and supporting ministries with responsibility for disabilities to engage in climate change and disaster risk management dialogue in Fiji and Vanuatu. </w:t>
            </w:r>
            <w:r w:rsidRPr="00C07C83">
              <w:rPr>
                <w:sz w:val="20"/>
              </w:rPr>
              <w:t>As a result of the network activity the core principles of protection and gender and social inclusion were embedded within the FRDP.</w:t>
            </w:r>
          </w:p>
        </w:tc>
      </w:tr>
    </w:tbl>
    <w:p w:rsidR="006B4A1F" w:rsidRPr="007D38E5" w:rsidRDefault="006B4A1F" w:rsidP="005A338D">
      <w:pPr>
        <w:pStyle w:val="Heading2"/>
        <w:jc w:val="left"/>
      </w:pPr>
      <w:bookmarkStart w:id="23" w:name="_Toc25739959"/>
      <w:bookmarkStart w:id="24" w:name="_Toc25740068"/>
      <w:r w:rsidRPr="007D38E5">
        <w:t>Country and Entry Point Selection</w:t>
      </w:r>
      <w:r>
        <w:t xml:space="preserve"> </w:t>
      </w:r>
      <w:r w:rsidR="004B2D15">
        <w:t>CRITERIA</w:t>
      </w:r>
      <w:bookmarkEnd w:id="23"/>
      <w:bookmarkEnd w:id="24"/>
    </w:p>
    <w:p w:rsidR="006B4A1F" w:rsidRPr="006B4A1F" w:rsidRDefault="008251B7" w:rsidP="005A338D">
      <w:pPr>
        <w:pStyle w:val="ListParagraph"/>
        <w:spacing w:after="240"/>
        <w:ind w:left="0"/>
        <w:jc w:val="both"/>
        <w:rPr>
          <w:rFonts w:cs="Calibri Light"/>
        </w:rPr>
      </w:pPr>
      <w:r>
        <w:rPr>
          <w:rFonts w:cs="Calibri Light"/>
        </w:rPr>
        <w:t xml:space="preserve">GRDP </w:t>
      </w:r>
      <w:r w:rsidRPr="006B4A1F">
        <w:rPr>
          <w:rFonts w:cs="Calibri Light"/>
        </w:rPr>
        <w:t>will</w:t>
      </w:r>
      <w:r w:rsidR="006B4A1F" w:rsidRPr="006B4A1F">
        <w:rPr>
          <w:rFonts w:cs="Calibri Light"/>
        </w:rPr>
        <w:t xml:space="preserve"> develop a systematic methodology for determining programming countries and entry points. </w:t>
      </w:r>
      <w:r w:rsidR="004B2D15">
        <w:rPr>
          <w:rFonts w:cs="Calibri Light"/>
        </w:rPr>
        <w:t xml:space="preserve">The </w:t>
      </w:r>
      <w:r w:rsidR="00253797">
        <w:rPr>
          <w:rFonts w:cs="Calibri Light"/>
        </w:rPr>
        <w:t>project</w:t>
      </w:r>
      <w:r w:rsidR="004B2D15">
        <w:rPr>
          <w:rFonts w:cs="Calibri Light"/>
        </w:rPr>
        <w:t xml:space="preserve"> </w:t>
      </w:r>
      <w:r w:rsidR="002B3F59">
        <w:rPr>
          <w:rFonts w:cs="Calibri Light"/>
        </w:rPr>
        <w:t>anticipates</w:t>
      </w:r>
      <w:r w:rsidR="004B2D15">
        <w:rPr>
          <w:rFonts w:cs="Calibri Light"/>
        </w:rPr>
        <w:t xml:space="preserve"> working in 7 or 8 countries at any one point in time</w:t>
      </w:r>
      <w:r w:rsidR="002B3F59">
        <w:rPr>
          <w:rFonts w:cs="Calibri Light"/>
        </w:rPr>
        <w:t>.</w:t>
      </w:r>
      <w:r w:rsidR="004B2D15">
        <w:rPr>
          <w:rFonts w:cs="Calibri Light"/>
        </w:rPr>
        <w:t xml:space="preserve"> </w:t>
      </w:r>
      <w:r w:rsidR="006B4A1F" w:rsidRPr="006B4A1F">
        <w:rPr>
          <w:rFonts w:cs="Calibri Light"/>
        </w:rPr>
        <w:t xml:space="preserve">Consistent with the wider programming approach, </w:t>
      </w:r>
      <w:r w:rsidR="002B3F59">
        <w:rPr>
          <w:rFonts w:cs="Calibri Light"/>
        </w:rPr>
        <w:t>the</w:t>
      </w:r>
      <w:r w:rsidR="006B4A1F" w:rsidRPr="006B4A1F">
        <w:rPr>
          <w:rFonts w:cs="Calibri Light"/>
        </w:rPr>
        <w:t xml:space="preserve"> entry point/countr</w:t>
      </w:r>
      <w:r w:rsidR="002B3F59">
        <w:rPr>
          <w:rFonts w:cs="Calibri Light"/>
        </w:rPr>
        <w:t>y</w:t>
      </w:r>
      <w:r w:rsidR="006B4A1F" w:rsidRPr="006B4A1F">
        <w:rPr>
          <w:rFonts w:cs="Calibri Light"/>
        </w:rPr>
        <w:t xml:space="preserve"> </w:t>
      </w:r>
      <w:r w:rsidR="002B3F59" w:rsidRPr="006B4A1F">
        <w:rPr>
          <w:rFonts w:cs="Calibri Light"/>
        </w:rPr>
        <w:t xml:space="preserve">analysis will be undertaken on an ongoing basis and </w:t>
      </w:r>
      <w:r w:rsidR="006B4A1F" w:rsidRPr="006B4A1F">
        <w:rPr>
          <w:rFonts w:cs="Calibri Light"/>
        </w:rPr>
        <w:t xml:space="preserve">will be adjusted according to the state of affairs in country at any point in time. This agile approach will allow the </w:t>
      </w:r>
      <w:r w:rsidR="00253797">
        <w:rPr>
          <w:rFonts w:cs="Calibri Light"/>
        </w:rPr>
        <w:t>project</w:t>
      </w:r>
      <w:r w:rsidR="006B4A1F" w:rsidRPr="006B4A1F">
        <w:rPr>
          <w:rFonts w:cs="Calibri Light"/>
        </w:rPr>
        <w:t xml:space="preserve"> to be respons</w:t>
      </w:r>
      <w:r w:rsidR="002B3F59">
        <w:rPr>
          <w:rFonts w:cs="Calibri Light"/>
        </w:rPr>
        <w:t xml:space="preserve">ive </w:t>
      </w:r>
      <w:r w:rsidR="006B4A1F" w:rsidRPr="006B4A1F">
        <w:rPr>
          <w:rFonts w:cs="Calibri Light"/>
        </w:rPr>
        <w:t>to country needs and to take advantage of opportunities as and when they arise.</w:t>
      </w:r>
      <w:bookmarkStart w:id="25" w:name="_Ref24021268"/>
      <w:r w:rsidR="006B4A1F" w:rsidRPr="006B4A1F">
        <w:rPr>
          <w:rFonts w:cs="Calibri Light"/>
        </w:rPr>
        <w:t xml:space="preserve"> The selection criteria for entry points will include a combination of political economy analyses and technical assessment</w:t>
      </w:r>
      <w:r w:rsidR="002B3F59">
        <w:rPr>
          <w:rFonts w:cs="Calibri Light"/>
        </w:rPr>
        <w:t>s</w:t>
      </w:r>
      <w:r w:rsidR="006B4A1F" w:rsidRPr="006B4A1F">
        <w:rPr>
          <w:rFonts w:cs="Calibri Light"/>
        </w:rPr>
        <w:t xml:space="preserve"> (as </w:t>
      </w:r>
      <w:r w:rsidR="002B3F59">
        <w:rPr>
          <w:rFonts w:cs="Calibri Light"/>
        </w:rPr>
        <w:t>has been</w:t>
      </w:r>
      <w:r w:rsidR="006B4A1F" w:rsidRPr="006B4A1F">
        <w:rPr>
          <w:rFonts w:cs="Calibri Light"/>
        </w:rPr>
        <w:t xml:space="preserve"> undertaken to inform </w:t>
      </w:r>
      <w:r w:rsidR="00253797">
        <w:rPr>
          <w:rFonts w:cs="Calibri Light"/>
        </w:rPr>
        <w:t>project</w:t>
      </w:r>
      <w:r w:rsidR="006B4A1F" w:rsidRPr="006B4A1F">
        <w:rPr>
          <w:rFonts w:cs="Calibri Light"/>
        </w:rPr>
        <w:t xml:space="preserve"> baseline assessments). For each country, the team will assess</w:t>
      </w:r>
      <w:r w:rsidR="00A22CE5">
        <w:rPr>
          <w:rFonts w:cs="Calibri Light"/>
        </w:rPr>
        <w:t>:</w:t>
      </w:r>
      <w:r w:rsidR="006B4A1F" w:rsidRPr="006B4A1F">
        <w:rPr>
          <w:rFonts w:cs="Calibri Light"/>
        </w:rPr>
        <w:t xml:space="preserve"> i) the current state of affairs e.g. ongoing reform, existing policy/practice</w:t>
      </w:r>
      <w:proofErr w:type="gramStart"/>
      <w:r w:rsidR="006B4A1F" w:rsidRPr="006B4A1F">
        <w:rPr>
          <w:rFonts w:cs="Calibri Light"/>
        </w:rPr>
        <w:t>; )</w:t>
      </w:r>
      <w:proofErr w:type="gramEnd"/>
      <w:r w:rsidR="006B4A1F" w:rsidRPr="006B4A1F">
        <w:rPr>
          <w:rFonts w:cs="Calibri Light"/>
        </w:rPr>
        <w:t xml:space="preserve"> opportunities; and i) risks. More specifically, the criteria will include:</w:t>
      </w:r>
      <w:bookmarkEnd w:id="25"/>
      <w:r w:rsidR="006B4A1F" w:rsidRPr="006B4A1F">
        <w:rPr>
          <w:rFonts w:cs="Calibri Light"/>
        </w:rPr>
        <w:t xml:space="preserve"> </w:t>
      </w:r>
    </w:p>
    <w:p w:rsidR="006B4A1F" w:rsidRPr="00927AEC" w:rsidRDefault="006B4A1F" w:rsidP="009D6B25">
      <w:pPr>
        <w:numPr>
          <w:ilvl w:val="0"/>
          <w:numId w:val="20"/>
        </w:numPr>
        <w:spacing w:after="0"/>
        <w:jc w:val="both"/>
        <w:rPr>
          <w:iCs/>
        </w:rPr>
      </w:pPr>
      <w:r w:rsidRPr="00927AEC">
        <w:rPr>
          <w:iCs/>
        </w:rPr>
        <w:t>Propensity for change and prospect for scale in country</w:t>
      </w:r>
    </w:p>
    <w:p w:rsidR="006B4A1F" w:rsidRPr="00927AEC" w:rsidRDefault="006B4A1F" w:rsidP="009D6B25">
      <w:pPr>
        <w:numPr>
          <w:ilvl w:val="0"/>
          <w:numId w:val="20"/>
        </w:numPr>
        <w:spacing w:after="0"/>
        <w:jc w:val="both"/>
        <w:rPr>
          <w:iCs/>
        </w:rPr>
      </w:pPr>
      <w:r w:rsidRPr="004B2D15">
        <w:rPr>
          <w:iCs/>
        </w:rPr>
        <w:t>Country risk profile</w:t>
      </w:r>
    </w:p>
    <w:p w:rsidR="006B4A1F" w:rsidRPr="00927AEC" w:rsidRDefault="006B4A1F" w:rsidP="009D6B25">
      <w:pPr>
        <w:numPr>
          <w:ilvl w:val="0"/>
          <w:numId w:val="20"/>
        </w:numPr>
        <w:spacing w:after="0"/>
        <w:rPr>
          <w:iCs/>
        </w:rPr>
      </w:pPr>
      <w:r w:rsidRPr="004B2D15">
        <w:rPr>
          <w:iCs/>
        </w:rPr>
        <w:t xml:space="preserve">Activities </w:t>
      </w:r>
      <w:r w:rsidR="000477F9">
        <w:rPr>
          <w:iCs/>
        </w:rPr>
        <w:t xml:space="preserve">being undertaken </w:t>
      </w:r>
      <w:r w:rsidRPr="00927AEC">
        <w:rPr>
          <w:iCs/>
        </w:rPr>
        <w:t xml:space="preserve">by other donor partners (giving attention to </w:t>
      </w:r>
      <w:r w:rsidRPr="004B2D15">
        <w:rPr>
          <w:iCs/>
        </w:rPr>
        <w:t>complementing other interventions)</w:t>
      </w:r>
    </w:p>
    <w:p w:rsidR="006B4A1F" w:rsidRPr="00927AEC" w:rsidRDefault="006B4A1F" w:rsidP="009D6B25">
      <w:pPr>
        <w:numPr>
          <w:ilvl w:val="0"/>
          <w:numId w:val="20"/>
        </w:numPr>
        <w:spacing w:after="0"/>
        <w:jc w:val="both"/>
        <w:rPr>
          <w:iCs/>
        </w:rPr>
      </w:pPr>
      <w:r w:rsidRPr="004B2D15">
        <w:rPr>
          <w:iCs/>
        </w:rPr>
        <w:t>Engagement and interest from gender machinery with planning and financing</w:t>
      </w:r>
    </w:p>
    <w:p w:rsidR="006B4A1F" w:rsidRPr="00927AEC" w:rsidRDefault="006B4A1F" w:rsidP="009D6B25">
      <w:pPr>
        <w:numPr>
          <w:ilvl w:val="0"/>
          <w:numId w:val="20"/>
        </w:numPr>
        <w:spacing w:after="0"/>
        <w:jc w:val="both"/>
        <w:rPr>
          <w:iCs/>
        </w:rPr>
      </w:pPr>
      <w:r w:rsidRPr="004B2D15">
        <w:rPr>
          <w:iCs/>
        </w:rPr>
        <w:t>Donor requirements (e.g. KOICA and MFAT have particular programming countries)</w:t>
      </w:r>
    </w:p>
    <w:p w:rsidR="006B4A1F" w:rsidRPr="00927AEC" w:rsidRDefault="006B4A1F" w:rsidP="009D6B25">
      <w:pPr>
        <w:numPr>
          <w:ilvl w:val="0"/>
          <w:numId w:val="20"/>
        </w:numPr>
        <w:spacing w:after="0"/>
        <w:jc w:val="both"/>
        <w:rPr>
          <w:iCs/>
        </w:rPr>
      </w:pPr>
      <w:r w:rsidRPr="004B2D15">
        <w:rPr>
          <w:iCs/>
        </w:rPr>
        <w:t>Established relationships through DFAT, KOICA, MFAT and UNDP programming</w:t>
      </w:r>
    </w:p>
    <w:p w:rsidR="006B4A1F" w:rsidRDefault="006B4A1F" w:rsidP="009D6B25">
      <w:pPr>
        <w:numPr>
          <w:ilvl w:val="0"/>
          <w:numId w:val="20"/>
        </w:numPr>
        <w:spacing w:after="0"/>
        <w:jc w:val="both"/>
        <w:rPr>
          <w:iCs/>
        </w:rPr>
      </w:pPr>
      <w:r w:rsidRPr="002B3F59">
        <w:rPr>
          <w:iCs/>
        </w:rPr>
        <w:t xml:space="preserve">Significance of the particular country within regional mechanisms and decision-making bodies. </w:t>
      </w:r>
    </w:p>
    <w:p w:rsidR="00A22CE5" w:rsidRDefault="00A22CE5" w:rsidP="00A22CE5">
      <w:pPr>
        <w:spacing w:after="0"/>
        <w:jc w:val="both"/>
        <w:rPr>
          <w:iCs/>
        </w:rPr>
      </w:pPr>
    </w:p>
    <w:p w:rsidR="00A22CE5" w:rsidRDefault="00A22CE5" w:rsidP="00A22CE5">
      <w:pPr>
        <w:spacing w:after="0"/>
        <w:jc w:val="both"/>
        <w:rPr>
          <w:iCs/>
        </w:rPr>
      </w:pPr>
    </w:p>
    <w:p w:rsidR="00A22CE5" w:rsidRDefault="00A22CE5" w:rsidP="00A22CE5">
      <w:pPr>
        <w:spacing w:after="0"/>
        <w:jc w:val="both"/>
        <w:rPr>
          <w:iCs/>
        </w:rPr>
      </w:pPr>
    </w:p>
    <w:p w:rsidR="00A22CE5" w:rsidRDefault="00A22CE5" w:rsidP="00A22CE5">
      <w:pPr>
        <w:spacing w:after="0"/>
        <w:jc w:val="both"/>
        <w:rPr>
          <w:iCs/>
        </w:rPr>
      </w:pPr>
    </w:p>
    <w:p w:rsidR="00A22CE5" w:rsidRDefault="00A22CE5" w:rsidP="00A22CE5">
      <w:pPr>
        <w:spacing w:after="0"/>
        <w:jc w:val="both"/>
        <w:rPr>
          <w:iCs/>
        </w:rPr>
      </w:pPr>
    </w:p>
    <w:p w:rsidR="00A22CE5" w:rsidRPr="002B3F59" w:rsidRDefault="00A22CE5" w:rsidP="00A22CE5">
      <w:pPr>
        <w:spacing w:after="0"/>
        <w:jc w:val="both"/>
        <w:rPr>
          <w:iCs/>
        </w:rPr>
      </w:pPr>
    </w:p>
    <w:p w:rsidR="002F14AB" w:rsidRPr="00135431" w:rsidRDefault="002F14AB" w:rsidP="009D6B25">
      <w:pPr>
        <w:pStyle w:val="Heading1"/>
        <w:numPr>
          <w:ilvl w:val="0"/>
          <w:numId w:val="8"/>
        </w:numPr>
        <w:jc w:val="left"/>
      </w:pPr>
      <w:bookmarkStart w:id="26" w:name="_Toc22745652"/>
      <w:bookmarkStart w:id="27" w:name="_Toc25739960"/>
      <w:bookmarkStart w:id="28" w:name="_Toc25740069"/>
      <w:r w:rsidRPr="00135431">
        <w:t>Results and Partnerships</w:t>
      </w:r>
      <w:bookmarkEnd w:id="26"/>
      <w:bookmarkEnd w:id="27"/>
      <w:bookmarkEnd w:id="28"/>
    </w:p>
    <w:p w:rsidR="002F14AB" w:rsidRDefault="002F14AB" w:rsidP="00496A45">
      <w:pPr>
        <w:pStyle w:val="Heading2"/>
        <w:jc w:val="left"/>
      </w:pPr>
      <w:bookmarkStart w:id="29" w:name="_Ref21966479"/>
      <w:bookmarkStart w:id="30" w:name="_Toc22745653"/>
      <w:bookmarkStart w:id="31" w:name="_Toc25739961"/>
      <w:bookmarkStart w:id="32" w:name="_Toc25740070"/>
      <w:r w:rsidRPr="00A45CEA">
        <w:t>Expected Results</w:t>
      </w:r>
      <w:bookmarkEnd w:id="29"/>
      <w:bookmarkEnd w:id="30"/>
      <w:bookmarkEnd w:id="31"/>
      <w:bookmarkEnd w:id="32"/>
    </w:p>
    <w:p w:rsidR="00163E60" w:rsidRPr="00C907F0" w:rsidRDefault="00163E60" w:rsidP="007F7AB0">
      <w:pPr>
        <w:jc w:val="both"/>
        <w:rPr>
          <w:iCs/>
          <w:color w:val="000000"/>
          <w:lang w:val="en-US"/>
        </w:rPr>
      </w:pPr>
      <w:r w:rsidRPr="00135431">
        <w:rPr>
          <w:iCs/>
          <w:color w:val="000000"/>
          <w:lang w:val="en-US"/>
        </w:rPr>
        <w:t xml:space="preserve">This Section outlines the expected results of the </w:t>
      </w:r>
      <w:r w:rsidR="00253797">
        <w:rPr>
          <w:iCs/>
          <w:color w:val="000000"/>
          <w:lang w:val="en-US"/>
        </w:rPr>
        <w:t>project</w:t>
      </w:r>
      <w:r w:rsidRPr="00135431">
        <w:rPr>
          <w:iCs/>
          <w:color w:val="000000"/>
          <w:lang w:val="en-US"/>
        </w:rPr>
        <w:t xml:space="preserve">, the resources and partnerships required to achieve and sustain these results, the risks to their achievement and how the </w:t>
      </w:r>
      <w:r w:rsidR="00253797">
        <w:rPr>
          <w:iCs/>
          <w:color w:val="000000"/>
          <w:lang w:val="en-US"/>
        </w:rPr>
        <w:t>project</w:t>
      </w:r>
      <w:r w:rsidRPr="00135431">
        <w:rPr>
          <w:iCs/>
          <w:color w:val="000000"/>
          <w:lang w:val="en-US"/>
        </w:rPr>
        <w:t xml:space="preserve"> proposes to manage these. A summary of the outcomes, outputs, activities and deliverables is shown in</w:t>
      </w:r>
      <w:r w:rsidR="007F7AB0">
        <w:rPr>
          <w:iCs/>
          <w:color w:val="000000"/>
          <w:lang w:val="en-US"/>
        </w:rPr>
        <w:t xml:space="preserve"> </w:t>
      </w:r>
      <w:r w:rsidR="007F7AB0">
        <w:rPr>
          <w:iCs/>
          <w:color w:val="000000"/>
          <w:lang w:val="en-US"/>
        </w:rPr>
        <w:fldChar w:fldCharType="begin"/>
      </w:r>
      <w:r w:rsidR="007F7AB0">
        <w:rPr>
          <w:iCs/>
          <w:color w:val="000000"/>
          <w:lang w:val="en-US"/>
        </w:rPr>
        <w:instrText xml:space="preserve"> REF _Ref23856420 \h </w:instrText>
      </w:r>
      <w:r w:rsidR="00DF1E69">
        <w:rPr>
          <w:iCs/>
          <w:color w:val="000000"/>
          <w:lang w:val="en-US"/>
        </w:rPr>
        <w:instrText xml:space="preserve"> \* MERGEFORMAT </w:instrText>
      </w:r>
      <w:r w:rsidR="007F7AB0">
        <w:rPr>
          <w:iCs/>
          <w:color w:val="000000"/>
          <w:lang w:val="en-US"/>
        </w:rPr>
      </w:r>
      <w:r w:rsidR="007F7AB0">
        <w:rPr>
          <w:iCs/>
          <w:color w:val="000000"/>
          <w:lang w:val="en-US"/>
        </w:rPr>
        <w:fldChar w:fldCharType="separate"/>
      </w:r>
      <w:r w:rsidR="004F5751" w:rsidRPr="004F5751">
        <w:rPr>
          <w:iCs/>
          <w:color w:val="000000"/>
          <w:lang w:val="en-US"/>
        </w:rPr>
        <w:t>Table 2</w:t>
      </w:r>
      <w:r w:rsidR="004F5751">
        <w:t xml:space="preserve"> summary of outcomes, deliverables and beneficiaries </w:t>
      </w:r>
      <w:r w:rsidR="007F7AB0">
        <w:rPr>
          <w:iCs/>
          <w:color w:val="000000"/>
          <w:lang w:val="en-US"/>
        </w:rPr>
        <w:fldChar w:fldCharType="end"/>
      </w:r>
      <w:r w:rsidRPr="00135431">
        <w:rPr>
          <w:iCs/>
          <w:color w:val="000000"/>
          <w:lang w:val="en-US"/>
        </w:rPr>
        <w:t>.</w:t>
      </w:r>
    </w:p>
    <w:p w:rsidR="00AA3E27" w:rsidRPr="00135431" w:rsidRDefault="00EA5FB1" w:rsidP="0043211C">
      <w:pPr>
        <w:pStyle w:val="Heading3"/>
        <w:spacing w:before="0"/>
        <w:jc w:val="both"/>
      </w:pPr>
      <w:bookmarkStart w:id="33" w:name="_Toc22745654"/>
      <w:r w:rsidRPr="00135431">
        <w:t>Outcome</w:t>
      </w:r>
      <w:r w:rsidR="00521E34" w:rsidRPr="00135431">
        <w:t xml:space="preserve"> 1</w:t>
      </w:r>
      <w:bookmarkEnd w:id="33"/>
      <w:r w:rsidR="0072320E">
        <w:t>: Government Planning and Financing Systems</w:t>
      </w:r>
    </w:p>
    <w:p w:rsidR="00C907F0" w:rsidRPr="00135431" w:rsidRDefault="0043211C" w:rsidP="0043211C">
      <w:pPr>
        <w:spacing w:after="0"/>
        <w:jc w:val="both"/>
        <w:textAlignment w:val="center"/>
        <w:rPr>
          <w:iCs/>
          <w:color w:val="000000"/>
          <w:lang w:val="en-US"/>
        </w:rPr>
      </w:pPr>
      <w:r>
        <w:rPr>
          <w:rFonts w:cs="Arial"/>
        </w:rPr>
        <w:t xml:space="preserve">The first intended outcome of the </w:t>
      </w:r>
      <w:r w:rsidR="00253797">
        <w:rPr>
          <w:rFonts w:cs="Arial"/>
        </w:rPr>
        <w:t>project</w:t>
      </w:r>
      <w:r>
        <w:rPr>
          <w:rFonts w:cs="Arial"/>
        </w:rPr>
        <w:t xml:space="preserve"> is that </w:t>
      </w:r>
      <w:r w:rsidR="00EC6A00" w:rsidRPr="002D0984">
        <w:rPr>
          <w:rFonts w:cs="Arial"/>
        </w:rPr>
        <w:t xml:space="preserve">government planning and financing systems </w:t>
      </w:r>
      <w:r w:rsidR="003F7E7A" w:rsidRPr="00135431">
        <w:rPr>
          <w:iCs/>
          <w:color w:val="000000"/>
          <w:lang w:val="en-US"/>
        </w:rPr>
        <w:t>enabl</w:t>
      </w:r>
      <w:r>
        <w:rPr>
          <w:iCs/>
          <w:color w:val="000000"/>
          <w:lang w:val="en-US"/>
        </w:rPr>
        <w:t>e</w:t>
      </w:r>
      <w:r w:rsidR="003F7E7A" w:rsidRPr="00135431">
        <w:rPr>
          <w:iCs/>
          <w:color w:val="000000"/>
          <w:lang w:val="en-US"/>
        </w:rPr>
        <w:t xml:space="preserve"> </w:t>
      </w:r>
      <w:r w:rsidR="00334F07" w:rsidRPr="00334F07">
        <w:t>gender and social</w:t>
      </w:r>
      <w:r w:rsidR="00334F07">
        <w:t>ly</w:t>
      </w:r>
      <w:r w:rsidR="00334F07" w:rsidRPr="00334F07">
        <w:t xml:space="preserve"> inclusive</w:t>
      </w:r>
      <w:r w:rsidR="00334F07" w:rsidRPr="00135431">
        <w:rPr>
          <w:iCs/>
          <w:color w:val="000000"/>
          <w:lang w:val="en-US"/>
        </w:rPr>
        <w:t xml:space="preserve"> </w:t>
      </w:r>
      <w:r w:rsidR="003F7E7A" w:rsidRPr="00135431">
        <w:rPr>
          <w:iCs/>
          <w:color w:val="000000"/>
          <w:lang w:val="en-US"/>
        </w:rPr>
        <w:t>risk-informed development</w:t>
      </w:r>
      <w:r>
        <w:rPr>
          <w:iCs/>
          <w:color w:val="000000"/>
          <w:lang w:val="en-US"/>
        </w:rPr>
        <w:t xml:space="preserve">. </w:t>
      </w:r>
      <w:r w:rsidRPr="00135431">
        <w:rPr>
          <w:iCs/>
          <w:color w:val="000000"/>
          <w:lang w:val="en-US"/>
        </w:rPr>
        <w:t xml:space="preserve">The proposed outputs to accomplish </w:t>
      </w:r>
      <w:r w:rsidRPr="00135431">
        <w:rPr>
          <w:bCs/>
          <w:iCs/>
          <w:color w:val="000000"/>
          <w:lang w:val="en-US"/>
        </w:rPr>
        <w:t>Outcome 1</w:t>
      </w:r>
      <w:r>
        <w:rPr>
          <w:iCs/>
          <w:color w:val="000000"/>
          <w:lang w:val="en-US"/>
        </w:rPr>
        <w:t xml:space="preserve"> </w:t>
      </w:r>
      <w:r w:rsidR="003F7E7A" w:rsidRPr="00135431">
        <w:rPr>
          <w:iCs/>
          <w:color w:val="000000"/>
          <w:lang w:val="en-US"/>
        </w:rPr>
        <w:t xml:space="preserve">will be </w:t>
      </w:r>
      <w:r w:rsidR="00D91876" w:rsidRPr="00135431">
        <w:rPr>
          <w:iCs/>
          <w:color w:val="000000"/>
          <w:lang w:val="en-US"/>
        </w:rPr>
        <w:t xml:space="preserve">delivered </w:t>
      </w:r>
      <w:r w:rsidR="003F7E7A" w:rsidRPr="00135431">
        <w:rPr>
          <w:iCs/>
          <w:color w:val="000000"/>
          <w:lang w:val="en-US"/>
        </w:rPr>
        <w:t xml:space="preserve">through </w:t>
      </w:r>
      <w:r w:rsidR="009D2663" w:rsidRPr="00135431">
        <w:rPr>
          <w:iCs/>
          <w:color w:val="000000"/>
          <w:lang w:val="en-US"/>
        </w:rPr>
        <w:t xml:space="preserve">complementary </w:t>
      </w:r>
      <w:r w:rsidR="00563B4C" w:rsidRPr="00135431">
        <w:rPr>
          <w:iCs/>
          <w:color w:val="000000"/>
          <w:lang w:val="en-US"/>
        </w:rPr>
        <w:t xml:space="preserve">sides of financing and planning systems: </w:t>
      </w:r>
      <w:r w:rsidR="00EC6A00">
        <w:rPr>
          <w:iCs/>
          <w:color w:val="000000"/>
          <w:lang w:val="en-US"/>
        </w:rPr>
        <w:t>i</w:t>
      </w:r>
      <w:r w:rsidR="00563B4C" w:rsidRPr="00135431">
        <w:rPr>
          <w:iCs/>
          <w:color w:val="000000"/>
          <w:lang w:val="en-US"/>
        </w:rPr>
        <w:t xml:space="preserve">ntegration of risk into </w:t>
      </w:r>
      <w:r w:rsidR="00563B4C" w:rsidRPr="00135431">
        <w:rPr>
          <w:bCs/>
          <w:iCs/>
          <w:color w:val="000000"/>
          <w:lang w:val="en-US"/>
        </w:rPr>
        <w:t>national level planning</w:t>
      </w:r>
      <w:r>
        <w:rPr>
          <w:bCs/>
          <w:iCs/>
          <w:color w:val="000000"/>
          <w:lang w:val="en-US"/>
        </w:rPr>
        <w:t xml:space="preserve">, </w:t>
      </w:r>
      <w:r>
        <w:rPr>
          <w:iCs/>
          <w:color w:val="000000"/>
          <w:lang w:val="en-US"/>
        </w:rPr>
        <w:t xml:space="preserve">budgeting and </w:t>
      </w:r>
      <w:r w:rsidR="00563B4C" w:rsidRPr="00135431">
        <w:rPr>
          <w:iCs/>
          <w:color w:val="000000"/>
          <w:lang w:val="en-US"/>
        </w:rPr>
        <w:t>monitoring and evaluation processes (</w:t>
      </w:r>
      <w:r w:rsidR="00563B4C" w:rsidRPr="00135431">
        <w:rPr>
          <w:bCs/>
          <w:iCs/>
          <w:color w:val="000000"/>
          <w:lang w:val="en-US"/>
        </w:rPr>
        <w:t>Output 1.1</w:t>
      </w:r>
      <w:r w:rsidR="00563B4C" w:rsidRPr="00135431">
        <w:rPr>
          <w:iCs/>
          <w:color w:val="000000"/>
          <w:lang w:val="en-US"/>
        </w:rPr>
        <w:t>)</w:t>
      </w:r>
      <w:r w:rsidR="00EC6A00">
        <w:rPr>
          <w:iCs/>
          <w:color w:val="000000"/>
          <w:lang w:val="en-US"/>
        </w:rPr>
        <w:t>; and i</w:t>
      </w:r>
      <w:r w:rsidR="00594A8A" w:rsidRPr="00135431">
        <w:rPr>
          <w:iCs/>
          <w:color w:val="000000"/>
          <w:lang w:val="en-US"/>
        </w:rPr>
        <w:t xml:space="preserve">ntegration of risk into </w:t>
      </w:r>
      <w:r w:rsidR="00594A8A" w:rsidRPr="00135431">
        <w:rPr>
          <w:bCs/>
          <w:iCs/>
          <w:color w:val="000000"/>
          <w:lang w:val="en-US"/>
        </w:rPr>
        <w:t>community development</w:t>
      </w:r>
      <w:r w:rsidR="00594A8A" w:rsidRPr="00135431">
        <w:rPr>
          <w:iCs/>
          <w:color w:val="000000"/>
          <w:lang w:val="en-US"/>
        </w:rPr>
        <w:t xml:space="preserve">, including </w:t>
      </w:r>
      <w:r w:rsidR="00E7332C" w:rsidRPr="00135431">
        <w:rPr>
          <w:iCs/>
          <w:color w:val="000000"/>
          <w:lang w:val="en-US"/>
        </w:rPr>
        <w:t xml:space="preserve">through </w:t>
      </w:r>
      <w:r w:rsidR="00594A8A" w:rsidRPr="00135431">
        <w:rPr>
          <w:iCs/>
          <w:color w:val="000000"/>
          <w:lang w:val="en-US"/>
        </w:rPr>
        <w:t>sectors</w:t>
      </w:r>
      <w:r>
        <w:rPr>
          <w:iCs/>
          <w:color w:val="000000"/>
          <w:lang w:val="en-US"/>
        </w:rPr>
        <w:t xml:space="preserve"> and sub-national government</w:t>
      </w:r>
      <w:r w:rsidR="00594A8A" w:rsidRPr="00135431">
        <w:rPr>
          <w:iCs/>
          <w:color w:val="000000"/>
          <w:lang w:val="en-US"/>
        </w:rPr>
        <w:t>, to influence the way in which these actors seek funding</w:t>
      </w:r>
      <w:r w:rsidR="009D2663" w:rsidRPr="00135431">
        <w:rPr>
          <w:iCs/>
          <w:color w:val="000000"/>
          <w:lang w:val="en-US"/>
        </w:rPr>
        <w:t xml:space="preserve"> </w:t>
      </w:r>
      <w:r w:rsidR="009D5485">
        <w:rPr>
          <w:iCs/>
          <w:color w:val="000000"/>
          <w:lang w:val="en-US"/>
        </w:rPr>
        <w:t>for</w:t>
      </w:r>
      <w:r w:rsidR="009D2663" w:rsidRPr="00135431">
        <w:rPr>
          <w:iCs/>
          <w:color w:val="000000"/>
          <w:lang w:val="en-US"/>
        </w:rPr>
        <w:t xml:space="preserve"> risk informed</w:t>
      </w:r>
      <w:r w:rsidR="00594A8A" w:rsidRPr="00135431">
        <w:rPr>
          <w:iCs/>
          <w:color w:val="000000"/>
          <w:lang w:val="en-US"/>
        </w:rPr>
        <w:t xml:space="preserve"> project and </w:t>
      </w:r>
      <w:proofErr w:type="spellStart"/>
      <w:r w:rsidR="00594A8A" w:rsidRPr="00135431">
        <w:rPr>
          <w:iCs/>
          <w:color w:val="000000"/>
          <w:lang w:val="en-US"/>
        </w:rPr>
        <w:t>programmes</w:t>
      </w:r>
      <w:proofErr w:type="spellEnd"/>
      <w:r w:rsidR="00594A8A" w:rsidRPr="00135431">
        <w:rPr>
          <w:iCs/>
          <w:color w:val="000000"/>
          <w:lang w:val="en-US"/>
        </w:rPr>
        <w:t xml:space="preserve"> design and implement</w:t>
      </w:r>
      <w:r w:rsidR="009D2663" w:rsidRPr="00135431">
        <w:rPr>
          <w:iCs/>
          <w:color w:val="000000"/>
          <w:lang w:val="en-US"/>
        </w:rPr>
        <w:t>ation (</w:t>
      </w:r>
      <w:r w:rsidR="009D2663" w:rsidRPr="00135431">
        <w:rPr>
          <w:bCs/>
          <w:iCs/>
          <w:color w:val="000000"/>
          <w:lang w:val="en-US"/>
        </w:rPr>
        <w:t>Output 1.2</w:t>
      </w:r>
      <w:r w:rsidR="009D2663" w:rsidRPr="00135431">
        <w:rPr>
          <w:iCs/>
          <w:color w:val="000000"/>
          <w:lang w:val="en-US"/>
        </w:rPr>
        <w:t xml:space="preserve">). </w:t>
      </w:r>
      <w:r w:rsidRPr="00135431">
        <w:rPr>
          <w:iCs/>
          <w:color w:val="000000"/>
          <w:lang w:val="en-US"/>
        </w:rPr>
        <w:t xml:space="preserve">Output 1.2 will focus on achieving change by working with those responsible for development implementation in communities (e.g. the infrastructure sector), whereas Output 1.1 will work to achieve scale through aggregation of risk informed development activities in national planning and financing. To achieve Output 1.2 the team will work with stakeholders who are bidding for financing for development, and through Output 1.1 with the stakeholders who allocate financing and give planning approval. </w:t>
      </w:r>
      <w:r w:rsidR="00C907F0">
        <w:rPr>
          <w:iCs/>
          <w:color w:val="000000"/>
          <w:lang w:val="en-US"/>
        </w:rPr>
        <w:t xml:space="preserve">As climate change and disaster risk </w:t>
      </w:r>
      <w:r w:rsidR="00C907F0" w:rsidRPr="00E96E7B">
        <w:rPr>
          <w:iCs/>
          <w:color w:val="000000"/>
          <w:lang w:val="en-US"/>
        </w:rPr>
        <w:t xml:space="preserve">cannot be understood without an understanding of the experience of people most likely to be vulnerable to impacts </w:t>
      </w:r>
      <w:r w:rsidR="000063F6">
        <w:rPr>
          <w:iCs/>
          <w:color w:val="000000"/>
          <w:lang w:val="en-US"/>
        </w:rPr>
        <w:t>from</w:t>
      </w:r>
      <w:r w:rsidR="00C907F0" w:rsidRPr="00E96E7B">
        <w:rPr>
          <w:iCs/>
          <w:color w:val="000000"/>
          <w:lang w:val="en-US"/>
        </w:rPr>
        <w:t xml:space="preserve"> these events, the </w:t>
      </w:r>
      <w:r w:rsidR="00253797">
        <w:rPr>
          <w:iCs/>
          <w:color w:val="000000"/>
          <w:lang w:val="en-US"/>
        </w:rPr>
        <w:t>project</w:t>
      </w:r>
      <w:r w:rsidR="00C907F0" w:rsidRPr="00E96E7B">
        <w:rPr>
          <w:iCs/>
          <w:color w:val="000000"/>
          <w:lang w:val="en-US"/>
        </w:rPr>
        <w:t xml:space="preserve"> will explicitly focus on ensuring that representatives from </w:t>
      </w:r>
      <w:r w:rsidR="00334F07" w:rsidRPr="00334F07">
        <w:t>gender and social</w:t>
      </w:r>
      <w:r w:rsidR="00334F07">
        <w:t>ly</w:t>
      </w:r>
      <w:r w:rsidR="00334F07" w:rsidRPr="00334F07">
        <w:t xml:space="preserve"> inclusive</w:t>
      </w:r>
      <w:r w:rsidR="00334F07">
        <w:rPr>
          <w:iCs/>
          <w:color w:val="000000"/>
          <w:lang w:val="en-US"/>
        </w:rPr>
        <w:t xml:space="preserve"> </w:t>
      </w:r>
      <w:r w:rsidR="00A22CE5">
        <w:rPr>
          <w:iCs/>
          <w:color w:val="000000"/>
          <w:lang w:val="en-US"/>
        </w:rPr>
        <w:t xml:space="preserve">development </w:t>
      </w:r>
      <w:r w:rsidR="00C907F0" w:rsidRPr="00E96E7B">
        <w:rPr>
          <w:iCs/>
          <w:color w:val="000000"/>
          <w:lang w:val="en-US"/>
        </w:rPr>
        <w:t xml:space="preserve">agencies actively participating in shaping </w:t>
      </w:r>
      <w:r w:rsidR="00C907F0">
        <w:rPr>
          <w:iCs/>
          <w:color w:val="000000"/>
          <w:lang w:val="en-US"/>
        </w:rPr>
        <w:t>risk informed development</w:t>
      </w:r>
      <w:r w:rsidR="00C907F0" w:rsidRPr="00E96E7B">
        <w:rPr>
          <w:iCs/>
          <w:color w:val="000000"/>
          <w:lang w:val="en-US"/>
        </w:rPr>
        <w:t xml:space="preserve"> for government systems</w:t>
      </w:r>
      <w:r w:rsidR="00C907F0">
        <w:rPr>
          <w:iCs/>
          <w:color w:val="000000"/>
          <w:lang w:val="en-US"/>
        </w:rPr>
        <w:t xml:space="preserve"> (Output 1.3). </w:t>
      </w:r>
    </w:p>
    <w:p w:rsidR="00563B4C" w:rsidRPr="00135431" w:rsidRDefault="00563B4C" w:rsidP="0043211C">
      <w:pPr>
        <w:spacing w:after="0"/>
        <w:jc w:val="both"/>
        <w:textAlignment w:val="center"/>
        <w:rPr>
          <w:iCs/>
          <w:color w:val="000000"/>
          <w:lang w:val="en-US"/>
        </w:rPr>
      </w:pPr>
      <w:r w:rsidRPr="00135431">
        <w:rPr>
          <w:iCs/>
          <w:color w:val="000000"/>
          <w:lang w:val="en-US"/>
        </w:rPr>
        <w:t xml:space="preserve"> </w:t>
      </w:r>
    </w:p>
    <w:p w:rsidR="009D5485" w:rsidRDefault="009D5485" w:rsidP="0043211C">
      <w:pPr>
        <w:spacing w:after="0"/>
        <w:jc w:val="both"/>
        <w:textAlignment w:val="center"/>
        <w:rPr>
          <w:iCs/>
          <w:color w:val="000000"/>
          <w:lang w:val="en-US"/>
        </w:rPr>
      </w:pPr>
      <w:r>
        <w:rPr>
          <w:iCs/>
          <w:color w:val="000000"/>
          <w:lang w:val="en-US"/>
        </w:rPr>
        <w:t xml:space="preserve">For </w:t>
      </w:r>
      <w:r w:rsidR="00A73D56">
        <w:rPr>
          <w:iCs/>
          <w:color w:val="000000"/>
          <w:lang w:val="en-US"/>
        </w:rPr>
        <w:t>O</w:t>
      </w:r>
      <w:r w:rsidRPr="00135431">
        <w:rPr>
          <w:iCs/>
          <w:color w:val="000000"/>
          <w:lang w:val="en-US"/>
        </w:rPr>
        <w:t xml:space="preserve">utput 1.1, the </w:t>
      </w:r>
      <w:r w:rsidR="00253797">
        <w:rPr>
          <w:iCs/>
          <w:color w:val="000000"/>
          <w:lang w:val="en-US"/>
        </w:rPr>
        <w:t>project</w:t>
      </w:r>
      <w:r w:rsidRPr="00135431">
        <w:rPr>
          <w:iCs/>
          <w:color w:val="000000"/>
          <w:lang w:val="en-US"/>
        </w:rPr>
        <w:t xml:space="preserve"> team will work with stakeholders at national level to identify opportunities for embedding risk considerations within existing planning and financing systems, particularly looking for ongoing or proposed governance reforms (e.g. revision of a Financial Management Information System). Once entry points are determined, the team will work with the </w:t>
      </w:r>
      <w:r w:rsidR="004A417D">
        <w:rPr>
          <w:iCs/>
          <w:color w:val="000000"/>
          <w:lang w:val="en-US"/>
        </w:rPr>
        <w:t>government</w:t>
      </w:r>
      <w:r w:rsidRPr="00135431">
        <w:rPr>
          <w:iCs/>
          <w:color w:val="000000"/>
          <w:lang w:val="en-US"/>
        </w:rPr>
        <w:t xml:space="preserve"> to identify a suite of risk integration prospects, such as </w:t>
      </w:r>
      <w:r w:rsidRPr="00135431">
        <w:t xml:space="preserve">implementation of climate budget tagging to track climate related expenditure, or revision of a public sector investment application and appraisal process, that will allow central ministries to ensure that </w:t>
      </w:r>
      <w:r w:rsidRPr="00135431">
        <w:rPr>
          <w:iCs/>
          <w:color w:val="000000"/>
          <w:lang w:val="en-US"/>
        </w:rPr>
        <w:t>risks are integrated by sectoral planners through the initial project design and planning through to budgeting and implementation, whilst also allowing this data to be aggregated centrally.</w:t>
      </w:r>
    </w:p>
    <w:p w:rsidR="009D5485" w:rsidRPr="00135431" w:rsidRDefault="009D5485" w:rsidP="0043211C">
      <w:pPr>
        <w:spacing w:after="0"/>
        <w:jc w:val="both"/>
        <w:textAlignment w:val="center"/>
      </w:pPr>
    </w:p>
    <w:p w:rsidR="000453CA" w:rsidRDefault="0043211C" w:rsidP="00963BB2">
      <w:pPr>
        <w:spacing w:after="0"/>
        <w:jc w:val="both"/>
        <w:textAlignment w:val="center"/>
        <w:rPr>
          <w:iCs/>
          <w:color w:val="000000"/>
          <w:lang w:val="en-US"/>
        </w:rPr>
      </w:pPr>
      <w:r>
        <w:rPr>
          <w:iCs/>
          <w:color w:val="000000"/>
          <w:lang w:val="en-US"/>
        </w:rPr>
        <w:t xml:space="preserve">Work in </w:t>
      </w:r>
      <w:r w:rsidR="00A73D56">
        <w:rPr>
          <w:iCs/>
          <w:color w:val="000000"/>
          <w:lang w:val="en-US"/>
        </w:rPr>
        <w:t>O</w:t>
      </w:r>
      <w:r w:rsidR="000453CA" w:rsidRPr="00135431">
        <w:rPr>
          <w:iCs/>
          <w:color w:val="000000"/>
          <w:lang w:val="en-US"/>
        </w:rPr>
        <w:t>utput 1.2</w:t>
      </w:r>
      <w:r>
        <w:rPr>
          <w:iCs/>
          <w:color w:val="000000"/>
          <w:lang w:val="en-US"/>
        </w:rPr>
        <w:t xml:space="preserve"> </w:t>
      </w:r>
      <w:r w:rsidR="000453CA" w:rsidRPr="00135431">
        <w:rPr>
          <w:iCs/>
          <w:color w:val="000000"/>
          <w:lang w:val="en-US"/>
        </w:rPr>
        <w:t xml:space="preserve">will focus on reform from the “bottom up” through implementation </w:t>
      </w:r>
      <w:r w:rsidR="0028427A" w:rsidRPr="00135431">
        <w:rPr>
          <w:iCs/>
          <w:color w:val="000000"/>
          <w:lang w:val="en-US"/>
        </w:rPr>
        <w:t xml:space="preserve">and reform </w:t>
      </w:r>
      <w:r w:rsidR="000453CA" w:rsidRPr="00135431">
        <w:rPr>
          <w:iCs/>
          <w:color w:val="000000"/>
          <w:lang w:val="en-US"/>
        </w:rPr>
        <w:t>at community and sectoral level.</w:t>
      </w:r>
      <w:r w:rsidR="0028427A" w:rsidRPr="00135431">
        <w:rPr>
          <w:iCs/>
          <w:color w:val="000000"/>
          <w:lang w:val="en-US"/>
        </w:rPr>
        <w:t xml:space="preserve"> During the </w:t>
      </w:r>
      <w:r w:rsidR="00C328A6">
        <w:rPr>
          <w:iCs/>
          <w:color w:val="000000"/>
          <w:lang w:val="en-US"/>
        </w:rPr>
        <w:t>PRRP</w:t>
      </w:r>
      <w:r w:rsidR="0028427A" w:rsidRPr="00135431">
        <w:rPr>
          <w:iCs/>
          <w:color w:val="000000"/>
          <w:lang w:val="en-US"/>
        </w:rPr>
        <w:t xml:space="preserve">, it was </w:t>
      </w:r>
      <w:r w:rsidR="00DC605E" w:rsidRPr="00135431">
        <w:rPr>
          <w:iCs/>
          <w:color w:val="000000"/>
          <w:lang w:val="en-US"/>
        </w:rPr>
        <w:t>established</w:t>
      </w:r>
      <w:r w:rsidR="0028427A" w:rsidRPr="00135431">
        <w:rPr>
          <w:iCs/>
          <w:color w:val="000000"/>
          <w:lang w:val="en-US"/>
        </w:rPr>
        <w:t xml:space="preserve"> that an </w:t>
      </w:r>
      <w:r w:rsidR="000453CA" w:rsidRPr="00135431">
        <w:rPr>
          <w:iCs/>
          <w:color w:val="000000"/>
          <w:lang w:val="en-US"/>
        </w:rPr>
        <w:t xml:space="preserve">effective advocacy tool for </w:t>
      </w:r>
      <w:r w:rsidR="00DC605E" w:rsidRPr="00135431">
        <w:rPr>
          <w:iCs/>
          <w:color w:val="000000"/>
          <w:lang w:val="en-US"/>
        </w:rPr>
        <w:t>inspiring</w:t>
      </w:r>
      <w:r w:rsidR="000453CA" w:rsidRPr="00135431">
        <w:rPr>
          <w:iCs/>
          <w:color w:val="000000"/>
          <w:lang w:val="en-US"/>
        </w:rPr>
        <w:t xml:space="preserve"> </w:t>
      </w:r>
      <w:r w:rsidR="00DC605E" w:rsidRPr="00135431">
        <w:rPr>
          <w:iCs/>
          <w:color w:val="000000"/>
          <w:lang w:val="en-US"/>
        </w:rPr>
        <w:t>risk informing of</w:t>
      </w:r>
      <w:r w:rsidR="000453CA" w:rsidRPr="00135431">
        <w:rPr>
          <w:iCs/>
          <w:color w:val="000000"/>
          <w:lang w:val="en-US"/>
        </w:rPr>
        <w:t xml:space="preserve"> development is examples of successful implementation</w:t>
      </w:r>
      <w:r w:rsidR="0028427A" w:rsidRPr="00135431">
        <w:rPr>
          <w:iCs/>
          <w:color w:val="000000"/>
          <w:lang w:val="en-US"/>
        </w:rPr>
        <w:t xml:space="preserve"> and targeted reform (for instance reform of capacity, policies and processes in the agriculture sector in Tonga)</w:t>
      </w:r>
      <w:r w:rsidR="000453CA" w:rsidRPr="00135431">
        <w:rPr>
          <w:iCs/>
          <w:color w:val="000000"/>
          <w:lang w:val="en-US"/>
        </w:rPr>
        <w:t xml:space="preserve">, particularly where those examples can be shared between peers, trusted leaders or informants. </w:t>
      </w:r>
      <w:r w:rsidR="0028427A" w:rsidRPr="00135431">
        <w:rPr>
          <w:iCs/>
          <w:color w:val="000000"/>
          <w:lang w:val="en-US"/>
        </w:rPr>
        <w:t>The</w:t>
      </w:r>
      <w:r w:rsidR="000453CA" w:rsidRPr="00135431">
        <w:rPr>
          <w:iCs/>
          <w:color w:val="000000"/>
          <w:lang w:val="en-US"/>
        </w:rPr>
        <w:t xml:space="preserve"> </w:t>
      </w:r>
      <w:r w:rsidR="00253797">
        <w:rPr>
          <w:iCs/>
          <w:color w:val="000000"/>
          <w:lang w:val="en-US"/>
        </w:rPr>
        <w:t>project</w:t>
      </w:r>
      <w:r w:rsidR="000453CA" w:rsidRPr="00135431">
        <w:rPr>
          <w:iCs/>
          <w:color w:val="000000"/>
          <w:lang w:val="en-US"/>
        </w:rPr>
        <w:t xml:space="preserve"> will work with </w:t>
      </w:r>
      <w:r w:rsidR="004A417D">
        <w:rPr>
          <w:iCs/>
          <w:color w:val="000000"/>
          <w:lang w:val="en-US"/>
        </w:rPr>
        <w:t>governments</w:t>
      </w:r>
      <w:r w:rsidR="004A417D" w:rsidRPr="00135431">
        <w:rPr>
          <w:iCs/>
          <w:color w:val="000000"/>
          <w:lang w:val="en-US"/>
        </w:rPr>
        <w:t xml:space="preserve"> </w:t>
      </w:r>
      <w:r w:rsidR="000453CA" w:rsidRPr="00135431">
        <w:rPr>
          <w:iCs/>
          <w:color w:val="000000"/>
          <w:lang w:val="en-US"/>
        </w:rPr>
        <w:t xml:space="preserve">to identify and support targeted implementation of </w:t>
      </w:r>
      <w:r w:rsidR="00334F07" w:rsidRPr="00334F07">
        <w:t>gender and social</w:t>
      </w:r>
      <w:r w:rsidR="00334F07">
        <w:t>ly</w:t>
      </w:r>
      <w:r w:rsidR="00334F07" w:rsidRPr="00334F07">
        <w:t xml:space="preserve"> inclusive</w:t>
      </w:r>
      <w:r w:rsidR="00334F07" w:rsidRPr="00135431">
        <w:rPr>
          <w:iCs/>
          <w:color w:val="000000"/>
          <w:lang w:val="en-US"/>
        </w:rPr>
        <w:t xml:space="preserve"> </w:t>
      </w:r>
      <w:r w:rsidR="000453CA" w:rsidRPr="00135431">
        <w:rPr>
          <w:iCs/>
          <w:color w:val="000000"/>
          <w:lang w:val="en-US"/>
        </w:rPr>
        <w:t xml:space="preserve">risk-informed </w:t>
      </w:r>
      <w:r w:rsidR="00586FE6" w:rsidRPr="00135431">
        <w:rPr>
          <w:iCs/>
          <w:color w:val="000000"/>
          <w:lang w:val="en-US"/>
        </w:rPr>
        <w:t>projects and associated sectoral reform</w:t>
      </w:r>
      <w:r w:rsidR="000453CA" w:rsidRPr="00135431">
        <w:rPr>
          <w:iCs/>
          <w:color w:val="000000"/>
          <w:lang w:val="en-US"/>
        </w:rPr>
        <w:t>. Once implemented, these “demonstrations” will then be showcased through briefs, media, site visits, lessons learned workshops, presentations and position papers.</w:t>
      </w:r>
    </w:p>
    <w:p w:rsidR="00C907F0" w:rsidRDefault="00C907F0" w:rsidP="0043211C">
      <w:pPr>
        <w:spacing w:after="0"/>
        <w:textAlignment w:val="center"/>
        <w:rPr>
          <w:iCs/>
          <w:color w:val="000000"/>
          <w:lang w:val="en-US"/>
        </w:rPr>
      </w:pPr>
    </w:p>
    <w:p w:rsidR="001A109E" w:rsidRPr="00135431" w:rsidRDefault="009C7A81" w:rsidP="0043211C">
      <w:pPr>
        <w:spacing w:after="0"/>
        <w:jc w:val="both"/>
        <w:textAlignment w:val="center"/>
        <w:rPr>
          <w:iCs/>
          <w:color w:val="000000"/>
          <w:lang w:val="en-US"/>
        </w:rPr>
      </w:pPr>
      <w:r>
        <w:t xml:space="preserve">To achieve </w:t>
      </w:r>
      <w:r w:rsidR="00C907F0">
        <w:t>Output 1.3</w:t>
      </w:r>
      <w:r>
        <w:t xml:space="preserve">, the </w:t>
      </w:r>
      <w:r w:rsidR="00253797">
        <w:t>project</w:t>
      </w:r>
      <w:r>
        <w:t xml:space="preserve"> will work with the machinery of government responsible for gender and social welfare to draw on contextually relevant knowledge of the risks associated with climate change and disasters for people of all genders and abilities</w:t>
      </w:r>
      <w:r w:rsidR="009144FB">
        <w:t xml:space="preserve"> (see Section 2). Where there are existing government departments of social welfare or community development with responsibility for people with disability and other vulnerable groups such as the elderly or children, </w:t>
      </w:r>
      <w:r w:rsidR="00C328A6">
        <w:t>GRDP will</w:t>
      </w:r>
      <w:r w:rsidR="009144FB">
        <w:t xml:space="preserve"> collaborate with these ministries. This will allow the </w:t>
      </w:r>
      <w:r w:rsidR="00253797">
        <w:t>project</w:t>
      </w:r>
      <w:r w:rsidR="009144FB">
        <w:t xml:space="preserve"> to utilise the existing knowledge and support integration of this into the development activities of central government agencies. As required, some collaboration will also be undertaken with external representative groups such as Disabled People’s Organisations (DPO) to ensure their experience and information is utilised.</w:t>
      </w:r>
      <w:r w:rsidR="00326FD7">
        <w:t xml:space="preserve"> In addition, as part of the second work area of the program, </w:t>
      </w:r>
      <w:r w:rsidR="00C328A6">
        <w:t>GRDP will</w:t>
      </w:r>
      <w:r w:rsidR="00326FD7">
        <w:t xml:space="preserve"> work with a range of partners and civil society, including groups representing women and people living with disability.</w:t>
      </w:r>
    </w:p>
    <w:p w:rsidR="00326FD7" w:rsidRDefault="00326FD7" w:rsidP="0043211C">
      <w:pPr>
        <w:spacing w:after="0"/>
        <w:textAlignment w:val="center"/>
        <w:rPr>
          <w:iCs/>
          <w:color w:val="000000"/>
          <w:lang w:val="en-US"/>
        </w:rPr>
      </w:pPr>
    </w:p>
    <w:p w:rsidR="0061447B" w:rsidRPr="00135431" w:rsidRDefault="00586FE6" w:rsidP="0043211C">
      <w:pPr>
        <w:spacing w:after="0"/>
        <w:jc w:val="both"/>
        <w:textAlignment w:val="center"/>
      </w:pPr>
      <w:r w:rsidRPr="00135431">
        <w:rPr>
          <w:iCs/>
          <w:color w:val="000000"/>
          <w:lang w:val="en-US"/>
        </w:rPr>
        <w:t xml:space="preserve">A suite of </w:t>
      </w:r>
      <w:r w:rsidRPr="00135431">
        <w:rPr>
          <w:bCs/>
          <w:iCs/>
          <w:color w:val="000000"/>
          <w:lang w:val="en-US"/>
        </w:rPr>
        <w:t>activities</w:t>
      </w:r>
      <w:r w:rsidRPr="00135431">
        <w:rPr>
          <w:iCs/>
          <w:color w:val="000000"/>
          <w:lang w:val="en-US"/>
        </w:rPr>
        <w:t xml:space="preserve"> will be undertaken to </w:t>
      </w:r>
      <w:r w:rsidR="0028427A" w:rsidRPr="00135431">
        <w:rPr>
          <w:iCs/>
          <w:color w:val="000000"/>
          <w:lang w:val="en-US"/>
        </w:rPr>
        <w:t>achieve both Output 1.1</w:t>
      </w:r>
      <w:r w:rsidR="00C907F0">
        <w:rPr>
          <w:iCs/>
          <w:color w:val="000000"/>
          <w:lang w:val="en-US"/>
        </w:rPr>
        <w:t xml:space="preserve">, </w:t>
      </w:r>
      <w:r w:rsidR="0028427A" w:rsidRPr="00135431">
        <w:rPr>
          <w:iCs/>
          <w:color w:val="000000"/>
          <w:lang w:val="en-US"/>
        </w:rPr>
        <w:t>Output 1.2</w:t>
      </w:r>
      <w:r w:rsidR="00C907F0">
        <w:rPr>
          <w:iCs/>
          <w:color w:val="000000"/>
          <w:lang w:val="en-US"/>
        </w:rPr>
        <w:t xml:space="preserve"> and Output 1.3</w:t>
      </w:r>
      <w:r w:rsidR="00E47CFF" w:rsidRPr="00135431">
        <w:rPr>
          <w:iCs/>
          <w:color w:val="000000"/>
          <w:lang w:val="en-US"/>
        </w:rPr>
        <w:t>, such as but not limited to: establishment of new government posts, development of guidelines or toolkits,</w:t>
      </w:r>
      <w:r w:rsidR="00D91876" w:rsidRPr="00135431">
        <w:rPr>
          <w:iCs/>
          <w:color w:val="000000"/>
          <w:lang w:val="en-US"/>
        </w:rPr>
        <w:t xml:space="preserve"> </w:t>
      </w:r>
      <w:r w:rsidR="009C438F" w:rsidRPr="00135431">
        <w:rPr>
          <w:iCs/>
          <w:color w:val="000000"/>
          <w:lang w:val="en-US"/>
        </w:rPr>
        <w:t>revision of policies</w:t>
      </w:r>
      <w:r w:rsidR="004106A0" w:rsidRPr="00135431">
        <w:rPr>
          <w:iCs/>
          <w:color w:val="000000"/>
          <w:lang w:val="en-US"/>
        </w:rPr>
        <w:t xml:space="preserve"> or plans, technical advisory support, </w:t>
      </w:r>
      <w:r w:rsidR="00D91876" w:rsidRPr="00135431">
        <w:rPr>
          <w:iCs/>
          <w:color w:val="000000"/>
          <w:lang w:val="en-US"/>
        </w:rPr>
        <w:t>coaching of new and existing staff,</w:t>
      </w:r>
      <w:r w:rsidR="00E47CFF" w:rsidRPr="00135431">
        <w:rPr>
          <w:iCs/>
          <w:color w:val="000000"/>
          <w:lang w:val="en-US"/>
        </w:rPr>
        <w:t xml:space="preserve"> training e.g. tailored for </w:t>
      </w:r>
      <w:r w:rsidR="00D62AE7" w:rsidRPr="00135431">
        <w:rPr>
          <w:iCs/>
          <w:color w:val="000000"/>
          <w:lang w:val="en-US"/>
        </w:rPr>
        <w:t xml:space="preserve">budgeting and finance, sectors, M&amp;E </w:t>
      </w:r>
      <w:r w:rsidR="00E47CFF" w:rsidRPr="00135431">
        <w:rPr>
          <w:iCs/>
          <w:color w:val="000000"/>
          <w:lang w:val="en-US"/>
        </w:rPr>
        <w:t>and planning staff</w:t>
      </w:r>
      <w:r w:rsidR="004106A0" w:rsidRPr="00135431">
        <w:rPr>
          <w:iCs/>
          <w:color w:val="000000"/>
          <w:lang w:val="en-US"/>
        </w:rPr>
        <w:t xml:space="preserve"> and</w:t>
      </w:r>
      <w:r w:rsidR="00E47CFF" w:rsidRPr="00135431">
        <w:rPr>
          <w:iCs/>
          <w:color w:val="000000"/>
          <w:lang w:val="en-US"/>
        </w:rPr>
        <w:t xml:space="preserve"> targeted research and analysis</w:t>
      </w:r>
      <w:r w:rsidR="00D91876" w:rsidRPr="00135431">
        <w:rPr>
          <w:iCs/>
          <w:color w:val="000000"/>
          <w:lang w:val="en-US"/>
        </w:rPr>
        <w:t xml:space="preserve"> to undertake the</w:t>
      </w:r>
      <w:r w:rsidR="00A41AE1" w:rsidRPr="00135431">
        <w:rPr>
          <w:iCs/>
          <w:color w:val="000000"/>
          <w:lang w:val="en-US"/>
        </w:rPr>
        <w:t>se</w:t>
      </w:r>
      <w:r w:rsidR="00D91876" w:rsidRPr="00135431">
        <w:rPr>
          <w:iCs/>
          <w:color w:val="000000"/>
          <w:lang w:val="en-US"/>
        </w:rPr>
        <w:t xml:space="preserve"> reform</w:t>
      </w:r>
      <w:r w:rsidR="00A41AE1" w:rsidRPr="00135431">
        <w:rPr>
          <w:iCs/>
          <w:color w:val="000000"/>
          <w:lang w:val="en-US"/>
        </w:rPr>
        <w:t>s</w:t>
      </w:r>
      <w:r w:rsidR="00D91876" w:rsidRPr="00135431">
        <w:rPr>
          <w:iCs/>
          <w:color w:val="000000"/>
          <w:lang w:val="en-US"/>
        </w:rPr>
        <w:t>.</w:t>
      </w:r>
      <w:r w:rsidR="00164612" w:rsidRPr="00135431">
        <w:rPr>
          <w:iCs/>
          <w:color w:val="000000"/>
          <w:lang w:val="en-US"/>
        </w:rPr>
        <w:t xml:space="preserve"> The </w:t>
      </w:r>
      <w:r w:rsidR="00253797">
        <w:rPr>
          <w:iCs/>
          <w:color w:val="000000"/>
          <w:lang w:val="en-US"/>
        </w:rPr>
        <w:t>project</w:t>
      </w:r>
      <w:r w:rsidR="00164612" w:rsidRPr="00135431">
        <w:rPr>
          <w:iCs/>
          <w:color w:val="000000"/>
          <w:lang w:val="en-US"/>
        </w:rPr>
        <w:t xml:space="preserve"> will </w:t>
      </w:r>
      <w:r w:rsidR="00164612" w:rsidRPr="00135431">
        <w:t xml:space="preserve">also </w:t>
      </w:r>
      <w:r w:rsidR="00A41AE1" w:rsidRPr="00135431">
        <w:t>support</w:t>
      </w:r>
      <w:r w:rsidR="00164612" w:rsidRPr="00135431">
        <w:t xml:space="preserve"> research into the impact of climate change and disasters on development investments in the region</w:t>
      </w:r>
      <w:r w:rsidR="00132B0C" w:rsidRPr="00135431">
        <w:t>.</w:t>
      </w:r>
      <w:r w:rsidR="00164612" w:rsidRPr="00135431">
        <w:t xml:space="preserve"> This research will provide evidence to feed into the design of public investments and budget submissions.</w:t>
      </w:r>
    </w:p>
    <w:p w:rsidR="00087308" w:rsidRPr="00135431" w:rsidRDefault="00087308" w:rsidP="0043211C">
      <w:pPr>
        <w:spacing w:after="0"/>
        <w:jc w:val="both"/>
        <w:textAlignment w:val="center"/>
        <w:rPr>
          <w:iCs/>
          <w:color w:val="000000"/>
          <w:lang w:val="en-US"/>
        </w:rPr>
      </w:pPr>
    </w:p>
    <w:p w:rsidR="00AA3E27" w:rsidRPr="00135431" w:rsidRDefault="00EA5FB1" w:rsidP="00EA5FB1">
      <w:pPr>
        <w:pStyle w:val="Heading3"/>
        <w:spacing w:before="0"/>
        <w:jc w:val="left"/>
      </w:pPr>
      <w:bookmarkStart w:id="34" w:name="_Toc22745655"/>
      <w:r w:rsidRPr="00135431">
        <w:t xml:space="preserve">Outcome </w:t>
      </w:r>
      <w:r w:rsidR="00AA3E27" w:rsidRPr="00135431">
        <w:t>2</w:t>
      </w:r>
      <w:bookmarkEnd w:id="34"/>
      <w:r w:rsidR="0072320E">
        <w:t>: Oversight and Accountability Systems</w:t>
      </w:r>
    </w:p>
    <w:p w:rsidR="007D70CE" w:rsidRPr="00135431" w:rsidRDefault="0043211C" w:rsidP="0043211C">
      <w:pPr>
        <w:spacing w:after="0"/>
        <w:jc w:val="both"/>
        <w:textAlignment w:val="center"/>
        <w:rPr>
          <w:iCs/>
          <w:color w:val="000000"/>
          <w:lang w:val="en-US"/>
        </w:rPr>
      </w:pPr>
      <w:r w:rsidRPr="00135431">
        <w:rPr>
          <w:bCs/>
          <w:iCs/>
          <w:color w:val="000000"/>
          <w:lang w:val="en-US"/>
        </w:rPr>
        <w:t>Outcome 2</w:t>
      </w:r>
      <w:r>
        <w:rPr>
          <w:iCs/>
          <w:color w:val="000000"/>
          <w:lang w:val="en-US"/>
        </w:rPr>
        <w:t xml:space="preserve"> </w:t>
      </w:r>
      <w:r w:rsidRPr="00135431">
        <w:rPr>
          <w:iCs/>
          <w:color w:val="000000"/>
          <w:lang w:val="en-US"/>
        </w:rPr>
        <w:t xml:space="preserve">is centered </w:t>
      </w:r>
      <w:r w:rsidR="00A73D56">
        <w:rPr>
          <w:iCs/>
          <w:color w:val="000000"/>
          <w:lang w:val="en-US"/>
        </w:rPr>
        <w:t xml:space="preserve">on </w:t>
      </w:r>
      <w:r>
        <w:rPr>
          <w:iCs/>
          <w:color w:val="000000"/>
          <w:lang w:val="en-US"/>
        </w:rPr>
        <w:t xml:space="preserve">integration of </w:t>
      </w:r>
      <w:r w:rsidR="00334F07" w:rsidRPr="00334F07">
        <w:t>gender and social</w:t>
      </w:r>
      <w:r w:rsidR="00334F07">
        <w:t>ly</w:t>
      </w:r>
      <w:r w:rsidR="00334F07" w:rsidRPr="00334F07">
        <w:t xml:space="preserve"> inclusive</w:t>
      </w:r>
      <w:r w:rsidR="00334F07" w:rsidRPr="00135431">
        <w:rPr>
          <w:iCs/>
          <w:color w:val="000000"/>
          <w:lang w:val="en-US"/>
        </w:rPr>
        <w:t xml:space="preserve"> </w:t>
      </w:r>
      <w:r w:rsidRPr="00135431">
        <w:rPr>
          <w:iCs/>
          <w:color w:val="000000"/>
          <w:lang w:val="en-US"/>
        </w:rPr>
        <w:t xml:space="preserve">risk-informed development </w:t>
      </w:r>
      <w:r>
        <w:rPr>
          <w:iCs/>
          <w:color w:val="000000"/>
          <w:lang w:val="en-US"/>
        </w:rPr>
        <w:t xml:space="preserve">into </w:t>
      </w:r>
      <w:r w:rsidRPr="00135431">
        <w:rPr>
          <w:iCs/>
          <w:color w:val="000000"/>
          <w:lang w:val="en-US"/>
        </w:rPr>
        <w:t>country oversight and accountability systems</w:t>
      </w:r>
      <w:r>
        <w:rPr>
          <w:iCs/>
          <w:color w:val="000000"/>
          <w:lang w:val="en-US"/>
        </w:rPr>
        <w:t>.</w:t>
      </w:r>
      <w:r w:rsidRPr="00135431">
        <w:rPr>
          <w:iCs/>
          <w:color w:val="000000"/>
          <w:lang w:val="en-US"/>
        </w:rPr>
        <w:t xml:space="preserve"> </w:t>
      </w:r>
      <w:r w:rsidR="001B05E7" w:rsidRPr="00135431">
        <w:rPr>
          <w:iCs/>
          <w:color w:val="000000"/>
          <w:lang w:val="en-US"/>
        </w:rPr>
        <w:t xml:space="preserve">The proposed outputs to </w:t>
      </w:r>
      <w:r w:rsidR="006A41DE" w:rsidRPr="00135431">
        <w:rPr>
          <w:iCs/>
          <w:color w:val="000000"/>
          <w:lang w:val="en-US"/>
        </w:rPr>
        <w:t>achieve</w:t>
      </w:r>
      <w:r w:rsidR="001B05E7" w:rsidRPr="00135431">
        <w:rPr>
          <w:iCs/>
          <w:color w:val="000000"/>
          <w:lang w:val="en-US"/>
        </w:rPr>
        <w:t xml:space="preserve"> </w:t>
      </w:r>
      <w:r>
        <w:rPr>
          <w:iCs/>
          <w:color w:val="000000"/>
          <w:lang w:val="en-US"/>
        </w:rPr>
        <w:t xml:space="preserve">this outcome </w:t>
      </w:r>
      <w:r w:rsidR="00DD25A4" w:rsidRPr="00135431">
        <w:rPr>
          <w:iCs/>
          <w:color w:val="000000"/>
          <w:lang w:val="en-US"/>
        </w:rPr>
        <w:t>fall into two broad categories: independent scrutiny of government (</w:t>
      </w:r>
      <w:r w:rsidR="00DD25A4" w:rsidRPr="00135431">
        <w:rPr>
          <w:bCs/>
          <w:iCs/>
          <w:color w:val="000000"/>
          <w:lang w:val="en-US"/>
        </w:rPr>
        <w:t>Output 2.1</w:t>
      </w:r>
      <w:r w:rsidR="00DD25A4" w:rsidRPr="00135431">
        <w:rPr>
          <w:iCs/>
          <w:color w:val="000000"/>
          <w:lang w:val="en-US"/>
        </w:rPr>
        <w:t>) and engagement and scrutiny by advocacy groups (</w:t>
      </w:r>
      <w:r w:rsidR="00DD25A4" w:rsidRPr="00135431">
        <w:rPr>
          <w:bCs/>
          <w:iCs/>
          <w:color w:val="000000"/>
          <w:lang w:val="en-US"/>
        </w:rPr>
        <w:t>Output 2.2</w:t>
      </w:r>
      <w:r w:rsidR="00DD25A4" w:rsidRPr="00135431">
        <w:rPr>
          <w:iCs/>
          <w:color w:val="000000"/>
          <w:lang w:val="en-US"/>
        </w:rPr>
        <w:t>).</w:t>
      </w:r>
    </w:p>
    <w:p w:rsidR="007D70CE" w:rsidRPr="00135431" w:rsidRDefault="007D70CE" w:rsidP="0043211C">
      <w:pPr>
        <w:spacing w:after="0"/>
        <w:jc w:val="both"/>
        <w:textAlignment w:val="center"/>
        <w:rPr>
          <w:iCs/>
          <w:color w:val="000000"/>
          <w:lang w:val="en-US"/>
        </w:rPr>
      </w:pPr>
    </w:p>
    <w:p w:rsidR="001B05E7" w:rsidRPr="00135431" w:rsidRDefault="001D3D41" w:rsidP="0043211C">
      <w:pPr>
        <w:spacing w:after="0"/>
        <w:jc w:val="both"/>
        <w:textAlignment w:val="center"/>
      </w:pPr>
      <w:r w:rsidRPr="00135431">
        <w:rPr>
          <w:iCs/>
          <w:color w:val="000000"/>
          <w:lang w:val="en-US"/>
        </w:rPr>
        <w:t>Through</w:t>
      </w:r>
      <w:r w:rsidR="00B32D29" w:rsidRPr="00135431">
        <w:rPr>
          <w:iCs/>
          <w:color w:val="000000"/>
          <w:lang w:val="en-US"/>
        </w:rPr>
        <w:t xml:space="preserve"> Output 2.1, the </w:t>
      </w:r>
      <w:r w:rsidR="00253797">
        <w:rPr>
          <w:iCs/>
          <w:color w:val="000000"/>
          <w:lang w:val="en-US"/>
        </w:rPr>
        <w:t>project</w:t>
      </w:r>
      <w:r w:rsidR="00B32D29" w:rsidRPr="00135431">
        <w:rPr>
          <w:iCs/>
          <w:color w:val="000000"/>
          <w:lang w:val="en-US"/>
        </w:rPr>
        <w:t xml:space="preserve"> will work with accountability actors such as </w:t>
      </w:r>
      <w:r w:rsidR="00BB5F0F">
        <w:rPr>
          <w:iCs/>
          <w:color w:val="000000"/>
          <w:lang w:val="en-US"/>
        </w:rPr>
        <w:t>p</w:t>
      </w:r>
      <w:r w:rsidR="00A73D56">
        <w:rPr>
          <w:iCs/>
          <w:color w:val="000000"/>
          <w:lang w:val="en-US"/>
        </w:rPr>
        <w:t>arliaments</w:t>
      </w:r>
      <w:r w:rsidR="00B32D29" w:rsidRPr="00135431">
        <w:rPr>
          <w:iCs/>
          <w:color w:val="000000"/>
          <w:lang w:val="en-US"/>
        </w:rPr>
        <w:t xml:space="preserve"> and State Audit Institutions </w:t>
      </w:r>
      <w:r w:rsidR="00B32D29" w:rsidRPr="00135431">
        <w:t xml:space="preserve">to ensure public debates on budget reflect concerns </w:t>
      </w:r>
      <w:r w:rsidR="00992529" w:rsidRPr="00135431">
        <w:t>relating to</w:t>
      </w:r>
      <w:r w:rsidR="00B32D29" w:rsidRPr="00135431">
        <w:t xml:space="preserve"> climate change</w:t>
      </w:r>
      <w:r w:rsidR="00992529" w:rsidRPr="00135431">
        <w:t xml:space="preserve"> and disasters and </w:t>
      </w:r>
      <w:r w:rsidR="00334F07" w:rsidRPr="00334F07">
        <w:t>gender and social</w:t>
      </w:r>
      <w:r w:rsidR="00334F07">
        <w:t>ly</w:t>
      </w:r>
      <w:r w:rsidR="00334F07" w:rsidRPr="00334F07">
        <w:t xml:space="preserve"> inclusive</w:t>
      </w:r>
      <w:r w:rsidR="00334F07" w:rsidRPr="00135431">
        <w:t xml:space="preserve"> </w:t>
      </w:r>
      <w:r w:rsidR="00992529" w:rsidRPr="00135431">
        <w:t>development</w:t>
      </w:r>
      <w:r w:rsidR="00B32D29" w:rsidRPr="00135431">
        <w:t xml:space="preserve">. </w:t>
      </w:r>
      <w:r w:rsidR="002C4A1D" w:rsidRPr="00135431">
        <w:t>In</w:t>
      </w:r>
      <w:r w:rsidR="00B32D29" w:rsidRPr="00135431">
        <w:t xml:space="preserve"> respect to parliament, activities will be targeted </w:t>
      </w:r>
      <w:r w:rsidR="006A41DE" w:rsidRPr="00135431">
        <w:t>at</w:t>
      </w:r>
      <w:r w:rsidR="00B32D29" w:rsidRPr="00135431">
        <w:t xml:space="preserve"> relevant parliamentary committees, such as the budget, SDG or climate change</w:t>
      </w:r>
      <w:r w:rsidRPr="00135431">
        <w:t xml:space="preserve"> committees</w:t>
      </w:r>
      <w:r w:rsidR="00B32D29" w:rsidRPr="00135431">
        <w:t>, and will engage with elected representatives, and Secretariat staff as appropriate. These activities will be undertaken in partnership with the ongoing UNDP Pacific Parliamentary Effectiveness Initiative, who have strong working relationships</w:t>
      </w:r>
      <w:r w:rsidR="00A73D56">
        <w:t xml:space="preserve"> with Pacific </w:t>
      </w:r>
      <w:r w:rsidR="00BB5F0F">
        <w:t>parliament</w:t>
      </w:r>
      <w:r w:rsidR="00A73D56">
        <w:t>s</w:t>
      </w:r>
      <w:r w:rsidR="00B32D29" w:rsidRPr="00135431">
        <w:t>.</w:t>
      </w:r>
      <w:r w:rsidR="002C4A1D" w:rsidRPr="00135431">
        <w:t xml:space="preserve"> </w:t>
      </w:r>
      <w:r w:rsidR="00542935">
        <w:t xml:space="preserve"> </w:t>
      </w:r>
      <w:r w:rsidR="002C4A1D" w:rsidRPr="00135431">
        <w:t>Output 2.</w:t>
      </w:r>
      <w:r w:rsidR="00B00E79" w:rsidRPr="00135431">
        <w:t>2</w:t>
      </w:r>
      <w:r w:rsidR="002C4A1D" w:rsidRPr="00135431">
        <w:t xml:space="preserve"> will be achieved through the development of partnerships with civil society organisations, women’s groups, youth groups, and other relevant advocacy groups. </w:t>
      </w:r>
      <w:r w:rsidR="00053998" w:rsidRPr="00135431">
        <w:t xml:space="preserve">The </w:t>
      </w:r>
      <w:r w:rsidR="00253797">
        <w:t>project</w:t>
      </w:r>
      <w:r w:rsidR="00895613">
        <w:t xml:space="preserve"> </w:t>
      </w:r>
      <w:r w:rsidR="00053998" w:rsidRPr="00135431">
        <w:t xml:space="preserve">will work with Advocacy Groups to increase dialogue in the public space on CCDRM and </w:t>
      </w:r>
      <w:proofErr w:type="spellStart"/>
      <w:r w:rsidR="00053998" w:rsidRPr="00135431">
        <w:t>GSi</w:t>
      </w:r>
      <w:proofErr w:type="spellEnd"/>
      <w:r w:rsidR="00053998" w:rsidRPr="00135431">
        <w:t xml:space="preserve">. This can help trigger more concerted actions from policy-makers, thereby reinforcing the likelihood of more informed, and responsive planning and investment decisions. There may also be opportunities to work with </w:t>
      </w:r>
      <w:r w:rsidR="00BB5F0F">
        <w:t>parliament</w:t>
      </w:r>
      <w:r w:rsidR="00053998" w:rsidRPr="00135431">
        <w:t>arians for them to have access to this type of information to use during the budget debates.</w:t>
      </w:r>
    </w:p>
    <w:p w:rsidR="001D3D41" w:rsidRPr="00135431" w:rsidRDefault="001D3D41" w:rsidP="0043211C">
      <w:pPr>
        <w:spacing w:after="0"/>
        <w:jc w:val="both"/>
        <w:textAlignment w:val="center"/>
        <w:rPr>
          <w:iCs/>
          <w:color w:val="000000"/>
          <w:lang w:val="en-US"/>
        </w:rPr>
      </w:pPr>
    </w:p>
    <w:p w:rsidR="001D3D41" w:rsidRDefault="001D3D41" w:rsidP="0043211C">
      <w:pPr>
        <w:spacing w:after="0"/>
        <w:jc w:val="both"/>
        <w:textAlignment w:val="center"/>
        <w:rPr>
          <w:iCs/>
          <w:color w:val="000000"/>
          <w:lang w:val="en-US"/>
        </w:rPr>
      </w:pPr>
      <w:r w:rsidRPr="00135431">
        <w:rPr>
          <w:iCs/>
          <w:color w:val="000000"/>
          <w:lang w:val="en-US"/>
        </w:rPr>
        <w:t xml:space="preserve">The proposed </w:t>
      </w:r>
      <w:r w:rsidRPr="00135431">
        <w:rPr>
          <w:bCs/>
          <w:iCs/>
          <w:color w:val="000000"/>
          <w:lang w:val="en-US"/>
        </w:rPr>
        <w:t>activities</w:t>
      </w:r>
      <w:r w:rsidRPr="00135431">
        <w:rPr>
          <w:iCs/>
          <w:color w:val="000000"/>
          <w:lang w:val="en-US"/>
        </w:rPr>
        <w:t xml:space="preserve"> that will be undertaken to achieve Output 2.1 and 2.2 will include: establishment of new government posts, development of guidelines or </w:t>
      </w:r>
      <w:r w:rsidR="00407E99" w:rsidRPr="00135431">
        <w:rPr>
          <w:iCs/>
          <w:color w:val="000000"/>
          <w:lang w:val="en-US"/>
        </w:rPr>
        <w:t>toolkits, technical</w:t>
      </w:r>
      <w:r w:rsidRPr="00135431">
        <w:rPr>
          <w:iCs/>
          <w:color w:val="000000"/>
          <w:lang w:val="en-US"/>
        </w:rPr>
        <w:t xml:space="preserve"> advisory support, coaching of new and existing staff, training (e.g. tailored for parliamentarian</w:t>
      </w:r>
      <w:r w:rsidR="00407E99" w:rsidRPr="00135431">
        <w:rPr>
          <w:iCs/>
          <w:color w:val="000000"/>
          <w:lang w:val="en-US"/>
        </w:rPr>
        <w:t>s, auditors or CSOs</w:t>
      </w:r>
      <w:r w:rsidRPr="00135431">
        <w:rPr>
          <w:iCs/>
          <w:color w:val="000000"/>
          <w:lang w:val="en-US"/>
        </w:rPr>
        <w:t>) and targeted research and analysis to undertake these reforms.</w:t>
      </w:r>
    </w:p>
    <w:p w:rsidR="00163E60" w:rsidRPr="00135431" w:rsidRDefault="00163E60" w:rsidP="00483964">
      <w:pPr>
        <w:spacing w:after="0"/>
        <w:textAlignment w:val="center"/>
        <w:rPr>
          <w:iCs/>
          <w:color w:val="000000"/>
          <w:lang w:val="en-US"/>
        </w:rPr>
      </w:pPr>
    </w:p>
    <w:p w:rsidR="00AA3E27" w:rsidRPr="00135431" w:rsidRDefault="00EA5FB1" w:rsidP="00EA5FB1">
      <w:pPr>
        <w:pStyle w:val="Heading3"/>
        <w:spacing w:before="0"/>
        <w:jc w:val="left"/>
      </w:pPr>
      <w:bookmarkStart w:id="35" w:name="_Toc22745656"/>
      <w:r w:rsidRPr="00135431">
        <w:t xml:space="preserve">Outcome </w:t>
      </w:r>
      <w:r w:rsidR="00521E34" w:rsidRPr="00135431">
        <w:t>3</w:t>
      </w:r>
      <w:bookmarkEnd w:id="35"/>
      <w:r w:rsidR="0072320E">
        <w:t>: Regional Organisations, Policies and Practices</w:t>
      </w:r>
    </w:p>
    <w:p w:rsidR="00FD5D8A" w:rsidRPr="00135431" w:rsidRDefault="0072320E" w:rsidP="00593A6A">
      <w:pPr>
        <w:spacing w:after="0"/>
        <w:jc w:val="both"/>
        <w:textAlignment w:val="center"/>
      </w:pPr>
      <w:r>
        <w:t>Outcome 3 is targeted towards r</w:t>
      </w:r>
      <w:r w:rsidRPr="0072320E">
        <w:t xml:space="preserve">egional organisations, policies and practices </w:t>
      </w:r>
      <w:r>
        <w:t xml:space="preserve">to </w:t>
      </w:r>
      <w:r w:rsidRPr="0072320E">
        <w:t xml:space="preserve">actively support </w:t>
      </w:r>
      <w:r w:rsidR="00334F07" w:rsidRPr="00334F07">
        <w:t>gender and social</w:t>
      </w:r>
      <w:r w:rsidR="00334F07">
        <w:t>ly</w:t>
      </w:r>
      <w:r w:rsidR="00334F07" w:rsidRPr="00334F07">
        <w:t xml:space="preserve"> inclusive</w:t>
      </w:r>
      <w:r w:rsidR="00334F07" w:rsidRPr="0072320E">
        <w:t xml:space="preserve"> </w:t>
      </w:r>
      <w:r w:rsidRPr="0072320E">
        <w:t>risk-informed development</w:t>
      </w:r>
      <w:r w:rsidR="005E1D25">
        <w:t>.</w:t>
      </w:r>
      <w:r w:rsidRPr="0072320E">
        <w:t xml:space="preserve"> </w:t>
      </w:r>
      <w:r w:rsidR="008251B7">
        <w:t>GRDP</w:t>
      </w:r>
      <w:r w:rsidR="008251B7" w:rsidRPr="00135431">
        <w:t xml:space="preserve"> will</w:t>
      </w:r>
      <w:r w:rsidR="00546103" w:rsidRPr="00135431">
        <w:t xml:space="preserve"> target both country actors and regional organisations</w:t>
      </w:r>
      <w:r w:rsidR="008C56C1" w:rsidRPr="00135431">
        <w:t>, particularly focusing on positions of leadership,</w:t>
      </w:r>
      <w:r w:rsidR="00546103" w:rsidRPr="00135431">
        <w:t xml:space="preserve"> to promote good regional policies and practices for risk informed development (</w:t>
      </w:r>
      <w:r w:rsidR="00546103" w:rsidRPr="00135431">
        <w:rPr>
          <w:bCs/>
        </w:rPr>
        <w:t>Outcome 3</w:t>
      </w:r>
      <w:r w:rsidR="00546103" w:rsidRPr="00135431">
        <w:t>)</w:t>
      </w:r>
      <w:r w:rsidR="008C56C1" w:rsidRPr="00135431">
        <w:t xml:space="preserve"> to shift the regional narrative</w:t>
      </w:r>
      <w:r w:rsidR="00260D90" w:rsidRPr="00135431">
        <w:t xml:space="preserve"> around climate change and disaster</w:t>
      </w:r>
      <w:r w:rsidR="00260D90" w:rsidRPr="00593A6A">
        <w:t>.</w:t>
      </w:r>
      <w:r w:rsidR="00546103" w:rsidRPr="00593A6A">
        <w:t xml:space="preserve"> </w:t>
      </w:r>
      <w:r w:rsidR="00E06AA2" w:rsidRPr="005A338D">
        <w:t xml:space="preserve">Influencing regional agents to drive the risk informed development agenda will enable the </w:t>
      </w:r>
      <w:r w:rsidR="00253797">
        <w:t>project</w:t>
      </w:r>
      <w:r w:rsidR="00E06AA2" w:rsidRPr="005A338D">
        <w:t xml:space="preserve"> to scale up its impact and </w:t>
      </w:r>
      <w:r w:rsidR="00E06AA2" w:rsidRPr="00593A6A">
        <w:t>leverage beyond countries within which it is working at any point in time.</w:t>
      </w:r>
      <w:r w:rsidR="00E06AA2" w:rsidRPr="00C70610">
        <w:t xml:space="preserve"> </w:t>
      </w:r>
      <w:r w:rsidR="00ED4A5E" w:rsidRPr="005A338D">
        <w:t>To do</w:t>
      </w:r>
      <w:r w:rsidR="00ED4A5E" w:rsidRPr="00135431">
        <w:t xml:space="preserve"> </w:t>
      </w:r>
      <w:r w:rsidR="00E06AA2">
        <w:t>so</w:t>
      </w:r>
      <w:r w:rsidR="00ED4A5E" w:rsidRPr="00135431">
        <w:t>, t</w:t>
      </w:r>
      <w:r w:rsidR="00AB03A1" w:rsidRPr="00135431">
        <w:t xml:space="preserve">he </w:t>
      </w:r>
      <w:r w:rsidR="00253797">
        <w:t>project</w:t>
      </w:r>
      <w:r w:rsidR="00AB03A1" w:rsidRPr="00135431">
        <w:t xml:space="preserve"> </w:t>
      </w:r>
      <w:r w:rsidR="006A41DE" w:rsidRPr="00135431">
        <w:t xml:space="preserve">will </w:t>
      </w:r>
      <w:r w:rsidR="008C56C1" w:rsidRPr="00135431">
        <w:t>support</w:t>
      </w:r>
      <w:r w:rsidR="006A41DE" w:rsidRPr="00135431">
        <w:t xml:space="preserve"> countries to work collectively to influence regional agencies</w:t>
      </w:r>
      <w:r w:rsidR="008C56C1" w:rsidRPr="00135431">
        <w:t xml:space="preserve"> and other countries</w:t>
      </w:r>
      <w:r w:rsidR="006A41DE" w:rsidRPr="00135431">
        <w:t xml:space="preserve">, to ultimately </w:t>
      </w:r>
      <w:r w:rsidR="00ED4A5E" w:rsidRPr="00135431">
        <w:t>shift</w:t>
      </w:r>
      <w:r w:rsidR="006A41DE" w:rsidRPr="00135431">
        <w:t xml:space="preserve"> </w:t>
      </w:r>
      <w:r w:rsidR="008C56C1" w:rsidRPr="00135431">
        <w:t xml:space="preserve">internal </w:t>
      </w:r>
      <w:r w:rsidR="006A41DE" w:rsidRPr="00135431">
        <w:t xml:space="preserve">systems and government towards more </w:t>
      </w:r>
      <w:r w:rsidR="00ED4A5E" w:rsidRPr="00135431">
        <w:t>resilient</w:t>
      </w:r>
      <w:r w:rsidR="006A41DE" w:rsidRPr="00135431">
        <w:t xml:space="preserve"> development</w:t>
      </w:r>
      <w:r w:rsidR="00ED4A5E" w:rsidRPr="00135431">
        <w:t xml:space="preserve"> </w:t>
      </w:r>
      <w:r w:rsidR="00542935">
        <w:t xml:space="preserve">across the region </w:t>
      </w:r>
      <w:r w:rsidR="00ED4A5E" w:rsidRPr="00135431">
        <w:t>(</w:t>
      </w:r>
      <w:r w:rsidR="00ED4A5E" w:rsidRPr="00135431">
        <w:rPr>
          <w:bCs/>
        </w:rPr>
        <w:t>Output 3.1</w:t>
      </w:r>
      <w:r w:rsidR="00ED4A5E" w:rsidRPr="00135431">
        <w:t>)</w:t>
      </w:r>
      <w:r w:rsidR="006A41DE" w:rsidRPr="00135431">
        <w:t xml:space="preserve">. </w:t>
      </w:r>
      <w:r w:rsidR="00FD5D8A" w:rsidRPr="00135431">
        <w:t xml:space="preserve">As was successfully tested in the </w:t>
      </w:r>
      <w:r w:rsidR="00560CE1">
        <w:t>PRRP</w:t>
      </w:r>
      <w:r w:rsidR="00FD5D8A" w:rsidRPr="00135431">
        <w:t xml:space="preserve">, </w:t>
      </w:r>
      <w:r w:rsidR="00216D12" w:rsidRPr="00135431">
        <w:t xml:space="preserve">the </w:t>
      </w:r>
      <w:r w:rsidR="00253797">
        <w:t>project</w:t>
      </w:r>
      <w:r w:rsidR="00216D12" w:rsidRPr="00135431">
        <w:t xml:space="preserve"> will support and contribute to </w:t>
      </w:r>
      <w:r w:rsidR="00FD5D8A" w:rsidRPr="00135431">
        <w:t xml:space="preserve">existing Regional Networks </w:t>
      </w:r>
      <w:r w:rsidR="00ED4A5E" w:rsidRPr="00135431">
        <w:t>that</w:t>
      </w:r>
      <w:r w:rsidR="00FD5D8A" w:rsidRPr="00135431">
        <w:t xml:space="preserve"> </w:t>
      </w:r>
      <w:r w:rsidR="00ED4A5E" w:rsidRPr="00135431">
        <w:t>enhance</w:t>
      </w:r>
      <w:r w:rsidR="00FD5D8A" w:rsidRPr="00135431">
        <w:t xml:space="preserve"> national practitioners </w:t>
      </w:r>
      <w:r w:rsidR="00ED4A5E" w:rsidRPr="00135431">
        <w:t>ability to</w:t>
      </w:r>
      <w:r w:rsidR="00FD5D8A" w:rsidRPr="00135431">
        <w:t xml:space="preserve"> risk inform development, </w:t>
      </w:r>
      <w:r w:rsidR="00ED4A5E" w:rsidRPr="00135431">
        <w:t>as well as</w:t>
      </w:r>
      <w:r w:rsidR="00FD5D8A" w:rsidRPr="00135431">
        <w:t xml:space="preserve"> facilitati</w:t>
      </w:r>
      <w:r w:rsidR="00216D12" w:rsidRPr="00135431">
        <w:t>on</w:t>
      </w:r>
      <w:r w:rsidR="00FD5D8A" w:rsidRPr="00135431">
        <w:t xml:space="preserve"> of Peer</w:t>
      </w:r>
      <w:r w:rsidR="00ED4A5E" w:rsidRPr="00135431">
        <w:t>-to-</w:t>
      </w:r>
      <w:r w:rsidR="00FD5D8A" w:rsidRPr="00135431">
        <w:t>Peer learning opportunities</w:t>
      </w:r>
      <w:r w:rsidR="00ED4A5E" w:rsidRPr="00135431">
        <w:t xml:space="preserve">, </w:t>
      </w:r>
      <w:r w:rsidR="00FD5D8A" w:rsidRPr="00135431">
        <w:t xml:space="preserve">for instance </w:t>
      </w:r>
      <w:r w:rsidR="0061508D" w:rsidRPr="00135431">
        <w:t xml:space="preserve">an exchange between the </w:t>
      </w:r>
      <w:r w:rsidR="00FD5D8A" w:rsidRPr="00135431">
        <w:t xml:space="preserve">Ministry of Economy in Fiji </w:t>
      </w:r>
      <w:r w:rsidR="0061508D" w:rsidRPr="00135431">
        <w:t>to share</w:t>
      </w:r>
      <w:r w:rsidR="00FD5D8A" w:rsidRPr="00135431">
        <w:t xml:space="preserve"> Climate Budget Tagging experiences and lessons with the Ministry of Finance</w:t>
      </w:r>
      <w:r w:rsidR="00B64BA4" w:rsidRPr="00135431">
        <w:t xml:space="preserve"> and Economic Development</w:t>
      </w:r>
      <w:r w:rsidR="00FD5D8A" w:rsidRPr="00135431">
        <w:t xml:space="preserve"> in Tuvalu.</w:t>
      </w:r>
      <w:r w:rsidR="004C67A8" w:rsidRPr="00135431">
        <w:t xml:space="preserve"> The networks will coalesce around specialist areas, such as Ministries of Finance (reinforcing work undertaken Output 1.2), or </w:t>
      </w:r>
      <w:r w:rsidR="00586261" w:rsidRPr="00135431">
        <w:t>Supreme Audit Institutions (reinforcing Output 2.1). I</w:t>
      </w:r>
      <w:r w:rsidR="00D70F6B" w:rsidRPr="00135431">
        <w:t>t is anticipated that these country networks and representatives will then collectively influence the regional space, to</w:t>
      </w:r>
      <w:r w:rsidR="00811A08" w:rsidRPr="00135431">
        <w:t xml:space="preserve"> start</w:t>
      </w:r>
      <w:r w:rsidR="00D70F6B" w:rsidRPr="00135431">
        <w:t xml:space="preserve"> shift</w:t>
      </w:r>
      <w:r w:rsidR="00811A08" w:rsidRPr="00135431">
        <w:t>ing</w:t>
      </w:r>
      <w:r w:rsidR="00D70F6B" w:rsidRPr="00135431">
        <w:t xml:space="preserve"> the </w:t>
      </w:r>
      <w:r w:rsidR="00811A08" w:rsidRPr="00135431">
        <w:t xml:space="preserve">regional </w:t>
      </w:r>
      <w:r w:rsidR="00D70F6B" w:rsidRPr="00135431">
        <w:t>narrative and structures to</w:t>
      </w:r>
      <w:r w:rsidR="00811A08" w:rsidRPr="00135431">
        <w:t>wards</w:t>
      </w:r>
      <w:r w:rsidR="00586261" w:rsidRPr="00135431">
        <w:t xml:space="preserve"> </w:t>
      </w:r>
      <w:r w:rsidR="00B64BA4" w:rsidRPr="00135431">
        <w:t xml:space="preserve">prioritising </w:t>
      </w:r>
      <w:r w:rsidR="00054F20" w:rsidRPr="00135431">
        <w:rPr>
          <w:iCs/>
          <w:color w:val="000000"/>
          <w:lang w:val="en-US"/>
        </w:rPr>
        <w:t>more resilient development</w:t>
      </w:r>
      <w:r w:rsidR="00811A08" w:rsidRPr="00135431">
        <w:t xml:space="preserve">. </w:t>
      </w:r>
    </w:p>
    <w:p w:rsidR="006A41DE" w:rsidRPr="00135431" w:rsidRDefault="00FD5D8A" w:rsidP="002A6D64">
      <w:pPr>
        <w:spacing w:after="0"/>
        <w:jc w:val="both"/>
        <w:textAlignment w:val="center"/>
        <w:rPr>
          <w:iCs/>
          <w:color w:val="000000"/>
          <w:lang w:val="en-US"/>
        </w:rPr>
      </w:pPr>
      <w:r w:rsidRPr="00135431">
        <w:rPr>
          <w:iCs/>
          <w:color w:val="000000"/>
          <w:lang w:val="en-US"/>
        </w:rPr>
        <w:t xml:space="preserve"> </w:t>
      </w:r>
    </w:p>
    <w:p w:rsidR="00C318A5" w:rsidRDefault="005D461E" w:rsidP="00C318A5">
      <w:pPr>
        <w:spacing w:after="0"/>
        <w:jc w:val="both"/>
        <w:textAlignment w:val="center"/>
        <w:rPr>
          <w:iCs/>
          <w:color w:val="000000"/>
          <w:lang w:val="en-US"/>
        </w:rPr>
      </w:pPr>
      <w:r w:rsidRPr="00135431">
        <w:rPr>
          <w:iCs/>
          <w:color w:val="000000"/>
          <w:lang w:val="en-US"/>
        </w:rPr>
        <w:t xml:space="preserve">Correspondingly, </w:t>
      </w:r>
      <w:r w:rsidR="008251B7">
        <w:rPr>
          <w:iCs/>
          <w:color w:val="000000"/>
          <w:lang w:val="en-US"/>
        </w:rPr>
        <w:t>GRDP</w:t>
      </w:r>
      <w:r w:rsidR="008251B7" w:rsidRPr="00135431">
        <w:rPr>
          <w:iCs/>
          <w:color w:val="000000"/>
          <w:lang w:val="en-US"/>
        </w:rPr>
        <w:t xml:space="preserve"> will</w:t>
      </w:r>
      <w:r w:rsidR="00B53E30" w:rsidRPr="00135431">
        <w:rPr>
          <w:iCs/>
          <w:color w:val="000000"/>
          <w:lang w:val="en-US"/>
        </w:rPr>
        <w:t xml:space="preserve"> work with regional actors to enhance their </w:t>
      </w:r>
      <w:r w:rsidR="00CD7FD4" w:rsidRPr="00135431">
        <w:rPr>
          <w:iCs/>
          <w:color w:val="000000"/>
          <w:lang w:val="en-US"/>
        </w:rPr>
        <w:t>cognizance</w:t>
      </w:r>
      <w:r w:rsidRPr="00135431">
        <w:rPr>
          <w:iCs/>
          <w:color w:val="000000"/>
          <w:lang w:val="en-US"/>
        </w:rPr>
        <w:t xml:space="preserve"> and preparedness to actively support countries to implement </w:t>
      </w:r>
      <w:r w:rsidR="00334F07" w:rsidRPr="00334F07">
        <w:t>gender and social</w:t>
      </w:r>
      <w:r w:rsidR="00334F07">
        <w:t>ly</w:t>
      </w:r>
      <w:r w:rsidR="00334F07" w:rsidRPr="00334F07">
        <w:t xml:space="preserve"> inclusive</w:t>
      </w:r>
      <w:r w:rsidR="00334F07" w:rsidRPr="00135431">
        <w:rPr>
          <w:iCs/>
          <w:color w:val="000000"/>
          <w:lang w:val="en-US"/>
        </w:rPr>
        <w:t xml:space="preserve"> </w:t>
      </w:r>
      <w:r w:rsidRPr="00135431">
        <w:rPr>
          <w:iCs/>
          <w:color w:val="000000"/>
          <w:lang w:val="en-US"/>
        </w:rPr>
        <w:t>risk-informed development (</w:t>
      </w:r>
      <w:r w:rsidRPr="00135431">
        <w:rPr>
          <w:bCs/>
          <w:iCs/>
          <w:color w:val="000000"/>
          <w:lang w:val="en-US"/>
        </w:rPr>
        <w:t>Output 3.2</w:t>
      </w:r>
      <w:r w:rsidRPr="00135431">
        <w:rPr>
          <w:iCs/>
          <w:color w:val="000000"/>
          <w:lang w:val="en-US"/>
        </w:rPr>
        <w:t>).</w:t>
      </w:r>
      <w:r w:rsidR="00CD685E" w:rsidRPr="00135431">
        <w:rPr>
          <w:iCs/>
          <w:color w:val="000000"/>
          <w:lang w:val="en-US"/>
        </w:rPr>
        <w:t xml:space="preserve"> </w:t>
      </w:r>
      <w:r w:rsidRPr="00135431">
        <w:rPr>
          <w:iCs/>
          <w:color w:val="000000"/>
          <w:lang w:val="en-US"/>
        </w:rPr>
        <w:t>This will be achieved, in partnership with the aforementioned country networks (Output 3.1) by</w:t>
      </w:r>
      <w:r w:rsidR="00586261" w:rsidRPr="00135431">
        <w:rPr>
          <w:iCs/>
          <w:color w:val="000000"/>
          <w:lang w:val="en-US"/>
        </w:rPr>
        <w:t xml:space="preserve">: </w:t>
      </w:r>
      <w:r w:rsidRPr="00135431">
        <w:rPr>
          <w:iCs/>
          <w:color w:val="000000"/>
          <w:lang w:val="en-US"/>
        </w:rPr>
        <w:t>contributing to existing</w:t>
      </w:r>
      <w:r w:rsidR="00586261" w:rsidRPr="00135431">
        <w:rPr>
          <w:iCs/>
          <w:color w:val="000000"/>
          <w:lang w:val="en-US"/>
        </w:rPr>
        <w:t xml:space="preserve"> networks and dialogues, </w:t>
      </w:r>
      <w:r w:rsidR="00B82D5A" w:rsidRPr="00135431">
        <w:rPr>
          <w:iCs/>
          <w:color w:val="000000"/>
          <w:lang w:val="en-US"/>
        </w:rPr>
        <w:t>including (but not limited to)</w:t>
      </w:r>
      <w:r w:rsidR="00586261" w:rsidRPr="00135431">
        <w:rPr>
          <w:iCs/>
          <w:color w:val="000000"/>
          <w:lang w:val="en-US"/>
        </w:rPr>
        <w:t xml:space="preserve"> the Pacific Islands Forum Secretariat’s</w:t>
      </w:r>
      <w:r w:rsidR="00586261" w:rsidRPr="00135431">
        <w:t xml:space="preserve"> Climate Change Finance Donor Roundtable, </w:t>
      </w:r>
      <w:r w:rsidR="00823310" w:rsidRPr="00135431">
        <w:t xml:space="preserve">the Development Partners for Climate Change network, </w:t>
      </w:r>
      <w:r w:rsidR="00586261" w:rsidRPr="00135431">
        <w:t>Technical Working Groups facilitated under the</w:t>
      </w:r>
      <w:r w:rsidR="00AA3E27" w:rsidRPr="00135431">
        <w:t xml:space="preserve"> Framework for Resilient Development in the Pacific’s (PRP)</w:t>
      </w:r>
      <w:r w:rsidR="00586261" w:rsidRPr="00135431">
        <w:t xml:space="preserve"> Pacific Resilience Partnership, conferences and workshops hosted by the Pacific Financial Technical Assistance Centre,</w:t>
      </w:r>
      <w:r w:rsidR="0003782D" w:rsidRPr="00135431">
        <w:t xml:space="preserve"> Pacific Islands Business Resilience Network,</w:t>
      </w:r>
      <w:r w:rsidR="00586261" w:rsidRPr="00135431">
        <w:t xml:space="preserve"> </w:t>
      </w:r>
      <w:r w:rsidR="00823310" w:rsidRPr="00135431">
        <w:t>and global networks such as the</w:t>
      </w:r>
      <w:r w:rsidR="009A6940" w:rsidRPr="00135431">
        <w:t xml:space="preserve"> Asia Pacific </w:t>
      </w:r>
      <w:hyperlink r:id="rId18" w:history="1">
        <w:r w:rsidR="009A6940" w:rsidRPr="00135431">
          <w:rPr>
            <w:rStyle w:val="Hyperlink"/>
          </w:rPr>
          <w:t>Climate Finance Network</w:t>
        </w:r>
      </w:hyperlink>
      <w:r w:rsidR="00C02D88">
        <w:t>. W</w:t>
      </w:r>
      <w:r w:rsidR="00823310" w:rsidRPr="00135431">
        <w:t xml:space="preserve">here there is an identified need and </w:t>
      </w:r>
      <w:r w:rsidR="005E1D25">
        <w:t>it is</w:t>
      </w:r>
      <w:r w:rsidR="005E1D25" w:rsidRPr="00135431">
        <w:t xml:space="preserve"> </w:t>
      </w:r>
      <w:r w:rsidR="00823310" w:rsidRPr="00135431">
        <w:t xml:space="preserve">appropriate, </w:t>
      </w:r>
      <w:r w:rsidR="008251B7">
        <w:t>GRDP will</w:t>
      </w:r>
      <w:r w:rsidR="00C02D88">
        <w:t xml:space="preserve"> also work </w:t>
      </w:r>
      <w:r w:rsidR="00823310" w:rsidRPr="00135431">
        <w:t xml:space="preserve">with CROP agencies </w:t>
      </w:r>
      <w:r w:rsidR="00C02D88">
        <w:rPr>
          <w:iCs/>
          <w:color w:val="000000"/>
          <w:lang w:val="en-US"/>
        </w:rPr>
        <w:t>to</w:t>
      </w:r>
      <w:r w:rsidR="00823310" w:rsidRPr="00135431">
        <w:rPr>
          <w:iCs/>
          <w:color w:val="000000"/>
          <w:lang w:val="en-US"/>
        </w:rPr>
        <w:t xml:space="preserve"> facilitate or </w:t>
      </w:r>
      <w:r w:rsidR="00B82D5A" w:rsidRPr="00135431">
        <w:rPr>
          <w:iCs/>
          <w:color w:val="000000"/>
          <w:lang w:val="en-US"/>
        </w:rPr>
        <w:t>co-facilitate</w:t>
      </w:r>
      <w:r w:rsidR="00823310" w:rsidRPr="00135431">
        <w:rPr>
          <w:iCs/>
          <w:color w:val="000000"/>
          <w:lang w:val="en-US"/>
        </w:rPr>
        <w:t xml:space="preserve"> new networks, for instance on development financing. </w:t>
      </w:r>
      <w:r w:rsidR="002A6D64">
        <w:rPr>
          <w:iCs/>
          <w:color w:val="000000"/>
          <w:lang w:val="en-US"/>
        </w:rPr>
        <w:t xml:space="preserve">These learning networks and diffusion points will benefit directly from targeted research as well as drawing on the learning across the countries </w:t>
      </w:r>
      <w:r w:rsidR="00B02388" w:rsidRPr="00135431">
        <w:rPr>
          <w:iCs/>
          <w:color w:val="000000"/>
          <w:lang w:val="en-US"/>
        </w:rPr>
        <w:t>obtained during implementation of Outcome 1 and 2.</w:t>
      </w:r>
    </w:p>
    <w:p w:rsidR="00C318A5" w:rsidRDefault="00C318A5" w:rsidP="002A6D64">
      <w:pPr>
        <w:spacing w:after="0"/>
        <w:textAlignment w:val="center"/>
        <w:rPr>
          <w:iCs/>
          <w:color w:val="000000"/>
          <w:lang w:val="en-US"/>
        </w:rPr>
      </w:pPr>
    </w:p>
    <w:p w:rsidR="0003782D" w:rsidRPr="00135431" w:rsidRDefault="00A60028" w:rsidP="002A6D64">
      <w:pPr>
        <w:spacing w:after="0"/>
        <w:jc w:val="both"/>
        <w:textAlignment w:val="center"/>
        <w:rPr>
          <w:iCs/>
          <w:color w:val="000000"/>
          <w:lang w:val="en-US"/>
        </w:rPr>
      </w:pPr>
      <w:r w:rsidRPr="00135431">
        <w:rPr>
          <w:iCs/>
          <w:color w:val="000000"/>
          <w:lang w:val="en-US"/>
        </w:rPr>
        <w:br/>
      </w:r>
    </w:p>
    <w:p w:rsidR="00DE0875" w:rsidRPr="00135431" w:rsidRDefault="00DE0875" w:rsidP="002853F5">
      <w:pPr>
        <w:pStyle w:val="Caption"/>
        <w:keepNext/>
        <w:sectPr w:rsidR="00DE0875" w:rsidRPr="00135431" w:rsidSect="003A03E3">
          <w:type w:val="continuous"/>
          <w:pgSz w:w="11906" w:h="16838" w:code="9"/>
          <w:pgMar w:top="864" w:right="1152" w:bottom="864" w:left="1152" w:header="720" w:footer="432" w:gutter="0"/>
          <w:cols w:space="708"/>
          <w:titlePg/>
          <w:docGrid w:linePitch="360"/>
        </w:sectPr>
      </w:pPr>
      <w:bookmarkStart w:id="36" w:name="_Ref22287526"/>
    </w:p>
    <w:tbl>
      <w:tblPr>
        <w:tblpPr w:leftFromText="180" w:rightFromText="180" w:vertAnchor="text" w:horzAnchor="margin" w:tblpY="7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984"/>
        <w:gridCol w:w="2126"/>
        <w:gridCol w:w="1712"/>
        <w:gridCol w:w="2215"/>
      </w:tblGrid>
      <w:tr w:rsidR="00261D5C" w:rsidRPr="00135431" w:rsidTr="00A22CE5">
        <w:tc>
          <w:tcPr>
            <w:tcW w:w="1555" w:type="dxa"/>
            <w:shd w:val="clear" w:color="auto" w:fill="808080"/>
          </w:tcPr>
          <w:p w:rsidR="00261D5C" w:rsidRPr="00173FB7" w:rsidRDefault="00261D5C" w:rsidP="00261D5C">
            <w:pPr>
              <w:keepNext/>
              <w:spacing w:before="120" w:after="120"/>
              <w:rPr>
                <w:rFonts w:cs="Arial"/>
                <w:b/>
                <w:iCs/>
                <w:color w:val="FFFFFF"/>
                <w:sz w:val="19"/>
                <w:szCs w:val="19"/>
                <w:lang w:val="en-US"/>
              </w:rPr>
            </w:pPr>
            <w:r w:rsidRPr="00173FB7">
              <w:rPr>
                <w:b/>
                <w:iCs/>
                <w:color w:val="000000"/>
                <w:lang w:val="en-US"/>
              </w:rPr>
              <w:br w:type="page"/>
            </w:r>
            <w:r w:rsidRPr="00173FB7">
              <w:rPr>
                <w:rFonts w:cs="Arial"/>
                <w:b/>
                <w:iCs/>
                <w:color w:val="FFFFFF"/>
                <w:sz w:val="19"/>
                <w:szCs w:val="19"/>
                <w:lang w:val="en-US"/>
              </w:rPr>
              <w:t>Outcomes</w:t>
            </w:r>
          </w:p>
        </w:tc>
        <w:tc>
          <w:tcPr>
            <w:tcW w:w="1984" w:type="dxa"/>
            <w:shd w:val="clear" w:color="auto" w:fill="808080"/>
          </w:tcPr>
          <w:p w:rsidR="00261D5C" w:rsidRPr="00173FB7" w:rsidRDefault="00261D5C" w:rsidP="00261D5C">
            <w:pPr>
              <w:keepNext/>
              <w:spacing w:before="120" w:after="120"/>
              <w:rPr>
                <w:rFonts w:cs="Arial"/>
                <w:b/>
                <w:iCs/>
                <w:color w:val="FFFFFF"/>
                <w:sz w:val="19"/>
                <w:szCs w:val="19"/>
                <w:lang w:val="en-US"/>
              </w:rPr>
            </w:pPr>
            <w:r w:rsidRPr="00173FB7">
              <w:rPr>
                <w:rFonts w:cs="Arial"/>
                <w:b/>
                <w:iCs/>
                <w:color w:val="FFFFFF"/>
                <w:sz w:val="19"/>
                <w:szCs w:val="19"/>
                <w:lang w:val="en-US"/>
              </w:rPr>
              <w:t>Outputs</w:t>
            </w:r>
          </w:p>
        </w:tc>
        <w:tc>
          <w:tcPr>
            <w:tcW w:w="2126" w:type="dxa"/>
            <w:shd w:val="clear" w:color="auto" w:fill="808080"/>
          </w:tcPr>
          <w:p w:rsidR="00261D5C" w:rsidRPr="00173FB7" w:rsidRDefault="00261D5C" w:rsidP="00261D5C">
            <w:pPr>
              <w:keepNext/>
              <w:spacing w:before="120" w:after="120"/>
              <w:rPr>
                <w:rFonts w:cs="Arial"/>
                <w:b/>
                <w:iCs/>
                <w:color w:val="FFFFFF"/>
                <w:sz w:val="19"/>
                <w:szCs w:val="19"/>
                <w:lang w:val="en-US"/>
              </w:rPr>
            </w:pPr>
            <w:r w:rsidRPr="00173FB7">
              <w:rPr>
                <w:rFonts w:cs="Arial"/>
                <w:b/>
                <w:iCs/>
                <w:color w:val="FFFFFF"/>
                <w:sz w:val="19"/>
                <w:szCs w:val="19"/>
                <w:lang w:val="en-US"/>
              </w:rPr>
              <w:t>Activity Description</w:t>
            </w:r>
          </w:p>
        </w:tc>
        <w:tc>
          <w:tcPr>
            <w:tcW w:w="1712" w:type="dxa"/>
            <w:shd w:val="clear" w:color="auto" w:fill="808080"/>
          </w:tcPr>
          <w:p w:rsidR="00261D5C" w:rsidRPr="00173FB7" w:rsidRDefault="00261D5C" w:rsidP="00261D5C">
            <w:pPr>
              <w:keepNext/>
              <w:spacing w:before="120" w:after="120"/>
              <w:rPr>
                <w:rFonts w:cs="Arial"/>
                <w:b/>
                <w:iCs/>
                <w:color w:val="FFFFFF"/>
                <w:sz w:val="19"/>
                <w:szCs w:val="19"/>
                <w:lang w:val="en-US"/>
              </w:rPr>
            </w:pPr>
            <w:r w:rsidRPr="00173FB7">
              <w:rPr>
                <w:rFonts w:cs="Arial"/>
                <w:b/>
                <w:iCs/>
                <w:color w:val="FFFFFF"/>
                <w:sz w:val="19"/>
                <w:szCs w:val="19"/>
                <w:lang w:val="en-US"/>
              </w:rPr>
              <w:t xml:space="preserve">Sample Deliverables </w:t>
            </w:r>
          </w:p>
        </w:tc>
        <w:tc>
          <w:tcPr>
            <w:tcW w:w="2215" w:type="dxa"/>
            <w:shd w:val="clear" w:color="auto" w:fill="808080"/>
          </w:tcPr>
          <w:p w:rsidR="00261D5C" w:rsidRPr="00173FB7" w:rsidRDefault="00261D5C" w:rsidP="00261D5C">
            <w:pPr>
              <w:keepNext/>
              <w:spacing w:before="120" w:after="120"/>
              <w:rPr>
                <w:rFonts w:cs="Arial"/>
                <w:b/>
                <w:iCs/>
                <w:color w:val="FFFFFF"/>
                <w:sz w:val="19"/>
                <w:szCs w:val="19"/>
                <w:lang w:val="en-US"/>
              </w:rPr>
            </w:pPr>
            <w:r w:rsidRPr="00173FB7">
              <w:rPr>
                <w:rFonts w:cs="Arial"/>
                <w:b/>
                <w:iCs/>
                <w:color w:val="FFFFFF"/>
                <w:sz w:val="19"/>
                <w:szCs w:val="19"/>
                <w:lang w:val="en-US"/>
              </w:rPr>
              <w:t>Target Beneficiaries</w:t>
            </w:r>
          </w:p>
        </w:tc>
      </w:tr>
      <w:tr w:rsidR="00261D5C" w:rsidRPr="00135431" w:rsidTr="00A22CE5">
        <w:tc>
          <w:tcPr>
            <w:tcW w:w="1555" w:type="dxa"/>
            <w:vMerge w:val="restart"/>
            <w:shd w:val="clear" w:color="auto" w:fill="auto"/>
            <w:vAlign w:val="center"/>
          </w:tcPr>
          <w:p w:rsidR="00261D5C" w:rsidRPr="00261D5C" w:rsidRDefault="00261D5C" w:rsidP="00261D5C">
            <w:pPr>
              <w:pStyle w:val="ListParagraph"/>
              <w:spacing w:after="0"/>
              <w:ind w:left="0"/>
              <w:rPr>
                <w:rFonts w:cs="Arial"/>
                <w:sz w:val="18"/>
                <w:szCs w:val="18"/>
              </w:rPr>
            </w:pPr>
            <w:r w:rsidRPr="00261D5C">
              <w:rPr>
                <w:rFonts w:cs="Arial"/>
                <w:sz w:val="18"/>
                <w:szCs w:val="18"/>
                <w:lang w:val="en-US"/>
              </w:rPr>
              <w:t>1. Government planning and financing systems enable</w:t>
            </w:r>
            <w:r w:rsidR="00334F07" w:rsidRPr="00334F07">
              <w:rPr>
                <w:rFonts w:cs="Arial"/>
                <w:sz w:val="18"/>
                <w:szCs w:val="18"/>
                <w:lang w:val="en-US"/>
              </w:rPr>
              <w:t xml:space="preserve"> gender and socially inclusive</w:t>
            </w:r>
            <w:r w:rsidR="00334F07" w:rsidRPr="00261D5C">
              <w:rPr>
                <w:rFonts w:cs="Arial"/>
                <w:sz w:val="18"/>
                <w:szCs w:val="18"/>
                <w:lang w:val="en-US"/>
              </w:rPr>
              <w:t xml:space="preserve"> </w:t>
            </w:r>
            <w:r w:rsidRPr="00261D5C">
              <w:rPr>
                <w:rFonts w:cs="Arial"/>
                <w:sz w:val="18"/>
                <w:szCs w:val="18"/>
                <w:lang w:val="en-US"/>
              </w:rPr>
              <w:t>risk-informed development</w:t>
            </w:r>
          </w:p>
        </w:tc>
        <w:tc>
          <w:tcPr>
            <w:tcW w:w="1984" w:type="dxa"/>
            <w:shd w:val="clear" w:color="auto" w:fill="auto"/>
            <w:vAlign w:val="center"/>
          </w:tcPr>
          <w:p w:rsidR="00261D5C" w:rsidRPr="00261D5C" w:rsidRDefault="00261D5C" w:rsidP="00261D5C">
            <w:pPr>
              <w:spacing w:after="0"/>
              <w:rPr>
                <w:rFonts w:cs="Arial"/>
                <w:bCs/>
                <w:sz w:val="18"/>
                <w:szCs w:val="18"/>
              </w:rPr>
            </w:pPr>
            <w:r w:rsidRPr="00261D5C">
              <w:rPr>
                <w:rFonts w:cs="Arial"/>
                <w:bCs/>
                <w:kern w:val="24"/>
                <w:sz w:val="18"/>
                <w:szCs w:val="18"/>
                <w:lang w:val="en-US"/>
              </w:rPr>
              <w:t xml:space="preserve">1.1 Integration of risk into national planning and financing </w:t>
            </w:r>
          </w:p>
        </w:tc>
        <w:tc>
          <w:tcPr>
            <w:tcW w:w="2126" w:type="dxa"/>
            <w:vMerge w:val="restart"/>
            <w:shd w:val="clear" w:color="auto" w:fill="auto"/>
            <w:vAlign w:val="center"/>
          </w:tcPr>
          <w:p w:rsidR="00261D5C" w:rsidRPr="00261D5C" w:rsidRDefault="00261D5C" w:rsidP="009D6B25">
            <w:pPr>
              <w:numPr>
                <w:ilvl w:val="0"/>
                <w:numId w:val="16"/>
              </w:numPr>
              <w:spacing w:after="0"/>
              <w:rPr>
                <w:rFonts w:cs="Arial"/>
                <w:iCs/>
                <w:color w:val="000000"/>
                <w:sz w:val="18"/>
                <w:szCs w:val="18"/>
                <w:lang w:val="en-US"/>
              </w:rPr>
            </w:pPr>
            <w:r w:rsidRPr="00261D5C">
              <w:rPr>
                <w:rFonts w:cs="Arial"/>
                <w:iCs/>
                <w:color w:val="000000"/>
                <w:sz w:val="18"/>
                <w:szCs w:val="18"/>
                <w:lang w:val="en-US"/>
              </w:rPr>
              <w:t xml:space="preserve">Revision of templates &amp; guideline development </w:t>
            </w:r>
          </w:p>
          <w:p w:rsidR="00261D5C" w:rsidRPr="00261D5C" w:rsidRDefault="00261D5C" w:rsidP="009D6B25">
            <w:pPr>
              <w:numPr>
                <w:ilvl w:val="0"/>
                <w:numId w:val="16"/>
              </w:numPr>
              <w:spacing w:after="0"/>
              <w:rPr>
                <w:rFonts w:cs="Arial"/>
                <w:iCs/>
                <w:color w:val="000000"/>
                <w:sz w:val="18"/>
                <w:szCs w:val="18"/>
                <w:lang w:val="en-US"/>
              </w:rPr>
            </w:pPr>
            <w:r w:rsidRPr="00261D5C">
              <w:rPr>
                <w:rFonts w:cs="Arial"/>
                <w:iCs/>
                <w:color w:val="000000"/>
                <w:sz w:val="18"/>
                <w:szCs w:val="18"/>
                <w:lang w:val="en-US"/>
              </w:rPr>
              <w:t>Capacity building and technical advisory (for Min of Finance, Planning &amp; Sectors)</w:t>
            </w:r>
          </w:p>
          <w:p w:rsidR="00261D5C" w:rsidRPr="00261D5C" w:rsidRDefault="00261D5C" w:rsidP="009D6B25">
            <w:pPr>
              <w:numPr>
                <w:ilvl w:val="0"/>
                <w:numId w:val="16"/>
              </w:numPr>
              <w:spacing w:after="0"/>
              <w:rPr>
                <w:rFonts w:cs="Arial"/>
                <w:iCs/>
                <w:color w:val="000000"/>
                <w:sz w:val="18"/>
                <w:szCs w:val="18"/>
                <w:lang w:val="en-US"/>
              </w:rPr>
            </w:pPr>
            <w:r w:rsidRPr="00261D5C">
              <w:rPr>
                <w:rFonts w:cs="Arial"/>
                <w:iCs/>
                <w:color w:val="000000"/>
                <w:sz w:val="18"/>
                <w:szCs w:val="18"/>
                <w:lang w:val="en-US"/>
              </w:rPr>
              <w:t>Training and workshops</w:t>
            </w:r>
          </w:p>
          <w:p w:rsidR="00261D5C" w:rsidRPr="00261D5C" w:rsidRDefault="00261D5C" w:rsidP="009D6B25">
            <w:pPr>
              <w:numPr>
                <w:ilvl w:val="0"/>
                <w:numId w:val="16"/>
              </w:numPr>
              <w:spacing w:after="0"/>
              <w:rPr>
                <w:rFonts w:cs="Arial"/>
                <w:iCs/>
                <w:color w:val="000000"/>
                <w:sz w:val="18"/>
                <w:szCs w:val="18"/>
                <w:lang w:val="en-US"/>
              </w:rPr>
            </w:pPr>
            <w:r w:rsidRPr="00261D5C">
              <w:rPr>
                <w:rFonts w:cs="Arial"/>
                <w:iCs/>
                <w:color w:val="000000"/>
                <w:sz w:val="18"/>
                <w:szCs w:val="18"/>
                <w:lang w:val="en-US"/>
              </w:rPr>
              <w:t>Seed funding for implementation</w:t>
            </w:r>
          </w:p>
        </w:tc>
        <w:tc>
          <w:tcPr>
            <w:tcW w:w="1712" w:type="dxa"/>
            <w:shd w:val="clear" w:color="auto" w:fill="auto"/>
            <w:vAlign w:val="center"/>
          </w:tcPr>
          <w:p w:rsidR="00261D5C" w:rsidRPr="00261D5C" w:rsidRDefault="00261D5C" w:rsidP="009D6B25">
            <w:pPr>
              <w:numPr>
                <w:ilvl w:val="0"/>
                <w:numId w:val="4"/>
              </w:numPr>
              <w:spacing w:after="0"/>
              <w:ind w:left="344"/>
              <w:rPr>
                <w:rFonts w:cs="Arial"/>
                <w:iCs/>
                <w:color w:val="000000"/>
                <w:sz w:val="18"/>
                <w:szCs w:val="18"/>
                <w:lang w:val="en-US"/>
              </w:rPr>
            </w:pPr>
            <w:r w:rsidRPr="00261D5C">
              <w:rPr>
                <w:rFonts w:cs="Arial"/>
                <w:iCs/>
                <w:color w:val="000000"/>
                <w:sz w:val="18"/>
                <w:szCs w:val="18"/>
                <w:lang w:val="en-US"/>
              </w:rPr>
              <w:t>Climate Budgeting Tagging</w:t>
            </w:r>
          </w:p>
          <w:p w:rsidR="00261D5C" w:rsidRPr="00261D5C" w:rsidRDefault="00261D5C" w:rsidP="009D6B25">
            <w:pPr>
              <w:numPr>
                <w:ilvl w:val="0"/>
                <w:numId w:val="4"/>
              </w:numPr>
              <w:spacing w:after="0"/>
              <w:ind w:left="344"/>
              <w:rPr>
                <w:rFonts w:cs="Arial"/>
                <w:iCs/>
                <w:color w:val="000000"/>
                <w:sz w:val="18"/>
                <w:szCs w:val="18"/>
                <w:lang w:val="en-US"/>
              </w:rPr>
            </w:pPr>
            <w:r w:rsidRPr="00261D5C">
              <w:rPr>
                <w:rFonts w:cs="Arial"/>
                <w:iCs/>
                <w:color w:val="000000"/>
                <w:sz w:val="18"/>
                <w:szCs w:val="18"/>
                <w:lang w:val="en-US"/>
              </w:rPr>
              <w:t>Revised Budget Circular</w:t>
            </w:r>
          </w:p>
        </w:tc>
        <w:tc>
          <w:tcPr>
            <w:tcW w:w="2215" w:type="dxa"/>
            <w:vMerge w:val="restart"/>
          </w:tcPr>
          <w:p w:rsidR="00261D5C" w:rsidRPr="00261D5C" w:rsidRDefault="00261D5C" w:rsidP="00261D5C">
            <w:pPr>
              <w:spacing w:after="0" w:line="276" w:lineRule="auto"/>
              <w:rPr>
                <w:rFonts w:cs="Arial"/>
                <w:sz w:val="18"/>
                <w:szCs w:val="20"/>
              </w:rPr>
            </w:pPr>
            <w:r w:rsidRPr="00261D5C">
              <w:rPr>
                <w:rFonts w:cs="Arial"/>
                <w:sz w:val="18"/>
                <w:szCs w:val="20"/>
              </w:rPr>
              <w:t>Ministries of Planning</w:t>
            </w:r>
          </w:p>
          <w:p w:rsidR="00261D5C" w:rsidRPr="00261D5C" w:rsidRDefault="00261D5C" w:rsidP="00261D5C">
            <w:pPr>
              <w:spacing w:after="0" w:line="276" w:lineRule="auto"/>
              <w:rPr>
                <w:rFonts w:cs="Arial"/>
                <w:sz w:val="18"/>
                <w:szCs w:val="20"/>
              </w:rPr>
            </w:pPr>
            <w:r w:rsidRPr="00261D5C">
              <w:rPr>
                <w:rFonts w:cs="Arial"/>
                <w:sz w:val="18"/>
                <w:szCs w:val="20"/>
              </w:rPr>
              <w:t>Ministries of Finance</w:t>
            </w:r>
          </w:p>
          <w:p w:rsidR="00261D5C" w:rsidRPr="00261D5C" w:rsidRDefault="00261D5C" w:rsidP="00261D5C">
            <w:pPr>
              <w:spacing w:after="0" w:line="276" w:lineRule="auto"/>
              <w:rPr>
                <w:rFonts w:cs="Arial"/>
                <w:sz w:val="18"/>
                <w:szCs w:val="20"/>
              </w:rPr>
            </w:pPr>
            <w:r w:rsidRPr="00261D5C">
              <w:rPr>
                <w:rFonts w:cs="Arial"/>
                <w:sz w:val="18"/>
                <w:szCs w:val="20"/>
              </w:rPr>
              <w:t xml:space="preserve">Ministries Gender, Youth, Family Planning </w:t>
            </w:r>
          </w:p>
          <w:p w:rsidR="00261D5C" w:rsidRPr="00261D5C" w:rsidRDefault="00261D5C" w:rsidP="00261D5C">
            <w:pPr>
              <w:spacing w:after="0" w:line="276" w:lineRule="auto"/>
              <w:rPr>
                <w:rFonts w:cs="Arial"/>
                <w:sz w:val="18"/>
                <w:szCs w:val="20"/>
              </w:rPr>
            </w:pPr>
            <w:r w:rsidRPr="00261D5C">
              <w:rPr>
                <w:rFonts w:cs="Arial"/>
                <w:sz w:val="18"/>
                <w:szCs w:val="20"/>
              </w:rPr>
              <w:t xml:space="preserve">Ministries responsible for Subnational Government Coordination </w:t>
            </w:r>
          </w:p>
          <w:p w:rsidR="00261D5C" w:rsidRPr="00261D5C" w:rsidRDefault="00261D5C" w:rsidP="00261D5C">
            <w:pPr>
              <w:spacing w:after="0" w:line="276" w:lineRule="auto"/>
              <w:rPr>
                <w:rFonts w:cs="Arial"/>
                <w:sz w:val="18"/>
                <w:szCs w:val="20"/>
              </w:rPr>
            </w:pPr>
            <w:r w:rsidRPr="00261D5C">
              <w:rPr>
                <w:rFonts w:cs="Arial"/>
                <w:sz w:val="18"/>
                <w:szCs w:val="20"/>
              </w:rPr>
              <w:t>Subnational Governments (Island/Provincial/Divisional administration)</w:t>
            </w:r>
          </w:p>
          <w:p w:rsidR="00261D5C" w:rsidRPr="00261D5C" w:rsidRDefault="00261D5C" w:rsidP="00261D5C">
            <w:pPr>
              <w:spacing w:after="0" w:line="276" w:lineRule="auto"/>
              <w:rPr>
                <w:rFonts w:cs="Arial"/>
                <w:sz w:val="18"/>
                <w:szCs w:val="20"/>
              </w:rPr>
            </w:pPr>
            <w:r w:rsidRPr="00261D5C">
              <w:rPr>
                <w:rFonts w:cs="Arial"/>
                <w:sz w:val="18"/>
                <w:szCs w:val="20"/>
              </w:rPr>
              <w:t xml:space="preserve">Pilot sectors e.g. National Infrastructure, Agriculture, Education </w:t>
            </w:r>
          </w:p>
          <w:p w:rsidR="00261D5C" w:rsidRPr="00261D5C" w:rsidRDefault="00261D5C" w:rsidP="00261D5C">
            <w:pPr>
              <w:spacing w:after="0"/>
              <w:rPr>
                <w:rFonts w:cs="Arial"/>
                <w:iCs/>
                <w:color w:val="000000"/>
                <w:sz w:val="18"/>
                <w:szCs w:val="19"/>
                <w:lang w:val="en-US"/>
              </w:rPr>
            </w:pPr>
            <w:r w:rsidRPr="00261D5C">
              <w:rPr>
                <w:rFonts w:cs="Arial"/>
                <w:sz w:val="18"/>
                <w:szCs w:val="20"/>
              </w:rPr>
              <w:t>Subnational Governments (Island/Provincial/Divisional administration)</w:t>
            </w:r>
          </w:p>
        </w:tc>
      </w:tr>
      <w:tr w:rsidR="00261D5C" w:rsidRPr="00135431" w:rsidTr="00A22CE5">
        <w:trPr>
          <w:trHeight w:val="1445"/>
        </w:trPr>
        <w:tc>
          <w:tcPr>
            <w:tcW w:w="1555" w:type="dxa"/>
            <w:vMerge/>
            <w:shd w:val="clear" w:color="auto" w:fill="auto"/>
            <w:vAlign w:val="center"/>
          </w:tcPr>
          <w:p w:rsidR="00261D5C" w:rsidRPr="00261D5C" w:rsidRDefault="00261D5C" w:rsidP="00261D5C">
            <w:pPr>
              <w:spacing w:after="0"/>
              <w:rPr>
                <w:rFonts w:cs="Arial"/>
                <w:iCs/>
                <w:color w:val="000000"/>
                <w:sz w:val="18"/>
                <w:szCs w:val="18"/>
                <w:lang w:val="en-US"/>
              </w:rPr>
            </w:pPr>
          </w:p>
        </w:tc>
        <w:tc>
          <w:tcPr>
            <w:tcW w:w="1984" w:type="dxa"/>
            <w:shd w:val="clear" w:color="auto" w:fill="auto"/>
            <w:vAlign w:val="center"/>
          </w:tcPr>
          <w:p w:rsidR="00261D5C" w:rsidRPr="00261D5C" w:rsidRDefault="00261D5C" w:rsidP="00261D5C">
            <w:pPr>
              <w:spacing w:after="0"/>
              <w:rPr>
                <w:rFonts w:cs="Arial"/>
                <w:bCs/>
                <w:sz w:val="18"/>
                <w:szCs w:val="18"/>
              </w:rPr>
            </w:pPr>
            <w:r w:rsidRPr="00261D5C">
              <w:rPr>
                <w:rFonts w:cs="Arial"/>
                <w:bCs/>
                <w:sz w:val="18"/>
                <w:szCs w:val="18"/>
              </w:rPr>
              <w:t>1.2 Integration of risk into community and sectoral development</w:t>
            </w:r>
          </w:p>
        </w:tc>
        <w:tc>
          <w:tcPr>
            <w:tcW w:w="2126" w:type="dxa"/>
            <w:vMerge/>
            <w:shd w:val="clear" w:color="auto" w:fill="auto"/>
            <w:vAlign w:val="center"/>
          </w:tcPr>
          <w:p w:rsidR="00261D5C" w:rsidRPr="00261D5C" w:rsidRDefault="00261D5C" w:rsidP="009D6B25">
            <w:pPr>
              <w:numPr>
                <w:ilvl w:val="0"/>
                <w:numId w:val="3"/>
              </w:numPr>
              <w:spacing w:after="0"/>
              <w:ind w:left="318"/>
              <w:rPr>
                <w:rFonts w:cs="Arial"/>
                <w:iCs/>
                <w:color w:val="000000"/>
                <w:sz w:val="18"/>
                <w:szCs w:val="18"/>
                <w:lang w:val="en-US"/>
              </w:rPr>
            </w:pPr>
          </w:p>
        </w:tc>
        <w:tc>
          <w:tcPr>
            <w:tcW w:w="1712" w:type="dxa"/>
            <w:shd w:val="clear" w:color="auto" w:fill="auto"/>
            <w:vAlign w:val="center"/>
          </w:tcPr>
          <w:p w:rsidR="00261D5C" w:rsidRPr="00261D5C" w:rsidRDefault="00261D5C" w:rsidP="009D6B25">
            <w:pPr>
              <w:numPr>
                <w:ilvl w:val="0"/>
                <w:numId w:val="4"/>
              </w:numPr>
              <w:spacing w:after="0"/>
              <w:ind w:left="344"/>
              <w:rPr>
                <w:rFonts w:cs="Arial"/>
                <w:iCs/>
                <w:color w:val="000000"/>
                <w:sz w:val="18"/>
                <w:szCs w:val="18"/>
                <w:lang w:val="en-US"/>
              </w:rPr>
            </w:pPr>
            <w:r w:rsidRPr="00261D5C">
              <w:rPr>
                <w:rFonts w:cs="Arial"/>
                <w:iCs/>
                <w:color w:val="000000"/>
                <w:sz w:val="18"/>
                <w:szCs w:val="18"/>
                <w:lang w:val="en-US"/>
              </w:rPr>
              <w:t>Risk Screening Toolkit</w:t>
            </w:r>
          </w:p>
          <w:p w:rsidR="00261D5C" w:rsidRPr="00261D5C" w:rsidRDefault="00261D5C" w:rsidP="009D6B25">
            <w:pPr>
              <w:numPr>
                <w:ilvl w:val="0"/>
                <w:numId w:val="4"/>
              </w:numPr>
              <w:spacing w:after="0"/>
              <w:ind w:left="344"/>
              <w:rPr>
                <w:rFonts w:cs="Arial"/>
                <w:iCs/>
                <w:color w:val="000000"/>
                <w:sz w:val="18"/>
                <w:szCs w:val="18"/>
                <w:lang w:val="en-US"/>
              </w:rPr>
            </w:pPr>
            <w:r w:rsidRPr="00261D5C">
              <w:rPr>
                <w:rFonts w:cs="Arial"/>
                <w:iCs/>
                <w:color w:val="000000"/>
                <w:sz w:val="18"/>
                <w:szCs w:val="18"/>
                <w:lang w:val="en-US"/>
              </w:rPr>
              <w:t>Revision of tender documents</w:t>
            </w:r>
          </w:p>
          <w:p w:rsidR="00261D5C" w:rsidRPr="00261D5C" w:rsidRDefault="00261D5C" w:rsidP="009D6B25">
            <w:pPr>
              <w:numPr>
                <w:ilvl w:val="0"/>
                <w:numId w:val="4"/>
              </w:numPr>
              <w:spacing w:after="0"/>
              <w:ind w:left="344"/>
              <w:rPr>
                <w:rFonts w:cs="Arial"/>
                <w:iCs/>
                <w:color w:val="000000"/>
                <w:sz w:val="18"/>
                <w:szCs w:val="18"/>
                <w:lang w:val="en-US"/>
              </w:rPr>
            </w:pPr>
            <w:r w:rsidRPr="00261D5C">
              <w:rPr>
                <w:rFonts w:cs="Arial"/>
                <w:iCs/>
                <w:color w:val="000000"/>
                <w:sz w:val="18"/>
                <w:szCs w:val="18"/>
                <w:lang w:val="en-US"/>
              </w:rPr>
              <w:t>Government Posts</w:t>
            </w:r>
          </w:p>
        </w:tc>
        <w:tc>
          <w:tcPr>
            <w:tcW w:w="2215" w:type="dxa"/>
            <w:vMerge/>
          </w:tcPr>
          <w:p w:rsidR="00261D5C" w:rsidRPr="00261D5C" w:rsidRDefault="00261D5C" w:rsidP="009D6B25">
            <w:pPr>
              <w:numPr>
                <w:ilvl w:val="0"/>
                <w:numId w:val="4"/>
              </w:numPr>
              <w:spacing w:after="0"/>
              <w:ind w:left="344"/>
              <w:rPr>
                <w:rFonts w:cs="Arial"/>
                <w:iCs/>
                <w:color w:val="000000"/>
                <w:sz w:val="18"/>
                <w:szCs w:val="19"/>
                <w:lang w:val="en-US"/>
              </w:rPr>
            </w:pPr>
          </w:p>
        </w:tc>
      </w:tr>
      <w:tr w:rsidR="00261D5C" w:rsidRPr="00135431" w:rsidTr="00A22CE5">
        <w:trPr>
          <w:trHeight w:val="1127"/>
        </w:trPr>
        <w:tc>
          <w:tcPr>
            <w:tcW w:w="1555" w:type="dxa"/>
            <w:vMerge/>
            <w:shd w:val="clear" w:color="auto" w:fill="auto"/>
            <w:vAlign w:val="center"/>
          </w:tcPr>
          <w:p w:rsidR="00261D5C" w:rsidRPr="00261D5C" w:rsidRDefault="00261D5C" w:rsidP="00261D5C">
            <w:pPr>
              <w:spacing w:after="0"/>
              <w:rPr>
                <w:rFonts w:cs="Arial"/>
                <w:iCs/>
                <w:color w:val="000000"/>
                <w:sz w:val="18"/>
                <w:szCs w:val="18"/>
                <w:lang w:val="en-US"/>
              </w:rPr>
            </w:pPr>
          </w:p>
        </w:tc>
        <w:tc>
          <w:tcPr>
            <w:tcW w:w="1984" w:type="dxa"/>
            <w:shd w:val="clear" w:color="auto" w:fill="auto"/>
            <w:vAlign w:val="center"/>
          </w:tcPr>
          <w:p w:rsidR="00261D5C" w:rsidRPr="00261D5C" w:rsidRDefault="00261D5C" w:rsidP="00261D5C">
            <w:pPr>
              <w:spacing w:after="0"/>
              <w:rPr>
                <w:rFonts w:cs="Arial"/>
                <w:iCs/>
                <w:color w:val="000000"/>
                <w:sz w:val="18"/>
                <w:szCs w:val="18"/>
                <w:lang w:val="en-US"/>
              </w:rPr>
            </w:pPr>
            <w:r w:rsidRPr="00261D5C">
              <w:rPr>
                <w:rFonts w:cs="Arial"/>
                <w:iCs/>
                <w:color w:val="000000"/>
                <w:sz w:val="18"/>
                <w:szCs w:val="18"/>
                <w:lang w:val="en-US"/>
              </w:rPr>
              <w:t xml:space="preserve">1.3 </w:t>
            </w:r>
            <w:r w:rsidRPr="00261D5C">
              <w:rPr>
                <w:rFonts w:cs="Arial"/>
                <w:bCs/>
                <w:sz w:val="18"/>
                <w:szCs w:val="18"/>
                <w:lang w:val="en-US"/>
              </w:rPr>
              <w:t xml:space="preserve">Gender </w:t>
            </w:r>
            <w:r w:rsidR="00334F07">
              <w:rPr>
                <w:rFonts w:cs="Arial"/>
                <w:bCs/>
                <w:sz w:val="18"/>
                <w:szCs w:val="18"/>
                <w:lang w:val="en-US"/>
              </w:rPr>
              <w:t xml:space="preserve">and social inclusion </w:t>
            </w:r>
            <w:r w:rsidRPr="00261D5C">
              <w:rPr>
                <w:rFonts w:cs="Arial"/>
                <w:bCs/>
                <w:sz w:val="18"/>
                <w:szCs w:val="18"/>
                <w:lang w:val="en-US"/>
              </w:rPr>
              <w:t>experts actively participating in shaping RID for government systems</w:t>
            </w:r>
          </w:p>
        </w:tc>
        <w:tc>
          <w:tcPr>
            <w:tcW w:w="2126" w:type="dxa"/>
            <w:shd w:val="clear" w:color="auto" w:fill="auto"/>
            <w:vAlign w:val="center"/>
          </w:tcPr>
          <w:p w:rsidR="00261D5C" w:rsidRPr="00261D5C" w:rsidRDefault="00261D5C" w:rsidP="009D6B25">
            <w:pPr>
              <w:numPr>
                <w:ilvl w:val="0"/>
                <w:numId w:val="16"/>
              </w:numPr>
              <w:spacing w:after="0"/>
              <w:rPr>
                <w:rFonts w:cs="Arial"/>
                <w:iCs/>
                <w:color w:val="000000"/>
                <w:sz w:val="18"/>
                <w:szCs w:val="18"/>
                <w:lang w:val="en-US"/>
              </w:rPr>
            </w:pPr>
            <w:r w:rsidRPr="00261D5C">
              <w:rPr>
                <w:rFonts w:cs="Arial"/>
                <w:iCs/>
                <w:color w:val="000000"/>
                <w:sz w:val="18"/>
                <w:szCs w:val="18"/>
                <w:lang w:val="en-US"/>
              </w:rPr>
              <w:t xml:space="preserve">TA input into all </w:t>
            </w:r>
            <w:r w:rsidR="00253797">
              <w:rPr>
                <w:rFonts w:cs="Arial"/>
                <w:iCs/>
                <w:color w:val="000000"/>
                <w:sz w:val="18"/>
                <w:szCs w:val="18"/>
                <w:lang w:val="en-US"/>
              </w:rPr>
              <w:t>project</w:t>
            </w:r>
            <w:r w:rsidRPr="00261D5C">
              <w:rPr>
                <w:rFonts w:cs="Arial"/>
                <w:iCs/>
                <w:color w:val="000000"/>
                <w:sz w:val="18"/>
                <w:szCs w:val="18"/>
                <w:lang w:val="en-US"/>
              </w:rPr>
              <w:t xml:space="preserve"> activities</w:t>
            </w:r>
          </w:p>
          <w:p w:rsidR="00261D5C" w:rsidRPr="00261D5C" w:rsidRDefault="00261D5C" w:rsidP="009D6B25">
            <w:pPr>
              <w:numPr>
                <w:ilvl w:val="0"/>
                <w:numId w:val="16"/>
              </w:numPr>
              <w:spacing w:after="0"/>
              <w:rPr>
                <w:rFonts w:cs="Arial"/>
                <w:iCs/>
                <w:color w:val="000000"/>
                <w:sz w:val="18"/>
                <w:szCs w:val="18"/>
                <w:lang w:val="en-US"/>
              </w:rPr>
            </w:pPr>
            <w:r w:rsidRPr="00261D5C">
              <w:rPr>
                <w:rFonts w:cs="Arial"/>
                <w:iCs/>
                <w:color w:val="000000"/>
                <w:sz w:val="18"/>
                <w:szCs w:val="18"/>
                <w:lang w:val="en-US"/>
              </w:rPr>
              <w:t xml:space="preserve">Capacity building and technical advisory </w:t>
            </w:r>
          </w:p>
          <w:p w:rsidR="00261D5C" w:rsidRPr="00261D5C" w:rsidRDefault="00261D5C" w:rsidP="009D6B25">
            <w:pPr>
              <w:numPr>
                <w:ilvl w:val="0"/>
                <w:numId w:val="16"/>
              </w:numPr>
              <w:spacing w:after="0"/>
              <w:rPr>
                <w:rFonts w:cs="Arial"/>
                <w:iCs/>
                <w:color w:val="000000"/>
                <w:sz w:val="18"/>
                <w:szCs w:val="18"/>
                <w:lang w:val="en-US"/>
              </w:rPr>
            </w:pPr>
            <w:r w:rsidRPr="00261D5C">
              <w:rPr>
                <w:rFonts w:cs="Arial"/>
                <w:iCs/>
                <w:color w:val="000000"/>
                <w:sz w:val="18"/>
                <w:szCs w:val="18"/>
                <w:lang w:val="en-US"/>
              </w:rPr>
              <w:t>Training and workshops</w:t>
            </w:r>
          </w:p>
        </w:tc>
        <w:tc>
          <w:tcPr>
            <w:tcW w:w="1712" w:type="dxa"/>
            <w:shd w:val="clear" w:color="auto" w:fill="auto"/>
            <w:vAlign w:val="center"/>
          </w:tcPr>
          <w:p w:rsidR="00261D5C" w:rsidRPr="00261D5C" w:rsidRDefault="00261D5C" w:rsidP="009D6B25">
            <w:pPr>
              <w:numPr>
                <w:ilvl w:val="0"/>
                <w:numId w:val="4"/>
              </w:numPr>
              <w:spacing w:after="0"/>
              <w:ind w:left="344"/>
              <w:rPr>
                <w:rFonts w:cs="Arial"/>
                <w:iCs/>
                <w:color w:val="000000"/>
                <w:sz w:val="18"/>
                <w:szCs w:val="18"/>
                <w:lang w:val="en-US"/>
              </w:rPr>
            </w:pPr>
            <w:r w:rsidRPr="00261D5C">
              <w:rPr>
                <w:rFonts w:cs="Arial"/>
                <w:iCs/>
                <w:color w:val="000000"/>
                <w:sz w:val="18"/>
                <w:szCs w:val="18"/>
                <w:lang w:val="en-US"/>
              </w:rPr>
              <w:t>Protection in the Pacific Network (</w:t>
            </w:r>
            <w:proofErr w:type="spellStart"/>
            <w:r w:rsidRPr="00261D5C">
              <w:rPr>
                <w:rFonts w:cs="Arial"/>
                <w:iCs/>
                <w:color w:val="000000"/>
                <w:sz w:val="18"/>
                <w:szCs w:val="18"/>
                <w:lang w:val="en-US"/>
              </w:rPr>
              <w:t>ProPa</w:t>
            </w:r>
            <w:proofErr w:type="spellEnd"/>
            <w:r w:rsidRPr="00261D5C">
              <w:rPr>
                <w:rFonts w:cs="Arial"/>
                <w:iCs/>
                <w:color w:val="000000"/>
                <w:sz w:val="18"/>
                <w:szCs w:val="18"/>
                <w:lang w:val="en-US"/>
              </w:rPr>
              <w:t>)</w:t>
            </w:r>
          </w:p>
          <w:p w:rsidR="00261D5C" w:rsidRPr="00261D5C" w:rsidRDefault="00261D5C" w:rsidP="009D6B25">
            <w:pPr>
              <w:numPr>
                <w:ilvl w:val="0"/>
                <w:numId w:val="4"/>
              </w:numPr>
              <w:spacing w:after="0"/>
              <w:ind w:left="344"/>
              <w:rPr>
                <w:rFonts w:cs="Arial"/>
                <w:iCs/>
                <w:color w:val="000000"/>
                <w:sz w:val="18"/>
                <w:szCs w:val="18"/>
                <w:lang w:val="en-US"/>
              </w:rPr>
            </w:pPr>
            <w:r w:rsidRPr="00261D5C">
              <w:rPr>
                <w:rFonts w:cs="Arial"/>
                <w:iCs/>
                <w:color w:val="000000"/>
                <w:sz w:val="18"/>
                <w:szCs w:val="18"/>
                <w:lang w:val="en-US"/>
              </w:rPr>
              <w:t>GSI informed toolkits, development policies and plans</w:t>
            </w:r>
          </w:p>
          <w:p w:rsidR="00261D5C" w:rsidRPr="00261D5C" w:rsidRDefault="00261D5C" w:rsidP="009D6B25">
            <w:pPr>
              <w:numPr>
                <w:ilvl w:val="0"/>
                <w:numId w:val="4"/>
              </w:numPr>
              <w:spacing w:after="0"/>
              <w:ind w:left="344"/>
              <w:rPr>
                <w:rFonts w:cs="Arial"/>
                <w:iCs/>
                <w:color w:val="000000"/>
                <w:sz w:val="18"/>
                <w:szCs w:val="18"/>
                <w:lang w:val="en-US"/>
              </w:rPr>
            </w:pPr>
            <w:r w:rsidRPr="00261D5C">
              <w:rPr>
                <w:rFonts w:cs="Arial"/>
                <w:iCs/>
                <w:color w:val="000000"/>
                <w:sz w:val="18"/>
                <w:szCs w:val="18"/>
                <w:lang w:val="en-US"/>
              </w:rPr>
              <w:t>Government Posts</w:t>
            </w:r>
          </w:p>
        </w:tc>
        <w:tc>
          <w:tcPr>
            <w:tcW w:w="2215" w:type="dxa"/>
            <w:vMerge/>
          </w:tcPr>
          <w:p w:rsidR="00261D5C" w:rsidRPr="00261D5C" w:rsidRDefault="00261D5C" w:rsidP="009D6B25">
            <w:pPr>
              <w:numPr>
                <w:ilvl w:val="0"/>
                <w:numId w:val="4"/>
              </w:numPr>
              <w:spacing w:after="0"/>
              <w:ind w:left="344"/>
              <w:rPr>
                <w:rFonts w:cs="Arial"/>
                <w:iCs/>
                <w:color w:val="000000"/>
                <w:sz w:val="18"/>
                <w:szCs w:val="19"/>
                <w:lang w:val="en-US"/>
              </w:rPr>
            </w:pPr>
          </w:p>
        </w:tc>
      </w:tr>
      <w:tr w:rsidR="00261D5C" w:rsidRPr="00135431" w:rsidTr="00A22CE5">
        <w:tc>
          <w:tcPr>
            <w:tcW w:w="1555" w:type="dxa"/>
            <w:vMerge w:val="restart"/>
            <w:shd w:val="clear" w:color="auto" w:fill="auto"/>
            <w:vAlign w:val="center"/>
          </w:tcPr>
          <w:p w:rsidR="00261D5C" w:rsidRPr="00261D5C" w:rsidRDefault="00261D5C" w:rsidP="00261D5C">
            <w:pPr>
              <w:pStyle w:val="ListParagraph"/>
              <w:spacing w:after="0"/>
              <w:ind w:left="0"/>
              <w:rPr>
                <w:rFonts w:cs="Arial"/>
                <w:sz w:val="18"/>
                <w:szCs w:val="18"/>
              </w:rPr>
            </w:pPr>
            <w:r w:rsidRPr="00261D5C">
              <w:rPr>
                <w:rFonts w:cs="Arial"/>
                <w:sz w:val="18"/>
                <w:szCs w:val="18"/>
                <w:lang w:val="en-US"/>
              </w:rPr>
              <w:t>2. Country oversight and accountability systems require gender sensitive and inclusive risk-informed development</w:t>
            </w:r>
          </w:p>
        </w:tc>
        <w:tc>
          <w:tcPr>
            <w:tcW w:w="1984" w:type="dxa"/>
            <w:shd w:val="clear" w:color="auto" w:fill="auto"/>
            <w:vAlign w:val="center"/>
          </w:tcPr>
          <w:p w:rsidR="00261D5C" w:rsidRPr="00261D5C" w:rsidRDefault="00261D5C" w:rsidP="00261D5C">
            <w:pPr>
              <w:spacing w:after="0"/>
              <w:rPr>
                <w:rFonts w:cs="Arial"/>
                <w:iCs/>
                <w:color w:val="000000"/>
                <w:sz w:val="18"/>
                <w:szCs w:val="18"/>
                <w:lang w:val="en-US"/>
              </w:rPr>
            </w:pPr>
            <w:r w:rsidRPr="00261D5C">
              <w:rPr>
                <w:rFonts w:cs="Arial"/>
                <w:iCs/>
                <w:color w:val="000000"/>
                <w:sz w:val="18"/>
                <w:szCs w:val="18"/>
                <w:lang w:val="en-US"/>
              </w:rPr>
              <w:t>2.1 Accountability: t</w:t>
            </w:r>
            <w:r w:rsidRPr="00261D5C">
              <w:rPr>
                <w:rFonts w:cs="Arial"/>
                <w:bCs/>
                <w:sz w:val="18"/>
                <w:szCs w:val="18"/>
                <w:lang w:val="en-US"/>
              </w:rPr>
              <w:t>here is risk informed, independent scrutiny of government</w:t>
            </w:r>
          </w:p>
        </w:tc>
        <w:tc>
          <w:tcPr>
            <w:tcW w:w="2126" w:type="dxa"/>
            <w:vMerge w:val="restart"/>
            <w:shd w:val="clear" w:color="auto" w:fill="auto"/>
            <w:vAlign w:val="center"/>
          </w:tcPr>
          <w:p w:rsidR="00261D5C" w:rsidRPr="00261D5C" w:rsidRDefault="00261D5C" w:rsidP="009D6B25">
            <w:pPr>
              <w:numPr>
                <w:ilvl w:val="0"/>
                <w:numId w:val="16"/>
              </w:numPr>
              <w:spacing w:after="0"/>
              <w:rPr>
                <w:rFonts w:cs="Arial"/>
                <w:iCs/>
                <w:color w:val="000000"/>
                <w:sz w:val="18"/>
                <w:szCs w:val="18"/>
                <w:lang w:val="en-US"/>
              </w:rPr>
            </w:pPr>
            <w:r w:rsidRPr="00261D5C">
              <w:rPr>
                <w:rFonts w:cs="Arial"/>
                <w:iCs/>
                <w:color w:val="000000"/>
                <w:sz w:val="18"/>
                <w:szCs w:val="18"/>
                <w:lang w:val="en-US"/>
              </w:rPr>
              <w:t>Capacity building and technical advisory (for MPs, auditors and advocacy networks)</w:t>
            </w:r>
          </w:p>
          <w:p w:rsidR="00261D5C" w:rsidRPr="00261D5C" w:rsidRDefault="00261D5C" w:rsidP="009D6B25">
            <w:pPr>
              <w:numPr>
                <w:ilvl w:val="0"/>
                <w:numId w:val="16"/>
              </w:numPr>
              <w:spacing w:after="0"/>
              <w:rPr>
                <w:rFonts w:cs="Arial"/>
                <w:iCs/>
                <w:color w:val="000000"/>
                <w:sz w:val="18"/>
                <w:szCs w:val="18"/>
                <w:lang w:val="en-US"/>
              </w:rPr>
            </w:pPr>
            <w:r w:rsidRPr="00261D5C">
              <w:rPr>
                <w:rFonts w:cs="Arial"/>
                <w:iCs/>
                <w:color w:val="000000"/>
                <w:sz w:val="18"/>
                <w:szCs w:val="18"/>
                <w:lang w:val="en-US"/>
              </w:rPr>
              <w:t>Training and workshops</w:t>
            </w:r>
          </w:p>
          <w:p w:rsidR="00261D5C" w:rsidRPr="00261D5C" w:rsidRDefault="00261D5C" w:rsidP="009D6B25">
            <w:pPr>
              <w:numPr>
                <w:ilvl w:val="0"/>
                <w:numId w:val="16"/>
              </w:numPr>
              <w:spacing w:after="0"/>
              <w:rPr>
                <w:rFonts w:cs="Arial"/>
                <w:iCs/>
                <w:color w:val="000000"/>
                <w:sz w:val="18"/>
                <w:szCs w:val="18"/>
                <w:lang w:val="en-US"/>
              </w:rPr>
            </w:pPr>
            <w:r w:rsidRPr="00261D5C">
              <w:rPr>
                <w:rFonts w:cs="Arial"/>
                <w:iCs/>
                <w:color w:val="000000"/>
                <w:sz w:val="18"/>
                <w:szCs w:val="18"/>
                <w:lang w:val="en-US"/>
              </w:rPr>
              <w:t xml:space="preserve">Guidelines and templates for budget scrutiny </w:t>
            </w:r>
          </w:p>
          <w:p w:rsidR="00261D5C" w:rsidRPr="00261D5C" w:rsidRDefault="00261D5C" w:rsidP="009D6B25">
            <w:pPr>
              <w:numPr>
                <w:ilvl w:val="0"/>
                <w:numId w:val="16"/>
              </w:numPr>
              <w:spacing w:after="0"/>
              <w:rPr>
                <w:rFonts w:cs="Arial"/>
                <w:iCs/>
                <w:color w:val="000000"/>
                <w:sz w:val="18"/>
                <w:szCs w:val="18"/>
                <w:lang w:val="en-US"/>
              </w:rPr>
            </w:pPr>
            <w:r w:rsidRPr="00261D5C">
              <w:rPr>
                <w:rFonts w:cs="Arial"/>
                <w:iCs/>
                <w:color w:val="000000"/>
                <w:sz w:val="18"/>
                <w:szCs w:val="18"/>
                <w:lang w:val="en-US"/>
              </w:rPr>
              <w:t>Research and development of knowledge products</w:t>
            </w:r>
          </w:p>
        </w:tc>
        <w:tc>
          <w:tcPr>
            <w:tcW w:w="1712" w:type="dxa"/>
            <w:shd w:val="clear" w:color="auto" w:fill="auto"/>
            <w:vAlign w:val="center"/>
          </w:tcPr>
          <w:p w:rsidR="00261D5C" w:rsidRPr="00261D5C" w:rsidRDefault="00261D5C" w:rsidP="009D6B25">
            <w:pPr>
              <w:numPr>
                <w:ilvl w:val="0"/>
                <w:numId w:val="4"/>
              </w:numPr>
              <w:spacing w:after="0"/>
              <w:ind w:left="344"/>
              <w:rPr>
                <w:rFonts w:cs="Arial"/>
                <w:iCs/>
                <w:color w:val="000000"/>
                <w:sz w:val="18"/>
                <w:szCs w:val="18"/>
                <w:lang w:val="en-US"/>
              </w:rPr>
            </w:pPr>
            <w:r w:rsidRPr="00261D5C">
              <w:rPr>
                <w:rFonts w:cs="Arial"/>
                <w:iCs/>
                <w:color w:val="000000"/>
                <w:sz w:val="18"/>
                <w:szCs w:val="18"/>
                <w:lang w:val="en-US"/>
              </w:rPr>
              <w:t>Climate Change Financing Framework</w:t>
            </w:r>
          </w:p>
          <w:p w:rsidR="00261D5C" w:rsidRPr="00261D5C" w:rsidRDefault="00261D5C" w:rsidP="009D6B25">
            <w:pPr>
              <w:numPr>
                <w:ilvl w:val="0"/>
                <w:numId w:val="4"/>
              </w:numPr>
              <w:spacing w:after="0"/>
              <w:ind w:left="344"/>
              <w:rPr>
                <w:rFonts w:cs="Arial"/>
                <w:iCs/>
                <w:color w:val="000000"/>
                <w:sz w:val="18"/>
                <w:szCs w:val="18"/>
                <w:lang w:val="en-US"/>
              </w:rPr>
            </w:pPr>
            <w:r w:rsidRPr="00261D5C">
              <w:rPr>
                <w:rFonts w:cs="Arial"/>
                <w:iCs/>
                <w:color w:val="000000"/>
                <w:sz w:val="18"/>
                <w:szCs w:val="18"/>
                <w:lang w:val="en-US"/>
              </w:rPr>
              <w:t>SDG Guidelines for Auditors</w:t>
            </w:r>
          </w:p>
          <w:p w:rsidR="00261D5C" w:rsidRPr="00261D5C" w:rsidRDefault="00261D5C" w:rsidP="009D6B25">
            <w:pPr>
              <w:numPr>
                <w:ilvl w:val="0"/>
                <w:numId w:val="4"/>
              </w:numPr>
              <w:spacing w:after="0"/>
              <w:ind w:left="344"/>
              <w:rPr>
                <w:rFonts w:cs="Arial"/>
                <w:iCs/>
                <w:color w:val="000000"/>
                <w:sz w:val="18"/>
                <w:szCs w:val="18"/>
                <w:lang w:val="en-US"/>
              </w:rPr>
            </w:pPr>
            <w:r w:rsidRPr="00261D5C">
              <w:rPr>
                <w:rFonts w:cs="Arial"/>
                <w:iCs/>
                <w:color w:val="000000"/>
                <w:sz w:val="18"/>
                <w:szCs w:val="18"/>
                <w:lang w:val="en-US"/>
              </w:rPr>
              <w:t xml:space="preserve">Government Posts </w:t>
            </w:r>
          </w:p>
        </w:tc>
        <w:tc>
          <w:tcPr>
            <w:tcW w:w="2215" w:type="dxa"/>
            <w:vMerge w:val="restart"/>
          </w:tcPr>
          <w:p w:rsidR="00261D5C" w:rsidRPr="00261D5C" w:rsidRDefault="00261D5C" w:rsidP="00261D5C">
            <w:pPr>
              <w:spacing w:after="0" w:line="276" w:lineRule="auto"/>
              <w:rPr>
                <w:rFonts w:cs="Arial"/>
                <w:sz w:val="18"/>
                <w:szCs w:val="20"/>
              </w:rPr>
            </w:pPr>
            <w:r w:rsidRPr="00261D5C">
              <w:rPr>
                <w:rFonts w:cs="Arial"/>
                <w:sz w:val="18"/>
                <w:szCs w:val="20"/>
              </w:rPr>
              <w:t>Parliamentary Staff</w:t>
            </w:r>
          </w:p>
          <w:p w:rsidR="00261D5C" w:rsidRPr="00261D5C" w:rsidRDefault="00261D5C" w:rsidP="00261D5C">
            <w:pPr>
              <w:spacing w:after="0" w:line="276" w:lineRule="auto"/>
              <w:rPr>
                <w:rFonts w:cs="Arial"/>
                <w:sz w:val="18"/>
                <w:szCs w:val="20"/>
              </w:rPr>
            </w:pPr>
            <w:r w:rsidRPr="00261D5C">
              <w:rPr>
                <w:rFonts w:cs="Arial"/>
                <w:sz w:val="18"/>
                <w:szCs w:val="20"/>
              </w:rPr>
              <w:t xml:space="preserve">Supreme Audit Institutions </w:t>
            </w:r>
          </w:p>
          <w:p w:rsidR="00261D5C" w:rsidRPr="00261D5C" w:rsidRDefault="00261D5C" w:rsidP="00261D5C">
            <w:pPr>
              <w:spacing w:after="0" w:line="276" w:lineRule="auto"/>
              <w:rPr>
                <w:rFonts w:cs="Arial"/>
                <w:sz w:val="18"/>
                <w:szCs w:val="20"/>
              </w:rPr>
            </w:pPr>
            <w:r w:rsidRPr="00261D5C">
              <w:rPr>
                <w:rFonts w:cs="Arial"/>
                <w:sz w:val="18"/>
                <w:szCs w:val="20"/>
              </w:rPr>
              <w:t>Advocacy groups: women’s groups, DPOs, youth groups</w:t>
            </w:r>
          </w:p>
          <w:p w:rsidR="00261D5C" w:rsidRPr="00261D5C" w:rsidRDefault="00261D5C" w:rsidP="00261D5C">
            <w:pPr>
              <w:spacing w:after="0"/>
              <w:rPr>
                <w:rFonts w:cs="Arial"/>
                <w:iCs/>
                <w:color w:val="000000"/>
                <w:sz w:val="18"/>
                <w:szCs w:val="19"/>
                <w:lang w:val="en-US"/>
              </w:rPr>
            </w:pPr>
            <w:r w:rsidRPr="00261D5C">
              <w:rPr>
                <w:rFonts w:cs="Arial"/>
                <w:sz w:val="18"/>
                <w:szCs w:val="20"/>
              </w:rPr>
              <w:t>National Private Sector Organisations and Local Chambers of Commerce</w:t>
            </w:r>
          </w:p>
        </w:tc>
      </w:tr>
      <w:tr w:rsidR="00261D5C" w:rsidRPr="00135431" w:rsidTr="00A22CE5">
        <w:tc>
          <w:tcPr>
            <w:tcW w:w="1555" w:type="dxa"/>
            <w:vMerge/>
            <w:shd w:val="clear" w:color="auto" w:fill="auto"/>
            <w:vAlign w:val="center"/>
          </w:tcPr>
          <w:p w:rsidR="00261D5C" w:rsidRPr="00261D5C" w:rsidRDefault="00261D5C" w:rsidP="00261D5C">
            <w:pPr>
              <w:spacing w:after="0"/>
              <w:rPr>
                <w:rFonts w:cs="Arial"/>
                <w:iCs/>
                <w:color w:val="000000"/>
                <w:sz w:val="18"/>
                <w:szCs w:val="18"/>
                <w:lang w:val="en-US"/>
              </w:rPr>
            </w:pPr>
          </w:p>
        </w:tc>
        <w:tc>
          <w:tcPr>
            <w:tcW w:w="1984" w:type="dxa"/>
            <w:shd w:val="clear" w:color="auto" w:fill="auto"/>
            <w:vAlign w:val="center"/>
          </w:tcPr>
          <w:p w:rsidR="00261D5C" w:rsidRPr="00261D5C" w:rsidRDefault="00261D5C" w:rsidP="00261D5C">
            <w:pPr>
              <w:spacing w:after="0"/>
              <w:rPr>
                <w:rFonts w:cs="Arial"/>
                <w:iCs/>
                <w:color w:val="000000"/>
                <w:sz w:val="18"/>
                <w:szCs w:val="18"/>
                <w:lang w:val="en-US"/>
              </w:rPr>
            </w:pPr>
            <w:r w:rsidRPr="00261D5C">
              <w:rPr>
                <w:rFonts w:cs="Arial"/>
                <w:bCs/>
                <w:sz w:val="18"/>
                <w:szCs w:val="18"/>
                <w:lang w:val="en-US"/>
              </w:rPr>
              <w:t>2.2 Voice of society: there is risk informed engagement and scrutiny by civil society</w:t>
            </w:r>
          </w:p>
        </w:tc>
        <w:tc>
          <w:tcPr>
            <w:tcW w:w="2126" w:type="dxa"/>
            <w:vMerge/>
            <w:shd w:val="clear" w:color="auto" w:fill="auto"/>
            <w:vAlign w:val="center"/>
          </w:tcPr>
          <w:p w:rsidR="00261D5C" w:rsidRPr="00261D5C" w:rsidRDefault="00261D5C" w:rsidP="009D6B25">
            <w:pPr>
              <w:numPr>
                <w:ilvl w:val="0"/>
                <w:numId w:val="3"/>
              </w:numPr>
              <w:spacing w:after="0"/>
              <w:ind w:left="318"/>
              <w:rPr>
                <w:rFonts w:cs="Arial"/>
                <w:iCs/>
                <w:color w:val="000000"/>
                <w:sz w:val="18"/>
                <w:szCs w:val="18"/>
                <w:lang w:val="en-US"/>
              </w:rPr>
            </w:pPr>
          </w:p>
        </w:tc>
        <w:tc>
          <w:tcPr>
            <w:tcW w:w="1712" w:type="dxa"/>
            <w:shd w:val="clear" w:color="auto" w:fill="auto"/>
            <w:vAlign w:val="center"/>
          </w:tcPr>
          <w:p w:rsidR="00261D5C" w:rsidRPr="00261D5C" w:rsidRDefault="00261D5C" w:rsidP="009D6B25">
            <w:pPr>
              <w:numPr>
                <w:ilvl w:val="0"/>
                <w:numId w:val="4"/>
              </w:numPr>
              <w:spacing w:after="0"/>
              <w:ind w:left="344"/>
              <w:rPr>
                <w:rFonts w:cs="Arial"/>
                <w:iCs/>
                <w:color w:val="000000"/>
                <w:sz w:val="18"/>
                <w:szCs w:val="18"/>
                <w:lang w:val="en-US"/>
              </w:rPr>
            </w:pPr>
            <w:r w:rsidRPr="00261D5C">
              <w:rPr>
                <w:rFonts w:cs="Arial"/>
                <w:iCs/>
                <w:color w:val="000000"/>
                <w:sz w:val="18"/>
                <w:szCs w:val="18"/>
                <w:lang w:val="en-US"/>
              </w:rPr>
              <w:t>Risk Informed Development Policy Brief</w:t>
            </w:r>
          </w:p>
          <w:p w:rsidR="00261D5C" w:rsidRPr="00261D5C" w:rsidRDefault="00261D5C" w:rsidP="009D6B25">
            <w:pPr>
              <w:numPr>
                <w:ilvl w:val="0"/>
                <w:numId w:val="4"/>
              </w:numPr>
              <w:spacing w:after="0"/>
              <w:ind w:left="344"/>
              <w:rPr>
                <w:rFonts w:cs="Arial"/>
                <w:iCs/>
                <w:color w:val="000000"/>
                <w:sz w:val="18"/>
                <w:szCs w:val="18"/>
                <w:lang w:val="en-US"/>
              </w:rPr>
            </w:pPr>
            <w:r w:rsidRPr="00261D5C">
              <w:rPr>
                <w:rFonts w:cs="Arial"/>
                <w:iCs/>
                <w:color w:val="000000"/>
                <w:sz w:val="18"/>
                <w:szCs w:val="18"/>
                <w:lang w:val="en-US"/>
              </w:rPr>
              <w:t>Analysis of Regional Climate Change Finance impact</w:t>
            </w:r>
          </w:p>
        </w:tc>
        <w:tc>
          <w:tcPr>
            <w:tcW w:w="2215" w:type="dxa"/>
            <w:vMerge/>
          </w:tcPr>
          <w:p w:rsidR="00261D5C" w:rsidRPr="00261D5C" w:rsidRDefault="00261D5C" w:rsidP="009D6B25">
            <w:pPr>
              <w:numPr>
                <w:ilvl w:val="0"/>
                <w:numId w:val="4"/>
              </w:numPr>
              <w:spacing w:after="0"/>
              <w:ind w:left="344"/>
              <w:rPr>
                <w:rFonts w:cs="Arial"/>
                <w:iCs/>
                <w:color w:val="000000"/>
                <w:sz w:val="18"/>
                <w:szCs w:val="19"/>
                <w:lang w:val="en-US"/>
              </w:rPr>
            </w:pPr>
          </w:p>
        </w:tc>
      </w:tr>
      <w:tr w:rsidR="00261D5C" w:rsidRPr="00135431" w:rsidTr="00A22CE5">
        <w:tc>
          <w:tcPr>
            <w:tcW w:w="1555" w:type="dxa"/>
            <w:vMerge w:val="restart"/>
            <w:shd w:val="clear" w:color="auto" w:fill="auto"/>
            <w:vAlign w:val="center"/>
          </w:tcPr>
          <w:p w:rsidR="00261D5C" w:rsidRPr="00261D5C" w:rsidRDefault="00261D5C" w:rsidP="00261D5C">
            <w:pPr>
              <w:pStyle w:val="ListParagraph"/>
              <w:spacing w:after="0"/>
              <w:ind w:left="0"/>
              <w:rPr>
                <w:rFonts w:cs="Arial"/>
                <w:sz w:val="18"/>
                <w:szCs w:val="18"/>
              </w:rPr>
            </w:pPr>
            <w:r w:rsidRPr="00261D5C">
              <w:rPr>
                <w:rFonts w:cs="Arial"/>
                <w:sz w:val="18"/>
                <w:szCs w:val="18"/>
                <w:lang w:val="en-US"/>
              </w:rPr>
              <w:t xml:space="preserve">3. Regional </w:t>
            </w:r>
            <w:proofErr w:type="spellStart"/>
            <w:r w:rsidRPr="00261D5C">
              <w:rPr>
                <w:rFonts w:cs="Arial"/>
                <w:sz w:val="18"/>
                <w:szCs w:val="18"/>
                <w:lang w:val="en-US"/>
              </w:rPr>
              <w:t>organisations</w:t>
            </w:r>
            <w:proofErr w:type="spellEnd"/>
            <w:r w:rsidRPr="00261D5C">
              <w:rPr>
                <w:rFonts w:cs="Arial"/>
                <w:sz w:val="18"/>
                <w:szCs w:val="18"/>
                <w:lang w:val="en-US"/>
              </w:rPr>
              <w:t xml:space="preserve">, policies and practices are actively </w:t>
            </w:r>
            <w:proofErr w:type="gramStart"/>
            <w:r w:rsidRPr="00261D5C">
              <w:rPr>
                <w:rFonts w:cs="Arial"/>
                <w:sz w:val="18"/>
                <w:szCs w:val="18"/>
                <w:lang w:val="en-US"/>
              </w:rPr>
              <w:t xml:space="preserve">supporting </w:t>
            </w:r>
            <w:r w:rsidR="00334F07" w:rsidRPr="00334F07">
              <w:rPr>
                <w:rFonts w:cs="Arial"/>
                <w:sz w:val="18"/>
                <w:szCs w:val="18"/>
                <w:lang w:val="en-US"/>
              </w:rPr>
              <w:t xml:space="preserve"> gender</w:t>
            </w:r>
            <w:proofErr w:type="gramEnd"/>
            <w:r w:rsidR="00334F07" w:rsidRPr="00334F07">
              <w:rPr>
                <w:rFonts w:cs="Arial"/>
                <w:sz w:val="18"/>
                <w:szCs w:val="18"/>
                <w:lang w:val="en-US"/>
              </w:rPr>
              <w:t xml:space="preserve"> and socially inclusive</w:t>
            </w:r>
            <w:r w:rsidR="00334F07" w:rsidRPr="00261D5C">
              <w:rPr>
                <w:rFonts w:cs="Arial"/>
                <w:sz w:val="18"/>
                <w:szCs w:val="18"/>
                <w:lang w:val="en-US"/>
              </w:rPr>
              <w:t xml:space="preserve"> </w:t>
            </w:r>
            <w:r w:rsidRPr="00261D5C">
              <w:rPr>
                <w:rFonts w:cs="Arial"/>
                <w:sz w:val="18"/>
                <w:szCs w:val="18"/>
                <w:lang w:val="en-US"/>
              </w:rPr>
              <w:t>risk-informed development</w:t>
            </w:r>
          </w:p>
        </w:tc>
        <w:tc>
          <w:tcPr>
            <w:tcW w:w="1984" w:type="dxa"/>
            <w:shd w:val="clear" w:color="auto" w:fill="auto"/>
            <w:vAlign w:val="center"/>
          </w:tcPr>
          <w:p w:rsidR="00261D5C" w:rsidRPr="00261D5C" w:rsidRDefault="00261D5C" w:rsidP="00261D5C">
            <w:pPr>
              <w:spacing w:after="0"/>
              <w:rPr>
                <w:rFonts w:cs="Arial"/>
                <w:iCs/>
                <w:color w:val="000000"/>
                <w:sz w:val="18"/>
                <w:szCs w:val="18"/>
                <w:lang w:val="en-US"/>
              </w:rPr>
            </w:pPr>
            <w:r w:rsidRPr="00261D5C">
              <w:rPr>
                <w:rFonts w:cs="Arial"/>
                <w:iCs/>
                <w:color w:val="000000"/>
                <w:sz w:val="18"/>
                <w:szCs w:val="18"/>
                <w:lang w:val="en-US"/>
              </w:rPr>
              <w:t xml:space="preserve">3.1 </w:t>
            </w:r>
            <w:r w:rsidRPr="00261D5C">
              <w:rPr>
                <w:rFonts w:cs="Arial"/>
                <w:bCs/>
                <w:sz w:val="18"/>
                <w:szCs w:val="18"/>
                <w:lang w:val="en-US"/>
              </w:rPr>
              <w:t>Countries are working collectively to influence other countries, regional actors and their own country systems and government</w:t>
            </w:r>
          </w:p>
        </w:tc>
        <w:tc>
          <w:tcPr>
            <w:tcW w:w="2126" w:type="dxa"/>
            <w:shd w:val="clear" w:color="auto" w:fill="auto"/>
            <w:vAlign w:val="center"/>
          </w:tcPr>
          <w:p w:rsidR="00261D5C" w:rsidRPr="00261D5C" w:rsidRDefault="00261D5C" w:rsidP="009D6B25">
            <w:pPr>
              <w:numPr>
                <w:ilvl w:val="0"/>
                <w:numId w:val="16"/>
              </w:numPr>
              <w:spacing w:after="0"/>
              <w:rPr>
                <w:rFonts w:cs="Arial"/>
                <w:iCs/>
                <w:color w:val="000000"/>
                <w:sz w:val="18"/>
                <w:szCs w:val="18"/>
                <w:lang w:val="en-US"/>
              </w:rPr>
            </w:pPr>
            <w:r w:rsidRPr="00261D5C">
              <w:rPr>
                <w:rFonts w:cs="Arial"/>
                <w:iCs/>
                <w:color w:val="000000"/>
                <w:sz w:val="18"/>
                <w:szCs w:val="18"/>
                <w:lang w:val="en-US"/>
              </w:rPr>
              <w:t>Facilitation of networks</w:t>
            </w:r>
          </w:p>
          <w:p w:rsidR="00261D5C" w:rsidRPr="00261D5C" w:rsidRDefault="00261D5C" w:rsidP="009D6B25">
            <w:pPr>
              <w:numPr>
                <w:ilvl w:val="0"/>
                <w:numId w:val="16"/>
              </w:numPr>
              <w:spacing w:after="0"/>
              <w:rPr>
                <w:rFonts w:cs="Arial"/>
                <w:iCs/>
                <w:color w:val="000000"/>
                <w:sz w:val="18"/>
                <w:szCs w:val="18"/>
                <w:lang w:val="en-US"/>
              </w:rPr>
            </w:pPr>
            <w:r w:rsidRPr="00261D5C">
              <w:rPr>
                <w:rFonts w:cs="Arial"/>
                <w:iCs/>
                <w:color w:val="000000"/>
                <w:sz w:val="18"/>
                <w:szCs w:val="18"/>
                <w:lang w:val="en-US"/>
              </w:rPr>
              <w:t>Capacity building and technical advisory (for government CCDRM representatives &amp; RID networks)</w:t>
            </w:r>
          </w:p>
          <w:p w:rsidR="00261D5C" w:rsidRPr="00261D5C" w:rsidRDefault="00261D5C" w:rsidP="009D6B25">
            <w:pPr>
              <w:numPr>
                <w:ilvl w:val="0"/>
                <w:numId w:val="16"/>
              </w:numPr>
              <w:spacing w:after="0"/>
              <w:rPr>
                <w:rFonts w:cs="Arial"/>
                <w:iCs/>
                <w:color w:val="000000"/>
                <w:sz w:val="18"/>
                <w:szCs w:val="18"/>
                <w:lang w:val="en-US"/>
              </w:rPr>
            </w:pPr>
            <w:r w:rsidRPr="00261D5C">
              <w:rPr>
                <w:rFonts w:cs="Arial"/>
                <w:iCs/>
                <w:color w:val="000000"/>
                <w:sz w:val="18"/>
                <w:szCs w:val="18"/>
                <w:lang w:val="en-US"/>
              </w:rPr>
              <w:t>Training and workshops</w:t>
            </w:r>
          </w:p>
        </w:tc>
        <w:tc>
          <w:tcPr>
            <w:tcW w:w="1712" w:type="dxa"/>
            <w:shd w:val="clear" w:color="auto" w:fill="auto"/>
            <w:vAlign w:val="center"/>
          </w:tcPr>
          <w:p w:rsidR="00261D5C" w:rsidRPr="00261D5C" w:rsidRDefault="00261D5C" w:rsidP="009D6B25">
            <w:pPr>
              <w:numPr>
                <w:ilvl w:val="0"/>
                <w:numId w:val="4"/>
              </w:numPr>
              <w:spacing w:after="0"/>
              <w:ind w:left="344"/>
              <w:rPr>
                <w:rFonts w:cs="Arial"/>
                <w:iCs/>
                <w:color w:val="000000"/>
                <w:sz w:val="18"/>
                <w:szCs w:val="18"/>
                <w:lang w:val="en-US"/>
              </w:rPr>
            </w:pPr>
            <w:r w:rsidRPr="00261D5C">
              <w:rPr>
                <w:rFonts w:cs="Arial"/>
                <w:iCs/>
                <w:color w:val="000000"/>
                <w:sz w:val="18"/>
                <w:szCs w:val="18"/>
                <w:lang w:val="en-US"/>
              </w:rPr>
              <w:t>Risk Informed Development Technical Working Group (input and facilitation)</w:t>
            </w:r>
          </w:p>
          <w:p w:rsidR="00261D5C" w:rsidRPr="00261D5C" w:rsidRDefault="00261D5C" w:rsidP="009D6B25">
            <w:pPr>
              <w:numPr>
                <w:ilvl w:val="0"/>
                <w:numId w:val="4"/>
              </w:numPr>
              <w:spacing w:after="0"/>
              <w:ind w:left="344"/>
              <w:rPr>
                <w:rFonts w:cs="Arial"/>
                <w:iCs/>
                <w:color w:val="000000"/>
                <w:sz w:val="18"/>
                <w:szCs w:val="18"/>
                <w:lang w:val="en-US"/>
              </w:rPr>
            </w:pPr>
            <w:r w:rsidRPr="00261D5C">
              <w:rPr>
                <w:rFonts w:cs="Arial"/>
                <w:iCs/>
                <w:color w:val="000000"/>
                <w:sz w:val="18"/>
                <w:szCs w:val="18"/>
                <w:lang w:val="en-US"/>
              </w:rPr>
              <w:t>Pacific representation on Asia Pacific Climate Finance Network</w:t>
            </w:r>
          </w:p>
        </w:tc>
        <w:tc>
          <w:tcPr>
            <w:tcW w:w="2215" w:type="dxa"/>
            <w:vMerge w:val="restart"/>
          </w:tcPr>
          <w:p w:rsidR="00261D5C" w:rsidRPr="00261D5C" w:rsidRDefault="00261D5C" w:rsidP="00261D5C">
            <w:pPr>
              <w:spacing w:after="0" w:line="276" w:lineRule="auto"/>
              <w:rPr>
                <w:rFonts w:cs="Arial"/>
                <w:sz w:val="18"/>
                <w:szCs w:val="20"/>
              </w:rPr>
            </w:pPr>
            <w:r w:rsidRPr="00261D5C">
              <w:rPr>
                <w:rFonts w:cs="Arial"/>
                <w:sz w:val="18"/>
                <w:szCs w:val="20"/>
              </w:rPr>
              <w:t>Country government representatives (for networks)</w:t>
            </w:r>
          </w:p>
          <w:p w:rsidR="00261D5C" w:rsidRPr="00261D5C" w:rsidRDefault="00261D5C" w:rsidP="00261D5C">
            <w:pPr>
              <w:spacing w:after="0" w:line="276" w:lineRule="auto"/>
              <w:rPr>
                <w:rFonts w:cs="Arial"/>
                <w:sz w:val="18"/>
                <w:szCs w:val="20"/>
              </w:rPr>
            </w:pPr>
            <w:r w:rsidRPr="00261D5C">
              <w:rPr>
                <w:rFonts w:cs="Arial"/>
                <w:sz w:val="18"/>
                <w:szCs w:val="20"/>
              </w:rPr>
              <w:t>Regional Agencies and Working Groups (e.g. PIFS, PASAI, PFTAC, PIPSO, PRP Technical Working Groups)</w:t>
            </w:r>
          </w:p>
          <w:p w:rsidR="00261D5C" w:rsidRPr="00261D5C" w:rsidRDefault="00261D5C" w:rsidP="00261D5C">
            <w:pPr>
              <w:spacing w:after="0" w:line="276" w:lineRule="auto"/>
              <w:rPr>
                <w:rFonts w:cs="Arial"/>
                <w:sz w:val="18"/>
                <w:szCs w:val="20"/>
              </w:rPr>
            </w:pPr>
            <w:r w:rsidRPr="00261D5C">
              <w:rPr>
                <w:rFonts w:cs="Arial"/>
                <w:sz w:val="18"/>
                <w:szCs w:val="20"/>
              </w:rPr>
              <w:t>Multilateral Organisations (e.g. ADB, WB and IFC, UN agencies)</w:t>
            </w:r>
          </w:p>
          <w:p w:rsidR="00261D5C" w:rsidRPr="00261D5C" w:rsidRDefault="00261D5C" w:rsidP="00261D5C">
            <w:pPr>
              <w:spacing w:after="0" w:line="276" w:lineRule="auto"/>
              <w:rPr>
                <w:rFonts w:cs="Arial"/>
                <w:sz w:val="18"/>
                <w:szCs w:val="20"/>
              </w:rPr>
            </w:pPr>
            <w:r w:rsidRPr="00261D5C">
              <w:rPr>
                <w:rFonts w:cs="Arial"/>
                <w:sz w:val="18"/>
                <w:szCs w:val="20"/>
              </w:rPr>
              <w:t>Donor coordination forums (e.g. PIFS Climate Change Finance Donor Roundtable, Development Partners for Climate Change network)</w:t>
            </w:r>
          </w:p>
        </w:tc>
      </w:tr>
      <w:tr w:rsidR="00261D5C" w:rsidRPr="00135431" w:rsidTr="00A22CE5">
        <w:tc>
          <w:tcPr>
            <w:tcW w:w="1555" w:type="dxa"/>
            <w:vMerge/>
            <w:shd w:val="clear" w:color="auto" w:fill="auto"/>
            <w:vAlign w:val="center"/>
          </w:tcPr>
          <w:p w:rsidR="00261D5C" w:rsidRPr="00261D5C" w:rsidRDefault="00261D5C" w:rsidP="00261D5C">
            <w:pPr>
              <w:spacing w:after="0"/>
              <w:rPr>
                <w:rFonts w:cs="Arial"/>
                <w:iCs/>
                <w:color w:val="000000"/>
                <w:sz w:val="18"/>
                <w:szCs w:val="18"/>
                <w:lang w:val="en-US"/>
              </w:rPr>
            </w:pPr>
          </w:p>
        </w:tc>
        <w:tc>
          <w:tcPr>
            <w:tcW w:w="1984" w:type="dxa"/>
            <w:shd w:val="clear" w:color="auto" w:fill="auto"/>
            <w:vAlign w:val="center"/>
          </w:tcPr>
          <w:p w:rsidR="00261D5C" w:rsidRPr="00261D5C" w:rsidRDefault="00261D5C" w:rsidP="00261D5C">
            <w:pPr>
              <w:spacing w:after="0"/>
              <w:rPr>
                <w:rFonts w:cs="Arial"/>
                <w:iCs/>
                <w:color w:val="000000"/>
                <w:sz w:val="18"/>
                <w:szCs w:val="18"/>
                <w:lang w:val="en-US"/>
              </w:rPr>
            </w:pPr>
            <w:r w:rsidRPr="00261D5C">
              <w:rPr>
                <w:rFonts w:cs="Arial"/>
                <w:iCs/>
                <w:color w:val="000000"/>
                <w:sz w:val="18"/>
                <w:szCs w:val="18"/>
                <w:lang w:val="en-US"/>
              </w:rPr>
              <w:t xml:space="preserve">3.2 </w:t>
            </w:r>
            <w:r w:rsidRPr="00261D5C">
              <w:rPr>
                <w:rFonts w:cs="Arial"/>
                <w:bCs/>
                <w:sz w:val="18"/>
                <w:szCs w:val="18"/>
              </w:rPr>
              <w:t>Regional agents (CROP, donors, regional programmes) are cognizant of, equipped to and in some situations are leading on GS&amp;I RID</w:t>
            </w:r>
          </w:p>
        </w:tc>
        <w:tc>
          <w:tcPr>
            <w:tcW w:w="2126" w:type="dxa"/>
            <w:shd w:val="clear" w:color="auto" w:fill="auto"/>
            <w:vAlign w:val="center"/>
          </w:tcPr>
          <w:p w:rsidR="00261D5C" w:rsidRPr="00261D5C" w:rsidRDefault="00261D5C" w:rsidP="009D6B25">
            <w:pPr>
              <w:numPr>
                <w:ilvl w:val="0"/>
                <w:numId w:val="16"/>
              </w:numPr>
              <w:spacing w:after="0"/>
              <w:rPr>
                <w:rFonts w:cs="Arial"/>
                <w:iCs/>
                <w:color w:val="000000"/>
                <w:sz w:val="18"/>
                <w:szCs w:val="18"/>
                <w:lang w:val="en-US"/>
              </w:rPr>
            </w:pPr>
            <w:r w:rsidRPr="00261D5C">
              <w:rPr>
                <w:rFonts w:cs="Arial"/>
                <w:iCs/>
                <w:color w:val="000000"/>
                <w:sz w:val="18"/>
                <w:szCs w:val="18"/>
                <w:lang w:val="en-US"/>
              </w:rPr>
              <w:t>Research and development of knowledge products</w:t>
            </w:r>
          </w:p>
          <w:p w:rsidR="00261D5C" w:rsidRPr="00261D5C" w:rsidRDefault="00261D5C" w:rsidP="009D6B25">
            <w:pPr>
              <w:numPr>
                <w:ilvl w:val="0"/>
                <w:numId w:val="16"/>
              </w:numPr>
              <w:spacing w:after="0"/>
              <w:rPr>
                <w:rFonts w:cs="Arial"/>
                <w:iCs/>
                <w:color w:val="000000"/>
                <w:sz w:val="18"/>
                <w:szCs w:val="18"/>
                <w:lang w:val="en-US"/>
              </w:rPr>
            </w:pPr>
            <w:r w:rsidRPr="00261D5C">
              <w:rPr>
                <w:rFonts w:cs="Arial"/>
                <w:iCs/>
                <w:color w:val="000000"/>
                <w:sz w:val="18"/>
                <w:szCs w:val="18"/>
                <w:lang w:val="en-US"/>
              </w:rPr>
              <w:t xml:space="preserve">Technical Advisory  </w:t>
            </w:r>
          </w:p>
        </w:tc>
        <w:tc>
          <w:tcPr>
            <w:tcW w:w="1712" w:type="dxa"/>
            <w:shd w:val="clear" w:color="auto" w:fill="auto"/>
            <w:vAlign w:val="center"/>
          </w:tcPr>
          <w:p w:rsidR="00261D5C" w:rsidRPr="00261D5C" w:rsidRDefault="00261D5C" w:rsidP="009D6B25">
            <w:pPr>
              <w:numPr>
                <w:ilvl w:val="0"/>
                <w:numId w:val="4"/>
              </w:numPr>
              <w:spacing w:after="0"/>
              <w:ind w:left="344"/>
              <w:rPr>
                <w:rFonts w:cs="Arial"/>
                <w:iCs/>
                <w:color w:val="000000"/>
                <w:sz w:val="18"/>
                <w:szCs w:val="18"/>
                <w:lang w:val="en-US"/>
              </w:rPr>
            </w:pPr>
            <w:r w:rsidRPr="00261D5C">
              <w:rPr>
                <w:rFonts w:cs="Arial"/>
                <w:iCs/>
                <w:color w:val="000000"/>
                <w:sz w:val="18"/>
                <w:szCs w:val="18"/>
                <w:lang w:val="en-US"/>
              </w:rPr>
              <w:t>Development Effectiveness Analysis</w:t>
            </w:r>
          </w:p>
          <w:p w:rsidR="00261D5C" w:rsidRPr="00261D5C" w:rsidRDefault="00261D5C" w:rsidP="009D6B25">
            <w:pPr>
              <w:numPr>
                <w:ilvl w:val="0"/>
                <w:numId w:val="4"/>
              </w:numPr>
              <w:spacing w:after="0"/>
              <w:ind w:left="344"/>
              <w:rPr>
                <w:rFonts w:cs="Arial"/>
                <w:iCs/>
                <w:color w:val="000000"/>
                <w:sz w:val="18"/>
                <w:szCs w:val="18"/>
                <w:lang w:val="en-US"/>
              </w:rPr>
            </w:pPr>
            <w:r w:rsidRPr="00261D5C">
              <w:rPr>
                <w:rFonts w:cs="Arial"/>
                <w:iCs/>
                <w:color w:val="000000"/>
                <w:sz w:val="18"/>
                <w:szCs w:val="18"/>
                <w:lang w:val="en-US"/>
              </w:rPr>
              <w:t>Input into regional conferences and workshops</w:t>
            </w:r>
          </w:p>
          <w:p w:rsidR="00261D5C" w:rsidRPr="00261D5C" w:rsidRDefault="00261D5C" w:rsidP="00261D5C">
            <w:pPr>
              <w:spacing w:after="0"/>
              <w:rPr>
                <w:rFonts w:cs="Arial"/>
                <w:iCs/>
                <w:color w:val="000000"/>
                <w:sz w:val="18"/>
                <w:szCs w:val="18"/>
                <w:lang w:val="en-US"/>
              </w:rPr>
            </w:pPr>
          </w:p>
        </w:tc>
        <w:tc>
          <w:tcPr>
            <w:tcW w:w="2215" w:type="dxa"/>
            <w:vMerge/>
          </w:tcPr>
          <w:p w:rsidR="00261D5C" w:rsidRPr="00135431" w:rsidRDefault="00261D5C" w:rsidP="009D6B25">
            <w:pPr>
              <w:numPr>
                <w:ilvl w:val="0"/>
                <w:numId w:val="4"/>
              </w:numPr>
              <w:spacing w:after="0"/>
              <w:ind w:left="344"/>
              <w:rPr>
                <w:rFonts w:cs="Arial"/>
                <w:iCs/>
                <w:color w:val="000000"/>
                <w:sz w:val="19"/>
                <w:szCs w:val="19"/>
                <w:lang w:val="en-US"/>
              </w:rPr>
            </w:pPr>
          </w:p>
        </w:tc>
      </w:tr>
    </w:tbl>
    <w:p w:rsidR="00496A45" w:rsidRPr="00135431" w:rsidRDefault="00A22CE5" w:rsidP="00A22CE5">
      <w:pPr>
        <w:pStyle w:val="Caption"/>
        <w:sectPr w:rsidR="00496A45" w:rsidRPr="00135431" w:rsidSect="00A22CE5">
          <w:pgSz w:w="11906" w:h="16838" w:code="9"/>
          <w:pgMar w:top="864" w:right="1152" w:bottom="864" w:left="1152" w:header="720" w:footer="432" w:gutter="0"/>
          <w:cols w:space="708"/>
          <w:docGrid w:linePitch="360"/>
        </w:sectPr>
      </w:pPr>
      <w:bookmarkStart w:id="37" w:name="_Ref23856420"/>
      <w:r>
        <w:t xml:space="preserve">Table </w:t>
      </w:r>
      <w:fldSimple w:instr=" SEQ Table \* ARABIC ">
        <w:r w:rsidR="004F5751">
          <w:rPr>
            <w:noProof/>
          </w:rPr>
          <w:t>2</w:t>
        </w:r>
      </w:fldSimple>
      <w:r>
        <w:t xml:space="preserve"> summary of outcomes, deliverables and beneficiaries </w:t>
      </w:r>
      <w:bookmarkEnd w:id="36"/>
      <w:bookmarkEnd w:id="37"/>
    </w:p>
    <w:p w:rsidR="002F14AB" w:rsidRPr="00135431" w:rsidRDefault="002F14AB" w:rsidP="00163E60">
      <w:pPr>
        <w:pStyle w:val="Heading3"/>
        <w:jc w:val="left"/>
      </w:pPr>
      <w:bookmarkStart w:id="38" w:name="_Toc22745657"/>
      <w:r w:rsidRPr="00135431">
        <w:t>Resources Required to Achieve the Expected Results</w:t>
      </w:r>
      <w:bookmarkEnd w:id="38"/>
    </w:p>
    <w:p w:rsidR="008909CA" w:rsidRPr="00135431" w:rsidRDefault="00DE01C9" w:rsidP="00E30BA5">
      <w:pPr>
        <w:spacing w:after="240"/>
        <w:jc w:val="both"/>
        <w:rPr>
          <w:rFonts w:cs="Arial"/>
        </w:rPr>
      </w:pPr>
      <w:r w:rsidRPr="00135431">
        <w:rPr>
          <w:rFonts w:cs="Arial"/>
        </w:rPr>
        <w:t xml:space="preserve">The </w:t>
      </w:r>
      <w:r w:rsidR="008909CA" w:rsidRPr="00135431">
        <w:rPr>
          <w:rFonts w:cs="Arial"/>
        </w:rPr>
        <w:t>UNDP Pacific Office in Fiji has mobili</w:t>
      </w:r>
      <w:r w:rsidRPr="00135431">
        <w:rPr>
          <w:rFonts w:cs="Arial"/>
        </w:rPr>
        <w:t>sed</w:t>
      </w:r>
      <w:r w:rsidR="008909CA" w:rsidRPr="00135431">
        <w:rPr>
          <w:rFonts w:cs="Arial"/>
        </w:rPr>
        <w:t xml:space="preserve"> approximately US$1</w:t>
      </w:r>
      <w:r w:rsidR="00261D5C">
        <w:rPr>
          <w:rFonts w:cs="Arial"/>
        </w:rPr>
        <w:t>9</w:t>
      </w:r>
      <w:r w:rsidR="008909CA" w:rsidRPr="00135431">
        <w:rPr>
          <w:rFonts w:cs="Arial"/>
        </w:rPr>
        <w:t>.</w:t>
      </w:r>
      <w:r w:rsidR="002F17C9">
        <w:rPr>
          <w:rFonts w:cs="Arial"/>
        </w:rPr>
        <w:t>2</w:t>
      </w:r>
      <w:r w:rsidR="00173FB7">
        <w:rPr>
          <w:rFonts w:cs="Arial"/>
        </w:rPr>
        <w:t xml:space="preserve"> </w:t>
      </w:r>
      <w:r w:rsidR="008909CA" w:rsidRPr="00135431">
        <w:rPr>
          <w:rFonts w:cs="Arial"/>
        </w:rPr>
        <w:t>mi</w:t>
      </w:r>
      <w:r w:rsidR="00173FB7">
        <w:rPr>
          <w:rFonts w:cs="Arial"/>
        </w:rPr>
        <w:t>llion</w:t>
      </w:r>
      <w:r w:rsidR="008909CA" w:rsidRPr="00135431">
        <w:rPr>
          <w:rStyle w:val="FootnoteReference"/>
          <w:rFonts w:cs="Arial"/>
          <w:sz w:val="22"/>
        </w:rPr>
        <w:footnoteReference w:id="15"/>
      </w:r>
      <w:r w:rsidR="008909CA" w:rsidRPr="00135431">
        <w:rPr>
          <w:rFonts w:cs="Arial"/>
        </w:rPr>
        <w:t xml:space="preserve"> to deliver this </w:t>
      </w:r>
      <w:r w:rsidR="00253797">
        <w:rPr>
          <w:rFonts w:cs="Arial"/>
        </w:rPr>
        <w:t>project</w:t>
      </w:r>
      <w:r w:rsidR="008909CA" w:rsidRPr="00135431">
        <w:rPr>
          <w:rFonts w:cs="Arial"/>
        </w:rPr>
        <w:t xml:space="preserve"> over a period of four years. Resources have been mobili</w:t>
      </w:r>
      <w:r w:rsidRPr="00135431">
        <w:rPr>
          <w:rFonts w:cs="Arial"/>
        </w:rPr>
        <w:t>s</w:t>
      </w:r>
      <w:r w:rsidR="008909CA" w:rsidRPr="00135431">
        <w:rPr>
          <w:rFonts w:cs="Arial"/>
        </w:rPr>
        <w:t>ed from multiple donor partners (DFAT, KOICA</w:t>
      </w:r>
      <w:r w:rsidR="00261D5C">
        <w:rPr>
          <w:rFonts w:cs="Arial"/>
        </w:rPr>
        <w:t>, MFAT</w:t>
      </w:r>
      <w:r w:rsidR="008909CA" w:rsidRPr="00135431">
        <w:rPr>
          <w:rFonts w:cs="Arial"/>
        </w:rPr>
        <w:t xml:space="preserve"> and SIDA)</w:t>
      </w:r>
      <w:r w:rsidR="002B60B1">
        <w:rPr>
          <w:rFonts w:cs="Arial"/>
        </w:rPr>
        <w:t>. I</w:t>
      </w:r>
      <w:r w:rsidR="008909CA" w:rsidRPr="00135431">
        <w:rPr>
          <w:rFonts w:cs="Arial"/>
        </w:rPr>
        <w:t xml:space="preserve">n order to deliver the expected results, the </w:t>
      </w:r>
      <w:r w:rsidR="00253797">
        <w:rPr>
          <w:rFonts w:cs="Arial"/>
        </w:rPr>
        <w:t>project</w:t>
      </w:r>
      <w:r w:rsidR="008909CA" w:rsidRPr="00135431">
        <w:rPr>
          <w:rFonts w:cs="Arial"/>
        </w:rPr>
        <w:t xml:space="preserve"> will consist of a dynamic and robust core project management team based in UNDP Pacific Office in Fiji. Given the scalable nature of the work, the team will be structured to accommodate a growing and changing volume of work </w:t>
      </w:r>
      <w:r w:rsidRPr="00135431">
        <w:rPr>
          <w:rFonts w:cs="Arial"/>
        </w:rPr>
        <w:t>overtime</w:t>
      </w:r>
      <w:r w:rsidR="008909CA" w:rsidRPr="00135431">
        <w:rPr>
          <w:rFonts w:cs="Arial"/>
        </w:rPr>
        <w:t>. The project will be implemented via a UNDP Direct Implement</w:t>
      </w:r>
      <w:r w:rsidRPr="00135431">
        <w:rPr>
          <w:rFonts w:cs="Arial"/>
        </w:rPr>
        <w:t>ation</w:t>
      </w:r>
      <w:r w:rsidR="008909CA" w:rsidRPr="00135431">
        <w:rPr>
          <w:rFonts w:cs="Arial"/>
        </w:rPr>
        <w:t xml:space="preserve"> Modality (DIM) where capacity on finance, administration, communications and monitoring </w:t>
      </w:r>
      <w:r w:rsidRPr="00135431">
        <w:rPr>
          <w:rFonts w:cs="Arial"/>
        </w:rPr>
        <w:t>and</w:t>
      </w:r>
      <w:r w:rsidR="008909CA" w:rsidRPr="00135431">
        <w:rPr>
          <w:rFonts w:cs="Arial"/>
        </w:rPr>
        <w:t xml:space="preserve"> evaluation at the </w:t>
      </w:r>
      <w:r w:rsidR="00253797">
        <w:rPr>
          <w:rFonts w:cs="Arial"/>
        </w:rPr>
        <w:t>project</w:t>
      </w:r>
      <w:r w:rsidR="008909CA" w:rsidRPr="00135431">
        <w:rPr>
          <w:rFonts w:cs="Arial"/>
        </w:rPr>
        <w:t xml:space="preserve"> level will be part of the core </w:t>
      </w:r>
      <w:r w:rsidR="00253797">
        <w:rPr>
          <w:rFonts w:cs="Arial"/>
        </w:rPr>
        <w:t>project</w:t>
      </w:r>
      <w:r w:rsidR="008909CA" w:rsidRPr="00135431">
        <w:rPr>
          <w:rFonts w:cs="Arial"/>
        </w:rPr>
        <w:t xml:space="preserve"> management team. In addition, services of an internal general management support team at the corporate level includes the Integrated Results &amp; Monitoring Unit (IRMU), Procurement, Finance, Administration, Human resources and Communications teams.</w:t>
      </w:r>
    </w:p>
    <w:p w:rsidR="008909CA" w:rsidRPr="00135431" w:rsidRDefault="008909CA" w:rsidP="00E30BA5">
      <w:pPr>
        <w:spacing w:after="240"/>
        <w:jc w:val="both"/>
        <w:rPr>
          <w:rFonts w:cs="Arial"/>
        </w:rPr>
      </w:pPr>
      <w:r w:rsidRPr="00135431">
        <w:rPr>
          <w:rFonts w:cs="Arial"/>
        </w:rPr>
        <w:t xml:space="preserve">In the context of the country-led interventions, the </w:t>
      </w:r>
      <w:r w:rsidR="00253797">
        <w:rPr>
          <w:rFonts w:cs="Arial"/>
        </w:rPr>
        <w:t>project</w:t>
      </w:r>
      <w:r w:rsidRPr="00135431">
        <w:rPr>
          <w:rFonts w:cs="Arial"/>
        </w:rPr>
        <w:t xml:space="preserve"> will embed capacity within national level planning and budgeting, oversight and accountability and sectors with traction to demonstrate results. The project will continue its evolutionary approach to capacity </w:t>
      </w:r>
      <w:r w:rsidR="00173FB7" w:rsidRPr="00135431">
        <w:rPr>
          <w:rFonts w:cs="Arial"/>
        </w:rPr>
        <w:t>building,</w:t>
      </w:r>
      <w:r w:rsidRPr="00135431">
        <w:rPr>
          <w:rFonts w:cs="Arial"/>
        </w:rPr>
        <w:t xml:space="preserve"> and </w:t>
      </w:r>
      <w:r w:rsidR="00C02D88">
        <w:rPr>
          <w:rFonts w:cs="Arial"/>
        </w:rPr>
        <w:t xml:space="preserve">this </w:t>
      </w:r>
      <w:r w:rsidRPr="00135431">
        <w:rPr>
          <w:rFonts w:cs="Arial"/>
        </w:rPr>
        <w:t>will be defined further in the Annual Work Plans during the project implementation.</w:t>
      </w:r>
      <w:r w:rsidR="00E30BA5">
        <w:rPr>
          <w:rFonts w:cs="Arial"/>
        </w:rPr>
        <w:t xml:space="preserve"> </w:t>
      </w:r>
      <w:r w:rsidRPr="00135431">
        <w:rPr>
          <w:rFonts w:cs="Arial"/>
        </w:rPr>
        <w:t>Additional</w:t>
      </w:r>
      <w:r w:rsidR="00261D5C">
        <w:rPr>
          <w:rFonts w:cs="Arial"/>
        </w:rPr>
        <w:t xml:space="preserve"> technical</w:t>
      </w:r>
      <w:r w:rsidRPr="00135431">
        <w:rPr>
          <w:rFonts w:cs="Arial"/>
        </w:rPr>
        <w:t xml:space="preserve"> resources will be leveraged through partnerships with DFAT’s</w:t>
      </w:r>
      <w:r w:rsidR="00C02D88">
        <w:rPr>
          <w:rFonts w:cs="Arial"/>
        </w:rPr>
        <w:t xml:space="preserve"> </w:t>
      </w:r>
      <w:r w:rsidRPr="00135431">
        <w:rPr>
          <w:rFonts w:cs="Arial"/>
        </w:rPr>
        <w:t>Australian Pacific Climate Partnership</w:t>
      </w:r>
      <w:r w:rsidR="003F192C" w:rsidRPr="00135431">
        <w:rPr>
          <w:rFonts w:cs="Arial"/>
        </w:rPr>
        <w:t xml:space="preserve"> </w:t>
      </w:r>
      <w:r w:rsidR="003F192C" w:rsidRPr="00135431">
        <w:rPr>
          <w:iCs/>
        </w:rPr>
        <w:t>(herein the Climate Partnership)</w:t>
      </w:r>
      <w:r w:rsidRPr="00135431">
        <w:rPr>
          <w:rFonts w:cs="Arial"/>
        </w:rPr>
        <w:t>, UNDP Pacific Office in Fiji’s, Strengthening Public Finance Management project and Pacific Parliamentary Effectiveness Initiative (PPEI) and UNDP’s Asia-Pacific programme, Governance for Climate Change Finance (GCCF), and will also be sought as expert resources in ensuring that project results are based on innovative and international best practices.</w:t>
      </w:r>
      <w:r w:rsidR="00C73D2C" w:rsidRPr="00135431">
        <w:rPr>
          <w:rFonts w:cs="Arial"/>
        </w:rPr>
        <w:t xml:space="preserve"> More detail on these partnerships is provided in </w:t>
      </w:r>
      <w:r w:rsidR="00E30BA5">
        <w:rPr>
          <w:rFonts w:cs="Arial"/>
        </w:rPr>
        <w:t>the section</w:t>
      </w:r>
      <w:r w:rsidR="00C73D2C" w:rsidRPr="00135431">
        <w:rPr>
          <w:rFonts w:cs="Arial"/>
        </w:rPr>
        <w:t xml:space="preserve"> below. </w:t>
      </w:r>
    </w:p>
    <w:p w:rsidR="002F14AB" w:rsidRPr="00135431" w:rsidRDefault="002F14AB" w:rsidP="00A55787">
      <w:pPr>
        <w:pStyle w:val="Heading2"/>
        <w:jc w:val="left"/>
      </w:pPr>
      <w:bookmarkStart w:id="39" w:name="_Ref22286881"/>
      <w:bookmarkStart w:id="40" w:name="_Ref22287825"/>
      <w:bookmarkStart w:id="41" w:name="_Toc22745658"/>
      <w:bookmarkStart w:id="42" w:name="_Toc25739962"/>
      <w:bookmarkStart w:id="43" w:name="_Toc25740071"/>
      <w:r w:rsidRPr="00135431">
        <w:t>Partnerships</w:t>
      </w:r>
      <w:bookmarkEnd w:id="39"/>
      <w:bookmarkEnd w:id="40"/>
      <w:bookmarkEnd w:id="41"/>
      <w:bookmarkEnd w:id="42"/>
      <w:bookmarkEnd w:id="43"/>
    </w:p>
    <w:p w:rsidR="00A445EA" w:rsidRDefault="00CD465E" w:rsidP="0078525E">
      <w:pPr>
        <w:spacing w:after="0"/>
        <w:jc w:val="both"/>
      </w:pPr>
      <w:r>
        <w:rPr>
          <w:iCs/>
        </w:rPr>
        <w:t xml:space="preserve">The </w:t>
      </w:r>
      <w:r w:rsidR="00253797">
        <w:rPr>
          <w:iCs/>
        </w:rPr>
        <w:t>project</w:t>
      </w:r>
      <w:r w:rsidR="00ED7D8E" w:rsidRPr="00135431">
        <w:rPr>
          <w:iCs/>
        </w:rPr>
        <w:t xml:space="preserve"> </w:t>
      </w:r>
      <w:r>
        <w:rPr>
          <w:iCs/>
        </w:rPr>
        <w:t xml:space="preserve">will </w:t>
      </w:r>
      <w:r w:rsidR="00ED7D8E" w:rsidRPr="00135431">
        <w:rPr>
          <w:iCs/>
        </w:rPr>
        <w:t>intersect with a wide range of technical expertise, government ministries and regional and global agencies</w:t>
      </w:r>
      <w:r w:rsidR="007461D4">
        <w:rPr>
          <w:iCs/>
        </w:rPr>
        <w:t xml:space="preserve"> in order to leverage change across development pathways in the Pacific</w:t>
      </w:r>
      <w:r w:rsidR="00ED7D8E" w:rsidRPr="00135431">
        <w:rPr>
          <w:iCs/>
        </w:rPr>
        <w:t xml:space="preserve">. Accordingly, </w:t>
      </w:r>
      <w:r w:rsidR="008251B7">
        <w:rPr>
          <w:iCs/>
        </w:rPr>
        <w:t>GRDP</w:t>
      </w:r>
      <w:r w:rsidR="008251B7" w:rsidRPr="00135431">
        <w:rPr>
          <w:iCs/>
        </w:rPr>
        <w:t xml:space="preserve"> will</w:t>
      </w:r>
      <w:r w:rsidR="00ED7D8E" w:rsidRPr="00135431">
        <w:rPr>
          <w:iCs/>
        </w:rPr>
        <w:t xml:space="preserve"> forge a number of partnerships</w:t>
      </w:r>
      <w:r w:rsidR="0078525E">
        <w:rPr>
          <w:iCs/>
        </w:rPr>
        <w:t xml:space="preserve"> across four dimensions: (1) joint-</w:t>
      </w:r>
      <w:proofErr w:type="spellStart"/>
      <w:r w:rsidR="0078525E">
        <w:rPr>
          <w:iCs/>
        </w:rPr>
        <w:t>progamming</w:t>
      </w:r>
      <w:proofErr w:type="spellEnd"/>
      <w:r w:rsidR="0078525E">
        <w:rPr>
          <w:iCs/>
        </w:rPr>
        <w:t xml:space="preserve"> through the Climate Partnership and UNDP Asia-Pacific programmes; (2) strategic partnerships with its donor partners </w:t>
      </w:r>
      <w:r w:rsidR="007461D4">
        <w:rPr>
          <w:iCs/>
        </w:rPr>
        <w:t xml:space="preserve">including </w:t>
      </w:r>
      <w:r w:rsidR="0078525E">
        <w:rPr>
          <w:iCs/>
        </w:rPr>
        <w:t xml:space="preserve">Australia, Korea, New Zealand and Sweden; (3) </w:t>
      </w:r>
      <w:r w:rsidR="0078525E">
        <w:t>country-level engagement and partnerships with governments, private sector and civil society; and (4) regional mechanisms and partnerships.</w:t>
      </w:r>
    </w:p>
    <w:p w:rsidR="00427FAC" w:rsidRPr="00135431" w:rsidRDefault="009823EA" w:rsidP="00496A45">
      <w:pPr>
        <w:pStyle w:val="Heading3"/>
        <w:jc w:val="left"/>
      </w:pPr>
      <w:r>
        <w:t>Joint-Programming Partnerships</w:t>
      </w:r>
    </w:p>
    <w:p w:rsidR="009823EA" w:rsidRPr="00135431" w:rsidRDefault="00384A82" w:rsidP="00B60424">
      <w:pPr>
        <w:jc w:val="both"/>
        <w:rPr>
          <w:rFonts w:cs="Calibri"/>
        </w:rPr>
      </w:pPr>
      <w:r w:rsidRPr="00384A82">
        <w:rPr>
          <w:b/>
          <w:iCs/>
        </w:rPr>
        <w:t xml:space="preserve">Australia Pacific Climate Partnership (the Climate Partnership): </w:t>
      </w:r>
      <w:r w:rsidR="00B60424">
        <w:rPr>
          <w:iCs/>
        </w:rPr>
        <w:t>t</w:t>
      </w:r>
      <w:r w:rsidR="00427FAC" w:rsidRPr="00135431">
        <w:rPr>
          <w:iCs/>
        </w:rPr>
        <w:t xml:space="preserve">he Australian Government committed AUD75 million over four years to climate change action, delivered through the Climate Partnership. The </w:t>
      </w:r>
      <w:r w:rsidR="008251B7">
        <w:rPr>
          <w:iCs/>
        </w:rPr>
        <w:t>GRDP</w:t>
      </w:r>
      <w:r w:rsidR="008251B7" w:rsidRPr="00135431">
        <w:rPr>
          <w:iCs/>
        </w:rPr>
        <w:t xml:space="preserve"> represents</w:t>
      </w:r>
      <w:r w:rsidR="00427FAC" w:rsidRPr="00135431">
        <w:rPr>
          <w:iCs/>
        </w:rPr>
        <w:t xml:space="preserve"> the climate governance component of the Climate Partnership, which also brings together </w:t>
      </w:r>
      <w:r w:rsidR="00427FAC" w:rsidRPr="00135431">
        <w:t xml:space="preserve">climate science and information and technical support to </w:t>
      </w:r>
      <w:r w:rsidR="001C481B" w:rsidRPr="00135431">
        <w:t>the Australian Department of Foreign Affairs and Trades (DFAT)</w:t>
      </w:r>
      <w:r w:rsidR="00427FAC" w:rsidRPr="00135431">
        <w:t xml:space="preserve"> regional and bilateral posts. As part of the Climate Partnership, </w:t>
      </w:r>
      <w:r w:rsidR="008251B7">
        <w:t>GRDP</w:t>
      </w:r>
      <w:r w:rsidR="008251B7" w:rsidRPr="00135431">
        <w:t xml:space="preserve"> will</w:t>
      </w:r>
      <w:r w:rsidR="001C481B" w:rsidRPr="00135431">
        <w:t xml:space="preserve"> contribute directly to the objectives of the Climate Partnership, coordinated through the </w:t>
      </w:r>
      <w:r w:rsidR="001C481B" w:rsidRPr="00135431">
        <w:rPr>
          <w:rFonts w:cs="Calibri"/>
        </w:rPr>
        <w:t>Climate Partnership Support Unit.</w:t>
      </w:r>
      <w:r w:rsidR="009823EA" w:rsidRPr="009823EA">
        <w:rPr>
          <w:rFonts w:cs="Calibri"/>
        </w:rPr>
        <w:t xml:space="preserve"> </w:t>
      </w:r>
      <w:r w:rsidR="009823EA" w:rsidRPr="00135431">
        <w:rPr>
          <w:rFonts w:cs="Calibri"/>
        </w:rPr>
        <w:t xml:space="preserve">This partnership will also include agreed annual work plans identifying the DFAT sectors and programs where the three </w:t>
      </w:r>
      <w:r w:rsidR="00895613">
        <w:rPr>
          <w:rFonts w:cs="Calibri"/>
        </w:rPr>
        <w:t xml:space="preserve">programme </w:t>
      </w:r>
      <w:r w:rsidR="009823EA" w:rsidRPr="00135431">
        <w:rPr>
          <w:rFonts w:cs="Calibri"/>
        </w:rPr>
        <w:t xml:space="preserve">areas of climate information, technical expertise and climate governance will cooperate and coordinate their activities. </w:t>
      </w:r>
      <w:r w:rsidR="008251B7">
        <w:t>GRDP</w:t>
      </w:r>
      <w:r w:rsidR="008251B7" w:rsidRPr="00135431">
        <w:t xml:space="preserve"> will</w:t>
      </w:r>
      <w:r w:rsidR="009823EA" w:rsidRPr="00135431">
        <w:t xml:space="preserve"> be able to use the opportunities available through the Climate Partnership to achieve increased scale within available resources.</w:t>
      </w:r>
      <w:r w:rsidR="009823EA" w:rsidRPr="00135431">
        <w:rPr>
          <w:iCs/>
        </w:rPr>
        <w:t xml:space="preserve"> </w:t>
      </w:r>
      <w:r w:rsidR="009823EA" w:rsidRPr="00135431">
        <w:rPr>
          <w:rFonts w:cs="Arial"/>
          <w:lang w:eastAsia="en-AU"/>
        </w:rPr>
        <w:t>This will increase the reach and impact of this and other initiatives, for instance the scientific investments under the Climate Partnership.</w:t>
      </w:r>
    </w:p>
    <w:p w:rsidR="00850601" w:rsidRPr="00135431" w:rsidRDefault="00854289" w:rsidP="00854289">
      <w:pPr>
        <w:spacing w:after="0"/>
        <w:jc w:val="both"/>
      </w:pPr>
      <w:r>
        <w:rPr>
          <w:b/>
        </w:rPr>
        <w:t>UNDP:</w:t>
      </w:r>
      <w:r>
        <w:t xml:space="preserve"> th</w:t>
      </w:r>
      <w:r w:rsidR="00850601" w:rsidRPr="00135431">
        <w:t xml:space="preserve">e delivery of the </w:t>
      </w:r>
      <w:r w:rsidR="008251B7">
        <w:t>GRDP</w:t>
      </w:r>
      <w:r w:rsidR="008251B7" w:rsidRPr="00135431">
        <w:t xml:space="preserve"> allows</w:t>
      </w:r>
      <w:r w:rsidR="00850601" w:rsidRPr="00135431">
        <w:t xml:space="preserve"> </w:t>
      </w:r>
      <w:r w:rsidR="00AA3276" w:rsidRPr="00135431">
        <w:t xml:space="preserve">the </w:t>
      </w:r>
      <w:r w:rsidR="00253797">
        <w:t>project</w:t>
      </w:r>
      <w:r w:rsidR="00AA3276" w:rsidRPr="00135431">
        <w:t xml:space="preserve"> to leverage off its strong </w:t>
      </w:r>
      <w:r w:rsidR="00B60424">
        <w:t xml:space="preserve">regional and </w:t>
      </w:r>
      <w:r w:rsidR="00AA3276" w:rsidRPr="00135431">
        <w:t>global network</w:t>
      </w:r>
      <w:r w:rsidR="00B60424">
        <w:t>s</w:t>
      </w:r>
      <w:r w:rsidR="00AA3276" w:rsidRPr="00135431">
        <w:t xml:space="preserve"> of technical expertise</w:t>
      </w:r>
      <w:r w:rsidR="00B60424">
        <w:t xml:space="preserve"> </w:t>
      </w:r>
      <w:r w:rsidR="00AA3276" w:rsidRPr="00135431">
        <w:t xml:space="preserve">and </w:t>
      </w:r>
      <w:r w:rsidR="00B60424">
        <w:t>stakeholder partnerships</w:t>
      </w:r>
      <w:r w:rsidR="00AA3276" w:rsidRPr="00135431">
        <w:t xml:space="preserve">. </w:t>
      </w:r>
      <w:r w:rsidR="00850601" w:rsidRPr="00135431">
        <w:t xml:space="preserve">For </w:t>
      </w:r>
      <w:r w:rsidR="00CF1830" w:rsidRPr="00135431">
        <w:t>its</w:t>
      </w:r>
      <w:r w:rsidR="00850601" w:rsidRPr="00135431">
        <w:t xml:space="preserve"> second phase, the </w:t>
      </w:r>
      <w:r w:rsidR="00253797">
        <w:t>project</w:t>
      </w:r>
      <w:r w:rsidR="00CF1830" w:rsidRPr="00135431">
        <w:t xml:space="preserve"> will </w:t>
      </w:r>
      <w:r w:rsidR="00F35D83">
        <w:t xml:space="preserve">jointly </w:t>
      </w:r>
      <w:r w:rsidR="00253797">
        <w:t>project</w:t>
      </w:r>
      <w:r w:rsidR="00CF1830" w:rsidRPr="00135431">
        <w:t xml:space="preserve"> with two existing projects</w:t>
      </w:r>
      <w:r w:rsidR="00F35D83">
        <w:t xml:space="preserve"> within UNDP’s governance portfolio</w:t>
      </w:r>
      <w:r w:rsidR="00BD24EA">
        <w:t xml:space="preserve"> in the Asia-Pacific region</w:t>
      </w:r>
      <w:r w:rsidR="00CF1830" w:rsidRPr="00135431">
        <w:t xml:space="preserve">: </w:t>
      </w:r>
    </w:p>
    <w:p w:rsidR="00197139" w:rsidRPr="00135431" w:rsidRDefault="00CF1830" w:rsidP="009D6B25">
      <w:pPr>
        <w:numPr>
          <w:ilvl w:val="0"/>
          <w:numId w:val="21"/>
        </w:numPr>
        <w:spacing w:before="60" w:after="0"/>
        <w:ind w:left="357" w:hanging="357"/>
        <w:jc w:val="both"/>
      </w:pPr>
      <w:r w:rsidRPr="00B60424">
        <w:rPr>
          <w:bCs/>
          <w:i/>
        </w:rPr>
        <w:t xml:space="preserve">Strengthening the Governance of Climate Change Finance to Enhance Gender Equality </w:t>
      </w:r>
      <w:r w:rsidR="00536C8C" w:rsidRPr="00B60424">
        <w:rPr>
          <w:bCs/>
          <w:i/>
        </w:rPr>
        <w:t>Project</w:t>
      </w:r>
      <w:r w:rsidR="00084094" w:rsidRPr="00B60424">
        <w:rPr>
          <w:bCs/>
          <w:i/>
        </w:rPr>
        <w:t xml:space="preserve"> (GCCF)</w:t>
      </w:r>
      <w:r w:rsidR="006754E9" w:rsidRPr="00135431">
        <w:t xml:space="preserve"> is a</w:t>
      </w:r>
      <w:r w:rsidR="00A90FC8" w:rsidRPr="00135431">
        <w:t xml:space="preserve"> climate financing and budgeting project funded by the </w:t>
      </w:r>
      <w:r w:rsidR="00536C8C" w:rsidRPr="00135431">
        <w:t xml:space="preserve">Swedish International Development Cooperation Agency (SIDA) </w:t>
      </w:r>
      <w:r w:rsidR="00A90FC8" w:rsidRPr="00135431">
        <w:t>(USD9.9 million)</w:t>
      </w:r>
      <w:r w:rsidR="00536C8C" w:rsidRPr="00135431">
        <w:t xml:space="preserve">, delivered by the UNDP Regional Bureau for Asia and the Pacific from 2017-2022. </w:t>
      </w:r>
      <w:r w:rsidR="00531D8F" w:rsidRPr="00135431">
        <w:t xml:space="preserve">The </w:t>
      </w:r>
      <w:r w:rsidR="008251B7">
        <w:t>GRDP</w:t>
      </w:r>
      <w:r w:rsidR="00531D8F" w:rsidRPr="00135431">
        <w:t xml:space="preserve"> is currently implementing the Pacific portion of this project in Tonga and Fiji, which is intended to model and advocate for effective inclusion of gender impact considerations in climate change budgeting and planning throughout the region. Beyond the specific work in these two countries, this </w:t>
      </w:r>
      <w:r w:rsidR="00253797">
        <w:t>project</w:t>
      </w:r>
      <w:r w:rsidR="00895613">
        <w:t xml:space="preserve"> </w:t>
      </w:r>
      <w:r w:rsidR="00531D8F" w:rsidRPr="00135431">
        <w:t xml:space="preserve">includes activities that promote gender mainstreaming in regional policy and planning for climate change financing. Operating alongside </w:t>
      </w:r>
      <w:r w:rsidR="008251B7">
        <w:t>GRDP</w:t>
      </w:r>
      <w:r w:rsidR="008251B7" w:rsidRPr="00135431">
        <w:t>,</w:t>
      </w:r>
      <w:r w:rsidR="00531D8F" w:rsidRPr="00135431">
        <w:t xml:space="preserve"> this work will complement, inform and further extend attention to </w:t>
      </w:r>
      <w:r w:rsidR="00334F07" w:rsidRPr="00334F07">
        <w:t xml:space="preserve">gender and socially inclusive </w:t>
      </w:r>
      <w:r w:rsidR="00531D8F" w:rsidRPr="00135431">
        <w:t>development.</w:t>
      </w:r>
      <w:r w:rsidR="00084094" w:rsidRPr="00135431">
        <w:t xml:space="preserve"> For instance, through providing access to the Asia Pacific Climate Finance Network (to contribute to </w:t>
      </w:r>
      <w:r w:rsidR="00084094" w:rsidRPr="00135431">
        <w:rPr>
          <w:bCs/>
        </w:rPr>
        <w:t>Output 3.2</w:t>
      </w:r>
      <w:r w:rsidR="00084094" w:rsidRPr="00135431">
        <w:t xml:space="preserve">), and a wealth of technical expertise and country experiences on Climate Budget Tagging (to contribute to </w:t>
      </w:r>
      <w:r w:rsidR="00084094" w:rsidRPr="00135431">
        <w:rPr>
          <w:bCs/>
        </w:rPr>
        <w:t>Output 1.2</w:t>
      </w:r>
      <w:r w:rsidR="00084094" w:rsidRPr="00135431">
        <w:t xml:space="preserve">). </w:t>
      </w:r>
      <w:r w:rsidR="00183D57" w:rsidRPr="00135431">
        <w:t>Working with the existing two (and potentially additional) countries, and regional agencies such as the Pacific Financial Technical Assistance Centre (PFTAC)</w:t>
      </w:r>
      <w:r w:rsidR="00197139" w:rsidRPr="00135431">
        <w:t xml:space="preserve">, </w:t>
      </w:r>
      <w:r w:rsidR="008251B7">
        <w:t>GRDP</w:t>
      </w:r>
      <w:r w:rsidR="00662DA7" w:rsidRPr="00135431">
        <w:t xml:space="preserve"> </w:t>
      </w:r>
      <w:r w:rsidR="00197139" w:rsidRPr="00135431">
        <w:t xml:space="preserve"> will </w:t>
      </w:r>
      <w:r w:rsidR="00084094" w:rsidRPr="00135431">
        <w:t xml:space="preserve">also </w:t>
      </w:r>
      <w:r w:rsidR="00197139" w:rsidRPr="00135431">
        <w:t>contribute to three of the four</w:t>
      </w:r>
      <w:r w:rsidR="00084094" w:rsidRPr="00135431">
        <w:t xml:space="preserve"> GCCF</w:t>
      </w:r>
      <w:r w:rsidR="00197139" w:rsidRPr="00135431">
        <w:t xml:space="preserve"> key </w:t>
      </w:r>
      <w:r w:rsidR="00EA5FED">
        <w:t>output</w:t>
      </w:r>
      <w:r w:rsidR="00197139" w:rsidRPr="00135431">
        <w:t xml:space="preserve"> areas:</w:t>
      </w:r>
      <w:r w:rsidR="00EA5FED">
        <w:t xml:space="preserve"> b</w:t>
      </w:r>
      <w:r w:rsidR="00197139" w:rsidRPr="00135431">
        <w:t>udget processes increasingly formulate gender responsive climate change related investments that will have a positive impact on poverty and human rights</w:t>
      </w:r>
      <w:r w:rsidR="00EA5FED">
        <w:t xml:space="preserve"> (output 1);</w:t>
      </w:r>
      <w:r w:rsidR="00197139" w:rsidRPr="00135431">
        <w:t xml:space="preserve"> </w:t>
      </w:r>
      <w:r w:rsidR="00EA5FED">
        <w:t>a</w:t>
      </w:r>
      <w:r w:rsidR="00197139" w:rsidRPr="00135431">
        <w:t>ccountability for gender-responsive climate change related investments that have impacts on poverty and human rights is enhanced</w:t>
      </w:r>
      <w:r w:rsidR="00EA5FED">
        <w:t xml:space="preserve"> (output 2); and r</w:t>
      </w:r>
      <w:r w:rsidR="00197139" w:rsidRPr="00135431">
        <w:t>egional institutions increasingly play a role in the integrated approach to gender-responsive climate change budgeting that have impacts on poverty and human rights</w:t>
      </w:r>
      <w:r w:rsidR="00EA5FED">
        <w:t xml:space="preserve"> (output 3)</w:t>
      </w:r>
      <w:r w:rsidR="00197139" w:rsidRPr="00135431">
        <w:t>.</w:t>
      </w:r>
    </w:p>
    <w:p w:rsidR="00DC5223" w:rsidRPr="00AB35A6" w:rsidRDefault="00197139" w:rsidP="009D6B25">
      <w:pPr>
        <w:numPr>
          <w:ilvl w:val="0"/>
          <w:numId w:val="21"/>
        </w:numPr>
        <w:spacing w:before="60" w:after="0"/>
        <w:ind w:left="357" w:hanging="357"/>
        <w:jc w:val="both"/>
        <w:rPr>
          <w:i/>
        </w:rPr>
      </w:pPr>
      <w:r w:rsidRPr="00B60424">
        <w:rPr>
          <w:i/>
        </w:rPr>
        <w:t>Strengthening Pacific Public Financial Management and Governance</w:t>
      </w:r>
      <w:r w:rsidR="006754E9" w:rsidRPr="00B60424">
        <w:rPr>
          <w:bCs/>
          <w:i/>
        </w:rPr>
        <w:t xml:space="preserve"> </w:t>
      </w:r>
      <w:r w:rsidR="00951A88" w:rsidRPr="00B60424">
        <w:rPr>
          <w:bCs/>
          <w:i/>
        </w:rPr>
        <w:t>(</w:t>
      </w:r>
      <w:r w:rsidR="00E23D17" w:rsidRPr="00B60424">
        <w:rPr>
          <w:i/>
        </w:rPr>
        <w:t>UNDP-EU-PFM</w:t>
      </w:r>
      <w:r w:rsidR="00951A88" w:rsidRPr="00B60424">
        <w:rPr>
          <w:bCs/>
          <w:i/>
        </w:rPr>
        <w:t>)</w:t>
      </w:r>
      <w:r w:rsidR="00951A88" w:rsidRPr="00135431">
        <w:rPr>
          <w:bCs/>
        </w:rPr>
        <w:t xml:space="preserve"> </w:t>
      </w:r>
      <w:r w:rsidR="006754E9" w:rsidRPr="00135431">
        <w:rPr>
          <w:bCs/>
        </w:rPr>
        <w:t xml:space="preserve">is </w:t>
      </w:r>
      <w:r w:rsidR="00951A88" w:rsidRPr="00135431">
        <w:rPr>
          <w:bCs/>
        </w:rPr>
        <w:t xml:space="preserve">the second phase of a </w:t>
      </w:r>
      <w:r w:rsidR="00A90FC8" w:rsidRPr="00135431">
        <w:rPr>
          <w:bCs/>
        </w:rPr>
        <w:t xml:space="preserve">highly </w:t>
      </w:r>
      <w:r w:rsidR="00951A88" w:rsidRPr="00135431">
        <w:rPr>
          <w:bCs/>
        </w:rPr>
        <w:t xml:space="preserve">successful PFM oversight project for the Pacific region. It is </w:t>
      </w:r>
      <w:r w:rsidR="006754E9" w:rsidRPr="00135431">
        <w:rPr>
          <w:bCs/>
        </w:rPr>
        <w:t>a USD3.4 million European Union funded project, being delivered by the UNDP Pacific Office Effective Governance team. The project contains a capacity development element on climate change</w:t>
      </w:r>
      <w:r w:rsidR="00A90FC8" w:rsidRPr="00135431">
        <w:rPr>
          <w:bCs/>
        </w:rPr>
        <w:t>,</w:t>
      </w:r>
      <w:r w:rsidR="006754E9" w:rsidRPr="00135431">
        <w:rPr>
          <w:bCs/>
        </w:rPr>
        <w:t xml:space="preserve"> in recognition of the crucial importance of climate change </w:t>
      </w:r>
      <w:r w:rsidR="00084094" w:rsidRPr="00135431">
        <w:rPr>
          <w:bCs/>
        </w:rPr>
        <w:t>in the Pacific,</w:t>
      </w:r>
      <w:r w:rsidR="006754E9" w:rsidRPr="00135431">
        <w:rPr>
          <w:bCs/>
        </w:rPr>
        <w:t xml:space="preserve"> and the necessity of building strong and accountable national systems for managing climate change funds</w:t>
      </w:r>
      <w:r w:rsidR="00951A88" w:rsidRPr="00135431">
        <w:rPr>
          <w:bCs/>
        </w:rPr>
        <w:t xml:space="preserve">. </w:t>
      </w:r>
      <w:r w:rsidR="008251B7" w:rsidRPr="00135431">
        <w:rPr>
          <w:bCs/>
        </w:rPr>
        <w:t>Thus,</w:t>
      </w:r>
      <w:r w:rsidR="00A90FC8" w:rsidRPr="00135431">
        <w:rPr>
          <w:bCs/>
        </w:rPr>
        <w:t xml:space="preserve"> the </w:t>
      </w:r>
      <w:r w:rsidR="00253797">
        <w:rPr>
          <w:bCs/>
        </w:rPr>
        <w:t>project</w:t>
      </w:r>
      <w:r w:rsidR="00A90FC8" w:rsidRPr="00135431">
        <w:rPr>
          <w:bCs/>
        </w:rPr>
        <w:t xml:space="preserve"> recognises that </w:t>
      </w:r>
      <w:r w:rsidR="00BB5F0F">
        <w:rPr>
          <w:bCs/>
        </w:rPr>
        <w:t>parliament</w:t>
      </w:r>
      <w:r w:rsidR="00A73D56">
        <w:rPr>
          <w:bCs/>
        </w:rPr>
        <w:t>s</w:t>
      </w:r>
      <w:r w:rsidR="006754E9" w:rsidRPr="00135431">
        <w:rPr>
          <w:bCs/>
        </w:rPr>
        <w:t xml:space="preserve"> and supreme audit institutions</w:t>
      </w:r>
      <w:r w:rsidR="00DC5223" w:rsidRPr="00135431">
        <w:rPr>
          <w:bCs/>
        </w:rPr>
        <w:t xml:space="preserve"> (SAI)</w:t>
      </w:r>
      <w:r w:rsidR="00951A88" w:rsidRPr="00135431">
        <w:rPr>
          <w:bCs/>
        </w:rPr>
        <w:t xml:space="preserve"> (</w:t>
      </w:r>
      <w:r w:rsidR="006754E9" w:rsidRPr="00135431">
        <w:rPr>
          <w:bCs/>
        </w:rPr>
        <w:t>engaged with citizens and civil society</w:t>
      </w:r>
      <w:r w:rsidR="00951A88" w:rsidRPr="00135431">
        <w:rPr>
          <w:bCs/>
        </w:rPr>
        <w:t>)</w:t>
      </w:r>
      <w:r w:rsidR="006754E9" w:rsidRPr="00135431">
        <w:rPr>
          <w:bCs/>
        </w:rPr>
        <w:t xml:space="preserve"> will need to be ready to play important oversight roles in this area. </w:t>
      </w:r>
      <w:r w:rsidR="00A90FC8" w:rsidRPr="00135431">
        <w:rPr>
          <w:bCs/>
        </w:rPr>
        <w:t xml:space="preserve">A partnership between the </w:t>
      </w:r>
      <w:r w:rsidR="008251B7">
        <w:rPr>
          <w:bCs/>
        </w:rPr>
        <w:t>GRDP</w:t>
      </w:r>
      <w:r w:rsidR="008251B7" w:rsidRPr="00135431">
        <w:rPr>
          <w:bCs/>
        </w:rPr>
        <w:t xml:space="preserve"> and</w:t>
      </w:r>
      <w:r w:rsidR="00A90FC8" w:rsidRPr="00135431">
        <w:rPr>
          <w:bCs/>
        </w:rPr>
        <w:t xml:space="preserve"> the </w:t>
      </w:r>
      <w:r w:rsidR="00E23D17" w:rsidRPr="00135431">
        <w:t xml:space="preserve">UNDP-EU-PFM </w:t>
      </w:r>
      <w:r w:rsidR="00A90FC8" w:rsidRPr="00135431">
        <w:rPr>
          <w:bCs/>
        </w:rPr>
        <w:t xml:space="preserve">will be mutually beneficial. </w:t>
      </w:r>
      <w:r w:rsidR="008251B7">
        <w:rPr>
          <w:bCs/>
        </w:rPr>
        <w:t>GRDP</w:t>
      </w:r>
      <w:r w:rsidR="008251B7" w:rsidRPr="00135431">
        <w:rPr>
          <w:bCs/>
        </w:rPr>
        <w:t xml:space="preserve"> will</w:t>
      </w:r>
      <w:r w:rsidR="00A90FC8" w:rsidRPr="00135431">
        <w:rPr>
          <w:bCs/>
        </w:rPr>
        <w:t xml:space="preserve"> benefit from the access through existing relationships in country and regional with </w:t>
      </w:r>
      <w:r w:rsidR="00BB5F0F">
        <w:rPr>
          <w:bCs/>
        </w:rPr>
        <w:t>parliament</w:t>
      </w:r>
      <w:r w:rsidR="00A73D56">
        <w:rPr>
          <w:bCs/>
        </w:rPr>
        <w:t>s</w:t>
      </w:r>
      <w:r w:rsidR="00A90FC8" w:rsidRPr="00135431">
        <w:rPr>
          <w:bCs/>
        </w:rPr>
        <w:t xml:space="preserve"> and supreme audit institutions (to achieve Output 2.1); whilst </w:t>
      </w:r>
      <w:r w:rsidR="00E23D17" w:rsidRPr="00135431">
        <w:t xml:space="preserve">UNDP-EU-PFM </w:t>
      </w:r>
      <w:r w:rsidR="00A90FC8" w:rsidRPr="00135431">
        <w:rPr>
          <w:bCs/>
        </w:rPr>
        <w:t xml:space="preserve">will </w:t>
      </w:r>
      <w:r w:rsidR="00DC5223" w:rsidRPr="00135431">
        <w:rPr>
          <w:bCs/>
        </w:rPr>
        <w:t xml:space="preserve">benefit from the </w:t>
      </w:r>
      <w:r w:rsidR="008251B7">
        <w:rPr>
          <w:bCs/>
        </w:rPr>
        <w:t>GRDP</w:t>
      </w:r>
      <w:r w:rsidR="00DC5223" w:rsidRPr="00135431">
        <w:rPr>
          <w:bCs/>
        </w:rPr>
        <w:t xml:space="preserve">’s technical expertise in enhancing </w:t>
      </w:r>
      <w:r w:rsidR="00BB5F0F">
        <w:rPr>
          <w:iCs/>
        </w:rPr>
        <w:t>parliament</w:t>
      </w:r>
      <w:r w:rsidR="00DC5223" w:rsidRPr="00135431">
        <w:rPr>
          <w:iCs/>
        </w:rPr>
        <w:t>ary and SAI capacity for climate change budget assessments (</w:t>
      </w:r>
      <w:r w:rsidR="00DC5223" w:rsidRPr="00135431">
        <w:t xml:space="preserve">SPFMG Output 1a). </w:t>
      </w:r>
    </w:p>
    <w:p w:rsidR="00AB35A6" w:rsidRPr="00135431" w:rsidRDefault="00854289" w:rsidP="00AB35A6">
      <w:pPr>
        <w:pStyle w:val="Heading3"/>
        <w:jc w:val="left"/>
      </w:pPr>
      <w:r>
        <w:t xml:space="preserve">Strategic </w:t>
      </w:r>
      <w:r w:rsidR="00AB35A6" w:rsidRPr="00135431">
        <w:t>Partner</w:t>
      </w:r>
      <w:r>
        <w:t>ships</w:t>
      </w:r>
    </w:p>
    <w:p w:rsidR="00AB35A6" w:rsidRPr="00135431" w:rsidRDefault="00AB35A6" w:rsidP="00854289">
      <w:pPr>
        <w:tabs>
          <w:tab w:val="left" w:pos="284"/>
        </w:tabs>
        <w:spacing w:line="280" w:lineRule="exact"/>
        <w:jc w:val="both"/>
      </w:pPr>
      <w:r w:rsidRPr="009823EA">
        <w:rPr>
          <w:rFonts w:cs="Arial"/>
          <w:b/>
          <w:bCs/>
        </w:rPr>
        <w:t>Australian Government</w:t>
      </w:r>
      <w:r w:rsidR="009823EA" w:rsidRPr="009823EA">
        <w:rPr>
          <w:rFonts w:cs="Arial"/>
          <w:b/>
          <w:bCs/>
        </w:rPr>
        <w:t xml:space="preserve">: </w:t>
      </w:r>
      <w:r w:rsidR="009823EA">
        <w:rPr>
          <w:rFonts w:cs="Arial"/>
          <w:bCs/>
        </w:rPr>
        <w:t>t</w:t>
      </w:r>
      <w:r w:rsidRPr="00135431">
        <w:rPr>
          <w:rFonts w:cs="Arial"/>
        </w:rPr>
        <w:t xml:space="preserve">he </w:t>
      </w:r>
      <w:r w:rsidR="00C36E2F">
        <w:rPr>
          <w:rFonts w:cs="Arial"/>
        </w:rPr>
        <w:t>PRRP</w:t>
      </w:r>
      <w:r w:rsidRPr="00135431">
        <w:rPr>
          <w:rFonts w:cs="Arial"/>
        </w:rPr>
        <w:t xml:space="preserve"> was primarily funded by the Australian Government. In order to fully realise the goals and objectives of a second phase, the Australian Government will be funding a proportion of ongoing work, primarily related to scaling up of the risk informed development initiatives (that were undertaken in Phase 1) at national and regional levels. </w:t>
      </w:r>
      <w:r w:rsidR="00807D7D">
        <w:rPr>
          <w:rFonts w:cs="Arial"/>
        </w:rPr>
        <w:t>T</w:t>
      </w:r>
      <w:r w:rsidRPr="00135431">
        <w:rPr>
          <w:rFonts w:cs="Arial"/>
        </w:rPr>
        <w:t xml:space="preserve">he </w:t>
      </w:r>
      <w:r w:rsidR="008251B7">
        <w:rPr>
          <w:rFonts w:cs="Arial"/>
        </w:rPr>
        <w:t>GRDP</w:t>
      </w:r>
      <w:r w:rsidR="008251B7" w:rsidRPr="00135431">
        <w:rPr>
          <w:rFonts w:cs="Arial"/>
        </w:rPr>
        <w:t xml:space="preserve"> will</w:t>
      </w:r>
      <w:r w:rsidRPr="00135431">
        <w:rPr>
          <w:rFonts w:cs="Arial"/>
        </w:rPr>
        <w:t xml:space="preserve"> work as one of the </w:t>
      </w:r>
      <w:r w:rsidRPr="00135431">
        <w:t xml:space="preserve">major components of the Climate Partnership and thereby work closely with Australian Department of Foreign Affairs and Trade’s (DFAT) bilateral programs and Posts. In 2018, Australian Government research undertaken by DFAT’s Office of Development Effectiveness (ODE), identified economic and social development challenges due to the increasing impact of climate change and geo-hazards as a major risk for Pacific social and economic development. This research concluded that there is a particular need to help Pacific governments and citizens understand, manage and resource their responses to the challenges of climate change and geo-hazards. Additionally, the Australian Foreign Policy White Paper (2017) committed to working with Pacific governments to respond to climate change, particularly to support the capacity of governments and regional organisations to manage and lead this response. The </w:t>
      </w:r>
      <w:r w:rsidR="008251B7">
        <w:t>GRDP</w:t>
      </w:r>
      <w:r w:rsidR="008251B7" w:rsidRPr="00135431">
        <w:t xml:space="preserve"> will</w:t>
      </w:r>
      <w:r w:rsidRPr="00135431">
        <w:t xml:space="preserve"> directly contribute to realising these commitments. </w:t>
      </w:r>
    </w:p>
    <w:p w:rsidR="00AB35A6" w:rsidRPr="00135431" w:rsidRDefault="00AB35A6" w:rsidP="00854289">
      <w:pPr>
        <w:spacing w:line="276" w:lineRule="auto"/>
        <w:jc w:val="both"/>
        <w:rPr>
          <w:rFonts w:cs="Arial"/>
        </w:rPr>
      </w:pPr>
      <w:r w:rsidRPr="009823EA">
        <w:rPr>
          <w:rFonts w:cs="Arial"/>
          <w:b/>
          <w:bCs/>
        </w:rPr>
        <w:t>KOICA</w:t>
      </w:r>
      <w:r w:rsidR="009823EA" w:rsidRPr="009823EA">
        <w:rPr>
          <w:rFonts w:cs="Arial"/>
          <w:b/>
          <w:bCs/>
        </w:rPr>
        <w:t xml:space="preserve">: </w:t>
      </w:r>
      <w:r w:rsidR="009823EA">
        <w:rPr>
          <w:rFonts w:cs="Arial"/>
          <w:bCs/>
        </w:rPr>
        <w:t>t</w:t>
      </w:r>
      <w:r w:rsidRPr="00135431">
        <w:rPr>
          <w:rFonts w:cs="Arial"/>
        </w:rPr>
        <w:t xml:space="preserve">he intended outcomes of the </w:t>
      </w:r>
      <w:r w:rsidR="008251B7">
        <w:rPr>
          <w:rFonts w:cs="Arial"/>
        </w:rPr>
        <w:t>GRDP</w:t>
      </w:r>
      <w:r w:rsidR="008251B7" w:rsidRPr="00135431">
        <w:rPr>
          <w:rFonts w:cs="Arial"/>
        </w:rPr>
        <w:t xml:space="preserve"> are</w:t>
      </w:r>
      <w:r w:rsidRPr="00135431">
        <w:rPr>
          <w:rFonts w:cs="Arial"/>
        </w:rPr>
        <w:t xml:space="preserve"> clearly aligned to the three Strategic Objectives for Climate Change Response from KOICA’s Mid-term Sectoral Strategy. </w:t>
      </w:r>
      <w:r w:rsidR="008251B7">
        <w:rPr>
          <w:rFonts w:cs="Arial"/>
        </w:rPr>
        <w:t>GRDP</w:t>
      </w:r>
      <w:r w:rsidR="008251B7" w:rsidRPr="00135431">
        <w:rPr>
          <w:rFonts w:cs="Arial"/>
        </w:rPr>
        <w:t xml:space="preserve"> Outcome</w:t>
      </w:r>
      <w:r w:rsidRPr="00135431">
        <w:rPr>
          <w:rFonts w:cs="Arial"/>
        </w:rPr>
        <w:t xml:space="preserve"> 1: </w:t>
      </w:r>
      <w:r w:rsidRPr="00135431">
        <w:rPr>
          <w:rFonts w:cs="Arial" w:hint="cs"/>
        </w:rPr>
        <w:t xml:space="preserve">Government planning and financing systems enable </w:t>
      </w:r>
      <w:r w:rsidR="00334F07" w:rsidRPr="00334F07">
        <w:rPr>
          <w:rFonts w:cs="Arial"/>
        </w:rPr>
        <w:t xml:space="preserve">gender and socially inclusive </w:t>
      </w:r>
      <w:r w:rsidRPr="00135431">
        <w:rPr>
          <w:rFonts w:cs="Arial" w:hint="cs"/>
        </w:rPr>
        <w:t>risk-informed development</w:t>
      </w:r>
      <w:r w:rsidRPr="00135431">
        <w:rPr>
          <w:rFonts w:cs="Arial"/>
        </w:rPr>
        <w:t xml:space="preserve"> will support achievement of KOICA Strategy: 9.1.2 - Improvement in climate adaptive capacity; 9.1.3 - Mainstreaming of climate projects; 9.2.1 - Increase in capacity building for climate change; and 9.3.1 - Improvement in access to climate funds. All three </w:t>
      </w:r>
      <w:r w:rsidR="008251B7">
        <w:rPr>
          <w:rFonts w:cs="Arial"/>
        </w:rPr>
        <w:t>GRDP</w:t>
      </w:r>
      <w:r w:rsidR="008251B7" w:rsidRPr="00135431">
        <w:rPr>
          <w:rFonts w:cs="Arial"/>
        </w:rPr>
        <w:t xml:space="preserve"> Outcomes</w:t>
      </w:r>
      <w:r w:rsidRPr="00135431">
        <w:rPr>
          <w:rFonts w:cs="Arial"/>
        </w:rPr>
        <w:t xml:space="preserve"> will also support the achievement of the Gender Equality and Governance components of KOICA’s Mid-term Sectoral Strategy. Additionally, the Project will support achievement in each of the countries of SDG 5, SDG 13 and SDG 17.</w:t>
      </w:r>
    </w:p>
    <w:p w:rsidR="00AB35A6" w:rsidRPr="00135431" w:rsidRDefault="00AB35A6" w:rsidP="00854289">
      <w:pPr>
        <w:spacing w:line="276" w:lineRule="auto"/>
        <w:jc w:val="both"/>
        <w:rPr>
          <w:rFonts w:cs="Arial"/>
        </w:rPr>
      </w:pPr>
      <w:r w:rsidRPr="009823EA">
        <w:rPr>
          <w:rFonts w:cs="Arial"/>
          <w:b/>
          <w:bCs/>
        </w:rPr>
        <w:t>New Zealand Government</w:t>
      </w:r>
      <w:r w:rsidR="009823EA" w:rsidRPr="009823EA">
        <w:rPr>
          <w:rFonts w:cs="Arial"/>
          <w:b/>
          <w:bCs/>
        </w:rPr>
        <w:t>:</w:t>
      </w:r>
      <w:r w:rsidR="009823EA">
        <w:rPr>
          <w:rFonts w:cs="Arial"/>
          <w:bCs/>
        </w:rPr>
        <w:t xml:space="preserve"> t</w:t>
      </w:r>
      <w:r w:rsidRPr="00135431">
        <w:rPr>
          <w:rFonts w:cs="Arial"/>
        </w:rPr>
        <w:t xml:space="preserve">here is a clear alignment between the New Zealand Government’s strategic positions on climate change, engagement with the Pacific and Overseas Development Assistance goals, and the objectives of the </w:t>
      </w:r>
      <w:r w:rsidR="008251B7">
        <w:rPr>
          <w:rFonts w:cs="Arial"/>
        </w:rPr>
        <w:t>GRDP</w:t>
      </w:r>
      <w:r w:rsidR="008251B7" w:rsidRPr="00135431">
        <w:rPr>
          <w:rFonts w:cs="Arial"/>
        </w:rPr>
        <w:t>.</w:t>
      </w:r>
      <w:r w:rsidRPr="00135431">
        <w:rPr>
          <w:rFonts w:cs="Arial"/>
        </w:rPr>
        <w:t xml:space="preserve"> On 15 August 2019, Prime Minister, Rt Hon Jacinda </w:t>
      </w:r>
      <w:proofErr w:type="spellStart"/>
      <w:r w:rsidRPr="00135431">
        <w:rPr>
          <w:rFonts w:cs="Arial"/>
        </w:rPr>
        <w:t>Adern</w:t>
      </w:r>
      <w:proofErr w:type="spellEnd"/>
      <w:r w:rsidRPr="00135431">
        <w:rPr>
          <w:rFonts w:cs="Arial"/>
        </w:rPr>
        <w:t xml:space="preserve"> stated “whenever I meet with those who live on Pacific Islands, climate change is top of their agenda”</w:t>
      </w:r>
      <w:r w:rsidRPr="00807D7D">
        <w:rPr>
          <w:vertAlign w:val="superscript"/>
        </w:rPr>
        <w:footnoteReference w:id="16"/>
      </w:r>
      <w:r w:rsidRPr="00135431">
        <w:rPr>
          <w:rFonts w:cs="Arial"/>
        </w:rPr>
        <w:t xml:space="preserve">. Improving climate change resilience and strengthening governance and public sector performance are priority medium-term outcomes for New Zealand’s Pacific Regional </w:t>
      </w:r>
      <w:r w:rsidR="008251B7" w:rsidRPr="00135431">
        <w:rPr>
          <w:rFonts w:cs="Arial"/>
        </w:rPr>
        <w:t>Four-Year</w:t>
      </w:r>
      <w:r w:rsidRPr="00135431">
        <w:rPr>
          <w:rFonts w:cs="Arial"/>
        </w:rPr>
        <w:t xml:space="preserve"> Plan and eight of twelve Pacific Island Country Four Year Plans. The MFAT Mainstreaming Climate Change Governance Business Case articulates that there is broad alignment between the Objectives of the </w:t>
      </w:r>
      <w:r w:rsidR="008251B7">
        <w:rPr>
          <w:rFonts w:cs="Arial"/>
        </w:rPr>
        <w:t>GRDP</w:t>
      </w:r>
      <w:r w:rsidR="008251B7" w:rsidRPr="00135431">
        <w:rPr>
          <w:rFonts w:cs="Arial"/>
        </w:rPr>
        <w:t xml:space="preserve"> </w:t>
      </w:r>
      <w:r w:rsidR="008251B7">
        <w:rPr>
          <w:rFonts w:cs="Arial"/>
        </w:rPr>
        <w:t xml:space="preserve">and </w:t>
      </w:r>
      <w:r w:rsidR="008251B7" w:rsidRPr="00135431">
        <w:rPr>
          <w:rFonts w:cs="Arial"/>
        </w:rPr>
        <w:t>MFAT’s</w:t>
      </w:r>
      <w:r w:rsidRPr="00135431">
        <w:rPr>
          <w:rFonts w:cs="Arial"/>
        </w:rPr>
        <w:t xml:space="preserve"> strategic goals, 20 year strategies and four-year plans, as well as 10 year outcomes and key results. </w:t>
      </w:r>
    </w:p>
    <w:p w:rsidR="00AB35A6" w:rsidRPr="0012040D" w:rsidRDefault="00345CFD" w:rsidP="00854289">
      <w:pPr>
        <w:spacing w:line="276" w:lineRule="auto"/>
        <w:jc w:val="both"/>
      </w:pPr>
      <w:r w:rsidRPr="00345CFD">
        <w:rPr>
          <w:rFonts w:cs="Arial"/>
          <w:b/>
        </w:rPr>
        <w:t>Swedish International Development Cooperation Agency (SIDA)</w:t>
      </w:r>
      <w:r w:rsidR="009823EA" w:rsidRPr="00345CFD">
        <w:rPr>
          <w:rFonts w:cs="Arial"/>
          <w:b/>
          <w:bCs/>
        </w:rPr>
        <w:t>:</w:t>
      </w:r>
      <w:r w:rsidR="009823EA" w:rsidRPr="009823EA">
        <w:rPr>
          <w:rFonts w:cs="Arial"/>
          <w:b/>
          <w:bCs/>
        </w:rPr>
        <w:t xml:space="preserve"> </w:t>
      </w:r>
      <w:r>
        <w:t>o</w:t>
      </w:r>
      <w:r w:rsidRPr="00020478">
        <w:t>ver the last few years</w:t>
      </w:r>
      <w:r>
        <w:t xml:space="preserve"> </w:t>
      </w:r>
      <w:r w:rsidRPr="00345CFD">
        <w:rPr>
          <w:rFonts w:cs="Arial"/>
        </w:rPr>
        <w:t>SIDA</w:t>
      </w:r>
      <w:r>
        <w:rPr>
          <w:rFonts w:cs="Arial"/>
          <w:color w:val="FF0000"/>
        </w:rPr>
        <w:t xml:space="preserve"> </w:t>
      </w:r>
      <w:r w:rsidRPr="00020478">
        <w:t>and UNDP</w:t>
      </w:r>
      <w:r>
        <w:t xml:space="preserve"> Asia-Pacific Regional Hub</w:t>
      </w:r>
      <w:r w:rsidRPr="00020478">
        <w:t xml:space="preserve"> have pioneer</w:t>
      </w:r>
      <w:r>
        <w:t xml:space="preserve">ed an </w:t>
      </w:r>
      <w:r w:rsidRPr="00020478">
        <w:t>approach</w:t>
      </w:r>
      <w:r>
        <w:t xml:space="preserve"> with </w:t>
      </w:r>
      <w:r w:rsidRPr="00020478">
        <w:t>countries to strengthen their national systems and capacities to finance development</w:t>
      </w:r>
      <w:r>
        <w:t xml:space="preserve"> in ways that are climate sensitive and gender responsive</w:t>
      </w:r>
      <w:r w:rsidRPr="00020478">
        <w:t>.</w:t>
      </w:r>
      <w:r w:rsidR="0012040D">
        <w:t xml:space="preserve"> This has led to substantive learning across the Asia and increasingly the Pacific region. SIDA, with other development partners, is now working with UNDP to launch a Climate Finance Network (CFN) for the Asia Pacific region to further diffuse and substantiate this learning. The </w:t>
      </w:r>
      <w:r w:rsidR="008251B7">
        <w:t>GRDP will</w:t>
      </w:r>
      <w:r w:rsidR="0012040D">
        <w:t xml:space="preserve"> support the Pacific portion of this initiative to facilitate regional learning across Asia and the Pacific but also to harness more substantive approaches to climate sensitive and gender responsive budgeting in the Pacific based on this learning.</w:t>
      </w:r>
    </w:p>
    <w:p w:rsidR="002F14AB" w:rsidRPr="00135431" w:rsidRDefault="0078525E" w:rsidP="00EA5FED">
      <w:pPr>
        <w:pStyle w:val="Heading3"/>
        <w:jc w:val="left"/>
      </w:pPr>
      <w:bookmarkStart w:id="44" w:name="_Ref21966141"/>
      <w:bookmarkStart w:id="45" w:name="_Toc22745662"/>
      <w:r>
        <w:t xml:space="preserve">Country Level </w:t>
      </w:r>
      <w:bookmarkEnd w:id="44"/>
      <w:bookmarkEnd w:id="45"/>
      <w:r>
        <w:t>Partnerships and Stakeholder Engagement</w:t>
      </w:r>
    </w:p>
    <w:p w:rsidR="00A02A67" w:rsidRPr="00135431" w:rsidRDefault="00D74D1C" w:rsidP="00D5541D">
      <w:pPr>
        <w:spacing w:after="120" w:line="276" w:lineRule="auto"/>
        <w:jc w:val="both"/>
        <w:rPr>
          <w:rFonts w:cs="Arial"/>
        </w:rPr>
      </w:pPr>
      <w:r w:rsidRPr="00135431">
        <w:rPr>
          <w:rFonts w:cs="Arial"/>
        </w:rPr>
        <w:t xml:space="preserve">Shifting decision making and governance systems towards resilient development </w:t>
      </w:r>
      <w:r w:rsidR="00A02A67" w:rsidRPr="00135431">
        <w:rPr>
          <w:rFonts w:cs="Arial"/>
        </w:rPr>
        <w:t xml:space="preserve">requires an in-depth understanding of the overall context for development, and if done effectively, should benefit </w:t>
      </w:r>
      <w:r w:rsidR="00A02A67" w:rsidRPr="00135431">
        <w:rPr>
          <w:rFonts w:cs="Arial"/>
          <w:bCs/>
        </w:rPr>
        <w:t>all</w:t>
      </w:r>
      <w:r w:rsidR="00A02A67" w:rsidRPr="00135431">
        <w:rPr>
          <w:rFonts w:cs="Arial"/>
        </w:rPr>
        <w:t xml:space="preserve"> recipients of government services and development activities across each country. </w:t>
      </w:r>
      <w:r w:rsidR="008251B7">
        <w:rPr>
          <w:rFonts w:cs="Arial"/>
        </w:rPr>
        <w:t>GRDP</w:t>
      </w:r>
      <w:r w:rsidR="008251B7" w:rsidRPr="00135431">
        <w:rPr>
          <w:rFonts w:cs="Arial"/>
        </w:rPr>
        <w:t xml:space="preserve"> will</w:t>
      </w:r>
      <w:r w:rsidR="00A02A67" w:rsidRPr="00135431">
        <w:rPr>
          <w:rFonts w:cs="Arial"/>
        </w:rPr>
        <w:t xml:space="preserve"> build off the </w:t>
      </w:r>
      <w:r w:rsidR="0040151B">
        <w:rPr>
          <w:rFonts w:cs="Arial"/>
        </w:rPr>
        <w:t xml:space="preserve">PRRP </w:t>
      </w:r>
      <w:r w:rsidR="00A02A67" w:rsidRPr="00135431">
        <w:rPr>
          <w:rFonts w:cs="Arial"/>
        </w:rPr>
        <w:t>approach of creating and strengthening human capacity for climate change response from within existing governance systems</w:t>
      </w:r>
      <w:r w:rsidR="00D5541D">
        <w:rPr>
          <w:rFonts w:cs="Arial"/>
        </w:rPr>
        <w:t xml:space="preserve"> at country level</w:t>
      </w:r>
      <w:r w:rsidR="00A02A67" w:rsidRPr="00135431">
        <w:rPr>
          <w:rFonts w:cs="Arial"/>
        </w:rPr>
        <w:t xml:space="preserve">. </w:t>
      </w:r>
      <w:r w:rsidRPr="00135431">
        <w:rPr>
          <w:rFonts w:cs="Arial"/>
        </w:rPr>
        <w:t xml:space="preserve">Some of these will be </w:t>
      </w:r>
      <w:r w:rsidR="00D5541D">
        <w:rPr>
          <w:rFonts w:cs="Arial"/>
        </w:rPr>
        <w:t xml:space="preserve">through new </w:t>
      </w:r>
      <w:r w:rsidR="00A02A67" w:rsidRPr="00135431">
        <w:rPr>
          <w:rFonts w:cs="Arial"/>
        </w:rPr>
        <w:t>‘government posts’</w:t>
      </w:r>
      <w:r w:rsidRPr="00135431">
        <w:rPr>
          <w:rFonts w:cs="Arial"/>
        </w:rPr>
        <w:t>, and some existing government positions</w:t>
      </w:r>
      <w:r w:rsidR="0091517F">
        <w:rPr>
          <w:rFonts w:cs="Arial"/>
        </w:rPr>
        <w:t xml:space="preserve"> in a range of development sectors, including gender and social inclusion</w:t>
      </w:r>
      <w:r w:rsidRPr="00135431">
        <w:rPr>
          <w:rFonts w:cs="Arial"/>
        </w:rPr>
        <w:t xml:space="preserve">. These government posts and existing positions </w:t>
      </w:r>
      <w:r w:rsidR="00A02A67" w:rsidRPr="00135431">
        <w:rPr>
          <w:rFonts w:cs="Arial"/>
        </w:rPr>
        <w:t xml:space="preserve">will be the </w:t>
      </w:r>
      <w:r w:rsidRPr="00135431">
        <w:rPr>
          <w:rFonts w:cs="Arial"/>
        </w:rPr>
        <w:t xml:space="preserve">target groups for the majority </w:t>
      </w:r>
      <w:r w:rsidR="00A02A67" w:rsidRPr="00135431">
        <w:rPr>
          <w:rFonts w:cs="Arial"/>
        </w:rPr>
        <w:t xml:space="preserve">of the </w:t>
      </w:r>
      <w:r w:rsidR="00253797">
        <w:rPr>
          <w:rFonts w:cs="Arial"/>
        </w:rPr>
        <w:t>project</w:t>
      </w:r>
      <w:r w:rsidRPr="00135431">
        <w:rPr>
          <w:rFonts w:cs="Arial"/>
        </w:rPr>
        <w:t xml:space="preserve">’s </w:t>
      </w:r>
      <w:r w:rsidR="00A02A67" w:rsidRPr="00135431">
        <w:rPr>
          <w:rFonts w:cs="Arial"/>
        </w:rPr>
        <w:t>interventions</w:t>
      </w:r>
      <w:r w:rsidRPr="00135431">
        <w:rPr>
          <w:rFonts w:cs="Arial"/>
        </w:rPr>
        <w:t xml:space="preserve">. These positions will </w:t>
      </w:r>
      <w:r w:rsidR="00A02A67" w:rsidRPr="00135431">
        <w:rPr>
          <w:rFonts w:cs="Arial"/>
        </w:rPr>
        <w:t xml:space="preserve">provide dedicated capacity within organisations to ensure both that development is sustainable and that there is sustainability of the </w:t>
      </w:r>
      <w:r w:rsidR="00253797">
        <w:rPr>
          <w:rFonts w:cs="Arial"/>
        </w:rPr>
        <w:t>project</w:t>
      </w:r>
      <w:r w:rsidR="00A02A67" w:rsidRPr="00135431">
        <w:rPr>
          <w:rFonts w:cs="Arial"/>
        </w:rPr>
        <w:t xml:space="preserve"> interventions. </w:t>
      </w:r>
      <w:r w:rsidR="0091517F">
        <w:rPr>
          <w:rFonts w:cs="Arial"/>
        </w:rPr>
        <w:t xml:space="preserve">Partnerships will also be established with civil society and private sector, particularly in relation to oversight and accountability activities.  </w:t>
      </w:r>
    </w:p>
    <w:p w:rsidR="00496A45" w:rsidRDefault="00A02A67" w:rsidP="00D5541D">
      <w:pPr>
        <w:spacing w:before="120" w:line="276" w:lineRule="auto"/>
        <w:jc w:val="both"/>
        <w:rPr>
          <w:rFonts w:cs="Arial"/>
        </w:rPr>
      </w:pPr>
      <w:r w:rsidRPr="00135431">
        <w:rPr>
          <w:rFonts w:cs="Arial"/>
        </w:rPr>
        <w:t xml:space="preserve">The beneficiaries of the </w:t>
      </w:r>
      <w:r w:rsidR="00253797">
        <w:rPr>
          <w:rFonts w:cs="Arial"/>
        </w:rPr>
        <w:t>project</w:t>
      </w:r>
      <w:r w:rsidRPr="00135431">
        <w:rPr>
          <w:rFonts w:cs="Arial"/>
        </w:rPr>
        <w:t xml:space="preserve"> within each of the target countries will be determined based on the appetite for adoption of, or progress to risk inform development, the existing development priorities of the government and private sector and the existing leadership within the pathway/sector</w:t>
      </w:r>
      <w:r w:rsidRPr="00D5541D">
        <w:rPr>
          <w:rFonts w:cs="Arial"/>
        </w:rPr>
        <w:t>.</w:t>
      </w:r>
      <w:r w:rsidR="00E96E7B">
        <w:rPr>
          <w:rFonts w:cs="Arial"/>
        </w:rPr>
        <w:t xml:space="preserve"> Th</w:t>
      </w:r>
      <w:r w:rsidR="002A5D28">
        <w:rPr>
          <w:rFonts w:cs="Arial"/>
        </w:rPr>
        <w:t>ese</w:t>
      </w:r>
      <w:r w:rsidR="00E96E7B">
        <w:rPr>
          <w:rFonts w:cs="Arial"/>
        </w:rPr>
        <w:t xml:space="preserve"> stakeholders will be determined through a thorough consultation process. </w:t>
      </w:r>
      <w:r w:rsidRPr="00135431">
        <w:rPr>
          <w:rFonts w:cs="Arial"/>
        </w:rPr>
        <w:t xml:space="preserve">The outcomes of these consultations </w:t>
      </w:r>
      <w:r w:rsidR="005C664C" w:rsidRPr="00135431">
        <w:rPr>
          <w:rFonts w:cs="Arial"/>
        </w:rPr>
        <w:t xml:space="preserve">are being </w:t>
      </w:r>
      <w:r w:rsidRPr="00135431">
        <w:rPr>
          <w:rFonts w:cs="Arial"/>
        </w:rPr>
        <w:t>used to inform the project baselines, which in turn will allow the Project team to determine in more detail the number of beneficiaries within each sector, and the likely indirect beneficiaries.</w:t>
      </w:r>
      <w:bookmarkStart w:id="46" w:name="_Ref22287022"/>
    </w:p>
    <w:p w:rsidR="00173FB7" w:rsidRPr="00135431" w:rsidRDefault="00173FB7" w:rsidP="00D5541D">
      <w:pPr>
        <w:spacing w:before="120" w:line="276" w:lineRule="auto"/>
        <w:jc w:val="both"/>
        <w:rPr>
          <w:rFonts w:cs="Arial"/>
        </w:rPr>
      </w:pPr>
    </w:p>
    <w:p w:rsidR="002F14AB" w:rsidRPr="00135431" w:rsidRDefault="0078525E" w:rsidP="007828BD">
      <w:pPr>
        <w:pStyle w:val="Heading3"/>
        <w:jc w:val="left"/>
      </w:pPr>
      <w:bookmarkStart w:id="47" w:name="_Toc22745663"/>
      <w:r>
        <w:t xml:space="preserve">Partnerships across the Region: </w:t>
      </w:r>
      <w:r w:rsidR="00051641">
        <w:t>Peer-to-Peer</w:t>
      </w:r>
      <w:r w:rsidR="002F14AB" w:rsidRPr="00135431">
        <w:t xml:space="preserve"> and Triangular Cooperation</w:t>
      </w:r>
      <w:bookmarkEnd w:id="46"/>
      <w:bookmarkEnd w:id="47"/>
    </w:p>
    <w:p w:rsidR="00085FB3" w:rsidRPr="00135431" w:rsidRDefault="00537304" w:rsidP="0097069C">
      <w:pPr>
        <w:spacing w:line="276" w:lineRule="auto"/>
        <w:jc w:val="both"/>
        <w:rPr>
          <w:rFonts w:cs="Arial"/>
          <w:bCs/>
        </w:rPr>
      </w:pPr>
      <w:r w:rsidRPr="00135431">
        <w:rPr>
          <w:rFonts w:cs="Arial"/>
        </w:rPr>
        <w:t xml:space="preserve">Recognising the value of jointly advocating, sharing knowledge, developing capacity and supporting more informed decision making, </w:t>
      </w:r>
      <w:r w:rsidR="008251B7">
        <w:rPr>
          <w:rFonts w:cs="Arial"/>
        </w:rPr>
        <w:t>GRDP</w:t>
      </w:r>
      <w:r w:rsidR="008251B7" w:rsidRPr="00135431">
        <w:rPr>
          <w:rFonts w:cs="Arial"/>
        </w:rPr>
        <w:t xml:space="preserve"> will</w:t>
      </w:r>
      <w:r w:rsidRPr="00135431">
        <w:rPr>
          <w:rFonts w:cs="Arial"/>
        </w:rPr>
        <w:t xml:space="preserve"> contribute to regional and global networks and facilitate regional networks if and where </w:t>
      </w:r>
      <w:r w:rsidR="00A8769D">
        <w:rPr>
          <w:rFonts w:cs="Arial"/>
        </w:rPr>
        <w:t>it is</w:t>
      </w:r>
      <w:r w:rsidR="00A8769D" w:rsidRPr="00135431">
        <w:rPr>
          <w:rFonts w:cs="Arial"/>
        </w:rPr>
        <w:t xml:space="preserve"> </w:t>
      </w:r>
      <w:r w:rsidRPr="00135431">
        <w:rPr>
          <w:rFonts w:cs="Arial"/>
        </w:rPr>
        <w:t>appropriate</w:t>
      </w:r>
      <w:r w:rsidR="00CC1BC9">
        <w:rPr>
          <w:rFonts w:cs="Arial"/>
        </w:rPr>
        <w:t>.</w:t>
      </w:r>
      <w:r w:rsidRPr="00135431">
        <w:rPr>
          <w:rFonts w:cs="Arial"/>
        </w:rPr>
        <w:t xml:space="preserve"> </w:t>
      </w:r>
      <w:r w:rsidR="00085FB3" w:rsidRPr="00135431">
        <w:rPr>
          <w:rFonts w:cs="Arial"/>
        </w:rPr>
        <w:t xml:space="preserve">To fulfil Output 3.1, this will involve supporting </w:t>
      </w:r>
      <w:r w:rsidR="00085FB3" w:rsidRPr="0097069C">
        <w:rPr>
          <w:rFonts w:cs="Arial"/>
          <w:u w:val="single"/>
        </w:rPr>
        <w:t xml:space="preserve">countries </w:t>
      </w:r>
      <w:r w:rsidR="00085FB3" w:rsidRPr="0097069C">
        <w:rPr>
          <w:u w:val="single"/>
        </w:rPr>
        <w:t>to work collectively</w:t>
      </w:r>
      <w:r w:rsidR="00085FB3" w:rsidRPr="00135431">
        <w:t xml:space="preserve"> to influence other countries and regional agencies. </w:t>
      </w:r>
      <w:r w:rsidR="00FF04A0" w:rsidRPr="00135431">
        <w:t>E</w:t>
      </w:r>
      <w:r w:rsidR="00FF04A0" w:rsidRPr="00135431">
        <w:rPr>
          <w:rFonts w:cs="Arial"/>
        </w:rPr>
        <w:t>xisting examples of these networks</w:t>
      </w:r>
      <w:r w:rsidR="00085FB3" w:rsidRPr="00135431">
        <w:rPr>
          <w:rFonts w:cs="Arial"/>
        </w:rPr>
        <w:t xml:space="preserve"> established during the </w:t>
      </w:r>
      <w:r w:rsidR="0040151B">
        <w:rPr>
          <w:rFonts w:cs="Arial"/>
        </w:rPr>
        <w:t>PRRP</w:t>
      </w:r>
      <w:r w:rsidR="00085FB3" w:rsidRPr="00135431">
        <w:rPr>
          <w:rFonts w:cs="Arial"/>
        </w:rPr>
        <w:t xml:space="preserve"> include: </w:t>
      </w:r>
      <w:r w:rsidR="00085FB3" w:rsidRPr="00135431">
        <w:rPr>
          <w:rFonts w:cs="Arial"/>
          <w:bCs/>
        </w:rPr>
        <w:t>Protection in the Pacific (</w:t>
      </w:r>
      <w:proofErr w:type="spellStart"/>
      <w:r w:rsidR="00085FB3" w:rsidRPr="00135431">
        <w:rPr>
          <w:rFonts w:cs="Arial"/>
          <w:bCs/>
        </w:rPr>
        <w:t>ProPa</w:t>
      </w:r>
      <w:proofErr w:type="spellEnd"/>
      <w:r w:rsidR="00085FB3" w:rsidRPr="00135431">
        <w:rPr>
          <w:rFonts w:cs="Arial"/>
          <w:bCs/>
        </w:rPr>
        <w:t>), whose members represent ministries of gender and protection</w:t>
      </w:r>
      <w:r w:rsidR="00FF04A0">
        <w:rPr>
          <w:rFonts w:cs="Arial"/>
          <w:bCs/>
        </w:rPr>
        <w:t>; t</w:t>
      </w:r>
      <w:r w:rsidR="00085FB3" w:rsidRPr="00135431">
        <w:rPr>
          <w:rFonts w:cs="Arial"/>
          <w:bCs/>
        </w:rPr>
        <w:t>he Pacific Business Resilience Network, situated within the Pacific Islands Private Sector Organisation (PIPSO)</w:t>
      </w:r>
      <w:r w:rsidR="00FF04A0">
        <w:rPr>
          <w:rFonts w:cs="Arial"/>
          <w:bCs/>
        </w:rPr>
        <w:t>; and a c</w:t>
      </w:r>
      <w:r w:rsidR="00085FB3" w:rsidRPr="00135431">
        <w:rPr>
          <w:rFonts w:cs="Arial"/>
          <w:bCs/>
        </w:rPr>
        <w:t xml:space="preserve">ommunity of </w:t>
      </w:r>
      <w:r w:rsidR="00FF04A0">
        <w:rPr>
          <w:rFonts w:cs="Arial"/>
          <w:bCs/>
        </w:rPr>
        <w:t>p</w:t>
      </w:r>
      <w:r w:rsidR="00085FB3" w:rsidRPr="00135431">
        <w:rPr>
          <w:rFonts w:cs="Arial"/>
          <w:bCs/>
        </w:rPr>
        <w:t>ractice for Local Level Risk-informed Development</w:t>
      </w:r>
      <w:r w:rsidR="00BD557E" w:rsidRPr="00135431">
        <w:rPr>
          <w:rFonts w:cs="Arial"/>
          <w:bCs/>
        </w:rPr>
        <w:t>.</w:t>
      </w:r>
    </w:p>
    <w:p w:rsidR="0097069C" w:rsidRDefault="00085FB3" w:rsidP="0097069C">
      <w:pPr>
        <w:spacing w:before="120" w:line="276" w:lineRule="auto"/>
        <w:jc w:val="both"/>
        <w:rPr>
          <w:iCs/>
          <w:color w:val="000000"/>
          <w:lang w:val="en-US"/>
        </w:rPr>
      </w:pPr>
      <w:r w:rsidRPr="00135431">
        <w:rPr>
          <w:rFonts w:cs="Arial"/>
        </w:rPr>
        <w:t xml:space="preserve">To fulfil Output 3.2, </w:t>
      </w:r>
      <w:r w:rsidR="008251B7">
        <w:rPr>
          <w:rFonts w:cs="Arial"/>
        </w:rPr>
        <w:t>GRDP</w:t>
      </w:r>
      <w:r w:rsidR="008251B7" w:rsidRPr="00135431">
        <w:rPr>
          <w:rFonts w:cs="Arial"/>
        </w:rPr>
        <w:t xml:space="preserve"> will</w:t>
      </w:r>
      <w:r w:rsidRPr="00135431">
        <w:rPr>
          <w:rFonts w:cs="Arial"/>
        </w:rPr>
        <w:t xml:space="preserve"> work with actors to enhance their cogni</w:t>
      </w:r>
      <w:r w:rsidR="00CD685E" w:rsidRPr="00135431">
        <w:rPr>
          <w:rFonts w:cs="Arial"/>
        </w:rPr>
        <w:t>s</w:t>
      </w:r>
      <w:r w:rsidRPr="00135431">
        <w:rPr>
          <w:rFonts w:cs="Arial"/>
        </w:rPr>
        <w:t xml:space="preserve">ance and preparedness to actively support countries to implement </w:t>
      </w:r>
      <w:r w:rsidR="00334F07">
        <w:rPr>
          <w:rFonts w:cs="Arial"/>
        </w:rPr>
        <w:t>g</w:t>
      </w:r>
      <w:r w:rsidR="00334F07" w:rsidRPr="00334F07">
        <w:rPr>
          <w:rFonts w:cs="Arial"/>
        </w:rPr>
        <w:t xml:space="preserve">ender and socially inclusive </w:t>
      </w:r>
      <w:r w:rsidRPr="00135431">
        <w:rPr>
          <w:rFonts w:cs="Arial"/>
        </w:rPr>
        <w:t>risk-informed development</w:t>
      </w:r>
      <w:r w:rsidR="00CD685E" w:rsidRPr="00135431">
        <w:rPr>
          <w:rFonts w:cs="Arial"/>
        </w:rPr>
        <w:t xml:space="preserve">. This will be achieved by contributing to existing regional networks and dialogues, such as the: </w:t>
      </w:r>
      <w:r w:rsidR="00CD685E" w:rsidRPr="00135431">
        <w:rPr>
          <w:iCs/>
          <w:color w:val="000000"/>
          <w:lang w:val="en-US"/>
        </w:rPr>
        <w:t>Pacific Islands Forum Secretariat’s</w:t>
      </w:r>
      <w:r w:rsidR="00CD685E" w:rsidRPr="00135431">
        <w:t xml:space="preserve"> Climate Change Finance Donor Roundtable</w:t>
      </w:r>
      <w:r w:rsidR="00FF04A0">
        <w:t xml:space="preserve">; </w:t>
      </w:r>
      <w:r w:rsidR="00CD685E" w:rsidRPr="00135431">
        <w:rPr>
          <w:iCs/>
          <w:color w:val="000000"/>
          <w:lang w:val="en-US"/>
        </w:rPr>
        <w:t>Development Partners for Climate Change network</w:t>
      </w:r>
      <w:r w:rsidR="00FF04A0">
        <w:rPr>
          <w:iCs/>
          <w:color w:val="000000"/>
          <w:lang w:val="en-US"/>
        </w:rPr>
        <w:t xml:space="preserve">; </w:t>
      </w:r>
      <w:r w:rsidR="00CD685E" w:rsidRPr="00135431">
        <w:rPr>
          <w:iCs/>
          <w:color w:val="000000"/>
          <w:lang w:val="en-US"/>
        </w:rPr>
        <w:t>Pacific Resilience Partnership Technical Working Groups</w:t>
      </w:r>
      <w:r w:rsidR="00FF04A0">
        <w:rPr>
          <w:iCs/>
          <w:color w:val="000000"/>
          <w:lang w:val="en-US"/>
        </w:rPr>
        <w:t xml:space="preserve">; </w:t>
      </w:r>
      <w:r w:rsidR="00CD685E" w:rsidRPr="00135431">
        <w:rPr>
          <w:iCs/>
          <w:color w:val="000000"/>
          <w:lang w:val="en-US"/>
        </w:rPr>
        <w:t xml:space="preserve">Pacific Financial Technical Assistance Centre </w:t>
      </w:r>
      <w:r w:rsidR="00FF04A0">
        <w:rPr>
          <w:iCs/>
          <w:color w:val="000000"/>
          <w:lang w:val="en-US"/>
        </w:rPr>
        <w:t xml:space="preserve">(PFTAC) </w:t>
      </w:r>
      <w:r w:rsidR="00CD685E" w:rsidRPr="00135431">
        <w:rPr>
          <w:iCs/>
          <w:color w:val="000000"/>
          <w:lang w:val="en-US"/>
        </w:rPr>
        <w:t>conferences and workshops</w:t>
      </w:r>
      <w:r w:rsidR="00FF04A0">
        <w:rPr>
          <w:iCs/>
          <w:color w:val="000000"/>
          <w:lang w:val="en-US"/>
        </w:rPr>
        <w:t xml:space="preserve">; Pacific Association of Supreme Audit Institutions (PASAI); and </w:t>
      </w:r>
      <w:r w:rsidR="00CD685E" w:rsidRPr="00135431">
        <w:rPr>
          <w:iCs/>
          <w:color w:val="000000"/>
          <w:lang w:val="en-US"/>
        </w:rPr>
        <w:t>Asia Pacific Climate Finance Network (CFN).</w:t>
      </w:r>
    </w:p>
    <w:p w:rsidR="003146AB" w:rsidRPr="00135431" w:rsidRDefault="00867E52" w:rsidP="0097069C">
      <w:pPr>
        <w:spacing w:before="120" w:line="276" w:lineRule="auto"/>
        <w:jc w:val="both"/>
        <w:rPr>
          <w:iCs/>
          <w:color w:val="000000"/>
          <w:lang w:val="en-US"/>
        </w:rPr>
      </w:pPr>
      <w:r w:rsidRPr="00135431">
        <w:rPr>
          <w:iCs/>
          <w:color w:val="000000"/>
          <w:lang w:val="en-US"/>
        </w:rPr>
        <w:t>If successful, it is anticipated that these regional and global networks and agencies will</w:t>
      </w:r>
      <w:r w:rsidR="0097069C">
        <w:rPr>
          <w:iCs/>
          <w:color w:val="000000"/>
          <w:lang w:val="en-US"/>
        </w:rPr>
        <w:t xml:space="preserve"> help the following</w:t>
      </w:r>
      <w:r w:rsidRPr="00135431">
        <w:rPr>
          <w:iCs/>
          <w:color w:val="000000"/>
          <w:lang w:val="en-US"/>
        </w:rPr>
        <w:t>:</w:t>
      </w:r>
      <w:r w:rsidR="0097069C">
        <w:rPr>
          <w:iCs/>
          <w:color w:val="000000"/>
          <w:lang w:val="en-US"/>
        </w:rPr>
        <w:t xml:space="preserve"> i) i</w:t>
      </w:r>
      <w:r w:rsidRPr="00135431">
        <w:rPr>
          <w:iCs/>
          <w:color w:val="000000"/>
          <w:lang w:val="en-US"/>
        </w:rPr>
        <w:t xml:space="preserve">mprove the knowledge that is generated by countries and for countries, and </w:t>
      </w:r>
      <w:r w:rsidR="00A8769D">
        <w:rPr>
          <w:iCs/>
          <w:color w:val="000000"/>
          <w:lang w:val="en-US"/>
        </w:rPr>
        <w:t xml:space="preserve">ensure </w:t>
      </w:r>
      <w:r w:rsidRPr="00135431">
        <w:rPr>
          <w:iCs/>
          <w:color w:val="000000"/>
          <w:lang w:val="en-US"/>
        </w:rPr>
        <w:t xml:space="preserve">this is made available to and </w:t>
      </w:r>
      <w:proofErr w:type="spellStart"/>
      <w:r w:rsidRPr="00135431">
        <w:rPr>
          <w:iCs/>
          <w:color w:val="000000"/>
          <w:lang w:val="en-US"/>
        </w:rPr>
        <w:t>utilised</w:t>
      </w:r>
      <w:proofErr w:type="spellEnd"/>
      <w:r w:rsidRPr="00135431">
        <w:rPr>
          <w:iCs/>
          <w:color w:val="000000"/>
          <w:lang w:val="en-US"/>
        </w:rPr>
        <w:t xml:space="preserve"> by regional actors</w:t>
      </w:r>
      <w:r w:rsidR="0097069C">
        <w:rPr>
          <w:iCs/>
          <w:color w:val="000000"/>
          <w:lang w:val="en-US"/>
        </w:rPr>
        <w:t>; ) t</w:t>
      </w:r>
      <w:r w:rsidRPr="00135431">
        <w:rPr>
          <w:iCs/>
          <w:color w:val="000000"/>
          <w:lang w:val="en-US"/>
        </w:rPr>
        <w:t xml:space="preserve">echnical capacity of </w:t>
      </w:r>
      <w:r w:rsidR="004A417D">
        <w:rPr>
          <w:iCs/>
          <w:color w:val="000000"/>
          <w:lang w:val="en-US"/>
        </w:rPr>
        <w:t>government</w:t>
      </w:r>
      <w:r w:rsidRPr="00135431">
        <w:rPr>
          <w:iCs/>
          <w:color w:val="000000"/>
          <w:lang w:val="en-US"/>
        </w:rPr>
        <w:t xml:space="preserve"> staff is improved and commitments are made by central agencies to take forward the climate change agend</w:t>
      </w:r>
      <w:r w:rsidR="0097069C">
        <w:rPr>
          <w:iCs/>
          <w:color w:val="000000"/>
          <w:lang w:val="en-US"/>
        </w:rPr>
        <w:t>a; and i) t</w:t>
      </w:r>
      <w:r w:rsidRPr="00135431">
        <w:rPr>
          <w:iCs/>
          <w:color w:val="000000"/>
          <w:lang w:val="en-US"/>
        </w:rPr>
        <w:t>here is enhanced south-south cooperation and technical assistance to increase the capacity to risk inform development</w:t>
      </w:r>
      <w:r w:rsidR="00BD557E" w:rsidRPr="00135431">
        <w:rPr>
          <w:iCs/>
          <w:color w:val="000000"/>
          <w:lang w:val="en-US"/>
        </w:rPr>
        <w:t>.</w:t>
      </w:r>
    </w:p>
    <w:p w:rsidR="002F14AB" w:rsidRPr="00135431" w:rsidRDefault="002F14AB" w:rsidP="00496A45">
      <w:pPr>
        <w:pStyle w:val="Heading2"/>
        <w:jc w:val="left"/>
      </w:pPr>
      <w:bookmarkStart w:id="48" w:name="_Toc22745665"/>
      <w:bookmarkStart w:id="49" w:name="_Toc25739963"/>
      <w:bookmarkStart w:id="50" w:name="_Toc25740072"/>
      <w:r w:rsidRPr="00135431">
        <w:t>Sustainability and Scal</w:t>
      </w:r>
      <w:bookmarkEnd w:id="48"/>
      <w:r w:rsidR="00FB4EF2">
        <w:t>e</w:t>
      </w:r>
      <w:bookmarkEnd w:id="49"/>
      <w:bookmarkEnd w:id="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2"/>
      </w:tblGrid>
      <w:tr w:rsidR="00581EBE" w:rsidRPr="00135431" w:rsidTr="00E0749D">
        <w:tc>
          <w:tcPr>
            <w:tcW w:w="9818" w:type="dxa"/>
            <w:shd w:val="clear" w:color="auto" w:fill="auto"/>
          </w:tcPr>
          <w:p w:rsidR="00581EBE" w:rsidRPr="00135431" w:rsidRDefault="00581EBE" w:rsidP="009F6AC1">
            <w:pPr>
              <w:pStyle w:val="ListParagraph"/>
              <w:spacing w:before="120" w:after="120"/>
              <w:ind w:left="0" w:right="452"/>
              <w:jc w:val="center"/>
              <w:rPr>
                <w:iCs/>
              </w:rPr>
            </w:pPr>
            <w:r w:rsidRPr="00135431">
              <w:rPr>
                <w:rFonts w:cs="Arial"/>
                <w:bCs/>
                <w:sz w:val="20"/>
                <w:szCs w:val="20"/>
              </w:rPr>
              <w:t>“Risk informed development forms the building blocks for self-reliance”,</w:t>
            </w:r>
            <w:r w:rsidRPr="00135431">
              <w:rPr>
                <w:rFonts w:cs="Arial"/>
                <w:sz w:val="20"/>
                <w:szCs w:val="20"/>
              </w:rPr>
              <w:t xml:space="preserve"> </w:t>
            </w:r>
            <w:r w:rsidR="00111A1F">
              <w:rPr>
                <w:rFonts w:cs="Arial"/>
                <w:sz w:val="20"/>
                <w:szCs w:val="20"/>
              </w:rPr>
              <w:t xml:space="preserve">former </w:t>
            </w:r>
            <w:r w:rsidRPr="00135431">
              <w:rPr>
                <w:rFonts w:cs="Arial"/>
                <w:bCs/>
                <w:sz w:val="20"/>
                <w:szCs w:val="20"/>
              </w:rPr>
              <w:t>CEO</w:t>
            </w:r>
            <w:r w:rsidR="002A5D28">
              <w:rPr>
                <w:rFonts w:cs="Arial"/>
                <w:bCs/>
                <w:sz w:val="20"/>
                <w:szCs w:val="20"/>
              </w:rPr>
              <w:t>, Ministry of Internal Affairs</w:t>
            </w:r>
            <w:r w:rsidR="00D63525">
              <w:rPr>
                <w:rFonts w:cs="Arial"/>
                <w:bCs/>
                <w:sz w:val="20"/>
                <w:szCs w:val="20"/>
              </w:rPr>
              <w:t>,</w:t>
            </w:r>
            <w:r w:rsidRPr="00135431">
              <w:rPr>
                <w:rFonts w:cs="Arial"/>
                <w:bCs/>
                <w:sz w:val="20"/>
                <w:szCs w:val="20"/>
              </w:rPr>
              <w:t xml:space="preserve"> Anna Bing Fonua (Tonga)</w:t>
            </w:r>
          </w:p>
        </w:tc>
      </w:tr>
    </w:tbl>
    <w:p w:rsidR="00DB7A4E" w:rsidRPr="00135431" w:rsidRDefault="00D6309B" w:rsidP="00D766F3">
      <w:pPr>
        <w:spacing w:before="120" w:line="276" w:lineRule="auto"/>
        <w:jc w:val="both"/>
        <w:rPr>
          <w:rFonts w:cs="Arial"/>
        </w:rPr>
      </w:pPr>
      <w:r w:rsidRPr="00135431">
        <w:rPr>
          <w:rFonts w:cs="Calibri"/>
        </w:rPr>
        <w:t xml:space="preserve">The sustainability of </w:t>
      </w:r>
      <w:r w:rsidR="00253797">
        <w:rPr>
          <w:rFonts w:cs="Calibri"/>
        </w:rPr>
        <w:t>project</w:t>
      </w:r>
      <w:r w:rsidRPr="00135431">
        <w:rPr>
          <w:rFonts w:cs="Calibri"/>
        </w:rPr>
        <w:t xml:space="preserve"> outcomes is part of the core intention and strategy of </w:t>
      </w:r>
      <w:r w:rsidR="008251B7">
        <w:t>GRDP</w:t>
      </w:r>
      <w:r w:rsidR="008251B7" w:rsidRPr="00135431">
        <w:t>.</w:t>
      </w:r>
      <w:r w:rsidRPr="00135431">
        <w:rPr>
          <w:rFonts w:cs="Calibri"/>
        </w:rPr>
        <w:t xml:space="preserve"> </w:t>
      </w:r>
      <w:r w:rsidR="00E61E30" w:rsidRPr="00135431">
        <w:rPr>
          <w:rFonts w:cs="Arial"/>
        </w:rPr>
        <w:t xml:space="preserve">All </w:t>
      </w:r>
      <w:r w:rsidR="00253797">
        <w:rPr>
          <w:rFonts w:cs="Arial"/>
        </w:rPr>
        <w:t>project</w:t>
      </w:r>
      <w:r w:rsidR="00E61E30" w:rsidRPr="00135431">
        <w:rPr>
          <w:rFonts w:cs="Arial"/>
        </w:rPr>
        <w:t xml:space="preserve"> activities will be delivered by government and </w:t>
      </w:r>
      <w:r w:rsidR="00D15C09">
        <w:rPr>
          <w:rFonts w:cs="Arial"/>
        </w:rPr>
        <w:t>‘</w:t>
      </w:r>
      <w:r w:rsidRPr="00135431">
        <w:rPr>
          <w:rFonts w:cs="Arial"/>
        </w:rPr>
        <w:t>a</w:t>
      </w:r>
      <w:r w:rsidR="00C0739D" w:rsidRPr="00135431">
        <w:rPr>
          <w:rFonts w:cs="Arial"/>
        </w:rPr>
        <w:t>dvocacy</w:t>
      </w:r>
      <w:r w:rsidR="00D15C09">
        <w:rPr>
          <w:rFonts w:cs="Arial"/>
        </w:rPr>
        <w:t>’</w:t>
      </w:r>
      <w:r w:rsidR="00E61E30" w:rsidRPr="00135431">
        <w:rPr>
          <w:rFonts w:cs="Arial"/>
        </w:rPr>
        <w:t xml:space="preserve"> partners from within local systems</w:t>
      </w:r>
      <w:r w:rsidR="00C0739D" w:rsidRPr="00135431">
        <w:rPr>
          <w:rFonts w:cs="Arial"/>
        </w:rPr>
        <w:t xml:space="preserve">, </w:t>
      </w:r>
      <w:r w:rsidR="00E61E30" w:rsidRPr="00135431">
        <w:rPr>
          <w:rFonts w:cs="Arial"/>
        </w:rPr>
        <w:t xml:space="preserve">thereby helping to create an enabling environment to deliver </w:t>
      </w:r>
      <w:r w:rsidR="00C0739D" w:rsidRPr="00135431">
        <w:rPr>
          <w:rFonts w:cs="Arial"/>
        </w:rPr>
        <w:t>more resilient</w:t>
      </w:r>
      <w:r w:rsidR="00E61E30" w:rsidRPr="00135431">
        <w:rPr>
          <w:rFonts w:cs="Arial"/>
        </w:rPr>
        <w:t xml:space="preserve"> development and ensure sustainability of the initiatives. </w:t>
      </w:r>
      <w:r w:rsidR="00DB7A4E" w:rsidRPr="00135431">
        <w:rPr>
          <w:rFonts w:cs="Arial"/>
        </w:rPr>
        <w:t xml:space="preserve">The core objective of the </w:t>
      </w:r>
      <w:r w:rsidR="00253797">
        <w:rPr>
          <w:rFonts w:cs="Arial"/>
        </w:rPr>
        <w:t>project</w:t>
      </w:r>
      <w:r w:rsidR="00DB7A4E" w:rsidRPr="00135431">
        <w:rPr>
          <w:rFonts w:cs="Arial"/>
        </w:rPr>
        <w:t xml:space="preserve"> is to strengthen the sustainability of development through systemic changes and reforms. Once the reforms are implemented, tools are embedded in the planning and budgeting processes for continued use by local and national governments and the private sector after the </w:t>
      </w:r>
      <w:r w:rsidR="00253797">
        <w:rPr>
          <w:rFonts w:cs="Arial"/>
        </w:rPr>
        <w:t>project</w:t>
      </w:r>
      <w:r w:rsidR="00DB7A4E" w:rsidRPr="00135431">
        <w:rPr>
          <w:rFonts w:cs="Arial"/>
        </w:rPr>
        <w:t xml:space="preserve"> ends.</w:t>
      </w:r>
    </w:p>
    <w:p w:rsidR="00DB7A4E" w:rsidRPr="00135431" w:rsidRDefault="00DB7A4E" w:rsidP="00D766F3">
      <w:pPr>
        <w:spacing w:line="276" w:lineRule="auto"/>
        <w:jc w:val="both"/>
        <w:rPr>
          <w:rFonts w:cs="Arial"/>
        </w:rPr>
      </w:pPr>
      <w:r w:rsidRPr="00135431">
        <w:rPr>
          <w:rFonts w:cs="Arial"/>
        </w:rPr>
        <w:t xml:space="preserve">Similarly, capacity building will not end with the </w:t>
      </w:r>
      <w:r w:rsidR="00253797">
        <w:rPr>
          <w:rFonts w:cs="Arial"/>
        </w:rPr>
        <w:t>project</w:t>
      </w:r>
      <w:r w:rsidRPr="00135431">
        <w:rPr>
          <w:rFonts w:cs="Arial"/>
        </w:rPr>
        <w:t xml:space="preserve"> but will continue through on-going training from regional agencies who are already partners in </w:t>
      </w:r>
      <w:r w:rsidR="00253797">
        <w:rPr>
          <w:rFonts w:cs="Arial"/>
        </w:rPr>
        <w:t>project</w:t>
      </w:r>
      <w:r w:rsidRPr="00135431">
        <w:rPr>
          <w:rFonts w:cs="Arial"/>
        </w:rPr>
        <w:t xml:space="preserve"> implementation. All guidelines and resources will be shared with regional and national stakeholders for scaling up. The strong advocacy approach will result in improved understanding of climate change, disasters and </w:t>
      </w:r>
      <w:proofErr w:type="spellStart"/>
      <w:r w:rsidRPr="00135431">
        <w:rPr>
          <w:rFonts w:cs="Arial"/>
        </w:rPr>
        <w:t>GSi</w:t>
      </w:r>
      <w:proofErr w:type="spellEnd"/>
      <w:r w:rsidRPr="00135431">
        <w:rPr>
          <w:rFonts w:cs="Arial"/>
        </w:rPr>
        <w:t xml:space="preserve"> among partners and local and national governments and will result in explicit inclusion of these considerations in future projects and </w:t>
      </w:r>
      <w:r w:rsidR="00253797">
        <w:rPr>
          <w:rFonts w:cs="Arial"/>
        </w:rPr>
        <w:t>project</w:t>
      </w:r>
      <w:r w:rsidRPr="00135431">
        <w:rPr>
          <w:rFonts w:cs="Arial"/>
        </w:rPr>
        <w:t>s.</w:t>
      </w:r>
    </w:p>
    <w:p w:rsidR="00E61E30" w:rsidRDefault="00E61E30" w:rsidP="00D766F3">
      <w:pPr>
        <w:spacing w:line="276" w:lineRule="auto"/>
        <w:jc w:val="both"/>
        <w:rPr>
          <w:rFonts w:cs="Calibri"/>
        </w:rPr>
      </w:pPr>
      <w:r w:rsidRPr="00135431">
        <w:rPr>
          <w:rFonts w:cs="Arial"/>
        </w:rPr>
        <w:t>This model has been tested through the</w:t>
      </w:r>
      <w:r w:rsidR="00C0739D" w:rsidRPr="00135431">
        <w:rPr>
          <w:rFonts w:cs="Arial"/>
        </w:rPr>
        <w:t xml:space="preserve"> </w:t>
      </w:r>
      <w:r w:rsidR="0040151B">
        <w:rPr>
          <w:rFonts w:cs="Arial"/>
        </w:rPr>
        <w:t>PRRP</w:t>
      </w:r>
      <w:r w:rsidRPr="00135431">
        <w:rPr>
          <w:rFonts w:cs="Arial"/>
        </w:rPr>
        <w:t xml:space="preserve">, and analysis </w:t>
      </w:r>
      <w:r w:rsidR="00C0739D" w:rsidRPr="00135431">
        <w:rPr>
          <w:rFonts w:cs="Arial"/>
        </w:rPr>
        <w:t>showed</w:t>
      </w:r>
      <w:r w:rsidRPr="00135431">
        <w:rPr>
          <w:rFonts w:cs="Arial"/>
        </w:rPr>
        <w:t xml:space="preserve"> that partners </w:t>
      </w:r>
      <w:r w:rsidR="00C0739D" w:rsidRPr="00135431">
        <w:rPr>
          <w:rFonts w:cs="Arial"/>
        </w:rPr>
        <w:t>displayed</w:t>
      </w:r>
      <w:r w:rsidRPr="00135431">
        <w:rPr>
          <w:rFonts w:cs="Arial"/>
        </w:rPr>
        <w:t xml:space="preserve"> strong commitment to this approach across the </w:t>
      </w:r>
      <w:r w:rsidR="00253797">
        <w:rPr>
          <w:rFonts w:cs="Arial"/>
        </w:rPr>
        <w:t>project</w:t>
      </w:r>
      <w:r w:rsidR="00895613">
        <w:rPr>
          <w:rFonts w:cs="Arial"/>
        </w:rPr>
        <w:t xml:space="preserve"> </w:t>
      </w:r>
      <w:r w:rsidRPr="00135431">
        <w:rPr>
          <w:rFonts w:cs="Arial"/>
        </w:rPr>
        <w:t>countries</w:t>
      </w:r>
      <w:r w:rsidRPr="00135431">
        <w:rPr>
          <w:rStyle w:val="FootnoteReference"/>
          <w:rFonts w:cs="Arial"/>
        </w:rPr>
        <w:footnoteReference w:id="17"/>
      </w:r>
      <w:r w:rsidRPr="00135431">
        <w:rPr>
          <w:rFonts w:cs="Arial"/>
        </w:rPr>
        <w:t xml:space="preserve">. </w:t>
      </w:r>
      <w:r w:rsidR="00D6309B" w:rsidRPr="00135431">
        <w:rPr>
          <w:rFonts w:cs="Arial"/>
        </w:rPr>
        <w:t>Evidence of</w:t>
      </w:r>
      <w:r w:rsidR="00D63525">
        <w:rPr>
          <w:rFonts w:cs="Arial"/>
        </w:rPr>
        <w:t xml:space="preserve"> the</w:t>
      </w:r>
      <w:r w:rsidR="00D6309B" w:rsidRPr="00135431">
        <w:rPr>
          <w:rFonts w:cs="Arial"/>
        </w:rPr>
        <w:t xml:space="preserve"> sustainability of the </w:t>
      </w:r>
      <w:r w:rsidR="0040151B">
        <w:rPr>
          <w:rFonts w:cs="Arial"/>
        </w:rPr>
        <w:t>PRRP</w:t>
      </w:r>
      <w:r w:rsidR="00D6309B" w:rsidRPr="00135431">
        <w:rPr>
          <w:rFonts w:cs="Arial"/>
        </w:rPr>
        <w:t xml:space="preserve"> model was </w:t>
      </w:r>
      <w:r w:rsidR="00D63525">
        <w:rPr>
          <w:rFonts w:cs="Arial"/>
        </w:rPr>
        <w:t xml:space="preserve">demonstrated by </w:t>
      </w:r>
      <w:r w:rsidR="004A417D">
        <w:rPr>
          <w:rFonts w:cs="Arial"/>
        </w:rPr>
        <w:t>government</w:t>
      </w:r>
      <w:r w:rsidR="00D6309B" w:rsidRPr="00135431">
        <w:rPr>
          <w:rFonts w:cs="Arial"/>
        </w:rPr>
        <w:t xml:space="preserve">’s committing their recurrent budget to take on the initiatives. </w:t>
      </w:r>
      <w:r w:rsidR="00D6309B" w:rsidRPr="00135431">
        <w:rPr>
          <w:rFonts w:cs="Calibri"/>
        </w:rPr>
        <w:t xml:space="preserve">The strategies underlying this successful shift to sustainable change will be taken forward in </w:t>
      </w:r>
      <w:r w:rsidR="008251B7">
        <w:rPr>
          <w:rFonts w:cs="Calibri"/>
        </w:rPr>
        <w:t>GRDP</w:t>
      </w:r>
      <w:r w:rsidR="008251B7" w:rsidRPr="00135431">
        <w:rPr>
          <w:rFonts w:cs="Calibri"/>
        </w:rPr>
        <w:t>.</w:t>
      </w:r>
      <w:r w:rsidR="00DB7A4E" w:rsidRPr="00135431">
        <w:rPr>
          <w:rFonts w:cs="Calibri"/>
        </w:rPr>
        <w:t xml:space="preserve"> These elements will also be articulated in the monitoring and evaluation plan. </w:t>
      </w:r>
      <w:r w:rsidR="00D6309B" w:rsidRPr="00135431">
        <w:rPr>
          <w:rFonts w:cs="Calibri"/>
        </w:rPr>
        <w:t xml:space="preserve">Factors </w:t>
      </w:r>
      <w:r w:rsidR="00DB7A4E" w:rsidRPr="00135431">
        <w:rPr>
          <w:rFonts w:cs="Calibri"/>
        </w:rPr>
        <w:t>that could</w:t>
      </w:r>
      <w:r w:rsidR="00D6309B" w:rsidRPr="00135431">
        <w:rPr>
          <w:rFonts w:cs="Calibri"/>
        </w:rPr>
        <w:t xml:space="preserve"> impede further </w:t>
      </w:r>
      <w:r w:rsidR="00253797">
        <w:rPr>
          <w:rFonts w:cs="Calibri"/>
        </w:rPr>
        <w:t>project</w:t>
      </w:r>
      <w:r w:rsidR="00D6309B" w:rsidRPr="00135431">
        <w:rPr>
          <w:rFonts w:cs="Calibri"/>
        </w:rPr>
        <w:t xml:space="preserve"> sustainability include limited resourcing and capacity at </w:t>
      </w:r>
      <w:r w:rsidR="00D63525">
        <w:rPr>
          <w:rFonts w:cs="Calibri"/>
        </w:rPr>
        <w:t>n</w:t>
      </w:r>
      <w:r w:rsidR="00D6309B" w:rsidRPr="00135431">
        <w:rPr>
          <w:rFonts w:cs="Calibri"/>
        </w:rPr>
        <w:t>ational government level. These factors will be carefully assessed as part of engagement with each new location and strategies will be adapted to the resource and capacity context for that location.</w:t>
      </w:r>
    </w:p>
    <w:p w:rsidR="00CD042C" w:rsidRDefault="0091517F" w:rsidP="00CD042C">
      <w:pPr>
        <w:spacing w:line="276" w:lineRule="auto"/>
        <w:jc w:val="both"/>
        <w:rPr>
          <w:rFonts w:cs="Calibri"/>
        </w:rPr>
      </w:pPr>
      <w:r>
        <w:rPr>
          <w:rFonts w:cs="Calibri"/>
        </w:rPr>
        <w:t xml:space="preserve">Scale of the risk informed development approach is central to </w:t>
      </w:r>
      <w:r w:rsidR="008251B7">
        <w:rPr>
          <w:rFonts w:cs="Calibri"/>
        </w:rPr>
        <w:t>GRDP</w:t>
      </w:r>
      <w:r>
        <w:rPr>
          <w:rFonts w:cs="Calibri"/>
        </w:rPr>
        <w:t xml:space="preserve"> ’s </w:t>
      </w:r>
      <w:r w:rsidR="00CD042C">
        <w:rPr>
          <w:rFonts w:cs="Calibri"/>
        </w:rPr>
        <w:t xml:space="preserve">delivery </w:t>
      </w:r>
      <w:r>
        <w:rPr>
          <w:rFonts w:cs="Calibri"/>
        </w:rPr>
        <w:t>strategy</w:t>
      </w:r>
      <w:r w:rsidR="00CD042C">
        <w:rPr>
          <w:rFonts w:cs="Calibri"/>
        </w:rPr>
        <w:t xml:space="preserve">. The </w:t>
      </w:r>
      <w:r w:rsidR="00253797">
        <w:rPr>
          <w:rFonts w:cs="Calibri"/>
        </w:rPr>
        <w:t>project</w:t>
      </w:r>
      <w:r w:rsidR="00CD042C">
        <w:rPr>
          <w:rFonts w:cs="Calibri"/>
        </w:rPr>
        <w:t xml:space="preserve"> will </w:t>
      </w:r>
      <w:r>
        <w:rPr>
          <w:rFonts w:cs="Calibri"/>
        </w:rPr>
        <w:t xml:space="preserve">adopt a two-tiered approach to achieving scale, firstly scale at national level through Output 1.1, and secondly at the regional level through Output 3. </w:t>
      </w:r>
      <w:r w:rsidR="00CD042C">
        <w:rPr>
          <w:rFonts w:cs="Calibri"/>
        </w:rPr>
        <w:t xml:space="preserve">At a national level, the </w:t>
      </w:r>
      <w:r w:rsidR="00253797">
        <w:rPr>
          <w:rFonts w:cs="Calibri"/>
        </w:rPr>
        <w:t>project</w:t>
      </w:r>
      <w:r w:rsidR="00CD042C">
        <w:rPr>
          <w:rFonts w:cs="Calibri"/>
        </w:rPr>
        <w:t xml:space="preserve"> will support countries</w:t>
      </w:r>
      <w:r>
        <w:rPr>
          <w:rFonts w:cs="Calibri"/>
        </w:rPr>
        <w:t xml:space="preserve"> </w:t>
      </w:r>
      <w:r w:rsidR="00CD042C">
        <w:rPr>
          <w:iCs/>
          <w:color w:val="000000"/>
          <w:lang w:val="en-US"/>
        </w:rPr>
        <w:t>to aggregate</w:t>
      </w:r>
      <w:r w:rsidRPr="00135431">
        <w:rPr>
          <w:iCs/>
          <w:color w:val="000000"/>
          <w:lang w:val="en-US"/>
        </w:rPr>
        <w:t xml:space="preserve"> risk informed development activities in</w:t>
      </w:r>
      <w:r w:rsidR="00CD042C">
        <w:rPr>
          <w:iCs/>
          <w:color w:val="000000"/>
          <w:lang w:val="en-US"/>
        </w:rPr>
        <w:t>to</w:t>
      </w:r>
      <w:r w:rsidRPr="00135431">
        <w:rPr>
          <w:iCs/>
          <w:color w:val="000000"/>
          <w:lang w:val="en-US"/>
        </w:rPr>
        <w:t xml:space="preserve"> national planning and financing</w:t>
      </w:r>
      <w:r w:rsidR="00CD042C">
        <w:rPr>
          <w:iCs/>
          <w:color w:val="000000"/>
          <w:lang w:val="en-US"/>
        </w:rPr>
        <w:t xml:space="preserve"> to ultimately influence all sectors and delivery partners</w:t>
      </w:r>
      <w:r w:rsidRPr="00135431">
        <w:rPr>
          <w:iCs/>
          <w:color w:val="000000"/>
          <w:lang w:val="en-US"/>
        </w:rPr>
        <w:t>.</w:t>
      </w:r>
      <w:r w:rsidR="00CD042C">
        <w:rPr>
          <w:iCs/>
          <w:color w:val="000000"/>
          <w:lang w:val="en-US"/>
        </w:rPr>
        <w:t xml:space="preserve"> Regionally, the </w:t>
      </w:r>
      <w:r w:rsidR="00253797">
        <w:rPr>
          <w:iCs/>
          <w:color w:val="000000"/>
          <w:lang w:val="en-US"/>
        </w:rPr>
        <w:t>project</w:t>
      </w:r>
      <w:r w:rsidR="00CD042C">
        <w:rPr>
          <w:iCs/>
          <w:color w:val="000000"/>
          <w:lang w:val="en-US"/>
        </w:rPr>
        <w:t xml:space="preserve"> will target </w:t>
      </w:r>
      <w:r w:rsidR="00CD042C" w:rsidRPr="00135431">
        <w:t xml:space="preserve">both country actors and regional organisations, particularly focusing on positions of leadership, to promote good regional policies and </w:t>
      </w:r>
      <w:r w:rsidR="00CD042C" w:rsidRPr="0091517F">
        <w:t>practices for risk informed development</w:t>
      </w:r>
      <w:r w:rsidR="00CD042C">
        <w:t xml:space="preserve"> </w:t>
      </w:r>
      <w:r w:rsidR="00CD042C" w:rsidRPr="0091517F">
        <w:t xml:space="preserve">to shift the regional narrative around climate change and disaster. </w:t>
      </w:r>
      <w:r w:rsidR="00CD042C" w:rsidRPr="009F0CAC">
        <w:t xml:space="preserve">Influencing regional agents to drive the risk informed development agenda will enable the </w:t>
      </w:r>
      <w:r w:rsidR="00253797">
        <w:t>project</w:t>
      </w:r>
      <w:r w:rsidR="00CD042C" w:rsidRPr="009F0CAC">
        <w:t xml:space="preserve"> to scale up its impact and leverage beyond countries within which it is working at any point in time.</w:t>
      </w:r>
    </w:p>
    <w:p w:rsidR="00BE3E21" w:rsidRPr="00135431" w:rsidRDefault="00933742" w:rsidP="00BE3E21">
      <w:pPr>
        <w:pStyle w:val="Heading2"/>
        <w:jc w:val="left"/>
      </w:pPr>
      <w:bookmarkStart w:id="51" w:name="_Toc25739964"/>
      <w:bookmarkStart w:id="52" w:name="_Toc25740073"/>
      <w:r>
        <w:t>Risk Management</w:t>
      </w:r>
      <w:bookmarkEnd w:id="51"/>
      <w:bookmarkEnd w:id="52"/>
    </w:p>
    <w:p w:rsidR="00BE3E21" w:rsidRPr="00135431" w:rsidRDefault="00BE3E21" w:rsidP="0097069C">
      <w:pPr>
        <w:jc w:val="both"/>
        <w:rPr>
          <w:iCs/>
        </w:rPr>
      </w:pPr>
      <w:r w:rsidRPr="00135431">
        <w:rPr>
          <w:rFonts w:cs="Arial"/>
        </w:rPr>
        <w:t xml:space="preserve">Risk management will be undertaken as a regular part of Project Management, as was practiced during the first phase of the </w:t>
      </w:r>
      <w:r w:rsidR="008251B7">
        <w:rPr>
          <w:rFonts w:cs="Arial"/>
        </w:rPr>
        <w:t>GRDP</w:t>
      </w:r>
      <w:r w:rsidRPr="00135431">
        <w:rPr>
          <w:rFonts w:cs="Arial"/>
        </w:rPr>
        <w:t>.</w:t>
      </w:r>
      <w:r w:rsidRPr="00135431">
        <w:rPr>
          <w:iCs/>
        </w:rPr>
        <w:t xml:space="preserve"> The new </w:t>
      </w:r>
      <w:r w:rsidR="00253797">
        <w:rPr>
          <w:iCs/>
        </w:rPr>
        <w:t>project</w:t>
      </w:r>
      <w:r w:rsidRPr="00135431">
        <w:rPr>
          <w:iCs/>
        </w:rPr>
        <w:t xml:space="preserve"> has been designed based on five years of experience from </w:t>
      </w:r>
      <w:r w:rsidR="008251B7">
        <w:rPr>
          <w:iCs/>
        </w:rPr>
        <w:t>GRDP</w:t>
      </w:r>
      <w:r w:rsidRPr="00135431">
        <w:rPr>
          <w:iCs/>
        </w:rPr>
        <w:t xml:space="preserve"> and lessons from other projects (e.g. UNDP </w:t>
      </w:r>
      <w:r w:rsidRPr="00135431">
        <w:t>Strengthening Pacific Public Financial Management and Governance Project</w:t>
      </w:r>
      <w:r w:rsidRPr="00135431">
        <w:rPr>
          <w:iCs/>
        </w:rPr>
        <w:t xml:space="preserve">), which were demonstrably effective. The programming </w:t>
      </w:r>
      <w:r w:rsidRPr="0097069C">
        <w:rPr>
          <w:iCs/>
        </w:rPr>
        <w:t>assumptions</w:t>
      </w:r>
      <w:r w:rsidRPr="00135431">
        <w:rPr>
          <w:iCs/>
        </w:rPr>
        <w:t xml:space="preserve"> </w:t>
      </w:r>
      <w:r w:rsidR="0097069C">
        <w:rPr>
          <w:iCs/>
        </w:rPr>
        <w:t>that underpin the theory of change</w:t>
      </w:r>
      <w:r w:rsidRPr="00135431">
        <w:rPr>
          <w:iCs/>
        </w:rPr>
        <w:t xml:space="preserve">, </w:t>
      </w:r>
      <w:r w:rsidR="0097069C">
        <w:rPr>
          <w:iCs/>
        </w:rPr>
        <w:t xml:space="preserve">offer </w:t>
      </w:r>
      <w:r w:rsidRPr="00135431">
        <w:rPr>
          <w:iCs/>
        </w:rPr>
        <w:t xml:space="preserve">a valuable foundation for the risk management strategy outlined below and detailed in </w:t>
      </w:r>
      <w:r w:rsidRPr="00135431">
        <w:rPr>
          <w:rFonts w:cs="Arial"/>
        </w:rPr>
        <w:t xml:space="preserve">Annex </w:t>
      </w:r>
      <w:r w:rsidR="007D5D38">
        <w:rPr>
          <w:rFonts w:cs="Arial"/>
        </w:rPr>
        <w:t>II</w:t>
      </w:r>
      <w:r w:rsidRPr="00135431">
        <w:rPr>
          <w:rFonts w:cs="Arial"/>
        </w:rPr>
        <w:t>I</w:t>
      </w:r>
      <w:r w:rsidR="0097069C">
        <w:rPr>
          <w:rFonts w:cs="Arial"/>
        </w:rPr>
        <w:t xml:space="preserve">. </w:t>
      </w:r>
      <w:r w:rsidR="0097069C" w:rsidRPr="00135431">
        <w:rPr>
          <w:rFonts w:cs="Arial"/>
        </w:rPr>
        <w:t xml:space="preserve">At the initiation of the </w:t>
      </w:r>
      <w:r w:rsidR="00253797">
        <w:rPr>
          <w:rFonts w:cs="Arial"/>
        </w:rPr>
        <w:t>project</w:t>
      </w:r>
      <w:r w:rsidR="0097069C" w:rsidRPr="00135431">
        <w:rPr>
          <w:rFonts w:cs="Arial"/>
        </w:rPr>
        <w:t xml:space="preserve">, the detailed risk log (Annex </w:t>
      </w:r>
      <w:r w:rsidR="007D5D38">
        <w:rPr>
          <w:rFonts w:cs="Arial"/>
        </w:rPr>
        <w:t>II</w:t>
      </w:r>
      <w:r w:rsidR="0097069C" w:rsidRPr="0097069C">
        <w:rPr>
          <w:rFonts w:cs="Arial"/>
        </w:rPr>
        <w:t>I</w:t>
      </w:r>
      <w:r w:rsidR="0097069C" w:rsidRPr="00135431">
        <w:rPr>
          <w:rFonts w:cs="Arial"/>
        </w:rPr>
        <w:t>) will be updated and entered into the project management system. This will then be monitored and updated on a six-monthly basis.</w:t>
      </w:r>
      <w:r w:rsidR="0097069C">
        <w:rPr>
          <w:rFonts w:cs="Arial"/>
        </w:rPr>
        <w:t xml:space="preserve"> </w:t>
      </w:r>
      <w:r w:rsidRPr="00135431">
        <w:rPr>
          <w:iCs/>
        </w:rPr>
        <w:t xml:space="preserve">Risks to the successful delivery of the </w:t>
      </w:r>
      <w:r w:rsidR="00253797">
        <w:rPr>
          <w:iCs/>
        </w:rPr>
        <w:t>project</w:t>
      </w:r>
      <w:r w:rsidRPr="00135431">
        <w:rPr>
          <w:iCs/>
        </w:rPr>
        <w:t xml:space="preserve"> fall into the following broad categories: </w:t>
      </w:r>
    </w:p>
    <w:p w:rsidR="00BE3E21" w:rsidRPr="00135431" w:rsidRDefault="00BE3E21" w:rsidP="009D6B25">
      <w:pPr>
        <w:numPr>
          <w:ilvl w:val="0"/>
          <w:numId w:val="12"/>
        </w:numPr>
        <w:spacing w:line="280" w:lineRule="exact"/>
        <w:jc w:val="both"/>
      </w:pPr>
      <w:r w:rsidRPr="005A338D">
        <w:rPr>
          <w:bCs/>
          <w:i/>
        </w:rPr>
        <w:t>Crowded climate change programming space</w:t>
      </w:r>
      <w:r w:rsidR="00D63525">
        <w:rPr>
          <w:iCs/>
        </w:rPr>
        <w:t>:</w:t>
      </w:r>
      <w:r w:rsidRPr="00135431">
        <w:rPr>
          <w:iCs/>
        </w:rPr>
        <w:t xml:space="preserve"> </w:t>
      </w:r>
      <w:r w:rsidRPr="00135431">
        <w:t xml:space="preserve">There are many donors seeking to support climate change and disaster risk management in the Pacific, often from a different technical perspective to the </w:t>
      </w:r>
      <w:r w:rsidR="00253797">
        <w:t>project</w:t>
      </w:r>
      <w:r w:rsidRPr="00135431">
        <w:t xml:space="preserve">. In order to manage the risk of duplication and additional burden on governments, </w:t>
      </w:r>
      <w:r w:rsidR="008251B7">
        <w:t>GRDP</w:t>
      </w:r>
      <w:r w:rsidR="008251B7" w:rsidRPr="00135431">
        <w:t xml:space="preserve"> has</w:t>
      </w:r>
      <w:r w:rsidRPr="00135431">
        <w:t xml:space="preserve"> actively consulted with donors and implementing partners during its design and has identified unique entry points and gaps where it can make a clear additional contribution. </w:t>
      </w:r>
      <w:r w:rsidR="008251B7">
        <w:t>GRDP</w:t>
      </w:r>
      <w:r w:rsidR="008251B7" w:rsidRPr="00135431">
        <w:t xml:space="preserve"> will</w:t>
      </w:r>
      <w:r w:rsidRPr="00135431">
        <w:t xml:space="preserve"> continue to engage in donor coordinating mechanisms such as the PIFS Climate Change Finance Donor Roundtable, in order to limit overlap or duplication with the work of other donors. </w:t>
      </w:r>
    </w:p>
    <w:p w:rsidR="00BE3E21" w:rsidRPr="00135431" w:rsidRDefault="00BE3E21" w:rsidP="009D6B25">
      <w:pPr>
        <w:numPr>
          <w:ilvl w:val="0"/>
          <w:numId w:val="12"/>
        </w:numPr>
        <w:spacing w:line="280" w:lineRule="exact"/>
        <w:jc w:val="both"/>
      </w:pPr>
      <w:r w:rsidRPr="005A338D">
        <w:rPr>
          <w:bCs/>
          <w:i/>
          <w:iCs/>
        </w:rPr>
        <w:t>Burdening government partners, not getting traction or inappropriate interventions</w:t>
      </w:r>
      <w:r w:rsidR="00D63525">
        <w:t>:</w:t>
      </w:r>
      <w:r w:rsidRPr="00135431">
        <w:t xml:space="preserve"> </w:t>
      </w:r>
      <w:r w:rsidR="008251B7">
        <w:t>GRDP</w:t>
      </w:r>
      <w:r w:rsidR="008251B7" w:rsidRPr="00135431">
        <w:t xml:space="preserve"> is</w:t>
      </w:r>
      <w:r w:rsidRPr="00135431">
        <w:t xml:space="preserve"> primarily focused on building the capacity of national government systems to better identify and sustain climate change and disaster risk management initiatives for themselves, not parallel initiatives. The </w:t>
      </w:r>
      <w:r w:rsidR="00253797">
        <w:t>project</w:t>
      </w:r>
      <w:r w:rsidRPr="00135431">
        <w:t xml:space="preserve"> </w:t>
      </w:r>
      <w:r w:rsidR="0097069C" w:rsidRPr="00135431">
        <w:t>has and</w:t>
      </w:r>
      <w:r w:rsidRPr="00135431">
        <w:t xml:space="preserve"> will continue to maintain close relationships with government stakeholders whilst adopting an agile approach to programming, taking direction from counterparts on what support is required and when. Thus, ensuring interventions are valued, appropriate, timely and sustained, and minimising any risk of burdening partners.</w:t>
      </w:r>
    </w:p>
    <w:p w:rsidR="00BE3E21" w:rsidRPr="00135431" w:rsidRDefault="00BE3E21" w:rsidP="009D6B25">
      <w:pPr>
        <w:numPr>
          <w:ilvl w:val="0"/>
          <w:numId w:val="12"/>
        </w:numPr>
        <w:spacing w:line="280" w:lineRule="exact"/>
        <w:jc w:val="both"/>
      </w:pPr>
      <w:r w:rsidRPr="005A338D">
        <w:rPr>
          <w:bCs/>
          <w:i/>
          <w:iCs/>
        </w:rPr>
        <w:t>Exclusion of women and marginalised groups</w:t>
      </w:r>
      <w:r w:rsidRPr="005A338D">
        <w:rPr>
          <w:i/>
          <w:iCs/>
        </w:rPr>
        <w:t xml:space="preserve"> from climate change and disaster risk management is a significant risk, based on experience in the Pacific to date</w:t>
      </w:r>
      <w:r w:rsidR="00D63525">
        <w:t>:</w:t>
      </w:r>
      <w:r w:rsidRPr="00135431">
        <w:t xml:space="preserve"> This results in planning and delivery which excludes the needs and likely impacts for the most vulnerable citizens. During the first phase, the </w:t>
      </w:r>
      <w:r w:rsidR="00253797">
        <w:t>project</w:t>
      </w:r>
      <w:r w:rsidRPr="00135431">
        <w:t xml:space="preserve"> sought to mitigate this risk through collaboration with Ministries of Women, </w:t>
      </w:r>
      <w:r w:rsidR="00C02D88">
        <w:t>Disabled</w:t>
      </w:r>
      <w:r w:rsidR="00C02D88" w:rsidRPr="00135431">
        <w:t xml:space="preserve"> </w:t>
      </w:r>
      <w:r w:rsidRPr="00135431">
        <w:t xml:space="preserve">People’s Organisations and relevant ministries for social inclusion. The </w:t>
      </w:r>
      <w:r w:rsidR="00253797">
        <w:t>project</w:t>
      </w:r>
      <w:r w:rsidRPr="00135431">
        <w:t xml:space="preserve"> also supported an active regional network concerned with greater inclusion of women in climate change and disaster risk management. In order to maintain this focus, the monitoring and evaluation for the </w:t>
      </w:r>
      <w:r w:rsidR="00253797">
        <w:t>project</w:t>
      </w:r>
      <w:r w:rsidR="00895613">
        <w:t xml:space="preserve"> </w:t>
      </w:r>
      <w:r w:rsidRPr="00135431">
        <w:t>will give significant attention to the inclusion of women and vulnerable groups, the outcomes achieved for them and the ways in which their contributions to risk informed development first planning and implementation have been strengthened.</w:t>
      </w:r>
    </w:p>
    <w:p w:rsidR="00BE3E21" w:rsidRPr="00135431" w:rsidRDefault="00BE3E21" w:rsidP="009D6B25">
      <w:pPr>
        <w:numPr>
          <w:ilvl w:val="0"/>
          <w:numId w:val="12"/>
        </w:numPr>
        <w:spacing w:line="280" w:lineRule="exact"/>
        <w:jc w:val="both"/>
      </w:pPr>
      <w:r w:rsidRPr="005A338D">
        <w:rPr>
          <w:bCs/>
          <w:i/>
          <w:iCs/>
        </w:rPr>
        <w:t xml:space="preserve">Repercussions for UNDP, donors or advocacy groups </w:t>
      </w:r>
      <w:r w:rsidRPr="005A338D">
        <w:rPr>
          <w:i/>
          <w:iCs/>
        </w:rPr>
        <w:t>resulting from engagement in government and budget oversight</w:t>
      </w:r>
      <w:r w:rsidR="00D63525">
        <w:rPr>
          <w:i/>
          <w:iCs/>
        </w:rPr>
        <w:t>:</w:t>
      </w:r>
      <w:r w:rsidRPr="00135431">
        <w:t xml:space="preserve"> In </w:t>
      </w:r>
      <w:r w:rsidR="0097069C">
        <w:t xml:space="preserve">order </w:t>
      </w:r>
      <w:r w:rsidRPr="00135431">
        <w:t xml:space="preserve">to mitigate any repercussions, the </w:t>
      </w:r>
      <w:r w:rsidR="00253797">
        <w:t>project</w:t>
      </w:r>
      <w:r w:rsidRPr="00135431">
        <w:t xml:space="preserve"> will undertake political economy analysis (PEA) on an ongoing basis as part of regular programming. This will include providing PEA training to all central and national staff, and regular monitoring of political situations, in an effort to thoroughly understand any political risks and realities and adjust programming accordingly. </w:t>
      </w:r>
    </w:p>
    <w:p w:rsidR="00BE3E21" w:rsidRPr="00135431" w:rsidRDefault="00BE3E21" w:rsidP="009D6B25">
      <w:pPr>
        <w:numPr>
          <w:ilvl w:val="0"/>
          <w:numId w:val="12"/>
        </w:numPr>
        <w:spacing w:line="280" w:lineRule="exact"/>
        <w:jc w:val="both"/>
      </w:pPr>
      <w:r w:rsidRPr="005A338D">
        <w:rPr>
          <w:bCs/>
          <w:i/>
          <w:iCs/>
        </w:rPr>
        <w:t>Displacement and resettlement</w:t>
      </w:r>
      <w:r w:rsidR="00D63525">
        <w:t>:</w:t>
      </w:r>
      <w:r w:rsidRPr="00135431">
        <w:t xml:space="preserve"> The </w:t>
      </w:r>
      <w:r w:rsidR="00253797">
        <w:t>project</w:t>
      </w:r>
      <w:r w:rsidRPr="00135431">
        <w:t xml:space="preserve"> will not be directly involved with any displacement or resettlement activities. However, it may be involved in the development of advice or other knowledge products that may be used by country </w:t>
      </w:r>
      <w:r w:rsidR="004A417D">
        <w:t>government</w:t>
      </w:r>
      <w:r w:rsidRPr="00135431">
        <w:t xml:space="preserve">s or affected communities to manage climate change-induced displacement (rather than development-induced displacement). Stakeholders will be informed during and after the design period that </w:t>
      </w:r>
      <w:r w:rsidR="008251B7">
        <w:t>GRDP</w:t>
      </w:r>
      <w:r w:rsidR="008251B7" w:rsidRPr="00135431">
        <w:t xml:space="preserve"> will</w:t>
      </w:r>
      <w:r w:rsidRPr="00135431">
        <w:t xml:space="preserve"> not directly support any displacement or resettlement activities. </w:t>
      </w:r>
    </w:p>
    <w:p w:rsidR="002F14AB" w:rsidRDefault="002F14AB" w:rsidP="009D6B25">
      <w:pPr>
        <w:pStyle w:val="Heading1"/>
        <w:numPr>
          <w:ilvl w:val="0"/>
          <w:numId w:val="8"/>
        </w:numPr>
        <w:jc w:val="left"/>
        <w:rPr>
          <w:lang w:val="fr-CA"/>
        </w:rPr>
      </w:pPr>
      <w:bookmarkStart w:id="53" w:name="_Toc22745666"/>
      <w:bookmarkStart w:id="54" w:name="_Toc25739965"/>
      <w:bookmarkStart w:id="55" w:name="_Toc25740074"/>
      <w:r w:rsidRPr="008D61D4">
        <w:t>Project</w:t>
      </w:r>
      <w:r w:rsidRPr="00135431">
        <w:rPr>
          <w:lang w:val="fr-CA"/>
        </w:rPr>
        <w:t xml:space="preserve"> </w:t>
      </w:r>
      <w:r w:rsidRPr="00135431">
        <w:t>Management</w:t>
      </w:r>
      <w:bookmarkEnd w:id="53"/>
      <w:bookmarkEnd w:id="54"/>
      <w:bookmarkEnd w:id="55"/>
      <w:r w:rsidRPr="00135431">
        <w:rPr>
          <w:lang w:val="fr-CA"/>
        </w:rPr>
        <w:t xml:space="preserve"> </w:t>
      </w:r>
    </w:p>
    <w:p w:rsidR="003517D0" w:rsidRPr="00EC74E3" w:rsidRDefault="003517D0" w:rsidP="00EC74E3">
      <w:pPr>
        <w:spacing w:line="276" w:lineRule="auto"/>
        <w:jc w:val="both"/>
        <w:rPr>
          <w:rFonts w:cs="Arial"/>
          <w:lang w:val="en-US"/>
        </w:rPr>
      </w:pPr>
      <w:r w:rsidRPr="00EC74E3">
        <w:rPr>
          <w:rFonts w:cs="Arial"/>
          <w:lang w:val="en-US"/>
        </w:rPr>
        <w:t xml:space="preserve">As a regional project, the project will be directly implemented under the UNDP Resilient and Sustainable Development Team at the UNDP Pacific Office in Fiji. Technical experts with the expertise required for the various project activities will be recruited on a </w:t>
      </w:r>
      <w:r w:rsidR="008251B7" w:rsidRPr="00EC74E3">
        <w:rPr>
          <w:rFonts w:cs="Arial"/>
          <w:lang w:val="en-US"/>
        </w:rPr>
        <w:t>need’s</w:t>
      </w:r>
      <w:r w:rsidRPr="00EC74E3">
        <w:rPr>
          <w:rFonts w:cs="Arial"/>
          <w:lang w:val="en-US"/>
        </w:rPr>
        <w:t xml:space="preserve"> basis. The project’s Multi-Year Work Plan provides all details of associated management expenses to be incurred over the project duration.</w:t>
      </w:r>
      <w:r w:rsidR="00AE1661">
        <w:rPr>
          <w:rFonts w:cs="Arial"/>
          <w:lang w:val="en-US"/>
        </w:rPr>
        <w:t xml:space="preserve"> </w:t>
      </w:r>
      <w:r w:rsidRPr="00EC74E3">
        <w:rPr>
          <w:rFonts w:cs="Arial"/>
          <w:lang w:val="en-US"/>
        </w:rPr>
        <w:t>The project team for the direct implementation of the project will comprise of the personnel needed to effectively deliver the project. The associated Direct Project Costing (DPC) that will be incurred by UNDP in providing project management and technical project implementation support is effectively indicated in the Multi-Year Work Plan.</w:t>
      </w:r>
    </w:p>
    <w:p w:rsidR="003517D0" w:rsidRPr="00EC74E3" w:rsidRDefault="003517D0" w:rsidP="00EC74E3">
      <w:pPr>
        <w:spacing w:line="276" w:lineRule="auto"/>
        <w:jc w:val="both"/>
        <w:rPr>
          <w:rFonts w:cs="Arial"/>
          <w:lang w:val="en-US"/>
        </w:rPr>
      </w:pPr>
      <w:r w:rsidRPr="00EC74E3">
        <w:rPr>
          <w:rFonts w:cs="Arial"/>
          <w:lang w:val="en-US"/>
        </w:rPr>
        <w:t>The project’s Multi-Year Work Plan also includes a General Management Support (GMS) charge that covers the costs for UNDP that are not directly attributable to specific projects or services, but are necessary to fund the corporate structure, management and oversight costs of UNDP as per global UNDP practices. The GMS is applied to all projects funded by either member governments at 3% for projects implemented directly in those member countries, and at 8% for contributions from other development partners for all projects that are implemented by UNDP around the world.</w:t>
      </w:r>
    </w:p>
    <w:p w:rsidR="003517D0" w:rsidRPr="00026164" w:rsidRDefault="003517D0" w:rsidP="00EC74E3">
      <w:pPr>
        <w:spacing w:line="276" w:lineRule="auto"/>
        <w:jc w:val="both"/>
        <w:rPr>
          <w:rFonts w:ascii="Calibri" w:hAnsi="Calibri" w:cs="Arial"/>
          <w:lang w:val="en-US"/>
        </w:rPr>
      </w:pPr>
      <w:r w:rsidRPr="004F7943">
        <w:rPr>
          <w:rFonts w:cs="Arial"/>
          <w:lang w:val="en-US"/>
        </w:rPr>
        <w:t>This project will ensure</w:t>
      </w:r>
      <w:r w:rsidRPr="004F7943">
        <w:rPr>
          <w:rFonts w:cs="Arial"/>
        </w:rPr>
        <w:t xml:space="preserve"> efficient and appropriate use of resources to achieve its end of </w:t>
      </w:r>
      <w:r w:rsidR="00253797">
        <w:rPr>
          <w:rFonts w:cs="Arial"/>
        </w:rPr>
        <w:t>project</w:t>
      </w:r>
      <w:r w:rsidR="00895613">
        <w:rPr>
          <w:rFonts w:cs="Arial"/>
        </w:rPr>
        <w:t xml:space="preserve"> </w:t>
      </w:r>
      <w:r w:rsidRPr="004F7943">
        <w:rPr>
          <w:rFonts w:cs="Arial"/>
        </w:rPr>
        <w:t>outputs</w:t>
      </w:r>
      <w:r w:rsidRPr="004F7943">
        <w:rPr>
          <w:rFonts w:cs="Arial"/>
          <w:lang w:val="en-US"/>
        </w:rPr>
        <w:t xml:space="preserve"> as demonstrated in achieving 97% delivery against budget allocations in the last phase of </w:t>
      </w:r>
      <w:r w:rsidR="008251B7">
        <w:rPr>
          <w:rFonts w:cs="Arial"/>
          <w:lang w:val="en-US"/>
        </w:rPr>
        <w:t>GRDP</w:t>
      </w:r>
      <w:r w:rsidRPr="004F7943">
        <w:rPr>
          <w:rFonts w:cs="Arial"/>
          <w:lang w:val="en-US"/>
        </w:rPr>
        <w:t xml:space="preserve"> (FAQC, 2019). The institutional arrangements within UNDP will also foster efficient delivery of resources. </w:t>
      </w:r>
      <w:r>
        <w:rPr>
          <w:rFonts w:cs="Arial"/>
          <w:lang w:val="en-US"/>
        </w:rPr>
        <w:t xml:space="preserve">The </w:t>
      </w:r>
      <w:r w:rsidRPr="004F7943">
        <w:rPr>
          <w:rFonts w:cs="Arial"/>
          <w:lang w:val="en-US"/>
        </w:rPr>
        <w:t xml:space="preserve">project will be supported through the UNDP corporate architecture that ensures that the project keeps abreast with global best practices. The project will </w:t>
      </w:r>
      <w:r w:rsidR="007D727D">
        <w:rPr>
          <w:rFonts w:cs="Arial"/>
          <w:lang w:val="en-US"/>
        </w:rPr>
        <w:t>also</w:t>
      </w:r>
      <w:r w:rsidRPr="004F7943">
        <w:rPr>
          <w:rFonts w:cs="Arial"/>
          <w:lang w:val="en-US"/>
        </w:rPr>
        <w:t xml:space="preserve"> use a portfolio management approach by leveraging joint programming with other initiatives and will continue to learn and adapt its interventions</w:t>
      </w:r>
      <w:r>
        <w:rPr>
          <w:rFonts w:cs="Arial"/>
          <w:lang w:val="en-US"/>
        </w:rPr>
        <w:t xml:space="preserve">. </w:t>
      </w:r>
      <w:r w:rsidR="008251B7">
        <w:rPr>
          <w:rFonts w:cs="Arial"/>
        </w:rPr>
        <w:t>GRDP</w:t>
      </w:r>
      <w:r w:rsidRPr="004F7943">
        <w:rPr>
          <w:rFonts w:cs="Arial"/>
        </w:rPr>
        <w:t xml:space="preserve"> </w:t>
      </w:r>
      <w:r w:rsidRPr="004F7943">
        <w:rPr>
          <w:rFonts w:cs="Arial"/>
          <w:lang w:val="en-US"/>
        </w:rPr>
        <w:t xml:space="preserve">demonstrated </w:t>
      </w:r>
      <w:r w:rsidRPr="004F7943">
        <w:rPr>
          <w:rFonts w:cs="Arial"/>
        </w:rPr>
        <w:t>gained efficiencies by taking into account Mid-Term Evaluation findings to focus efforts on activities that resulted in sustained support for risk informed development</w:t>
      </w:r>
      <w:r>
        <w:rPr>
          <w:rFonts w:cs="Arial"/>
          <w:lang w:val="en-US"/>
        </w:rPr>
        <w:t xml:space="preserve">. </w:t>
      </w:r>
      <w:r w:rsidRPr="004F7943">
        <w:rPr>
          <w:rFonts w:cs="Arial"/>
        </w:rPr>
        <w:t xml:space="preserve">The </w:t>
      </w:r>
      <w:r w:rsidR="00253797">
        <w:rPr>
          <w:rFonts w:cs="Arial"/>
        </w:rPr>
        <w:t>project</w:t>
      </w:r>
      <w:r w:rsidR="00895613">
        <w:rPr>
          <w:rFonts w:cs="Arial"/>
        </w:rPr>
        <w:t xml:space="preserve"> </w:t>
      </w:r>
      <w:r w:rsidRPr="004F7943">
        <w:rPr>
          <w:rFonts w:cs="Arial"/>
        </w:rPr>
        <w:t>phased out support to areas where there was less traction and/or ongoing delays as a result of the political economy, allowing resources to be allocated more efficiently and strategically, thus strengthening outputs and outcomes</w:t>
      </w:r>
      <w:r w:rsidRPr="004F7943">
        <w:rPr>
          <w:rFonts w:cs="Arial"/>
          <w:lang w:val="en-US"/>
        </w:rPr>
        <w:t xml:space="preserve"> (FAQC, 2019). Given the scalable nature of the work, the </w:t>
      </w:r>
      <w:r>
        <w:rPr>
          <w:rFonts w:cs="Arial"/>
          <w:lang w:val="en-US"/>
        </w:rPr>
        <w:t xml:space="preserve">project </w:t>
      </w:r>
      <w:r w:rsidRPr="004F7943">
        <w:rPr>
          <w:rFonts w:cs="Arial"/>
          <w:lang w:val="en-US"/>
        </w:rPr>
        <w:t xml:space="preserve">will continue to measure efficiency in approaches and ‘value for money’ with its team structure, in-country capacity development approach and the ability to </w:t>
      </w:r>
      <w:r w:rsidRPr="00026164">
        <w:rPr>
          <w:rFonts w:ascii="Calibri" w:hAnsi="Calibri" w:cs="Arial"/>
          <w:lang w:val="en-US"/>
        </w:rPr>
        <w:t>leverage partnerships and resources for efficient implementation, hence:</w:t>
      </w:r>
    </w:p>
    <w:p w:rsidR="003517D0" w:rsidRPr="00026164" w:rsidRDefault="003517D0" w:rsidP="009D6B25">
      <w:pPr>
        <w:pStyle w:val="ColorfulShading-Accent31"/>
        <w:numPr>
          <w:ilvl w:val="0"/>
          <w:numId w:val="1"/>
        </w:numPr>
        <w:shd w:val="clear" w:color="auto" w:fill="FFFFFF"/>
        <w:spacing w:before="60" w:line="276" w:lineRule="auto"/>
        <w:ind w:leftChars="0" w:left="360"/>
        <w:jc w:val="both"/>
        <w:rPr>
          <w:rFonts w:ascii="Calibri" w:hAnsi="Calibri" w:cs="Arial"/>
          <w:sz w:val="22"/>
        </w:rPr>
      </w:pPr>
      <w:r w:rsidRPr="00026164">
        <w:rPr>
          <w:rFonts w:ascii="Calibri" w:hAnsi="Calibri" w:cs="Arial"/>
          <w:b/>
          <w:sz w:val="22"/>
        </w:rPr>
        <w:t>The team structure</w:t>
      </w:r>
      <w:r w:rsidRPr="00026164">
        <w:rPr>
          <w:rFonts w:ascii="Calibri" w:hAnsi="Calibri" w:cs="Arial"/>
          <w:sz w:val="22"/>
        </w:rPr>
        <w:t xml:space="preserve"> </w:t>
      </w:r>
      <w:r w:rsidRPr="00026164">
        <w:rPr>
          <w:rFonts w:ascii="Calibri Light" w:hAnsi="Calibri Light" w:cs="Arial"/>
          <w:sz w:val="22"/>
        </w:rPr>
        <w:t xml:space="preserve">will consist of a central project team based in UNDP Pacific Office in Fiji. Given the scalable nature of the work, the team consisting of management, technical advisors and project support personnel will be structured to accommodate a growing and changing volume of work over time. </w:t>
      </w:r>
    </w:p>
    <w:p w:rsidR="003517D0" w:rsidRPr="004F7943" w:rsidRDefault="003517D0" w:rsidP="009D6B25">
      <w:pPr>
        <w:numPr>
          <w:ilvl w:val="0"/>
          <w:numId w:val="1"/>
        </w:numPr>
        <w:autoSpaceDE w:val="0"/>
        <w:autoSpaceDN w:val="0"/>
        <w:adjustRightInd w:val="0"/>
        <w:spacing w:after="0" w:line="276" w:lineRule="auto"/>
        <w:ind w:left="360" w:right="137"/>
        <w:jc w:val="both"/>
        <w:rPr>
          <w:rFonts w:cs="Arial"/>
        </w:rPr>
      </w:pPr>
      <w:r w:rsidRPr="004F7943">
        <w:rPr>
          <w:rFonts w:cs="Arial"/>
          <w:b/>
        </w:rPr>
        <w:t>For country-led interventions,</w:t>
      </w:r>
      <w:r w:rsidRPr="004F7943">
        <w:rPr>
          <w:rFonts w:cs="Arial"/>
        </w:rPr>
        <w:t xml:space="preserve"> the project will embed capacity </w:t>
      </w:r>
      <w:r>
        <w:rPr>
          <w:rFonts w:cs="Arial"/>
        </w:rPr>
        <w:t>at national, sector and subnational level within government.</w:t>
      </w:r>
      <w:r w:rsidRPr="004F7943">
        <w:rPr>
          <w:rFonts w:cs="Arial"/>
        </w:rPr>
        <w:t xml:space="preserve"> The project will continue its agile approach to capacity building and will be defined in the Annual Work Plans during the project implementation. As shown in the previous </w:t>
      </w:r>
      <w:r w:rsidR="00253797">
        <w:rPr>
          <w:rFonts w:cs="Arial"/>
        </w:rPr>
        <w:t>project</w:t>
      </w:r>
      <w:r w:rsidRPr="004F7943">
        <w:rPr>
          <w:rFonts w:cs="Arial"/>
        </w:rPr>
        <w:t xml:space="preserve"> the </w:t>
      </w:r>
      <w:r w:rsidRPr="0032102A">
        <w:rPr>
          <w:rFonts w:cs="Arial"/>
          <w:bCs/>
        </w:rPr>
        <w:t>in-house capacity development approach</w:t>
      </w:r>
      <w:r w:rsidRPr="004F7943">
        <w:rPr>
          <w:rFonts w:cs="Arial"/>
        </w:rPr>
        <w:t>, which leveraged change `from within' country systems for risk informed development has resulted in the formulation of 13 permanent government posts, and seven partner funded positions operating within government</w:t>
      </w:r>
      <w:r w:rsidRPr="004F7943">
        <w:rPr>
          <w:rFonts w:cs="Arial"/>
          <w:lang w:val="en-US"/>
        </w:rPr>
        <w:t xml:space="preserve"> (FAQC, 2019)</w:t>
      </w:r>
      <w:r w:rsidRPr="004F7943">
        <w:rPr>
          <w:rFonts w:cs="Arial"/>
        </w:rPr>
        <w:t>.</w:t>
      </w:r>
    </w:p>
    <w:p w:rsidR="003517D0" w:rsidRPr="00555B66" w:rsidRDefault="003517D0" w:rsidP="009D6B25">
      <w:pPr>
        <w:numPr>
          <w:ilvl w:val="0"/>
          <w:numId w:val="1"/>
        </w:numPr>
        <w:autoSpaceDE w:val="0"/>
        <w:autoSpaceDN w:val="0"/>
        <w:adjustRightInd w:val="0"/>
        <w:spacing w:after="0" w:line="276" w:lineRule="auto"/>
        <w:ind w:left="360" w:right="137"/>
        <w:jc w:val="both"/>
        <w:rPr>
          <w:rFonts w:cs="Arial"/>
        </w:rPr>
      </w:pPr>
      <w:r w:rsidRPr="004F7943">
        <w:rPr>
          <w:rFonts w:cs="Arial"/>
          <w:b/>
        </w:rPr>
        <w:t xml:space="preserve">The </w:t>
      </w:r>
      <w:r w:rsidR="00253797">
        <w:rPr>
          <w:rFonts w:cs="Arial"/>
          <w:b/>
        </w:rPr>
        <w:t>project</w:t>
      </w:r>
      <w:r w:rsidRPr="004F7943">
        <w:rPr>
          <w:rFonts w:cs="Arial"/>
          <w:b/>
        </w:rPr>
        <w:t xml:space="preserve"> will continue to leverage partnership and resources</w:t>
      </w:r>
      <w:r w:rsidRPr="004F7943">
        <w:rPr>
          <w:rFonts w:cs="Arial"/>
        </w:rPr>
        <w:t xml:space="preserve"> to increase value for money and cost effectiveness for the </w:t>
      </w:r>
      <w:r w:rsidR="00253797">
        <w:rPr>
          <w:rFonts w:cs="Arial"/>
        </w:rPr>
        <w:t>project</w:t>
      </w:r>
      <w:r w:rsidRPr="004F7943">
        <w:rPr>
          <w:rFonts w:cs="Arial"/>
        </w:rPr>
        <w:t xml:space="preserve">. There </w:t>
      </w:r>
      <w:r w:rsidR="007D727D">
        <w:rPr>
          <w:rFonts w:cs="Arial"/>
        </w:rPr>
        <w:t>is</w:t>
      </w:r>
      <w:r w:rsidR="007D727D" w:rsidRPr="004F7943">
        <w:rPr>
          <w:rFonts w:cs="Arial"/>
        </w:rPr>
        <w:t xml:space="preserve"> </w:t>
      </w:r>
      <w:r w:rsidRPr="004F7943">
        <w:rPr>
          <w:rFonts w:cs="Arial"/>
        </w:rPr>
        <w:t xml:space="preserve">deliberate joint-programming with ongoing complementary initiatives such as DFAT’s, </w:t>
      </w:r>
      <w:r w:rsidRPr="004F7943">
        <w:rPr>
          <w:rFonts w:cs="Arial"/>
          <w:i/>
        </w:rPr>
        <w:t>Australian Pacific Climate Partnership</w:t>
      </w:r>
      <w:r w:rsidRPr="004F7943">
        <w:rPr>
          <w:rFonts w:cs="Arial"/>
        </w:rPr>
        <w:t xml:space="preserve">, UNDP Pacific Office in Fiji’s, </w:t>
      </w:r>
      <w:r w:rsidRPr="004F7943">
        <w:rPr>
          <w:rFonts w:cs="Arial"/>
          <w:i/>
        </w:rPr>
        <w:t>Strengthening Public Finance Management project and Pacific Parliamentary Effectiveness Initiative (PPEI)</w:t>
      </w:r>
      <w:r w:rsidRPr="004F7943">
        <w:rPr>
          <w:rFonts w:cs="Arial"/>
        </w:rPr>
        <w:t xml:space="preserve"> and UNDP’s Asia-Pacific programme, </w:t>
      </w:r>
      <w:r w:rsidRPr="004F7943">
        <w:rPr>
          <w:rFonts w:cs="Arial"/>
          <w:i/>
        </w:rPr>
        <w:t>Governance for Climate Change Finance</w:t>
      </w:r>
      <w:r w:rsidRPr="004F7943">
        <w:rPr>
          <w:rFonts w:cs="Arial"/>
        </w:rPr>
        <w:t xml:space="preserve"> (GCCF).</w:t>
      </w:r>
    </w:p>
    <w:p w:rsidR="003517D0" w:rsidRDefault="003517D0" w:rsidP="00EC74E3">
      <w:pPr>
        <w:pStyle w:val="ListParagraph"/>
        <w:spacing w:line="276" w:lineRule="auto"/>
        <w:ind w:left="0"/>
        <w:jc w:val="both"/>
        <w:rPr>
          <w:rFonts w:cs="Arial"/>
        </w:rPr>
      </w:pPr>
    </w:p>
    <w:p w:rsidR="003517D0" w:rsidRPr="00555B66" w:rsidRDefault="003517D0" w:rsidP="00EC74E3">
      <w:pPr>
        <w:pStyle w:val="ListParagraph"/>
        <w:spacing w:line="276" w:lineRule="auto"/>
        <w:ind w:left="0"/>
        <w:jc w:val="both"/>
        <w:rPr>
          <w:rFonts w:cs="Arial"/>
        </w:rPr>
      </w:pPr>
      <w:r w:rsidRPr="004F7943">
        <w:rPr>
          <w:rFonts w:cs="Arial"/>
        </w:rPr>
        <w:t xml:space="preserve">The project is designed to deliver maximum project results with the available resources through ensuring the design is based on good practices and lessons learned, that activities are specific and clearly linked to the expected outputs, and that there is a sound results management and monitoring framework in place with indicators linked to the Theory of Change. As demonstrated in </w:t>
      </w:r>
      <w:r w:rsidR="008251B7">
        <w:rPr>
          <w:rFonts w:cs="Arial"/>
        </w:rPr>
        <w:t>GRDP</w:t>
      </w:r>
      <w:r w:rsidRPr="004F7943">
        <w:rPr>
          <w:rFonts w:cs="Arial"/>
        </w:rPr>
        <w:t xml:space="preserve">, tracking progress through applying </w:t>
      </w:r>
      <w:r w:rsidR="00524967">
        <w:rPr>
          <w:rFonts w:cs="Arial"/>
        </w:rPr>
        <w:t>political</w:t>
      </w:r>
      <w:r w:rsidR="00524967" w:rsidRPr="004F7943">
        <w:rPr>
          <w:rFonts w:cs="Arial"/>
        </w:rPr>
        <w:t xml:space="preserve"> </w:t>
      </w:r>
      <w:r w:rsidRPr="004F7943">
        <w:rPr>
          <w:rFonts w:cs="Arial"/>
        </w:rPr>
        <w:t xml:space="preserve">economic analysis was vital to strengthen outputs and outcomes (FAQC, 2019). Similarly, the model of working from within to embedded posts to partner governments was effective and sustainable for the project. </w:t>
      </w:r>
    </w:p>
    <w:p w:rsidR="002F14AB" w:rsidRPr="00135431" w:rsidRDefault="002F14AB" w:rsidP="00EC74E3">
      <w:pPr>
        <w:jc w:val="both"/>
        <w:rPr>
          <w:i/>
        </w:rPr>
      </w:pPr>
    </w:p>
    <w:p w:rsidR="002F14AB" w:rsidRPr="00135431" w:rsidRDefault="002F14AB" w:rsidP="002F14AB">
      <w:pPr>
        <w:sectPr w:rsidR="002F14AB" w:rsidRPr="00135431" w:rsidSect="00DE0875">
          <w:pgSz w:w="11906" w:h="16838" w:code="9"/>
          <w:pgMar w:top="864" w:right="1152" w:bottom="864" w:left="1152" w:header="720" w:footer="432" w:gutter="0"/>
          <w:cols w:space="708"/>
          <w:docGrid w:linePitch="360"/>
        </w:sectPr>
      </w:pPr>
    </w:p>
    <w:p w:rsidR="002F14AB" w:rsidRPr="00135431" w:rsidRDefault="002F14AB" w:rsidP="009D6B25">
      <w:pPr>
        <w:pStyle w:val="Heading1"/>
        <w:numPr>
          <w:ilvl w:val="0"/>
          <w:numId w:val="8"/>
        </w:numPr>
        <w:jc w:val="left"/>
      </w:pPr>
      <w:bookmarkStart w:id="56" w:name="_Toc22745669"/>
      <w:bookmarkStart w:id="57" w:name="_Toc25739966"/>
      <w:bookmarkStart w:id="58" w:name="_Toc25740075"/>
      <w:r w:rsidRPr="0027005D">
        <w:t>R</w:t>
      </w:r>
      <w:r w:rsidRPr="00135431">
        <w:t>esults Framework</w:t>
      </w:r>
      <w:bookmarkEnd w:id="56"/>
      <w:bookmarkEnd w:id="57"/>
      <w:bookmarkEnd w:id="58"/>
    </w:p>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4"/>
        <w:gridCol w:w="2650"/>
        <w:gridCol w:w="1082"/>
        <w:gridCol w:w="2319"/>
        <w:gridCol w:w="644"/>
        <w:gridCol w:w="1024"/>
        <w:gridCol w:w="978"/>
        <w:gridCol w:w="979"/>
        <w:gridCol w:w="978"/>
        <w:gridCol w:w="1379"/>
        <w:gridCol w:w="927"/>
      </w:tblGrid>
      <w:tr w:rsidR="00173FB7" w:rsidRPr="00B16C3E" w:rsidTr="00056FEA">
        <w:trPr>
          <w:cantSplit/>
          <w:trHeight w:val="522"/>
          <w:jc w:val="center"/>
        </w:trPr>
        <w:tc>
          <w:tcPr>
            <w:tcW w:w="15304" w:type="dxa"/>
            <w:gridSpan w:val="11"/>
          </w:tcPr>
          <w:p w:rsidR="00173FB7" w:rsidRPr="005057AA" w:rsidRDefault="00173FB7" w:rsidP="00FA65FC">
            <w:pPr>
              <w:spacing w:before="80" w:after="80" w:line="240" w:lineRule="auto"/>
              <w:rPr>
                <w:sz w:val="14"/>
                <w:szCs w:val="14"/>
              </w:rPr>
            </w:pPr>
            <w:bookmarkStart w:id="59" w:name="_Hlk21184772"/>
            <w:r w:rsidRPr="005057AA">
              <w:rPr>
                <w:b/>
                <w:sz w:val="14"/>
                <w:szCs w:val="14"/>
              </w:rPr>
              <w:t xml:space="preserve">Intended Outcome as stated in the UNDAF/Country [or Global/Regional] </w:t>
            </w:r>
            <w:r w:rsidR="00253797">
              <w:rPr>
                <w:b/>
                <w:sz w:val="14"/>
                <w:szCs w:val="14"/>
              </w:rPr>
              <w:t>Project</w:t>
            </w:r>
            <w:r w:rsidRPr="005057AA">
              <w:rPr>
                <w:b/>
                <w:sz w:val="14"/>
                <w:szCs w:val="14"/>
              </w:rPr>
              <w:t xml:space="preserve"> Results and Resource Framework:  </w:t>
            </w:r>
            <w:r w:rsidRPr="0027005D">
              <w:rPr>
                <w:rFonts w:cs="Arial"/>
                <w:i/>
                <w:iCs/>
                <w:sz w:val="14"/>
                <w:szCs w:val="14"/>
              </w:rPr>
              <w:t>UNDP</w:t>
            </w:r>
            <w:r w:rsidRPr="005057AA">
              <w:rPr>
                <w:rFonts w:cs="Arial"/>
                <w:i/>
                <w:iCs/>
                <w:sz w:val="14"/>
                <w:szCs w:val="14"/>
              </w:rPr>
              <w:t xml:space="preserve"> (2018-2021) – Outcome 2: Accelerate structural transformations for sustainable development. UNDP SRPD – Outcome 1: By 2022, people and ecosystems in the Pacific are more resilient to the impacts of climate change, climate variability and disasters; and environmental protection is strengthened</w:t>
            </w:r>
          </w:p>
        </w:tc>
      </w:tr>
      <w:tr w:rsidR="00173FB7" w:rsidRPr="00B16C3E" w:rsidTr="00056FEA">
        <w:trPr>
          <w:cantSplit/>
          <w:trHeight w:val="461"/>
          <w:jc w:val="center"/>
        </w:trPr>
        <w:tc>
          <w:tcPr>
            <w:tcW w:w="15304" w:type="dxa"/>
            <w:gridSpan w:val="11"/>
          </w:tcPr>
          <w:p w:rsidR="00173FB7" w:rsidRPr="005057AA" w:rsidRDefault="00173FB7" w:rsidP="00FA65FC">
            <w:pPr>
              <w:spacing w:before="80" w:after="80" w:line="240" w:lineRule="auto"/>
              <w:rPr>
                <w:rFonts w:cs="Segoe UI"/>
                <w:i/>
                <w:iCs/>
                <w:color w:val="212529"/>
                <w:sz w:val="14"/>
                <w:szCs w:val="14"/>
                <w:shd w:val="clear" w:color="auto" w:fill="FFFFFF"/>
              </w:rPr>
            </w:pPr>
            <w:r w:rsidRPr="005057AA">
              <w:rPr>
                <w:b/>
                <w:sz w:val="14"/>
                <w:szCs w:val="14"/>
              </w:rPr>
              <w:t xml:space="preserve">Outcome indicators as stated in the Country Programme [or Global/Regional] Results and Resources Framework, including baseline and targets: </w:t>
            </w:r>
            <w:r w:rsidRPr="005057AA">
              <w:rPr>
                <w:rFonts w:cs="Segoe UI"/>
                <w:i/>
                <w:iCs/>
                <w:color w:val="212529"/>
                <w:sz w:val="14"/>
                <w:szCs w:val="14"/>
                <w:shd w:val="clear" w:color="auto" w:fill="FFFFFF"/>
              </w:rPr>
              <w:t>Outcome Indicator 2.3.1.1: Country has data-informed development and investment plans that incorporate integrated solutions to reduce disaster risks and enable climate change adaptation and mitigation. SDG Target 13.2: Integrate climate change measures into national policies, strategies and planning.</w:t>
            </w:r>
          </w:p>
        </w:tc>
      </w:tr>
      <w:tr w:rsidR="00173FB7" w:rsidRPr="00B16C3E" w:rsidTr="00056FEA">
        <w:trPr>
          <w:cantSplit/>
          <w:trHeight w:val="398"/>
          <w:jc w:val="center"/>
        </w:trPr>
        <w:tc>
          <w:tcPr>
            <w:tcW w:w="15304" w:type="dxa"/>
            <w:gridSpan w:val="11"/>
          </w:tcPr>
          <w:p w:rsidR="00173FB7" w:rsidRPr="005057AA" w:rsidRDefault="00173FB7" w:rsidP="00FA65FC">
            <w:pPr>
              <w:spacing w:before="80" w:after="80" w:line="240" w:lineRule="auto"/>
              <w:rPr>
                <w:rFonts w:cs="Arial"/>
                <w:i/>
                <w:iCs/>
                <w:sz w:val="14"/>
                <w:szCs w:val="14"/>
              </w:rPr>
            </w:pPr>
            <w:r w:rsidRPr="005057AA">
              <w:rPr>
                <w:b/>
                <w:sz w:val="14"/>
                <w:szCs w:val="14"/>
              </w:rPr>
              <w:t xml:space="preserve">Applicable Output(s) from the UNDP Strategic Plan: </w:t>
            </w:r>
            <w:r w:rsidRPr="005057AA">
              <w:rPr>
                <w:rFonts w:cs="Arial"/>
                <w:sz w:val="14"/>
                <w:szCs w:val="14"/>
              </w:rPr>
              <w:t xml:space="preserve">UNDP SRPD </w:t>
            </w:r>
            <w:r w:rsidRPr="005057AA">
              <w:rPr>
                <w:rFonts w:cs="Arial"/>
                <w:i/>
                <w:iCs/>
                <w:sz w:val="14"/>
                <w:szCs w:val="14"/>
              </w:rPr>
              <w:t>- Output 1.2: Effective risk-informed development plans disaster preparedness and recovery mechanisms in place at the national sector and subnational levels</w:t>
            </w:r>
          </w:p>
        </w:tc>
      </w:tr>
      <w:tr w:rsidR="00173FB7" w:rsidRPr="00B16C3E" w:rsidTr="00056FEA">
        <w:trPr>
          <w:cantSplit/>
          <w:trHeight w:val="398"/>
          <w:jc w:val="center"/>
        </w:trPr>
        <w:tc>
          <w:tcPr>
            <w:tcW w:w="15304" w:type="dxa"/>
            <w:gridSpan w:val="11"/>
            <w:tcBorders>
              <w:bottom w:val="single" w:sz="4" w:space="0" w:color="auto"/>
            </w:tcBorders>
          </w:tcPr>
          <w:p w:rsidR="00173FB7" w:rsidRPr="005057AA" w:rsidRDefault="00173FB7" w:rsidP="00FA65FC">
            <w:pPr>
              <w:spacing w:before="80" w:after="80" w:line="240" w:lineRule="auto"/>
              <w:rPr>
                <w:b/>
                <w:sz w:val="14"/>
                <w:szCs w:val="14"/>
              </w:rPr>
            </w:pPr>
            <w:r w:rsidRPr="005057AA">
              <w:rPr>
                <w:b/>
                <w:sz w:val="14"/>
                <w:szCs w:val="14"/>
              </w:rPr>
              <w:t xml:space="preserve">Project title and Atlas Project Number:  </w:t>
            </w:r>
            <w:r w:rsidR="008251B7">
              <w:rPr>
                <w:bCs/>
                <w:i/>
                <w:iCs/>
                <w:sz w:val="14"/>
                <w:szCs w:val="14"/>
              </w:rPr>
              <w:t xml:space="preserve">Governance for Resilient Development in the </w:t>
            </w:r>
            <w:r w:rsidR="006F3A05">
              <w:rPr>
                <w:bCs/>
                <w:i/>
                <w:iCs/>
                <w:sz w:val="14"/>
                <w:szCs w:val="14"/>
              </w:rPr>
              <w:t>Pacific,</w:t>
            </w:r>
            <w:r w:rsidRPr="005057AA">
              <w:rPr>
                <w:bCs/>
                <w:i/>
                <w:iCs/>
                <w:sz w:val="14"/>
                <w:szCs w:val="14"/>
              </w:rPr>
              <w:t xml:space="preserve"> Project No. 00112069</w:t>
            </w:r>
          </w:p>
        </w:tc>
      </w:tr>
      <w:tr w:rsidR="00173FB7" w:rsidRPr="00B16C3E" w:rsidTr="00056FEA">
        <w:trPr>
          <w:cantSplit/>
          <w:trHeight w:val="597"/>
          <w:jc w:val="center"/>
        </w:trPr>
        <w:tc>
          <w:tcPr>
            <w:tcW w:w="2344" w:type="dxa"/>
            <w:vMerge w:val="restart"/>
            <w:shd w:val="clear" w:color="auto" w:fill="FFFF99"/>
          </w:tcPr>
          <w:p w:rsidR="00173FB7" w:rsidRPr="005057AA" w:rsidRDefault="00173FB7" w:rsidP="00FA65FC">
            <w:pPr>
              <w:spacing w:before="80" w:after="80" w:line="240" w:lineRule="auto"/>
              <w:jc w:val="center"/>
              <w:rPr>
                <w:rFonts w:cs="Arial"/>
                <w:b/>
                <w:sz w:val="14"/>
                <w:szCs w:val="14"/>
              </w:rPr>
            </w:pPr>
            <w:r w:rsidRPr="005057AA">
              <w:rPr>
                <w:rFonts w:cs="Arial"/>
                <w:b/>
                <w:sz w:val="14"/>
                <w:szCs w:val="14"/>
              </w:rPr>
              <w:t xml:space="preserve">EXPECTED OUTPUTS </w:t>
            </w:r>
          </w:p>
        </w:tc>
        <w:tc>
          <w:tcPr>
            <w:tcW w:w="2650" w:type="dxa"/>
            <w:vMerge w:val="restart"/>
            <w:shd w:val="clear" w:color="auto" w:fill="FFFF99"/>
          </w:tcPr>
          <w:p w:rsidR="00173FB7" w:rsidRPr="005057AA" w:rsidRDefault="00173FB7" w:rsidP="00FA65FC">
            <w:pPr>
              <w:spacing w:before="80" w:after="80" w:line="240" w:lineRule="auto"/>
              <w:jc w:val="center"/>
              <w:rPr>
                <w:rFonts w:cs="Arial"/>
                <w:b/>
                <w:sz w:val="14"/>
                <w:szCs w:val="14"/>
              </w:rPr>
            </w:pPr>
            <w:r w:rsidRPr="005057AA">
              <w:rPr>
                <w:rFonts w:cs="Arial"/>
                <w:b/>
                <w:sz w:val="14"/>
                <w:szCs w:val="14"/>
              </w:rPr>
              <w:t>OUTPUT INDICATORS</w:t>
            </w:r>
          </w:p>
        </w:tc>
        <w:tc>
          <w:tcPr>
            <w:tcW w:w="0" w:type="auto"/>
            <w:vMerge w:val="restart"/>
            <w:shd w:val="clear" w:color="auto" w:fill="FFFF99"/>
          </w:tcPr>
          <w:p w:rsidR="00173FB7" w:rsidRPr="005057AA" w:rsidRDefault="00173FB7" w:rsidP="00FA65FC">
            <w:pPr>
              <w:spacing w:before="80" w:after="80" w:line="240" w:lineRule="auto"/>
              <w:jc w:val="center"/>
              <w:rPr>
                <w:rFonts w:cs="Arial"/>
                <w:b/>
                <w:sz w:val="14"/>
                <w:szCs w:val="14"/>
              </w:rPr>
            </w:pPr>
            <w:r w:rsidRPr="005057AA">
              <w:rPr>
                <w:rFonts w:cs="Arial"/>
                <w:b/>
                <w:sz w:val="14"/>
                <w:szCs w:val="14"/>
              </w:rPr>
              <w:t>DATA SOURCE</w:t>
            </w:r>
          </w:p>
        </w:tc>
        <w:tc>
          <w:tcPr>
            <w:tcW w:w="2963" w:type="dxa"/>
            <w:gridSpan w:val="2"/>
            <w:shd w:val="clear" w:color="auto" w:fill="FFFF99"/>
          </w:tcPr>
          <w:p w:rsidR="00173FB7" w:rsidRPr="005057AA" w:rsidRDefault="00173FB7" w:rsidP="00FA65FC">
            <w:pPr>
              <w:spacing w:before="80" w:after="80" w:line="240" w:lineRule="auto"/>
              <w:jc w:val="center"/>
              <w:rPr>
                <w:rFonts w:cs="Arial"/>
                <w:b/>
                <w:sz w:val="14"/>
                <w:szCs w:val="14"/>
              </w:rPr>
            </w:pPr>
            <w:r w:rsidRPr="005057AA">
              <w:rPr>
                <w:rFonts w:cs="Arial"/>
                <w:b/>
                <w:sz w:val="14"/>
                <w:szCs w:val="14"/>
              </w:rPr>
              <w:t>BASELINE</w:t>
            </w:r>
          </w:p>
        </w:tc>
        <w:tc>
          <w:tcPr>
            <w:tcW w:w="5338" w:type="dxa"/>
            <w:gridSpan w:val="5"/>
            <w:shd w:val="clear" w:color="auto" w:fill="FFFF99"/>
          </w:tcPr>
          <w:p w:rsidR="00173FB7" w:rsidRPr="005057AA" w:rsidRDefault="00173FB7" w:rsidP="00FA65FC">
            <w:pPr>
              <w:spacing w:before="80" w:after="80" w:line="240" w:lineRule="auto"/>
              <w:jc w:val="center"/>
              <w:rPr>
                <w:rFonts w:cs="Arial"/>
                <w:b/>
                <w:sz w:val="14"/>
                <w:szCs w:val="14"/>
              </w:rPr>
            </w:pPr>
            <w:r w:rsidRPr="005057AA">
              <w:rPr>
                <w:rFonts w:cs="Arial"/>
                <w:b/>
                <w:sz w:val="14"/>
                <w:szCs w:val="14"/>
              </w:rPr>
              <w:t>TARGETS (by frequency of data collection)</w:t>
            </w:r>
          </w:p>
        </w:tc>
        <w:tc>
          <w:tcPr>
            <w:tcW w:w="927" w:type="dxa"/>
            <w:vMerge w:val="restart"/>
            <w:shd w:val="clear" w:color="auto" w:fill="FFFF99"/>
          </w:tcPr>
          <w:p w:rsidR="00173FB7" w:rsidRPr="005057AA" w:rsidRDefault="00173FB7" w:rsidP="00FA65FC">
            <w:pPr>
              <w:spacing w:before="80" w:after="80"/>
            </w:pPr>
            <w:r w:rsidRPr="00EA63AB">
              <w:rPr>
                <w:rFonts w:cs="Arial"/>
                <w:b/>
                <w:sz w:val="14"/>
                <w:szCs w:val="14"/>
              </w:rPr>
              <w:t>DATA COLLECTION METHODS &amp; RISKS</w:t>
            </w:r>
          </w:p>
        </w:tc>
      </w:tr>
      <w:tr w:rsidR="00173FB7" w:rsidRPr="00B16C3E" w:rsidTr="00056FEA">
        <w:trPr>
          <w:cantSplit/>
          <w:trHeight w:val="303"/>
          <w:jc w:val="center"/>
        </w:trPr>
        <w:tc>
          <w:tcPr>
            <w:tcW w:w="2344" w:type="dxa"/>
            <w:vMerge/>
            <w:shd w:val="clear" w:color="auto" w:fill="FFFF99"/>
          </w:tcPr>
          <w:p w:rsidR="00173FB7" w:rsidRPr="005057AA" w:rsidRDefault="00173FB7" w:rsidP="00FA65FC">
            <w:pPr>
              <w:spacing w:before="80" w:after="80" w:line="240" w:lineRule="auto"/>
              <w:jc w:val="center"/>
              <w:rPr>
                <w:rFonts w:cs="Arial"/>
                <w:b/>
                <w:sz w:val="14"/>
                <w:szCs w:val="14"/>
              </w:rPr>
            </w:pPr>
          </w:p>
        </w:tc>
        <w:tc>
          <w:tcPr>
            <w:tcW w:w="2650" w:type="dxa"/>
            <w:vMerge/>
            <w:shd w:val="clear" w:color="auto" w:fill="FFFF99"/>
          </w:tcPr>
          <w:p w:rsidR="00173FB7" w:rsidRPr="005057AA" w:rsidRDefault="00173FB7" w:rsidP="00FA65FC">
            <w:pPr>
              <w:spacing w:before="80" w:after="80" w:line="240" w:lineRule="auto"/>
              <w:jc w:val="center"/>
              <w:rPr>
                <w:rFonts w:cs="Arial"/>
                <w:b/>
                <w:sz w:val="14"/>
                <w:szCs w:val="14"/>
              </w:rPr>
            </w:pPr>
          </w:p>
        </w:tc>
        <w:tc>
          <w:tcPr>
            <w:tcW w:w="0" w:type="auto"/>
            <w:vMerge/>
            <w:shd w:val="clear" w:color="auto" w:fill="FFFF99"/>
          </w:tcPr>
          <w:p w:rsidR="00173FB7" w:rsidRPr="005057AA" w:rsidRDefault="00173FB7" w:rsidP="00FA65FC">
            <w:pPr>
              <w:spacing w:before="80" w:after="80" w:line="240" w:lineRule="auto"/>
              <w:jc w:val="center"/>
              <w:rPr>
                <w:rFonts w:cs="Arial"/>
                <w:b/>
                <w:sz w:val="14"/>
                <w:szCs w:val="14"/>
              </w:rPr>
            </w:pPr>
          </w:p>
        </w:tc>
        <w:tc>
          <w:tcPr>
            <w:tcW w:w="2319" w:type="dxa"/>
            <w:tcBorders>
              <w:bottom w:val="single" w:sz="4" w:space="0" w:color="auto"/>
            </w:tcBorders>
            <w:shd w:val="clear" w:color="auto" w:fill="FFFF99"/>
          </w:tcPr>
          <w:p w:rsidR="00173FB7" w:rsidRPr="005057AA" w:rsidDel="00A84123" w:rsidRDefault="00173FB7" w:rsidP="00FA65FC">
            <w:pPr>
              <w:spacing w:before="80" w:after="80" w:line="240" w:lineRule="auto"/>
              <w:jc w:val="center"/>
              <w:rPr>
                <w:rFonts w:cs="Arial"/>
                <w:b/>
                <w:sz w:val="14"/>
                <w:szCs w:val="14"/>
              </w:rPr>
            </w:pPr>
            <w:r w:rsidRPr="005057AA">
              <w:rPr>
                <w:rFonts w:cs="Arial"/>
                <w:b/>
                <w:sz w:val="14"/>
                <w:szCs w:val="14"/>
              </w:rPr>
              <w:t>Value</w:t>
            </w:r>
          </w:p>
        </w:tc>
        <w:tc>
          <w:tcPr>
            <w:tcW w:w="644" w:type="dxa"/>
            <w:tcBorders>
              <w:bottom w:val="single" w:sz="4" w:space="0" w:color="auto"/>
            </w:tcBorders>
            <w:shd w:val="clear" w:color="auto" w:fill="FFFF99"/>
          </w:tcPr>
          <w:p w:rsidR="00173FB7" w:rsidRPr="005057AA" w:rsidRDefault="00173FB7" w:rsidP="00FA65FC">
            <w:pPr>
              <w:spacing w:before="80" w:after="80" w:line="240" w:lineRule="auto"/>
              <w:jc w:val="center"/>
              <w:rPr>
                <w:rFonts w:cs="Arial"/>
                <w:b/>
                <w:sz w:val="14"/>
                <w:szCs w:val="14"/>
              </w:rPr>
            </w:pPr>
            <w:r w:rsidRPr="005057AA">
              <w:rPr>
                <w:rFonts w:cs="Arial"/>
                <w:b/>
                <w:sz w:val="14"/>
                <w:szCs w:val="14"/>
              </w:rPr>
              <w:t>Year</w:t>
            </w:r>
          </w:p>
        </w:tc>
        <w:tc>
          <w:tcPr>
            <w:tcW w:w="1024" w:type="dxa"/>
            <w:tcBorders>
              <w:bottom w:val="single" w:sz="4" w:space="0" w:color="auto"/>
            </w:tcBorders>
            <w:shd w:val="clear" w:color="auto" w:fill="FFFF99"/>
          </w:tcPr>
          <w:p w:rsidR="00173FB7" w:rsidRPr="005057AA" w:rsidDel="00BD7C58" w:rsidRDefault="00173FB7" w:rsidP="00FA65FC">
            <w:pPr>
              <w:spacing w:before="80" w:after="80" w:line="240" w:lineRule="auto"/>
              <w:jc w:val="center"/>
              <w:rPr>
                <w:rFonts w:cs="Arial"/>
                <w:b/>
                <w:sz w:val="14"/>
                <w:szCs w:val="14"/>
              </w:rPr>
            </w:pPr>
            <w:r w:rsidRPr="005057AA">
              <w:rPr>
                <w:rFonts w:cs="Arial"/>
                <w:b/>
                <w:sz w:val="14"/>
                <w:szCs w:val="14"/>
              </w:rPr>
              <w:t>Year</w:t>
            </w:r>
            <w:r w:rsidRPr="005057AA">
              <w:rPr>
                <w:rFonts w:cs="Arial"/>
                <w:b/>
                <w:sz w:val="14"/>
                <w:szCs w:val="14"/>
              </w:rPr>
              <w:br/>
              <w:t>2020</w:t>
            </w:r>
          </w:p>
        </w:tc>
        <w:tc>
          <w:tcPr>
            <w:tcW w:w="978" w:type="dxa"/>
            <w:tcBorders>
              <w:bottom w:val="single" w:sz="4" w:space="0" w:color="auto"/>
            </w:tcBorders>
            <w:shd w:val="clear" w:color="auto" w:fill="FFFF99"/>
          </w:tcPr>
          <w:p w:rsidR="00173FB7" w:rsidRPr="005057AA" w:rsidDel="00BD7C58" w:rsidRDefault="00173FB7" w:rsidP="00FA65FC">
            <w:pPr>
              <w:spacing w:before="80" w:after="80" w:line="240" w:lineRule="auto"/>
              <w:jc w:val="center"/>
              <w:rPr>
                <w:rFonts w:cs="Arial"/>
                <w:b/>
                <w:sz w:val="14"/>
                <w:szCs w:val="14"/>
              </w:rPr>
            </w:pPr>
            <w:r w:rsidRPr="005057AA">
              <w:rPr>
                <w:rFonts w:cs="Arial"/>
                <w:b/>
                <w:sz w:val="14"/>
                <w:szCs w:val="14"/>
              </w:rPr>
              <w:t>Year</w:t>
            </w:r>
            <w:r w:rsidRPr="005057AA">
              <w:rPr>
                <w:rFonts w:cs="Arial"/>
                <w:b/>
                <w:sz w:val="14"/>
                <w:szCs w:val="14"/>
              </w:rPr>
              <w:br/>
              <w:t>2021</w:t>
            </w:r>
          </w:p>
        </w:tc>
        <w:tc>
          <w:tcPr>
            <w:tcW w:w="979" w:type="dxa"/>
            <w:tcBorders>
              <w:bottom w:val="single" w:sz="4" w:space="0" w:color="auto"/>
            </w:tcBorders>
            <w:shd w:val="clear" w:color="auto" w:fill="FFFF99"/>
          </w:tcPr>
          <w:p w:rsidR="00173FB7" w:rsidRPr="005057AA" w:rsidDel="00BD7C58" w:rsidRDefault="00173FB7" w:rsidP="00FA65FC">
            <w:pPr>
              <w:spacing w:before="80" w:after="80" w:line="240" w:lineRule="auto"/>
              <w:jc w:val="center"/>
              <w:rPr>
                <w:rFonts w:cs="Arial"/>
                <w:b/>
                <w:sz w:val="14"/>
                <w:szCs w:val="14"/>
              </w:rPr>
            </w:pPr>
            <w:r w:rsidRPr="005057AA">
              <w:rPr>
                <w:rFonts w:cs="Arial"/>
                <w:b/>
                <w:sz w:val="14"/>
                <w:szCs w:val="14"/>
              </w:rPr>
              <w:t>Year</w:t>
            </w:r>
            <w:r w:rsidRPr="005057AA">
              <w:rPr>
                <w:rFonts w:cs="Arial"/>
                <w:b/>
                <w:sz w:val="14"/>
                <w:szCs w:val="14"/>
              </w:rPr>
              <w:br/>
              <w:t>2022</w:t>
            </w:r>
          </w:p>
        </w:tc>
        <w:tc>
          <w:tcPr>
            <w:tcW w:w="978" w:type="dxa"/>
            <w:tcBorders>
              <w:bottom w:val="single" w:sz="4" w:space="0" w:color="auto"/>
            </w:tcBorders>
            <w:shd w:val="clear" w:color="auto" w:fill="FFFF99"/>
          </w:tcPr>
          <w:p w:rsidR="00173FB7" w:rsidRPr="005057AA" w:rsidDel="00BD7C58" w:rsidRDefault="00173FB7" w:rsidP="00FA65FC">
            <w:pPr>
              <w:spacing w:before="80" w:after="80" w:line="240" w:lineRule="auto"/>
              <w:jc w:val="center"/>
              <w:rPr>
                <w:rFonts w:cs="Arial"/>
                <w:b/>
                <w:sz w:val="14"/>
                <w:szCs w:val="14"/>
              </w:rPr>
            </w:pPr>
            <w:r w:rsidRPr="005057AA">
              <w:rPr>
                <w:rFonts w:cs="Arial"/>
                <w:b/>
                <w:sz w:val="14"/>
                <w:szCs w:val="14"/>
              </w:rPr>
              <w:t>Year</w:t>
            </w:r>
            <w:r w:rsidRPr="005057AA">
              <w:rPr>
                <w:rFonts w:cs="Arial"/>
                <w:b/>
                <w:sz w:val="14"/>
                <w:szCs w:val="14"/>
              </w:rPr>
              <w:br/>
              <w:t>2023</w:t>
            </w:r>
          </w:p>
        </w:tc>
        <w:tc>
          <w:tcPr>
            <w:tcW w:w="1379" w:type="dxa"/>
            <w:tcBorders>
              <w:bottom w:val="single" w:sz="4" w:space="0" w:color="auto"/>
            </w:tcBorders>
            <w:shd w:val="clear" w:color="auto" w:fill="FFFF99"/>
          </w:tcPr>
          <w:p w:rsidR="00173FB7" w:rsidRPr="005057AA" w:rsidDel="00BD7C58" w:rsidRDefault="00173FB7" w:rsidP="00FA65FC">
            <w:pPr>
              <w:pBdr>
                <w:bottom w:val="single" w:sz="4" w:space="1" w:color="622423"/>
              </w:pBdr>
              <w:spacing w:before="80" w:after="80" w:line="240" w:lineRule="auto"/>
              <w:jc w:val="center"/>
              <w:rPr>
                <w:rFonts w:cs="Arial"/>
                <w:b/>
                <w:sz w:val="14"/>
                <w:szCs w:val="14"/>
              </w:rPr>
            </w:pPr>
            <w:r w:rsidRPr="005057AA">
              <w:rPr>
                <w:rFonts w:cs="Arial"/>
                <w:b/>
                <w:sz w:val="14"/>
                <w:szCs w:val="14"/>
              </w:rPr>
              <w:t>FINAL</w:t>
            </w:r>
          </w:p>
        </w:tc>
        <w:tc>
          <w:tcPr>
            <w:tcW w:w="927" w:type="dxa"/>
            <w:vMerge/>
            <w:tcBorders>
              <w:bottom w:val="single" w:sz="4" w:space="0" w:color="auto"/>
            </w:tcBorders>
            <w:shd w:val="clear" w:color="auto" w:fill="FFFF99"/>
          </w:tcPr>
          <w:p w:rsidR="00173FB7" w:rsidRPr="005057AA" w:rsidRDefault="00173FB7" w:rsidP="00FA65FC">
            <w:pPr>
              <w:pStyle w:val="Heading2"/>
              <w:spacing w:before="80" w:after="80" w:line="240" w:lineRule="auto"/>
              <w:rPr>
                <w:rFonts w:cs="Arial"/>
                <w:spacing w:val="0"/>
                <w:sz w:val="14"/>
                <w:szCs w:val="14"/>
              </w:rPr>
            </w:pPr>
          </w:p>
        </w:tc>
      </w:tr>
      <w:tr w:rsidR="00173FB7" w:rsidRPr="00B16C3E" w:rsidTr="00056FEA">
        <w:trPr>
          <w:cantSplit/>
          <w:trHeight w:val="709"/>
          <w:jc w:val="center"/>
        </w:trPr>
        <w:tc>
          <w:tcPr>
            <w:tcW w:w="2344" w:type="dxa"/>
            <w:vMerge w:val="restart"/>
          </w:tcPr>
          <w:p w:rsidR="00173FB7" w:rsidRPr="005057AA" w:rsidRDefault="00173FB7" w:rsidP="00FA65FC">
            <w:pPr>
              <w:spacing w:before="80" w:after="80" w:line="240" w:lineRule="auto"/>
              <w:rPr>
                <w:b/>
                <w:sz w:val="14"/>
                <w:szCs w:val="14"/>
              </w:rPr>
            </w:pPr>
            <w:r w:rsidRPr="005057AA">
              <w:rPr>
                <w:b/>
                <w:sz w:val="14"/>
                <w:szCs w:val="14"/>
              </w:rPr>
              <w:t>Output 1.1</w:t>
            </w:r>
          </w:p>
          <w:p w:rsidR="00173FB7" w:rsidRPr="005057AA" w:rsidRDefault="00173FB7" w:rsidP="00FA65FC">
            <w:pPr>
              <w:spacing w:before="80" w:after="80" w:line="240" w:lineRule="auto"/>
              <w:rPr>
                <w:i/>
                <w:sz w:val="14"/>
                <w:szCs w:val="14"/>
              </w:rPr>
            </w:pPr>
            <w:r w:rsidRPr="005057AA">
              <w:rPr>
                <w:rFonts w:cs="Calibri"/>
                <w:bCs/>
                <w:kern w:val="24"/>
                <w:sz w:val="14"/>
                <w:szCs w:val="14"/>
                <w:lang w:val="en-US"/>
              </w:rPr>
              <w:t xml:space="preserve">1.1 GS&amp;I RID is integrated into </w:t>
            </w:r>
            <w:r>
              <w:rPr>
                <w:rFonts w:cs="Calibri"/>
                <w:bCs/>
                <w:kern w:val="24"/>
                <w:sz w:val="14"/>
                <w:szCs w:val="14"/>
                <w:lang w:val="en-US"/>
              </w:rPr>
              <w:t>government</w:t>
            </w:r>
            <w:r w:rsidRPr="005057AA">
              <w:rPr>
                <w:rFonts w:cs="Calibri"/>
                <w:bCs/>
                <w:kern w:val="24"/>
                <w:sz w:val="14"/>
                <w:szCs w:val="14"/>
                <w:lang w:val="en-US"/>
              </w:rPr>
              <w:t xml:space="preserve"> systems of policy, planning, budgeting and M&amp;E</w:t>
            </w:r>
            <w:r w:rsidRPr="005057AA">
              <w:rPr>
                <w:i/>
                <w:sz w:val="14"/>
                <w:szCs w:val="14"/>
              </w:rPr>
              <w:t xml:space="preserve"> </w:t>
            </w:r>
          </w:p>
        </w:tc>
        <w:tc>
          <w:tcPr>
            <w:tcW w:w="2650" w:type="dxa"/>
          </w:tcPr>
          <w:p w:rsidR="00173FB7" w:rsidRPr="005057AA" w:rsidDel="00A84123" w:rsidRDefault="00173FB7" w:rsidP="00FA65FC">
            <w:pPr>
              <w:spacing w:before="80" w:after="80" w:line="240" w:lineRule="auto"/>
              <w:rPr>
                <w:rFonts w:cs="Calibri"/>
                <w:bCs/>
                <w:sz w:val="14"/>
                <w:szCs w:val="14"/>
              </w:rPr>
            </w:pPr>
            <w:r w:rsidRPr="005057AA">
              <w:rPr>
                <w:b/>
                <w:iCs/>
                <w:sz w:val="14"/>
                <w:szCs w:val="14"/>
              </w:rPr>
              <w:t>1.1.1</w:t>
            </w:r>
            <w:r w:rsidRPr="005057AA">
              <w:rPr>
                <w:b/>
                <w:i/>
                <w:sz w:val="14"/>
                <w:szCs w:val="14"/>
              </w:rPr>
              <w:t xml:space="preserve"> </w:t>
            </w:r>
            <w:r w:rsidRPr="005057AA">
              <w:rPr>
                <w:rFonts w:cs="Calibri"/>
                <w:bCs/>
                <w:sz w:val="14"/>
                <w:szCs w:val="14"/>
              </w:rPr>
              <w:t>Numbers of national</w:t>
            </w:r>
            <w:r>
              <w:rPr>
                <w:rFonts w:cs="Calibri"/>
                <w:bCs/>
                <w:sz w:val="14"/>
                <w:szCs w:val="14"/>
              </w:rPr>
              <w:t>ly endorsed tools, guidelines and checklists</w:t>
            </w:r>
            <w:r w:rsidRPr="005057AA">
              <w:rPr>
                <w:rFonts w:cs="Calibri"/>
                <w:bCs/>
                <w:sz w:val="14"/>
                <w:szCs w:val="14"/>
              </w:rPr>
              <w:t xml:space="preserve"> </w:t>
            </w:r>
            <w:r>
              <w:rPr>
                <w:rFonts w:cs="Calibri"/>
                <w:bCs/>
                <w:sz w:val="14"/>
                <w:szCs w:val="14"/>
              </w:rPr>
              <w:t>that</w:t>
            </w:r>
            <w:r w:rsidRPr="005057AA">
              <w:rPr>
                <w:rFonts w:cs="Calibri"/>
                <w:bCs/>
                <w:sz w:val="14"/>
                <w:szCs w:val="14"/>
              </w:rPr>
              <w:t xml:space="preserve"> integrat</w:t>
            </w:r>
            <w:r>
              <w:rPr>
                <w:rFonts w:cs="Calibri"/>
                <w:bCs/>
                <w:sz w:val="14"/>
                <w:szCs w:val="14"/>
              </w:rPr>
              <w:t>e or support</w:t>
            </w:r>
            <w:r w:rsidRPr="005057AA">
              <w:rPr>
                <w:rFonts w:cs="Calibri"/>
                <w:bCs/>
                <w:sz w:val="14"/>
                <w:szCs w:val="14"/>
              </w:rPr>
              <w:t xml:space="preserve"> GS&amp;I CC&amp;D risk</w:t>
            </w:r>
            <w:r>
              <w:rPr>
                <w:rFonts w:cs="Calibri"/>
                <w:bCs/>
                <w:sz w:val="14"/>
                <w:szCs w:val="14"/>
              </w:rPr>
              <w:t xml:space="preserve"> management</w:t>
            </w:r>
          </w:p>
        </w:tc>
        <w:tc>
          <w:tcPr>
            <w:tcW w:w="0" w:type="auto"/>
            <w:vMerge w:val="restart"/>
          </w:tcPr>
          <w:p w:rsidR="00173FB7" w:rsidRPr="005057AA" w:rsidRDefault="00173FB7" w:rsidP="00FA65FC">
            <w:pPr>
              <w:spacing w:before="80" w:after="80" w:line="240" w:lineRule="auto"/>
              <w:rPr>
                <w:rFonts w:cs="Calibri"/>
                <w:bCs/>
                <w:sz w:val="14"/>
                <w:szCs w:val="14"/>
              </w:rPr>
            </w:pPr>
            <w:r w:rsidRPr="005057AA">
              <w:rPr>
                <w:rFonts w:cs="Calibri"/>
                <w:bCs/>
                <w:sz w:val="14"/>
                <w:szCs w:val="14"/>
              </w:rPr>
              <w:t>Country planning documents Country finance documents</w:t>
            </w:r>
          </w:p>
          <w:p w:rsidR="00173FB7" w:rsidRPr="005057AA" w:rsidDel="00A84123" w:rsidRDefault="00173FB7" w:rsidP="00FA65FC">
            <w:pPr>
              <w:spacing w:before="80" w:after="80" w:line="240" w:lineRule="auto"/>
              <w:rPr>
                <w:i/>
                <w:sz w:val="14"/>
                <w:szCs w:val="14"/>
              </w:rPr>
            </w:pPr>
            <w:r w:rsidRPr="005057AA">
              <w:rPr>
                <w:rFonts w:cs="Calibri"/>
                <w:bCs/>
                <w:sz w:val="14"/>
                <w:szCs w:val="14"/>
              </w:rPr>
              <w:t>Country systems</w:t>
            </w:r>
            <w:r>
              <w:rPr>
                <w:rFonts w:cs="Calibri"/>
                <w:bCs/>
                <w:sz w:val="14"/>
                <w:szCs w:val="14"/>
              </w:rPr>
              <w:t>, tools and guidelines</w:t>
            </w:r>
            <w:r w:rsidRPr="005057AA">
              <w:rPr>
                <w:rFonts w:cs="Calibri"/>
                <w:bCs/>
                <w:sz w:val="14"/>
                <w:szCs w:val="14"/>
              </w:rPr>
              <w:t xml:space="preserve"> to assess development progress</w:t>
            </w:r>
          </w:p>
        </w:tc>
        <w:tc>
          <w:tcPr>
            <w:tcW w:w="2319" w:type="dxa"/>
            <w:shd w:val="clear" w:color="auto" w:fill="auto"/>
          </w:tcPr>
          <w:p w:rsidR="00173FB7" w:rsidRDefault="00173FB7" w:rsidP="00FA65FC">
            <w:pPr>
              <w:spacing w:before="80" w:after="80"/>
              <w:rPr>
                <w:rFonts w:cs="Arial"/>
                <w:sz w:val="14"/>
                <w:szCs w:val="14"/>
              </w:rPr>
            </w:pPr>
            <w:r>
              <w:rPr>
                <w:rFonts w:cs="Arial"/>
                <w:sz w:val="14"/>
                <w:szCs w:val="14"/>
              </w:rPr>
              <w:t>P</w:t>
            </w:r>
            <w:r w:rsidRPr="005057AA">
              <w:rPr>
                <w:rFonts w:cs="Arial"/>
                <w:sz w:val="14"/>
                <w:szCs w:val="14"/>
              </w:rPr>
              <w:t xml:space="preserve">lanning tools and guidelines at all levels </w:t>
            </w:r>
            <w:r>
              <w:rPr>
                <w:rFonts w:cs="Arial"/>
                <w:sz w:val="14"/>
                <w:szCs w:val="14"/>
              </w:rPr>
              <w:t>do not</w:t>
            </w:r>
            <w:r w:rsidRPr="005057AA">
              <w:rPr>
                <w:rFonts w:cs="Arial"/>
                <w:sz w:val="14"/>
                <w:szCs w:val="14"/>
              </w:rPr>
              <w:t xml:space="preserve"> consider RID</w:t>
            </w:r>
          </w:p>
          <w:p w:rsidR="00173FB7" w:rsidRPr="005057AA" w:rsidDel="00BD7C58" w:rsidRDefault="00173FB7" w:rsidP="00FA65FC">
            <w:pPr>
              <w:spacing w:before="80" w:after="80"/>
              <w:rPr>
                <w:rFonts w:cs="Arial"/>
                <w:sz w:val="14"/>
                <w:szCs w:val="14"/>
                <w:lang w:eastAsia="en-US"/>
              </w:rPr>
            </w:pPr>
            <w:r>
              <w:rPr>
                <w:rFonts w:cs="Arial"/>
                <w:sz w:val="14"/>
                <w:szCs w:val="14"/>
              </w:rPr>
              <w:t>Baseline = 0</w:t>
            </w:r>
          </w:p>
        </w:tc>
        <w:tc>
          <w:tcPr>
            <w:tcW w:w="644" w:type="dxa"/>
          </w:tcPr>
          <w:p w:rsidR="00173FB7" w:rsidRPr="005057AA" w:rsidDel="00BD7C58" w:rsidRDefault="00173FB7" w:rsidP="00FA65FC">
            <w:pPr>
              <w:pStyle w:val="Header"/>
              <w:spacing w:before="80" w:after="80" w:line="240" w:lineRule="auto"/>
              <w:rPr>
                <w:sz w:val="14"/>
                <w:szCs w:val="14"/>
              </w:rPr>
            </w:pPr>
            <w:r w:rsidRPr="005057AA">
              <w:rPr>
                <w:sz w:val="14"/>
                <w:szCs w:val="14"/>
              </w:rPr>
              <w:t>2019</w:t>
            </w:r>
          </w:p>
        </w:tc>
        <w:tc>
          <w:tcPr>
            <w:tcW w:w="1024" w:type="dxa"/>
          </w:tcPr>
          <w:p w:rsidR="00173FB7" w:rsidRPr="005057AA" w:rsidDel="00BD7C58" w:rsidRDefault="00173FB7" w:rsidP="00FA65FC">
            <w:pPr>
              <w:pStyle w:val="Header"/>
              <w:spacing w:before="80" w:after="80" w:line="240" w:lineRule="auto"/>
              <w:jc w:val="center"/>
              <w:rPr>
                <w:iCs/>
                <w:sz w:val="14"/>
                <w:szCs w:val="14"/>
              </w:rPr>
            </w:pPr>
            <w:r>
              <w:rPr>
                <w:iCs/>
                <w:sz w:val="14"/>
                <w:szCs w:val="14"/>
              </w:rPr>
              <w:t>3</w:t>
            </w:r>
          </w:p>
        </w:tc>
        <w:tc>
          <w:tcPr>
            <w:tcW w:w="978" w:type="dxa"/>
          </w:tcPr>
          <w:p w:rsidR="00173FB7" w:rsidRPr="005057AA" w:rsidDel="00BD7C58" w:rsidRDefault="00173FB7" w:rsidP="00FA65FC">
            <w:pPr>
              <w:pStyle w:val="Header"/>
              <w:spacing w:before="80" w:after="80" w:line="240" w:lineRule="auto"/>
              <w:jc w:val="center"/>
              <w:rPr>
                <w:sz w:val="14"/>
                <w:szCs w:val="14"/>
              </w:rPr>
            </w:pPr>
            <w:r>
              <w:rPr>
                <w:sz w:val="14"/>
                <w:szCs w:val="14"/>
              </w:rPr>
              <w:t>5</w:t>
            </w:r>
          </w:p>
        </w:tc>
        <w:tc>
          <w:tcPr>
            <w:tcW w:w="979" w:type="dxa"/>
          </w:tcPr>
          <w:p w:rsidR="00173FB7" w:rsidRPr="005057AA" w:rsidDel="00BD7C58" w:rsidRDefault="00173FB7" w:rsidP="00FA65FC">
            <w:pPr>
              <w:pStyle w:val="Header"/>
              <w:spacing w:before="80" w:after="80" w:line="240" w:lineRule="auto"/>
              <w:jc w:val="center"/>
              <w:rPr>
                <w:sz w:val="14"/>
                <w:szCs w:val="14"/>
              </w:rPr>
            </w:pPr>
            <w:r>
              <w:rPr>
                <w:sz w:val="14"/>
                <w:szCs w:val="14"/>
              </w:rPr>
              <w:t>7</w:t>
            </w:r>
          </w:p>
        </w:tc>
        <w:tc>
          <w:tcPr>
            <w:tcW w:w="978" w:type="dxa"/>
          </w:tcPr>
          <w:p w:rsidR="00173FB7" w:rsidRPr="005057AA" w:rsidDel="00BD7C58" w:rsidRDefault="00173FB7" w:rsidP="00FA65FC">
            <w:pPr>
              <w:pStyle w:val="Header"/>
              <w:spacing w:before="80" w:after="80" w:line="240" w:lineRule="auto"/>
              <w:jc w:val="center"/>
              <w:rPr>
                <w:sz w:val="14"/>
                <w:szCs w:val="14"/>
              </w:rPr>
            </w:pPr>
            <w:r>
              <w:rPr>
                <w:sz w:val="14"/>
                <w:szCs w:val="14"/>
              </w:rPr>
              <w:t>4</w:t>
            </w:r>
          </w:p>
        </w:tc>
        <w:tc>
          <w:tcPr>
            <w:tcW w:w="1379" w:type="dxa"/>
            <w:vMerge w:val="restart"/>
            <w:shd w:val="clear" w:color="auto" w:fill="auto"/>
          </w:tcPr>
          <w:p w:rsidR="00173FB7" w:rsidRPr="005057AA" w:rsidRDefault="00173FB7" w:rsidP="00FA65FC">
            <w:pPr>
              <w:spacing w:before="80" w:after="80"/>
              <w:rPr>
                <w:rFonts w:cs="Calibri"/>
                <w:sz w:val="14"/>
                <w:szCs w:val="14"/>
              </w:rPr>
            </w:pPr>
            <w:r w:rsidRPr="005057AA">
              <w:rPr>
                <w:rFonts w:cs="Calibri"/>
                <w:sz w:val="14"/>
                <w:szCs w:val="14"/>
              </w:rPr>
              <w:t xml:space="preserve">Increase in adapted CCB score for government planning and financing systems that enable gender </w:t>
            </w:r>
            <w:r w:rsidR="00334F07">
              <w:rPr>
                <w:rFonts w:cs="Calibri"/>
                <w:sz w:val="14"/>
                <w:szCs w:val="14"/>
              </w:rPr>
              <w:t xml:space="preserve">and socially </w:t>
            </w:r>
            <w:r w:rsidRPr="005057AA">
              <w:rPr>
                <w:rFonts w:cs="Calibri"/>
                <w:sz w:val="14"/>
                <w:szCs w:val="14"/>
              </w:rPr>
              <w:t xml:space="preserve">inclusive risk informed development </w:t>
            </w:r>
          </w:p>
          <w:p w:rsidR="00173FB7" w:rsidRPr="005057AA" w:rsidDel="00BD7C58" w:rsidRDefault="00173FB7" w:rsidP="00FA65FC">
            <w:pPr>
              <w:spacing w:before="80" w:after="80"/>
              <w:rPr>
                <w:rFonts w:cs="Calibri"/>
                <w:sz w:val="14"/>
                <w:szCs w:val="14"/>
                <w:lang w:eastAsia="en-US"/>
              </w:rPr>
            </w:pPr>
            <w:r w:rsidRPr="005057AA">
              <w:rPr>
                <w:rFonts w:cs="Calibri"/>
                <w:sz w:val="14"/>
                <w:szCs w:val="14"/>
              </w:rPr>
              <w:t xml:space="preserve">Progress towards sustained political economy change </w:t>
            </w:r>
          </w:p>
        </w:tc>
        <w:tc>
          <w:tcPr>
            <w:tcW w:w="927" w:type="dxa"/>
            <w:vMerge w:val="restart"/>
            <w:shd w:val="clear" w:color="auto" w:fill="auto"/>
          </w:tcPr>
          <w:p w:rsidR="00173FB7" w:rsidRPr="005057AA" w:rsidRDefault="00173FB7" w:rsidP="00FA65FC">
            <w:pPr>
              <w:spacing w:before="80" w:after="80" w:line="240" w:lineRule="auto"/>
              <w:rPr>
                <w:rFonts w:cs="Calibri"/>
                <w:bCs/>
                <w:sz w:val="14"/>
                <w:szCs w:val="14"/>
              </w:rPr>
            </w:pPr>
            <w:r w:rsidRPr="005057AA">
              <w:rPr>
                <w:rFonts w:cs="Calibri"/>
                <w:bCs/>
                <w:sz w:val="14"/>
                <w:szCs w:val="14"/>
              </w:rPr>
              <w:t xml:space="preserve">Document analysis </w:t>
            </w:r>
          </w:p>
          <w:p w:rsidR="00173FB7" w:rsidRPr="005057AA" w:rsidRDefault="00173FB7" w:rsidP="00FA65FC">
            <w:pPr>
              <w:spacing w:before="80" w:after="80" w:line="240" w:lineRule="auto"/>
              <w:rPr>
                <w:i/>
                <w:sz w:val="14"/>
                <w:szCs w:val="14"/>
              </w:rPr>
            </w:pPr>
            <w:r w:rsidRPr="005057AA">
              <w:rPr>
                <w:rFonts w:cs="Calibri"/>
                <w:bCs/>
                <w:sz w:val="14"/>
                <w:szCs w:val="14"/>
              </w:rPr>
              <w:t>Stakeholder interviews</w:t>
            </w:r>
          </w:p>
        </w:tc>
      </w:tr>
      <w:tr w:rsidR="00173FB7" w:rsidRPr="00B16C3E" w:rsidTr="00056FEA">
        <w:trPr>
          <w:cantSplit/>
          <w:trHeight w:val="413"/>
          <w:jc w:val="center"/>
        </w:trPr>
        <w:tc>
          <w:tcPr>
            <w:tcW w:w="2344" w:type="dxa"/>
            <w:vMerge/>
          </w:tcPr>
          <w:p w:rsidR="00173FB7" w:rsidRPr="005057AA" w:rsidRDefault="00173FB7" w:rsidP="00FA65FC">
            <w:pPr>
              <w:spacing w:before="80" w:after="80" w:line="240" w:lineRule="auto"/>
              <w:rPr>
                <w:i/>
                <w:sz w:val="14"/>
                <w:szCs w:val="14"/>
              </w:rPr>
            </w:pPr>
          </w:p>
        </w:tc>
        <w:tc>
          <w:tcPr>
            <w:tcW w:w="2650" w:type="dxa"/>
          </w:tcPr>
          <w:p w:rsidR="00173FB7" w:rsidRPr="005057AA" w:rsidRDefault="00173FB7" w:rsidP="00FA65FC">
            <w:pPr>
              <w:spacing w:before="80" w:after="80" w:line="240" w:lineRule="auto"/>
              <w:rPr>
                <w:rFonts w:cs="Calibri"/>
                <w:bCs/>
                <w:sz w:val="14"/>
                <w:szCs w:val="14"/>
              </w:rPr>
            </w:pPr>
            <w:r w:rsidRPr="005057AA">
              <w:rPr>
                <w:b/>
                <w:iCs/>
                <w:sz w:val="14"/>
                <w:szCs w:val="14"/>
              </w:rPr>
              <w:t>1.1.2</w:t>
            </w:r>
            <w:r w:rsidRPr="005057AA">
              <w:rPr>
                <w:b/>
                <w:i/>
                <w:sz w:val="14"/>
                <w:szCs w:val="14"/>
              </w:rPr>
              <w:t xml:space="preserve"> </w:t>
            </w:r>
            <w:r w:rsidRPr="00844030">
              <w:rPr>
                <w:bCs/>
                <w:iCs/>
                <w:sz w:val="14"/>
                <w:szCs w:val="14"/>
              </w:rPr>
              <w:t xml:space="preserve">Number of </w:t>
            </w:r>
            <w:r w:rsidRPr="005057AA">
              <w:rPr>
                <w:rFonts w:cs="Calibri"/>
                <w:bCs/>
                <w:sz w:val="14"/>
                <w:szCs w:val="14"/>
              </w:rPr>
              <w:t>Investment appraisal guidelines and budget circulars</w:t>
            </w:r>
            <w:r>
              <w:rPr>
                <w:rFonts w:cs="Calibri"/>
                <w:bCs/>
                <w:sz w:val="14"/>
                <w:szCs w:val="14"/>
              </w:rPr>
              <w:t xml:space="preserve"> which</w:t>
            </w:r>
            <w:r w:rsidRPr="005057AA">
              <w:rPr>
                <w:rFonts w:cs="Calibri"/>
                <w:bCs/>
                <w:sz w:val="14"/>
                <w:szCs w:val="14"/>
              </w:rPr>
              <w:t xml:space="preserve"> include clear reference to GS&amp;I CC&amp;D risk</w:t>
            </w:r>
          </w:p>
        </w:tc>
        <w:tc>
          <w:tcPr>
            <w:tcW w:w="0" w:type="auto"/>
            <w:vMerge/>
          </w:tcPr>
          <w:p w:rsidR="00173FB7" w:rsidRPr="005057AA" w:rsidRDefault="00173FB7" w:rsidP="00FA65FC">
            <w:pPr>
              <w:pStyle w:val="Header"/>
              <w:spacing w:before="80" w:after="80" w:line="240" w:lineRule="auto"/>
              <w:jc w:val="center"/>
              <w:rPr>
                <w:i/>
                <w:sz w:val="14"/>
                <w:szCs w:val="14"/>
              </w:rPr>
            </w:pPr>
          </w:p>
        </w:tc>
        <w:tc>
          <w:tcPr>
            <w:tcW w:w="2319" w:type="dxa"/>
            <w:shd w:val="clear" w:color="auto" w:fill="auto"/>
          </w:tcPr>
          <w:p w:rsidR="00173FB7" w:rsidRDefault="00173FB7" w:rsidP="00FA65FC">
            <w:pPr>
              <w:spacing w:before="80" w:after="80"/>
              <w:rPr>
                <w:rFonts w:cs="Arial"/>
                <w:sz w:val="14"/>
                <w:szCs w:val="14"/>
              </w:rPr>
            </w:pPr>
            <w:r>
              <w:rPr>
                <w:rFonts w:cs="Arial"/>
                <w:sz w:val="14"/>
                <w:szCs w:val="14"/>
              </w:rPr>
              <w:t>D</w:t>
            </w:r>
            <w:r w:rsidRPr="005057AA">
              <w:rPr>
                <w:rFonts w:cs="Arial"/>
                <w:sz w:val="14"/>
                <w:szCs w:val="14"/>
              </w:rPr>
              <w:t xml:space="preserve">evelopment budgets </w:t>
            </w:r>
            <w:r>
              <w:rPr>
                <w:rFonts w:cs="Arial"/>
                <w:sz w:val="14"/>
                <w:szCs w:val="14"/>
              </w:rPr>
              <w:t>do not</w:t>
            </w:r>
            <w:r w:rsidRPr="005057AA">
              <w:rPr>
                <w:rFonts w:cs="Arial"/>
                <w:sz w:val="14"/>
                <w:szCs w:val="14"/>
              </w:rPr>
              <w:t xml:space="preserve"> consider RID</w:t>
            </w:r>
          </w:p>
          <w:p w:rsidR="00173FB7" w:rsidRPr="005057AA" w:rsidRDefault="00173FB7" w:rsidP="00FA65FC">
            <w:pPr>
              <w:spacing w:before="80" w:after="80"/>
              <w:rPr>
                <w:rFonts w:cs="Arial"/>
                <w:sz w:val="14"/>
                <w:szCs w:val="14"/>
                <w:lang w:eastAsia="en-US"/>
              </w:rPr>
            </w:pPr>
            <w:r>
              <w:rPr>
                <w:rFonts w:cs="Arial"/>
                <w:sz w:val="14"/>
                <w:szCs w:val="14"/>
              </w:rPr>
              <w:t>Baseline = 0</w:t>
            </w:r>
          </w:p>
        </w:tc>
        <w:tc>
          <w:tcPr>
            <w:tcW w:w="644" w:type="dxa"/>
          </w:tcPr>
          <w:p w:rsidR="00173FB7" w:rsidRPr="005057AA" w:rsidRDefault="00173FB7" w:rsidP="00FA65FC">
            <w:pPr>
              <w:pStyle w:val="Header"/>
              <w:spacing w:before="80" w:after="80" w:line="240" w:lineRule="auto"/>
              <w:rPr>
                <w:i/>
                <w:sz w:val="14"/>
                <w:szCs w:val="14"/>
              </w:rPr>
            </w:pPr>
            <w:r w:rsidRPr="005057AA">
              <w:rPr>
                <w:i/>
                <w:sz w:val="14"/>
                <w:szCs w:val="14"/>
              </w:rPr>
              <w:t>2019</w:t>
            </w:r>
          </w:p>
        </w:tc>
        <w:tc>
          <w:tcPr>
            <w:tcW w:w="1024" w:type="dxa"/>
          </w:tcPr>
          <w:p w:rsidR="00173FB7" w:rsidRPr="005057AA" w:rsidDel="00BD7C58" w:rsidRDefault="00173FB7" w:rsidP="00FA65FC">
            <w:pPr>
              <w:pStyle w:val="Header"/>
              <w:spacing w:before="80" w:after="80" w:line="240" w:lineRule="auto"/>
              <w:jc w:val="center"/>
              <w:rPr>
                <w:iCs/>
                <w:sz w:val="14"/>
                <w:szCs w:val="14"/>
              </w:rPr>
            </w:pPr>
            <w:r>
              <w:rPr>
                <w:iCs/>
                <w:sz w:val="14"/>
                <w:szCs w:val="14"/>
              </w:rPr>
              <w:t>3</w:t>
            </w:r>
          </w:p>
        </w:tc>
        <w:tc>
          <w:tcPr>
            <w:tcW w:w="978" w:type="dxa"/>
          </w:tcPr>
          <w:p w:rsidR="00173FB7" w:rsidRPr="005057AA" w:rsidDel="00BD7C58" w:rsidRDefault="00173FB7" w:rsidP="00FA65FC">
            <w:pPr>
              <w:pStyle w:val="Header"/>
              <w:spacing w:before="80" w:after="80" w:line="240" w:lineRule="auto"/>
              <w:jc w:val="center"/>
              <w:rPr>
                <w:sz w:val="14"/>
                <w:szCs w:val="14"/>
              </w:rPr>
            </w:pPr>
            <w:r>
              <w:rPr>
                <w:sz w:val="14"/>
                <w:szCs w:val="14"/>
              </w:rPr>
              <w:t>5</w:t>
            </w:r>
          </w:p>
        </w:tc>
        <w:tc>
          <w:tcPr>
            <w:tcW w:w="979" w:type="dxa"/>
          </w:tcPr>
          <w:p w:rsidR="00173FB7" w:rsidRPr="005057AA" w:rsidDel="00BD7C58" w:rsidRDefault="00173FB7" w:rsidP="00FA65FC">
            <w:pPr>
              <w:pStyle w:val="Header"/>
              <w:spacing w:before="80" w:after="80" w:line="240" w:lineRule="auto"/>
              <w:jc w:val="center"/>
              <w:rPr>
                <w:sz w:val="14"/>
                <w:szCs w:val="14"/>
              </w:rPr>
            </w:pPr>
            <w:r>
              <w:rPr>
                <w:sz w:val="14"/>
                <w:szCs w:val="14"/>
              </w:rPr>
              <w:t>7</w:t>
            </w:r>
          </w:p>
        </w:tc>
        <w:tc>
          <w:tcPr>
            <w:tcW w:w="978" w:type="dxa"/>
          </w:tcPr>
          <w:p w:rsidR="00173FB7" w:rsidRPr="005057AA" w:rsidDel="00BD7C58" w:rsidRDefault="00173FB7" w:rsidP="00FA65FC">
            <w:pPr>
              <w:pStyle w:val="Header"/>
              <w:spacing w:before="80" w:after="80" w:line="240" w:lineRule="auto"/>
              <w:jc w:val="center"/>
              <w:rPr>
                <w:sz w:val="14"/>
                <w:szCs w:val="14"/>
              </w:rPr>
            </w:pPr>
            <w:r>
              <w:rPr>
                <w:sz w:val="14"/>
                <w:szCs w:val="14"/>
              </w:rPr>
              <w:t>4</w:t>
            </w:r>
          </w:p>
        </w:tc>
        <w:tc>
          <w:tcPr>
            <w:tcW w:w="1379" w:type="dxa"/>
            <w:vMerge/>
            <w:shd w:val="clear" w:color="auto" w:fill="auto"/>
          </w:tcPr>
          <w:p w:rsidR="00173FB7" w:rsidRPr="005057AA" w:rsidDel="00BD7C58" w:rsidRDefault="00173FB7" w:rsidP="00FA65FC">
            <w:pPr>
              <w:spacing w:before="80" w:after="80" w:line="240" w:lineRule="auto"/>
              <w:rPr>
                <w:i/>
                <w:sz w:val="14"/>
                <w:szCs w:val="14"/>
              </w:rPr>
            </w:pPr>
          </w:p>
        </w:tc>
        <w:tc>
          <w:tcPr>
            <w:tcW w:w="927" w:type="dxa"/>
            <w:vMerge/>
            <w:shd w:val="clear" w:color="auto" w:fill="auto"/>
          </w:tcPr>
          <w:p w:rsidR="00173FB7" w:rsidRPr="005057AA" w:rsidDel="00BD7C58" w:rsidRDefault="00173FB7" w:rsidP="00FA65FC">
            <w:pPr>
              <w:spacing w:before="80" w:after="80" w:line="240" w:lineRule="auto"/>
              <w:rPr>
                <w:i/>
                <w:sz w:val="14"/>
                <w:szCs w:val="14"/>
              </w:rPr>
            </w:pPr>
          </w:p>
        </w:tc>
      </w:tr>
      <w:tr w:rsidR="00173FB7" w:rsidRPr="00B16C3E" w:rsidTr="00056FEA">
        <w:trPr>
          <w:cantSplit/>
          <w:trHeight w:val="413"/>
          <w:jc w:val="center"/>
        </w:trPr>
        <w:tc>
          <w:tcPr>
            <w:tcW w:w="2344" w:type="dxa"/>
            <w:vMerge/>
          </w:tcPr>
          <w:p w:rsidR="00173FB7" w:rsidRPr="005057AA" w:rsidRDefault="00173FB7" w:rsidP="00FA65FC">
            <w:pPr>
              <w:spacing w:before="80" w:after="80" w:line="240" w:lineRule="auto"/>
              <w:rPr>
                <w:i/>
                <w:sz w:val="14"/>
                <w:szCs w:val="14"/>
              </w:rPr>
            </w:pPr>
          </w:p>
        </w:tc>
        <w:tc>
          <w:tcPr>
            <w:tcW w:w="2650" w:type="dxa"/>
          </w:tcPr>
          <w:p w:rsidR="00173FB7" w:rsidRPr="005057AA" w:rsidRDefault="00173FB7" w:rsidP="00FA65FC">
            <w:pPr>
              <w:pStyle w:val="Header"/>
              <w:spacing w:before="80" w:after="80" w:line="240" w:lineRule="auto"/>
              <w:rPr>
                <w:i/>
                <w:sz w:val="14"/>
                <w:szCs w:val="14"/>
              </w:rPr>
            </w:pPr>
            <w:r w:rsidRPr="005057AA">
              <w:rPr>
                <w:b/>
                <w:iCs/>
                <w:sz w:val="14"/>
                <w:szCs w:val="14"/>
              </w:rPr>
              <w:t>1.1.3</w:t>
            </w:r>
            <w:r w:rsidRPr="005057AA">
              <w:rPr>
                <w:b/>
                <w:i/>
                <w:sz w:val="14"/>
                <w:szCs w:val="14"/>
              </w:rPr>
              <w:t xml:space="preserve"> </w:t>
            </w:r>
            <w:r w:rsidRPr="00844030">
              <w:rPr>
                <w:bCs/>
                <w:iCs/>
                <w:sz w:val="14"/>
                <w:szCs w:val="14"/>
              </w:rPr>
              <w:t>Number of</w:t>
            </w:r>
            <w:r w:rsidRPr="00844030">
              <w:rPr>
                <w:rFonts w:cs="Calibri"/>
                <w:bCs/>
                <w:iCs/>
                <w:sz w:val="14"/>
                <w:szCs w:val="14"/>
              </w:rPr>
              <w:t xml:space="preserve"> </w:t>
            </w:r>
            <w:r>
              <w:rPr>
                <w:rFonts w:cs="Calibri"/>
                <w:bCs/>
                <w:sz w:val="14"/>
                <w:szCs w:val="14"/>
              </w:rPr>
              <w:t>n</w:t>
            </w:r>
            <w:r w:rsidRPr="005057AA">
              <w:rPr>
                <w:rFonts w:cs="Calibri"/>
                <w:bCs/>
                <w:sz w:val="14"/>
                <w:szCs w:val="14"/>
              </w:rPr>
              <w:t xml:space="preserve">ational level </w:t>
            </w:r>
            <w:r>
              <w:rPr>
                <w:rFonts w:cs="Calibri"/>
                <w:bCs/>
                <w:sz w:val="14"/>
                <w:szCs w:val="14"/>
              </w:rPr>
              <w:t xml:space="preserve">M&amp;E </w:t>
            </w:r>
            <w:r w:rsidRPr="005057AA">
              <w:rPr>
                <w:rFonts w:cs="Calibri"/>
                <w:bCs/>
                <w:sz w:val="14"/>
                <w:szCs w:val="14"/>
              </w:rPr>
              <w:t>assessments</w:t>
            </w:r>
            <w:r>
              <w:rPr>
                <w:rFonts w:cs="Calibri"/>
                <w:bCs/>
                <w:sz w:val="14"/>
                <w:szCs w:val="14"/>
              </w:rPr>
              <w:t>, tools and guidelines</w:t>
            </w:r>
            <w:r w:rsidRPr="005057AA">
              <w:rPr>
                <w:rFonts w:cs="Calibri"/>
                <w:bCs/>
                <w:sz w:val="14"/>
                <w:szCs w:val="14"/>
              </w:rPr>
              <w:t xml:space="preserve"> </w:t>
            </w:r>
            <w:r>
              <w:rPr>
                <w:rFonts w:cs="Calibri"/>
                <w:bCs/>
                <w:sz w:val="14"/>
                <w:szCs w:val="14"/>
              </w:rPr>
              <w:t xml:space="preserve">which </w:t>
            </w:r>
            <w:r w:rsidRPr="005057AA">
              <w:rPr>
                <w:rFonts w:cs="Calibri"/>
                <w:bCs/>
                <w:sz w:val="14"/>
                <w:szCs w:val="14"/>
              </w:rPr>
              <w:t>include attention to GS&amp;I CC&amp;D risk</w:t>
            </w:r>
          </w:p>
        </w:tc>
        <w:tc>
          <w:tcPr>
            <w:tcW w:w="0" w:type="auto"/>
            <w:vMerge/>
          </w:tcPr>
          <w:p w:rsidR="00173FB7" w:rsidRPr="005057AA" w:rsidRDefault="00173FB7" w:rsidP="00FA65FC">
            <w:pPr>
              <w:pStyle w:val="Header"/>
              <w:spacing w:before="80" w:after="80" w:line="240" w:lineRule="auto"/>
              <w:jc w:val="center"/>
              <w:rPr>
                <w:i/>
                <w:sz w:val="14"/>
                <w:szCs w:val="14"/>
              </w:rPr>
            </w:pPr>
          </w:p>
        </w:tc>
        <w:tc>
          <w:tcPr>
            <w:tcW w:w="2319" w:type="dxa"/>
            <w:shd w:val="clear" w:color="auto" w:fill="auto"/>
          </w:tcPr>
          <w:p w:rsidR="00173FB7" w:rsidRDefault="00173FB7" w:rsidP="00FA65FC">
            <w:pPr>
              <w:pStyle w:val="Header"/>
              <w:spacing w:before="80" w:after="80" w:line="240" w:lineRule="auto"/>
              <w:rPr>
                <w:rFonts w:cs="Arial"/>
                <w:sz w:val="14"/>
                <w:szCs w:val="14"/>
              </w:rPr>
            </w:pPr>
            <w:r>
              <w:rPr>
                <w:rFonts w:cs="Arial"/>
                <w:sz w:val="14"/>
                <w:szCs w:val="14"/>
              </w:rPr>
              <w:t>M&amp;E a</w:t>
            </w:r>
            <w:r w:rsidRPr="005057AA">
              <w:rPr>
                <w:rFonts w:cs="Arial"/>
                <w:sz w:val="14"/>
                <w:szCs w:val="14"/>
              </w:rPr>
              <w:t xml:space="preserve">ssessments </w:t>
            </w:r>
            <w:r>
              <w:rPr>
                <w:rFonts w:cs="Arial"/>
                <w:sz w:val="14"/>
                <w:szCs w:val="14"/>
              </w:rPr>
              <w:t xml:space="preserve">do not </w:t>
            </w:r>
            <w:r w:rsidRPr="005057AA">
              <w:rPr>
                <w:rFonts w:cs="Arial"/>
                <w:sz w:val="14"/>
                <w:szCs w:val="14"/>
              </w:rPr>
              <w:t>consider RID</w:t>
            </w:r>
          </w:p>
          <w:p w:rsidR="00173FB7" w:rsidRPr="005057AA" w:rsidRDefault="00173FB7" w:rsidP="00FA65FC">
            <w:pPr>
              <w:pStyle w:val="Header"/>
              <w:spacing w:before="80" w:after="80" w:line="240" w:lineRule="auto"/>
              <w:rPr>
                <w:i/>
                <w:sz w:val="14"/>
                <w:szCs w:val="14"/>
              </w:rPr>
            </w:pPr>
            <w:r>
              <w:rPr>
                <w:rFonts w:cs="Arial"/>
                <w:sz w:val="14"/>
                <w:szCs w:val="14"/>
              </w:rPr>
              <w:t>Baseline = 0</w:t>
            </w:r>
          </w:p>
        </w:tc>
        <w:tc>
          <w:tcPr>
            <w:tcW w:w="644" w:type="dxa"/>
          </w:tcPr>
          <w:p w:rsidR="00173FB7" w:rsidRPr="005057AA" w:rsidRDefault="00173FB7" w:rsidP="00FA65FC">
            <w:pPr>
              <w:pStyle w:val="Header"/>
              <w:spacing w:before="80" w:after="80" w:line="240" w:lineRule="auto"/>
              <w:rPr>
                <w:i/>
                <w:sz w:val="14"/>
                <w:szCs w:val="14"/>
              </w:rPr>
            </w:pPr>
            <w:r w:rsidRPr="005057AA">
              <w:rPr>
                <w:i/>
                <w:sz w:val="14"/>
                <w:szCs w:val="14"/>
              </w:rPr>
              <w:t>2019</w:t>
            </w:r>
          </w:p>
        </w:tc>
        <w:tc>
          <w:tcPr>
            <w:tcW w:w="1024" w:type="dxa"/>
          </w:tcPr>
          <w:p w:rsidR="00173FB7" w:rsidRPr="005057AA" w:rsidDel="00BD7C58" w:rsidRDefault="00173FB7" w:rsidP="00FA65FC">
            <w:pPr>
              <w:pStyle w:val="Header"/>
              <w:spacing w:before="80" w:after="80" w:line="240" w:lineRule="auto"/>
              <w:jc w:val="center"/>
              <w:rPr>
                <w:iCs/>
                <w:sz w:val="14"/>
                <w:szCs w:val="14"/>
              </w:rPr>
            </w:pPr>
            <w:r>
              <w:rPr>
                <w:iCs/>
                <w:sz w:val="14"/>
                <w:szCs w:val="14"/>
              </w:rPr>
              <w:t>3</w:t>
            </w:r>
          </w:p>
        </w:tc>
        <w:tc>
          <w:tcPr>
            <w:tcW w:w="978" w:type="dxa"/>
          </w:tcPr>
          <w:p w:rsidR="00173FB7" w:rsidRPr="005057AA" w:rsidDel="00BD7C58" w:rsidRDefault="00173FB7" w:rsidP="00FA65FC">
            <w:pPr>
              <w:pStyle w:val="Header"/>
              <w:spacing w:before="80" w:after="80" w:line="240" w:lineRule="auto"/>
              <w:jc w:val="center"/>
              <w:rPr>
                <w:sz w:val="14"/>
                <w:szCs w:val="14"/>
              </w:rPr>
            </w:pPr>
            <w:r>
              <w:rPr>
                <w:sz w:val="14"/>
                <w:szCs w:val="14"/>
              </w:rPr>
              <w:t>5</w:t>
            </w:r>
          </w:p>
        </w:tc>
        <w:tc>
          <w:tcPr>
            <w:tcW w:w="979" w:type="dxa"/>
          </w:tcPr>
          <w:p w:rsidR="00173FB7" w:rsidRPr="005057AA" w:rsidDel="00BD7C58" w:rsidRDefault="00173FB7" w:rsidP="00FA65FC">
            <w:pPr>
              <w:pStyle w:val="Header"/>
              <w:spacing w:before="80" w:after="80" w:line="240" w:lineRule="auto"/>
              <w:jc w:val="center"/>
              <w:rPr>
                <w:sz w:val="14"/>
                <w:szCs w:val="14"/>
              </w:rPr>
            </w:pPr>
            <w:r>
              <w:rPr>
                <w:sz w:val="14"/>
                <w:szCs w:val="14"/>
              </w:rPr>
              <w:t>7</w:t>
            </w:r>
          </w:p>
        </w:tc>
        <w:tc>
          <w:tcPr>
            <w:tcW w:w="978" w:type="dxa"/>
          </w:tcPr>
          <w:p w:rsidR="00173FB7" w:rsidRPr="005057AA" w:rsidDel="00BD7C58" w:rsidRDefault="00173FB7" w:rsidP="00FA65FC">
            <w:pPr>
              <w:pStyle w:val="Header"/>
              <w:spacing w:before="80" w:after="80" w:line="240" w:lineRule="auto"/>
              <w:jc w:val="center"/>
              <w:rPr>
                <w:sz w:val="14"/>
                <w:szCs w:val="14"/>
              </w:rPr>
            </w:pPr>
            <w:r>
              <w:rPr>
                <w:sz w:val="14"/>
                <w:szCs w:val="14"/>
              </w:rPr>
              <w:t>4</w:t>
            </w:r>
          </w:p>
        </w:tc>
        <w:tc>
          <w:tcPr>
            <w:tcW w:w="1379" w:type="dxa"/>
            <w:vMerge/>
            <w:shd w:val="clear" w:color="auto" w:fill="auto"/>
          </w:tcPr>
          <w:p w:rsidR="00173FB7" w:rsidRPr="005057AA" w:rsidDel="00BD7C58" w:rsidRDefault="00173FB7" w:rsidP="00FA65FC">
            <w:pPr>
              <w:spacing w:before="80" w:after="80" w:line="240" w:lineRule="auto"/>
              <w:rPr>
                <w:i/>
                <w:sz w:val="14"/>
                <w:szCs w:val="14"/>
              </w:rPr>
            </w:pPr>
          </w:p>
        </w:tc>
        <w:tc>
          <w:tcPr>
            <w:tcW w:w="927" w:type="dxa"/>
            <w:vMerge/>
            <w:shd w:val="clear" w:color="auto" w:fill="auto"/>
          </w:tcPr>
          <w:p w:rsidR="00173FB7" w:rsidRPr="005057AA" w:rsidRDefault="00173FB7" w:rsidP="00FA65FC">
            <w:pPr>
              <w:spacing w:before="80" w:after="80" w:line="240" w:lineRule="auto"/>
              <w:rPr>
                <w:i/>
                <w:sz w:val="14"/>
                <w:szCs w:val="14"/>
              </w:rPr>
            </w:pPr>
          </w:p>
        </w:tc>
      </w:tr>
      <w:tr w:rsidR="00173FB7" w:rsidRPr="00B16C3E" w:rsidTr="00056FEA">
        <w:trPr>
          <w:cantSplit/>
          <w:trHeight w:val="413"/>
          <w:jc w:val="center"/>
        </w:trPr>
        <w:tc>
          <w:tcPr>
            <w:tcW w:w="2344" w:type="dxa"/>
            <w:vMerge w:val="restart"/>
          </w:tcPr>
          <w:p w:rsidR="00173FB7" w:rsidRPr="005057AA" w:rsidRDefault="00173FB7" w:rsidP="00FA65FC">
            <w:pPr>
              <w:spacing w:before="80" w:after="80" w:line="240" w:lineRule="auto"/>
              <w:rPr>
                <w:b/>
                <w:sz w:val="14"/>
                <w:szCs w:val="14"/>
              </w:rPr>
            </w:pPr>
            <w:r w:rsidRPr="005057AA">
              <w:rPr>
                <w:b/>
                <w:sz w:val="14"/>
                <w:szCs w:val="14"/>
              </w:rPr>
              <w:t>Output 1.2</w:t>
            </w:r>
          </w:p>
          <w:p w:rsidR="00173FB7" w:rsidRPr="005057AA" w:rsidRDefault="00173FB7" w:rsidP="00FA65FC">
            <w:pPr>
              <w:spacing w:before="80" w:after="80" w:line="240" w:lineRule="auto"/>
              <w:rPr>
                <w:i/>
                <w:sz w:val="14"/>
                <w:szCs w:val="14"/>
              </w:rPr>
            </w:pPr>
            <w:r w:rsidRPr="005057AA">
              <w:rPr>
                <w:rFonts w:cs="Calibri"/>
                <w:bCs/>
                <w:color w:val="000000"/>
                <w:kern w:val="24"/>
                <w:sz w:val="14"/>
                <w:szCs w:val="14"/>
                <w:lang w:val="en-US"/>
              </w:rPr>
              <w:t>1.2 GS&amp;I RID is embedded into community and sector development in a way that will influence national government systems.</w:t>
            </w:r>
          </w:p>
        </w:tc>
        <w:tc>
          <w:tcPr>
            <w:tcW w:w="2650" w:type="dxa"/>
          </w:tcPr>
          <w:p w:rsidR="00173FB7" w:rsidRPr="005057AA" w:rsidDel="00A84123" w:rsidRDefault="00173FB7" w:rsidP="00FA65FC">
            <w:pPr>
              <w:spacing w:before="80" w:after="80" w:line="240" w:lineRule="auto"/>
              <w:rPr>
                <w:rFonts w:cs="Calibri"/>
                <w:bCs/>
                <w:sz w:val="14"/>
                <w:szCs w:val="14"/>
              </w:rPr>
            </w:pPr>
            <w:r w:rsidRPr="005057AA">
              <w:rPr>
                <w:b/>
                <w:iCs/>
                <w:sz w:val="14"/>
                <w:szCs w:val="14"/>
              </w:rPr>
              <w:t>1.2.1</w:t>
            </w:r>
            <w:r w:rsidRPr="005057AA">
              <w:rPr>
                <w:b/>
                <w:i/>
                <w:sz w:val="14"/>
                <w:szCs w:val="14"/>
              </w:rPr>
              <w:t xml:space="preserve"> </w:t>
            </w:r>
            <w:r>
              <w:rPr>
                <w:rFonts w:cs="Calibri"/>
                <w:bCs/>
                <w:sz w:val="14"/>
                <w:szCs w:val="14"/>
              </w:rPr>
              <w:t>Number</w:t>
            </w:r>
            <w:r w:rsidRPr="005057AA">
              <w:rPr>
                <w:rFonts w:cs="Calibri"/>
                <w:bCs/>
                <w:sz w:val="14"/>
                <w:szCs w:val="14"/>
              </w:rPr>
              <w:t xml:space="preserve"> of budget submissions which have explicit </w:t>
            </w:r>
            <w:r>
              <w:rPr>
                <w:rFonts w:cs="Calibri"/>
                <w:bCs/>
                <w:sz w:val="14"/>
                <w:szCs w:val="14"/>
              </w:rPr>
              <w:t xml:space="preserve">reference to </w:t>
            </w:r>
            <w:r w:rsidRPr="005057AA">
              <w:rPr>
                <w:rFonts w:cs="Calibri"/>
                <w:bCs/>
                <w:sz w:val="14"/>
                <w:szCs w:val="14"/>
              </w:rPr>
              <w:t xml:space="preserve">GS&amp;I CC&amp;D risk </w:t>
            </w:r>
          </w:p>
        </w:tc>
        <w:tc>
          <w:tcPr>
            <w:tcW w:w="0" w:type="auto"/>
            <w:vMerge w:val="restart"/>
          </w:tcPr>
          <w:p w:rsidR="00173FB7" w:rsidRPr="005057AA" w:rsidDel="00A84123" w:rsidRDefault="00173FB7" w:rsidP="00FA65FC">
            <w:pPr>
              <w:spacing w:before="80" w:after="80" w:line="240" w:lineRule="auto"/>
              <w:rPr>
                <w:i/>
                <w:sz w:val="14"/>
                <w:szCs w:val="14"/>
              </w:rPr>
            </w:pPr>
            <w:r w:rsidRPr="005057AA">
              <w:rPr>
                <w:rFonts w:cs="Calibri"/>
                <w:bCs/>
                <w:sz w:val="14"/>
                <w:szCs w:val="14"/>
              </w:rPr>
              <w:t>Sector submissions Project documentation</w:t>
            </w:r>
          </w:p>
        </w:tc>
        <w:tc>
          <w:tcPr>
            <w:tcW w:w="2319" w:type="dxa"/>
            <w:shd w:val="clear" w:color="auto" w:fill="auto"/>
          </w:tcPr>
          <w:p w:rsidR="00173FB7" w:rsidRDefault="00173FB7" w:rsidP="00FA65FC">
            <w:pPr>
              <w:spacing w:before="80" w:after="80"/>
              <w:rPr>
                <w:rFonts w:cs="Arial"/>
                <w:sz w:val="14"/>
                <w:szCs w:val="14"/>
              </w:rPr>
            </w:pPr>
            <w:r>
              <w:rPr>
                <w:rFonts w:cs="Arial"/>
                <w:sz w:val="14"/>
                <w:szCs w:val="14"/>
              </w:rPr>
              <w:t>D</w:t>
            </w:r>
            <w:r w:rsidRPr="005057AA">
              <w:rPr>
                <w:rFonts w:cs="Arial"/>
                <w:sz w:val="14"/>
                <w:szCs w:val="14"/>
              </w:rPr>
              <w:t xml:space="preserve">evelopment budgets submissions </w:t>
            </w:r>
            <w:r>
              <w:rPr>
                <w:rFonts w:cs="Arial"/>
                <w:sz w:val="14"/>
                <w:szCs w:val="14"/>
              </w:rPr>
              <w:t xml:space="preserve">do not </w:t>
            </w:r>
            <w:r w:rsidRPr="005057AA">
              <w:rPr>
                <w:rFonts w:cs="Arial"/>
                <w:sz w:val="14"/>
                <w:szCs w:val="14"/>
              </w:rPr>
              <w:t>consider RID</w:t>
            </w:r>
          </w:p>
          <w:p w:rsidR="00173FB7" w:rsidRPr="005057AA" w:rsidDel="00BD7C58" w:rsidRDefault="00173FB7" w:rsidP="00FA65FC">
            <w:pPr>
              <w:spacing w:before="80" w:after="80"/>
              <w:rPr>
                <w:rFonts w:cs="Arial"/>
                <w:sz w:val="14"/>
                <w:szCs w:val="14"/>
                <w:lang w:eastAsia="en-US"/>
              </w:rPr>
            </w:pPr>
            <w:r>
              <w:rPr>
                <w:rFonts w:cs="Arial"/>
                <w:sz w:val="14"/>
                <w:szCs w:val="14"/>
              </w:rPr>
              <w:t>Baseline = 0</w:t>
            </w:r>
          </w:p>
        </w:tc>
        <w:tc>
          <w:tcPr>
            <w:tcW w:w="644" w:type="dxa"/>
          </w:tcPr>
          <w:p w:rsidR="00173FB7" w:rsidRPr="005057AA" w:rsidDel="00BD7C58" w:rsidRDefault="00173FB7" w:rsidP="00FA65FC">
            <w:pPr>
              <w:pStyle w:val="Header"/>
              <w:spacing w:before="80" w:after="80" w:line="240" w:lineRule="auto"/>
              <w:rPr>
                <w:sz w:val="14"/>
                <w:szCs w:val="14"/>
              </w:rPr>
            </w:pPr>
            <w:r w:rsidRPr="005057AA">
              <w:rPr>
                <w:i/>
                <w:sz w:val="14"/>
                <w:szCs w:val="14"/>
              </w:rPr>
              <w:t>2019</w:t>
            </w:r>
          </w:p>
        </w:tc>
        <w:tc>
          <w:tcPr>
            <w:tcW w:w="1024" w:type="dxa"/>
          </w:tcPr>
          <w:p w:rsidR="00173FB7" w:rsidRPr="005057AA" w:rsidDel="00BD7C58" w:rsidRDefault="00173FB7" w:rsidP="00FA65FC">
            <w:pPr>
              <w:pStyle w:val="Header"/>
              <w:spacing w:before="80" w:after="80" w:line="240" w:lineRule="auto"/>
              <w:jc w:val="center"/>
              <w:rPr>
                <w:iCs/>
                <w:sz w:val="14"/>
                <w:szCs w:val="14"/>
              </w:rPr>
            </w:pPr>
            <w:r>
              <w:rPr>
                <w:iCs/>
                <w:sz w:val="14"/>
                <w:szCs w:val="14"/>
              </w:rPr>
              <w:t>10</w:t>
            </w:r>
          </w:p>
        </w:tc>
        <w:tc>
          <w:tcPr>
            <w:tcW w:w="978" w:type="dxa"/>
          </w:tcPr>
          <w:p w:rsidR="00173FB7" w:rsidRPr="005057AA" w:rsidDel="00BD7C58" w:rsidRDefault="00173FB7" w:rsidP="00FA65FC">
            <w:pPr>
              <w:pStyle w:val="Header"/>
              <w:spacing w:before="80" w:after="80" w:line="240" w:lineRule="auto"/>
              <w:jc w:val="center"/>
              <w:rPr>
                <w:sz w:val="14"/>
                <w:szCs w:val="14"/>
              </w:rPr>
            </w:pPr>
            <w:r>
              <w:rPr>
                <w:sz w:val="14"/>
                <w:szCs w:val="14"/>
              </w:rPr>
              <w:t>15</w:t>
            </w:r>
          </w:p>
        </w:tc>
        <w:tc>
          <w:tcPr>
            <w:tcW w:w="979" w:type="dxa"/>
          </w:tcPr>
          <w:p w:rsidR="00173FB7" w:rsidRPr="005057AA" w:rsidDel="00BD7C58" w:rsidRDefault="00173FB7" w:rsidP="00FA65FC">
            <w:pPr>
              <w:pStyle w:val="Header"/>
              <w:spacing w:before="80" w:after="80" w:line="240" w:lineRule="auto"/>
              <w:jc w:val="center"/>
              <w:rPr>
                <w:sz w:val="14"/>
                <w:szCs w:val="14"/>
              </w:rPr>
            </w:pPr>
            <w:r>
              <w:rPr>
                <w:sz w:val="14"/>
                <w:szCs w:val="14"/>
              </w:rPr>
              <w:t>15</w:t>
            </w:r>
          </w:p>
        </w:tc>
        <w:tc>
          <w:tcPr>
            <w:tcW w:w="978" w:type="dxa"/>
          </w:tcPr>
          <w:p w:rsidR="00173FB7" w:rsidRPr="005057AA" w:rsidDel="00BD7C58" w:rsidRDefault="00173FB7" w:rsidP="00FA65FC">
            <w:pPr>
              <w:pStyle w:val="Header"/>
              <w:spacing w:before="80" w:after="80" w:line="240" w:lineRule="auto"/>
              <w:jc w:val="center"/>
              <w:rPr>
                <w:sz w:val="14"/>
                <w:szCs w:val="14"/>
              </w:rPr>
            </w:pPr>
            <w:r>
              <w:rPr>
                <w:sz w:val="14"/>
                <w:szCs w:val="14"/>
              </w:rPr>
              <w:t>20</w:t>
            </w:r>
          </w:p>
        </w:tc>
        <w:tc>
          <w:tcPr>
            <w:tcW w:w="1379" w:type="dxa"/>
            <w:vMerge/>
            <w:shd w:val="clear" w:color="auto" w:fill="auto"/>
          </w:tcPr>
          <w:p w:rsidR="00173FB7" w:rsidRPr="005057AA" w:rsidDel="00BD7C58" w:rsidRDefault="00173FB7" w:rsidP="00FA65FC">
            <w:pPr>
              <w:spacing w:before="80" w:after="80" w:line="240" w:lineRule="auto"/>
              <w:rPr>
                <w:i/>
                <w:sz w:val="14"/>
                <w:szCs w:val="14"/>
              </w:rPr>
            </w:pPr>
          </w:p>
        </w:tc>
        <w:tc>
          <w:tcPr>
            <w:tcW w:w="927" w:type="dxa"/>
            <w:vMerge w:val="restart"/>
            <w:shd w:val="clear" w:color="auto" w:fill="auto"/>
          </w:tcPr>
          <w:p w:rsidR="00173FB7" w:rsidRPr="005057AA" w:rsidRDefault="00173FB7" w:rsidP="00FA65FC">
            <w:pPr>
              <w:spacing w:before="80" w:after="80" w:line="240" w:lineRule="auto"/>
              <w:rPr>
                <w:rFonts w:cs="Calibri"/>
                <w:bCs/>
                <w:sz w:val="14"/>
                <w:szCs w:val="14"/>
              </w:rPr>
            </w:pPr>
            <w:r w:rsidRPr="005057AA">
              <w:rPr>
                <w:rFonts w:cs="Calibri"/>
                <w:bCs/>
                <w:sz w:val="14"/>
                <w:szCs w:val="14"/>
              </w:rPr>
              <w:t xml:space="preserve">Document analysis </w:t>
            </w:r>
          </w:p>
          <w:p w:rsidR="00173FB7" w:rsidRPr="005057AA" w:rsidRDefault="00173FB7" w:rsidP="00FA65FC">
            <w:pPr>
              <w:spacing w:before="80" w:after="80" w:line="240" w:lineRule="auto"/>
              <w:rPr>
                <w:i/>
                <w:sz w:val="14"/>
                <w:szCs w:val="14"/>
              </w:rPr>
            </w:pPr>
            <w:r w:rsidRPr="005057AA">
              <w:rPr>
                <w:rFonts w:cs="Calibri"/>
                <w:bCs/>
                <w:sz w:val="14"/>
                <w:szCs w:val="14"/>
              </w:rPr>
              <w:t>Stakeholder interviews</w:t>
            </w:r>
          </w:p>
        </w:tc>
      </w:tr>
      <w:tr w:rsidR="00173FB7" w:rsidRPr="00B16C3E" w:rsidTr="00056FEA">
        <w:trPr>
          <w:cantSplit/>
          <w:trHeight w:val="413"/>
          <w:jc w:val="center"/>
        </w:trPr>
        <w:tc>
          <w:tcPr>
            <w:tcW w:w="2344" w:type="dxa"/>
            <w:vMerge/>
          </w:tcPr>
          <w:p w:rsidR="00173FB7" w:rsidRPr="005057AA" w:rsidRDefault="00173FB7" w:rsidP="00FA65FC">
            <w:pPr>
              <w:spacing w:before="80" w:after="80" w:line="240" w:lineRule="auto"/>
              <w:rPr>
                <w:i/>
                <w:sz w:val="14"/>
                <w:szCs w:val="14"/>
              </w:rPr>
            </w:pPr>
          </w:p>
        </w:tc>
        <w:tc>
          <w:tcPr>
            <w:tcW w:w="2650" w:type="dxa"/>
          </w:tcPr>
          <w:p w:rsidR="00173FB7" w:rsidRPr="005057AA" w:rsidRDefault="00173FB7" w:rsidP="00FA65FC">
            <w:pPr>
              <w:spacing w:before="80" w:after="80" w:line="240" w:lineRule="auto"/>
              <w:rPr>
                <w:rFonts w:cs="Calibri"/>
                <w:bCs/>
                <w:sz w:val="14"/>
                <w:szCs w:val="14"/>
              </w:rPr>
            </w:pPr>
            <w:r w:rsidRPr="005057AA">
              <w:rPr>
                <w:b/>
                <w:iCs/>
                <w:sz w:val="14"/>
                <w:szCs w:val="14"/>
              </w:rPr>
              <w:t>1.2.2</w:t>
            </w:r>
            <w:r w:rsidRPr="005057AA">
              <w:rPr>
                <w:b/>
                <w:i/>
                <w:sz w:val="14"/>
                <w:szCs w:val="14"/>
              </w:rPr>
              <w:t xml:space="preserve"> </w:t>
            </w:r>
            <w:r>
              <w:rPr>
                <w:rFonts w:cs="Calibri"/>
                <w:bCs/>
                <w:sz w:val="14"/>
                <w:szCs w:val="14"/>
              </w:rPr>
              <w:t>Number</w:t>
            </w:r>
            <w:r w:rsidRPr="005057AA">
              <w:rPr>
                <w:rFonts w:cs="Calibri"/>
                <w:bCs/>
                <w:sz w:val="14"/>
                <w:szCs w:val="14"/>
              </w:rPr>
              <w:t xml:space="preserve"> of sector measures which reference GS&amp;I CC&amp;D risk </w:t>
            </w:r>
          </w:p>
        </w:tc>
        <w:tc>
          <w:tcPr>
            <w:tcW w:w="0" w:type="auto"/>
            <w:vMerge/>
          </w:tcPr>
          <w:p w:rsidR="00173FB7" w:rsidRPr="005057AA" w:rsidRDefault="00173FB7" w:rsidP="00FA65FC">
            <w:pPr>
              <w:pStyle w:val="Header"/>
              <w:spacing w:before="80" w:after="80" w:line="240" w:lineRule="auto"/>
              <w:jc w:val="center"/>
              <w:rPr>
                <w:i/>
                <w:sz w:val="14"/>
                <w:szCs w:val="14"/>
              </w:rPr>
            </w:pPr>
          </w:p>
        </w:tc>
        <w:tc>
          <w:tcPr>
            <w:tcW w:w="2319" w:type="dxa"/>
            <w:shd w:val="clear" w:color="auto" w:fill="auto"/>
          </w:tcPr>
          <w:p w:rsidR="00173FB7" w:rsidRDefault="00173FB7" w:rsidP="00FA65FC">
            <w:pPr>
              <w:pStyle w:val="Header"/>
              <w:spacing w:before="80" w:after="80" w:line="240" w:lineRule="auto"/>
              <w:rPr>
                <w:rFonts w:cs="Arial"/>
                <w:sz w:val="14"/>
                <w:szCs w:val="14"/>
              </w:rPr>
            </w:pPr>
            <w:r>
              <w:rPr>
                <w:rFonts w:cs="Arial"/>
                <w:sz w:val="14"/>
                <w:szCs w:val="14"/>
              </w:rPr>
              <w:t>S</w:t>
            </w:r>
            <w:r w:rsidRPr="005057AA">
              <w:rPr>
                <w:rFonts w:cs="Arial"/>
                <w:sz w:val="14"/>
                <w:szCs w:val="14"/>
              </w:rPr>
              <w:t xml:space="preserve">ector measures </w:t>
            </w:r>
            <w:r>
              <w:rPr>
                <w:rFonts w:cs="Arial"/>
                <w:sz w:val="14"/>
                <w:szCs w:val="14"/>
              </w:rPr>
              <w:t xml:space="preserve">do not </w:t>
            </w:r>
            <w:r w:rsidRPr="005057AA">
              <w:rPr>
                <w:rFonts w:cs="Arial"/>
                <w:sz w:val="14"/>
                <w:szCs w:val="14"/>
              </w:rPr>
              <w:t>consider RID</w:t>
            </w:r>
          </w:p>
          <w:p w:rsidR="00173FB7" w:rsidRPr="005057AA" w:rsidRDefault="00173FB7" w:rsidP="00FA65FC">
            <w:pPr>
              <w:pStyle w:val="Header"/>
              <w:spacing w:before="80" w:after="80" w:line="240" w:lineRule="auto"/>
              <w:rPr>
                <w:i/>
                <w:sz w:val="14"/>
                <w:szCs w:val="14"/>
              </w:rPr>
            </w:pPr>
            <w:r>
              <w:rPr>
                <w:rFonts w:cs="Arial"/>
                <w:sz w:val="14"/>
                <w:szCs w:val="14"/>
              </w:rPr>
              <w:t>Baseline = 0</w:t>
            </w:r>
          </w:p>
        </w:tc>
        <w:tc>
          <w:tcPr>
            <w:tcW w:w="644" w:type="dxa"/>
          </w:tcPr>
          <w:p w:rsidR="00173FB7" w:rsidRPr="005057AA" w:rsidRDefault="00173FB7" w:rsidP="00FA65FC">
            <w:pPr>
              <w:pStyle w:val="Header"/>
              <w:spacing w:before="80" w:after="80" w:line="240" w:lineRule="auto"/>
              <w:rPr>
                <w:i/>
                <w:sz w:val="14"/>
                <w:szCs w:val="14"/>
              </w:rPr>
            </w:pPr>
            <w:r w:rsidRPr="005057AA">
              <w:rPr>
                <w:i/>
                <w:sz w:val="14"/>
                <w:szCs w:val="14"/>
              </w:rPr>
              <w:t>2019</w:t>
            </w:r>
          </w:p>
        </w:tc>
        <w:tc>
          <w:tcPr>
            <w:tcW w:w="1024" w:type="dxa"/>
          </w:tcPr>
          <w:p w:rsidR="00173FB7" w:rsidRPr="005057AA" w:rsidDel="00BD7C58" w:rsidRDefault="00173FB7" w:rsidP="00FA65FC">
            <w:pPr>
              <w:pStyle w:val="Header"/>
              <w:spacing w:before="80" w:after="80" w:line="240" w:lineRule="auto"/>
              <w:jc w:val="center"/>
              <w:rPr>
                <w:iCs/>
                <w:sz w:val="14"/>
                <w:szCs w:val="14"/>
              </w:rPr>
            </w:pPr>
            <w:r>
              <w:rPr>
                <w:iCs/>
                <w:sz w:val="14"/>
                <w:szCs w:val="14"/>
              </w:rPr>
              <w:t>2</w:t>
            </w:r>
          </w:p>
        </w:tc>
        <w:tc>
          <w:tcPr>
            <w:tcW w:w="978" w:type="dxa"/>
          </w:tcPr>
          <w:p w:rsidR="00173FB7" w:rsidRPr="005057AA" w:rsidDel="00BD7C58" w:rsidRDefault="00173FB7" w:rsidP="00FA65FC">
            <w:pPr>
              <w:pStyle w:val="Header"/>
              <w:spacing w:before="80" w:after="80" w:line="240" w:lineRule="auto"/>
              <w:jc w:val="center"/>
              <w:rPr>
                <w:sz w:val="14"/>
                <w:szCs w:val="14"/>
              </w:rPr>
            </w:pPr>
            <w:r>
              <w:rPr>
                <w:sz w:val="14"/>
                <w:szCs w:val="14"/>
              </w:rPr>
              <w:t>3</w:t>
            </w:r>
          </w:p>
        </w:tc>
        <w:tc>
          <w:tcPr>
            <w:tcW w:w="979" w:type="dxa"/>
          </w:tcPr>
          <w:p w:rsidR="00173FB7" w:rsidRPr="005057AA" w:rsidDel="00BD7C58" w:rsidRDefault="00173FB7" w:rsidP="00FA65FC">
            <w:pPr>
              <w:pStyle w:val="Header"/>
              <w:spacing w:before="80" w:after="80" w:line="240" w:lineRule="auto"/>
              <w:jc w:val="center"/>
              <w:rPr>
                <w:sz w:val="14"/>
                <w:szCs w:val="14"/>
              </w:rPr>
            </w:pPr>
            <w:r>
              <w:rPr>
                <w:sz w:val="14"/>
                <w:szCs w:val="14"/>
              </w:rPr>
              <w:t>4</w:t>
            </w:r>
          </w:p>
        </w:tc>
        <w:tc>
          <w:tcPr>
            <w:tcW w:w="978" w:type="dxa"/>
          </w:tcPr>
          <w:p w:rsidR="00173FB7" w:rsidRPr="005057AA" w:rsidDel="00BD7C58" w:rsidRDefault="00173FB7" w:rsidP="00FA65FC">
            <w:pPr>
              <w:pStyle w:val="Header"/>
              <w:spacing w:before="80" w:after="80" w:line="240" w:lineRule="auto"/>
              <w:jc w:val="center"/>
              <w:rPr>
                <w:sz w:val="14"/>
                <w:szCs w:val="14"/>
              </w:rPr>
            </w:pPr>
            <w:r>
              <w:rPr>
                <w:sz w:val="14"/>
                <w:szCs w:val="14"/>
              </w:rPr>
              <w:t>3</w:t>
            </w:r>
          </w:p>
        </w:tc>
        <w:tc>
          <w:tcPr>
            <w:tcW w:w="1379" w:type="dxa"/>
            <w:vMerge/>
            <w:shd w:val="clear" w:color="auto" w:fill="auto"/>
          </w:tcPr>
          <w:p w:rsidR="00173FB7" w:rsidRPr="005057AA" w:rsidDel="00BD7C58" w:rsidRDefault="00173FB7" w:rsidP="00FA65FC">
            <w:pPr>
              <w:spacing w:before="80" w:after="80" w:line="240" w:lineRule="auto"/>
              <w:rPr>
                <w:i/>
                <w:sz w:val="14"/>
                <w:szCs w:val="14"/>
              </w:rPr>
            </w:pPr>
          </w:p>
        </w:tc>
        <w:tc>
          <w:tcPr>
            <w:tcW w:w="927" w:type="dxa"/>
            <w:vMerge/>
            <w:shd w:val="clear" w:color="auto" w:fill="auto"/>
          </w:tcPr>
          <w:p w:rsidR="00173FB7" w:rsidRPr="005057AA" w:rsidDel="00BD7C58" w:rsidRDefault="00173FB7" w:rsidP="00FA65FC">
            <w:pPr>
              <w:spacing w:before="80" w:after="80" w:line="240" w:lineRule="auto"/>
              <w:rPr>
                <w:i/>
                <w:sz w:val="14"/>
                <w:szCs w:val="14"/>
              </w:rPr>
            </w:pPr>
          </w:p>
        </w:tc>
      </w:tr>
      <w:tr w:rsidR="00173FB7" w:rsidRPr="00B16C3E" w:rsidTr="00056FEA">
        <w:trPr>
          <w:cantSplit/>
          <w:trHeight w:val="413"/>
          <w:jc w:val="center"/>
        </w:trPr>
        <w:tc>
          <w:tcPr>
            <w:tcW w:w="2344" w:type="dxa"/>
            <w:vMerge/>
          </w:tcPr>
          <w:p w:rsidR="00173FB7" w:rsidRPr="005057AA" w:rsidRDefault="00173FB7" w:rsidP="00FA65FC">
            <w:pPr>
              <w:spacing w:before="80" w:after="80" w:line="240" w:lineRule="auto"/>
              <w:rPr>
                <w:i/>
                <w:sz w:val="14"/>
                <w:szCs w:val="14"/>
              </w:rPr>
            </w:pPr>
          </w:p>
        </w:tc>
        <w:tc>
          <w:tcPr>
            <w:tcW w:w="2650" w:type="dxa"/>
          </w:tcPr>
          <w:p w:rsidR="00173FB7" w:rsidRPr="005057AA" w:rsidRDefault="00173FB7" w:rsidP="00FA65FC">
            <w:pPr>
              <w:spacing w:before="80" w:after="80" w:line="240" w:lineRule="auto"/>
              <w:rPr>
                <w:rFonts w:cs="Calibri"/>
                <w:bCs/>
                <w:sz w:val="14"/>
                <w:szCs w:val="14"/>
              </w:rPr>
            </w:pPr>
            <w:proofErr w:type="gramStart"/>
            <w:r w:rsidRPr="005057AA">
              <w:rPr>
                <w:b/>
                <w:iCs/>
                <w:sz w:val="14"/>
                <w:szCs w:val="14"/>
              </w:rPr>
              <w:t>1.2.3</w:t>
            </w:r>
            <w:r w:rsidRPr="005057AA">
              <w:rPr>
                <w:b/>
                <w:i/>
                <w:sz w:val="14"/>
                <w:szCs w:val="14"/>
              </w:rPr>
              <w:t xml:space="preserve">  </w:t>
            </w:r>
            <w:r>
              <w:rPr>
                <w:rFonts w:cs="Calibri"/>
                <w:bCs/>
                <w:sz w:val="14"/>
                <w:szCs w:val="14"/>
              </w:rPr>
              <w:t>Number</w:t>
            </w:r>
            <w:proofErr w:type="gramEnd"/>
            <w:r w:rsidRPr="005057AA">
              <w:rPr>
                <w:rFonts w:cs="Calibri"/>
                <w:bCs/>
                <w:sz w:val="14"/>
                <w:szCs w:val="14"/>
              </w:rPr>
              <w:t xml:space="preserve"> of targeted implementation projects able to demonstrate:</w:t>
            </w:r>
          </w:p>
          <w:p w:rsidR="00173FB7" w:rsidRPr="005057AA" w:rsidRDefault="00173FB7" w:rsidP="009D6B25">
            <w:pPr>
              <w:numPr>
                <w:ilvl w:val="0"/>
                <w:numId w:val="5"/>
              </w:numPr>
              <w:tabs>
                <w:tab w:val="clear" w:pos="360"/>
                <w:tab w:val="num" w:pos="168"/>
              </w:tabs>
              <w:spacing w:before="80" w:after="80" w:line="240" w:lineRule="auto"/>
              <w:ind w:left="170" w:hanging="170"/>
              <w:rPr>
                <w:rFonts w:cs="Calibri"/>
                <w:bCs/>
                <w:sz w:val="14"/>
                <w:szCs w:val="14"/>
              </w:rPr>
            </w:pPr>
            <w:r w:rsidRPr="005057AA">
              <w:rPr>
                <w:rFonts w:cs="Calibri"/>
                <w:bCs/>
                <w:sz w:val="14"/>
                <w:szCs w:val="14"/>
              </w:rPr>
              <w:t xml:space="preserve">increased cost efficiencies and savings, </w:t>
            </w:r>
          </w:p>
          <w:p w:rsidR="00173FB7" w:rsidRPr="005057AA" w:rsidRDefault="00173FB7" w:rsidP="009D6B25">
            <w:pPr>
              <w:numPr>
                <w:ilvl w:val="0"/>
                <w:numId w:val="5"/>
              </w:numPr>
              <w:tabs>
                <w:tab w:val="clear" w:pos="360"/>
                <w:tab w:val="num" w:pos="168"/>
              </w:tabs>
              <w:spacing w:before="80" w:after="80" w:line="240" w:lineRule="auto"/>
              <w:ind w:left="170" w:hanging="170"/>
              <w:rPr>
                <w:rFonts w:cs="Calibri"/>
                <w:bCs/>
                <w:sz w:val="14"/>
                <w:szCs w:val="14"/>
              </w:rPr>
            </w:pPr>
            <w:r w:rsidRPr="005057AA">
              <w:rPr>
                <w:rFonts w:cs="Calibri"/>
                <w:bCs/>
                <w:sz w:val="14"/>
                <w:szCs w:val="14"/>
              </w:rPr>
              <w:t>leveraging of additional resources,</w:t>
            </w:r>
          </w:p>
          <w:p w:rsidR="00173FB7" w:rsidRPr="005057AA" w:rsidRDefault="00173FB7" w:rsidP="009D6B25">
            <w:pPr>
              <w:numPr>
                <w:ilvl w:val="0"/>
                <w:numId w:val="5"/>
              </w:numPr>
              <w:tabs>
                <w:tab w:val="clear" w:pos="360"/>
                <w:tab w:val="num" w:pos="168"/>
              </w:tabs>
              <w:spacing w:before="80" w:after="80" w:line="240" w:lineRule="auto"/>
              <w:ind w:left="170" w:hanging="170"/>
              <w:rPr>
                <w:rFonts w:cs="Calibri"/>
                <w:bCs/>
                <w:sz w:val="14"/>
                <w:szCs w:val="14"/>
              </w:rPr>
            </w:pPr>
            <w:r w:rsidRPr="005057AA">
              <w:rPr>
                <w:rFonts w:cs="Calibri"/>
                <w:bCs/>
                <w:sz w:val="14"/>
                <w:szCs w:val="14"/>
              </w:rPr>
              <w:t>increased wellbeing for people</w:t>
            </w:r>
            <w:r>
              <w:rPr>
                <w:rFonts w:cs="Calibri"/>
                <w:bCs/>
                <w:sz w:val="14"/>
                <w:szCs w:val="14"/>
              </w:rPr>
              <w:t>.</w:t>
            </w:r>
          </w:p>
        </w:tc>
        <w:tc>
          <w:tcPr>
            <w:tcW w:w="0" w:type="auto"/>
            <w:vMerge/>
          </w:tcPr>
          <w:p w:rsidR="00173FB7" w:rsidRPr="005057AA" w:rsidRDefault="00173FB7" w:rsidP="00FA65FC">
            <w:pPr>
              <w:pStyle w:val="Header"/>
              <w:spacing w:before="80" w:after="80" w:line="240" w:lineRule="auto"/>
              <w:jc w:val="center"/>
              <w:rPr>
                <w:i/>
                <w:sz w:val="14"/>
                <w:szCs w:val="14"/>
              </w:rPr>
            </w:pPr>
          </w:p>
        </w:tc>
        <w:tc>
          <w:tcPr>
            <w:tcW w:w="2319" w:type="dxa"/>
            <w:shd w:val="clear" w:color="auto" w:fill="auto"/>
          </w:tcPr>
          <w:p w:rsidR="00173FB7" w:rsidRDefault="00173FB7" w:rsidP="00FA65FC">
            <w:pPr>
              <w:pStyle w:val="Header"/>
              <w:spacing w:before="80" w:after="80" w:line="240" w:lineRule="auto"/>
              <w:rPr>
                <w:rFonts w:cs="Arial"/>
                <w:sz w:val="14"/>
                <w:szCs w:val="14"/>
              </w:rPr>
            </w:pPr>
            <w:r>
              <w:rPr>
                <w:rFonts w:cs="Arial"/>
                <w:sz w:val="14"/>
                <w:szCs w:val="14"/>
              </w:rPr>
              <w:t>P</w:t>
            </w:r>
            <w:r w:rsidRPr="005057AA">
              <w:rPr>
                <w:rFonts w:cs="Arial"/>
                <w:sz w:val="14"/>
                <w:szCs w:val="14"/>
              </w:rPr>
              <w:t xml:space="preserve">rojects being delivered </w:t>
            </w:r>
            <w:r>
              <w:rPr>
                <w:rFonts w:cs="Arial"/>
                <w:sz w:val="14"/>
                <w:szCs w:val="14"/>
              </w:rPr>
              <w:t xml:space="preserve">do not </w:t>
            </w:r>
            <w:r w:rsidRPr="005057AA">
              <w:rPr>
                <w:rFonts w:cs="Arial"/>
                <w:sz w:val="14"/>
                <w:szCs w:val="14"/>
              </w:rPr>
              <w:t>consider RID</w:t>
            </w:r>
          </w:p>
          <w:p w:rsidR="00173FB7" w:rsidRPr="005057AA" w:rsidRDefault="00173FB7" w:rsidP="00FA65FC">
            <w:pPr>
              <w:pStyle w:val="Header"/>
              <w:spacing w:before="80" w:after="80" w:line="240" w:lineRule="auto"/>
              <w:rPr>
                <w:i/>
                <w:sz w:val="14"/>
                <w:szCs w:val="14"/>
              </w:rPr>
            </w:pPr>
            <w:r>
              <w:rPr>
                <w:rFonts w:cs="Arial"/>
                <w:sz w:val="14"/>
                <w:szCs w:val="14"/>
              </w:rPr>
              <w:t>Baseline = 0</w:t>
            </w:r>
          </w:p>
        </w:tc>
        <w:tc>
          <w:tcPr>
            <w:tcW w:w="644" w:type="dxa"/>
          </w:tcPr>
          <w:p w:rsidR="00173FB7" w:rsidRPr="005057AA" w:rsidRDefault="00173FB7" w:rsidP="00FA65FC">
            <w:pPr>
              <w:pStyle w:val="Header"/>
              <w:spacing w:before="80" w:after="80" w:line="240" w:lineRule="auto"/>
              <w:rPr>
                <w:i/>
                <w:sz w:val="14"/>
                <w:szCs w:val="14"/>
              </w:rPr>
            </w:pPr>
            <w:r w:rsidRPr="005057AA">
              <w:rPr>
                <w:i/>
                <w:sz w:val="14"/>
                <w:szCs w:val="14"/>
              </w:rPr>
              <w:t>2019</w:t>
            </w:r>
          </w:p>
        </w:tc>
        <w:tc>
          <w:tcPr>
            <w:tcW w:w="1024" w:type="dxa"/>
          </w:tcPr>
          <w:p w:rsidR="00173FB7" w:rsidRPr="005057AA" w:rsidDel="00BD7C58" w:rsidRDefault="00173FB7" w:rsidP="00FA65FC">
            <w:pPr>
              <w:pStyle w:val="Header"/>
              <w:spacing w:before="80" w:after="80" w:line="240" w:lineRule="auto"/>
              <w:jc w:val="center"/>
              <w:rPr>
                <w:iCs/>
                <w:sz w:val="14"/>
                <w:szCs w:val="14"/>
              </w:rPr>
            </w:pPr>
            <w:r>
              <w:rPr>
                <w:iCs/>
                <w:sz w:val="14"/>
                <w:szCs w:val="14"/>
              </w:rPr>
              <w:t>3</w:t>
            </w:r>
          </w:p>
        </w:tc>
        <w:tc>
          <w:tcPr>
            <w:tcW w:w="978" w:type="dxa"/>
          </w:tcPr>
          <w:p w:rsidR="00173FB7" w:rsidRPr="005057AA" w:rsidDel="00BD7C58" w:rsidRDefault="00173FB7" w:rsidP="00FA65FC">
            <w:pPr>
              <w:pStyle w:val="Header"/>
              <w:spacing w:before="80" w:after="80" w:line="240" w:lineRule="auto"/>
              <w:jc w:val="center"/>
              <w:rPr>
                <w:sz w:val="14"/>
                <w:szCs w:val="14"/>
              </w:rPr>
            </w:pPr>
            <w:r>
              <w:rPr>
                <w:sz w:val="14"/>
                <w:szCs w:val="14"/>
              </w:rPr>
              <w:t>6</w:t>
            </w:r>
          </w:p>
        </w:tc>
        <w:tc>
          <w:tcPr>
            <w:tcW w:w="979" w:type="dxa"/>
          </w:tcPr>
          <w:p w:rsidR="00173FB7" w:rsidRPr="005057AA" w:rsidDel="00BD7C58" w:rsidRDefault="00173FB7" w:rsidP="00FA65FC">
            <w:pPr>
              <w:pStyle w:val="Header"/>
              <w:spacing w:before="80" w:after="80" w:line="240" w:lineRule="auto"/>
              <w:jc w:val="center"/>
              <w:rPr>
                <w:sz w:val="14"/>
                <w:szCs w:val="14"/>
              </w:rPr>
            </w:pPr>
            <w:r>
              <w:rPr>
                <w:sz w:val="14"/>
                <w:szCs w:val="14"/>
              </w:rPr>
              <w:t>7</w:t>
            </w:r>
          </w:p>
        </w:tc>
        <w:tc>
          <w:tcPr>
            <w:tcW w:w="978" w:type="dxa"/>
          </w:tcPr>
          <w:p w:rsidR="00173FB7" w:rsidRPr="005057AA" w:rsidDel="00BD7C58" w:rsidRDefault="00173FB7" w:rsidP="00FA65FC">
            <w:pPr>
              <w:pStyle w:val="Header"/>
              <w:spacing w:before="80" w:after="80" w:line="240" w:lineRule="auto"/>
              <w:jc w:val="center"/>
              <w:rPr>
                <w:sz w:val="14"/>
                <w:szCs w:val="14"/>
              </w:rPr>
            </w:pPr>
            <w:r>
              <w:rPr>
                <w:sz w:val="14"/>
                <w:szCs w:val="14"/>
              </w:rPr>
              <w:t>5</w:t>
            </w:r>
          </w:p>
        </w:tc>
        <w:tc>
          <w:tcPr>
            <w:tcW w:w="1379" w:type="dxa"/>
            <w:vMerge/>
            <w:shd w:val="clear" w:color="auto" w:fill="auto"/>
          </w:tcPr>
          <w:p w:rsidR="00173FB7" w:rsidRPr="005057AA" w:rsidDel="00BD7C58" w:rsidRDefault="00173FB7" w:rsidP="00FA65FC">
            <w:pPr>
              <w:spacing w:before="80" w:after="80" w:line="240" w:lineRule="auto"/>
              <w:rPr>
                <w:i/>
                <w:sz w:val="14"/>
                <w:szCs w:val="14"/>
              </w:rPr>
            </w:pPr>
          </w:p>
        </w:tc>
        <w:tc>
          <w:tcPr>
            <w:tcW w:w="927" w:type="dxa"/>
            <w:vMerge/>
            <w:shd w:val="clear" w:color="auto" w:fill="auto"/>
          </w:tcPr>
          <w:p w:rsidR="00173FB7" w:rsidRPr="005057AA" w:rsidRDefault="00173FB7" w:rsidP="00FA65FC">
            <w:pPr>
              <w:spacing w:before="80" w:after="80" w:line="240" w:lineRule="auto"/>
              <w:rPr>
                <w:i/>
                <w:sz w:val="14"/>
                <w:szCs w:val="14"/>
              </w:rPr>
            </w:pPr>
          </w:p>
        </w:tc>
      </w:tr>
      <w:tr w:rsidR="00173FB7" w:rsidRPr="00B16C3E" w:rsidTr="00056FEA">
        <w:trPr>
          <w:cantSplit/>
          <w:trHeight w:val="413"/>
          <w:jc w:val="center"/>
        </w:trPr>
        <w:tc>
          <w:tcPr>
            <w:tcW w:w="2344" w:type="dxa"/>
            <w:vMerge w:val="restart"/>
          </w:tcPr>
          <w:p w:rsidR="00173FB7" w:rsidRPr="005057AA" w:rsidRDefault="00173FB7" w:rsidP="00FA65FC">
            <w:pPr>
              <w:spacing w:before="80" w:after="80" w:line="240" w:lineRule="auto"/>
              <w:rPr>
                <w:b/>
                <w:sz w:val="14"/>
                <w:szCs w:val="14"/>
              </w:rPr>
            </w:pPr>
            <w:r w:rsidRPr="005057AA">
              <w:rPr>
                <w:b/>
                <w:sz w:val="14"/>
                <w:szCs w:val="14"/>
              </w:rPr>
              <w:t>Output 1.3</w:t>
            </w:r>
          </w:p>
          <w:p w:rsidR="00173FB7" w:rsidRPr="005057AA" w:rsidRDefault="00173FB7" w:rsidP="00FA65FC">
            <w:pPr>
              <w:spacing w:before="80" w:after="80" w:line="240" w:lineRule="auto"/>
              <w:rPr>
                <w:b/>
                <w:sz w:val="14"/>
                <w:szCs w:val="14"/>
              </w:rPr>
            </w:pPr>
            <w:r w:rsidRPr="005057AA">
              <w:rPr>
                <w:rFonts w:cs="Calibri"/>
                <w:bCs/>
                <w:sz w:val="14"/>
                <w:szCs w:val="14"/>
                <w:lang w:val="en-US"/>
              </w:rPr>
              <w:t>Gender and social inclusion representatives actively participating in shaping RID for government systems</w:t>
            </w:r>
          </w:p>
        </w:tc>
        <w:tc>
          <w:tcPr>
            <w:tcW w:w="2650" w:type="dxa"/>
          </w:tcPr>
          <w:p w:rsidR="00173FB7" w:rsidRPr="005057AA" w:rsidRDefault="00173FB7" w:rsidP="00FA65FC">
            <w:pPr>
              <w:spacing w:before="80" w:after="80" w:line="240" w:lineRule="auto"/>
              <w:rPr>
                <w:rFonts w:cs="Calibri"/>
                <w:bCs/>
                <w:sz w:val="14"/>
                <w:szCs w:val="14"/>
              </w:rPr>
            </w:pPr>
            <w:r w:rsidRPr="005057AA">
              <w:rPr>
                <w:rFonts w:cs="Calibri"/>
                <w:b/>
                <w:sz w:val="14"/>
                <w:szCs w:val="14"/>
              </w:rPr>
              <w:t>1.3.1</w:t>
            </w:r>
            <w:r w:rsidRPr="005057AA">
              <w:rPr>
                <w:rFonts w:cs="Calibri"/>
                <w:bCs/>
                <w:sz w:val="14"/>
                <w:szCs w:val="14"/>
              </w:rPr>
              <w:t xml:space="preserve"> </w:t>
            </w:r>
            <w:r>
              <w:rPr>
                <w:rFonts w:cs="Calibri"/>
                <w:bCs/>
                <w:sz w:val="14"/>
                <w:szCs w:val="14"/>
              </w:rPr>
              <w:t>Number of national Ministries responsible for gender who participate in assessment and appraisal of planning and budget submissions</w:t>
            </w:r>
            <w:r w:rsidRPr="005057AA">
              <w:rPr>
                <w:rFonts w:cs="Calibri"/>
                <w:bCs/>
                <w:sz w:val="14"/>
                <w:szCs w:val="14"/>
              </w:rPr>
              <w:t xml:space="preserve"> </w:t>
            </w:r>
          </w:p>
        </w:tc>
        <w:tc>
          <w:tcPr>
            <w:tcW w:w="0" w:type="auto"/>
            <w:vMerge w:val="restart"/>
          </w:tcPr>
          <w:p w:rsidR="00173FB7" w:rsidRPr="005057AA" w:rsidRDefault="00173FB7" w:rsidP="00FA65FC">
            <w:pPr>
              <w:spacing w:before="80" w:after="80" w:line="240" w:lineRule="auto"/>
              <w:rPr>
                <w:rFonts w:cs="Calibri"/>
                <w:bCs/>
                <w:sz w:val="14"/>
                <w:szCs w:val="14"/>
              </w:rPr>
            </w:pPr>
            <w:r w:rsidRPr="005057AA">
              <w:rPr>
                <w:rFonts w:cs="Calibri"/>
                <w:bCs/>
                <w:sz w:val="14"/>
                <w:szCs w:val="14"/>
              </w:rPr>
              <w:t>Meeting minutes</w:t>
            </w:r>
          </w:p>
          <w:p w:rsidR="00173FB7" w:rsidRPr="005057AA" w:rsidRDefault="00173FB7" w:rsidP="00FA65FC">
            <w:pPr>
              <w:spacing w:before="80" w:after="80" w:line="240" w:lineRule="auto"/>
              <w:rPr>
                <w:rFonts w:cs="Calibri"/>
                <w:bCs/>
                <w:sz w:val="14"/>
                <w:szCs w:val="14"/>
              </w:rPr>
            </w:pPr>
            <w:r w:rsidRPr="005057AA">
              <w:rPr>
                <w:rFonts w:cs="Calibri"/>
                <w:bCs/>
                <w:sz w:val="14"/>
                <w:szCs w:val="14"/>
              </w:rPr>
              <w:t>Reports from Ministries</w:t>
            </w:r>
          </w:p>
        </w:tc>
        <w:tc>
          <w:tcPr>
            <w:tcW w:w="2319" w:type="dxa"/>
            <w:shd w:val="clear" w:color="auto" w:fill="auto"/>
          </w:tcPr>
          <w:p w:rsidR="00173FB7" w:rsidRDefault="00173FB7" w:rsidP="00FA65FC">
            <w:pPr>
              <w:pStyle w:val="Header"/>
              <w:spacing w:before="80" w:after="80" w:line="240" w:lineRule="auto"/>
              <w:rPr>
                <w:rFonts w:cs="Arial"/>
                <w:sz w:val="14"/>
                <w:szCs w:val="14"/>
              </w:rPr>
            </w:pPr>
            <w:r>
              <w:rPr>
                <w:rFonts w:cs="Arial"/>
                <w:sz w:val="14"/>
                <w:szCs w:val="14"/>
              </w:rPr>
              <w:t>Min of planning and finance do not</w:t>
            </w:r>
            <w:r w:rsidRPr="005057AA">
              <w:rPr>
                <w:rFonts w:cs="Arial"/>
                <w:sz w:val="14"/>
                <w:szCs w:val="14"/>
              </w:rPr>
              <w:t xml:space="preserve"> consider input</w:t>
            </w:r>
            <w:r>
              <w:rPr>
                <w:rFonts w:cs="Arial"/>
                <w:sz w:val="14"/>
                <w:szCs w:val="14"/>
              </w:rPr>
              <w:t xml:space="preserve"> from Min responsible for gender in budget appraisal</w:t>
            </w:r>
          </w:p>
          <w:p w:rsidR="00173FB7" w:rsidRPr="005057AA" w:rsidRDefault="00173FB7" w:rsidP="00FA65FC">
            <w:pPr>
              <w:pStyle w:val="Header"/>
              <w:spacing w:before="80" w:after="80" w:line="240" w:lineRule="auto"/>
              <w:rPr>
                <w:i/>
                <w:sz w:val="14"/>
                <w:szCs w:val="14"/>
              </w:rPr>
            </w:pPr>
            <w:r>
              <w:rPr>
                <w:rFonts w:cs="Arial"/>
                <w:sz w:val="14"/>
                <w:szCs w:val="14"/>
              </w:rPr>
              <w:t>Baseline = 0</w:t>
            </w:r>
          </w:p>
        </w:tc>
        <w:tc>
          <w:tcPr>
            <w:tcW w:w="644" w:type="dxa"/>
          </w:tcPr>
          <w:p w:rsidR="00173FB7" w:rsidRPr="005057AA" w:rsidRDefault="00173FB7" w:rsidP="00FA65FC">
            <w:pPr>
              <w:pStyle w:val="Header"/>
              <w:spacing w:before="80" w:after="80" w:line="240" w:lineRule="auto"/>
              <w:rPr>
                <w:i/>
                <w:sz w:val="14"/>
                <w:szCs w:val="14"/>
              </w:rPr>
            </w:pPr>
            <w:r w:rsidRPr="005057AA">
              <w:rPr>
                <w:i/>
                <w:sz w:val="14"/>
                <w:szCs w:val="14"/>
              </w:rPr>
              <w:t>2019</w:t>
            </w:r>
          </w:p>
        </w:tc>
        <w:tc>
          <w:tcPr>
            <w:tcW w:w="1024" w:type="dxa"/>
          </w:tcPr>
          <w:p w:rsidR="00173FB7" w:rsidRPr="005057AA" w:rsidDel="00BD7C58" w:rsidRDefault="00173FB7" w:rsidP="00FA65FC">
            <w:pPr>
              <w:pStyle w:val="Header"/>
              <w:spacing w:before="80" w:after="80" w:line="240" w:lineRule="auto"/>
              <w:jc w:val="center"/>
              <w:rPr>
                <w:iCs/>
                <w:sz w:val="14"/>
                <w:szCs w:val="14"/>
              </w:rPr>
            </w:pPr>
            <w:r>
              <w:rPr>
                <w:iCs/>
                <w:sz w:val="14"/>
                <w:szCs w:val="14"/>
              </w:rPr>
              <w:t>2</w:t>
            </w:r>
          </w:p>
        </w:tc>
        <w:tc>
          <w:tcPr>
            <w:tcW w:w="978" w:type="dxa"/>
          </w:tcPr>
          <w:p w:rsidR="00173FB7" w:rsidRPr="005057AA" w:rsidDel="00BD7C58" w:rsidRDefault="00173FB7" w:rsidP="00FA65FC">
            <w:pPr>
              <w:pStyle w:val="Header"/>
              <w:spacing w:before="80" w:after="80" w:line="240" w:lineRule="auto"/>
              <w:jc w:val="center"/>
              <w:rPr>
                <w:sz w:val="14"/>
                <w:szCs w:val="14"/>
              </w:rPr>
            </w:pPr>
            <w:r>
              <w:rPr>
                <w:sz w:val="14"/>
                <w:szCs w:val="14"/>
              </w:rPr>
              <w:t>3</w:t>
            </w:r>
          </w:p>
        </w:tc>
        <w:tc>
          <w:tcPr>
            <w:tcW w:w="979" w:type="dxa"/>
          </w:tcPr>
          <w:p w:rsidR="00173FB7" w:rsidRPr="005057AA" w:rsidDel="00BD7C58" w:rsidRDefault="00173FB7" w:rsidP="00FA65FC">
            <w:pPr>
              <w:pStyle w:val="Header"/>
              <w:spacing w:before="80" w:after="80" w:line="240" w:lineRule="auto"/>
              <w:jc w:val="center"/>
              <w:rPr>
                <w:sz w:val="14"/>
                <w:szCs w:val="14"/>
              </w:rPr>
            </w:pPr>
            <w:r>
              <w:rPr>
                <w:sz w:val="14"/>
                <w:szCs w:val="14"/>
              </w:rPr>
              <w:t>4</w:t>
            </w:r>
          </w:p>
        </w:tc>
        <w:tc>
          <w:tcPr>
            <w:tcW w:w="978" w:type="dxa"/>
          </w:tcPr>
          <w:p w:rsidR="00173FB7" w:rsidRPr="005057AA" w:rsidDel="00BD7C58" w:rsidRDefault="00173FB7" w:rsidP="00FA65FC">
            <w:pPr>
              <w:pStyle w:val="Header"/>
              <w:spacing w:before="80" w:after="80" w:line="240" w:lineRule="auto"/>
              <w:jc w:val="center"/>
              <w:rPr>
                <w:sz w:val="14"/>
                <w:szCs w:val="14"/>
              </w:rPr>
            </w:pPr>
            <w:r>
              <w:rPr>
                <w:sz w:val="14"/>
                <w:szCs w:val="14"/>
              </w:rPr>
              <w:t>2</w:t>
            </w:r>
          </w:p>
        </w:tc>
        <w:tc>
          <w:tcPr>
            <w:tcW w:w="1379" w:type="dxa"/>
            <w:vMerge/>
            <w:shd w:val="clear" w:color="auto" w:fill="auto"/>
          </w:tcPr>
          <w:p w:rsidR="00173FB7" w:rsidRPr="005057AA" w:rsidDel="00BD7C58" w:rsidRDefault="00173FB7" w:rsidP="00FA65FC">
            <w:pPr>
              <w:spacing w:before="80" w:after="80" w:line="240" w:lineRule="auto"/>
              <w:rPr>
                <w:i/>
                <w:sz w:val="14"/>
                <w:szCs w:val="14"/>
              </w:rPr>
            </w:pPr>
          </w:p>
        </w:tc>
        <w:tc>
          <w:tcPr>
            <w:tcW w:w="927" w:type="dxa"/>
            <w:vMerge w:val="restart"/>
            <w:shd w:val="clear" w:color="auto" w:fill="auto"/>
          </w:tcPr>
          <w:p w:rsidR="00173FB7" w:rsidRPr="005057AA" w:rsidRDefault="00173FB7" w:rsidP="00FA65FC">
            <w:pPr>
              <w:spacing w:before="80" w:after="80" w:line="240" w:lineRule="auto"/>
              <w:rPr>
                <w:i/>
                <w:sz w:val="14"/>
                <w:szCs w:val="14"/>
              </w:rPr>
            </w:pPr>
            <w:r w:rsidRPr="005057AA">
              <w:rPr>
                <w:rFonts w:cs="Calibri"/>
                <w:bCs/>
                <w:sz w:val="14"/>
                <w:szCs w:val="14"/>
              </w:rPr>
              <w:t>Stakeholder interviews</w:t>
            </w:r>
          </w:p>
        </w:tc>
      </w:tr>
      <w:tr w:rsidR="00173FB7" w:rsidRPr="00B16C3E" w:rsidTr="00056FEA">
        <w:trPr>
          <w:cantSplit/>
          <w:trHeight w:val="838"/>
          <w:jc w:val="center"/>
        </w:trPr>
        <w:tc>
          <w:tcPr>
            <w:tcW w:w="2344" w:type="dxa"/>
            <w:vMerge/>
          </w:tcPr>
          <w:p w:rsidR="00173FB7" w:rsidRPr="005057AA" w:rsidRDefault="00173FB7" w:rsidP="00FA65FC">
            <w:pPr>
              <w:spacing w:before="80" w:after="80" w:line="240" w:lineRule="auto"/>
              <w:rPr>
                <w:i/>
                <w:sz w:val="14"/>
                <w:szCs w:val="14"/>
              </w:rPr>
            </w:pPr>
          </w:p>
        </w:tc>
        <w:tc>
          <w:tcPr>
            <w:tcW w:w="2650" w:type="dxa"/>
          </w:tcPr>
          <w:p w:rsidR="00173FB7" w:rsidRDefault="00173FB7" w:rsidP="00FA65FC">
            <w:pPr>
              <w:spacing w:before="80" w:after="80" w:line="240" w:lineRule="auto"/>
              <w:rPr>
                <w:rFonts w:cs="Calibri"/>
                <w:bCs/>
                <w:sz w:val="14"/>
                <w:szCs w:val="14"/>
              </w:rPr>
            </w:pPr>
            <w:r w:rsidRPr="005057AA">
              <w:rPr>
                <w:rFonts w:cs="Calibri"/>
                <w:b/>
                <w:sz w:val="14"/>
                <w:szCs w:val="14"/>
              </w:rPr>
              <w:t>1.3.2</w:t>
            </w:r>
            <w:r w:rsidRPr="005057AA">
              <w:rPr>
                <w:rFonts w:cs="Calibri"/>
                <w:bCs/>
                <w:sz w:val="14"/>
                <w:szCs w:val="14"/>
              </w:rPr>
              <w:t xml:space="preserve"> </w:t>
            </w:r>
            <w:r>
              <w:rPr>
                <w:rFonts w:cs="Calibri"/>
                <w:bCs/>
                <w:sz w:val="14"/>
                <w:szCs w:val="14"/>
              </w:rPr>
              <w:t xml:space="preserve">Number of sectors in which a national </w:t>
            </w:r>
            <w:r w:rsidRPr="005057AA">
              <w:rPr>
                <w:rFonts w:cs="Calibri"/>
                <w:bCs/>
                <w:sz w:val="14"/>
                <w:szCs w:val="14"/>
              </w:rPr>
              <w:t xml:space="preserve">Ministry </w:t>
            </w:r>
            <w:r>
              <w:rPr>
                <w:rFonts w:cs="Calibri"/>
                <w:bCs/>
                <w:sz w:val="14"/>
                <w:szCs w:val="14"/>
              </w:rPr>
              <w:t>responsible for gender</w:t>
            </w:r>
            <w:r w:rsidRPr="005057AA">
              <w:rPr>
                <w:rFonts w:cs="Calibri"/>
                <w:bCs/>
                <w:sz w:val="14"/>
                <w:szCs w:val="14"/>
              </w:rPr>
              <w:t xml:space="preserve"> </w:t>
            </w:r>
            <w:r>
              <w:rPr>
                <w:rFonts w:cs="Calibri"/>
                <w:bCs/>
                <w:sz w:val="14"/>
                <w:szCs w:val="14"/>
              </w:rPr>
              <w:t xml:space="preserve">supports to develop planning and budget submissions </w:t>
            </w:r>
          </w:p>
          <w:p w:rsidR="00173FB7" w:rsidRPr="005057AA" w:rsidRDefault="00173FB7" w:rsidP="00FA65FC">
            <w:pPr>
              <w:spacing w:before="80" w:after="80" w:line="240" w:lineRule="auto"/>
              <w:rPr>
                <w:b/>
                <w:i/>
                <w:sz w:val="14"/>
                <w:szCs w:val="14"/>
              </w:rPr>
            </w:pPr>
          </w:p>
        </w:tc>
        <w:tc>
          <w:tcPr>
            <w:tcW w:w="0" w:type="auto"/>
            <w:vMerge/>
          </w:tcPr>
          <w:p w:rsidR="00173FB7" w:rsidRPr="005057AA" w:rsidRDefault="00173FB7" w:rsidP="00FA65FC">
            <w:pPr>
              <w:pStyle w:val="Header"/>
              <w:spacing w:before="80" w:after="80" w:line="240" w:lineRule="auto"/>
              <w:jc w:val="center"/>
              <w:rPr>
                <w:i/>
                <w:sz w:val="14"/>
                <w:szCs w:val="14"/>
              </w:rPr>
            </w:pPr>
          </w:p>
        </w:tc>
        <w:tc>
          <w:tcPr>
            <w:tcW w:w="2319" w:type="dxa"/>
            <w:shd w:val="clear" w:color="auto" w:fill="auto"/>
          </w:tcPr>
          <w:p w:rsidR="00173FB7" w:rsidRDefault="00173FB7" w:rsidP="00FA65FC">
            <w:pPr>
              <w:pStyle w:val="Header"/>
              <w:spacing w:before="80" w:after="80" w:line="240" w:lineRule="auto"/>
              <w:rPr>
                <w:rFonts w:cs="Arial"/>
                <w:sz w:val="14"/>
                <w:szCs w:val="14"/>
              </w:rPr>
            </w:pPr>
            <w:r>
              <w:rPr>
                <w:rFonts w:cs="Arial"/>
                <w:sz w:val="14"/>
                <w:szCs w:val="14"/>
              </w:rPr>
              <w:t>Sector</w:t>
            </w:r>
            <w:r w:rsidRPr="005057AA">
              <w:rPr>
                <w:rFonts w:cs="Arial"/>
                <w:sz w:val="14"/>
                <w:szCs w:val="14"/>
              </w:rPr>
              <w:t xml:space="preserve"> </w:t>
            </w:r>
            <w:r>
              <w:rPr>
                <w:rFonts w:cs="Arial"/>
                <w:sz w:val="14"/>
                <w:szCs w:val="14"/>
              </w:rPr>
              <w:t>do not</w:t>
            </w:r>
            <w:r w:rsidRPr="005057AA">
              <w:rPr>
                <w:rFonts w:cs="Arial"/>
                <w:sz w:val="14"/>
                <w:szCs w:val="14"/>
              </w:rPr>
              <w:t xml:space="preserve"> consider </w:t>
            </w:r>
            <w:r>
              <w:rPr>
                <w:rFonts w:cs="Arial"/>
                <w:sz w:val="14"/>
                <w:szCs w:val="14"/>
              </w:rPr>
              <w:t xml:space="preserve">input from Gender </w:t>
            </w:r>
            <w:r w:rsidR="00334F07">
              <w:rPr>
                <w:rFonts w:cs="Arial"/>
                <w:sz w:val="14"/>
                <w:szCs w:val="14"/>
              </w:rPr>
              <w:t>M</w:t>
            </w:r>
            <w:r>
              <w:rPr>
                <w:rFonts w:cs="Arial"/>
                <w:sz w:val="14"/>
                <w:szCs w:val="14"/>
              </w:rPr>
              <w:t xml:space="preserve">in during </w:t>
            </w:r>
            <w:proofErr w:type="spellStart"/>
            <w:r>
              <w:rPr>
                <w:rFonts w:cs="Arial"/>
                <w:sz w:val="14"/>
                <w:szCs w:val="14"/>
              </w:rPr>
              <w:t>dvlp</w:t>
            </w:r>
            <w:proofErr w:type="spellEnd"/>
            <w:r>
              <w:rPr>
                <w:rFonts w:cs="Arial"/>
                <w:sz w:val="14"/>
                <w:szCs w:val="14"/>
              </w:rPr>
              <w:t xml:space="preserve"> of</w:t>
            </w:r>
            <w:r w:rsidRPr="005057AA">
              <w:rPr>
                <w:rFonts w:cs="Arial"/>
                <w:sz w:val="14"/>
                <w:szCs w:val="14"/>
              </w:rPr>
              <w:t xml:space="preserve"> budget submission</w:t>
            </w:r>
          </w:p>
          <w:p w:rsidR="00173FB7" w:rsidRPr="005057AA" w:rsidRDefault="00173FB7" w:rsidP="00FA65FC">
            <w:pPr>
              <w:pStyle w:val="Header"/>
              <w:spacing w:before="80" w:after="80" w:line="240" w:lineRule="auto"/>
              <w:rPr>
                <w:i/>
                <w:sz w:val="14"/>
                <w:szCs w:val="14"/>
              </w:rPr>
            </w:pPr>
            <w:r>
              <w:rPr>
                <w:rFonts w:cs="Arial"/>
                <w:sz w:val="14"/>
                <w:szCs w:val="14"/>
              </w:rPr>
              <w:t>Baseline = 0</w:t>
            </w:r>
          </w:p>
        </w:tc>
        <w:tc>
          <w:tcPr>
            <w:tcW w:w="644" w:type="dxa"/>
          </w:tcPr>
          <w:p w:rsidR="00173FB7" w:rsidRPr="005057AA" w:rsidRDefault="00173FB7" w:rsidP="00FA65FC">
            <w:pPr>
              <w:pStyle w:val="Header"/>
              <w:spacing w:before="80" w:after="80" w:line="240" w:lineRule="auto"/>
              <w:rPr>
                <w:i/>
                <w:sz w:val="14"/>
                <w:szCs w:val="14"/>
              </w:rPr>
            </w:pPr>
            <w:r w:rsidRPr="005057AA">
              <w:rPr>
                <w:i/>
                <w:sz w:val="14"/>
                <w:szCs w:val="14"/>
              </w:rPr>
              <w:t>2019</w:t>
            </w:r>
          </w:p>
        </w:tc>
        <w:tc>
          <w:tcPr>
            <w:tcW w:w="1024" w:type="dxa"/>
          </w:tcPr>
          <w:p w:rsidR="00173FB7" w:rsidRPr="005057AA" w:rsidDel="00BD7C58" w:rsidRDefault="00173FB7" w:rsidP="00FA65FC">
            <w:pPr>
              <w:pStyle w:val="Header"/>
              <w:spacing w:before="80" w:after="80" w:line="240" w:lineRule="auto"/>
              <w:jc w:val="center"/>
              <w:rPr>
                <w:iCs/>
                <w:sz w:val="14"/>
                <w:szCs w:val="14"/>
              </w:rPr>
            </w:pPr>
            <w:r>
              <w:rPr>
                <w:iCs/>
                <w:sz w:val="14"/>
                <w:szCs w:val="14"/>
              </w:rPr>
              <w:t>3</w:t>
            </w:r>
          </w:p>
        </w:tc>
        <w:tc>
          <w:tcPr>
            <w:tcW w:w="978" w:type="dxa"/>
          </w:tcPr>
          <w:p w:rsidR="00173FB7" w:rsidRPr="005057AA" w:rsidDel="00BD7C58" w:rsidRDefault="00173FB7" w:rsidP="00FA65FC">
            <w:pPr>
              <w:pStyle w:val="Header"/>
              <w:spacing w:before="80" w:after="80" w:line="240" w:lineRule="auto"/>
              <w:jc w:val="center"/>
              <w:rPr>
                <w:sz w:val="14"/>
                <w:szCs w:val="14"/>
              </w:rPr>
            </w:pPr>
            <w:r>
              <w:rPr>
                <w:sz w:val="14"/>
                <w:szCs w:val="14"/>
              </w:rPr>
              <w:t>5</w:t>
            </w:r>
          </w:p>
        </w:tc>
        <w:tc>
          <w:tcPr>
            <w:tcW w:w="979" w:type="dxa"/>
          </w:tcPr>
          <w:p w:rsidR="00173FB7" w:rsidRPr="005057AA" w:rsidDel="00BD7C58" w:rsidRDefault="00173FB7" w:rsidP="00FA65FC">
            <w:pPr>
              <w:pStyle w:val="Header"/>
              <w:spacing w:before="80" w:after="80" w:line="240" w:lineRule="auto"/>
              <w:jc w:val="center"/>
              <w:rPr>
                <w:sz w:val="14"/>
                <w:szCs w:val="14"/>
              </w:rPr>
            </w:pPr>
            <w:r>
              <w:rPr>
                <w:sz w:val="14"/>
                <w:szCs w:val="14"/>
              </w:rPr>
              <w:t>7</w:t>
            </w:r>
          </w:p>
        </w:tc>
        <w:tc>
          <w:tcPr>
            <w:tcW w:w="978" w:type="dxa"/>
          </w:tcPr>
          <w:p w:rsidR="00173FB7" w:rsidRPr="005057AA" w:rsidDel="00BD7C58" w:rsidRDefault="00173FB7" w:rsidP="00FA65FC">
            <w:pPr>
              <w:pStyle w:val="Header"/>
              <w:spacing w:before="80" w:after="80" w:line="240" w:lineRule="auto"/>
              <w:jc w:val="center"/>
              <w:rPr>
                <w:sz w:val="14"/>
                <w:szCs w:val="14"/>
              </w:rPr>
            </w:pPr>
            <w:r>
              <w:rPr>
                <w:sz w:val="14"/>
                <w:szCs w:val="14"/>
              </w:rPr>
              <w:t>4</w:t>
            </w:r>
          </w:p>
        </w:tc>
        <w:tc>
          <w:tcPr>
            <w:tcW w:w="1379" w:type="dxa"/>
            <w:vMerge/>
            <w:shd w:val="clear" w:color="auto" w:fill="auto"/>
          </w:tcPr>
          <w:p w:rsidR="00173FB7" w:rsidRPr="005057AA" w:rsidDel="00BD7C58" w:rsidRDefault="00173FB7" w:rsidP="00FA65FC">
            <w:pPr>
              <w:spacing w:before="80" w:after="80" w:line="240" w:lineRule="auto"/>
              <w:rPr>
                <w:i/>
                <w:sz w:val="14"/>
                <w:szCs w:val="14"/>
              </w:rPr>
            </w:pPr>
          </w:p>
        </w:tc>
        <w:tc>
          <w:tcPr>
            <w:tcW w:w="927" w:type="dxa"/>
            <w:vMerge/>
            <w:shd w:val="clear" w:color="auto" w:fill="auto"/>
          </w:tcPr>
          <w:p w:rsidR="00173FB7" w:rsidRPr="005057AA" w:rsidRDefault="00173FB7" w:rsidP="00FA65FC">
            <w:pPr>
              <w:spacing w:before="80" w:after="80" w:line="240" w:lineRule="auto"/>
              <w:rPr>
                <w:i/>
                <w:sz w:val="14"/>
                <w:szCs w:val="14"/>
              </w:rPr>
            </w:pPr>
          </w:p>
        </w:tc>
      </w:tr>
      <w:tr w:rsidR="00173FB7" w:rsidRPr="00B16C3E" w:rsidTr="00056FEA">
        <w:trPr>
          <w:cantSplit/>
          <w:trHeight w:val="413"/>
          <w:jc w:val="center"/>
        </w:trPr>
        <w:tc>
          <w:tcPr>
            <w:tcW w:w="2344" w:type="dxa"/>
            <w:vMerge w:val="restart"/>
          </w:tcPr>
          <w:p w:rsidR="00173FB7" w:rsidRPr="005057AA" w:rsidRDefault="00173FB7" w:rsidP="00FA65FC">
            <w:pPr>
              <w:spacing w:before="80" w:after="80" w:line="240" w:lineRule="auto"/>
              <w:rPr>
                <w:b/>
                <w:sz w:val="14"/>
                <w:szCs w:val="14"/>
              </w:rPr>
            </w:pPr>
            <w:r w:rsidRPr="005057AA">
              <w:rPr>
                <w:b/>
                <w:sz w:val="14"/>
                <w:szCs w:val="14"/>
              </w:rPr>
              <w:t>Output 2.1</w:t>
            </w:r>
          </w:p>
          <w:p w:rsidR="00173FB7" w:rsidRPr="005057AA" w:rsidRDefault="00173FB7" w:rsidP="00FA65FC">
            <w:pPr>
              <w:spacing w:before="80" w:after="80" w:line="240" w:lineRule="auto"/>
              <w:rPr>
                <w:rFonts w:cs="Calibri"/>
                <w:bCs/>
                <w:sz w:val="14"/>
                <w:szCs w:val="14"/>
              </w:rPr>
            </w:pPr>
            <w:r w:rsidRPr="005057AA">
              <w:rPr>
                <w:rFonts w:cs="Calibri"/>
                <w:bCs/>
                <w:sz w:val="14"/>
                <w:szCs w:val="14"/>
                <w:lang w:val="en-US"/>
              </w:rPr>
              <w:t>There is risk informed, independent scrutiny of government</w:t>
            </w:r>
          </w:p>
          <w:p w:rsidR="00173FB7" w:rsidRPr="005057AA" w:rsidRDefault="00173FB7" w:rsidP="00FA65FC">
            <w:pPr>
              <w:spacing w:before="80" w:after="80" w:line="240" w:lineRule="auto"/>
              <w:rPr>
                <w:i/>
                <w:sz w:val="14"/>
                <w:szCs w:val="14"/>
              </w:rPr>
            </w:pPr>
          </w:p>
        </w:tc>
        <w:tc>
          <w:tcPr>
            <w:tcW w:w="2650" w:type="dxa"/>
          </w:tcPr>
          <w:p w:rsidR="00173FB7" w:rsidRPr="005057AA" w:rsidRDefault="00173FB7" w:rsidP="00FA65FC">
            <w:pPr>
              <w:spacing w:before="80" w:after="80" w:line="240" w:lineRule="auto"/>
              <w:rPr>
                <w:rFonts w:cs="Calibri"/>
                <w:bCs/>
                <w:sz w:val="14"/>
                <w:szCs w:val="14"/>
              </w:rPr>
            </w:pPr>
            <w:r w:rsidRPr="005057AA">
              <w:rPr>
                <w:rFonts w:cs="Calibri"/>
                <w:b/>
                <w:sz w:val="14"/>
                <w:szCs w:val="14"/>
              </w:rPr>
              <w:t>2.1.1</w:t>
            </w:r>
            <w:r w:rsidRPr="005057AA">
              <w:rPr>
                <w:rFonts w:cs="Calibri"/>
                <w:bCs/>
                <w:sz w:val="14"/>
                <w:szCs w:val="14"/>
              </w:rPr>
              <w:t xml:space="preserve"> </w:t>
            </w:r>
            <w:r>
              <w:rPr>
                <w:rFonts w:cs="Calibri"/>
                <w:bCs/>
                <w:sz w:val="14"/>
                <w:szCs w:val="14"/>
              </w:rPr>
              <w:t xml:space="preserve">Number of </w:t>
            </w:r>
            <w:r w:rsidRPr="005057AA">
              <w:rPr>
                <w:rFonts w:cs="Calibri"/>
                <w:bCs/>
                <w:sz w:val="14"/>
                <w:szCs w:val="14"/>
              </w:rPr>
              <w:t>Audit</w:t>
            </w:r>
            <w:r>
              <w:rPr>
                <w:rFonts w:cs="Calibri"/>
                <w:bCs/>
                <w:sz w:val="14"/>
                <w:szCs w:val="14"/>
              </w:rPr>
              <w:t xml:space="preserve"> reports which</w:t>
            </w:r>
            <w:r w:rsidRPr="005057AA">
              <w:rPr>
                <w:rFonts w:cs="Calibri"/>
                <w:bCs/>
                <w:sz w:val="14"/>
                <w:szCs w:val="14"/>
              </w:rPr>
              <w:t xml:space="preserve"> give increased attention to GS&amp;I CC&amp;D risk</w:t>
            </w:r>
          </w:p>
        </w:tc>
        <w:tc>
          <w:tcPr>
            <w:tcW w:w="0" w:type="auto"/>
          </w:tcPr>
          <w:p w:rsidR="00173FB7" w:rsidRPr="005057AA" w:rsidRDefault="00173FB7" w:rsidP="00FA65FC">
            <w:pPr>
              <w:pStyle w:val="Header"/>
              <w:spacing w:before="80" w:after="80" w:line="240" w:lineRule="auto"/>
              <w:rPr>
                <w:i/>
                <w:sz w:val="14"/>
                <w:szCs w:val="14"/>
              </w:rPr>
            </w:pPr>
            <w:r w:rsidRPr="005057AA">
              <w:rPr>
                <w:rFonts w:cs="Calibri"/>
                <w:bCs/>
                <w:sz w:val="14"/>
                <w:szCs w:val="14"/>
              </w:rPr>
              <w:t>Audit reports</w:t>
            </w:r>
          </w:p>
        </w:tc>
        <w:tc>
          <w:tcPr>
            <w:tcW w:w="2319" w:type="dxa"/>
            <w:shd w:val="clear" w:color="auto" w:fill="auto"/>
          </w:tcPr>
          <w:p w:rsidR="00173FB7" w:rsidRDefault="00173FB7" w:rsidP="00FA65FC">
            <w:pPr>
              <w:pStyle w:val="Header"/>
              <w:spacing w:before="80" w:after="80" w:line="240" w:lineRule="auto"/>
              <w:rPr>
                <w:rFonts w:cs="Arial"/>
                <w:sz w:val="14"/>
                <w:szCs w:val="14"/>
              </w:rPr>
            </w:pPr>
            <w:r>
              <w:rPr>
                <w:rFonts w:cs="Arial"/>
                <w:sz w:val="14"/>
                <w:szCs w:val="14"/>
              </w:rPr>
              <w:t>A</w:t>
            </w:r>
            <w:r w:rsidRPr="005057AA">
              <w:rPr>
                <w:rFonts w:cs="Arial"/>
                <w:sz w:val="14"/>
                <w:szCs w:val="14"/>
              </w:rPr>
              <w:t xml:space="preserve">udit </w:t>
            </w:r>
            <w:r>
              <w:rPr>
                <w:rFonts w:cs="Arial"/>
                <w:sz w:val="14"/>
                <w:szCs w:val="14"/>
              </w:rPr>
              <w:t>do not</w:t>
            </w:r>
            <w:r w:rsidRPr="005057AA">
              <w:rPr>
                <w:rFonts w:cs="Arial"/>
                <w:sz w:val="14"/>
                <w:szCs w:val="14"/>
              </w:rPr>
              <w:t xml:space="preserve"> consider RID</w:t>
            </w:r>
          </w:p>
          <w:p w:rsidR="00173FB7" w:rsidRPr="005057AA" w:rsidRDefault="00173FB7" w:rsidP="00FA65FC">
            <w:pPr>
              <w:pStyle w:val="Header"/>
              <w:spacing w:before="80" w:after="80" w:line="240" w:lineRule="auto"/>
              <w:rPr>
                <w:i/>
                <w:sz w:val="14"/>
                <w:szCs w:val="14"/>
              </w:rPr>
            </w:pPr>
            <w:r>
              <w:rPr>
                <w:rFonts w:cs="Arial"/>
                <w:sz w:val="14"/>
                <w:szCs w:val="14"/>
              </w:rPr>
              <w:t>Baseline = 0</w:t>
            </w:r>
          </w:p>
        </w:tc>
        <w:tc>
          <w:tcPr>
            <w:tcW w:w="644" w:type="dxa"/>
          </w:tcPr>
          <w:p w:rsidR="00173FB7" w:rsidRPr="005057AA" w:rsidRDefault="00173FB7" w:rsidP="00FA65FC">
            <w:pPr>
              <w:pStyle w:val="Header"/>
              <w:spacing w:before="80" w:after="80" w:line="240" w:lineRule="auto"/>
              <w:rPr>
                <w:i/>
                <w:sz w:val="14"/>
                <w:szCs w:val="14"/>
              </w:rPr>
            </w:pPr>
            <w:r w:rsidRPr="005057AA">
              <w:rPr>
                <w:i/>
                <w:sz w:val="14"/>
                <w:szCs w:val="14"/>
              </w:rPr>
              <w:t>2019</w:t>
            </w:r>
          </w:p>
        </w:tc>
        <w:tc>
          <w:tcPr>
            <w:tcW w:w="1024" w:type="dxa"/>
          </w:tcPr>
          <w:p w:rsidR="00173FB7" w:rsidRPr="005057AA" w:rsidDel="00BD7C58" w:rsidRDefault="00173FB7" w:rsidP="00FA65FC">
            <w:pPr>
              <w:pStyle w:val="Header"/>
              <w:spacing w:before="80" w:after="80" w:line="240" w:lineRule="auto"/>
              <w:jc w:val="center"/>
              <w:rPr>
                <w:iCs/>
                <w:sz w:val="14"/>
                <w:szCs w:val="14"/>
              </w:rPr>
            </w:pPr>
            <w:r>
              <w:rPr>
                <w:iCs/>
                <w:sz w:val="14"/>
                <w:szCs w:val="14"/>
              </w:rPr>
              <w:t>2</w:t>
            </w:r>
          </w:p>
        </w:tc>
        <w:tc>
          <w:tcPr>
            <w:tcW w:w="978" w:type="dxa"/>
          </w:tcPr>
          <w:p w:rsidR="00173FB7" w:rsidRPr="005057AA" w:rsidDel="00BD7C58" w:rsidRDefault="00173FB7" w:rsidP="00FA65FC">
            <w:pPr>
              <w:pStyle w:val="Header"/>
              <w:spacing w:before="80" w:after="80" w:line="240" w:lineRule="auto"/>
              <w:jc w:val="center"/>
              <w:rPr>
                <w:sz w:val="14"/>
                <w:szCs w:val="14"/>
              </w:rPr>
            </w:pPr>
            <w:r>
              <w:rPr>
                <w:sz w:val="14"/>
                <w:szCs w:val="14"/>
              </w:rPr>
              <w:t>5</w:t>
            </w:r>
          </w:p>
        </w:tc>
        <w:tc>
          <w:tcPr>
            <w:tcW w:w="979" w:type="dxa"/>
          </w:tcPr>
          <w:p w:rsidR="00173FB7" w:rsidRPr="005057AA" w:rsidDel="00BD7C58" w:rsidRDefault="00173FB7" w:rsidP="00FA65FC">
            <w:pPr>
              <w:pStyle w:val="Header"/>
              <w:spacing w:before="80" w:after="80" w:line="240" w:lineRule="auto"/>
              <w:jc w:val="center"/>
              <w:rPr>
                <w:sz w:val="14"/>
                <w:szCs w:val="14"/>
              </w:rPr>
            </w:pPr>
            <w:r>
              <w:rPr>
                <w:sz w:val="14"/>
                <w:szCs w:val="14"/>
              </w:rPr>
              <w:t>6</w:t>
            </w:r>
          </w:p>
        </w:tc>
        <w:tc>
          <w:tcPr>
            <w:tcW w:w="978" w:type="dxa"/>
          </w:tcPr>
          <w:p w:rsidR="00173FB7" w:rsidRPr="005057AA" w:rsidDel="00BD7C58" w:rsidRDefault="00173FB7" w:rsidP="00FA65FC">
            <w:pPr>
              <w:pStyle w:val="Header"/>
              <w:spacing w:before="80" w:after="80" w:line="240" w:lineRule="auto"/>
              <w:jc w:val="center"/>
              <w:rPr>
                <w:sz w:val="14"/>
                <w:szCs w:val="14"/>
              </w:rPr>
            </w:pPr>
            <w:r>
              <w:rPr>
                <w:sz w:val="14"/>
                <w:szCs w:val="14"/>
              </w:rPr>
              <w:t>4</w:t>
            </w:r>
          </w:p>
        </w:tc>
        <w:tc>
          <w:tcPr>
            <w:tcW w:w="1379" w:type="dxa"/>
            <w:vMerge w:val="restart"/>
            <w:shd w:val="clear" w:color="auto" w:fill="auto"/>
          </w:tcPr>
          <w:p w:rsidR="00173FB7" w:rsidRPr="005057AA" w:rsidRDefault="00173FB7" w:rsidP="00FA65FC">
            <w:pPr>
              <w:spacing w:before="80" w:after="80" w:line="240" w:lineRule="auto"/>
              <w:rPr>
                <w:iCs/>
                <w:sz w:val="14"/>
                <w:szCs w:val="14"/>
              </w:rPr>
            </w:pPr>
            <w:r w:rsidRPr="005057AA">
              <w:rPr>
                <w:iCs/>
                <w:sz w:val="14"/>
                <w:szCs w:val="14"/>
              </w:rPr>
              <w:t xml:space="preserve">Increase in adapted CCB scores for oversight and accountability systems requiring </w:t>
            </w:r>
            <w:r w:rsidR="00334F07" w:rsidRPr="005057AA">
              <w:rPr>
                <w:rFonts w:cs="Calibri"/>
                <w:sz w:val="14"/>
                <w:szCs w:val="14"/>
              </w:rPr>
              <w:t xml:space="preserve">gender </w:t>
            </w:r>
            <w:r w:rsidR="00334F07">
              <w:rPr>
                <w:rFonts w:cs="Calibri"/>
                <w:sz w:val="14"/>
                <w:szCs w:val="14"/>
              </w:rPr>
              <w:t xml:space="preserve">and socially </w:t>
            </w:r>
            <w:r w:rsidR="00334F07" w:rsidRPr="005057AA">
              <w:rPr>
                <w:rFonts w:cs="Calibri"/>
                <w:sz w:val="14"/>
                <w:szCs w:val="14"/>
              </w:rPr>
              <w:t>inclusive</w:t>
            </w:r>
            <w:r w:rsidR="00334F07" w:rsidRPr="005057AA">
              <w:rPr>
                <w:iCs/>
                <w:sz w:val="14"/>
                <w:szCs w:val="14"/>
              </w:rPr>
              <w:t xml:space="preserve"> </w:t>
            </w:r>
            <w:r w:rsidRPr="005057AA">
              <w:rPr>
                <w:iCs/>
                <w:sz w:val="14"/>
                <w:szCs w:val="14"/>
              </w:rPr>
              <w:t>risk informed development</w:t>
            </w:r>
          </w:p>
          <w:p w:rsidR="00173FB7" w:rsidRPr="005057AA" w:rsidRDefault="00173FB7" w:rsidP="00FA65FC">
            <w:pPr>
              <w:spacing w:before="80" w:after="80"/>
              <w:rPr>
                <w:rFonts w:cs="Calibri"/>
                <w:iCs/>
                <w:sz w:val="14"/>
                <w:szCs w:val="14"/>
                <w:lang w:eastAsia="en-US"/>
              </w:rPr>
            </w:pPr>
            <w:r w:rsidRPr="005057AA">
              <w:rPr>
                <w:rFonts w:cs="Calibri"/>
                <w:iCs/>
                <w:sz w:val="14"/>
                <w:szCs w:val="14"/>
              </w:rPr>
              <w:t>Progress towards sustained political economy change</w:t>
            </w:r>
          </w:p>
          <w:p w:rsidR="00173FB7" w:rsidRPr="005057AA" w:rsidDel="00BD7C58" w:rsidRDefault="00173FB7" w:rsidP="00FA65FC">
            <w:pPr>
              <w:spacing w:before="80" w:after="80" w:line="240" w:lineRule="auto"/>
              <w:rPr>
                <w:iCs/>
                <w:sz w:val="14"/>
                <w:szCs w:val="14"/>
              </w:rPr>
            </w:pPr>
          </w:p>
        </w:tc>
        <w:tc>
          <w:tcPr>
            <w:tcW w:w="927" w:type="dxa"/>
            <w:vMerge w:val="restart"/>
            <w:shd w:val="clear" w:color="auto" w:fill="auto"/>
          </w:tcPr>
          <w:p w:rsidR="00173FB7" w:rsidRPr="005057AA" w:rsidRDefault="00173FB7" w:rsidP="00FA65FC">
            <w:pPr>
              <w:spacing w:before="80" w:after="80" w:line="240" w:lineRule="auto"/>
              <w:rPr>
                <w:rFonts w:cs="Calibri"/>
                <w:bCs/>
                <w:sz w:val="14"/>
                <w:szCs w:val="14"/>
              </w:rPr>
            </w:pPr>
            <w:r w:rsidRPr="005057AA">
              <w:rPr>
                <w:rFonts w:cs="Calibri"/>
                <w:bCs/>
                <w:sz w:val="14"/>
                <w:szCs w:val="14"/>
              </w:rPr>
              <w:t>Analysis of reports</w:t>
            </w:r>
          </w:p>
          <w:p w:rsidR="00173FB7" w:rsidRPr="005057AA" w:rsidRDefault="00173FB7" w:rsidP="00FA65FC">
            <w:pPr>
              <w:spacing w:before="80" w:after="80" w:line="240" w:lineRule="auto"/>
              <w:rPr>
                <w:i/>
                <w:sz w:val="14"/>
                <w:szCs w:val="14"/>
              </w:rPr>
            </w:pPr>
            <w:r w:rsidRPr="005057AA">
              <w:rPr>
                <w:rFonts w:cs="Calibri"/>
                <w:bCs/>
                <w:sz w:val="14"/>
                <w:szCs w:val="14"/>
              </w:rPr>
              <w:t>PEA analysis</w:t>
            </w:r>
          </w:p>
        </w:tc>
      </w:tr>
      <w:tr w:rsidR="00173FB7" w:rsidRPr="00B16C3E" w:rsidTr="00056FEA">
        <w:trPr>
          <w:cantSplit/>
          <w:trHeight w:val="413"/>
          <w:jc w:val="center"/>
        </w:trPr>
        <w:tc>
          <w:tcPr>
            <w:tcW w:w="2344" w:type="dxa"/>
            <w:vMerge/>
          </w:tcPr>
          <w:p w:rsidR="00173FB7" w:rsidRPr="005057AA" w:rsidRDefault="00173FB7" w:rsidP="00FA65FC">
            <w:pPr>
              <w:spacing w:before="80" w:after="80" w:line="240" w:lineRule="auto"/>
              <w:rPr>
                <w:i/>
                <w:sz w:val="14"/>
                <w:szCs w:val="14"/>
              </w:rPr>
            </w:pPr>
          </w:p>
        </w:tc>
        <w:tc>
          <w:tcPr>
            <w:tcW w:w="2650" w:type="dxa"/>
          </w:tcPr>
          <w:p w:rsidR="00173FB7" w:rsidRPr="005057AA" w:rsidRDefault="00173FB7" w:rsidP="00FA65FC">
            <w:pPr>
              <w:spacing w:before="80" w:after="80" w:line="240" w:lineRule="auto"/>
              <w:rPr>
                <w:rFonts w:cs="Calibri"/>
                <w:bCs/>
                <w:sz w:val="14"/>
                <w:szCs w:val="14"/>
              </w:rPr>
            </w:pPr>
            <w:r w:rsidRPr="005057AA">
              <w:rPr>
                <w:rFonts w:cs="Calibri"/>
                <w:b/>
                <w:sz w:val="14"/>
                <w:szCs w:val="14"/>
              </w:rPr>
              <w:t>2.1.2</w:t>
            </w:r>
            <w:r w:rsidRPr="005057AA">
              <w:rPr>
                <w:rFonts w:cs="Calibri"/>
                <w:bCs/>
                <w:sz w:val="14"/>
                <w:szCs w:val="14"/>
              </w:rPr>
              <w:t xml:space="preserve"> </w:t>
            </w:r>
            <w:r>
              <w:rPr>
                <w:rFonts w:cs="Calibri"/>
                <w:bCs/>
                <w:sz w:val="14"/>
                <w:szCs w:val="14"/>
              </w:rPr>
              <w:t xml:space="preserve">Number of </w:t>
            </w:r>
            <w:r w:rsidRPr="005057AA">
              <w:rPr>
                <w:rFonts w:cs="Calibri"/>
                <w:bCs/>
                <w:sz w:val="14"/>
                <w:szCs w:val="14"/>
              </w:rPr>
              <w:t>Budget analys</w:t>
            </w:r>
            <w:r>
              <w:rPr>
                <w:rFonts w:cs="Calibri"/>
                <w:bCs/>
                <w:sz w:val="14"/>
                <w:szCs w:val="14"/>
              </w:rPr>
              <w:t>e</w:t>
            </w:r>
            <w:r w:rsidRPr="005057AA">
              <w:rPr>
                <w:rFonts w:cs="Calibri"/>
                <w:bCs/>
                <w:sz w:val="14"/>
                <w:szCs w:val="14"/>
              </w:rPr>
              <w:t xml:space="preserve">s and briefs </w:t>
            </w:r>
            <w:r>
              <w:rPr>
                <w:rFonts w:cs="Calibri"/>
                <w:bCs/>
                <w:sz w:val="14"/>
                <w:szCs w:val="14"/>
              </w:rPr>
              <w:t xml:space="preserve">which </w:t>
            </w:r>
            <w:r w:rsidRPr="005057AA">
              <w:rPr>
                <w:rFonts w:cs="Calibri"/>
                <w:bCs/>
                <w:sz w:val="14"/>
                <w:szCs w:val="14"/>
              </w:rPr>
              <w:t>include mature analysis of GS&amp;I CC&amp;D risk</w:t>
            </w:r>
          </w:p>
        </w:tc>
        <w:tc>
          <w:tcPr>
            <w:tcW w:w="0" w:type="auto"/>
          </w:tcPr>
          <w:p w:rsidR="00173FB7" w:rsidRPr="005057AA" w:rsidRDefault="00173FB7" w:rsidP="00FA65FC">
            <w:pPr>
              <w:pStyle w:val="Header"/>
              <w:spacing w:before="80" w:after="80" w:line="240" w:lineRule="auto"/>
              <w:rPr>
                <w:rFonts w:cs="Calibri"/>
                <w:bCs/>
                <w:sz w:val="14"/>
                <w:szCs w:val="14"/>
              </w:rPr>
            </w:pPr>
            <w:r w:rsidRPr="005057AA">
              <w:rPr>
                <w:rFonts w:cs="Calibri"/>
                <w:bCs/>
                <w:sz w:val="14"/>
                <w:szCs w:val="14"/>
              </w:rPr>
              <w:t>Budget reports</w:t>
            </w:r>
          </w:p>
          <w:p w:rsidR="00173FB7" w:rsidRPr="005057AA" w:rsidRDefault="00173FB7" w:rsidP="00FA65FC">
            <w:pPr>
              <w:pStyle w:val="Header"/>
              <w:spacing w:before="80" w:after="80" w:line="240" w:lineRule="auto"/>
              <w:rPr>
                <w:iCs/>
                <w:sz w:val="14"/>
                <w:szCs w:val="14"/>
              </w:rPr>
            </w:pPr>
            <w:r w:rsidRPr="005057AA">
              <w:rPr>
                <w:rFonts w:cs="Calibri"/>
                <w:bCs/>
                <w:iCs/>
                <w:sz w:val="14"/>
                <w:szCs w:val="14"/>
              </w:rPr>
              <w:t>Parliament reports</w:t>
            </w:r>
          </w:p>
        </w:tc>
        <w:tc>
          <w:tcPr>
            <w:tcW w:w="2319" w:type="dxa"/>
            <w:shd w:val="clear" w:color="auto" w:fill="auto"/>
          </w:tcPr>
          <w:p w:rsidR="00173FB7" w:rsidRDefault="00173FB7" w:rsidP="00FA65FC">
            <w:pPr>
              <w:pStyle w:val="Header"/>
              <w:spacing w:before="80" w:after="80" w:line="240" w:lineRule="auto"/>
              <w:rPr>
                <w:rFonts w:cs="Arial"/>
                <w:sz w:val="14"/>
                <w:szCs w:val="14"/>
              </w:rPr>
            </w:pPr>
            <w:r>
              <w:rPr>
                <w:rFonts w:cs="Arial"/>
                <w:sz w:val="14"/>
                <w:szCs w:val="14"/>
              </w:rPr>
              <w:t>B</w:t>
            </w:r>
            <w:r w:rsidRPr="005057AA">
              <w:rPr>
                <w:rFonts w:cs="Arial"/>
                <w:sz w:val="14"/>
                <w:szCs w:val="14"/>
              </w:rPr>
              <w:t xml:space="preserve">udget analysis parliament briefings </w:t>
            </w:r>
            <w:r>
              <w:rPr>
                <w:rFonts w:cs="Arial"/>
                <w:sz w:val="14"/>
                <w:szCs w:val="14"/>
              </w:rPr>
              <w:t>do not</w:t>
            </w:r>
            <w:r w:rsidRPr="005057AA">
              <w:rPr>
                <w:rFonts w:cs="Arial"/>
                <w:sz w:val="14"/>
                <w:szCs w:val="14"/>
              </w:rPr>
              <w:t xml:space="preserve"> consider RID</w:t>
            </w:r>
            <w:r>
              <w:rPr>
                <w:rFonts w:cs="Arial"/>
                <w:sz w:val="14"/>
                <w:szCs w:val="14"/>
              </w:rPr>
              <w:t xml:space="preserve"> </w:t>
            </w:r>
          </w:p>
          <w:p w:rsidR="00173FB7" w:rsidRPr="005057AA" w:rsidRDefault="00173FB7" w:rsidP="00FA65FC">
            <w:pPr>
              <w:pStyle w:val="Header"/>
              <w:spacing w:before="80" w:after="80" w:line="240" w:lineRule="auto"/>
              <w:rPr>
                <w:i/>
                <w:sz w:val="14"/>
                <w:szCs w:val="14"/>
              </w:rPr>
            </w:pPr>
            <w:r>
              <w:rPr>
                <w:rFonts w:cs="Arial"/>
                <w:sz w:val="14"/>
                <w:szCs w:val="14"/>
              </w:rPr>
              <w:t xml:space="preserve">Baseline = 0                                                                                     </w:t>
            </w:r>
          </w:p>
        </w:tc>
        <w:tc>
          <w:tcPr>
            <w:tcW w:w="644" w:type="dxa"/>
          </w:tcPr>
          <w:p w:rsidR="00173FB7" w:rsidRPr="005057AA" w:rsidRDefault="00173FB7" w:rsidP="00FA65FC">
            <w:pPr>
              <w:pStyle w:val="Header"/>
              <w:spacing w:before="80" w:after="80" w:line="240" w:lineRule="auto"/>
              <w:rPr>
                <w:i/>
                <w:sz w:val="14"/>
                <w:szCs w:val="14"/>
              </w:rPr>
            </w:pPr>
            <w:r w:rsidRPr="005057AA">
              <w:rPr>
                <w:i/>
                <w:sz w:val="14"/>
                <w:szCs w:val="14"/>
              </w:rPr>
              <w:t>2019</w:t>
            </w:r>
          </w:p>
        </w:tc>
        <w:tc>
          <w:tcPr>
            <w:tcW w:w="1024" w:type="dxa"/>
          </w:tcPr>
          <w:p w:rsidR="00173FB7" w:rsidRPr="005057AA" w:rsidDel="00BD7C58" w:rsidRDefault="00173FB7" w:rsidP="00FA65FC">
            <w:pPr>
              <w:pStyle w:val="Header"/>
              <w:spacing w:before="80" w:after="80" w:line="240" w:lineRule="auto"/>
              <w:jc w:val="center"/>
              <w:rPr>
                <w:iCs/>
                <w:sz w:val="14"/>
                <w:szCs w:val="14"/>
              </w:rPr>
            </w:pPr>
            <w:r>
              <w:rPr>
                <w:iCs/>
                <w:sz w:val="14"/>
                <w:szCs w:val="14"/>
              </w:rPr>
              <w:t>2</w:t>
            </w:r>
          </w:p>
        </w:tc>
        <w:tc>
          <w:tcPr>
            <w:tcW w:w="978" w:type="dxa"/>
          </w:tcPr>
          <w:p w:rsidR="00173FB7" w:rsidRPr="005057AA" w:rsidDel="00BD7C58" w:rsidRDefault="00173FB7" w:rsidP="00FA65FC">
            <w:pPr>
              <w:pStyle w:val="Header"/>
              <w:spacing w:before="80" w:after="80" w:line="240" w:lineRule="auto"/>
              <w:jc w:val="center"/>
              <w:rPr>
                <w:sz w:val="14"/>
                <w:szCs w:val="14"/>
              </w:rPr>
            </w:pPr>
            <w:r>
              <w:rPr>
                <w:sz w:val="14"/>
                <w:szCs w:val="14"/>
              </w:rPr>
              <w:t>5</w:t>
            </w:r>
          </w:p>
        </w:tc>
        <w:tc>
          <w:tcPr>
            <w:tcW w:w="979" w:type="dxa"/>
          </w:tcPr>
          <w:p w:rsidR="00173FB7" w:rsidRPr="005057AA" w:rsidDel="00BD7C58" w:rsidRDefault="00173FB7" w:rsidP="00FA65FC">
            <w:pPr>
              <w:pStyle w:val="Header"/>
              <w:spacing w:before="80" w:after="80" w:line="240" w:lineRule="auto"/>
              <w:jc w:val="center"/>
              <w:rPr>
                <w:sz w:val="14"/>
                <w:szCs w:val="14"/>
              </w:rPr>
            </w:pPr>
            <w:r>
              <w:rPr>
                <w:sz w:val="14"/>
                <w:szCs w:val="14"/>
              </w:rPr>
              <w:t>6</w:t>
            </w:r>
          </w:p>
        </w:tc>
        <w:tc>
          <w:tcPr>
            <w:tcW w:w="978" w:type="dxa"/>
          </w:tcPr>
          <w:p w:rsidR="00173FB7" w:rsidRPr="005057AA" w:rsidDel="00BD7C58" w:rsidRDefault="00173FB7" w:rsidP="00FA65FC">
            <w:pPr>
              <w:pStyle w:val="Header"/>
              <w:spacing w:before="80" w:after="80" w:line="240" w:lineRule="auto"/>
              <w:jc w:val="center"/>
              <w:rPr>
                <w:sz w:val="14"/>
                <w:szCs w:val="14"/>
              </w:rPr>
            </w:pPr>
            <w:r>
              <w:rPr>
                <w:sz w:val="14"/>
                <w:szCs w:val="14"/>
              </w:rPr>
              <w:t>4</w:t>
            </w:r>
          </w:p>
        </w:tc>
        <w:tc>
          <w:tcPr>
            <w:tcW w:w="1379" w:type="dxa"/>
            <w:vMerge/>
            <w:shd w:val="clear" w:color="auto" w:fill="auto"/>
          </w:tcPr>
          <w:p w:rsidR="00173FB7" w:rsidRPr="005057AA" w:rsidDel="00BD7C58" w:rsidRDefault="00173FB7" w:rsidP="00FA65FC">
            <w:pPr>
              <w:spacing w:before="80" w:after="80" w:line="240" w:lineRule="auto"/>
              <w:rPr>
                <w:i/>
                <w:sz w:val="14"/>
                <w:szCs w:val="14"/>
              </w:rPr>
            </w:pPr>
          </w:p>
        </w:tc>
        <w:tc>
          <w:tcPr>
            <w:tcW w:w="927" w:type="dxa"/>
            <w:vMerge/>
            <w:shd w:val="clear" w:color="auto" w:fill="auto"/>
          </w:tcPr>
          <w:p w:rsidR="00173FB7" w:rsidRPr="005057AA" w:rsidRDefault="00173FB7" w:rsidP="00FA65FC">
            <w:pPr>
              <w:spacing w:before="80" w:after="80" w:line="240" w:lineRule="auto"/>
              <w:rPr>
                <w:i/>
                <w:sz w:val="14"/>
                <w:szCs w:val="14"/>
              </w:rPr>
            </w:pPr>
          </w:p>
        </w:tc>
      </w:tr>
      <w:tr w:rsidR="00173FB7" w:rsidRPr="00B16C3E" w:rsidTr="00056FEA">
        <w:trPr>
          <w:cantSplit/>
          <w:trHeight w:val="413"/>
          <w:jc w:val="center"/>
        </w:trPr>
        <w:tc>
          <w:tcPr>
            <w:tcW w:w="2344" w:type="dxa"/>
            <w:vMerge w:val="restart"/>
          </w:tcPr>
          <w:p w:rsidR="00173FB7" w:rsidRPr="005057AA" w:rsidRDefault="00173FB7" w:rsidP="00FA65FC">
            <w:pPr>
              <w:spacing w:before="80" w:after="80" w:line="240" w:lineRule="auto"/>
              <w:rPr>
                <w:b/>
                <w:sz w:val="14"/>
                <w:szCs w:val="14"/>
              </w:rPr>
            </w:pPr>
            <w:r w:rsidRPr="005057AA">
              <w:rPr>
                <w:b/>
                <w:sz w:val="14"/>
                <w:szCs w:val="14"/>
              </w:rPr>
              <w:t>Output 2.2</w:t>
            </w:r>
          </w:p>
          <w:p w:rsidR="00173FB7" w:rsidRPr="005057AA" w:rsidRDefault="00173FB7" w:rsidP="00FA65FC">
            <w:pPr>
              <w:spacing w:before="80" w:after="80" w:line="240" w:lineRule="auto"/>
              <w:rPr>
                <w:i/>
                <w:sz w:val="14"/>
                <w:szCs w:val="14"/>
              </w:rPr>
            </w:pPr>
            <w:r w:rsidRPr="005057AA">
              <w:rPr>
                <w:rFonts w:cs="Calibri"/>
                <w:bCs/>
                <w:sz w:val="14"/>
                <w:szCs w:val="14"/>
                <w:lang w:val="en-US"/>
              </w:rPr>
              <w:t>There is risk informed engagement and scrutiny by civil society</w:t>
            </w:r>
          </w:p>
        </w:tc>
        <w:tc>
          <w:tcPr>
            <w:tcW w:w="2650" w:type="dxa"/>
          </w:tcPr>
          <w:p w:rsidR="00173FB7" w:rsidRPr="005057AA" w:rsidRDefault="00173FB7" w:rsidP="00FA65FC">
            <w:pPr>
              <w:spacing w:before="80" w:after="80" w:line="240" w:lineRule="auto"/>
              <w:rPr>
                <w:rFonts w:cs="Calibri"/>
                <w:bCs/>
                <w:sz w:val="14"/>
                <w:szCs w:val="14"/>
              </w:rPr>
            </w:pPr>
            <w:r w:rsidRPr="005057AA">
              <w:rPr>
                <w:rFonts w:cs="Calibri"/>
                <w:b/>
                <w:sz w:val="14"/>
                <w:szCs w:val="14"/>
              </w:rPr>
              <w:t>2.2.1</w:t>
            </w:r>
            <w:r w:rsidRPr="005057AA">
              <w:rPr>
                <w:rFonts w:cs="Calibri"/>
                <w:bCs/>
                <w:sz w:val="14"/>
                <w:szCs w:val="14"/>
              </w:rPr>
              <w:t xml:space="preserve"> </w:t>
            </w:r>
            <w:r>
              <w:rPr>
                <w:rFonts w:cs="Calibri"/>
                <w:bCs/>
                <w:sz w:val="14"/>
                <w:szCs w:val="14"/>
              </w:rPr>
              <w:t>N</w:t>
            </w:r>
            <w:r w:rsidRPr="005057AA">
              <w:rPr>
                <w:rFonts w:cs="Calibri"/>
                <w:bCs/>
                <w:sz w:val="14"/>
                <w:szCs w:val="14"/>
              </w:rPr>
              <w:t>umber of times there is public scrutiny of the GS&amp;I CC&amp;D risk inclusion in development investments</w:t>
            </w:r>
          </w:p>
        </w:tc>
        <w:tc>
          <w:tcPr>
            <w:tcW w:w="0" w:type="auto"/>
          </w:tcPr>
          <w:p w:rsidR="00173FB7" w:rsidRPr="005057AA" w:rsidRDefault="00173FB7" w:rsidP="00FA65FC">
            <w:pPr>
              <w:spacing w:before="80" w:after="80" w:line="240" w:lineRule="auto"/>
              <w:rPr>
                <w:rFonts w:cs="Calibri"/>
                <w:bCs/>
                <w:sz w:val="14"/>
                <w:szCs w:val="14"/>
              </w:rPr>
            </w:pPr>
            <w:r w:rsidRPr="005057AA">
              <w:rPr>
                <w:rFonts w:cs="Calibri"/>
                <w:bCs/>
                <w:sz w:val="14"/>
                <w:szCs w:val="14"/>
              </w:rPr>
              <w:t>Media reports</w:t>
            </w:r>
          </w:p>
          <w:p w:rsidR="00173FB7" w:rsidRPr="005057AA" w:rsidDel="00A84123" w:rsidRDefault="00173FB7" w:rsidP="00FA65FC">
            <w:pPr>
              <w:spacing w:before="80" w:after="80" w:line="240" w:lineRule="auto"/>
              <w:rPr>
                <w:rFonts w:cs="Calibri"/>
                <w:bCs/>
                <w:sz w:val="14"/>
                <w:szCs w:val="14"/>
              </w:rPr>
            </w:pPr>
          </w:p>
        </w:tc>
        <w:tc>
          <w:tcPr>
            <w:tcW w:w="2319" w:type="dxa"/>
            <w:shd w:val="clear" w:color="auto" w:fill="auto"/>
          </w:tcPr>
          <w:p w:rsidR="00173FB7" w:rsidRDefault="00173FB7" w:rsidP="00FA65FC">
            <w:pPr>
              <w:pStyle w:val="Header"/>
              <w:spacing w:before="80" w:after="80" w:line="240" w:lineRule="auto"/>
              <w:rPr>
                <w:rFonts w:cs="Arial"/>
                <w:sz w:val="14"/>
                <w:szCs w:val="14"/>
              </w:rPr>
            </w:pPr>
            <w:r>
              <w:rPr>
                <w:rFonts w:cs="Arial"/>
                <w:sz w:val="14"/>
                <w:szCs w:val="14"/>
              </w:rPr>
              <w:t>N</w:t>
            </w:r>
            <w:r w:rsidRPr="005057AA">
              <w:rPr>
                <w:rFonts w:cs="Arial"/>
                <w:sz w:val="14"/>
                <w:szCs w:val="14"/>
              </w:rPr>
              <w:t xml:space="preserve">o public scrutiny of RID in development investments </w:t>
            </w:r>
          </w:p>
          <w:p w:rsidR="00173FB7" w:rsidRPr="005057AA" w:rsidRDefault="00173FB7" w:rsidP="00FA65FC">
            <w:pPr>
              <w:pStyle w:val="Header"/>
              <w:spacing w:before="80" w:after="80" w:line="240" w:lineRule="auto"/>
              <w:rPr>
                <w:i/>
                <w:sz w:val="14"/>
                <w:szCs w:val="14"/>
              </w:rPr>
            </w:pPr>
            <w:r>
              <w:rPr>
                <w:rFonts w:cs="Arial"/>
                <w:sz w:val="14"/>
                <w:szCs w:val="14"/>
              </w:rPr>
              <w:t xml:space="preserve">Baseline = 0                                                                                     </w:t>
            </w:r>
          </w:p>
        </w:tc>
        <w:tc>
          <w:tcPr>
            <w:tcW w:w="644" w:type="dxa"/>
          </w:tcPr>
          <w:p w:rsidR="00173FB7" w:rsidRPr="005057AA" w:rsidRDefault="00173FB7" w:rsidP="00FA65FC">
            <w:pPr>
              <w:pStyle w:val="Header"/>
              <w:spacing w:before="80" w:after="80" w:line="240" w:lineRule="auto"/>
              <w:rPr>
                <w:i/>
                <w:sz w:val="14"/>
                <w:szCs w:val="14"/>
              </w:rPr>
            </w:pPr>
            <w:r w:rsidRPr="005057AA">
              <w:rPr>
                <w:i/>
                <w:sz w:val="14"/>
                <w:szCs w:val="14"/>
              </w:rPr>
              <w:t>2019</w:t>
            </w:r>
          </w:p>
        </w:tc>
        <w:tc>
          <w:tcPr>
            <w:tcW w:w="1024" w:type="dxa"/>
          </w:tcPr>
          <w:p w:rsidR="00173FB7" w:rsidRPr="005057AA" w:rsidDel="00BD7C58" w:rsidRDefault="00173FB7" w:rsidP="00FA65FC">
            <w:pPr>
              <w:pStyle w:val="Header"/>
              <w:spacing w:before="80" w:after="80" w:line="240" w:lineRule="auto"/>
              <w:jc w:val="center"/>
              <w:rPr>
                <w:iCs/>
                <w:sz w:val="14"/>
                <w:szCs w:val="14"/>
              </w:rPr>
            </w:pPr>
            <w:r>
              <w:rPr>
                <w:iCs/>
                <w:sz w:val="14"/>
                <w:szCs w:val="14"/>
              </w:rPr>
              <w:t>2</w:t>
            </w:r>
          </w:p>
        </w:tc>
        <w:tc>
          <w:tcPr>
            <w:tcW w:w="978" w:type="dxa"/>
          </w:tcPr>
          <w:p w:rsidR="00173FB7" w:rsidRPr="005057AA" w:rsidDel="00BD7C58" w:rsidRDefault="00173FB7" w:rsidP="00FA65FC">
            <w:pPr>
              <w:pStyle w:val="Header"/>
              <w:spacing w:before="80" w:after="80" w:line="240" w:lineRule="auto"/>
              <w:jc w:val="center"/>
              <w:rPr>
                <w:sz w:val="14"/>
                <w:szCs w:val="14"/>
              </w:rPr>
            </w:pPr>
            <w:r>
              <w:rPr>
                <w:sz w:val="14"/>
                <w:szCs w:val="14"/>
              </w:rPr>
              <w:t>3</w:t>
            </w:r>
          </w:p>
        </w:tc>
        <w:tc>
          <w:tcPr>
            <w:tcW w:w="979" w:type="dxa"/>
          </w:tcPr>
          <w:p w:rsidR="00173FB7" w:rsidRPr="005057AA" w:rsidDel="00BD7C58" w:rsidRDefault="00173FB7" w:rsidP="00FA65FC">
            <w:pPr>
              <w:pStyle w:val="Header"/>
              <w:spacing w:before="80" w:after="80" w:line="240" w:lineRule="auto"/>
              <w:jc w:val="center"/>
              <w:rPr>
                <w:sz w:val="14"/>
                <w:szCs w:val="14"/>
              </w:rPr>
            </w:pPr>
            <w:r>
              <w:rPr>
                <w:sz w:val="14"/>
                <w:szCs w:val="14"/>
              </w:rPr>
              <w:t>3</w:t>
            </w:r>
          </w:p>
        </w:tc>
        <w:tc>
          <w:tcPr>
            <w:tcW w:w="978" w:type="dxa"/>
          </w:tcPr>
          <w:p w:rsidR="00173FB7" w:rsidRPr="005057AA" w:rsidDel="00BD7C58" w:rsidRDefault="00173FB7" w:rsidP="00FA65FC">
            <w:pPr>
              <w:pStyle w:val="Header"/>
              <w:spacing w:before="80" w:after="80" w:line="240" w:lineRule="auto"/>
              <w:jc w:val="center"/>
              <w:rPr>
                <w:sz w:val="14"/>
                <w:szCs w:val="14"/>
              </w:rPr>
            </w:pPr>
            <w:r>
              <w:rPr>
                <w:sz w:val="14"/>
                <w:szCs w:val="14"/>
              </w:rPr>
              <w:t>4</w:t>
            </w:r>
          </w:p>
        </w:tc>
        <w:tc>
          <w:tcPr>
            <w:tcW w:w="1379" w:type="dxa"/>
            <w:vMerge/>
            <w:shd w:val="clear" w:color="auto" w:fill="auto"/>
          </w:tcPr>
          <w:p w:rsidR="00173FB7" w:rsidRPr="005057AA" w:rsidDel="00BD7C58" w:rsidRDefault="00173FB7" w:rsidP="00FA65FC">
            <w:pPr>
              <w:spacing w:before="80" w:after="80" w:line="240" w:lineRule="auto"/>
              <w:rPr>
                <w:i/>
                <w:sz w:val="14"/>
                <w:szCs w:val="14"/>
              </w:rPr>
            </w:pPr>
          </w:p>
        </w:tc>
        <w:tc>
          <w:tcPr>
            <w:tcW w:w="927" w:type="dxa"/>
            <w:vMerge w:val="restart"/>
            <w:shd w:val="clear" w:color="auto" w:fill="auto"/>
          </w:tcPr>
          <w:p w:rsidR="00173FB7" w:rsidRPr="005057AA" w:rsidRDefault="00173FB7" w:rsidP="00FA65FC">
            <w:pPr>
              <w:spacing w:before="80" w:after="80" w:line="240" w:lineRule="auto"/>
              <w:rPr>
                <w:rFonts w:cs="Calibri"/>
                <w:bCs/>
                <w:sz w:val="14"/>
                <w:szCs w:val="14"/>
              </w:rPr>
            </w:pPr>
            <w:r w:rsidRPr="005057AA">
              <w:rPr>
                <w:rFonts w:cs="Calibri"/>
                <w:bCs/>
                <w:sz w:val="14"/>
                <w:szCs w:val="14"/>
              </w:rPr>
              <w:t>Media analysis</w:t>
            </w:r>
          </w:p>
          <w:p w:rsidR="00173FB7" w:rsidRPr="005057AA" w:rsidRDefault="00173FB7" w:rsidP="00FA65FC">
            <w:pPr>
              <w:spacing w:before="80" w:after="80" w:line="240" w:lineRule="auto"/>
              <w:rPr>
                <w:rFonts w:cs="Calibri"/>
                <w:bCs/>
                <w:sz w:val="14"/>
                <w:szCs w:val="14"/>
              </w:rPr>
            </w:pPr>
            <w:r w:rsidRPr="005057AA">
              <w:rPr>
                <w:rFonts w:cs="Calibri"/>
                <w:bCs/>
                <w:sz w:val="14"/>
                <w:szCs w:val="14"/>
              </w:rPr>
              <w:t xml:space="preserve">Interviews with CSO </w:t>
            </w:r>
          </w:p>
          <w:p w:rsidR="00173FB7" w:rsidRPr="005057AA" w:rsidRDefault="00173FB7" w:rsidP="00FA65FC">
            <w:pPr>
              <w:spacing w:before="80" w:after="80" w:line="240" w:lineRule="auto"/>
              <w:rPr>
                <w:i/>
                <w:sz w:val="14"/>
                <w:szCs w:val="14"/>
              </w:rPr>
            </w:pPr>
          </w:p>
        </w:tc>
      </w:tr>
      <w:tr w:rsidR="00173FB7" w:rsidRPr="00B16C3E" w:rsidTr="00056FEA">
        <w:trPr>
          <w:cantSplit/>
          <w:trHeight w:val="413"/>
          <w:jc w:val="center"/>
        </w:trPr>
        <w:tc>
          <w:tcPr>
            <w:tcW w:w="2344" w:type="dxa"/>
            <w:vMerge/>
          </w:tcPr>
          <w:p w:rsidR="00173FB7" w:rsidRPr="005057AA" w:rsidRDefault="00173FB7" w:rsidP="00FA65FC">
            <w:pPr>
              <w:spacing w:before="80" w:after="80" w:line="240" w:lineRule="auto"/>
              <w:rPr>
                <w:i/>
                <w:sz w:val="14"/>
                <w:szCs w:val="14"/>
              </w:rPr>
            </w:pPr>
          </w:p>
        </w:tc>
        <w:tc>
          <w:tcPr>
            <w:tcW w:w="2650" w:type="dxa"/>
          </w:tcPr>
          <w:p w:rsidR="00173FB7" w:rsidRPr="005057AA" w:rsidRDefault="00173FB7" w:rsidP="00FA65FC">
            <w:pPr>
              <w:spacing w:before="80" w:after="80" w:line="240" w:lineRule="auto"/>
              <w:rPr>
                <w:rFonts w:cs="Calibri"/>
                <w:bCs/>
                <w:sz w:val="14"/>
                <w:szCs w:val="14"/>
              </w:rPr>
            </w:pPr>
            <w:r w:rsidRPr="005057AA">
              <w:rPr>
                <w:rFonts w:cs="Calibri"/>
                <w:b/>
                <w:sz w:val="14"/>
                <w:szCs w:val="14"/>
              </w:rPr>
              <w:t>2.2.2</w:t>
            </w:r>
            <w:r w:rsidRPr="005057AA">
              <w:rPr>
                <w:rFonts w:cs="Calibri"/>
                <w:bCs/>
                <w:sz w:val="14"/>
                <w:szCs w:val="14"/>
              </w:rPr>
              <w:t xml:space="preserve"> </w:t>
            </w:r>
            <w:r>
              <w:rPr>
                <w:rFonts w:cs="Calibri"/>
                <w:bCs/>
                <w:sz w:val="14"/>
                <w:szCs w:val="14"/>
              </w:rPr>
              <w:t>Number of times</w:t>
            </w:r>
            <w:r w:rsidRPr="005057AA">
              <w:rPr>
                <w:rFonts w:cs="Calibri"/>
                <w:bCs/>
                <w:sz w:val="14"/>
                <w:szCs w:val="14"/>
              </w:rPr>
              <w:t xml:space="preserve"> CSO</w:t>
            </w:r>
            <w:r>
              <w:rPr>
                <w:rFonts w:cs="Calibri"/>
                <w:bCs/>
                <w:sz w:val="14"/>
                <w:szCs w:val="14"/>
              </w:rPr>
              <w:t xml:space="preserve"> are engaged</w:t>
            </w:r>
            <w:r w:rsidRPr="005057AA">
              <w:rPr>
                <w:rFonts w:cs="Calibri"/>
                <w:bCs/>
                <w:sz w:val="14"/>
                <w:szCs w:val="14"/>
              </w:rPr>
              <w:t>, particularly women’s organisations, in scrutiny of development investments</w:t>
            </w:r>
          </w:p>
        </w:tc>
        <w:tc>
          <w:tcPr>
            <w:tcW w:w="0" w:type="auto"/>
          </w:tcPr>
          <w:p w:rsidR="00173FB7" w:rsidRPr="005057AA" w:rsidDel="00A84123" w:rsidRDefault="00173FB7" w:rsidP="00FA65FC">
            <w:pPr>
              <w:spacing w:before="80" w:after="80" w:line="240" w:lineRule="auto"/>
              <w:rPr>
                <w:rFonts w:cs="Calibri"/>
                <w:bCs/>
                <w:sz w:val="14"/>
                <w:szCs w:val="14"/>
              </w:rPr>
            </w:pPr>
            <w:r w:rsidRPr="005057AA">
              <w:rPr>
                <w:rFonts w:cs="Calibri"/>
                <w:bCs/>
                <w:sz w:val="14"/>
                <w:szCs w:val="14"/>
              </w:rPr>
              <w:t>CSO reporting</w:t>
            </w:r>
          </w:p>
        </w:tc>
        <w:tc>
          <w:tcPr>
            <w:tcW w:w="2319" w:type="dxa"/>
            <w:shd w:val="clear" w:color="auto" w:fill="auto"/>
          </w:tcPr>
          <w:p w:rsidR="00173FB7" w:rsidRDefault="00173FB7" w:rsidP="00FA65FC">
            <w:pPr>
              <w:pStyle w:val="Header"/>
              <w:spacing w:before="80" w:after="80" w:line="240" w:lineRule="auto"/>
              <w:rPr>
                <w:rFonts w:cs="Arial"/>
                <w:sz w:val="14"/>
                <w:szCs w:val="14"/>
              </w:rPr>
            </w:pPr>
            <w:r>
              <w:rPr>
                <w:rFonts w:cs="Arial"/>
                <w:sz w:val="14"/>
                <w:szCs w:val="14"/>
              </w:rPr>
              <w:t>No</w:t>
            </w:r>
            <w:r w:rsidRPr="005057AA">
              <w:rPr>
                <w:rFonts w:cs="Arial"/>
                <w:sz w:val="14"/>
                <w:szCs w:val="14"/>
              </w:rPr>
              <w:t xml:space="preserve"> engagement of civil society on RID</w:t>
            </w:r>
          </w:p>
          <w:p w:rsidR="00173FB7" w:rsidRPr="005057AA" w:rsidRDefault="00173FB7" w:rsidP="00FA65FC">
            <w:pPr>
              <w:pStyle w:val="Header"/>
              <w:spacing w:before="80" w:after="80" w:line="240" w:lineRule="auto"/>
              <w:rPr>
                <w:i/>
                <w:sz w:val="14"/>
                <w:szCs w:val="14"/>
              </w:rPr>
            </w:pPr>
            <w:r>
              <w:rPr>
                <w:rFonts w:cs="Arial"/>
                <w:sz w:val="14"/>
                <w:szCs w:val="14"/>
              </w:rPr>
              <w:t xml:space="preserve">Baseline = 0                                                                                     </w:t>
            </w:r>
          </w:p>
        </w:tc>
        <w:tc>
          <w:tcPr>
            <w:tcW w:w="644" w:type="dxa"/>
          </w:tcPr>
          <w:p w:rsidR="00173FB7" w:rsidRPr="005057AA" w:rsidRDefault="00173FB7" w:rsidP="00FA65FC">
            <w:pPr>
              <w:pStyle w:val="Header"/>
              <w:spacing w:before="80" w:after="80" w:line="240" w:lineRule="auto"/>
              <w:rPr>
                <w:i/>
                <w:sz w:val="14"/>
                <w:szCs w:val="14"/>
              </w:rPr>
            </w:pPr>
            <w:r w:rsidRPr="005057AA">
              <w:rPr>
                <w:i/>
                <w:sz w:val="14"/>
                <w:szCs w:val="14"/>
              </w:rPr>
              <w:t>2019</w:t>
            </w:r>
          </w:p>
        </w:tc>
        <w:tc>
          <w:tcPr>
            <w:tcW w:w="1024" w:type="dxa"/>
          </w:tcPr>
          <w:p w:rsidR="00173FB7" w:rsidRPr="005057AA" w:rsidDel="00BD7C58" w:rsidRDefault="00173FB7" w:rsidP="00FA65FC">
            <w:pPr>
              <w:pStyle w:val="Header"/>
              <w:spacing w:before="80" w:after="80" w:line="240" w:lineRule="auto"/>
              <w:jc w:val="center"/>
              <w:rPr>
                <w:iCs/>
                <w:sz w:val="14"/>
                <w:szCs w:val="14"/>
              </w:rPr>
            </w:pPr>
            <w:r>
              <w:rPr>
                <w:iCs/>
                <w:sz w:val="14"/>
                <w:szCs w:val="14"/>
              </w:rPr>
              <w:t>2</w:t>
            </w:r>
          </w:p>
        </w:tc>
        <w:tc>
          <w:tcPr>
            <w:tcW w:w="978" w:type="dxa"/>
          </w:tcPr>
          <w:p w:rsidR="00173FB7" w:rsidRPr="005057AA" w:rsidDel="00BD7C58" w:rsidRDefault="00173FB7" w:rsidP="00FA65FC">
            <w:pPr>
              <w:pStyle w:val="Header"/>
              <w:spacing w:before="80" w:after="80" w:line="240" w:lineRule="auto"/>
              <w:jc w:val="center"/>
              <w:rPr>
                <w:sz w:val="14"/>
                <w:szCs w:val="14"/>
              </w:rPr>
            </w:pPr>
            <w:r>
              <w:rPr>
                <w:sz w:val="14"/>
                <w:szCs w:val="14"/>
              </w:rPr>
              <w:t>3</w:t>
            </w:r>
          </w:p>
        </w:tc>
        <w:tc>
          <w:tcPr>
            <w:tcW w:w="979" w:type="dxa"/>
          </w:tcPr>
          <w:p w:rsidR="00173FB7" w:rsidRPr="005057AA" w:rsidDel="00BD7C58" w:rsidRDefault="00173FB7" w:rsidP="00FA65FC">
            <w:pPr>
              <w:pStyle w:val="Header"/>
              <w:spacing w:before="80" w:after="80" w:line="240" w:lineRule="auto"/>
              <w:jc w:val="center"/>
              <w:rPr>
                <w:sz w:val="14"/>
                <w:szCs w:val="14"/>
              </w:rPr>
            </w:pPr>
            <w:r>
              <w:rPr>
                <w:sz w:val="14"/>
                <w:szCs w:val="14"/>
              </w:rPr>
              <w:t>3</w:t>
            </w:r>
          </w:p>
        </w:tc>
        <w:tc>
          <w:tcPr>
            <w:tcW w:w="978" w:type="dxa"/>
          </w:tcPr>
          <w:p w:rsidR="00173FB7" w:rsidRPr="005057AA" w:rsidDel="00BD7C58" w:rsidRDefault="00173FB7" w:rsidP="00FA65FC">
            <w:pPr>
              <w:pStyle w:val="Header"/>
              <w:spacing w:before="80" w:after="80" w:line="240" w:lineRule="auto"/>
              <w:jc w:val="center"/>
              <w:rPr>
                <w:sz w:val="14"/>
                <w:szCs w:val="14"/>
              </w:rPr>
            </w:pPr>
            <w:r>
              <w:rPr>
                <w:sz w:val="14"/>
                <w:szCs w:val="14"/>
              </w:rPr>
              <w:t>2</w:t>
            </w:r>
          </w:p>
        </w:tc>
        <w:tc>
          <w:tcPr>
            <w:tcW w:w="1379" w:type="dxa"/>
            <w:vMerge/>
            <w:shd w:val="clear" w:color="auto" w:fill="auto"/>
          </w:tcPr>
          <w:p w:rsidR="00173FB7" w:rsidRPr="005057AA" w:rsidDel="00BD7C58" w:rsidRDefault="00173FB7" w:rsidP="00FA65FC">
            <w:pPr>
              <w:spacing w:before="80" w:after="80" w:line="240" w:lineRule="auto"/>
              <w:rPr>
                <w:i/>
                <w:sz w:val="14"/>
                <w:szCs w:val="14"/>
              </w:rPr>
            </w:pPr>
          </w:p>
        </w:tc>
        <w:tc>
          <w:tcPr>
            <w:tcW w:w="927" w:type="dxa"/>
            <w:vMerge/>
            <w:shd w:val="clear" w:color="auto" w:fill="auto"/>
          </w:tcPr>
          <w:p w:rsidR="00173FB7" w:rsidRPr="005057AA" w:rsidRDefault="00173FB7" w:rsidP="00FA65FC">
            <w:pPr>
              <w:spacing w:before="80" w:after="80" w:line="240" w:lineRule="auto"/>
              <w:rPr>
                <w:i/>
                <w:sz w:val="14"/>
                <w:szCs w:val="14"/>
              </w:rPr>
            </w:pPr>
          </w:p>
        </w:tc>
      </w:tr>
      <w:tr w:rsidR="00173FB7" w:rsidRPr="00B16C3E" w:rsidTr="00056FEA">
        <w:trPr>
          <w:cantSplit/>
          <w:trHeight w:val="1124"/>
          <w:jc w:val="center"/>
        </w:trPr>
        <w:tc>
          <w:tcPr>
            <w:tcW w:w="2344" w:type="dxa"/>
          </w:tcPr>
          <w:p w:rsidR="00173FB7" w:rsidRPr="005057AA" w:rsidRDefault="00173FB7" w:rsidP="00FA65FC">
            <w:pPr>
              <w:spacing w:before="80" w:after="80" w:line="240" w:lineRule="auto"/>
              <w:rPr>
                <w:b/>
                <w:sz w:val="14"/>
                <w:szCs w:val="14"/>
              </w:rPr>
            </w:pPr>
            <w:r w:rsidRPr="005057AA">
              <w:rPr>
                <w:b/>
                <w:sz w:val="14"/>
                <w:szCs w:val="14"/>
              </w:rPr>
              <w:t>Output 3.1</w:t>
            </w:r>
          </w:p>
          <w:p w:rsidR="00173FB7" w:rsidRPr="005057AA" w:rsidRDefault="00173FB7" w:rsidP="00FA65FC">
            <w:pPr>
              <w:spacing w:before="80" w:after="80" w:line="240" w:lineRule="auto"/>
              <w:rPr>
                <w:i/>
                <w:sz w:val="14"/>
                <w:szCs w:val="14"/>
              </w:rPr>
            </w:pPr>
            <w:r w:rsidRPr="005057AA">
              <w:rPr>
                <w:rFonts w:cs="Calibri"/>
                <w:bCs/>
                <w:sz w:val="14"/>
                <w:szCs w:val="14"/>
                <w:lang w:val="en-US"/>
              </w:rPr>
              <w:t>Countries are working collectively to influence other countries, regional actors and their own country systems and government</w:t>
            </w:r>
          </w:p>
        </w:tc>
        <w:tc>
          <w:tcPr>
            <w:tcW w:w="2650" w:type="dxa"/>
          </w:tcPr>
          <w:p w:rsidR="00173FB7" w:rsidRPr="005057AA" w:rsidRDefault="00173FB7" w:rsidP="00FA65FC">
            <w:pPr>
              <w:spacing w:before="80" w:after="80" w:line="240" w:lineRule="auto"/>
              <w:rPr>
                <w:b/>
                <w:i/>
                <w:sz w:val="14"/>
                <w:szCs w:val="14"/>
              </w:rPr>
            </w:pPr>
            <w:r w:rsidRPr="005057AA">
              <w:rPr>
                <w:rFonts w:cs="Calibri"/>
                <w:b/>
                <w:sz w:val="14"/>
                <w:szCs w:val="14"/>
              </w:rPr>
              <w:t>3.1.1</w:t>
            </w:r>
            <w:r w:rsidRPr="005057AA">
              <w:rPr>
                <w:rFonts w:cs="Calibri"/>
                <w:bCs/>
                <w:sz w:val="14"/>
                <w:szCs w:val="14"/>
              </w:rPr>
              <w:t xml:space="preserve"> </w:t>
            </w:r>
            <w:r>
              <w:rPr>
                <w:rFonts w:cs="Calibri"/>
                <w:bCs/>
                <w:sz w:val="14"/>
                <w:szCs w:val="14"/>
              </w:rPr>
              <w:t xml:space="preserve">Number </w:t>
            </w:r>
            <w:r w:rsidRPr="005057AA">
              <w:rPr>
                <w:rFonts w:cs="Calibri"/>
                <w:bCs/>
                <w:sz w:val="14"/>
                <w:szCs w:val="14"/>
              </w:rPr>
              <w:t xml:space="preserve">of actions and statements related to RID, not initiated by the </w:t>
            </w:r>
            <w:r w:rsidR="00253797">
              <w:rPr>
                <w:rFonts w:cs="Calibri"/>
                <w:bCs/>
                <w:sz w:val="14"/>
                <w:szCs w:val="14"/>
              </w:rPr>
              <w:t>project</w:t>
            </w:r>
            <w:r w:rsidRPr="005057AA">
              <w:rPr>
                <w:rFonts w:cs="Calibri"/>
                <w:bCs/>
                <w:sz w:val="14"/>
                <w:szCs w:val="14"/>
              </w:rPr>
              <w:t>, emerge from PI countries</w:t>
            </w:r>
          </w:p>
        </w:tc>
        <w:tc>
          <w:tcPr>
            <w:tcW w:w="0" w:type="auto"/>
          </w:tcPr>
          <w:p w:rsidR="00173FB7" w:rsidRPr="005057AA" w:rsidRDefault="00173FB7" w:rsidP="00FA65FC">
            <w:pPr>
              <w:pStyle w:val="Header"/>
              <w:spacing w:before="80" w:after="80" w:line="240" w:lineRule="auto"/>
              <w:rPr>
                <w:i/>
                <w:sz w:val="14"/>
                <w:szCs w:val="14"/>
              </w:rPr>
            </w:pPr>
            <w:r w:rsidRPr="005057AA">
              <w:rPr>
                <w:rFonts w:cs="Calibri"/>
                <w:bCs/>
                <w:sz w:val="14"/>
                <w:szCs w:val="14"/>
              </w:rPr>
              <w:t>Country policy papers and statements</w:t>
            </w:r>
          </w:p>
        </w:tc>
        <w:tc>
          <w:tcPr>
            <w:tcW w:w="2319" w:type="dxa"/>
            <w:shd w:val="clear" w:color="auto" w:fill="auto"/>
          </w:tcPr>
          <w:p w:rsidR="00173FB7" w:rsidRDefault="00173FB7" w:rsidP="00FA65FC">
            <w:pPr>
              <w:pStyle w:val="Header"/>
              <w:spacing w:before="80" w:after="80" w:line="240" w:lineRule="auto"/>
              <w:rPr>
                <w:rFonts w:cs="Arial"/>
                <w:sz w:val="14"/>
                <w:szCs w:val="14"/>
              </w:rPr>
            </w:pPr>
            <w:r>
              <w:rPr>
                <w:rFonts w:cs="Arial"/>
                <w:sz w:val="14"/>
                <w:szCs w:val="14"/>
              </w:rPr>
              <w:t>No</w:t>
            </w:r>
            <w:r w:rsidRPr="005057AA">
              <w:rPr>
                <w:rFonts w:cs="Arial"/>
                <w:sz w:val="14"/>
                <w:szCs w:val="14"/>
              </w:rPr>
              <w:t xml:space="preserve"> actions or statements on RID </w:t>
            </w:r>
          </w:p>
          <w:p w:rsidR="00173FB7" w:rsidRPr="005057AA" w:rsidRDefault="00173FB7" w:rsidP="00FA65FC">
            <w:pPr>
              <w:pStyle w:val="Header"/>
              <w:spacing w:before="80" w:after="80" w:line="240" w:lineRule="auto"/>
              <w:rPr>
                <w:i/>
                <w:sz w:val="14"/>
                <w:szCs w:val="14"/>
              </w:rPr>
            </w:pPr>
            <w:r>
              <w:rPr>
                <w:rFonts w:cs="Arial"/>
                <w:sz w:val="14"/>
                <w:szCs w:val="14"/>
              </w:rPr>
              <w:t xml:space="preserve">Baseline = 0                                                                                     </w:t>
            </w:r>
          </w:p>
        </w:tc>
        <w:tc>
          <w:tcPr>
            <w:tcW w:w="644" w:type="dxa"/>
          </w:tcPr>
          <w:p w:rsidR="00173FB7" w:rsidRPr="005057AA" w:rsidRDefault="00173FB7" w:rsidP="00FA65FC">
            <w:pPr>
              <w:pStyle w:val="Header"/>
              <w:spacing w:before="80" w:after="80" w:line="240" w:lineRule="auto"/>
              <w:rPr>
                <w:i/>
                <w:sz w:val="14"/>
                <w:szCs w:val="14"/>
              </w:rPr>
            </w:pPr>
            <w:r w:rsidRPr="005057AA">
              <w:rPr>
                <w:i/>
                <w:sz w:val="14"/>
                <w:szCs w:val="14"/>
              </w:rPr>
              <w:t>2019</w:t>
            </w:r>
          </w:p>
        </w:tc>
        <w:tc>
          <w:tcPr>
            <w:tcW w:w="1024" w:type="dxa"/>
          </w:tcPr>
          <w:p w:rsidR="00173FB7" w:rsidRPr="005057AA" w:rsidDel="00BD7C58" w:rsidRDefault="00173FB7" w:rsidP="00FA65FC">
            <w:pPr>
              <w:pStyle w:val="Header"/>
              <w:spacing w:before="80" w:after="80" w:line="240" w:lineRule="auto"/>
              <w:jc w:val="center"/>
              <w:rPr>
                <w:iCs/>
                <w:sz w:val="14"/>
                <w:szCs w:val="14"/>
              </w:rPr>
            </w:pPr>
            <w:r>
              <w:rPr>
                <w:iCs/>
                <w:sz w:val="14"/>
                <w:szCs w:val="14"/>
              </w:rPr>
              <w:t>3</w:t>
            </w:r>
          </w:p>
        </w:tc>
        <w:tc>
          <w:tcPr>
            <w:tcW w:w="978" w:type="dxa"/>
          </w:tcPr>
          <w:p w:rsidR="00173FB7" w:rsidRPr="005057AA" w:rsidDel="00BD7C58" w:rsidRDefault="00173FB7" w:rsidP="00FA65FC">
            <w:pPr>
              <w:pStyle w:val="Header"/>
              <w:spacing w:before="80" w:after="80" w:line="240" w:lineRule="auto"/>
              <w:jc w:val="center"/>
              <w:rPr>
                <w:sz w:val="14"/>
                <w:szCs w:val="14"/>
              </w:rPr>
            </w:pPr>
            <w:r>
              <w:rPr>
                <w:sz w:val="14"/>
                <w:szCs w:val="14"/>
              </w:rPr>
              <w:t>4</w:t>
            </w:r>
          </w:p>
        </w:tc>
        <w:tc>
          <w:tcPr>
            <w:tcW w:w="979" w:type="dxa"/>
          </w:tcPr>
          <w:p w:rsidR="00173FB7" w:rsidRPr="005057AA" w:rsidDel="00BD7C58" w:rsidRDefault="00173FB7" w:rsidP="00FA65FC">
            <w:pPr>
              <w:pStyle w:val="Header"/>
              <w:spacing w:before="80" w:after="80" w:line="240" w:lineRule="auto"/>
              <w:jc w:val="center"/>
              <w:rPr>
                <w:sz w:val="14"/>
                <w:szCs w:val="14"/>
              </w:rPr>
            </w:pPr>
            <w:r>
              <w:rPr>
                <w:sz w:val="14"/>
                <w:szCs w:val="14"/>
              </w:rPr>
              <w:t>6</w:t>
            </w:r>
          </w:p>
        </w:tc>
        <w:tc>
          <w:tcPr>
            <w:tcW w:w="978" w:type="dxa"/>
          </w:tcPr>
          <w:p w:rsidR="00173FB7" w:rsidRPr="005057AA" w:rsidDel="00BD7C58" w:rsidRDefault="00173FB7" w:rsidP="00FA65FC">
            <w:pPr>
              <w:pStyle w:val="Header"/>
              <w:spacing w:before="80" w:after="80" w:line="240" w:lineRule="auto"/>
              <w:jc w:val="center"/>
              <w:rPr>
                <w:sz w:val="14"/>
                <w:szCs w:val="14"/>
              </w:rPr>
            </w:pPr>
            <w:r>
              <w:rPr>
                <w:sz w:val="14"/>
                <w:szCs w:val="14"/>
              </w:rPr>
              <w:t>7</w:t>
            </w:r>
          </w:p>
        </w:tc>
        <w:tc>
          <w:tcPr>
            <w:tcW w:w="1379" w:type="dxa"/>
            <w:shd w:val="clear" w:color="auto" w:fill="auto"/>
          </w:tcPr>
          <w:p w:rsidR="00173FB7" w:rsidRPr="005057AA" w:rsidDel="00BD7C58" w:rsidRDefault="00173FB7" w:rsidP="00FA65FC">
            <w:pPr>
              <w:spacing w:before="80" w:after="80" w:line="240" w:lineRule="auto"/>
              <w:rPr>
                <w:i/>
                <w:sz w:val="14"/>
                <w:szCs w:val="14"/>
              </w:rPr>
            </w:pPr>
            <w:r w:rsidRPr="005057AA">
              <w:rPr>
                <w:rFonts w:cs="Calibri"/>
                <w:sz w:val="14"/>
                <w:szCs w:val="14"/>
              </w:rPr>
              <w:t>The narrative between regional agents and PI countries reflects GS&amp;I RID</w:t>
            </w:r>
          </w:p>
        </w:tc>
        <w:tc>
          <w:tcPr>
            <w:tcW w:w="927" w:type="dxa"/>
            <w:shd w:val="clear" w:color="auto" w:fill="auto"/>
          </w:tcPr>
          <w:p w:rsidR="00173FB7" w:rsidRPr="005057AA" w:rsidRDefault="00173FB7" w:rsidP="00FA65FC">
            <w:pPr>
              <w:spacing w:before="80" w:after="80" w:line="240" w:lineRule="auto"/>
              <w:rPr>
                <w:rFonts w:cs="Calibri"/>
                <w:bCs/>
                <w:sz w:val="14"/>
                <w:szCs w:val="14"/>
              </w:rPr>
            </w:pPr>
            <w:r w:rsidRPr="005057AA">
              <w:rPr>
                <w:rFonts w:cs="Calibri"/>
                <w:bCs/>
                <w:sz w:val="14"/>
                <w:szCs w:val="14"/>
              </w:rPr>
              <w:t>Policy analysis</w:t>
            </w:r>
          </w:p>
          <w:p w:rsidR="00173FB7" w:rsidRPr="005057AA" w:rsidRDefault="00173FB7" w:rsidP="00FA65FC">
            <w:pPr>
              <w:spacing w:before="80" w:after="80" w:line="240" w:lineRule="auto"/>
              <w:rPr>
                <w:i/>
                <w:sz w:val="14"/>
                <w:szCs w:val="14"/>
              </w:rPr>
            </w:pPr>
            <w:r>
              <w:rPr>
                <w:rFonts w:cs="Calibri"/>
                <w:bCs/>
                <w:sz w:val="14"/>
                <w:szCs w:val="14"/>
              </w:rPr>
              <w:t>I</w:t>
            </w:r>
            <w:r w:rsidRPr="005057AA">
              <w:rPr>
                <w:rFonts w:cs="Calibri"/>
                <w:bCs/>
                <w:sz w:val="14"/>
                <w:szCs w:val="14"/>
              </w:rPr>
              <w:t xml:space="preserve">nterviews </w:t>
            </w:r>
          </w:p>
        </w:tc>
      </w:tr>
      <w:tr w:rsidR="00173FB7" w:rsidRPr="00B16C3E" w:rsidTr="00056FEA">
        <w:trPr>
          <w:cantSplit/>
          <w:trHeight w:val="413"/>
          <w:jc w:val="center"/>
        </w:trPr>
        <w:tc>
          <w:tcPr>
            <w:tcW w:w="2344" w:type="dxa"/>
            <w:vMerge w:val="restart"/>
          </w:tcPr>
          <w:p w:rsidR="00173FB7" w:rsidRPr="005057AA" w:rsidRDefault="00173FB7" w:rsidP="00FA65FC">
            <w:pPr>
              <w:spacing w:before="80" w:after="80" w:line="240" w:lineRule="auto"/>
              <w:rPr>
                <w:b/>
                <w:sz w:val="14"/>
                <w:szCs w:val="14"/>
              </w:rPr>
            </w:pPr>
            <w:r w:rsidRPr="005057AA">
              <w:rPr>
                <w:b/>
                <w:sz w:val="14"/>
                <w:szCs w:val="14"/>
              </w:rPr>
              <w:t>Output 3.2</w:t>
            </w:r>
          </w:p>
          <w:p w:rsidR="00173FB7" w:rsidRPr="005057AA" w:rsidRDefault="00173FB7" w:rsidP="00FA65FC">
            <w:pPr>
              <w:spacing w:before="80" w:after="80" w:line="240" w:lineRule="auto"/>
              <w:rPr>
                <w:i/>
                <w:sz w:val="14"/>
                <w:szCs w:val="14"/>
              </w:rPr>
            </w:pPr>
            <w:r w:rsidRPr="005057AA">
              <w:rPr>
                <w:rFonts w:cs="Calibri"/>
                <w:bCs/>
                <w:sz w:val="14"/>
                <w:szCs w:val="14"/>
              </w:rPr>
              <w:t>Regional agents (CROP, donors, regional programmes) are cognizant of, equipped to and in some situations are leading on GS&amp;I RID</w:t>
            </w:r>
          </w:p>
        </w:tc>
        <w:tc>
          <w:tcPr>
            <w:tcW w:w="2650" w:type="dxa"/>
          </w:tcPr>
          <w:p w:rsidR="00173FB7" w:rsidRPr="005057AA" w:rsidRDefault="00173FB7" w:rsidP="00FA65FC">
            <w:pPr>
              <w:spacing w:before="80" w:after="80" w:line="240" w:lineRule="auto"/>
              <w:rPr>
                <w:rFonts w:cs="Calibri"/>
                <w:bCs/>
                <w:sz w:val="14"/>
                <w:szCs w:val="14"/>
              </w:rPr>
            </w:pPr>
            <w:r w:rsidRPr="005057AA">
              <w:rPr>
                <w:rFonts w:cs="Calibri"/>
                <w:b/>
                <w:sz w:val="14"/>
                <w:szCs w:val="14"/>
              </w:rPr>
              <w:t>3.2.1</w:t>
            </w:r>
            <w:r w:rsidRPr="005057AA">
              <w:rPr>
                <w:rFonts w:cs="Calibri"/>
                <w:bCs/>
                <w:sz w:val="14"/>
                <w:szCs w:val="14"/>
              </w:rPr>
              <w:t xml:space="preserve"> Regional agents report that they are promoting GS&amp;I RID</w:t>
            </w:r>
          </w:p>
        </w:tc>
        <w:tc>
          <w:tcPr>
            <w:tcW w:w="0" w:type="auto"/>
            <w:vMerge w:val="restart"/>
          </w:tcPr>
          <w:p w:rsidR="00173FB7" w:rsidRPr="005057AA" w:rsidRDefault="00173FB7" w:rsidP="00FA65FC">
            <w:pPr>
              <w:pStyle w:val="Header"/>
              <w:spacing w:before="80" w:after="80" w:line="240" w:lineRule="auto"/>
              <w:rPr>
                <w:i/>
                <w:sz w:val="14"/>
                <w:szCs w:val="14"/>
              </w:rPr>
            </w:pPr>
            <w:r w:rsidRPr="005057AA">
              <w:rPr>
                <w:rFonts w:cs="Calibri"/>
                <w:bCs/>
                <w:sz w:val="14"/>
                <w:szCs w:val="14"/>
              </w:rPr>
              <w:t>Regional agent reports</w:t>
            </w:r>
            <w:r>
              <w:rPr>
                <w:rFonts w:cs="Calibri"/>
                <w:bCs/>
                <w:sz w:val="14"/>
                <w:szCs w:val="14"/>
              </w:rPr>
              <w:t xml:space="preserve"> and statements</w:t>
            </w:r>
          </w:p>
        </w:tc>
        <w:tc>
          <w:tcPr>
            <w:tcW w:w="2319" w:type="dxa"/>
            <w:shd w:val="clear" w:color="auto" w:fill="auto"/>
          </w:tcPr>
          <w:p w:rsidR="00173FB7" w:rsidRDefault="00173FB7" w:rsidP="00FA65FC">
            <w:pPr>
              <w:pStyle w:val="Header"/>
              <w:spacing w:before="80" w:after="80" w:line="240" w:lineRule="auto"/>
              <w:rPr>
                <w:rFonts w:cs="Arial"/>
                <w:sz w:val="14"/>
                <w:szCs w:val="14"/>
              </w:rPr>
            </w:pPr>
            <w:r>
              <w:rPr>
                <w:rFonts w:cs="Arial"/>
                <w:sz w:val="14"/>
                <w:szCs w:val="14"/>
              </w:rPr>
              <w:t>R</w:t>
            </w:r>
            <w:r w:rsidRPr="005057AA">
              <w:rPr>
                <w:rFonts w:cs="Arial"/>
                <w:sz w:val="14"/>
                <w:szCs w:val="14"/>
              </w:rPr>
              <w:t>egional partners not promoting RID</w:t>
            </w:r>
          </w:p>
          <w:p w:rsidR="00173FB7" w:rsidRPr="005057AA" w:rsidRDefault="00173FB7" w:rsidP="00FA65FC">
            <w:pPr>
              <w:pStyle w:val="Header"/>
              <w:spacing w:before="80" w:after="80" w:line="240" w:lineRule="auto"/>
              <w:rPr>
                <w:i/>
                <w:sz w:val="14"/>
                <w:szCs w:val="14"/>
              </w:rPr>
            </w:pPr>
            <w:r>
              <w:rPr>
                <w:rFonts w:cs="Arial"/>
                <w:sz w:val="14"/>
                <w:szCs w:val="14"/>
              </w:rPr>
              <w:t xml:space="preserve">Baseline = 0                                                                                     </w:t>
            </w:r>
          </w:p>
        </w:tc>
        <w:tc>
          <w:tcPr>
            <w:tcW w:w="644" w:type="dxa"/>
          </w:tcPr>
          <w:p w:rsidR="00173FB7" w:rsidRPr="005057AA" w:rsidRDefault="00173FB7" w:rsidP="00FA65FC">
            <w:pPr>
              <w:pStyle w:val="Header"/>
              <w:spacing w:before="80" w:after="80" w:line="240" w:lineRule="auto"/>
              <w:rPr>
                <w:i/>
                <w:sz w:val="14"/>
                <w:szCs w:val="14"/>
              </w:rPr>
            </w:pPr>
            <w:r w:rsidRPr="005057AA">
              <w:rPr>
                <w:i/>
                <w:sz w:val="14"/>
                <w:szCs w:val="14"/>
              </w:rPr>
              <w:t>2019</w:t>
            </w:r>
          </w:p>
        </w:tc>
        <w:tc>
          <w:tcPr>
            <w:tcW w:w="1024" w:type="dxa"/>
          </w:tcPr>
          <w:p w:rsidR="00173FB7" w:rsidRPr="005057AA" w:rsidDel="00BD7C58" w:rsidRDefault="00173FB7" w:rsidP="00FA65FC">
            <w:pPr>
              <w:pStyle w:val="Header"/>
              <w:spacing w:before="80" w:after="80" w:line="240" w:lineRule="auto"/>
              <w:jc w:val="center"/>
              <w:rPr>
                <w:iCs/>
                <w:sz w:val="14"/>
                <w:szCs w:val="14"/>
              </w:rPr>
            </w:pPr>
            <w:r>
              <w:rPr>
                <w:iCs/>
                <w:sz w:val="14"/>
                <w:szCs w:val="14"/>
              </w:rPr>
              <w:t>3</w:t>
            </w:r>
          </w:p>
        </w:tc>
        <w:tc>
          <w:tcPr>
            <w:tcW w:w="978" w:type="dxa"/>
          </w:tcPr>
          <w:p w:rsidR="00173FB7" w:rsidRPr="005057AA" w:rsidDel="00BD7C58" w:rsidRDefault="00173FB7" w:rsidP="00FA65FC">
            <w:pPr>
              <w:pStyle w:val="Header"/>
              <w:spacing w:before="80" w:after="80" w:line="240" w:lineRule="auto"/>
              <w:jc w:val="center"/>
              <w:rPr>
                <w:sz w:val="14"/>
                <w:szCs w:val="14"/>
              </w:rPr>
            </w:pPr>
            <w:r>
              <w:rPr>
                <w:sz w:val="14"/>
                <w:szCs w:val="14"/>
              </w:rPr>
              <w:t>5</w:t>
            </w:r>
          </w:p>
        </w:tc>
        <w:tc>
          <w:tcPr>
            <w:tcW w:w="979" w:type="dxa"/>
          </w:tcPr>
          <w:p w:rsidR="00173FB7" w:rsidRPr="005057AA" w:rsidDel="00BD7C58" w:rsidRDefault="00173FB7" w:rsidP="00FA65FC">
            <w:pPr>
              <w:pStyle w:val="Header"/>
              <w:spacing w:before="80" w:after="80" w:line="240" w:lineRule="auto"/>
              <w:jc w:val="center"/>
              <w:rPr>
                <w:sz w:val="14"/>
                <w:szCs w:val="14"/>
              </w:rPr>
            </w:pPr>
            <w:r>
              <w:rPr>
                <w:sz w:val="14"/>
                <w:szCs w:val="14"/>
              </w:rPr>
              <w:t>6</w:t>
            </w:r>
          </w:p>
        </w:tc>
        <w:tc>
          <w:tcPr>
            <w:tcW w:w="978" w:type="dxa"/>
          </w:tcPr>
          <w:p w:rsidR="00173FB7" w:rsidRPr="005057AA" w:rsidDel="00BD7C58" w:rsidRDefault="00173FB7" w:rsidP="00FA65FC">
            <w:pPr>
              <w:pStyle w:val="Header"/>
              <w:spacing w:before="80" w:after="80" w:line="240" w:lineRule="auto"/>
              <w:jc w:val="center"/>
              <w:rPr>
                <w:sz w:val="14"/>
                <w:szCs w:val="14"/>
              </w:rPr>
            </w:pPr>
            <w:r>
              <w:rPr>
                <w:sz w:val="14"/>
                <w:szCs w:val="14"/>
              </w:rPr>
              <w:t>6</w:t>
            </w:r>
          </w:p>
        </w:tc>
        <w:tc>
          <w:tcPr>
            <w:tcW w:w="1379" w:type="dxa"/>
            <w:shd w:val="clear" w:color="auto" w:fill="auto"/>
          </w:tcPr>
          <w:p w:rsidR="00173FB7" w:rsidRPr="005057AA" w:rsidDel="00BD7C58" w:rsidRDefault="00173FB7" w:rsidP="00FA65FC">
            <w:pPr>
              <w:spacing w:before="80" w:after="80"/>
              <w:rPr>
                <w:rFonts w:cs="Calibri"/>
                <w:bCs/>
                <w:sz w:val="14"/>
                <w:szCs w:val="14"/>
                <w:lang w:eastAsia="en-US"/>
              </w:rPr>
            </w:pPr>
            <w:r w:rsidRPr="005057AA">
              <w:rPr>
                <w:rFonts w:cs="Calibri"/>
                <w:bCs/>
                <w:sz w:val="14"/>
                <w:szCs w:val="14"/>
              </w:rPr>
              <w:t>There is increased attention to RID in non-focus countries.</w:t>
            </w:r>
          </w:p>
        </w:tc>
        <w:tc>
          <w:tcPr>
            <w:tcW w:w="927" w:type="dxa"/>
            <w:vMerge w:val="restart"/>
            <w:shd w:val="clear" w:color="auto" w:fill="auto"/>
          </w:tcPr>
          <w:p w:rsidR="00173FB7" w:rsidRPr="005057AA" w:rsidRDefault="00173FB7" w:rsidP="00FA65FC">
            <w:pPr>
              <w:spacing w:before="80" w:after="80" w:line="240" w:lineRule="auto"/>
              <w:rPr>
                <w:rFonts w:cs="Calibri"/>
                <w:bCs/>
                <w:sz w:val="14"/>
                <w:szCs w:val="14"/>
              </w:rPr>
            </w:pPr>
            <w:r w:rsidRPr="005057AA">
              <w:rPr>
                <w:rFonts w:cs="Calibri"/>
                <w:bCs/>
                <w:sz w:val="14"/>
                <w:szCs w:val="14"/>
              </w:rPr>
              <w:t>Policy analysis</w:t>
            </w:r>
          </w:p>
          <w:p w:rsidR="00173FB7" w:rsidRPr="005057AA" w:rsidRDefault="00173FB7" w:rsidP="00FA65FC">
            <w:pPr>
              <w:spacing w:before="80" w:after="80" w:line="240" w:lineRule="auto"/>
              <w:rPr>
                <w:i/>
                <w:sz w:val="14"/>
                <w:szCs w:val="14"/>
              </w:rPr>
            </w:pPr>
            <w:r w:rsidRPr="005057AA">
              <w:rPr>
                <w:rFonts w:cs="Calibri"/>
                <w:bCs/>
                <w:sz w:val="14"/>
                <w:szCs w:val="14"/>
              </w:rPr>
              <w:t>Stakeholder interviews</w:t>
            </w:r>
          </w:p>
        </w:tc>
      </w:tr>
      <w:tr w:rsidR="00173FB7" w:rsidRPr="00B16C3E" w:rsidTr="00056FEA">
        <w:trPr>
          <w:cantSplit/>
          <w:trHeight w:val="413"/>
          <w:jc w:val="center"/>
        </w:trPr>
        <w:tc>
          <w:tcPr>
            <w:tcW w:w="2344" w:type="dxa"/>
            <w:vMerge/>
          </w:tcPr>
          <w:p w:rsidR="00173FB7" w:rsidRPr="005057AA" w:rsidRDefault="00173FB7" w:rsidP="00FA65FC">
            <w:pPr>
              <w:spacing w:before="80" w:after="80" w:line="240" w:lineRule="auto"/>
              <w:rPr>
                <w:i/>
                <w:sz w:val="14"/>
                <w:szCs w:val="14"/>
              </w:rPr>
            </w:pPr>
          </w:p>
        </w:tc>
        <w:tc>
          <w:tcPr>
            <w:tcW w:w="2650" w:type="dxa"/>
          </w:tcPr>
          <w:p w:rsidR="00173FB7" w:rsidRPr="005057AA" w:rsidRDefault="00173FB7" w:rsidP="00FA65FC">
            <w:pPr>
              <w:spacing w:before="80" w:after="80" w:line="240" w:lineRule="auto"/>
              <w:rPr>
                <w:rFonts w:cs="Calibri"/>
                <w:bCs/>
                <w:sz w:val="14"/>
                <w:szCs w:val="14"/>
              </w:rPr>
            </w:pPr>
            <w:proofErr w:type="gramStart"/>
            <w:r w:rsidRPr="005057AA">
              <w:rPr>
                <w:rFonts w:cs="Calibri"/>
                <w:b/>
                <w:sz w:val="14"/>
                <w:szCs w:val="14"/>
              </w:rPr>
              <w:t xml:space="preserve">3.2.2 </w:t>
            </w:r>
            <w:r>
              <w:rPr>
                <w:rFonts w:cs="Calibri"/>
                <w:bCs/>
                <w:sz w:val="14"/>
                <w:szCs w:val="14"/>
              </w:rPr>
              <w:t xml:space="preserve"> N</w:t>
            </w:r>
            <w:r w:rsidRPr="005057AA">
              <w:rPr>
                <w:rFonts w:cs="Calibri"/>
                <w:bCs/>
                <w:sz w:val="14"/>
                <w:szCs w:val="14"/>
              </w:rPr>
              <w:t>umber</w:t>
            </w:r>
            <w:proofErr w:type="gramEnd"/>
            <w:r w:rsidRPr="005057AA">
              <w:rPr>
                <w:rFonts w:cs="Calibri"/>
                <w:bCs/>
                <w:sz w:val="14"/>
                <w:szCs w:val="14"/>
              </w:rPr>
              <w:t xml:space="preserve"> of regional resilience initiatives and policies support</w:t>
            </w:r>
            <w:r>
              <w:rPr>
                <w:rFonts w:cs="Calibri"/>
                <w:bCs/>
                <w:sz w:val="14"/>
                <w:szCs w:val="14"/>
              </w:rPr>
              <w:t>ing</w:t>
            </w:r>
            <w:r w:rsidRPr="005057AA">
              <w:rPr>
                <w:rFonts w:cs="Calibri"/>
                <w:bCs/>
                <w:sz w:val="14"/>
                <w:szCs w:val="14"/>
              </w:rPr>
              <w:t xml:space="preserve"> country led GS&amp;I RID</w:t>
            </w:r>
          </w:p>
        </w:tc>
        <w:tc>
          <w:tcPr>
            <w:tcW w:w="0" w:type="auto"/>
            <w:vMerge/>
          </w:tcPr>
          <w:p w:rsidR="00173FB7" w:rsidRPr="005057AA" w:rsidRDefault="00173FB7" w:rsidP="00FA65FC">
            <w:pPr>
              <w:pStyle w:val="Header"/>
              <w:spacing w:before="80" w:after="80" w:line="240" w:lineRule="auto"/>
              <w:jc w:val="center"/>
              <w:rPr>
                <w:i/>
                <w:sz w:val="14"/>
                <w:szCs w:val="14"/>
              </w:rPr>
            </w:pPr>
          </w:p>
        </w:tc>
        <w:tc>
          <w:tcPr>
            <w:tcW w:w="2319" w:type="dxa"/>
            <w:shd w:val="clear" w:color="auto" w:fill="auto"/>
          </w:tcPr>
          <w:p w:rsidR="00173FB7" w:rsidRDefault="00173FB7" w:rsidP="00FA65FC">
            <w:pPr>
              <w:pStyle w:val="Header"/>
              <w:spacing w:before="80" w:after="80" w:line="240" w:lineRule="auto"/>
              <w:rPr>
                <w:rFonts w:cs="Arial"/>
                <w:sz w:val="14"/>
                <w:szCs w:val="14"/>
              </w:rPr>
            </w:pPr>
            <w:r>
              <w:rPr>
                <w:rFonts w:cs="Arial"/>
                <w:sz w:val="14"/>
                <w:szCs w:val="14"/>
              </w:rPr>
              <w:t>N</w:t>
            </w:r>
            <w:r w:rsidRPr="005057AA">
              <w:rPr>
                <w:rFonts w:cs="Arial"/>
                <w:sz w:val="14"/>
                <w:szCs w:val="14"/>
              </w:rPr>
              <w:t>o regional resilience initiative on RID</w:t>
            </w:r>
          </w:p>
          <w:p w:rsidR="00173FB7" w:rsidRPr="005057AA" w:rsidRDefault="00173FB7" w:rsidP="00FA65FC">
            <w:pPr>
              <w:pStyle w:val="Header"/>
              <w:spacing w:before="80" w:after="80" w:line="240" w:lineRule="auto"/>
              <w:rPr>
                <w:i/>
                <w:sz w:val="14"/>
                <w:szCs w:val="14"/>
              </w:rPr>
            </w:pPr>
            <w:r>
              <w:rPr>
                <w:rFonts w:cs="Arial"/>
                <w:sz w:val="14"/>
                <w:szCs w:val="14"/>
              </w:rPr>
              <w:t xml:space="preserve">Baseline = 0                                                                                     </w:t>
            </w:r>
          </w:p>
        </w:tc>
        <w:tc>
          <w:tcPr>
            <w:tcW w:w="644" w:type="dxa"/>
          </w:tcPr>
          <w:p w:rsidR="00173FB7" w:rsidRPr="005057AA" w:rsidRDefault="00173FB7" w:rsidP="00FA65FC">
            <w:pPr>
              <w:pStyle w:val="Header"/>
              <w:spacing w:before="80" w:after="80" w:line="240" w:lineRule="auto"/>
              <w:rPr>
                <w:i/>
                <w:sz w:val="14"/>
                <w:szCs w:val="14"/>
              </w:rPr>
            </w:pPr>
            <w:r w:rsidRPr="005057AA">
              <w:rPr>
                <w:i/>
                <w:sz w:val="14"/>
                <w:szCs w:val="14"/>
              </w:rPr>
              <w:t>2019</w:t>
            </w:r>
          </w:p>
        </w:tc>
        <w:tc>
          <w:tcPr>
            <w:tcW w:w="1024" w:type="dxa"/>
          </w:tcPr>
          <w:p w:rsidR="00173FB7" w:rsidRPr="005057AA" w:rsidDel="00BD7C58" w:rsidRDefault="00173FB7" w:rsidP="00FA65FC">
            <w:pPr>
              <w:pStyle w:val="Header"/>
              <w:spacing w:before="80" w:after="80" w:line="240" w:lineRule="auto"/>
              <w:jc w:val="center"/>
              <w:rPr>
                <w:iCs/>
                <w:sz w:val="14"/>
                <w:szCs w:val="14"/>
              </w:rPr>
            </w:pPr>
            <w:r>
              <w:rPr>
                <w:iCs/>
                <w:sz w:val="14"/>
                <w:szCs w:val="14"/>
              </w:rPr>
              <w:t>2</w:t>
            </w:r>
          </w:p>
        </w:tc>
        <w:tc>
          <w:tcPr>
            <w:tcW w:w="978" w:type="dxa"/>
          </w:tcPr>
          <w:p w:rsidR="00173FB7" w:rsidRPr="005057AA" w:rsidDel="00BD7C58" w:rsidRDefault="00173FB7" w:rsidP="00FA65FC">
            <w:pPr>
              <w:pStyle w:val="Header"/>
              <w:spacing w:before="80" w:after="80" w:line="240" w:lineRule="auto"/>
              <w:jc w:val="center"/>
              <w:rPr>
                <w:sz w:val="14"/>
                <w:szCs w:val="14"/>
              </w:rPr>
            </w:pPr>
            <w:r>
              <w:rPr>
                <w:sz w:val="14"/>
                <w:szCs w:val="14"/>
              </w:rPr>
              <w:t>4</w:t>
            </w:r>
          </w:p>
        </w:tc>
        <w:tc>
          <w:tcPr>
            <w:tcW w:w="979" w:type="dxa"/>
          </w:tcPr>
          <w:p w:rsidR="00173FB7" w:rsidRPr="005057AA" w:rsidDel="00BD7C58" w:rsidRDefault="00173FB7" w:rsidP="00FA65FC">
            <w:pPr>
              <w:pStyle w:val="Header"/>
              <w:spacing w:before="80" w:after="80" w:line="240" w:lineRule="auto"/>
              <w:jc w:val="center"/>
              <w:rPr>
                <w:sz w:val="14"/>
                <w:szCs w:val="14"/>
              </w:rPr>
            </w:pPr>
            <w:r>
              <w:rPr>
                <w:sz w:val="14"/>
                <w:szCs w:val="14"/>
              </w:rPr>
              <w:t>5</w:t>
            </w:r>
          </w:p>
        </w:tc>
        <w:tc>
          <w:tcPr>
            <w:tcW w:w="978" w:type="dxa"/>
          </w:tcPr>
          <w:p w:rsidR="00173FB7" w:rsidRPr="005057AA" w:rsidDel="00BD7C58" w:rsidRDefault="00173FB7" w:rsidP="00FA65FC">
            <w:pPr>
              <w:pStyle w:val="Header"/>
              <w:spacing w:before="80" w:after="80" w:line="240" w:lineRule="auto"/>
              <w:jc w:val="center"/>
              <w:rPr>
                <w:sz w:val="14"/>
                <w:szCs w:val="14"/>
              </w:rPr>
            </w:pPr>
            <w:r>
              <w:rPr>
                <w:sz w:val="14"/>
                <w:szCs w:val="14"/>
              </w:rPr>
              <w:t>5</w:t>
            </w:r>
          </w:p>
        </w:tc>
        <w:tc>
          <w:tcPr>
            <w:tcW w:w="1379" w:type="dxa"/>
            <w:shd w:val="clear" w:color="auto" w:fill="auto"/>
          </w:tcPr>
          <w:p w:rsidR="00173FB7" w:rsidRPr="005057AA" w:rsidDel="00BD7C58" w:rsidRDefault="00173FB7" w:rsidP="00FA65FC">
            <w:pPr>
              <w:spacing w:before="80" w:after="80"/>
              <w:rPr>
                <w:rFonts w:cs="Calibri"/>
                <w:bCs/>
                <w:sz w:val="14"/>
                <w:szCs w:val="14"/>
                <w:lang w:eastAsia="en-US"/>
              </w:rPr>
            </w:pPr>
            <w:r w:rsidRPr="005057AA">
              <w:rPr>
                <w:rFonts w:cs="Calibri"/>
                <w:bCs/>
                <w:sz w:val="14"/>
                <w:szCs w:val="14"/>
              </w:rPr>
              <w:t>Climate and development financing increasingly support country led, RID</w:t>
            </w:r>
          </w:p>
        </w:tc>
        <w:tc>
          <w:tcPr>
            <w:tcW w:w="927" w:type="dxa"/>
            <w:vMerge/>
            <w:shd w:val="clear" w:color="auto" w:fill="auto"/>
          </w:tcPr>
          <w:p w:rsidR="00173FB7" w:rsidRPr="005057AA" w:rsidRDefault="00173FB7" w:rsidP="00FA65FC">
            <w:pPr>
              <w:spacing w:before="80" w:after="80" w:line="240" w:lineRule="auto"/>
              <w:rPr>
                <w:i/>
                <w:sz w:val="14"/>
                <w:szCs w:val="14"/>
              </w:rPr>
            </w:pPr>
          </w:p>
        </w:tc>
      </w:tr>
      <w:bookmarkEnd w:id="59"/>
    </w:tbl>
    <w:p w:rsidR="00173FB7" w:rsidRDefault="00173FB7" w:rsidP="00DE0875">
      <w:pPr>
        <w:rPr>
          <w:highlight w:val="lightGray"/>
        </w:rPr>
      </w:pPr>
    </w:p>
    <w:p w:rsidR="00173FB7" w:rsidRPr="00135431" w:rsidRDefault="00173FB7" w:rsidP="00DE0875">
      <w:pPr>
        <w:rPr>
          <w:highlight w:val="lightGray"/>
        </w:rPr>
      </w:pPr>
    </w:p>
    <w:p w:rsidR="00DE0875" w:rsidRPr="00135431" w:rsidRDefault="00DE0875" w:rsidP="00DE0875">
      <w:pPr>
        <w:rPr>
          <w:highlight w:val="lightGray"/>
        </w:rPr>
        <w:sectPr w:rsidR="00DE0875" w:rsidRPr="00135431" w:rsidSect="00173FB7">
          <w:headerReference w:type="even" r:id="rId19"/>
          <w:headerReference w:type="default" r:id="rId20"/>
          <w:headerReference w:type="first" r:id="rId21"/>
          <w:pgSz w:w="16838" w:h="11906" w:orient="landscape" w:code="9"/>
          <w:pgMar w:top="1152" w:right="566" w:bottom="1152" w:left="864" w:header="720" w:footer="777" w:gutter="0"/>
          <w:cols w:space="708"/>
          <w:titlePg/>
          <w:docGrid w:linePitch="360"/>
        </w:sectPr>
      </w:pPr>
    </w:p>
    <w:p w:rsidR="002F14AB" w:rsidRPr="00135431" w:rsidRDefault="002F14AB" w:rsidP="009D6B25">
      <w:pPr>
        <w:pStyle w:val="Heading1"/>
        <w:numPr>
          <w:ilvl w:val="0"/>
          <w:numId w:val="8"/>
        </w:numPr>
        <w:jc w:val="left"/>
      </w:pPr>
      <w:bookmarkStart w:id="60" w:name="_Ref21964671"/>
      <w:bookmarkStart w:id="61" w:name="_Toc22745670"/>
      <w:bookmarkStart w:id="62" w:name="_Toc25739967"/>
      <w:bookmarkStart w:id="63" w:name="_Toc25740076"/>
      <w:r w:rsidRPr="00135431">
        <w:t>Monitoring</w:t>
      </w:r>
      <w:r w:rsidR="00FB4EF2">
        <w:t xml:space="preserve">, </w:t>
      </w:r>
      <w:r w:rsidRPr="00135431">
        <w:t>Evaluation</w:t>
      </w:r>
      <w:bookmarkEnd w:id="60"/>
      <w:bookmarkEnd w:id="61"/>
      <w:r w:rsidR="00FB4EF2">
        <w:t xml:space="preserve"> and Learning</w:t>
      </w:r>
      <w:bookmarkEnd w:id="62"/>
      <w:bookmarkEnd w:id="63"/>
    </w:p>
    <w:p w:rsidR="0066260A" w:rsidRPr="00135431" w:rsidRDefault="0066260A" w:rsidP="00496A45">
      <w:pPr>
        <w:pStyle w:val="Heading2"/>
        <w:jc w:val="left"/>
      </w:pPr>
      <w:bookmarkStart w:id="64" w:name="_Toc22745671"/>
      <w:bookmarkStart w:id="65" w:name="_Toc25739968"/>
      <w:bookmarkStart w:id="66" w:name="_Toc25740077"/>
      <w:r w:rsidRPr="00135431">
        <w:t>Approach</w:t>
      </w:r>
      <w:bookmarkEnd w:id="64"/>
      <w:r w:rsidR="000A7A5C">
        <w:t xml:space="preserve"> and Purpose</w:t>
      </w:r>
      <w:bookmarkEnd w:id="65"/>
      <w:bookmarkEnd w:id="66"/>
    </w:p>
    <w:p w:rsidR="0066260A" w:rsidRPr="00135431" w:rsidRDefault="008251B7" w:rsidP="00FC79B1">
      <w:pPr>
        <w:jc w:val="both"/>
      </w:pPr>
      <w:r>
        <w:t>GRDP</w:t>
      </w:r>
      <w:r w:rsidRPr="00135431">
        <w:t xml:space="preserve"> will</w:t>
      </w:r>
      <w:r w:rsidR="00662DA7" w:rsidRPr="00135431">
        <w:t xml:space="preserve"> </w:t>
      </w:r>
      <w:r w:rsidR="00050701" w:rsidRPr="00135431">
        <w:t>utilise</w:t>
      </w:r>
      <w:r w:rsidR="0066260A" w:rsidRPr="00135431">
        <w:t xml:space="preserve"> an adaptive approach to change, looking to shape activities and </w:t>
      </w:r>
      <w:r w:rsidR="007D727D">
        <w:t>strategies</w:t>
      </w:r>
      <w:r w:rsidR="007D727D" w:rsidRPr="00135431">
        <w:t xml:space="preserve"> </w:t>
      </w:r>
      <w:r w:rsidR="0066260A" w:rsidRPr="00135431">
        <w:t xml:space="preserve">in line with changing context and in response to opportunities to work most effectively towards the intended outcomes. For this reason, monitoring (assessment of progress) and evaluative enquiry (checking assumptions and overall </w:t>
      </w:r>
      <w:r w:rsidR="00253797">
        <w:t>project</w:t>
      </w:r>
      <w:r w:rsidR="00895613">
        <w:t xml:space="preserve"> </w:t>
      </w:r>
      <w:r w:rsidR="0066260A" w:rsidRPr="00135431">
        <w:t xml:space="preserve">strategy) will be regularly undertaken throughout the life of the program. The approach will be based on an action reflection cycle that will underpin management and improved </w:t>
      </w:r>
      <w:r w:rsidR="00253797">
        <w:t>project</w:t>
      </w:r>
      <w:r w:rsidR="00895613">
        <w:t xml:space="preserve"> </w:t>
      </w:r>
      <w:r w:rsidR="0066260A" w:rsidRPr="00135431">
        <w:t>delivery</w:t>
      </w:r>
      <w:r w:rsidR="00FC79B1">
        <w:t xml:space="preserve">. </w:t>
      </w:r>
      <w:r w:rsidR="0066260A" w:rsidRPr="00135431">
        <w:t>Overall the monitoring and evaluation will serve several purposes</w:t>
      </w:r>
      <w:r w:rsidR="00662DA7" w:rsidRPr="00135431">
        <w:t>:</w:t>
      </w:r>
    </w:p>
    <w:p w:rsidR="0066260A" w:rsidRPr="00135431" w:rsidRDefault="0066260A" w:rsidP="009D6B25">
      <w:pPr>
        <w:pStyle w:val="ListParagraph"/>
        <w:numPr>
          <w:ilvl w:val="0"/>
          <w:numId w:val="6"/>
        </w:numPr>
        <w:spacing w:after="160" w:line="259" w:lineRule="auto"/>
        <w:jc w:val="both"/>
      </w:pPr>
      <w:r w:rsidRPr="00135431">
        <w:t xml:space="preserve">Monitoring and evaluation will provide accountability to </w:t>
      </w:r>
      <w:r w:rsidR="00253797">
        <w:t>project</w:t>
      </w:r>
      <w:r w:rsidR="00895613">
        <w:t xml:space="preserve"> </w:t>
      </w:r>
      <w:r w:rsidRPr="00135431">
        <w:t xml:space="preserve">stakeholders, that resources have been utilised effectively and efficiently to achieve </w:t>
      </w:r>
      <w:r w:rsidR="00253797">
        <w:t>project</w:t>
      </w:r>
      <w:r w:rsidR="00895613">
        <w:t xml:space="preserve"> </w:t>
      </w:r>
      <w:r w:rsidRPr="00135431">
        <w:t xml:space="preserve">outputs and end of </w:t>
      </w:r>
      <w:r w:rsidR="00253797">
        <w:t>project</w:t>
      </w:r>
      <w:r w:rsidR="00895613">
        <w:t xml:space="preserve"> </w:t>
      </w:r>
      <w:r w:rsidRPr="00135431">
        <w:t>outcomes.</w:t>
      </w:r>
    </w:p>
    <w:p w:rsidR="0066260A" w:rsidRPr="00135431" w:rsidRDefault="0066260A" w:rsidP="009D6B25">
      <w:pPr>
        <w:pStyle w:val="ListParagraph"/>
        <w:numPr>
          <w:ilvl w:val="0"/>
          <w:numId w:val="6"/>
        </w:numPr>
        <w:spacing w:after="160" w:line="259" w:lineRule="auto"/>
        <w:jc w:val="both"/>
      </w:pPr>
      <w:r w:rsidRPr="00135431">
        <w:t xml:space="preserve">The assessment will underpin further development of the program. </w:t>
      </w:r>
    </w:p>
    <w:p w:rsidR="0066260A" w:rsidRPr="00135431" w:rsidRDefault="0066260A" w:rsidP="009D6B25">
      <w:pPr>
        <w:pStyle w:val="ListParagraph"/>
        <w:numPr>
          <w:ilvl w:val="0"/>
          <w:numId w:val="6"/>
        </w:numPr>
        <w:spacing w:after="160" w:line="259" w:lineRule="auto"/>
        <w:jc w:val="both"/>
      </w:pPr>
      <w:r w:rsidRPr="00135431">
        <w:t xml:space="preserve">Monitoring and evaluation will support </w:t>
      </w:r>
      <w:r w:rsidR="00253797">
        <w:t>project</w:t>
      </w:r>
      <w:r w:rsidR="00895613">
        <w:t xml:space="preserve"> </w:t>
      </w:r>
      <w:r w:rsidRPr="00135431">
        <w:t xml:space="preserve">learning, contributing to internal learning and to the demonstration of the value of the RID approach from one location to the </w:t>
      </w:r>
      <w:r w:rsidR="00D16717" w:rsidRPr="00135431">
        <w:t>ne</w:t>
      </w:r>
      <w:r w:rsidRPr="00135431">
        <w:t>xt.</w:t>
      </w:r>
    </w:p>
    <w:p w:rsidR="0066260A" w:rsidRPr="00135431" w:rsidRDefault="0066260A" w:rsidP="009D6B25">
      <w:pPr>
        <w:pStyle w:val="ListParagraph"/>
        <w:numPr>
          <w:ilvl w:val="0"/>
          <w:numId w:val="6"/>
        </w:numPr>
        <w:spacing w:after="160" w:line="259" w:lineRule="auto"/>
        <w:jc w:val="both"/>
      </w:pPr>
      <w:r w:rsidRPr="00135431">
        <w:t xml:space="preserve">The assessment will identify and report the </w:t>
      </w:r>
      <w:r w:rsidR="00253797">
        <w:t>project</w:t>
      </w:r>
      <w:r w:rsidR="00895613">
        <w:t xml:space="preserve"> </w:t>
      </w:r>
      <w:r w:rsidRPr="00135431">
        <w:t xml:space="preserve">contribution to the Climate Partnership objectives, in line with the intentions of both programs. It will also provide specific information for other donors including KOICA and MFAT. </w:t>
      </w:r>
    </w:p>
    <w:p w:rsidR="00E615C1" w:rsidRPr="00135431" w:rsidRDefault="0066260A" w:rsidP="009D6B25">
      <w:pPr>
        <w:pStyle w:val="ListParagraph"/>
        <w:numPr>
          <w:ilvl w:val="0"/>
          <w:numId w:val="6"/>
        </w:numPr>
        <w:spacing w:after="160" w:line="259" w:lineRule="auto"/>
        <w:jc w:val="both"/>
      </w:pPr>
      <w:r w:rsidRPr="00135431">
        <w:t xml:space="preserve">The monitoring and evaluation will contribute to communication and reporting about the program. </w:t>
      </w:r>
    </w:p>
    <w:p w:rsidR="0066260A" w:rsidRPr="00135431" w:rsidRDefault="0066260A" w:rsidP="00496A45">
      <w:pPr>
        <w:pStyle w:val="Heading2"/>
        <w:jc w:val="left"/>
      </w:pPr>
      <w:bookmarkStart w:id="67" w:name="_Toc22745672"/>
      <w:bookmarkStart w:id="68" w:name="_Toc25739969"/>
      <w:bookmarkStart w:id="69" w:name="_Toc25740078"/>
      <w:r w:rsidRPr="00135431">
        <w:t xml:space="preserve">Data </w:t>
      </w:r>
      <w:r w:rsidR="008740A0">
        <w:t>C</w:t>
      </w:r>
      <w:r w:rsidRPr="00135431">
        <w:t>ollection</w:t>
      </w:r>
      <w:bookmarkEnd w:id="67"/>
      <w:r w:rsidR="0002106A">
        <w:t xml:space="preserve"> &amp; Analysis</w:t>
      </w:r>
      <w:bookmarkEnd w:id="68"/>
      <w:bookmarkEnd w:id="69"/>
    </w:p>
    <w:p w:rsidR="0066260A" w:rsidRPr="00135431" w:rsidRDefault="0066260A" w:rsidP="00050701">
      <w:pPr>
        <w:jc w:val="both"/>
      </w:pPr>
      <w:r w:rsidRPr="00135431">
        <w:t xml:space="preserve">Data will be collected </w:t>
      </w:r>
      <w:r w:rsidR="00A12DD4">
        <w:t xml:space="preserve">and analysed </w:t>
      </w:r>
      <w:r w:rsidRPr="00135431">
        <w:t xml:space="preserve">against three levels of </w:t>
      </w:r>
      <w:r w:rsidR="00253797">
        <w:t>project</w:t>
      </w:r>
      <w:r w:rsidR="00895613">
        <w:t xml:space="preserve"> </w:t>
      </w:r>
      <w:r w:rsidRPr="00135431">
        <w:t>implementation</w:t>
      </w:r>
      <w:r w:rsidR="00662DA7" w:rsidRPr="00135431">
        <w:t>:</w:t>
      </w:r>
    </w:p>
    <w:p w:rsidR="0066260A" w:rsidRPr="00135431" w:rsidRDefault="000A7A5C" w:rsidP="00050701">
      <w:pPr>
        <w:pStyle w:val="ListParagraph"/>
        <w:spacing w:after="160" w:line="259" w:lineRule="auto"/>
        <w:ind w:left="0"/>
        <w:jc w:val="both"/>
      </w:pPr>
      <w:r w:rsidRPr="00050701">
        <w:rPr>
          <w:b/>
        </w:rPr>
        <w:t>OUTCOME level:</w:t>
      </w:r>
      <w:r>
        <w:t xml:space="preserve"> i</w:t>
      </w:r>
      <w:r w:rsidR="0066260A" w:rsidRPr="00135431">
        <w:t xml:space="preserve">n line with the results frame, data will be collected against </w:t>
      </w:r>
      <w:r w:rsidR="00253797">
        <w:t>project</w:t>
      </w:r>
      <w:r w:rsidR="00895613">
        <w:t xml:space="preserve"> </w:t>
      </w:r>
      <w:r w:rsidR="0066260A" w:rsidRPr="00135431">
        <w:t xml:space="preserve">outcomes on an annual basis. Baseline assessment has been undertaken for each of the </w:t>
      </w:r>
      <w:r w:rsidR="00253797">
        <w:t>project</w:t>
      </w:r>
      <w:r w:rsidR="00895613">
        <w:t xml:space="preserve"> </w:t>
      </w:r>
      <w:r w:rsidR="0066260A" w:rsidRPr="00135431">
        <w:t>outcomes and this assessment will be revisited on an annual basis, in line with annual development of countries policy planning and financing systems.</w:t>
      </w:r>
      <w:r w:rsidR="00135431" w:rsidRPr="00135431">
        <w:t xml:space="preserve"> </w:t>
      </w:r>
      <w:r w:rsidR="0066260A" w:rsidRPr="00135431">
        <w:t xml:space="preserve">Assessing </w:t>
      </w:r>
      <w:r w:rsidR="00253797">
        <w:t>project</w:t>
      </w:r>
      <w:r w:rsidR="00895613">
        <w:t xml:space="preserve"> </w:t>
      </w:r>
      <w:r w:rsidR="0066260A" w:rsidRPr="00135431">
        <w:t>progress will be undertaken through the application of two tools:</w:t>
      </w:r>
      <w:r w:rsidR="00132089" w:rsidRPr="00132089">
        <w:rPr>
          <w:noProof/>
        </w:rPr>
        <w:t xml:space="preserve"> </w:t>
      </w:r>
      <w:r w:rsidR="00050701">
        <w:rPr>
          <w:noProof/>
        </w:rPr>
        <w:t xml:space="preserve"> </w:t>
      </w:r>
      <w:r w:rsidR="00A12DD4">
        <w:rPr>
          <w:noProof/>
        </w:rPr>
        <w:t>i) t</w:t>
      </w:r>
      <w:r w:rsidR="0066260A" w:rsidRPr="00135431">
        <w:t xml:space="preserve">he </w:t>
      </w:r>
      <w:r w:rsidR="0066260A" w:rsidRPr="00050701">
        <w:rPr>
          <w:bCs/>
        </w:rPr>
        <w:t>Climate Change Budget Integration Index</w:t>
      </w:r>
      <w:r w:rsidR="00375FDA" w:rsidRPr="00050701">
        <w:rPr>
          <w:bCs/>
        </w:rPr>
        <w:t xml:space="preserve"> (CCB)</w:t>
      </w:r>
      <w:r w:rsidR="0066260A" w:rsidRPr="00050701">
        <w:rPr>
          <w:bCs/>
        </w:rPr>
        <w:t xml:space="preserve">, a tool developed by similar </w:t>
      </w:r>
      <w:r w:rsidR="00253797">
        <w:rPr>
          <w:bCs/>
        </w:rPr>
        <w:t>project</w:t>
      </w:r>
      <w:r w:rsidR="00895613">
        <w:rPr>
          <w:bCs/>
        </w:rPr>
        <w:t xml:space="preserve"> </w:t>
      </w:r>
      <w:r w:rsidR="0066260A" w:rsidRPr="00050701">
        <w:rPr>
          <w:bCs/>
        </w:rPr>
        <w:t xml:space="preserve">in UNDP and adapted for use in Pacific countries. The version to be utilised by this </w:t>
      </w:r>
      <w:r w:rsidR="00253797">
        <w:rPr>
          <w:bCs/>
        </w:rPr>
        <w:t>project</w:t>
      </w:r>
      <w:r w:rsidR="00895613">
        <w:rPr>
          <w:bCs/>
        </w:rPr>
        <w:t xml:space="preserve"> </w:t>
      </w:r>
      <w:r w:rsidR="0066260A" w:rsidRPr="00050701">
        <w:rPr>
          <w:bCs/>
        </w:rPr>
        <w:t>will include attention to integration of gender and social inclusion alongside measures of technical progress</w:t>
      </w:r>
      <w:r w:rsidR="00A12DD4">
        <w:rPr>
          <w:bCs/>
        </w:rPr>
        <w:t xml:space="preserve">; </w:t>
      </w:r>
      <w:r w:rsidR="00C04A23">
        <w:rPr>
          <w:bCs/>
        </w:rPr>
        <w:t>ii</w:t>
      </w:r>
      <w:r w:rsidR="00A12DD4">
        <w:rPr>
          <w:bCs/>
        </w:rPr>
        <w:t xml:space="preserve">) </w:t>
      </w:r>
      <w:r w:rsidR="0066260A" w:rsidRPr="00135431">
        <w:t>Political economy analysis</w:t>
      </w:r>
      <w:r w:rsidR="00A12DD4">
        <w:t xml:space="preserve"> (PEA) </w:t>
      </w:r>
      <w:r w:rsidR="00A12DD4" w:rsidRPr="00135431">
        <w:t>to better understand issues around who controls financial flows and narratives, what coalitions and partnerships exist and whether there are significant external influences and what their interests are</w:t>
      </w:r>
      <w:r w:rsidR="00A12DD4">
        <w:t xml:space="preserve"> - this will be </w:t>
      </w:r>
      <w:r w:rsidR="00A12DD4" w:rsidRPr="00135431">
        <w:t>used to define programming entry points, as well as accurately report on results (for instance to understand attribution)</w:t>
      </w:r>
      <w:r w:rsidR="0066260A" w:rsidRPr="00135431">
        <w:t>.</w:t>
      </w:r>
      <w:r w:rsidR="00050701">
        <w:t xml:space="preserve"> </w:t>
      </w:r>
      <w:r w:rsidR="0066260A" w:rsidRPr="00135431">
        <w:t xml:space="preserve">Core to data collection at this level will be evaluative enquiry to test major </w:t>
      </w:r>
      <w:r w:rsidR="00253797">
        <w:t>project</w:t>
      </w:r>
      <w:r w:rsidR="00895613">
        <w:t xml:space="preserve"> </w:t>
      </w:r>
      <w:r w:rsidR="0066260A" w:rsidRPr="00135431">
        <w:t>assumptions. It is anticipated that this ongoing evaluative enquiry will be largely undertaken through regular stakeholder interviews. UNDP may choose however, to also commission independent research to further test the validity of its assumptions.</w:t>
      </w:r>
    </w:p>
    <w:p w:rsidR="00C1672F" w:rsidRPr="00135431" w:rsidRDefault="00C1672F" w:rsidP="00050701">
      <w:pPr>
        <w:pStyle w:val="ListParagraph"/>
        <w:ind w:left="0"/>
        <w:jc w:val="both"/>
      </w:pPr>
    </w:p>
    <w:p w:rsidR="0066260A" w:rsidRPr="00135431" w:rsidRDefault="000A7A5C" w:rsidP="009C12DD">
      <w:pPr>
        <w:pStyle w:val="ListParagraph"/>
        <w:spacing w:after="160" w:line="259" w:lineRule="auto"/>
        <w:ind w:left="0"/>
        <w:jc w:val="both"/>
      </w:pPr>
      <w:r w:rsidRPr="00050701">
        <w:rPr>
          <w:b/>
        </w:rPr>
        <w:t>OUTPUT level:</w:t>
      </w:r>
      <w:r>
        <w:t xml:space="preserve"> t</w:t>
      </w:r>
      <w:r w:rsidR="0066260A" w:rsidRPr="00135431">
        <w:t xml:space="preserve">he </w:t>
      </w:r>
      <w:r w:rsidR="00253797">
        <w:t>project</w:t>
      </w:r>
      <w:r w:rsidR="00895613">
        <w:t xml:space="preserve"> </w:t>
      </w:r>
      <w:r w:rsidR="0066260A" w:rsidRPr="00135431">
        <w:t>outputs will be assessed on a regular basis. This will include annual assessment for those areas where an annual cycle is the norm. For those outputs related to changes in accountability, as far as possible, assessment will be more frequent (six monthly) to inform this newly developing area of work.</w:t>
      </w:r>
      <w:r w:rsidR="00135431" w:rsidRPr="00135431">
        <w:t xml:space="preserve"> </w:t>
      </w:r>
      <w:r w:rsidR="0066260A" w:rsidRPr="00135431">
        <w:t>Assessing progress against outputs will include the following tools:</w:t>
      </w:r>
      <w:r w:rsidR="00050701">
        <w:t xml:space="preserve"> i) p</w:t>
      </w:r>
      <w:r w:rsidR="0066260A" w:rsidRPr="00135431">
        <w:t>olicy and document analysis</w:t>
      </w:r>
      <w:r w:rsidR="009C12DD">
        <w:t>:</w:t>
      </w:r>
      <w:r w:rsidR="0066260A" w:rsidRPr="00135431">
        <w:t xml:space="preserve"> </w:t>
      </w:r>
      <w:r w:rsidR="009C12DD">
        <w:t>s</w:t>
      </w:r>
      <w:r w:rsidR="0066260A" w:rsidRPr="00135431">
        <w:t>everal of the outputs relate to specific policies, regulations or documentation produced by government. Tracking change will require reference to these documents</w:t>
      </w:r>
      <w:r w:rsidR="00050701">
        <w:t xml:space="preserve">; ) </w:t>
      </w:r>
      <w:r w:rsidR="009C12DD">
        <w:t>m</w:t>
      </w:r>
      <w:r w:rsidR="0066260A" w:rsidRPr="00135431">
        <w:t>edia analysis</w:t>
      </w:r>
      <w:r w:rsidR="009C12DD">
        <w:t>: m</w:t>
      </w:r>
      <w:r w:rsidR="0066260A" w:rsidRPr="00135431">
        <w:t xml:space="preserve">aking use of establishing media tracking tools will enable the </w:t>
      </w:r>
      <w:r w:rsidR="00253797">
        <w:t>project</w:t>
      </w:r>
      <w:r w:rsidR="00895613">
        <w:t xml:space="preserve"> </w:t>
      </w:r>
      <w:r w:rsidR="0066260A" w:rsidRPr="00135431">
        <w:t xml:space="preserve">to identify significant announcements, and changes in narrative where contribution from the </w:t>
      </w:r>
      <w:r w:rsidR="00253797">
        <w:t>project</w:t>
      </w:r>
      <w:r w:rsidR="00895613">
        <w:t xml:space="preserve"> </w:t>
      </w:r>
      <w:r w:rsidR="0066260A" w:rsidRPr="00135431">
        <w:t>can be attributed</w:t>
      </w:r>
      <w:r w:rsidR="00050701">
        <w:t>; i) p</w:t>
      </w:r>
      <w:r w:rsidR="0066260A" w:rsidRPr="00135431">
        <w:t>artner, CSO and regional reporting</w:t>
      </w:r>
      <w:r w:rsidR="009C12DD">
        <w:t>: t</w:t>
      </w:r>
      <w:r w:rsidR="0066260A" w:rsidRPr="00135431">
        <w:t xml:space="preserve">he </w:t>
      </w:r>
      <w:r w:rsidR="00253797">
        <w:t>project</w:t>
      </w:r>
      <w:r w:rsidR="00895613">
        <w:t xml:space="preserve"> </w:t>
      </w:r>
      <w:r w:rsidR="0066260A" w:rsidRPr="00135431">
        <w:t xml:space="preserve">will make use of publicly available records from major partners including those active in civil society, to identify their activity to increase accountability for gender </w:t>
      </w:r>
      <w:r w:rsidR="00334F07">
        <w:t>and socially inclusive</w:t>
      </w:r>
      <w:r w:rsidR="0066260A" w:rsidRPr="00135431">
        <w:t xml:space="preserve"> risk informed development.</w:t>
      </w:r>
      <w:r w:rsidR="009C12DD">
        <w:t xml:space="preserve"> </w:t>
      </w:r>
      <w:r w:rsidR="0066260A" w:rsidRPr="00135431">
        <w:t xml:space="preserve">In addition to tracking progress against outputs, some further inquiry will be undertaken in order to understand the value of those outputs towards achieving </w:t>
      </w:r>
      <w:r w:rsidR="00253797">
        <w:t>project</w:t>
      </w:r>
      <w:r w:rsidR="00895613">
        <w:t xml:space="preserve"> </w:t>
      </w:r>
      <w:r w:rsidR="0066260A" w:rsidRPr="00135431">
        <w:t>objectives</w:t>
      </w:r>
      <w:r w:rsidR="009C12DD">
        <w:t xml:space="preserve"> through </w:t>
      </w:r>
      <w:r w:rsidR="0066260A" w:rsidRPr="00135431">
        <w:t>the evaluative questions in the results frame</w:t>
      </w:r>
      <w:r w:rsidR="0050593A">
        <w:t xml:space="preserve"> </w:t>
      </w:r>
      <w:r w:rsidR="009C12DD">
        <w:t>in Section 5.</w:t>
      </w:r>
    </w:p>
    <w:p w:rsidR="0066260A" w:rsidRPr="00135431" w:rsidRDefault="0066260A" w:rsidP="009C12DD">
      <w:pPr>
        <w:pStyle w:val="ListParagraph"/>
        <w:ind w:left="0"/>
        <w:jc w:val="both"/>
      </w:pPr>
    </w:p>
    <w:p w:rsidR="0066260A" w:rsidRDefault="000A7A5C" w:rsidP="009C12DD">
      <w:pPr>
        <w:pStyle w:val="ListParagraph"/>
        <w:spacing w:after="160" w:line="259" w:lineRule="auto"/>
        <w:ind w:left="0"/>
        <w:jc w:val="both"/>
      </w:pPr>
      <w:r w:rsidRPr="009C12DD">
        <w:rPr>
          <w:b/>
        </w:rPr>
        <w:t>ACTIVITY level:</w:t>
      </w:r>
      <w:r>
        <w:t xml:space="preserve"> </w:t>
      </w:r>
      <w:r w:rsidR="008251B7">
        <w:t>GRDP</w:t>
      </w:r>
      <w:r w:rsidR="008251B7" w:rsidRPr="00135431">
        <w:t xml:space="preserve"> will</w:t>
      </w:r>
      <w:r w:rsidR="0066260A" w:rsidRPr="00135431">
        <w:t xml:space="preserve"> utilise a wide range of activities to achieve the outputs identified in the results frame. Given the complexity of the </w:t>
      </w:r>
      <w:r w:rsidR="00253797">
        <w:t>project</w:t>
      </w:r>
      <w:r w:rsidR="0066260A" w:rsidRPr="00135431">
        <w:t xml:space="preserve"> these activities are expected to contribute to and influence more than one output. </w:t>
      </w:r>
      <w:r w:rsidR="008251B7">
        <w:t>GRDP</w:t>
      </w:r>
      <w:r w:rsidR="008251B7" w:rsidRPr="00135431">
        <w:t xml:space="preserve"> will</w:t>
      </w:r>
      <w:r w:rsidR="0066260A" w:rsidRPr="00135431">
        <w:t xml:space="preserve"> maintain an activity tracking log, which identifies the nature of the activity, the targets and participants and the immediate results. This log will be critical in providing evidence of the action of the </w:t>
      </w:r>
      <w:r w:rsidR="00253797">
        <w:t>project</w:t>
      </w:r>
      <w:r w:rsidR="00895613">
        <w:t xml:space="preserve"> </w:t>
      </w:r>
      <w:r w:rsidR="0066260A" w:rsidRPr="00135431">
        <w:t xml:space="preserve">and thus communications for donors and others about how the </w:t>
      </w:r>
      <w:r w:rsidR="00253797">
        <w:t>project</w:t>
      </w:r>
      <w:r w:rsidR="00895613">
        <w:t xml:space="preserve"> </w:t>
      </w:r>
      <w:r w:rsidR="0066260A" w:rsidRPr="00135431">
        <w:t>is working in practice.</w:t>
      </w:r>
      <w:r w:rsidR="009C12DD">
        <w:t xml:space="preserve"> </w:t>
      </w:r>
      <w:r w:rsidR="0066260A" w:rsidRPr="00135431">
        <w:t xml:space="preserve">More significantly, this activity log will form the basis of regular </w:t>
      </w:r>
      <w:r w:rsidR="00253797">
        <w:t>project</w:t>
      </w:r>
      <w:r w:rsidR="00895613">
        <w:t xml:space="preserve"> </w:t>
      </w:r>
      <w:r w:rsidR="0066260A" w:rsidRPr="00135431">
        <w:t xml:space="preserve">internal review to establish the value of activities in contributing to overall outputs and outcomes. While it is expected that activities will draw significantly from previous strategies developed under </w:t>
      </w:r>
      <w:r w:rsidR="008251B7">
        <w:t>PRRP</w:t>
      </w:r>
      <w:r w:rsidR="0066260A" w:rsidRPr="00135431">
        <w:t xml:space="preserve">, </w:t>
      </w:r>
      <w:r w:rsidR="008251B7">
        <w:t>GRDP</w:t>
      </w:r>
      <w:r w:rsidR="008251B7" w:rsidRPr="00135431">
        <w:t xml:space="preserve"> will</w:t>
      </w:r>
      <w:r w:rsidR="0066260A" w:rsidRPr="00135431">
        <w:t xml:space="preserve"> retain the availability to innovate and try out new approaches and ideas over time. The intention will be to continually test these against overall progress, identifying those which ought to be continued and those which should cease becaus</w:t>
      </w:r>
      <w:r w:rsidR="00135431" w:rsidRPr="00135431">
        <w:t>e</w:t>
      </w:r>
      <w:r w:rsidR="0066260A" w:rsidRPr="00135431">
        <w:t xml:space="preserve"> they are not making a useful contribution to change. </w:t>
      </w:r>
      <w:r w:rsidR="00135431" w:rsidRPr="00135431">
        <w:t xml:space="preserve"> </w:t>
      </w:r>
      <w:r w:rsidR="0066260A" w:rsidRPr="00135431">
        <w:t xml:space="preserve">This flexible or adaptive approach is key to the efficiency and effectiveness of the </w:t>
      </w:r>
      <w:r w:rsidR="00C04A23">
        <w:t>programme</w:t>
      </w:r>
      <w:r w:rsidR="0066260A" w:rsidRPr="00135431">
        <w:t>. It allows it to use a range of activities for each country context, in ways which are best suited to that context.</w:t>
      </w:r>
    </w:p>
    <w:p w:rsidR="009C12DD" w:rsidRPr="00135431" w:rsidRDefault="009C12DD" w:rsidP="009C12DD">
      <w:pPr>
        <w:pStyle w:val="ListParagraph"/>
        <w:spacing w:after="160" w:line="259" w:lineRule="auto"/>
        <w:ind w:left="0"/>
        <w:jc w:val="both"/>
      </w:pPr>
    </w:p>
    <w:p w:rsidR="00E35527" w:rsidRDefault="009C12DD" w:rsidP="00176B9D">
      <w:pPr>
        <w:jc w:val="both"/>
      </w:pPr>
      <w:r w:rsidRPr="009C12DD">
        <w:rPr>
          <w:b/>
        </w:rPr>
        <w:t xml:space="preserve">BASELINE: </w:t>
      </w:r>
      <w:r>
        <w:t>i</w:t>
      </w:r>
      <w:r w:rsidR="00E35527" w:rsidRPr="00135431">
        <w:t xml:space="preserve">n order to determine interventions and identify programming entry points the </w:t>
      </w:r>
      <w:r w:rsidR="00253797">
        <w:t>project</w:t>
      </w:r>
      <w:r w:rsidR="00E35527" w:rsidRPr="00135431">
        <w:t xml:space="preserve"> has developed design baseline </w:t>
      </w:r>
      <w:r w:rsidR="007C59BE" w:rsidRPr="00135431">
        <w:t>analysis</w:t>
      </w:r>
      <w:r w:rsidR="00E35527" w:rsidRPr="00135431">
        <w:t xml:space="preserve"> for each </w:t>
      </w:r>
      <w:r w:rsidR="00253797">
        <w:t>project</w:t>
      </w:r>
      <w:r w:rsidR="00E35527" w:rsidRPr="00135431">
        <w:t xml:space="preserve"> country. It is proposed that these design baselines will be expanded upon within the first year of programming to provide a full information base against which to monitor and assess progress and effectiveness during implementation and at the completion of the </w:t>
      </w:r>
      <w:r w:rsidR="00253797">
        <w:t>project</w:t>
      </w:r>
      <w:r w:rsidR="00E35527" w:rsidRPr="00135431">
        <w:t>. The design baseline data collection has focused on the following</w:t>
      </w:r>
      <w:r w:rsidR="00C95F48">
        <w:t xml:space="preserve"> (see </w:t>
      </w:r>
      <w:r w:rsidR="00786D38">
        <w:fldChar w:fldCharType="begin"/>
      </w:r>
      <w:r w:rsidR="00786D38">
        <w:instrText xml:space="preserve"> REF _Ref24637343 \h  \* MERGEFORMAT </w:instrText>
      </w:r>
      <w:r w:rsidR="00786D38">
        <w:fldChar w:fldCharType="separate"/>
      </w:r>
      <w:r w:rsidR="004F5751">
        <w:t>Figure 3</w:t>
      </w:r>
      <w:r w:rsidR="00786D38">
        <w:fldChar w:fldCharType="end"/>
      </w:r>
      <w:r w:rsidR="00786D38">
        <w:t xml:space="preserve"> for a</w:t>
      </w:r>
      <w:r w:rsidR="00C95F48">
        <w:t xml:space="preserve"> visual represent</w:t>
      </w:r>
      <w:r w:rsidR="00786D38">
        <w:t>ation</w:t>
      </w:r>
      <w:r w:rsidR="00C95F48">
        <w:t>)</w:t>
      </w:r>
      <w:r w:rsidR="00E35527" w:rsidRPr="00135431">
        <w:t>:</w:t>
      </w:r>
    </w:p>
    <w:p w:rsidR="00786D38" w:rsidRPr="00135431" w:rsidRDefault="00EF6ADA" w:rsidP="00786D38">
      <w:pPr>
        <w:pStyle w:val="Caption"/>
      </w:pPr>
      <w:bookmarkStart w:id="70" w:name="_Ref24637343"/>
      <w:r>
        <w:rPr>
          <w:noProof/>
        </w:rPr>
        <w:drawing>
          <wp:anchor distT="0" distB="0" distL="114300" distR="114300" simplePos="0" relativeHeight="251658240" behindDoc="0" locked="0" layoutInCell="1" allowOverlap="1" wp14:anchorId="3D66D4D5" wp14:editId="7F36DA13">
            <wp:simplePos x="0" y="0"/>
            <wp:positionH relativeFrom="margin">
              <wp:align>center</wp:align>
            </wp:positionH>
            <wp:positionV relativeFrom="paragraph">
              <wp:posOffset>231278</wp:posOffset>
            </wp:positionV>
            <wp:extent cx="3819525" cy="1911350"/>
            <wp:effectExtent l="19050" t="19050" r="28575" b="12700"/>
            <wp:wrapTopAndBottom/>
            <wp:docPr id="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9525" cy="1911350"/>
                    </a:xfrm>
                    <a:prstGeom prst="rect">
                      <a:avLst/>
                    </a:prstGeom>
                    <a:noFill/>
                    <a:ln w="9525">
                      <a:solidFill>
                        <a:srgbClr val="44546A"/>
                      </a:solidFill>
                      <a:miter lim="800000"/>
                      <a:headEnd/>
                      <a:tailEnd/>
                    </a:ln>
                  </pic:spPr>
                </pic:pic>
              </a:graphicData>
            </a:graphic>
            <wp14:sizeRelH relativeFrom="page">
              <wp14:pctWidth>0</wp14:pctWidth>
            </wp14:sizeRelH>
            <wp14:sizeRelV relativeFrom="page">
              <wp14:pctHeight>0</wp14:pctHeight>
            </wp14:sizeRelV>
          </wp:anchor>
        </w:drawing>
      </w:r>
      <w:r w:rsidR="00786D38">
        <w:t xml:space="preserve">Figure </w:t>
      </w:r>
      <w:fldSimple w:instr=" SEQ Figure \* ARABIC ">
        <w:r w:rsidR="004F5751">
          <w:rPr>
            <w:noProof/>
          </w:rPr>
          <w:t>3</w:t>
        </w:r>
      </w:fldSimple>
      <w:bookmarkEnd w:id="70"/>
      <w:r w:rsidR="00786D38">
        <w:t xml:space="preserve"> tonga design phase baseline analysis</w:t>
      </w:r>
    </w:p>
    <w:p w:rsidR="00EF33C2" w:rsidRDefault="00EF33C2" w:rsidP="00EF33C2">
      <w:pPr>
        <w:pStyle w:val="ListParagraph"/>
        <w:spacing w:after="160" w:line="259" w:lineRule="auto"/>
        <w:ind w:left="360"/>
        <w:jc w:val="both"/>
        <w:rPr>
          <w:lang w:eastAsia="en-AU"/>
        </w:rPr>
      </w:pPr>
    </w:p>
    <w:p w:rsidR="00E35527" w:rsidRPr="00135431" w:rsidRDefault="00E35527" w:rsidP="009D6B25">
      <w:pPr>
        <w:pStyle w:val="ListParagraph"/>
        <w:numPr>
          <w:ilvl w:val="0"/>
          <w:numId w:val="7"/>
        </w:numPr>
        <w:spacing w:after="160" w:line="259" w:lineRule="auto"/>
        <w:jc w:val="both"/>
        <w:rPr>
          <w:lang w:eastAsia="en-AU"/>
        </w:rPr>
      </w:pPr>
      <w:r w:rsidRPr="00135431">
        <w:rPr>
          <w:lang w:eastAsia="en-AU"/>
        </w:rPr>
        <w:t>The extent to which risks are integrated into national level planning and financing and monitoring and evaluation, and how these influence the allocation of funding for development (including through reform of national development priorities, budget processes and financing systems and internal monitoring and evaluation processes.</w:t>
      </w:r>
    </w:p>
    <w:p w:rsidR="00E35527" w:rsidRPr="00135431" w:rsidRDefault="00E35527" w:rsidP="009D6B25">
      <w:pPr>
        <w:pStyle w:val="ListParagraph"/>
        <w:numPr>
          <w:ilvl w:val="0"/>
          <w:numId w:val="7"/>
        </w:numPr>
        <w:spacing w:after="160" w:line="259" w:lineRule="auto"/>
        <w:jc w:val="both"/>
        <w:rPr>
          <w:lang w:eastAsia="en-AU"/>
        </w:rPr>
      </w:pPr>
      <w:r w:rsidRPr="00135431">
        <w:rPr>
          <w:lang w:eastAsia="en-AU"/>
        </w:rPr>
        <w:t xml:space="preserve">The extent to which risks are integrated into community development, including sectors, to influence the way in which these actors seek funding through risk informed project and </w:t>
      </w:r>
      <w:r w:rsidR="00253797">
        <w:rPr>
          <w:lang w:eastAsia="en-AU"/>
        </w:rPr>
        <w:t>project</w:t>
      </w:r>
      <w:r w:rsidRPr="00135431">
        <w:rPr>
          <w:lang w:eastAsia="en-AU"/>
        </w:rPr>
        <w:t xml:space="preserve"> design and implementation.</w:t>
      </w:r>
    </w:p>
    <w:p w:rsidR="00E35527" w:rsidRPr="00135431" w:rsidRDefault="00E35527" w:rsidP="009D6B25">
      <w:pPr>
        <w:pStyle w:val="ListParagraph"/>
        <w:numPr>
          <w:ilvl w:val="0"/>
          <w:numId w:val="7"/>
        </w:numPr>
        <w:spacing w:after="160" w:line="259" w:lineRule="auto"/>
        <w:jc w:val="both"/>
        <w:rPr>
          <w:lang w:eastAsia="en-AU"/>
        </w:rPr>
      </w:pPr>
      <w:r w:rsidRPr="00135431">
        <w:rPr>
          <w:lang w:eastAsia="en-AU"/>
        </w:rPr>
        <w:t xml:space="preserve">The extent to which the gender </w:t>
      </w:r>
      <w:r w:rsidR="00334F07">
        <w:rPr>
          <w:lang w:eastAsia="en-AU"/>
        </w:rPr>
        <w:t>and social inclusion</w:t>
      </w:r>
      <w:r w:rsidRPr="00135431">
        <w:rPr>
          <w:lang w:eastAsia="en-AU"/>
        </w:rPr>
        <w:t xml:space="preserve"> machinery inform risk informed budgeting and planning.</w:t>
      </w:r>
    </w:p>
    <w:p w:rsidR="00E35527" w:rsidRDefault="00E35527" w:rsidP="009D6B25">
      <w:pPr>
        <w:pStyle w:val="ListParagraph"/>
        <w:numPr>
          <w:ilvl w:val="0"/>
          <w:numId w:val="7"/>
        </w:numPr>
        <w:spacing w:after="160" w:line="259" w:lineRule="auto"/>
        <w:jc w:val="both"/>
        <w:rPr>
          <w:lang w:eastAsia="en-AU"/>
        </w:rPr>
      </w:pPr>
      <w:r w:rsidRPr="00135431">
        <w:rPr>
          <w:lang w:eastAsia="en-AU"/>
        </w:rPr>
        <w:t xml:space="preserve">The extent to which country oversight and accountability systems scrutinise for concerns relating to climate change and disaster risks, including by formal audit functions, </w:t>
      </w:r>
      <w:r w:rsidR="00BB5F0F">
        <w:rPr>
          <w:lang w:eastAsia="en-AU"/>
        </w:rPr>
        <w:t>parliament</w:t>
      </w:r>
      <w:r w:rsidR="00A73D56">
        <w:rPr>
          <w:lang w:eastAsia="en-AU"/>
        </w:rPr>
        <w:t>s</w:t>
      </w:r>
      <w:r w:rsidRPr="00135431">
        <w:rPr>
          <w:lang w:eastAsia="en-AU"/>
        </w:rPr>
        <w:t xml:space="preserve">, and advocacy groups. </w:t>
      </w:r>
    </w:p>
    <w:p w:rsidR="002F14AB" w:rsidRPr="00135431" w:rsidRDefault="002F14AB" w:rsidP="00496A45">
      <w:pPr>
        <w:pStyle w:val="Heading2"/>
        <w:jc w:val="left"/>
      </w:pPr>
      <w:bookmarkStart w:id="71" w:name="_Ref21964507"/>
      <w:bookmarkStart w:id="72" w:name="_Toc22745678"/>
      <w:bookmarkStart w:id="73" w:name="_Toc25739970"/>
      <w:bookmarkStart w:id="74" w:name="_Toc25740079"/>
      <w:r w:rsidRPr="00135431">
        <w:t xml:space="preserve">Monitoring </w:t>
      </w:r>
      <w:r w:rsidR="0002106A">
        <w:t>and Reporting</w:t>
      </w:r>
      <w:bookmarkEnd w:id="71"/>
      <w:bookmarkEnd w:id="72"/>
      <w:r w:rsidR="00953E9A">
        <w:t xml:space="preserve"> </w:t>
      </w:r>
      <w:r w:rsidR="007D56D4">
        <w:t>Plan</w:t>
      </w:r>
      <w:bookmarkEnd w:id="73"/>
      <w:bookmarkEnd w:id="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3306"/>
        <w:gridCol w:w="1276"/>
        <w:gridCol w:w="2551"/>
        <w:gridCol w:w="1092"/>
      </w:tblGrid>
      <w:tr w:rsidR="00EF03A4" w:rsidRPr="00135431" w:rsidTr="00E652DC">
        <w:tc>
          <w:tcPr>
            <w:tcW w:w="1367" w:type="dxa"/>
            <w:shd w:val="clear" w:color="auto" w:fill="auto"/>
            <w:vAlign w:val="center"/>
          </w:tcPr>
          <w:p w:rsidR="00EF03A4" w:rsidRPr="00176B9D" w:rsidRDefault="00EF03A4" w:rsidP="005A338D">
            <w:pPr>
              <w:spacing w:after="0"/>
              <w:rPr>
                <w:b/>
                <w:sz w:val="18"/>
              </w:rPr>
            </w:pPr>
            <w:r w:rsidRPr="00176B9D">
              <w:rPr>
                <w:b/>
                <w:sz w:val="18"/>
              </w:rPr>
              <w:t>Monitoring Activity</w:t>
            </w:r>
          </w:p>
        </w:tc>
        <w:tc>
          <w:tcPr>
            <w:tcW w:w="3306" w:type="dxa"/>
            <w:shd w:val="clear" w:color="auto" w:fill="auto"/>
            <w:vAlign w:val="center"/>
          </w:tcPr>
          <w:p w:rsidR="00EF03A4" w:rsidRPr="00176B9D" w:rsidRDefault="00EF03A4" w:rsidP="005A338D">
            <w:pPr>
              <w:spacing w:after="0"/>
              <w:rPr>
                <w:b/>
                <w:sz w:val="18"/>
              </w:rPr>
            </w:pPr>
            <w:r w:rsidRPr="00176B9D">
              <w:rPr>
                <w:b/>
                <w:sz w:val="18"/>
              </w:rPr>
              <w:t>Purpose</w:t>
            </w:r>
          </w:p>
        </w:tc>
        <w:tc>
          <w:tcPr>
            <w:tcW w:w="1276" w:type="dxa"/>
            <w:shd w:val="clear" w:color="auto" w:fill="auto"/>
            <w:vAlign w:val="center"/>
          </w:tcPr>
          <w:p w:rsidR="00EF03A4" w:rsidRPr="00176B9D" w:rsidRDefault="00EF03A4" w:rsidP="005A338D">
            <w:pPr>
              <w:spacing w:after="0"/>
              <w:rPr>
                <w:b/>
                <w:sz w:val="18"/>
              </w:rPr>
            </w:pPr>
            <w:r w:rsidRPr="00176B9D">
              <w:rPr>
                <w:b/>
                <w:sz w:val="18"/>
              </w:rPr>
              <w:t>Frequency</w:t>
            </w:r>
          </w:p>
        </w:tc>
        <w:tc>
          <w:tcPr>
            <w:tcW w:w="2551" w:type="dxa"/>
            <w:shd w:val="clear" w:color="auto" w:fill="auto"/>
            <w:vAlign w:val="center"/>
          </w:tcPr>
          <w:p w:rsidR="00EF03A4" w:rsidRPr="00176B9D" w:rsidRDefault="00EF03A4" w:rsidP="005A338D">
            <w:pPr>
              <w:spacing w:after="0"/>
              <w:rPr>
                <w:b/>
                <w:sz w:val="18"/>
              </w:rPr>
            </w:pPr>
            <w:r w:rsidRPr="00176B9D">
              <w:rPr>
                <w:b/>
                <w:sz w:val="18"/>
              </w:rPr>
              <w:t>Expected Action</w:t>
            </w:r>
          </w:p>
        </w:tc>
        <w:tc>
          <w:tcPr>
            <w:tcW w:w="1092" w:type="dxa"/>
          </w:tcPr>
          <w:p w:rsidR="00EF03A4" w:rsidRPr="00176B9D" w:rsidRDefault="00EF03A4" w:rsidP="005A338D">
            <w:pPr>
              <w:spacing w:after="0"/>
              <w:rPr>
                <w:b/>
                <w:sz w:val="18"/>
              </w:rPr>
            </w:pPr>
            <w:r>
              <w:rPr>
                <w:b/>
                <w:sz w:val="18"/>
              </w:rPr>
              <w:t>Cost (if any)</w:t>
            </w:r>
          </w:p>
        </w:tc>
      </w:tr>
      <w:tr w:rsidR="00EF03A4" w:rsidRPr="00AF1856" w:rsidTr="00E652DC">
        <w:tc>
          <w:tcPr>
            <w:tcW w:w="1367" w:type="dxa"/>
            <w:shd w:val="clear" w:color="auto" w:fill="auto"/>
            <w:vAlign w:val="center"/>
          </w:tcPr>
          <w:p w:rsidR="00EF03A4" w:rsidRPr="00176B9D" w:rsidRDefault="00EF03A4" w:rsidP="00E652DC">
            <w:pPr>
              <w:spacing w:after="0"/>
              <w:rPr>
                <w:b/>
                <w:sz w:val="18"/>
              </w:rPr>
            </w:pPr>
            <w:r w:rsidRPr="00176B9D">
              <w:rPr>
                <w:b/>
                <w:sz w:val="18"/>
              </w:rPr>
              <w:t>Track results progress</w:t>
            </w:r>
          </w:p>
        </w:tc>
        <w:tc>
          <w:tcPr>
            <w:tcW w:w="3306" w:type="dxa"/>
            <w:shd w:val="clear" w:color="auto" w:fill="auto"/>
          </w:tcPr>
          <w:p w:rsidR="00EF03A4" w:rsidRPr="00AF1856" w:rsidRDefault="00EF03A4" w:rsidP="00E652DC">
            <w:pPr>
              <w:spacing w:after="0"/>
              <w:rPr>
                <w:sz w:val="18"/>
              </w:rPr>
            </w:pPr>
            <w:r w:rsidRPr="00AF1856">
              <w:rPr>
                <w:rFonts w:cs="Arial"/>
                <w:sz w:val="18"/>
              </w:rPr>
              <w:t>Progress data against the results indicators in the RRF will be collected and analysed to assess the progress of the project in achieving the agreed outputs.</w:t>
            </w:r>
          </w:p>
        </w:tc>
        <w:tc>
          <w:tcPr>
            <w:tcW w:w="1276" w:type="dxa"/>
            <w:shd w:val="clear" w:color="auto" w:fill="auto"/>
          </w:tcPr>
          <w:p w:rsidR="00EF03A4" w:rsidRPr="00AF1856" w:rsidRDefault="00EF03A4" w:rsidP="00B32CD7">
            <w:pPr>
              <w:spacing w:after="0"/>
              <w:rPr>
                <w:sz w:val="18"/>
              </w:rPr>
            </w:pPr>
            <w:r w:rsidRPr="00AF1856">
              <w:rPr>
                <w:sz w:val="18"/>
              </w:rPr>
              <w:t>Quarterly, or in the frequency required for each indicator.</w:t>
            </w:r>
          </w:p>
        </w:tc>
        <w:tc>
          <w:tcPr>
            <w:tcW w:w="2551" w:type="dxa"/>
            <w:shd w:val="clear" w:color="auto" w:fill="auto"/>
          </w:tcPr>
          <w:p w:rsidR="00EF03A4" w:rsidRPr="00AF1856" w:rsidRDefault="00EF03A4" w:rsidP="00E652DC">
            <w:pPr>
              <w:spacing w:after="0"/>
              <w:rPr>
                <w:sz w:val="18"/>
              </w:rPr>
            </w:pPr>
            <w:r w:rsidRPr="00AF1856">
              <w:rPr>
                <w:rFonts w:cs="Arial"/>
                <w:sz w:val="18"/>
              </w:rPr>
              <w:t>Slower than expected progress will be addressed by project management.</w:t>
            </w:r>
          </w:p>
        </w:tc>
        <w:tc>
          <w:tcPr>
            <w:tcW w:w="1092" w:type="dxa"/>
            <w:vMerge w:val="restart"/>
          </w:tcPr>
          <w:p w:rsidR="00EF03A4" w:rsidRPr="00AF1856" w:rsidRDefault="00EF03A4" w:rsidP="005A338D">
            <w:pPr>
              <w:spacing w:after="0"/>
              <w:rPr>
                <w:rFonts w:cs="Arial"/>
                <w:sz w:val="18"/>
              </w:rPr>
            </w:pPr>
            <w:r>
              <w:rPr>
                <w:rFonts w:cs="Arial"/>
                <w:sz w:val="18"/>
              </w:rPr>
              <w:t>43,600</w:t>
            </w:r>
          </w:p>
        </w:tc>
      </w:tr>
      <w:tr w:rsidR="00EF03A4" w:rsidRPr="00AF1856" w:rsidTr="00E652DC">
        <w:tc>
          <w:tcPr>
            <w:tcW w:w="1367" w:type="dxa"/>
            <w:shd w:val="clear" w:color="auto" w:fill="auto"/>
            <w:vAlign w:val="center"/>
          </w:tcPr>
          <w:p w:rsidR="00EF03A4" w:rsidRPr="00176B9D" w:rsidRDefault="00EF03A4" w:rsidP="00E652DC">
            <w:pPr>
              <w:spacing w:after="0"/>
              <w:rPr>
                <w:b/>
                <w:sz w:val="18"/>
              </w:rPr>
            </w:pPr>
            <w:r w:rsidRPr="00176B9D">
              <w:rPr>
                <w:b/>
                <w:sz w:val="18"/>
              </w:rPr>
              <w:t>Monitor and Manage Risk</w:t>
            </w:r>
          </w:p>
        </w:tc>
        <w:tc>
          <w:tcPr>
            <w:tcW w:w="3306" w:type="dxa"/>
            <w:shd w:val="clear" w:color="auto" w:fill="auto"/>
          </w:tcPr>
          <w:p w:rsidR="00EF03A4" w:rsidRPr="00AF1856" w:rsidRDefault="00EF03A4" w:rsidP="00E652DC">
            <w:pPr>
              <w:spacing w:after="0"/>
              <w:rPr>
                <w:rFonts w:cs="Arial"/>
                <w:sz w:val="18"/>
                <w:lang w:val="en-US"/>
              </w:rPr>
            </w:pPr>
            <w:r w:rsidRPr="00AF1856">
              <w:rPr>
                <w:sz w:val="18"/>
              </w:rPr>
              <w:t xml:space="preserve">Identify specific risks that may threaten achievement of intended results. Identify and monitor risk management actions using a risk log. </w:t>
            </w:r>
            <w:r w:rsidRPr="00AF1856">
              <w:rPr>
                <w:rFonts w:cs="Arial"/>
                <w:sz w:val="18"/>
                <w:lang w:val="en-US"/>
              </w:rPr>
              <w:t>This includes monitoring measures and plans that may have been required as per UNDP’s Social and Environmental Standards. Audits will be conducted in accordance with UNDP’s audit policy to manage financial risk.</w:t>
            </w:r>
          </w:p>
        </w:tc>
        <w:tc>
          <w:tcPr>
            <w:tcW w:w="1276" w:type="dxa"/>
            <w:shd w:val="clear" w:color="auto" w:fill="auto"/>
            <w:vAlign w:val="center"/>
          </w:tcPr>
          <w:p w:rsidR="00EF03A4" w:rsidRPr="00AF1856" w:rsidRDefault="00EF03A4" w:rsidP="005A338D">
            <w:pPr>
              <w:spacing w:after="0"/>
              <w:rPr>
                <w:sz w:val="18"/>
              </w:rPr>
            </w:pPr>
            <w:r w:rsidRPr="00AF1856">
              <w:rPr>
                <w:sz w:val="18"/>
              </w:rPr>
              <w:t>Quarterly</w:t>
            </w:r>
          </w:p>
        </w:tc>
        <w:tc>
          <w:tcPr>
            <w:tcW w:w="2551" w:type="dxa"/>
            <w:shd w:val="clear" w:color="auto" w:fill="auto"/>
          </w:tcPr>
          <w:p w:rsidR="00EF03A4" w:rsidRPr="00AF1856" w:rsidRDefault="00EF03A4" w:rsidP="00E652DC">
            <w:pPr>
              <w:spacing w:after="0"/>
              <w:rPr>
                <w:sz w:val="18"/>
              </w:rPr>
            </w:pPr>
            <w:r w:rsidRPr="00AF1856">
              <w:rPr>
                <w:sz w:val="18"/>
              </w:rPr>
              <w:t>Risks are identified by project management and actions are taken to manage risk. The risk log is actively maintained to keep track of identified risks and actions taken.</w:t>
            </w:r>
          </w:p>
        </w:tc>
        <w:tc>
          <w:tcPr>
            <w:tcW w:w="1092" w:type="dxa"/>
            <w:vMerge/>
          </w:tcPr>
          <w:p w:rsidR="00EF03A4" w:rsidRPr="00AF1856" w:rsidRDefault="00EF03A4">
            <w:pPr>
              <w:spacing w:after="0"/>
              <w:rPr>
                <w:sz w:val="18"/>
              </w:rPr>
            </w:pPr>
          </w:p>
        </w:tc>
      </w:tr>
      <w:tr w:rsidR="00EF03A4" w:rsidRPr="00AF1856" w:rsidTr="00E652DC">
        <w:tc>
          <w:tcPr>
            <w:tcW w:w="1367" w:type="dxa"/>
            <w:shd w:val="clear" w:color="auto" w:fill="auto"/>
            <w:vAlign w:val="center"/>
          </w:tcPr>
          <w:p w:rsidR="00EF03A4" w:rsidRPr="00176B9D" w:rsidRDefault="00EF03A4" w:rsidP="00E652DC">
            <w:pPr>
              <w:spacing w:after="0"/>
              <w:rPr>
                <w:b/>
                <w:sz w:val="18"/>
              </w:rPr>
            </w:pPr>
            <w:r w:rsidRPr="00176B9D">
              <w:rPr>
                <w:b/>
                <w:sz w:val="18"/>
              </w:rPr>
              <w:t xml:space="preserve">Learn </w:t>
            </w:r>
          </w:p>
        </w:tc>
        <w:tc>
          <w:tcPr>
            <w:tcW w:w="3306" w:type="dxa"/>
            <w:shd w:val="clear" w:color="auto" w:fill="auto"/>
            <w:vAlign w:val="center"/>
          </w:tcPr>
          <w:p w:rsidR="00EF03A4" w:rsidRPr="00AF1856" w:rsidRDefault="00EF03A4" w:rsidP="00E652DC">
            <w:pPr>
              <w:spacing w:after="0"/>
              <w:rPr>
                <w:sz w:val="18"/>
              </w:rPr>
            </w:pPr>
            <w:r w:rsidRPr="00AF1856">
              <w:rPr>
                <w:rFonts w:cs="Arial"/>
                <w:sz w:val="18"/>
                <w:lang w:val="en-US"/>
              </w:rPr>
              <w:t>Knowledge, good practices and lessons will be captured regularly, as well as actively sourced from other projects and partners and integrated back into the project.</w:t>
            </w:r>
          </w:p>
        </w:tc>
        <w:tc>
          <w:tcPr>
            <w:tcW w:w="1276" w:type="dxa"/>
            <w:shd w:val="clear" w:color="auto" w:fill="auto"/>
            <w:vAlign w:val="center"/>
          </w:tcPr>
          <w:p w:rsidR="00EF03A4" w:rsidRPr="00AF1856" w:rsidRDefault="00EF03A4" w:rsidP="005A338D">
            <w:pPr>
              <w:spacing w:after="0"/>
              <w:rPr>
                <w:sz w:val="18"/>
              </w:rPr>
            </w:pPr>
            <w:r w:rsidRPr="00AF1856">
              <w:rPr>
                <w:sz w:val="18"/>
              </w:rPr>
              <w:t>At least annually</w:t>
            </w:r>
          </w:p>
        </w:tc>
        <w:tc>
          <w:tcPr>
            <w:tcW w:w="2551" w:type="dxa"/>
            <w:shd w:val="clear" w:color="auto" w:fill="auto"/>
            <w:vAlign w:val="center"/>
          </w:tcPr>
          <w:p w:rsidR="00EF03A4" w:rsidRPr="00AF1856" w:rsidRDefault="00EF03A4" w:rsidP="00E652DC">
            <w:pPr>
              <w:spacing w:after="0"/>
              <w:rPr>
                <w:sz w:val="18"/>
              </w:rPr>
            </w:pPr>
            <w:r w:rsidRPr="00AF1856">
              <w:rPr>
                <w:sz w:val="18"/>
              </w:rPr>
              <w:t>Relevant lessons are captured by the project team and used to inform management decisions.</w:t>
            </w:r>
          </w:p>
        </w:tc>
        <w:tc>
          <w:tcPr>
            <w:tcW w:w="1092" w:type="dxa"/>
            <w:vMerge/>
          </w:tcPr>
          <w:p w:rsidR="00EF03A4" w:rsidRPr="00AF1856" w:rsidRDefault="00EF03A4">
            <w:pPr>
              <w:spacing w:after="0"/>
              <w:rPr>
                <w:sz w:val="18"/>
              </w:rPr>
            </w:pPr>
          </w:p>
        </w:tc>
      </w:tr>
      <w:tr w:rsidR="00EF03A4" w:rsidRPr="00AF1856" w:rsidTr="00E652DC">
        <w:tc>
          <w:tcPr>
            <w:tcW w:w="1367" w:type="dxa"/>
            <w:shd w:val="clear" w:color="auto" w:fill="auto"/>
            <w:vAlign w:val="center"/>
          </w:tcPr>
          <w:p w:rsidR="00EF03A4" w:rsidRPr="00176B9D" w:rsidRDefault="00EF03A4" w:rsidP="00E652DC">
            <w:pPr>
              <w:spacing w:after="0"/>
              <w:rPr>
                <w:b/>
                <w:sz w:val="18"/>
              </w:rPr>
            </w:pPr>
            <w:r w:rsidRPr="00176B9D">
              <w:rPr>
                <w:b/>
                <w:sz w:val="18"/>
              </w:rPr>
              <w:t>Review and Make Course Corrections</w:t>
            </w:r>
          </w:p>
        </w:tc>
        <w:tc>
          <w:tcPr>
            <w:tcW w:w="3306" w:type="dxa"/>
            <w:shd w:val="clear" w:color="auto" w:fill="auto"/>
            <w:vAlign w:val="center"/>
          </w:tcPr>
          <w:p w:rsidR="00EF03A4" w:rsidRPr="00AF1856" w:rsidRDefault="00EF03A4" w:rsidP="00E652DC">
            <w:pPr>
              <w:spacing w:after="0"/>
              <w:rPr>
                <w:sz w:val="18"/>
              </w:rPr>
            </w:pPr>
            <w:r w:rsidRPr="00AF1856">
              <w:rPr>
                <w:sz w:val="18"/>
              </w:rPr>
              <w:t>Internal review of data and evidence from all monitoring actions to inform decision making.</w:t>
            </w:r>
          </w:p>
        </w:tc>
        <w:tc>
          <w:tcPr>
            <w:tcW w:w="1276" w:type="dxa"/>
            <w:shd w:val="clear" w:color="auto" w:fill="auto"/>
            <w:vAlign w:val="center"/>
          </w:tcPr>
          <w:p w:rsidR="00EF03A4" w:rsidRPr="00AF1856" w:rsidRDefault="00EF03A4" w:rsidP="005A338D">
            <w:pPr>
              <w:spacing w:after="0"/>
              <w:rPr>
                <w:sz w:val="18"/>
              </w:rPr>
            </w:pPr>
            <w:r w:rsidRPr="00AF1856">
              <w:rPr>
                <w:sz w:val="18"/>
              </w:rPr>
              <w:t>At least annually</w:t>
            </w:r>
          </w:p>
        </w:tc>
        <w:tc>
          <w:tcPr>
            <w:tcW w:w="2551" w:type="dxa"/>
            <w:shd w:val="clear" w:color="auto" w:fill="auto"/>
          </w:tcPr>
          <w:p w:rsidR="00EF03A4" w:rsidRPr="00AF1856" w:rsidRDefault="00EF03A4" w:rsidP="00E652DC">
            <w:pPr>
              <w:spacing w:after="0"/>
              <w:rPr>
                <w:sz w:val="18"/>
              </w:rPr>
            </w:pPr>
            <w:r w:rsidRPr="00AF1856">
              <w:rPr>
                <w:sz w:val="18"/>
              </w:rPr>
              <w:t>Performance data, risks, lessons and quality will be discussed by the project board and used to make course corrections.</w:t>
            </w:r>
          </w:p>
        </w:tc>
        <w:tc>
          <w:tcPr>
            <w:tcW w:w="1092" w:type="dxa"/>
            <w:vMerge/>
          </w:tcPr>
          <w:p w:rsidR="00EF03A4" w:rsidRPr="00AF1856" w:rsidRDefault="00EF03A4">
            <w:pPr>
              <w:spacing w:after="0"/>
              <w:rPr>
                <w:sz w:val="18"/>
              </w:rPr>
            </w:pPr>
          </w:p>
        </w:tc>
      </w:tr>
      <w:tr w:rsidR="00EF03A4" w:rsidRPr="00AF1856" w:rsidTr="00E652DC">
        <w:tc>
          <w:tcPr>
            <w:tcW w:w="1367" w:type="dxa"/>
            <w:shd w:val="clear" w:color="auto" w:fill="auto"/>
            <w:vAlign w:val="center"/>
          </w:tcPr>
          <w:p w:rsidR="00EF03A4" w:rsidRPr="00176B9D" w:rsidRDefault="00EF03A4" w:rsidP="00E652DC">
            <w:pPr>
              <w:spacing w:after="0"/>
              <w:rPr>
                <w:b/>
                <w:sz w:val="18"/>
              </w:rPr>
            </w:pPr>
            <w:r w:rsidRPr="00176B9D">
              <w:rPr>
                <w:b/>
                <w:sz w:val="18"/>
              </w:rPr>
              <w:t>Project Report</w:t>
            </w:r>
          </w:p>
        </w:tc>
        <w:tc>
          <w:tcPr>
            <w:tcW w:w="3306" w:type="dxa"/>
            <w:shd w:val="clear" w:color="auto" w:fill="auto"/>
            <w:vAlign w:val="center"/>
          </w:tcPr>
          <w:p w:rsidR="00EF03A4" w:rsidRPr="00AF1856" w:rsidRDefault="00EF03A4" w:rsidP="00E652DC">
            <w:pPr>
              <w:spacing w:after="0"/>
              <w:rPr>
                <w:sz w:val="18"/>
              </w:rPr>
            </w:pPr>
            <w:r w:rsidRPr="00AF1856">
              <w:rPr>
                <w:rFonts w:cs="Arial"/>
                <w:sz w:val="18"/>
                <w:lang w:val="en-US"/>
              </w:rPr>
              <w:t xml:space="preserve">A progress report will be presented to the Project Board and key stakeholders, consisting of progress data showing the results achieved against pre-defined annual targets at the output level, the annual project quality rating summary, an updated risk long with mitigation measures, and any evaluation or review reports prepared over the period. </w:t>
            </w:r>
          </w:p>
        </w:tc>
        <w:tc>
          <w:tcPr>
            <w:tcW w:w="1276" w:type="dxa"/>
            <w:shd w:val="clear" w:color="auto" w:fill="auto"/>
            <w:vAlign w:val="center"/>
          </w:tcPr>
          <w:p w:rsidR="00EF03A4" w:rsidRPr="00AF1856" w:rsidRDefault="00EF03A4" w:rsidP="005A338D">
            <w:pPr>
              <w:spacing w:after="0"/>
              <w:rPr>
                <w:sz w:val="18"/>
              </w:rPr>
            </w:pPr>
            <w:r w:rsidRPr="00AF1856">
              <w:rPr>
                <w:sz w:val="18"/>
              </w:rPr>
              <w:t>Annually, and at the end of the project (final report)</w:t>
            </w:r>
          </w:p>
        </w:tc>
        <w:tc>
          <w:tcPr>
            <w:tcW w:w="2551" w:type="dxa"/>
            <w:shd w:val="clear" w:color="auto" w:fill="auto"/>
          </w:tcPr>
          <w:p w:rsidR="00EF03A4" w:rsidRPr="00AF1856" w:rsidRDefault="00EF03A4" w:rsidP="00E652DC">
            <w:pPr>
              <w:spacing w:after="0"/>
              <w:rPr>
                <w:sz w:val="18"/>
              </w:rPr>
            </w:pPr>
          </w:p>
        </w:tc>
        <w:tc>
          <w:tcPr>
            <w:tcW w:w="1092" w:type="dxa"/>
            <w:vMerge/>
          </w:tcPr>
          <w:p w:rsidR="00EF03A4" w:rsidRPr="00AF1856" w:rsidRDefault="00EF03A4">
            <w:pPr>
              <w:spacing w:after="0"/>
              <w:rPr>
                <w:sz w:val="18"/>
              </w:rPr>
            </w:pPr>
          </w:p>
        </w:tc>
      </w:tr>
      <w:tr w:rsidR="00EF03A4" w:rsidRPr="00AF1856" w:rsidTr="00E652DC">
        <w:tc>
          <w:tcPr>
            <w:tcW w:w="1367" w:type="dxa"/>
            <w:shd w:val="clear" w:color="auto" w:fill="auto"/>
            <w:vAlign w:val="center"/>
          </w:tcPr>
          <w:p w:rsidR="00EF03A4" w:rsidRPr="00176B9D" w:rsidRDefault="00EF03A4" w:rsidP="00E652DC">
            <w:pPr>
              <w:spacing w:after="0"/>
              <w:rPr>
                <w:b/>
                <w:sz w:val="18"/>
              </w:rPr>
            </w:pPr>
            <w:r w:rsidRPr="00176B9D">
              <w:rPr>
                <w:b/>
                <w:sz w:val="18"/>
              </w:rPr>
              <w:t>Project Review (Project Board)</w:t>
            </w:r>
          </w:p>
        </w:tc>
        <w:tc>
          <w:tcPr>
            <w:tcW w:w="3306" w:type="dxa"/>
            <w:shd w:val="clear" w:color="auto" w:fill="auto"/>
            <w:vAlign w:val="center"/>
          </w:tcPr>
          <w:p w:rsidR="00EF03A4" w:rsidRPr="00AF1856" w:rsidRDefault="00EF03A4" w:rsidP="00E652DC">
            <w:pPr>
              <w:spacing w:after="0"/>
              <w:rPr>
                <w:sz w:val="18"/>
              </w:rPr>
            </w:pPr>
            <w:r w:rsidRPr="00AF1856">
              <w:rPr>
                <w:rFonts w:cs="Arial"/>
                <w:sz w:val="18"/>
                <w:lang w:val="en-US"/>
              </w:rPr>
              <w:t xml:space="preserve">The project’s governance mechanism (i.e., </w:t>
            </w:r>
            <w:r w:rsidR="00762F69">
              <w:rPr>
                <w:rFonts w:cs="Arial"/>
                <w:sz w:val="18"/>
                <w:lang w:val="en-US"/>
              </w:rPr>
              <w:t>P</w:t>
            </w:r>
            <w:r w:rsidRPr="00AF1856">
              <w:rPr>
                <w:rFonts w:cs="Arial"/>
                <w:sz w:val="18"/>
                <w:lang w:val="en-US"/>
              </w:rPr>
              <w:t xml:space="preserve">roject </w:t>
            </w:r>
            <w:r w:rsidR="00762F69">
              <w:rPr>
                <w:rFonts w:cs="Arial"/>
                <w:sz w:val="18"/>
                <w:lang w:val="en-US"/>
              </w:rPr>
              <w:t>B</w:t>
            </w:r>
            <w:r w:rsidRPr="00AF1856">
              <w:rPr>
                <w:rFonts w:cs="Arial"/>
                <w:sz w:val="18"/>
                <w:lang w:val="en-US"/>
              </w:rPr>
              <w:t xml:space="preserve">oard) will hold regular project reviews to assess the performance of the project and review the Multi-Year Work Plan to ensure realistic budgeting over the life of the project. </w:t>
            </w:r>
            <w:r w:rsidRPr="00AF1856">
              <w:rPr>
                <w:sz w:val="18"/>
              </w:rPr>
              <w:t>In the project’s final year, the Project Board shall hold an end-of project review to capture lessons learned and discuss opportunities for scaling up and to socialize project results and lessons learned with relevant audiences.</w:t>
            </w:r>
          </w:p>
        </w:tc>
        <w:tc>
          <w:tcPr>
            <w:tcW w:w="1276" w:type="dxa"/>
            <w:shd w:val="clear" w:color="auto" w:fill="auto"/>
            <w:vAlign w:val="center"/>
          </w:tcPr>
          <w:p w:rsidR="00EF03A4" w:rsidRPr="00AF1856" w:rsidRDefault="002B60B1" w:rsidP="005A338D">
            <w:pPr>
              <w:spacing w:after="0"/>
              <w:rPr>
                <w:sz w:val="18"/>
              </w:rPr>
            </w:pPr>
            <w:r w:rsidRPr="005A338D">
              <w:rPr>
                <w:sz w:val="18"/>
              </w:rPr>
              <w:t>A</w:t>
            </w:r>
            <w:r w:rsidR="00EF03A4" w:rsidRPr="002B60B1">
              <w:rPr>
                <w:sz w:val="18"/>
              </w:rPr>
              <w:t>t least annually</w:t>
            </w:r>
          </w:p>
        </w:tc>
        <w:tc>
          <w:tcPr>
            <w:tcW w:w="2551" w:type="dxa"/>
            <w:shd w:val="clear" w:color="auto" w:fill="auto"/>
            <w:vAlign w:val="center"/>
          </w:tcPr>
          <w:p w:rsidR="00EF03A4" w:rsidRPr="00AF1856" w:rsidRDefault="00EF03A4" w:rsidP="00E652DC">
            <w:pPr>
              <w:rPr>
                <w:sz w:val="18"/>
              </w:rPr>
            </w:pPr>
            <w:r w:rsidRPr="00AF1856">
              <w:rPr>
                <w:rFonts w:cs="Arial"/>
                <w:sz w:val="18"/>
                <w:lang w:val="en-US"/>
              </w:rPr>
              <w:t xml:space="preserve">Any quality concerns or slower than expected progress should be discussed by the project board and management actions agreed to address the issues identified. </w:t>
            </w:r>
          </w:p>
        </w:tc>
        <w:tc>
          <w:tcPr>
            <w:tcW w:w="1092" w:type="dxa"/>
            <w:vMerge/>
          </w:tcPr>
          <w:p w:rsidR="00EF03A4" w:rsidRPr="00AF1856" w:rsidRDefault="00EF03A4">
            <w:pPr>
              <w:rPr>
                <w:rFonts w:cs="Arial"/>
                <w:sz w:val="18"/>
                <w:lang w:val="en-US"/>
              </w:rPr>
            </w:pPr>
          </w:p>
        </w:tc>
      </w:tr>
      <w:tr w:rsidR="00EF03A4" w:rsidRPr="00AF1856" w:rsidTr="00E652DC">
        <w:tc>
          <w:tcPr>
            <w:tcW w:w="1367" w:type="dxa"/>
            <w:shd w:val="clear" w:color="auto" w:fill="auto"/>
            <w:vAlign w:val="center"/>
          </w:tcPr>
          <w:p w:rsidR="00EF03A4" w:rsidRPr="00176B9D" w:rsidRDefault="00EF03A4" w:rsidP="00E652DC">
            <w:pPr>
              <w:spacing w:after="0"/>
              <w:rPr>
                <w:b/>
                <w:sz w:val="18"/>
              </w:rPr>
            </w:pPr>
            <w:r w:rsidRPr="00176B9D">
              <w:rPr>
                <w:b/>
                <w:sz w:val="18"/>
              </w:rPr>
              <w:t>Annual Project Quality Assurance</w:t>
            </w:r>
          </w:p>
        </w:tc>
        <w:tc>
          <w:tcPr>
            <w:tcW w:w="3306" w:type="dxa"/>
            <w:shd w:val="clear" w:color="auto" w:fill="auto"/>
            <w:vAlign w:val="center"/>
          </w:tcPr>
          <w:p w:rsidR="00EF03A4" w:rsidRPr="00AF1856" w:rsidRDefault="00EF03A4" w:rsidP="00E652DC">
            <w:pPr>
              <w:spacing w:after="0"/>
              <w:rPr>
                <w:rFonts w:cs="Arial"/>
                <w:sz w:val="18"/>
                <w:lang w:val="en-US"/>
              </w:rPr>
            </w:pPr>
            <w:r w:rsidRPr="00AF1856">
              <w:rPr>
                <w:rFonts w:cs="Arial"/>
                <w:sz w:val="18"/>
              </w:rPr>
              <w:t>The quality of the project will be assessed against UNDP’s quality standards to identify project strengths and weaknesses and to inform management decision making to improve the project.</w:t>
            </w:r>
          </w:p>
        </w:tc>
        <w:tc>
          <w:tcPr>
            <w:tcW w:w="1276" w:type="dxa"/>
            <w:shd w:val="clear" w:color="auto" w:fill="auto"/>
            <w:vAlign w:val="center"/>
          </w:tcPr>
          <w:p w:rsidR="00EF03A4" w:rsidRPr="00AF1856" w:rsidRDefault="00EF03A4" w:rsidP="005A338D">
            <w:pPr>
              <w:spacing w:after="0"/>
              <w:rPr>
                <w:sz w:val="18"/>
              </w:rPr>
            </w:pPr>
            <w:r w:rsidRPr="00AF1856">
              <w:rPr>
                <w:sz w:val="18"/>
              </w:rPr>
              <w:t>Annually</w:t>
            </w:r>
          </w:p>
        </w:tc>
        <w:tc>
          <w:tcPr>
            <w:tcW w:w="2551" w:type="dxa"/>
            <w:shd w:val="clear" w:color="auto" w:fill="auto"/>
            <w:vAlign w:val="center"/>
          </w:tcPr>
          <w:p w:rsidR="00EF03A4" w:rsidRPr="00AF1856" w:rsidRDefault="00EF03A4" w:rsidP="00E652DC">
            <w:pPr>
              <w:spacing w:after="0"/>
              <w:rPr>
                <w:sz w:val="18"/>
              </w:rPr>
            </w:pPr>
            <w:r w:rsidRPr="00AF1856">
              <w:rPr>
                <w:sz w:val="18"/>
              </w:rPr>
              <w:t>Areas of strength and weakness will be reviewed by project management and used to inform decisions to improve project performance.</w:t>
            </w:r>
          </w:p>
        </w:tc>
        <w:tc>
          <w:tcPr>
            <w:tcW w:w="1092" w:type="dxa"/>
          </w:tcPr>
          <w:p w:rsidR="00EF03A4" w:rsidRPr="00AF1856" w:rsidRDefault="00EF03A4" w:rsidP="005A338D">
            <w:pPr>
              <w:spacing w:after="0"/>
              <w:rPr>
                <w:sz w:val="18"/>
              </w:rPr>
            </w:pPr>
            <w:r>
              <w:rPr>
                <w:sz w:val="18"/>
              </w:rPr>
              <w:t>43,100</w:t>
            </w:r>
          </w:p>
        </w:tc>
      </w:tr>
    </w:tbl>
    <w:p w:rsidR="00EF03A4" w:rsidRPr="00135431" w:rsidRDefault="00EF03A4" w:rsidP="00EF03A4">
      <w:pPr>
        <w:spacing w:after="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1427"/>
        <w:gridCol w:w="1121"/>
        <w:gridCol w:w="1414"/>
        <w:gridCol w:w="1317"/>
        <w:gridCol w:w="1410"/>
        <w:gridCol w:w="1132"/>
      </w:tblGrid>
      <w:tr w:rsidR="00EF03A4" w:rsidRPr="00135431" w:rsidTr="00EF03A4">
        <w:trPr>
          <w:trHeight w:val="422"/>
        </w:trPr>
        <w:tc>
          <w:tcPr>
            <w:tcW w:w="1775" w:type="dxa"/>
            <w:shd w:val="clear" w:color="auto" w:fill="auto"/>
            <w:vAlign w:val="center"/>
          </w:tcPr>
          <w:p w:rsidR="00EF03A4" w:rsidRPr="00176B9D" w:rsidRDefault="00EF03A4" w:rsidP="00E652DC">
            <w:pPr>
              <w:spacing w:after="0"/>
              <w:rPr>
                <w:b/>
                <w:sz w:val="18"/>
              </w:rPr>
            </w:pPr>
            <w:r w:rsidRPr="00176B9D">
              <w:rPr>
                <w:b/>
                <w:sz w:val="18"/>
              </w:rPr>
              <w:t xml:space="preserve">Evaluation </w:t>
            </w:r>
            <w:r>
              <w:rPr>
                <w:b/>
                <w:sz w:val="18"/>
              </w:rPr>
              <w:t>Activity</w:t>
            </w:r>
          </w:p>
        </w:tc>
        <w:tc>
          <w:tcPr>
            <w:tcW w:w="1430" w:type="dxa"/>
            <w:shd w:val="clear" w:color="auto" w:fill="auto"/>
            <w:vAlign w:val="center"/>
          </w:tcPr>
          <w:p w:rsidR="00EF03A4" w:rsidRPr="00176B9D" w:rsidRDefault="00EF03A4" w:rsidP="00E652DC">
            <w:pPr>
              <w:spacing w:after="0"/>
              <w:jc w:val="center"/>
              <w:rPr>
                <w:b/>
                <w:sz w:val="18"/>
              </w:rPr>
            </w:pPr>
            <w:r w:rsidRPr="00176B9D">
              <w:rPr>
                <w:b/>
                <w:sz w:val="18"/>
              </w:rPr>
              <w:t>Partners (if joint)</w:t>
            </w:r>
          </w:p>
        </w:tc>
        <w:tc>
          <w:tcPr>
            <w:tcW w:w="1122" w:type="dxa"/>
            <w:shd w:val="clear" w:color="auto" w:fill="auto"/>
            <w:vAlign w:val="center"/>
          </w:tcPr>
          <w:p w:rsidR="00EF03A4" w:rsidRPr="00176B9D" w:rsidRDefault="00EF03A4" w:rsidP="00E652DC">
            <w:pPr>
              <w:spacing w:after="0"/>
              <w:jc w:val="center"/>
              <w:rPr>
                <w:b/>
                <w:sz w:val="18"/>
              </w:rPr>
            </w:pPr>
            <w:r w:rsidRPr="00176B9D">
              <w:rPr>
                <w:b/>
                <w:sz w:val="18"/>
              </w:rPr>
              <w:t>Related Strategic Plan Output</w:t>
            </w:r>
          </w:p>
        </w:tc>
        <w:tc>
          <w:tcPr>
            <w:tcW w:w="1416" w:type="dxa"/>
            <w:shd w:val="clear" w:color="auto" w:fill="auto"/>
            <w:vAlign w:val="center"/>
          </w:tcPr>
          <w:p w:rsidR="00EF03A4" w:rsidRPr="00176B9D" w:rsidRDefault="00EF03A4" w:rsidP="00E652DC">
            <w:pPr>
              <w:spacing w:after="0"/>
              <w:jc w:val="center"/>
              <w:rPr>
                <w:b/>
                <w:sz w:val="18"/>
              </w:rPr>
            </w:pPr>
            <w:r w:rsidRPr="00176B9D">
              <w:rPr>
                <w:b/>
                <w:sz w:val="18"/>
              </w:rPr>
              <w:t>UNDAF/CPD Outcome</w:t>
            </w:r>
          </w:p>
        </w:tc>
        <w:tc>
          <w:tcPr>
            <w:tcW w:w="1318" w:type="dxa"/>
            <w:shd w:val="clear" w:color="auto" w:fill="auto"/>
            <w:vAlign w:val="center"/>
          </w:tcPr>
          <w:p w:rsidR="00EF03A4" w:rsidRPr="00176B9D" w:rsidRDefault="00EF03A4" w:rsidP="00E652DC">
            <w:pPr>
              <w:spacing w:after="0"/>
              <w:jc w:val="center"/>
              <w:rPr>
                <w:b/>
                <w:sz w:val="18"/>
              </w:rPr>
            </w:pPr>
            <w:r w:rsidRPr="00176B9D">
              <w:rPr>
                <w:b/>
                <w:sz w:val="18"/>
              </w:rPr>
              <w:t>Planned Completion Date</w:t>
            </w:r>
          </w:p>
        </w:tc>
        <w:tc>
          <w:tcPr>
            <w:tcW w:w="1411" w:type="dxa"/>
            <w:shd w:val="clear" w:color="auto" w:fill="auto"/>
            <w:vAlign w:val="center"/>
          </w:tcPr>
          <w:p w:rsidR="00EF03A4" w:rsidRPr="00176B9D" w:rsidRDefault="00EF03A4" w:rsidP="00E652DC">
            <w:pPr>
              <w:spacing w:after="0"/>
              <w:jc w:val="center"/>
              <w:rPr>
                <w:b/>
                <w:sz w:val="18"/>
              </w:rPr>
            </w:pPr>
            <w:r w:rsidRPr="00176B9D">
              <w:rPr>
                <w:b/>
                <w:sz w:val="18"/>
              </w:rPr>
              <w:t>Key Evaluation Stakeholders</w:t>
            </w:r>
          </w:p>
        </w:tc>
        <w:tc>
          <w:tcPr>
            <w:tcW w:w="1134" w:type="dxa"/>
            <w:shd w:val="clear" w:color="auto" w:fill="auto"/>
            <w:vAlign w:val="center"/>
          </w:tcPr>
          <w:p w:rsidR="00EF03A4" w:rsidRPr="00176B9D" w:rsidRDefault="00EF03A4" w:rsidP="00E652DC">
            <w:pPr>
              <w:spacing w:after="0"/>
              <w:jc w:val="center"/>
              <w:rPr>
                <w:b/>
                <w:sz w:val="18"/>
              </w:rPr>
            </w:pPr>
            <w:r w:rsidRPr="00176B9D">
              <w:rPr>
                <w:b/>
                <w:sz w:val="18"/>
              </w:rPr>
              <w:t>Cost and Source of Funding</w:t>
            </w:r>
          </w:p>
        </w:tc>
      </w:tr>
      <w:tr w:rsidR="00EF03A4" w:rsidRPr="00135431" w:rsidTr="00EF03A4">
        <w:trPr>
          <w:trHeight w:val="482"/>
        </w:trPr>
        <w:tc>
          <w:tcPr>
            <w:tcW w:w="1775" w:type="dxa"/>
            <w:shd w:val="clear" w:color="auto" w:fill="auto"/>
            <w:vAlign w:val="center"/>
          </w:tcPr>
          <w:p w:rsidR="00EF03A4" w:rsidRPr="00B53D2B" w:rsidRDefault="00EF03A4" w:rsidP="00E652DC">
            <w:pPr>
              <w:spacing w:after="0"/>
              <w:rPr>
                <w:bCs/>
                <w:sz w:val="18"/>
              </w:rPr>
            </w:pPr>
            <w:r w:rsidRPr="00B53D2B">
              <w:rPr>
                <w:bCs/>
                <w:sz w:val="18"/>
              </w:rPr>
              <w:t>Evaluation and learning</w:t>
            </w:r>
          </w:p>
        </w:tc>
        <w:tc>
          <w:tcPr>
            <w:tcW w:w="1430" w:type="dxa"/>
            <w:shd w:val="clear" w:color="auto" w:fill="auto"/>
            <w:vAlign w:val="center"/>
          </w:tcPr>
          <w:p w:rsidR="00EF03A4" w:rsidRPr="00AF1856" w:rsidRDefault="00EF03A4" w:rsidP="00E652DC">
            <w:pPr>
              <w:spacing w:after="0"/>
              <w:jc w:val="center"/>
              <w:rPr>
                <w:sz w:val="18"/>
              </w:rPr>
            </w:pPr>
          </w:p>
        </w:tc>
        <w:tc>
          <w:tcPr>
            <w:tcW w:w="1122" w:type="dxa"/>
            <w:shd w:val="clear" w:color="auto" w:fill="auto"/>
            <w:vAlign w:val="center"/>
          </w:tcPr>
          <w:p w:rsidR="00EF03A4" w:rsidRPr="00AF1856" w:rsidRDefault="00EF03A4" w:rsidP="00E652DC">
            <w:pPr>
              <w:spacing w:after="0"/>
              <w:jc w:val="center"/>
              <w:rPr>
                <w:sz w:val="18"/>
              </w:rPr>
            </w:pPr>
          </w:p>
        </w:tc>
        <w:tc>
          <w:tcPr>
            <w:tcW w:w="1416" w:type="dxa"/>
            <w:shd w:val="clear" w:color="auto" w:fill="auto"/>
            <w:vAlign w:val="center"/>
          </w:tcPr>
          <w:p w:rsidR="00EF03A4" w:rsidRPr="00AF1856" w:rsidRDefault="00EF03A4" w:rsidP="00E652DC">
            <w:pPr>
              <w:spacing w:after="0"/>
              <w:jc w:val="center"/>
              <w:rPr>
                <w:sz w:val="18"/>
              </w:rPr>
            </w:pPr>
          </w:p>
        </w:tc>
        <w:tc>
          <w:tcPr>
            <w:tcW w:w="1318" w:type="dxa"/>
            <w:shd w:val="clear" w:color="auto" w:fill="auto"/>
            <w:vAlign w:val="center"/>
          </w:tcPr>
          <w:p w:rsidR="00EF03A4" w:rsidRPr="00AF1856" w:rsidRDefault="00EF03A4" w:rsidP="00E652DC">
            <w:pPr>
              <w:spacing w:after="0"/>
              <w:jc w:val="center"/>
              <w:rPr>
                <w:sz w:val="18"/>
              </w:rPr>
            </w:pPr>
          </w:p>
        </w:tc>
        <w:tc>
          <w:tcPr>
            <w:tcW w:w="1411" w:type="dxa"/>
            <w:shd w:val="clear" w:color="auto" w:fill="auto"/>
            <w:vAlign w:val="center"/>
          </w:tcPr>
          <w:p w:rsidR="00EF03A4" w:rsidRPr="00AF1856" w:rsidRDefault="00EF03A4" w:rsidP="00E652DC">
            <w:pPr>
              <w:spacing w:after="0"/>
              <w:jc w:val="center"/>
              <w:rPr>
                <w:sz w:val="18"/>
              </w:rPr>
            </w:pPr>
          </w:p>
        </w:tc>
        <w:tc>
          <w:tcPr>
            <w:tcW w:w="1134" w:type="dxa"/>
            <w:shd w:val="clear" w:color="auto" w:fill="auto"/>
            <w:vAlign w:val="center"/>
          </w:tcPr>
          <w:p w:rsidR="00EF03A4" w:rsidRDefault="00EF03A4" w:rsidP="00E652DC">
            <w:pPr>
              <w:spacing w:after="0"/>
              <w:jc w:val="center"/>
              <w:rPr>
                <w:sz w:val="18"/>
              </w:rPr>
            </w:pPr>
            <w:r>
              <w:rPr>
                <w:sz w:val="18"/>
              </w:rPr>
              <w:t>150,000</w:t>
            </w:r>
          </w:p>
          <w:p w:rsidR="00EF03A4" w:rsidRPr="00AF1856" w:rsidRDefault="00EF03A4" w:rsidP="00E652DC">
            <w:pPr>
              <w:spacing w:after="0"/>
              <w:jc w:val="center"/>
              <w:rPr>
                <w:sz w:val="18"/>
              </w:rPr>
            </w:pPr>
          </w:p>
        </w:tc>
      </w:tr>
    </w:tbl>
    <w:p w:rsidR="002F14AB" w:rsidRDefault="002F14AB" w:rsidP="002F14AB"/>
    <w:p w:rsidR="00E7626A" w:rsidRDefault="00E7626A" w:rsidP="00E7626A">
      <w:pPr>
        <w:pStyle w:val="Heading3"/>
        <w:jc w:val="left"/>
      </w:pPr>
      <w:r>
        <w:t>Reporting</w:t>
      </w:r>
    </w:p>
    <w:p w:rsidR="00D55923" w:rsidRDefault="008E6A78" w:rsidP="005A338D">
      <w:r>
        <w:rPr>
          <w:rFonts w:cs="Calibri Light"/>
        </w:rPr>
        <w:t xml:space="preserve">The </w:t>
      </w:r>
      <w:r w:rsidR="00253797">
        <w:rPr>
          <w:rFonts w:cs="Calibri Light"/>
        </w:rPr>
        <w:t>project</w:t>
      </w:r>
      <w:r>
        <w:rPr>
          <w:rFonts w:cs="Calibri Light"/>
        </w:rPr>
        <w:t xml:space="preserve"> will </w:t>
      </w:r>
      <w:r w:rsidRPr="00B32CD7">
        <w:rPr>
          <w:rFonts w:cs="Calibri Light"/>
        </w:rPr>
        <w:t>collect and analyse</w:t>
      </w:r>
      <w:r>
        <w:rPr>
          <w:rFonts w:cs="Calibri Light"/>
        </w:rPr>
        <w:t xml:space="preserve"> data</w:t>
      </w:r>
      <w:r w:rsidRPr="00B32CD7">
        <w:rPr>
          <w:rFonts w:cs="Calibri Light"/>
        </w:rPr>
        <w:t xml:space="preserve"> on an ongoing basis at the Outcome, Output and Activity levels</w:t>
      </w:r>
      <w:r>
        <w:rPr>
          <w:rFonts w:cs="Calibri Light"/>
        </w:rPr>
        <w:t xml:space="preserve">. This will then be reported </w:t>
      </w:r>
      <w:r w:rsidR="00D55923">
        <w:rPr>
          <w:rFonts w:cs="Calibri Light"/>
        </w:rPr>
        <w:t xml:space="preserve">to </w:t>
      </w:r>
      <w:r w:rsidR="00D55923">
        <w:rPr>
          <w:lang w:eastAsia="en-AU"/>
        </w:rPr>
        <w:t xml:space="preserve">the </w:t>
      </w:r>
      <w:r w:rsidR="00D55923" w:rsidRPr="00135431">
        <w:rPr>
          <w:lang w:eastAsia="en-AU"/>
        </w:rPr>
        <w:t xml:space="preserve">UNDP Pacific </w:t>
      </w:r>
      <w:r w:rsidR="00D55923">
        <w:rPr>
          <w:lang w:eastAsia="en-AU"/>
        </w:rPr>
        <w:t xml:space="preserve">Office and </w:t>
      </w:r>
      <w:r w:rsidR="00D55923" w:rsidRPr="00135431">
        <w:rPr>
          <w:lang w:eastAsia="en-AU"/>
        </w:rPr>
        <w:t>donor partners</w:t>
      </w:r>
      <w:r w:rsidR="00D55923">
        <w:rPr>
          <w:lang w:eastAsia="en-AU"/>
        </w:rPr>
        <w:t xml:space="preserve"> as outlined in </w:t>
      </w:r>
      <w:r w:rsidR="00EF4E89">
        <w:rPr>
          <w:lang w:eastAsia="en-AU"/>
        </w:rPr>
        <w:fldChar w:fldCharType="begin"/>
      </w:r>
      <w:r w:rsidR="00EF4E89">
        <w:rPr>
          <w:lang w:eastAsia="en-AU"/>
        </w:rPr>
        <w:instrText xml:space="preserve"> REF _Ref24637102 \h </w:instrText>
      </w:r>
      <w:r w:rsidR="00EF4E89">
        <w:rPr>
          <w:lang w:eastAsia="en-AU"/>
        </w:rPr>
      </w:r>
      <w:r w:rsidR="00EF4E89">
        <w:rPr>
          <w:lang w:eastAsia="en-AU"/>
        </w:rPr>
        <w:fldChar w:fldCharType="separate"/>
      </w:r>
      <w:r w:rsidR="004F5751">
        <w:t xml:space="preserve">Table </w:t>
      </w:r>
      <w:r w:rsidR="004F5751">
        <w:rPr>
          <w:noProof/>
        </w:rPr>
        <w:t>3</w:t>
      </w:r>
      <w:r w:rsidR="00EF4E89">
        <w:rPr>
          <w:lang w:eastAsia="en-AU"/>
        </w:rPr>
        <w:fldChar w:fldCharType="end"/>
      </w:r>
      <w:r w:rsidR="00EF4E89">
        <w:rPr>
          <w:lang w:eastAsia="en-AU"/>
        </w:rPr>
        <w:t xml:space="preserve">. </w:t>
      </w:r>
    </w:p>
    <w:p w:rsidR="00B32CD7" w:rsidRDefault="001D288D" w:rsidP="005A338D">
      <w:pPr>
        <w:pStyle w:val="Caption"/>
        <w:rPr>
          <w:lang w:eastAsia="en-AU"/>
        </w:rPr>
      </w:pPr>
      <w:bookmarkStart w:id="75" w:name="_Ref24637102"/>
      <w:bookmarkStart w:id="76" w:name="_Ref24625531"/>
      <w:r>
        <w:t xml:space="preserve">Table </w:t>
      </w:r>
      <w:fldSimple w:instr=" SEQ Table \* ARABIC ">
        <w:r w:rsidR="004F5751">
          <w:rPr>
            <w:noProof/>
          </w:rPr>
          <w:t>3</w:t>
        </w:r>
      </w:fldSimple>
      <w:bookmarkEnd w:id="75"/>
      <w:r>
        <w:t xml:space="preserve"> proposed reporting structure </w:t>
      </w:r>
      <w:bookmarkEnd w:id="76"/>
    </w:p>
    <w:tbl>
      <w:tblPr>
        <w:tblStyle w:val="TableGrid"/>
        <w:tblW w:w="0" w:type="auto"/>
        <w:jc w:val="center"/>
        <w:tblLook w:val="04A0" w:firstRow="1" w:lastRow="0" w:firstColumn="1" w:lastColumn="0" w:noHBand="0" w:noVBand="1"/>
      </w:tblPr>
      <w:tblGrid>
        <w:gridCol w:w="417"/>
        <w:gridCol w:w="1150"/>
        <w:gridCol w:w="945"/>
        <w:gridCol w:w="1452"/>
        <w:gridCol w:w="5046"/>
      </w:tblGrid>
      <w:tr w:rsidR="00B32CD7" w:rsidRPr="00FC3C7D" w:rsidTr="005A338D">
        <w:trPr>
          <w:jc w:val="center"/>
        </w:trPr>
        <w:tc>
          <w:tcPr>
            <w:tcW w:w="417" w:type="dxa"/>
            <w:shd w:val="clear" w:color="auto" w:fill="808080"/>
          </w:tcPr>
          <w:p w:rsidR="00B32CD7" w:rsidRPr="00B32CD7" w:rsidRDefault="00B32CD7" w:rsidP="004B2D15">
            <w:pPr>
              <w:spacing w:after="120"/>
              <w:rPr>
                <w:b/>
                <w:bCs/>
                <w:color w:val="FFFFFF"/>
                <w:sz w:val="20"/>
                <w:szCs w:val="20"/>
              </w:rPr>
            </w:pPr>
          </w:p>
        </w:tc>
        <w:tc>
          <w:tcPr>
            <w:tcW w:w="1150" w:type="dxa"/>
            <w:shd w:val="clear" w:color="auto" w:fill="808080"/>
          </w:tcPr>
          <w:p w:rsidR="00B32CD7" w:rsidRPr="00B32CD7" w:rsidRDefault="00B32CD7" w:rsidP="004B2D15">
            <w:pPr>
              <w:spacing w:after="120"/>
              <w:rPr>
                <w:b/>
                <w:bCs/>
                <w:color w:val="FFFFFF"/>
                <w:sz w:val="20"/>
                <w:szCs w:val="20"/>
              </w:rPr>
            </w:pPr>
            <w:r w:rsidRPr="00B32CD7">
              <w:rPr>
                <w:b/>
                <w:bCs/>
                <w:color w:val="FFFFFF"/>
                <w:sz w:val="20"/>
                <w:szCs w:val="20"/>
              </w:rPr>
              <w:t>Timeframe</w:t>
            </w:r>
          </w:p>
        </w:tc>
        <w:tc>
          <w:tcPr>
            <w:tcW w:w="945" w:type="dxa"/>
            <w:shd w:val="clear" w:color="auto" w:fill="808080"/>
          </w:tcPr>
          <w:p w:rsidR="00B32CD7" w:rsidRPr="00B32CD7" w:rsidRDefault="00B32CD7" w:rsidP="004B2D15">
            <w:pPr>
              <w:spacing w:after="120"/>
              <w:rPr>
                <w:b/>
                <w:bCs/>
                <w:color w:val="FFFFFF"/>
                <w:sz w:val="20"/>
                <w:szCs w:val="20"/>
              </w:rPr>
            </w:pPr>
            <w:r w:rsidRPr="00B32CD7">
              <w:rPr>
                <w:b/>
                <w:bCs/>
                <w:color w:val="FFFFFF"/>
                <w:sz w:val="20"/>
                <w:szCs w:val="20"/>
              </w:rPr>
              <w:t>Format</w:t>
            </w:r>
          </w:p>
        </w:tc>
        <w:tc>
          <w:tcPr>
            <w:tcW w:w="1452" w:type="dxa"/>
            <w:shd w:val="clear" w:color="auto" w:fill="808080"/>
          </w:tcPr>
          <w:p w:rsidR="00B32CD7" w:rsidRPr="00B32CD7" w:rsidRDefault="00B32CD7" w:rsidP="004B2D15">
            <w:pPr>
              <w:spacing w:after="120"/>
              <w:rPr>
                <w:b/>
                <w:bCs/>
                <w:color w:val="FFFFFF"/>
                <w:sz w:val="20"/>
                <w:szCs w:val="20"/>
              </w:rPr>
            </w:pPr>
            <w:r w:rsidRPr="00B32CD7">
              <w:rPr>
                <w:b/>
                <w:bCs/>
                <w:color w:val="FFFFFF"/>
                <w:sz w:val="20"/>
                <w:szCs w:val="20"/>
              </w:rPr>
              <w:t>M&amp;E Level</w:t>
            </w:r>
          </w:p>
        </w:tc>
        <w:tc>
          <w:tcPr>
            <w:tcW w:w="5046" w:type="dxa"/>
            <w:shd w:val="clear" w:color="auto" w:fill="808080"/>
          </w:tcPr>
          <w:p w:rsidR="00B32CD7" w:rsidRPr="00B32CD7" w:rsidRDefault="00B32CD7" w:rsidP="004B2D15">
            <w:pPr>
              <w:spacing w:after="120"/>
              <w:rPr>
                <w:b/>
                <w:bCs/>
                <w:color w:val="FFFFFF"/>
                <w:sz w:val="20"/>
                <w:szCs w:val="20"/>
              </w:rPr>
            </w:pPr>
            <w:r w:rsidRPr="00B32CD7">
              <w:rPr>
                <w:b/>
                <w:bCs/>
                <w:color w:val="FFFFFF"/>
                <w:sz w:val="20"/>
                <w:szCs w:val="20"/>
              </w:rPr>
              <w:t>Data collection and analysis method</w:t>
            </w:r>
          </w:p>
        </w:tc>
      </w:tr>
      <w:tr w:rsidR="00B32CD7" w:rsidRPr="00FC3C7D" w:rsidTr="005A338D">
        <w:trPr>
          <w:jc w:val="center"/>
        </w:trPr>
        <w:tc>
          <w:tcPr>
            <w:tcW w:w="417" w:type="dxa"/>
          </w:tcPr>
          <w:p w:rsidR="00B32CD7" w:rsidRPr="00B92199" w:rsidRDefault="00B32CD7" w:rsidP="004B2D15">
            <w:pPr>
              <w:spacing w:after="120"/>
              <w:rPr>
                <w:b/>
                <w:bCs/>
                <w:sz w:val="20"/>
                <w:szCs w:val="20"/>
              </w:rPr>
            </w:pPr>
            <w:r w:rsidRPr="00B92199">
              <w:rPr>
                <w:b/>
                <w:bCs/>
                <w:sz w:val="20"/>
                <w:szCs w:val="20"/>
              </w:rPr>
              <w:t>1</w:t>
            </w:r>
          </w:p>
        </w:tc>
        <w:tc>
          <w:tcPr>
            <w:tcW w:w="1150" w:type="dxa"/>
          </w:tcPr>
          <w:p w:rsidR="00B32CD7" w:rsidRPr="00FC3C7D" w:rsidRDefault="00B32CD7" w:rsidP="004B2D15">
            <w:pPr>
              <w:spacing w:after="120"/>
              <w:rPr>
                <w:sz w:val="20"/>
                <w:szCs w:val="20"/>
              </w:rPr>
            </w:pPr>
            <w:r w:rsidRPr="00FC3C7D">
              <w:rPr>
                <w:sz w:val="20"/>
                <w:szCs w:val="20"/>
              </w:rPr>
              <w:t xml:space="preserve">Quarterly </w:t>
            </w:r>
          </w:p>
        </w:tc>
        <w:tc>
          <w:tcPr>
            <w:tcW w:w="945" w:type="dxa"/>
          </w:tcPr>
          <w:p w:rsidR="00B32CD7" w:rsidRPr="00FC3C7D" w:rsidRDefault="00B32CD7" w:rsidP="004B2D15">
            <w:pPr>
              <w:spacing w:after="120"/>
              <w:rPr>
                <w:sz w:val="20"/>
                <w:szCs w:val="20"/>
              </w:rPr>
            </w:pPr>
            <w:r w:rsidRPr="00FC3C7D">
              <w:rPr>
                <w:sz w:val="20"/>
                <w:szCs w:val="20"/>
              </w:rPr>
              <w:t>Activity Log</w:t>
            </w:r>
          </w:p>
        </w:tc>
        <w:tc>
          <w:tcPr>
            <w:tcW w:w="1452" w:type="dxa"/>
          </w:tcPr>
          <w:p w:rsidR="00B32CD7" w:rsidRPr="00FC3C7D" w:rsidRDefault="00B32CD7" w:rsidP="004B2D15">
            <w:pPr>
              <w:spacing w:after="120"/>
              <w:rPr>
                <w:sz w:val="20"/>
                <w:szCs w:val="20"/>
              </w:rPr>
            </w:pPr>
            <w:r w:rsidRPr="00FC3C7D">
              <w:rPr>
                <w:sz w:val="20"/>
                <w:szCs w:val="20"/>
              </w:rPr>
              <w:t>Activities</w:t>
            </w:r>
          </w:p>
        </w:tc>
        <w:tc>
          <w:tcPr>
            <w:tcW w:w="5046" w:type="dxa"/>
          </w:tcPr>
          <w:p w:rsidR="00B32CD7" w:rsidRPr="00FC3C7D" w:rsidRDefault="00B32CD7" w:rsidP="004B2D15">
            <w:pPr>
              <w:spacing w:after="120"/>
              <w:rPr>
                <w:sz w:val="20"/>
                <w:szCs w:val="20"/>
              </w:rPr>
            </w:pPr>
            <w:r>
              <w:rPr>
                <w:sz w:val="20"/>
                <w:szCs w:val="20"/>
              </w:rPr>
              <w:t xml:space="preserve">Activity tracking log maintained by </w:t>
            </w:r>
            <w:r w:rsidR="00253797">
              <w:rPr>
                <w:sz w:val="20"/>
                <w:szCs w:val="20"/>
              </w:rPr>
              <w:t>project</w:t>
            </w:r>
            <w:r>
              <w:rPr>
                <w:sz w:val="20"/>
                <w:szCs w:val="20"/>
              </w:rPr>
              <w:t xml:space="preserve"> team</w:t>
            </w:r>
          </w:p>
        </w:tc>
      </w:tr>
      <w:tr w:rsidR="00B32CD7" w:rsidRPr="00FC3C7D" w:rsidTr="005A338D">
        <w:trPr>
          <w:jc w:val="center"/>
        </w:trPr>
        <w:tc>
          <w:tcPr>
            <w:tcW w:w="417" w:type="dxa"/>
          </w:tcPr>
          <w:p w:rsidR="00B32CD7" w:rsidRPr="00B92199" w:rsidRDefault="00B32CD7" w:rsidP="004B2D15">
            <w:pPr>
              <w:spacing w:after="120"/>
              <w:rPr>
                <w:b/>
                <w:bCs/>
                <w:sz w:val="20"/>
                <w:szCs w:val="20"/>
              </w:rPr>
            </w:pPr>
            <w:r w:rsidRPr="00B92199">
              <w:rPr>
                <w:b/>
                <w:bCs/>
                <w:sz w:val="20"/>
                <w:szCs w:val="20"/>
              </w:rPr>
              <w:t>2</w:t>
            </w:r>
          </w:p>
        </w:tc>
        <w:tc>
          <w:tcPr>
            <w:tcW w:w="1150" w:type="dxa"/>
          </w:tcPr>
          <w:p w:rsidR="00B32CD7" w:rsidRPr="00FC3C7D" w:rsidRDefault="00B32CD7" w:rsidP="004B2D15">
            <w:pPr>
              <w:spacing w:after="120"/>
              <w:rPr>
                <w:sz w:val="20"/>
                <w:szCs w:val="20"/>
              </w:rPr>
            </w:pPr>
            <w:r>
              <w:rPr>
                <w:sz w:val="20"/>
                <w:szCs w:val="20"/>
              </w:rPr>
              <w:t>Biannually</w:t>
            </w:r>
            <w:r w:rsidRPr="00FC3C7D">
              <w:rPr>
                <w:sz w:val="20"/>
                <w:szCs w:val="20"/>
              </w:rPr>
              <w:t xml:space="preserve"> </w:t>
            </w:r>
          </w:p>
        </w:tc>
        <w:tc>
          <w:tcPr>
            <w:tcW w:w="945" w:type="dxa"/>
          </w:tcPr>
          <w:p w:rsidR="00B32CD7" w:rsidRPr="00FC3C7D" w:rsidRDefault="00B32CD7" w:rsidP="004B2D15">
            <w:pPr>
              <w:spacing w:after="120"/>
              <w:rPr>
                <w:sz w:val="20"/>
                <w:szCs w:val="20"/>
              </w:rPr>
            </w:pPr>
            <w:r w:rsidRPr="00FC3C7D">
              <w:rPr>
                <w:sz w:val="20"/>
                <w:szCs w:val="20"/>
              </w:rPr>
              <w:t>Report</w:t>
            </w:r>
          </w:p>
        </w:tc>
        <w:tc>
          <w:tcPr>
            <w:tcW w:w="1452" w:type="dxa"/>
          </w:tcPr>
          <w:p w:rsidR="00B32CD7" w:rsidRPr="00FC3C7D" w:rsidRDefault="00B32CD7" w:rsidP="004B2D15">
            <w:pPr>
              <w:spacing w:after="120"/>
              <w:rPr>
                <w:sz w:val="20"/>
                <w:szCs w:val="20"/>
              </w:rPr>
            </w:pPr>
            <w:r w:rsidRPr="00FC3C7D">
              <w:rPr>
                <w:sz w:val="20"/>
                <w:szCs w:val="20"/>
              </w:rPr>
              <w:t xml:space="preserve">Outputs and Activities </w:t>
            </w:r>
          </w:p>
        </w:tc>
        <w:tc>
          <w:tcPr>
            <w:tcW w:w="5046" w:type="dxa"/>
          </w:tcPr>
          <w:p w:rsidR="00B32CD7" w:rsidRPr="00FC3C7D" w:rsidRDefault="00B32CD7" w:rsidP="004B2D15">
            <w:pPr>
              <w:spacing w:after="120"/>
              <w:rPr>
                <w:sz w:val="20"/>
                <w:szCs w:val="20"/>
              </w:rPr>
            </w:pPr>
            <w:r>
              <w:rPr>
                <w:sz w:val="20"/>
                <w:szCs w:val="20"/>
              </w:rPr>
              <w:t xml:space="preserve">Policy and document analysis; media analysis; partner, CSO and regional reporting; country level baselines (spider diagrams); activity log </w:t>
            </w:r>
          </w:p>
        </w:tc>
      </w:tr>
      <w:tr w:rsidR="00B32CD7" w:rsidRPr="00FC3C7D" w:rsidTr="005A338D">
        <w:trPr>
          <w:jc w:val="center"/>
        </w:trPr>
        <w:tc>
          <w:tcPr>
            <w:tcW w:w="417" w:type="dxa"/>
          </w:tcPr>
          <w:p w:rsidR="00B32CD7" w:rsidRPr="00B92199" w:rsidRDefault="00B32CD7" w:rsidP="004B2D15">
            <w:pPr>
              <w:spacing w:after="120"/>
              <w:rPr>
                <w:b/>
                <w:bCs/>
                <w:sz w:val="20"/>
                <w:szCs w:val="20"/>
              </w:rPr>
            </w:pPr>
            <w:r w:rsidRPr="00B92199">
              <w:rPr>
                <w:b/>
                <w:bCs/>
                <w:sz w:val="20"/>
                <w:szCs w:val="20"/>
              </w:rPr>
              <w:t>3</w:t>
            </w:r>
          </w:p>
        </w:tc>
        <w:tc>
          <w:tcPr>
            <w:tcW w:w="1150" w:type="dxa"/>
          </w:tcPr>
          <w:p w:rsidR="00B32CD7" w:rsidRPr="00FC3C7D" w:rsidRDefault="00B32CD7" w:rsidP="004B2D15">
            <w:pPr>
              <w:spacing w:after="120"/>
              <w:rPr>
                <w:sz w:val="20"/>
                <w:szCs w:val="20"/>
              </w:rPr>
            </w:pPr>
            <w:r w:rsidRPr="00FC3C7D">
              <w:rPr>
                <w:sz w:val="20"/>
                <w:szCs w:val="20"/>
              </w:rPr>
              <w:t>Annually</w:t>
            </w:r>
          </w:p>
        </w:tc>
        <w:tc>
          <w:tcPr>
            <w:tcW w:w="945" w:type="dxa"/>
          </w:tcPr>
          <w:p w:rsidR="00B32CD7" w:rsidRPr="00FC3C7D" w:rsidRDefault="00B32CD7" w:rsidP="004B2D15">
            <w:pPr>
              <w:spacing w:after="120"/>
              <w:ind w:left="720" w:hanging="720"/>
              <w:rPr>
                <w:sz w:val="20"/>
                <w:szCs w:val="20"/>
              </w:rPr>
            </w:pPr>
            <w:r w:rsidRPr="00FC3C7D">
              <w:rPr>
                <w:sz w:val="20"/>
                <w:szCs w:val="20"/>
              </w:rPr>
              <w:t>Report</w:t>
            </w:r>
          </w:p>
        </w:tc>
        <w:tc>
          <w:tcPr>
            <w:tcW w:w="1452" w:type="dxa"/>
          </w:tcPr>
          <w:p w:rsidR="00B32CD7" w:rsidRPr="00FC3C7D" w:rsidRDefault="00B32CD7" w:rsidP="004B2D15">
            <w:pPr>
              <w:spacing w:after="120"/>
              <w:rPr>
                <w:sz w:val="20"/>
                <w:szCs w:val="20"/>
              </w:rPr>
            </w:pPr>
            <w:r w:rsidRPr="00FC3C7D">
              <w:rPr>
                <w:sz w:val="20"/>
                <w:szCs w:val="20"/>
              </w:rPr>
              <w:t xml:space="preserve">Outcomes, Outputs and Activities </w:t>
            </w:r>
          </w:p>
        </w:tc>
        <w:tc>
          <w:tcPr>
            <w:tcW w:w="5046" w:type="dxa"/>
          </w:tcPr>
          <w:p w:rsidR="00B32CD7" w:rsidRPr="00FC3C7D" w:rsidRDefault="00B32CD7" w:rsidP="004B2D15">
            <w:pPr>
              <w:spacing w:after="120"/>
              <w:rPr>
                <w:sz w:val="20"/>
                <w:szCs w:val="20"/>
              </w:rPr>
            </w:pPr>
            <w:r w:rsidRPr="00FC3C7D">
              <w:rPr>
                <w:sz w:val="20"/>
                <w:szCs w:val="20"/>
              </w:rPr>
              <w:t>Political economy analysis; Climate Change Budget Integration Index (CCB) (in addition to 1 + 2)</w:t>
            </w:r>
          </w:p>
        </w:tc>
      </w:tr>
    </w:tbl>
    <w:p w:rsidR="00B32CD7" w:rsidRDefault="00B32CD7" w:rsidP="00B32CD7">
      <w:pPr>
        <w:pStyle w:val="ListParagraph"/>
        <w:spacing w:before="60" w:after="0" w:line="259" w:lineRule="auto"/>
        <w:ind w:left="0"/>
        <w:contextualSpacing w:val="0"/>
        <w:jc w:val="both"/>
        <w:rPr>
          <w:lang w:eastAsia="en-AU"/>
        </w:rPr>
      </w:pPr>
    </w:p>
    <w:p w:rsidR="00B32CD7" w:rsidRPr="00135431" w:rsidRDefault="00B32CD7" w:rsidP="00B32CD7">
      <w:pPr>
        <w:spacing w:after="0"/>
        <w:jc w:val="both"/>
        <w:rPr>
          <w:lang w:eastAsia="en-AU"/>
        </w:rPr>
      </w:pPr>
      <w:r w:rsidRPr="00135431">
        <w:rPr>
          <w:lang w:eastAsia="en-AU"/>
        </w:rPr>
        <w:t>The annual report will utilise the findings and analysis from the monitoring and evaluation process together with other information as required, to present a comprehensive report. This will include:</w:t>
      </w:r>
    </w:p>
    <w:p w:rsidR="00B32CD7" w:rsidRPr="00135431" w:rsidRDefault="00C04A23" w:rsidP="009D6B25">
      <w:pPr>
        <w:pStyle w:val="ListParagraph"/>
        <w:numPr>
          <w:ilvl w:val="0"/>
          <w:numId w:val="7"/>
        </w:numPr>
        <w:spacing w:before="60" w:after="0" w:line="259" w:lineRule="auto"/>
        <w:ind w:left="357" w:hanging="357"/>
        <w:contextualSpacing w:val="0"/>
        <w:jc w:val="both"/>
        <w:rPr>
          <w:lang w:eastAsia="en-AU"/>
        </w:rPr>
      </w:pPr>
      <w:r>
        <w:rPr>
          <w:lang w:eastAsia="en-AU"/>
        </w:rPr>
        <w:t>Programme</w:t>
      </w:r>
      <w:r w:rsidR="00B32CD7" w:rsidRPr="00135431">
        <w:rPr>
          <w:lang w:eastAsia="en-AU"/>
        </w:rPr>
        <w:t xml:space="preserve"> progress against outcomes and outputs, </w:t>
      </w:r>
    </w:p>
    <w:p w:rsidR="00B32CD7" w:rsidRPr="00135431" w:rsidRDefault="00B32CD7" w:rsidP="009D6B25">
      <w:pPr>
        <w:pStyle w:val="ListParagraph"/>
        <w:numPr>
          <w:ilvl w:val="0"/>
          <w:numId w:val="7"/>
        </w:numPr>
        <w:spacing w:before="60" w:after="0" w:line="259" w:lineRule="auto"/>
        <w:ind w:left="357" w:hanging="357"/>
        <w:contextualSpacing w:val="0"/>
        <w:jc w:val="both"/>
        <w:rPr>
          <w:lang w:eastAsia="en-AU"/>
        </w:rPr>
      </w:pPr>
      <w:r w:rsidRPr="00135431">
        <w:rPr>
          <w:lang w:eastAsia="en-AU"/>
        </w:rPr>
        <w:t xml:space="preserve">Significance and value of </w:t>
      </w:r>
      <w:r w:rsidR="00253797">
        <w:rPr>
          <w:lang w:eastAsia="en-AU"/>
        </w:rPr>
        <w:t>project</w:t>
      </w:r>
      <w:r w:rsidR="00895613">
        <w:rPr>
          <w:lang w:eastAsia="en-AU"/>
        </w:rPr>
        <w:t xml:space="preserve"> </w:t>
      </w:r>
      <w:r w:rsidRPr="00135431">
        <w:rPr>
          <w:lang w:eastAsia="en-AU"/>
        </w:rPr>
        <w:t xml:space="preserve">activities for Pacific Island countries and Pacific Regional organisations </w:t>
      </w:r>
    </w:p>
    <w:p w:rsidR="00B32CD7" w:rsidRPr="00135431" w:rsidRDefault="00B32CD7" w:rsidP="009D6B25">
      <w:pPr>
        <w:pStyle w:val="ListParagraph"/>
        <w:numPr>
          <w:ilvl w:val="0"/>
          <w:numId w:val="7"/>
        </w:numPr>
        <w:spacing w:before="60" w:after="0" w:line="259" w:lineRule="auto"/>
        <w:ind w:left="357" w:hanging="357"/>
        <w:contextualSpacing w:val="0"/>
        <w:jc w:val="both"/>
        <w:rPr>
          <w:lang w:eastAsia="en-AU"/>
        </w:rPr>
      </w:pPr>
      <w:r w:rsidRPr="00135431">
        <w:rPr>
          <w:lang w:eastAsia="en-AU"/>
        </w:rPr>
        <w:t xml:space="preserve">Contribution from the </w:t>
      </w:r>
      <w:r w:rsidR="00253797">
        <w:rPr>
          <w:lang w:eastAsia="en-AU"/>
        </w:rPr>
        <w:t>project</w:t>
      </w:r>
      <w:r w:rsidR="00895613">
        <w:rPr>
          <w:lang w:eastAsia="en-AU"/>
        </w:rPr>
        <w:t xml:space="preserve"> </w:t>
      </w:r>
      <w:r w:rsidRPr="00135431">
        <w:rPr>
          <w:lang w:eastAsia="en-AU"/>
        </w:rPr>
        <w:t>to the Climate Partnership objectives and KPI.</w:t>
      </w:r>
    </w:p>
    <w:p w:rsidR="00B32CD7" w:rsidRPr="00135431" w:rsidRDefault="00B32CD7" w:rsidP="009D6B25">
      <w:pPr>
        <w:pStyle w:val="ListParagraph"/>
        <w:numPr>
          <w:ilvl w:val="0"/>
          <w:numId w:val="7"/>
        </w:numPr>
        <w:spacing w:before="60" w:after="0" w:line="259" w:lineRule="auto"/>
        <w:ind w:left="357" w:hanging="357"/>
        <w:contextualSpacing w:val="0"/>
        <w:jc w:val="both"/>
        <w:rPr>
          <w:lang w:eastAsia="en-AU"/>
        </w:rPr>
      </w:pPr>
      <w:r w:rsidRPr="00135431">
        <w:rPr>
          <w:lang w:eastAsia="en-AU"/>
        </w:rPr>
        <w:t xml:space="preserve">Contribution from the </w:t>
      </w:r>
      <w:r w:rsidR="00253797">
        <w:rPr>
          <w:lang w:eastAsia="en-AU"/>
        </w:rPr>
        <w:t>project</w:t>
      </w:r>
      <w:r w:rsidR="00895613">
        <w:rPr>
          <w:lang w:eastAsia="en-AU"/>
        </w:rPr>
        <w:t xml:space="preserve"> </w:t>
      </w:r>
      <w:r w:rsidRPr="00135431">
        <w:rPr>
          <w:lang w:eastAsia="en-AU"/>
        </w:rPr>
        <w:t xml:space="preserve">to the objectives of KOICA, MFAT, EU. </w:t>
      </w:r>
    </w:p>
    <w:p w:rsidR="00B32CD7" w:rsidRPr="00135431" w:rsidRDefault="00C04A23" w:rsidP="009D6B25">
      <w:pPr>
        <w:pStyle w:val="ListParagraph"/>
        <w:numPr>
          <w:ilvl w:val="0"/>
          <w:numId w:val="7"/>
        </w:numPr>
        <w:spacing w:before="60" w:after="0" w:line="259" w:lineRule="auto"/>
        <w:ind w:left="357" w:hanging="357"/>
        <w:contextualSpacing w:val="0"/>
        <w:jc w:val="both"/>
        <w:rPr>
          <w:lang w:eastAsia="en-AU"/>
        </w:rPr>
      </w:pPr>
      <w:r>
        <w:rPr>
          <w:lang w:eastAsia="en-AU"/>
        </w:rPr>
        <w:t>Programme</w:t>
      </w:r>
      <w:r w:rsidR="00B32CD7" w:rsidRPr="00135431">
        <w:rPr>
          <w:lang w:eastAsia="en-AU"/>
        </w:rPr>
        <w:t xml:space="preserve"> learning</w:t>
      </w:r>
    </w:p>
    <w:p w:rsidR="00B32CD7" w:rsidRDefault="00B32CD7" w:rsidP="009D6B25">
      <w:pPr>
        <w:pStyle w:val="ListParagraph"/>
        <w:numPr>
          <w:ilvl w:val="0"/>
          <w:numId w:val="7"/>
        </w:numPr>
        <w:spacing w:before="60" w:after="0" w:line="259" w:lineRule="auto"/>
        <w:ind w:left="357" w:hanging="357"/>
        <w:contextualSpacing w:val="0"/>
        <w:jc w:val="both"/>
        <w:rPr>
          <w:lang w:eastAsia="en-AU"/>
        </w:rPr>
      </w:pPr>
      <w:r w:rsidRPr="00135431">
        <w:rPr>
          <w:lang w:eastAsia="en-AU"/>
        </w:rPr>
        <w:t xml:space="preserve">Recommendations for </w:t>
      </w:r>
      <w:r w:rsidR="00253797">
        <w:rPr>
          <w:lang w:eastAsia="en-AU"/>
        </w:rPr>
        <w:t>project</w:t>
      </w:r>
      <w:r w:rsidR="00895613">
        <w:rPr>
          <w:lang w:eastAsia="en-AU"/>
        </w:rPr>
        <w:t xml:space="preserve"> </w:t>
      </w:r>
      <w:r w:rsidRPr="00135431">
        <w:rPr>
          <w:lang w:eastAsia="en-AU"/>
        </w:rPr>
        <w:t>improvement and further development</w:t>
      </w:r>
    </w:p>
    <w:p w:rsidR="00B32CD7" w:rsidRDefault="00B32CD7" w:rsidP="009D6B25">
      <w:pPr>
        <w:pStyle w:val="ListParagraph"/>
        <w:numPr>
          <w:ilvl w:val="0"/>
          <w:numId w:val="7"/>
        </w:numPr>
        <w:spacing w:before="60" w:after="0" w:line="259" w:lineRule="auto"/>
        <w:ind w:left="357" w:hanging="357"/>
        <w:contextualSpacing w:val="0"/>
        <w:jc w:val="both"/>
        <w:rPr>
          <w:lang w:eastAsia="en-AU"/>
        </w:rPr>
      </w:pPr>
      <w:r w:rsidRPr="00135431">
        <w:rPr>
          <w:lang w:eastAsia="en-AU"/>
        </w:rPr>
        <w:t>Selected case studies and other information to be utilised for wider communication.</w:t>
      </w:r>
    </w:p>
    <w:p w:rsidR="00EF33C2" w:rsidRDefault="00EF33C2" w:rsidP="00EF33C2">
      <w:pPr>
        <w:spacing w:before="60" w:after="0" w:line="259" w:lineRule="auto"/>
        <w:jc w:val="both"/>
        <w:rPr>
          <w:lang w:eastAsia="en-AU"/>
        </w:rPr>
      </w:pPr>
    </w:p>
    <w:p w:rsidR="00EF33C2" w:rsidRDefault="00EF33C2" w:rsidP="00EF33C2">
      <w:pPr>
        <w:spacing w:before="60" w:after="0" w:line="259" w:lineRule="auto"/>
        <w:jc w:val="both"/>
        <w:rPr>
          <w:lang w:eastAsia="en-AU"/>
        </w:rPr>
      </w:pPr>
    </w:p>
    <w:p w:rsidR="00EF33C2" w:rsidRDefault="00EF33C2" w:rsidP="00EF33C2">
      <w:pPr>
        <w:spacing w:before="60" w:after="0" w:line="259" w:lineRule="auto"/>
        <w:jc w:val="both"/>
        <w:rPr>
          <w:lang w:eastAsia="en-AU"/>
        </w:rPr>
      </w:pPr>
    </w:p>
    <w:p w:rsidR="00EF33C2" w:rsidRDefault="00EF33C2" w:rsidP="00EF33C2">
      <w:pPr>
        <w:spacing w:before="60" w:after="0" w:line="259" w:lineRule="auto"/>
        <w:jc w:val="both"/>
        <w:rPr>
          <w:lang w:eastAsia="en-AU"/>
        </w:rPr>
      </w:pPr>
    </w:p>
    <w:p w:rsidR="00EF33C2" w:rsidRDefault="00EF33C2" w:rsidP="00EF33C2">
      <w:pPr>
        <w:spacing w:before="60" w:after="0" w:line="259" w:lineRule="auto"/>
        <w:jc w:val="both"/>
        <w:rPr>
          <w:lang w:eastAsia="en-AU"/>
        </w:rPr>
      </w:pPr>
    </w:p>
    <w:p w:rsidR="00EF33C2" w:rsidRDefault="00EF33C2" w:rsidP="00EF33C2">
      <w:pPr>
        <w:spacing w:before="60" w:after="0" w:line="259" w:lineRule="auto"/>
        <w:jc w:val="both"/>
        <w:rPr>
          <w:lang w:eastAsia="en-AU"/>
        </w:rPr>
      </w:pPr>
    </w:p>
    <w:p w:rsidR="00EF33C2" w:rsidRDefault="00EF33C2" w:rsidP="00EF33C2">
      <w:pPr>
        <w:spacing w:before="60" w:after="0" w:line="259" w:lineRule="auto"/>
        <w:jc w:val="both"/>
        <w:rPr>
          <w:lang w:eastAsia="en-AU"/>
        </w:rPr>
      </w:pPr>
    </w:p>
    <w:p w:rsidR="00EF33C2" w:rsidRDefault="00EF33C2" w:rsidP="00EF33C2">
      <w:pPr>
        <w:spacing w:before="60" w:after="0" w:line="259" w:lineRule="auto"/>
        <w:jc w:val="both"/>
        <w:rPr>
          <w:lang w:eastAsia="en-AU"/>
        </w:rPr>
      </w:pPr>
    </w:p>
    <w:p w:rsidR="00EF33C2" w:rsidRDefault="00EF33C2" w:rsidP="00EF33C2">
      <w:pPr>
        <w:spacing w:before="60" w:after="0" w:line="259" w:lineRule="auto"/>
        <w:jc w:val="both"/>
        <w:rPr>
          <w:lang w:eastAsia="en-AU"/>
        </w:rPr>
      </w:pPr>
    </w:p>
    <w:p w:rsidR="00EF33C2" w:rsidRDefault="00EF33C2" w:rsidP="00EF33C2">
      <w:pPr>
        <w:spacing w:before="60" w:after="0" w:line="259" w:lineRule="auto"/>
        <w:jc w:val="both"/>
        <w:rPr>
          <w:lang w:eastAsia="en-AU"/>
        </w:rPr>
      </w:pPr>
    </w:p>
    <w:p w:rsidR="00EF33C2" w:rsidRDefault="00EF33C2" w:rsidP="00EF33C2">
      <w:pPr>
        <w:spacing w:before="60" w:after="0" w:line="259" w:lineRule="auto"/>
        <w:jc w:val="both"/>
        <w:rPr>
          <w:lang w:eastAsia="en-AU"/>
        </w:rPr>
      </w:pPr>
    </w:p>
    <w:p w:rsidR="00EF33C2" w:rsidRPr="00135431" w:rsidRDefault="00EF33C2" w:rsidP="00EF33C2">
      <w:pPr>
        <w:spacing w:before="60" w:after="0" w:line="259" w:lineRule="auto"/>
        <w:jc w:val="both"/>
        <w:rPr>
          <w:lang w:eastAsia="en-AU"/>
        </w:rPr>
      </w:pPr>
    </w:p>
    <w:p w:rsidR="00EF6ADA" w:rsidRDefault="00EF6ADA">
      <w:pPr>
        <w:spacing w:after="0" w:line="240" w:lineRule="auto"/>
        <w:rPr>
          <w:caps/>
          <w:color w:val="632423"/>
          <w:spacing w:val="15"/>
          <w:sz w:val="24"/>
          <w:szCs w:val="24"/>
        </w:rPr>
      </w:pPr>
      <w:r>
        <w:br w:type="page"/>
      </w:r>
    </w:p>
    <w:p w:rsidR="00FB4EF2" w:rsidRPr="00135431" w:rsidRDefault="00FB4EF2" w:rsidP="00FB4EF2">
      <w:pPr>
        <w:pStyle w:val="Heading2"/>
        <w:jc w:val="left"/>
      </w:pPr>
      <w:bookmarkStart w:id="77" w:name="_Toc25739971"/>
      <w:bookmarkStart w:id="78" w:name="_Toc25740080"/>
      <w:r>
        <w:t>Knowledge Sharing &amp; Learning</w:t>
      </w:r>
      <w:bookmarkEnd w:id="77"/>
      <w:bookmarkEnd w:id="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2"/>
      </w:tblGrid>
      <w:tr w:rsidR="00FB4EF2" w:rsidRPr="00135431" w:rsidTr="0085353A">
        <w:tc>
          <w:tcPr>
            <w:tcW w:w="9818" w:type="dxa"/>
            <w:shd w:val="clear" w:color="auto" w:fill="auto"/>
          </w:tcPr>
          <w:p w:rsidR="00FB4EF2" w:rsidRPr="00135431" w:rsidRDefault="00FB4EF2" w:rsidP="0085353A">
            <w:pPr>
              <w:pStyle w:val="ListParagraph"/>
              <w:spacing w:before="120" w:after="120"/>
              <w:ind w:left="0" w:right="452"/>
              <w:jc w:val="center"/>
              <w:rPr>
                <w:rFonts w:cs="Arial"/>
                <w:bCs/>
                <w:sz w:val="20"/>
                <w:szCs w:val="20"/>
              </w:rPr>
            </w:pPr>
            <w:r w:rsidRPr="00135431">
              <w:rPr>
                <w:rFonts w:cs="Arial"/>
                <w:bCs/>
                <w:sz w:val="20"/>
                <w:szCs w:val="20"/>
              </w:rPr>
              <w:t xml:space="preserve">“Tell the story of [mainstreaming climate change and disaster risk] success from the perspective of the community and the road that was taken to get there” Dr Josefa Koroivueta, </w:t>
            </w:r>
            <w:r w:rsidR="00111A1F">
              <w:rPr>
                <w:rFonts w:cs="Arial"/>
                <w:bCs/>
                <w:sz w:val="20"/>
                <w:szCs w:val="20"/>
              </w:rPr>
              <w:t xml:space="preserve">former </w:t>
            </w:r>
            <w:r w:rsidRPr="00135431">
              <w:rPr>
                <w:rFonts w:cs="Arial"/>
                <w:bCs/>
                <w:sz w:val="20"/>
                <w:szCs w:val="20"/>
              </w:rPr>
              <w:t>Permanent Secretary, MWCPA, Fiji, 2018.</w:t>
            </w:r>
          </w:p>
        </w:tc>
      </w:tr>
    </w:tbl>
    <w:p w:rsidR="00F200D5" w:rsidRDefault="00F200D5" w:rsidP="00E7626A">
      <w:pPr>
        <w:spacing w:after="0" w:line="276" w:lineRule="auto"/>
        <w:jc w:val="both"/>
        <w:rPr>
          <w:rFonts w:cs="Arial"/>
        </w:rPr>
      </w:pPr>
    </w:p>
    <w:p w:rsidR="00FB4EF2" w:rsidRPr="00135431" w:rsidRDefault="00FB4EF2" w:rsidP="00E7626A">
      <w:pPr>
        <w:spacing w:after="0" w:line="276" w:lineRule="auto"/>
        <w:jc w:val="both"/>
        <w:rPr>
          <w:rFonts w:cs="Arial"/>
        </w:rPr>
      </w:pPr>
      <w:r w:rsidRPr="00135431">
        <w:rPr>
          <w:rFonts w:cs="Arial"/>
        </w:rPr>
        <w:t xml:space="preserve">Knowledge and </w:t>
      </w:r>
      <w:r w:rsidR="00240617">
        <w:rPr>
          <w:rFonts w:cs="Arial"/>
        </w:rPr>
        <w:t>learning</w:t>
      </w:r>
      <w:r w:rsidRPr="00135431">
        <w:rPr>
          <w:rFonts w:cs="Arial"/>
        </w:rPr>
        <w:t xml:space="preserve"> will be core activities for the </w:t>
      </w:r>
      <w:r w:rsidR="00253797">
        <w:rPr>
          <w:rFonts w:cs="Arial"/>
        </w:rPr>
        <w:t>project</w:t>
      </w:r>
      <w:r w:rsidRPr="00135431">
        <w:rPr>
          <w:rFonts w:cs="Arial"/>
        </w:rPr>
        <w:t xml:space="preserve">. The </w:t>
      </w:r>
      <w:r w:rsidR="00253797">
        <w:rPr>
          <w:rFonts w:cs="Arial"/>
        </w:rPr>
        <w:t>project</w:t>
      </w:r>
      <w:r w:rsidRPr="00135431">
        <w:rPr>
          <w:rFonts w:cs="Arial"/>
        </w:rPr>
        <w:t xml:space="preserve"> </w:t>
      </w:r>
      <w:r w:rsidR="00240617">
        <w:rPr>
          <w:rFonts w:cs="Arial"/>
        </w:rPr>
        <w:t xml:space="preserve">will </w:t>
      </w:r>
      <w:r w:rsidRPr="00135431">
        <w:rPr>
          <w:rFonts w:cs="Arial"/>
        </w:rPr>
        <w:t>give</w:t>
      </w:r>
      <w:r w:rsidR="00240617">
        <w:rPr>
          <w:rFonts w:cs="Arial"/>
        </w:rPr>
        <w:t xml:space="preserve"> </w:t>
      </w:r>
      <w:r w:rsidRPr="00135431">
        <w:rPr>
          <w:rFonts w:cs="Arial"/>
        </w:rPr>
        <w:t xml:space="preserve">attention to management and resourcing for multiple knowledge and </w:t>
      </w:r>
      <w:r w:rsidR="00240617">
        <w:rPr>
          <w:rFonts w:cs="Arial"/>
        </w:rPr>
        <w:t>learning</w:t>
      </w:r>
      <w:r w:rsidRPr="00135431">
        <w:rPr>
          <w:rFonts w:cs="Arial"/>
        </w:rPr>
        <w:t xml:space="preserve"> strategies, which pivot around </w:t>
      </w:r>
      <w:r w:rsidRPr="00135431">
        <w:rPr>
          <w:rFonts w:cs="Arial"/>
          <w:bCs/>
        </w:rPr>
        <w:t>using research and demonstration to advocate for behaviour change at national and regional levels</w:t>
      </w:r>
      <w:r w:rsidRPr="00135431">
        <w:rPr>
          <w:rFonts w:cs="Arial"/>
        </w:rPr>
        <w:t xml:space="preserve">. Learning from the first phase of programming has demonstrated that in order to shift the regional narrative and scale up the approach, diffusion of the success stories from adoption of a risk informed development approach needs to be targeted and deliberate. As such, the </w:t>
      </w:r>
      <w:r w:rsidR="00253797">
        <w:rPr>
          <w:rFonts w:cs="Arial"/>
        </w:rPr>
        <w:t>project</w:t>
      </w:r>
      <w:r w:rsidRPr="00135431">
        <w:rPr>
          <w:rFonts w:cs="Arial"/>
        </w:rPr>
        <w:t xml:space="preserve"> will undertake:</w:t>
      </w:r>
    </w:p>
    <w:p w:rsidR="00FB4EF2" w:rsidRPr="00135431" w:rsidRDefault="00FB4EF2" w:rsidP="009D6B25">
      <w:pPr>
        <w:numPr>
          <w:ilvl w:val="0"/>
          <w:numId w:val="10"/>
        </w:numPr>
        <w:spacing w:before="60" w:after="0" w:line="276" w:lineRule="auto"/>
        <w:ind w:left="357" w:hanging="357"/>
        <w:jc w:val="both"/>
        <w:rPr>
          <w:rFonts w:cs="Arial"/>
        </w:rPr>
      </w:pPr>
      <w:r w:rsidRPr="00135431">
        <w:rPr>
          <w:rFonts w:cs="Arial"/>
          <w:bCs/>
        </w:rPr>
        <w:t>Implementation and demonstration</w:t>
      </w:r>
      <w:r w:rsidRPr="00135431">
        <w:rPr>
          <w:rFonts w:cs="Arial"/>
        </w:rPr>
        <w:t xml:space="preserve"> (Output 1.</w:t>
      </w:r>
      <w:r>
        <w:rPr>
          <w:rFonts w:cs="Arial"/>
        </w:rPr>
        <w:t>2</w:t>
      </w:r>
      <w:r w:rsidRPr="00135431">
        <w:rPr>
          <w:rFonts w:cs="Arial"/>
        </w:rPr>
        <w:t xml:space="preserve">): </w:t>
      </w:r>
      <w:r w:rsidRPr="00135431">
        <w:rPr>
          <w:iCs/>
          <w:color w:val="000000"/>
          <w:lang w:val="en-US"/>
        </w:rPr>
        <w:t xml:space="preserve">working with </w:t>
      </w:r>
      <w:r w:rsidR="004A417D">
        <w:rPr>
          <w:iCs/>
          <w:color w:val="000000"/>
          <w:lang w:val="en-US"/>
        </w:rPr>
        <w:t>government</w:t>
      </w:r>
      <w:r w:rsidRPr="00135431">
        <w:rPr>
          <w:iCs/>
          <w:color w:val="000000"/>
          <w:lang w:val="en-US"/>
        </w:rPr>
        <w:t xml:space="preserve"> counterparts to identify and support targeted implementation of </w:t>
      </w:r>
      <w:r w:rsidR="00334F07" w:rsidRPr="00334F07">
        <w:rPr>
          <w:iCs/>
          <w:color w:val="000000"/>
          <w:lang w:val="en-US"/>
        </w:rPr>
        <w:t>gender and socially inclusive</w:t>
      </w:r>
      <w:r w:rsidR="00334F07" w:rsidRPr="00135431">
        <w:rPr>
          <w:iCs/>
          <w:color w:val="000000"/>
          <w:lang w:val="en-US"/>
        </w:rPr>
        <w:t xml:space="preserve"> </w:t>
      </w:r>
      <w:r w:rsidRPr="00135431">
        <w:rPr>
          <w:iCs/>
          <w:color w:val="000000"/>
          <w:lang w:val="en-US"/>
        </w:rPr>
        <w:t xml:space="preserve">risk-informed development. Once implemented, these “demonstrations” will then be showcased through the visibility channels detailed below. </w:t>
      </w:r>
    </w:p>
    <w:p w:rsidR="00FB4EF2" w:rsidRPr="00135431" w:rsidRDefault="00FB4EF2" w:rsidP="009D6B25">
      <w:pPr>
        <w:numPr>
          <w:ilvl w:val="0"/>
          <w:numId w:val="10"/>
        </w:numPr>
        <w:spacing w:before="60" w:after="0" w:line="276" w:lineRule="auto"/>
        <w:ind w:left="357" w:hanging="357"/>
        <w:jc w:val="both"/>
        <w:rPr>
          <w:rFonts w:cs="Arial"/>
        </w:rPr>
      </w:pPr>
      <w:r w:rsidRPr="00135431">
        <w:rPr>
          <w:rFonts w:cs="Arial"/>
          <w:bCs/>
        </w:rPr>
        <w:t>Research</w:t>
      </w:r>
      <w:r w:rsidRPr="00135431">
        <w:rPr>
          <w:rFonts w:cs="Arial"/>
        </w:rPr>
        <w:t xml:space="preserve"> (Output 3.2): undertaking targeted research (for instance on the cost of unchecked development, climate change finance flows, domestic development spending and disaster losses) and development of analytical pieces, briefs and position papers. </w:t>
      </w:r>
    </w:p>
    <w:p w:rsidR="00FB4EF2" w:rsidRPr="00135431" w:rsidRDefault="00FB4EF2" w:rsidP="009D6B25">
      <w:pPr>
        <w:numPr>
          <w:ilvl w:val="0"/>
          <w:numId w:val="10"/>
        </w:numPr>
        <w:spacing w:before="60" w:after="0" w:line="276" w:lineRule="auto"/>
        <w:ind w:left="357" w:hanging="357"/>
        <w:jc w:val="both"/>
        <w:rPr>
          <w:rFonts w:cs="Arial"/>
        </w:rPr>
      </w:pPr>
      <w:r w:rsidRPr="00135431">
        <w:rPr>
          <w:rFonts w:cs="Arial"/>
          <w:bCs/>
        </w:rPr>
        <w:t>Facilitation of regional networks</w:t>
      </w:r>
      <w:r w:rsidRPr="00135431">
        <w:rPr>
          <w:rFonts w:cs="Arial"/>
        </w:rPr>
        <w:t xml:space="preserve"> (Output 3.1 and 3.2): facilitating multi-stakeholder learning through in-country exchanges; establishing learning networks across countries i.e. </w:t>
      </w:r>
      <w:r w:rsidR="00334F07" w:rsidRPr="00334F07">
        <w:rPr>
          <w:iCs/>
          <w:color w:val="000000"/>
          <w:lang w:val="en-US"/>
        </w:rPr>
        <w:t xml:space="preserve">gender and socially </w:t>
      </w:r>
      <w:r w:rsidR="00334F07">
        <w:rPr>
          <w:iCs/>
          <w:color w:val="000000"/>
          <w:lang w:val="en-US"/>
        </w:rPr>
        <w:t>inclusion</w:t>
      </w:r>
      <w:r w:rsidR="00334F07" w:rsidRPr="00135431">
        <w:rPr>
          <w:iCs/>
          <w:color w:val="000000"/>
          <w:lang w:val="en-US"/>
        </w:rPr>
        <w:t xml:space="preserve"> </w:t>
      </w:r>
      <w:r w:rsidRPr="00135431">
        <w:rPr>
          <w:rFonts w:cs="Arial"/>
        </w:rPr>
        <w:t xml:space="preserve">considerations via the </w:t>
      </w:r>
      <w:proofErr w:type="spellStart"/>
      <w:r w:rsidRPr="00135431">
        <w:rPr>
          <w:rFonts w:cs="Arial"/>
        </w:rPr>
        <w:t>ProPa</w:t>
      </w:r>
      <w:proofErr w:type="spellEnd"/>
      <w:r w:rsidRPr="00135431">
        <w:rPr>
          <w:rFonts w:cs="Arial"/>
        </w:rPr>
        <w:t xml:space="preserve"> network; targeting interventions at regional and international events relating to resilience e.g. the FRDP.</w:t>
      </w:r>
    </w:p>
    <w:p w:rsidR="00EF6ADA" w:rsidRDefault="00EF6ADA" w:rsidP="00EF6ADA">
      <w:pPr>
        <w:spacing w:after="0" w:line="276" w:lineRule="auto"/>
        <w:jc w:val="both"/>
        <w:rPr>
          <w:rFonts w:cs="Arial"/>
        </w:rPr>
      </w:pPr>
    </w:p>
    <w:p w:rsidR="008F3162" w:rsidRDefault="00FB4EF2" w:rsidP="00EF6ADA">
      <w:pPr>
        <w:spacing w:after="0" w:line="276" w:lineRule="auto"/>
        <w:jc w:val="both"/>
        <w:rPr>
          <w:rFonts w:cs="Arial"/>
        </w:rPr>
      </w:pPr>
      <w:r w:rsidRPr="00135431">
        <w:rPr>
          <w:rFonts w:cs="Arial"/>
        </w:rPr>
        <w:t xml:space="preserve">Visibility for the knowledge that is being generated by the </w:t>
      </w:r>
      <w:r w:rsidR="00253797">
        <w:rPr>
          <w:rFonts w:cs="Arial"/>
        </w:rPr>
        <w:t>project</w:t>
      </w:r>
      <w:r w:rsidRPr="00135431">
        <w:rPr>
          <w:rFonts w:cs="Arial"/>
        </w:rPr>
        <w:t xml:space="preserve"> will be achieved through multiple activities and avenues, including (but not limited to): </w:t>
      </w:r>
      <w:r w:rsidRPr="00135431">
        <w:rPr>
          <w:rFonts w:cs="Calibri"/>
        </w:rPr>
        <w:t xml:space="preserve">publication of analytical pieces, briefs, position papers and success stories via traditional media, social media and on the </w:t>
      </w:r>
      <w:r w:rsidR="00253797">
        <w:rPr>
          <w:rFonts w:cs="Calibri"/>
        </w:rPr>
        <w:t>project</w:t>
      </w:r>
      <w:r w:rsidR="00895613">
        <w:rPr>
          <w:rFonts w:cs="Calibri"/>
        </w:rPr>
        <w:t xml:space="preserve"> </w:t>
      </w:r>
      <w:r w:rsidRPr="00135431">
        <w:rPr>
          <w:rFonts w:cs="Calibri"/>
        </w:rPr>
        <w:t xml:space="preserve">website; advocacy at regional and global forums by the </w:t>
      </w:r>
      <w:r w:rsidR="00253797">
        <w:rPr>
          <w:rFonts w:cs="Calibri"/>
        </w:rPr>
        <w:t>project</w:t>
      </w:r>
      <w:r w:rsidRPr="00135431">
        <w:rPr>
          <w:rFonts w:cs="Calibri"/>
        </w:rPr>
        <w:t xml:space="preserve"> and country driven networks; workshops and training; site visits, and more</w:t>
      </w:r>
      <w:r w:rsidRPr="00135431">
        <w:rPr>
          <w:rFonts w:cs="Arial"/>
        </w:rPr>
        <w:t>.</w:t>
      </w:r>
    </w:p>
    <w:p w:rsidR="00EF6ADA" w:rsidRDefault="00EF6ADA" w:rsidP="00EF6ADA">
      <w:pPr>
        <w:spacing w:line="276" w:lineRule="auto"/>
        <w:jc w:val="both"/>
      </w:pPr>
    </w:p>
    <w:p w:rsidR="008F3162" w:rsidRDefault="008F3162" w:rsidP="009C12DD">
      <w:pPr>
        <w:jc w:val="both"/>
      </w:pPr>
    </w:p>
    <w:p w:rsidR="00FB4EF2" w:rsidRPr="00135431" w:rsidRDefault="00FB4EF2" w:rsidP="002F14AB">
      <w:pPr>
        <w:sectPr w:rsidR="00FB4EF2" w:rsidRPr="00135431" w:rsidSect="00DE0875">
          <w:pgSz w:w="11906" w:h="16838" w:code="9"/>
          <w:pgMar w:top="864" w:right="1152" w:bottom="864" w:left="1152" w:header="720" w:footer="432" w:gutter="0"/>
          <w:cols w:space="708"/>
          <w:titlePg/>
          <w:docGrid w:linePitch="360"/>
        </w:sectPr>
      </w:pPr>
    </w:p>
    <w:p w:rsidR="002F14AB" w:rsidRPr="00135431" w:rsidRDefault="002F14AB" w:rsidP="009D6B25">
      <w:pPr>
        <w:pStyle w:val="Heading1"/>
        <w:numPr>
          <w:ilvl w:val="0"/>
          <w:numId w:val="8"/>
        </w:numPr>
        <w:jc w:val="left"/>
      </w:pPr>
      <w:bookmarkStart w:id="79" w:name="_Toc22745679"/>
      <w:bookmarkStart w:id="80" w:name="_Toc25739972"/>
      <w:bookmarkStart w:id="81" w:name="_Toc25740081"/>
      <w:r w:rsidRPr="00B00697">
        <w:t>W</w:t>
      </w:r>
      <w:r w:rsidRPr="00135431">
        <w:t>ork Plan</w:t>
      </w:r>
      <w:bookmarkEnd w:id="79"/>
      <w:bookmarkEnd w:id="80"/>
      <w:bookmarkEnd w:id="81"/>
    </w:p>
    <w:tbl>
      <w:tblPr>
        <w:tblStyle w:val="TableGrid"/>
        <w:tblW w:w="0" w:type="auto"/>
        <w:tblLook w:val="04A0" w:firstRow="1" w:lastRow="0" w:firstColumn="1" w:lastColumn="0" w:noHBand="0" w:noVBand="1"/>
      </w:tblPr>
      <w:tblGrid>
        <w:gridCol w:w="1884"/>
        <w:gridCol w:w="3211"/>
        <w:gridCol w:w="888"/>
        <w:gridCol w:w="1024"/>
        <w:gridCol w:w="982"/>
        <w:gridCol w:w="978"/>
        <w:gridCol w:w="960"/>
        <w:gridCol w:w="793"/>
        <w:gridCol w:w="988"/>
        <w:gridCol w:w="783"/>
        <w:gridCol w:w="1538"/>
        <w:gridCol w:w="1071"/>
      </w:tblGrid>
      <w:tr w:rsidR="008767E4" w:rsidRPr="008767E4" w:rsidTr="00561C15">
        <w:trPr>
          <w:trHeight w:hRule="exact" w:val="258"/>
          <w:tblHeader/>
        </w:trPr>
        <w:tc>
          <w:tcPr>
            <w:tcW w:w="1884" w:type="dxa"/>
            <w:vMerge w:val="restart"/>
            <w:shd w:val="clear" w:color="auto" w:fill="FFF2CC" w:themeFill="accent4" w:themeFillTint="33"/>
            <w:noWrap/>
            <w:hideMark/>
          </w:tcPr>
          <w:p w:rsidR="008767E4" w:rsidRPr="008767E4" w:rsidRDefault="008767E4" w:rsidP="008767E4">
            <w:pPr>
              <w:spacing w:line="276" w:lineRule="auto"/>
              <w:rPr>
                <w:rFonts w:asciiTheme="majorHAnsi" w:hAnsiTheme="majorHAnsi" w:cstheme="majorHAnsi"/>
                <w:b/>
                <w:bCs/>
                <w:sz w:val="16"/>
                <w:szCs w:val="16"/>
              </w:rPr>
            </w:pPr>
            <w:r w:rsidRPr="008767E4">
              <w:rPr>
                <w:rFonts w:asciiTheme="majorHAnsi" w:hAnsiTheme="majorHAnsi" w:cstheme="majorHAnsi"/>
                <w:b/>
                <w:bCs/>
                <w:sz w:val="16"/>
                <w:szCs w:val="16"/>
              </w:rPr>
              <w:t xml:space="preserve">EXPECTED OUTPUTS </w:t>
            </w:r>
          </w:p>
        </w:tc>
        <w:tc>
          <w:tcPr>
            <w:tcW w:w="3211" w:type="dxa"/>
            <w:vMerge w:val="restart"/>
            <w:shd w:val="clear" w:color="auto" w:fill="FFF2CC" w:themeFill="accent4" w:themeFillTint="33"/>
            <w:noWrap/>
            <w:hideMark/>
          </w:tcPr>
          <w:p w:rsidR="008767E4" w:rsidRPr="008767E4" w:rsidRDefault="008767E4" w:rsidP="008767E4">
            <w:pPr>
              <w:spacing w:line="276" w:lineRule="auto"/>
              <w:rPr>
                <w:rFonts w:asciiTheme="majorHAnsi" w:hAnsiTheme="majorHAnsi" w:cstheme="majorHAnsi"/>
                <w:b/>
                <w:bCs/>
                <w:sz w:val="16"/>
                <w:szCs w:val="16"/>
              </w:rPr>
            </w:pPr>
            <w:r w:rsidRPr="008767E4">
              <w:rPr>
                <w:rFonts w:asciiTheme="majorHAnsi" w:hAnsiTheme="majorHAnsi" w:cstheme="majorHAnsi"/>
                <w:b/>
                <w:bCs/>
                <w:sz w:val="16"/>
                <w:szCs w:val="16"/>
              </w:rPr>
              <w:t xml:space="preserve">PLANNED ACTIVITIES </w:t>
            </w:r>
          </w:p>
        </w:tc>
        <w:tc>
          <w:tcPr>
            <w:tcW w:w="5625" w:type="dxa"/>
            <w:gridSpan w:val="6"/>
            <w:vMerge w:val="restart"/>
            <w:shd w:val="clear" w:color="auto" w:fill="FFF2CC" w:themeFill="accent4" w:themeFillTint="33"/>
            <w:noWrap/>
            <w:vAlign w:val="center"/>
            <w:hideMark/>
          </w:tcPr>
          <w:p w:rsidR="008767E4" w:rsidRPr="008767E4" w:rsidRDefault="008767E4" w:rsidP="008767E4">
            <w:pPr>
              <w:spacing w:line="276" w:lineRule="auto"/>
              <w:jc w:val="center"/>
              <w:rPr>
                <w:rFonts w:asciiTheme="majorHAnsi" w:hAnsiTheme="majorHAnsi" w:cstheme="majorHAnsi"/>
                <w:b/>
                <w:bCs/>
                <w:sz w:val="16"/>
                <w:szCs w:val="16"/>
              </w:rPr>
            </w:pPr>
            <w:r w:rsidRPr="008767E4">
              <w:rPr>
                <w:rFonts w:asciiTheme="majorHAnsi" w:hAnsiTheme="majorHAnsi" w:cstheme="majorHAnsi"/>
                <w:b/>
                <w:bCs/>
                <w:sz w:val="16"/>
                <w:szCs w:val="16"/>
              </w:rPr>
              <w:t>Planned Budget by Year</w:t>
            </w:r>
          </w:p>
          <w:p w:rsidR="008767E4" w:rsidRPr="008767E4" w:rsidRDefault="008767E4" w:rsidP="008767E4">
            <w:pPr>
              <w:spacing w:line="276" w:lineRule="auto"/>
              <w:jc w:val="center"/>
              <w:rPr>
                <w:rFonts w:asciiTheme="majorHAnsi" w:hAnsiTheme="majorHAnsi" w:cstheme="majorHAnsi"/>
                <w:b/>
                <w:bCs/>
                <w:sz w:val="16"/>
                <w:szCs w:val="16"/>
              </w:rPr>
            </w:pPr>
          </w:p>
        </w:tc>
        <w:tc>
          <w:tcPr>
            <w:tcW w:w="988" w:type="dxa"/>
            <w:vMerge w:val="restart"/>
            <w:shd w:val="clear" w:color="auto" w:fill="FFF2CC" w:themeFill="accent4" w:themeFillTint="33"/>
            <w:noWrap/>
            <w:hideMark/>
          </w:tcPr>
          <w:p w:rsidR="008767E4" w:rsidRPr="008767E4" w:rsidRDefault="008767E4" w:rsidP="008767E4">
            <w:pPr>
              <w:spacing w:line="276" w:lineRule="auto"/>
              <w:rPr>
                <w:rFonts w:asciiTheme="majorHAnsi" w:hAnsiTheme="majorHAnsi" w:cstheme="majorHAnsi"/>
                <w:b/>
                <w:bCs/>
                <w:sz w:val="16"/>
                <w:szCs w:val="16"/>
              </w:rPr>
            </w:pPr>
            <w:r w:rsidRPr="008767E4">
              <w:rPr>
                <w:rFonts w:asciiTheme="majorHAnsi" w:hAnsiTheme="majorHAnsi" w:cstheme="majorHAnsi"/>
                <w:b/>
                <w:bCs/>
                <w:sz w:val="16"/>
                <w:szCs w:val="16"/>
              </w:rPr>
              <w:t xml:space="preserve"> Responsible Party </w:t>
            </w:r>
          </w:p>
        </w:tc>
        <w:tc>
          <w:tcPr>
            <w:tcW w:w="3392" w:type="dxa"/>
            <w:gridSpan w:val="3"/>
            <w:shd w:val="clear" w:color="auto" w:fill="FFF2CC" w:themeFill="accent4" w:themeFillTint="33"/>
            <w:noWrap/>
            <w:hideMark/>
          </w:tcPr>
          <w:p w:rsidR="008767E4" w:rsidRPr="008767E4" w:rsidRDefault="008767E4" w:rsidP="008767E4">
            <w:pPr>
              <w:spacing w:line="276" w:lineRule="auto"/>
              <w:rPr>
                <w:rFonts w:asciiTheme="majorHAnsi" w:hAnsiTheme="majorHAnsi" w:cstheme="majorHAnsi"/>
                <w:b/>
                <w:bCs/>
                <w:sz w:val="16"/>
                <w:szCs w:val="16"/>
              </w:rPr>
            </w:pPr>
            <w:r w:rsidRPr="008767E4">
              <w:rPr>
                <w:rFonts w:asciiTheme="majorHAnsi" w:hAnsiTheme="majorHAnsi" w:cstheme="majorHAnsi"/>
                <w:b/>
                <w:bCs/>
                <w:sz w:val="16"/>
                <w:szCs w:val="16"/>
              </w:rPr>
              <w:t xml:space="preserve"> PLANNED BUDGET </w:t>
            </w:r>
          </w:p>
        </w:tc>
      </w:tr>
      <w:tr w:rsidR="00B531B2" w:rsidRPr="008767E4" w:rsidTr="00561C15">
        <w:trPr>
          <w:trHeight w:hRule="exact" w:val="90"/>
          <w:tblHeader/>
        </w:trPr>
        <w:tc>
          <w:tcPr>
            <w:tcW w:w="1884" w:type="dxa"/>
            <w:vMerge/>
            <w:shd w:val="clear" w:color="auto" w:fill="FFF2CC" w:themeFill="accent4" w:themeFillTint="33"/>
            <w:hideMark/>
          </w:tcPr>
          <w:p w:rsidR="008767E4" w:rsidRPr="008767E4" w:rsidRDefault="008767E4" w:rsidP="008767E4">
            <w:pPr>
              <w:spacing w:line="276" w:lineRule="auto"/>
              <w:rPr>
                <w:rFonts w:asciiTheme="majorHAnsi" w:hAnsiTheme="majorHAnsi" w:cstheme="majorHAnsi"/>
                <w:b/>
                <w:bCs/>
                <w:sz w:val="16"/>
                <w:szCs w:val="16"/>
              </w:rPr>
            </w:pPr>
          </w:p>
        </w:tc>
        <w:tc>
          <w:tcPr>
            <w:tcW w:w="3211" w:type="dxa"/>
            <w:vMerge/>
            <w:shd w:val="clear" w:color="auto" w:fill="FFF2CC" w:themeFill="accent4" w:themeFillTint="33"/>
            <w:hideMark/>
          </w:tcPr>
          <w:p w:rsidR="008767E4" w:rsidRPr="008767E4" w:rsidRDefault="008767E4" w:rsidP="008767E4">
            <w:pPr>
              <w:spacing w:line="276" w:lineRule="auto"/>
              <w:rPr>
                <w:rFonts w:asciiTheme="majorHAnsi" w:hAnsiTheme="majorHAnsi" w:cstheme="majorHAnsi"/>
                <w:b/>
                <w:bCs/>
                <w:sz w:val="16"/>
                <w:szCs w:val="16"/>
              </w:rPr>
            </w:pPr>
          </w:p>
        </w:tc>
        <w:tc>
          <w:tcPr>
            <w:tcW w:w="5625" w:type="dxa"/>
            <w:gridSpan w:val="6"/>
            <w:vMerge/>
            <w:shd w:val="clear" w:color="auto" w:fill="FFF2CC" w:themeFill="accent4" w:themeFillTint="33"/>
            <w:noWrap/>
            <w:hideMark/>
          </w:tcPr>
          <w:p w:rsidR="008767E4" w:rsidRPr="008767E4" w:rsidRDefault="008767E4" w:rsidP="008767E4">
            <w:pPr>
              <w:spacing w:line="276" w:lineRule="auto"/>
              <w:rPr>
                <w:rFonts w:asciiTheme="majorHAnsi" w:hAnsiTheme="majorHAnsi" w:cstheme="majorHAnsi"/>
                <w:sz w:val="16"/>
                <w:szCs w:val="16"/>
              </w:rPr>
            </w:pPr>
          </w:p>
        </w:tc>
        <w:tc>
          <w:tcPr>
            <w:tcW w:w="988" w:type="dxa"/>
            <w:vMerge/>
            <w:shd w:val="clear" w:color="auto" w:fill="FFF2CC" w:themeFill="accent4" w:themeFillTint="33"/>
            <w:hideMark/>
          </w:tcPr>
          <w:p w:rsidR="008767E4" w:rsidRPr="008767E4" w:rsidRDefault="008767E4" w:rsidP="008767E4">
            <w:pPr>
              <w:spacing w:line="276" w:lineRule="auto"/>
              <w:rPr>
                <w:rFonts w:asciiTheme="majorHAnsi" w:hAnsiTheme="majorHAnsi" w:cstheme="majorHAnsi"/>
                <w:b/>
                <w:bCs/>
                <w:sz w:val="16"/>
                <w:szCs w:val="16"/>
              </w:rPr>
            </w:pPr>
          </w:p>
        </w:tc>
        <w:tc>
          <w:tcPr>
            <w:tcW w:w="783" w:type="dxa"/>
            <w:vMerge w:val="restart"/>
            <w:shd w:val="clear" w:color="auto" w:fill="FFF2CC" w:themeFill="accent4" w:themeFillTint="33"/>
            <w:noWrap/>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xml:space="preserve"> Funding Source </w:t>
            </w:r>
          </w:p>
        </w:tc>
        <w:tc>
          <w:tcPr>
            <w:tcW w:w="1538" w:type="dxa"/>
            <w:vMerge w:val="restart"/>
            <w:shd w:val="clear" w:color="auto" w:fill="FFF2CC" w:themeFill="accent4" w:themeFillTint="33"/>
            <w:noWrap/>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xml:space="preserve"> Budget Description </w:t>
            </w:r>
          </w:p>
        </w:tc>
        <w:tc>
          <w:tcPr>
            <w:tcW w:w="1071" w:type="dxa"/>
            <w:vMerge w:val="restart"/>
            <w:shd w:val="clear" w:color="auto" w:fill="FFF2CC" w:themeFill="accent4" w:themeFillTint="33"/>
            <w:noWrap/>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xml:space="preserve"> Amount (USD) </w:t>
            </w:r>
          </w:p>
        </w:tc>
      </w:tr>
      <w:tr w:rsidR="00B531B2" w:rsidRPr="008767E4" w:rsidTr="00561C15">
        <w:trPr>
          <w:trHeight w:val="315"/>
          <w:tblHeader/>
        </w:trPr>
        <w:tc>
          <w:tcPr>
            <w:tcW w:w="1884" w:type="dxa"/>
            <w:vMerge/>
            <w:hideMark/>
          </w:tcPr>
          <w:p w:rsidR="008767E4" w:rsidRPr="008767E4" w:rsidRDefault="008767E4" w:rsidP="008767E4">
            <w:pPr>
              <w:spacing w:line="276" w:lineRule="auto"/>
              <w:rPr>
                <w:rFonts w:asciiTheme="majorHAnsi" w:hAnsiTheme="majorHAnsi" w:cstheme="majorHAnsi"/>
                <w:b/>
                <w:bCs/>
                <w:sz w:val="16"/>
                <w:szCs w:val="16"/>
              </w:rPr>
            </w:pPr>
          </w:p>
        </w:tc>
        <w:tc>
          <w:tcPr>
            <w:tcW w:w="3211" w:type="dxa"/>
            <w:vMerge/>
            <w:hideMark/>
          </w:tcPr>
          <w:p w:rsidR="008767E4" w:rsidRPr="008767E4" w:rsidRDefault="008767E4" w:rsidP="008767E4">
            <w:pPr>
              <w:spacing w:line="276" w:lineRule="auto"/>
              <w:rPr>
                <w:rFonts w:asciiTheme="majorHAnsi" w:hAnsiTheme="majorHAnsi" w:cstheme="majorHAnsi"/>
                <w:b/>
                <w:bCs/>
                <w:sz w:val="16"/>
                <w:szCs w:val="16"/>
              </w:rPr>
            </w:pPr>
          </w:p>
        </w:tc>
        <w:tc>
          <w:tcPr>
            <w:tcW w:w="888" w:type="dxa"/>
            <w:shd w:val="clear" w:color="auto" w:fill="FFF2CC" w:themeFill="accent4" w:themeFillTint="33"/>
            <w:noWrap/>
            <w:vAlign w:val="center"/>
            <w:hideMark/>
          </w:tcPr>
          <w:p w:rsidR="008767E4" w:rsidRPr="008767E4" w:rsidRDefault="008767E4" w:rsidP="00F66B8F">
            <w:pPr>
              <w:spacing w:line="276" w:lineRule="auto"/>
              <w:jc w:val="center"/>
              <w:rPr>
                <w:rFonts w:asciiTheme="majorHAnsi" w:hAnsiTheme="majorHAnsi" w:cstheme="majorHAnsi"/>
                <w:sz w:val="16"/>
                <w:szCs w:val="16"/>
              </w:rPr>
            </w:pPr>
            <w:r w:rsidRPr="008767E4">
              <w:rPr>
                <w:rFonts w:asciiTheme="majorHAnsi" w:hAnsiTheme="majorHAnsi" w:cstheme="majorHAnsi"/>
                <w:sz w:val="16"/>
                <w:szCs w:val="16"/>
              </w:rPr>
              <w:t>2019</w:t>
            </w:r>
          </w:p>
        </w:tc>
        <w:tc>
          <w:tcPr>
            <w:tcW w:w="1024" w:type="dxa"/>
            <w:shd w:val="clear" w:color="auto" w:fill="FFF2CC" w:themeFill="accent4" w:themeFillTint="33"/>
            <w:noWrap/>
            <w:vAlign w:val="center"/>
            <w:hideMark/>
          </w:tcPr>
          <w:p w:rsidR="008767E4" w:rsidRPr="008767E4" w:rsidRDefault="008767E4" w:rsidP="00F66B8F">
            <w:pPr>
              <w:spacing w:line="276" w:lineRule="auto"/>
              <w:jc w:val="center"/>
              <w:rPr>
                <w:rFonts w:asciiTheme="majorHAnsi" w:hAnsiTheme="majorHAnsi" w:cstheme="majorHAnsi"/>
                <w:sz w:val="16"/>
                <w:szCs w:val="16"/>
              </w:rPr>
            </w:pPr>
            <w:r w:rsidRPr="008767E4">
              <w:rPr>
                <w:rFonts w:asciiTheme="majorHAnsi" w:hAnsiTheme="majorHAnsi" w:cstheme="majorHAnsi"/>
                <w:sz w:val="16"/>
                <w:szCs w:val="16"/>
              </w:rPr>
              <w:t>2020</w:t>
            </w:r>
          </w:p>
        </w:tc>
        <w:tc>
          <w:tcPr>
            <w:tcW w:w="982" w:type="dxa"/>
            <w:shd w:val="clear" w:color="auto" w:fill="FFF2CC" w:themeFill="accent4" w:themeFillTint="33"/>
            <w:noWrap/>
            <w:vAlign w:val="center"/>
            <w:hideMark/>
          </w:tcPr>
          <w:p w:rsidR="008767E4" w:rsidRPr="008767E4" w:rsidRDefault="008767E4" w:rsidP="00F66B8F">
            <w:pPr>
              <w:spacing w:line="276" w:lineRule="auto"/>
              <w:jc w:val="center"/>
              <w:rPr>
                <w:rFonts w:asciiTheme="majorHAnsi" w:hAnsiTheme="majorHAnsi" w:cstheme="majorHAnsi"/>
                <w:sz w:val="16"/>
                <w:szCs w:val="16"/>
              </w:rPr>
            </w:pPr>
            <w:r w:rsidRPr="008767E4">
              <w:rPr>
                <w:rFonts w:asciiTheme="majorHAnsi" w:hAnsiTheme="majorHAnsi" w:cstheme="majorHAnsi"/>
                <w:sz w:val="16"/>
                <w:szCs w:val="16"/>
              </w:rPr>
              <w:t>2021</w:t>
            </w:r>
          </w:p>
        </w:tc>
        <w:tc>
          <w:tcPr>
            <w:tcW w:w="978" w:type="dxa"/>
            <w:shd w:val="clear" w:color="auto" w:fill="FFF2CC" w:themeFill="accent4" w:themeFillTint="33"/>
            <w:noWrap/>
            <w:vAlign w:val="center"/>
            <w:hideMark/>
          </w:tcPr>
          <w:p w:rsidR="008767E4" w:rsidRPr="008767E4" w:rsidRDefault="008767E4" w:rsidP="00F66B8F">
            <w:pPr>
              <w:spacing w:line="276" w:lineRule="auto"/>
              <w:jc w:val="center"/>
              <w:rPr>
                <w:rFonts w:asciiTheme="majorHAnsi" w:hAnsiTheme="majorHAnsi" w:cstheme="majorHAnsi"/>
                <w:sz w:val="16"/>
                <w:szCs w:val="16"/>
              </w:rPr>
            </w:pPr>
            <w:r w:rsidRPr="008767E4">
              <w:rPr>
                <w:rFonts w:asciiTheme="majorHAnsi" w:hAnsiTheme="majorHAnsi" w:cstheme="majorHAnsi"/>
                <w:sz w:val="16"/>
                <w:szCs w:val="16"/>
              </w:rPr>
              <w:t>2022</w:t>
            </w:r>
          </w:p>
        </w:tc>
        <w:tc>
          <w:tcPr>
            <w:tcW w:w="960" w:type="dxa"/>
            <w:shd w:val="clear" w:color="auto" w:fill="FFF2CC" w:themeFill="accent4" w:themeFillTint="33"/>
            <w:noWrap/>
            <w:vAlign w:val="center"/>
            <w:hideMark/>
          </w:tcPr>
          <w:p w:rsidR="008767E4" w:rsidRPr="008767E4" w:rsidRDefault="008767E4" w:rsidP="00F66B8F">
            <w:pPr>
              <w:spacing w:line="276" w:lineRule="auto"/>
              <w:jc w:val="center"/>
              <w:rPr>
                <w:rFonts w:asciiTheme="majorHAnsi" w:hAnsiTheme="majorHAnsi" w:cstheme="majorHAnsi"/>
                <w:sz w:val="16"/>
                <w:szCs w:val="16"/>
              </w:rPr>
            </w:pPr>
            <w:r w:rsidRPr="008767E4">
              <w:rPr>
                <w:rFonts w:asciiTheme="majorHAnsi" w:hAnsiTheme="majorHAnsi" w:cstheme="majorHAnsi"/>
                <w:sz w:val="16"/>
                <w:szCs w:val="16"/>
              </w:rPr>
              <w:t>2023</w:t>
            </w:r>
          </w:p>
        </w:tc>
        <w:tc>
          <w:tcPr>
            <w:tcW w:w="793" w:type="dxa"/>
            <w:shd w:val="clear" w:color="auto" w:fill="FFF2CC" w:themeFill="accent4" w:themeFillTint="33"/>
            <w:noWrap/>
            <w:vAlign w:val="center"/>
            <w:hideMark/>
          </w:tcPr>
          <w:p w:rsidR="008767E4" w:rsidRPr="008767E4" w:rsidRDefault="008767E4" w:rsidP="00F66B8F">
            <w:pPr>
              <w:spacing w:line="276" w:lineRule="auto"/>
              <w:jc w:val="center"/>
              <w:rPr>
                <w:rFonts w:asciiTheme="majorHAnsi" w:hAnsiTheme="majorHAnsi" w:cstheme="majorHAnsi"/>
                <w:sz w:val="16"/>
                <w:szCs w:val="16"/>
              </w:rPr>
            </w:pPr>
            <w:r w:rsidRPr="008767E4">
              <w:rPr>
                <w:rFonts w:asciiTheme="majorHAnsi" w:hAnsiTheme="majorHAnsi" w:cstheme="majorHAnsi"/>
                <w:sz w:val="16"/>
                <w:szCs w:val="16"/>
              </w:rPr>
              <w:t>2024</w:t>
            </w:r>
          </w:p>
        </w:tc>
        <w:tc>
          <w:tcPr>
            <w:tcW w:w="988" w:type="dxa"/>
            <w:vMerge/>
            <w:hideMark/>
          </w:tcPr>
          <w:p w:rsidR="008767E4" w:rsidRPr="008767E4" w:rsidRDefault="008767E4" w:rsidP="008767E4">
            <w:pPr>
              <w:spacing w:line="276" w:lineRule="auto"/>
              <w:rPr>
                <w:rFonts w:asciiTheme="majorHAnsi" w:hAnsiTheme="majorHAnsi" w:cstheme="majorHAnsi"/>
                <w:b/>
                <w:bCs/>
                <w:sz w:val="16"/>
                <w:szCs w:val="16"/>
              </w:rPr>
            </w:pPr>
          </w:p>
        </w:tc>
        <w:tc>
          <w:tcPr>
            <w:tcW w:w="783" w:type="dxa"/>
            <w:vMerge/>
            <w:hideMark/>
          </w:tcPr>
          <w:p w:rsidR="008767E4" w:rsidRPr="008767E4" w:rsidRDefault="008767E4" w:rsidP="008767E4">
            <w:pPr>
              <w:spacing w:line="276" w:lineRule="auto"/>
              <w:rPr>
                <w:rFonts w:asciiTheme="majorHAnsi" w:hAnsiTheme="majorHAnsi" w:cstheme="majorHAnsi"/>
                <w:sz w:val="16"/>
                <w:szCs w:val="16"/>
              </w:rPr>
            </w:pPr>
          </w:p>
        </w:tc>
        <w:tc>
          <w:tcPr>
            <w:tcW w:w="1538" w:type="dxa"/>
            <w:vMerge/>
            <w:hideMark/>
          </w:tcPr>
          <w:p w:rsidR="008767E4" w:rsidRPr="008767E4" w:rsidRDefault="008767E4" w:rsidP="008767E4">
            <w:pPr>
              <w:spacing w:line="276" w:lineRule="auto"/>
              <w:rPr>
                <w:rFonts w:asciiTheme="majorHAnsi" w:hAnsiTheme="majorHAnsi" w:cstheme="majorHAnsi"/>
                <w:sz w:val="16"/>
                <w:szCs w:val="16"/>
              </w:rPr>
            </w:pPr>
          </w:p>
        </w:tc>
        <w:tc>
          <w:tcPr>
            <w:tcW w:w="1071" w:type="dxa"/>
            <w:vMerge/>
            <w:hideMark/>
          </w:tcPr>
          <w:p w:rsidR="008767E4" w:rsidRPr="008767E4" w:rsidRDefault="008767E4" w:rsidP="008767E4">
            <w:pPr>
              <w:spacing w:line="276" w:lineRule="auto"/>
              <w:rPr>
                <w:rFonts w:asciiTheme="majorHAnsi" w:hAnsiTheme="majorHAnsi" w:cstheme="majorHAnsi"/>
                <w:sz w:val="16"/>
                <w:szCs w:val="16"/>
              </w:rPr>
            </w:pPr>
          </w:p>
        </w:tc>
      </w:tr>
      <w:tr w:rsidR="008767E4" w:rsidRPr="008767E4" w:rsidTr="008767E4">
        <w:trPr>
          <w:trHeight w:val="315"/>
        </w:trPr>
        <w:tc>
          <w:tcPr>
            <w:tcW w:w="15100" w:type="dxa"/>
            <w:gridSpan w:val="12"/>
            <w:shd w:val="clear" w:color="auto" w:fill="F2F2F2" w:themeFill="background1" w:themeFillShade="F2"/>
            <w:noWrap/>
            <w:hideMark/>
          </w:tcPr>
          <w:p w:rsidR="008767E4" w:rsidRPr="008767E4" w:rsidRDefault="008767E4" w:rsidP="008767E4">
            <w:pPr>
              <w:spacing w:line="276" w:lineRule="auto"/>
              <w:rPr>
                <w:rFonts w:asciiTheme="majorHAnsi" w:hAnsiTheme="majorHAnsi" w:cstheme="majorHAnsi"/>
                <w:b/>
                <w:bCs/>
                <w:sz w:val="16"/>
                <w:szCs w:val="16"/>
              </w:rPr>
            </w:pPr>
            <w:r w:rsidRPr="008767E4">
              <w:rPr>
                <w:rFonts w:asciiTheme="majorHAnsi" w:hAnsiTheme="majorHAnsi" w:cstheme="majorHAnsi"/>
                <w:b/>
                <w:bCs/>
                <w:sz w:val="16"/>
                <w:szCs w:val="16"/>
              </w:rPr>
              <w:t xml:space="preserve"> Outcome 1: Government planning and financing systems enable gender </w:t>
            </w:r>
            <w:r w:rsidR="00334F07">
              <w:rPr>
                <w:rFonts w:asciiTheme="majorHAnsi" w:hAnsiTheme="majorHAnsi" w:cstheme="majorHAnsi"/>
                <w:b/>
                <w:bCs/>
                <w:sz w:val="16"/>
                <w:szCs w:val="16"/>
              </w:rPr>
              <w:t xml:space="preserve">and socially </w:t>
            </w:r>
            <w:r w:rsidRPr="008767E4">
              <w:rPr>
                <w:rFonts w:asciiTheme="majorHAnsi" w:hAnsiTheme="majorHAnsi" w:cstheme="majorHAnsi"/>
                <w:b/>
                <w:bCs/>
                <w:sz w:val="16"/>
                <w:szCs w:val="16"/>
              </w:rPr>
              <w:t xml:space="preserve">inclusive risk-informed development </w:t>
            </w:r>
          </w:p>
        </w:tc>
      </w:tr>
      <w:tr w:rsidR="00B531B2" w:rsidRPr="008767E4" w:rsidTr="00561C15">
        <w:trPr>
          <w:trHeight w:val="900"/>
        </w:trPr>
        <w:tc>
          <w:tcPr>
            <w:tcW w:w="1884" w:type="dxa"/>
            <w:vMerge w:val="restart"/>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xml:space="preserve"> Output 1.1 Integration of risk into national planning and financing  </w:t>
            </w:r>
          </w:p>
        </w:tc>
        <w:tc>
          <w:tcPr>
            <w:tcW w:w="3211" w:type="dxa"/>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xml:space="preserve">Activity 1.1.1 Integration of RID into planning appraisal, monitoring &amp; evaluation processes. Provision of training for guidelines and tools developed. Integration of institutionalised capacity for planning </w:t>
            </w:r>
            <w:r w:rsidR="008A5693" w:rsidRPr="008767E4">
              <w:rPr>
                <w:rFonts w:asciiTheme="majorHAnsi" w:hAnsiTheme="majorHAnsi" w:cstheme="majorHAnsi"/>
                <w:sz w:val="16"/>
                <w:szCs w:val="16"/>
              </w:rPr>
              <w:t>directorate</w:t>
            </w:r>
            <w:r w:rsidRPr="008767E4">
              <w:rPr>
                <w:rFonts w:asciiTheme="majorHAnsi" w:hAnsiTheme="majorHAnsi" w:cstheme="majorHAnsi"/>
                <w:sz w:val="16"/>
                <w:szCs w:val="16"/>
              </w:rPr>
              <w:t xml:space="preserve"> </w:t>
            </w:r>
          </w:p>
        </w:tc>
        <w:tc>
          <w:tcPr>
            <w:tcW w:w="888"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130,857 </w:t>
            </w:r>
          </w:p>
        </w:tc>
        <w:tc>
          <w:tcPr>
            <w:tcW w:w="1024"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232,651 </w:t>
            </w:r>
          </w:p>
        </w:tc>
        <w:tc>
          <w:tcPr>
            <w:tcW w:w="982"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436,114 </w:t>
            </w:r>
          </w:p>
        </w:tc>
        <w:tc>
          <w:tcPr>
            <w:tcW w:w="978"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362,253 </w:t>
            </w:r>
          </w:p>
        </w:tc>
        <w:tc>
          <w:tcPr>
            <w:tcW w:w="960"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190,086 </w:t>
            </w:r>
          </w:p>
        </w:tc>
        <w:tc>
          <w:tcPr>
            <w:tcW w:w="793"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14,832 </w:t>
            </w:r>
          </w:p>
        </w:tc>
        <w:tc>
          <w:tcPr>
            <w:tcW w:w="988" w:type="dxa"/>
            <w:vMerge w:val="restart"/>
            <w:noWrap/>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xml:space="preserve"> UNDP </w:t>
            </w:r>
          </w:p>
        </w:tc>
        <w:tc>
          <w:tcPr>
            <w:tcW w:w="783" w:type="dxa"/>
            <w:vMerge w:val="restart"/>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xml:space="preserve"> DFAT/ KOICA/ MFAT/ SIDA </w:t>
            </w:r>
          </w:p>
        </w:tc>
        <w:tc>
          <w:tcPr>
            <w:tcW w:w="1538" w:type="dxa"/>
            <w:vMerge w:val="restart"/>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xml:space="preserve"> Knowledge Events; Diffusion Products; Knowledge tools &amp; Policies, Government Posts and Technical Assistance </w:t>
            </w:r>
          </w:p>
        </w:tc>
        <w:tc>
          <w:tcPr>
            <w:tcW w:w="1071"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1,366,793 </w:t>
            </w:r>
          </w:p>
        </w:tc>
      </w:tr>
      <w:tr w:rsidR="00B531B2" w:rsidRPr="008767E4" w:rsidTr="00561C15">
        <w:trPr>
          <w:trHeight w:val="915"/>
        </w:trPr>
        <w:tc>
          <w:tcPr>
            <w:tcW w:w="1884" w:type="dxa"/>
            <w:vMerge/>
            <w:hideMark/>
          </w:tcPr>
          <w:p w:rsidR="008767E4" w:rsidRPr="008767E4" w:rsidRDefault="008767E4" w:rsidP="008767E4">
            <w:pPr>
              <w:spacing w:line="276" w:lineRule="auto"/>
              <w:rPr>
                <w:rFonts w:asciiTheme="majorHAnsi" w:hAnsiTheme="majorHAnsi" w:cstheme="majorHAnsi"/>
                <w:sz w:val="16"/>
                <w:szCs w:val="16"/>
              </w:rPr>
            </w:pPr>
          </w:p>
        </w:tc>
        <w:tc>
          <w:tcPr>
            <w:tcW w:w="3211" w:type="dxa"/>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xml:space="preserve">Activity 1.1.2 Integration of RID into budget circular, submissions, Financial Management Information Systems processes. Provision of training for guidelines, tools developed. Integration of institutionalised capacity for budget </w:t>
            </w:r>
            <w:r w:rsidR="008A5693" w:rsidRPr="008767E4">
              <w:rPr>
                <w:rFonts w:asciiTheme="majorHAnsi" w:hAnsiTheme="majorHAnsi" w:cstheme="majorHAnsi"/>
                <w:sz w:val="16"/>
                <w:szCs w:val="16"/>
              </w:rPr>
              <w:t>directorate</w:t>
            </w:r>
            <w:r w:rsidRPr="008767E4">
              <w:rPr>
                <w:rFonts w:asciiTheme="majorHAnsi" w:hAnsiTheme="majorHAnsi" w:cstheme="majorHAnsi"/>
                <w:sz w:val="16"/>
                <w:szCs w:val="16"/>
              </w:rPr>
              <w:t xml:space="preserve">. </w:t>
            </w:r>
          </w:p>
        </w:tc>
        <w:tc>
          <w:tcPr>
            <w:tcW w:w="888"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142,753 </w:t>
            </w:r>
          </w:p>
        </w:tc>
        <w:tc>
          <w:tcPr>
            <w:tcW w:w="1024"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253,801 </w:t>
            </w:r>
          </w:p>
        </w:tc>
        <w:tc>
          <w:tcPr>
            <w:tcW w:w="982"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475,761 </w:t>
            </w:r>
          </w:p>
        </w:tc>
        <w:tc>
          <w:tcPr>
            <w:tcW w:w="978"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395,185 </w:t>
            </w:r>
          </w:p>
        </w:tc>
        <w:tc>
          <w:tcPr>
            <w:tcW w:w="960"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207,367 </w:t>
            </w:r>
          </w:p>
        </w:tc>
        <w:tc>
          <w:tcPr>
            <w:tcW w:w="793"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16,181 </w:t>
            </w:r>
          </w:p>
        </w:tc>
        <w:tc>
          <w:tcPr>
            <w:tcW w:w="988" w:type="dxa"/>
            <w:vMerge/>
            <w:hideMark/>
          </w:tcPr>
          <w:p w:rsidR="008767E4" w:rsidRPr="008767E4" w:rsidRDefault="008767E4" w:rsidP="008767E4">
            <w:pPr>
              <w:spacing w:line="276" w:lineRule="auto"/>
              <w:rPr>
                <w:rFonts w:asciiTheme="majorHAnsi" w:hAnsiTheme="majorHAnsi" w:cstheme="majorHAnsi"/>
                <w:sz w:val="16"/>
                <w:szCs w:val="16"/>
              </w:rPr>
            </w:pPr>
          </w:p>
        </w:tc>
        <w:tc>
          <w:tcPr>
            <w:tcW w:w="783" w:type="dxa"/>
            <w:vMerge/>
            <w:hideMark/>
          </w:tcPr>
          <w:p w:rsidR="008767E4" w:rsidRPr="008767E4" w:rsidRDefault="008767E4" w:rsidP="008767E4">
            <w:pPr>
              <w:spacing w:line="276" w:lineRule="auto"/>
              <w:rPr>
                <w:rFonts w:asciiTheme="majorHAnsi" w:hAnsiTheme="majorHAnsi" w:cstheme="majorHAnsi"/>
                <w:sz w:val="16"/>
                <w:szCs w:val="16"/>
              </w:rPr>
            </w:pPr>
          </w:p>
        </w:tc>
        <w:tc>
          <w:tcPr>
            <w:tcW w:w="1538" w:type="dxa"/>
            <w:vMerge/>
            <w:hideMark/>
          </w:tcPr>
          <w:p w:rsidR="008767E4" w:rsidRPr="008767E4" w:rsidRDefault="008767E4" w:rsidP="008767E4">
            <w:pPr>
              <w:spacing w:line="276" w:lineRule="auto"/>
              <w:rPr>
                <w:rFonts w:asciiTheme="majorHAnsi" w:hAnsiTheme="majorHAnsi" w:cstheme="majorHAnsi"/>
                <w:sz w:val="16"/>
                <w:szCs w:val="16"/>
              </w:rPr>
            </w:pPr>
          </w:p>
        </w:tc>
        <w:tc>
          <w:tcPr>
            <w:tcW w:w="1071"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1,491,048 </w:t>
            </w:r>
          </w:p>
        </w:tc>
      </w:tr>
      <w:tr w:rsidR="00B531B2" w:rsidRPr="008767E4" w:rsidTr="00561C15">
        <w:trPr>
          <w:trHeight w:val="900"/>
        </w:trPr>
        <w:tc>
          <w:tcPr>
            <w:tcW w:w="1884" w:type="dxa"/>
            <w:vMerge w:val="restart"/>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xml:space="preserve"> Output 1.2 Integration of risk into community and sectoral development </w:t>
            </w:r>
          </w:p>
        </w:tc>
        <w:tc>
          <w:tcPr>
            <w:tcW w:w="3211" w:type="dxa"/>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xml:space="preserve">Activity 1.2.1 Integration of RID into community and sector planning appraisal processes. Provision of training for guidelines and tools developed. Integration of institutionalised capacity for planning and finance at community and sector level. </w:t>
            </w:r>
          </w:p>
        </w:tc>
        <w:tc>
          <w:tcPr>
            <w:tcW w:w="888"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249,819 </w:t>
            </w:r>
          </w:p>
        </w:tc>
        <w:tc>
          <w:tcPr>
            <w:tcW w:w="1024"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444,151 </w:t>
            </w:r>
          </w:p>
        </w:tc>
        <w:tc>
          <w:tcPr>
            <w:tcW w:w="982"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832,581 </w:t>
            </w:r>
          </w:p>
        </w:tc>
        <w:tc>
          <w:tcPr>
            <w:tcW w:w="978"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691,573 </w:t>
            </w:r>
          </w:p>
        </w:tc>
        <w:tc>
          <w:tcPr>
            <w:tcW w:w="960"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362,891 </w:t>
            </w:r>
          </w:p>
        </w:tc>
        <w:tc>
          <w:tcPr>
            <w:tcW w:w="793"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28,316 </w:t>
            </w:r>
          </w:p>
        </w:tc>
        <w:tc>
          <w:tcPr>
            <w:tcW w:w="988" w:type="dxa"/>
            <w:vMerge w:val="restart"/>
            <w:noWrap/>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xml:space="preserve"> UNDP </w:t>
            </w:r>
          </w:p>
        </w:tc>
        <w:tc>
          <w:tcPr>
            <w:tcW w:w="783" w:type="dxa"/>
            <w:vMerge w:val="restart"/>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xml:space="preserve"> DFAT/ KOICA/ MFAT/ SIDA </w:t>
            </w:r>
          </w:p>
        </w:tc>
        <w:tc>
          <w:tcPr>
            <w:tcW w:w="1538" w:type="dxa"/>
            <w:vMerge w:val="restart"/>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xml:space="preserve"> Knowledge Events; Diffusion Products; Knowledge tools &amp; Policies, Government Posts, Technical Assistance and Grants (Targeted Implementation) </w:t>
            </w:r>
          </w:p>
        </w:tc>
        <w:tc>
          <w:tcPr>
            <w:tcW w:w="1071"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2,609,331 </w:t>
            </w:r>
          </w:p>
        </w:tc>
      </w:tr>
      <w:tr w:rsidR="00B531B2" w:rsidRPr="008767E4" w:rsidTr="00561C15">
        <w:trPr>
          <w:trHeight w:val="315"/>
        </w:trPr>
        <w:tc>
          <w:tcPr>
            <w:tcW w:w="1884" w:type="dxa"/>
            <w:vMerge/>
            <w:hideMark/>
          </w:tcPr>
          <w:p w:rsidR="008767E4" w:rsidRPr="008767E4" w:rsidRDefault="008767E4" w:rsidP="008767E4">
            <w:pPr>
              <w:spacing w:line="276" w:lineRule="auto"/>
              <w:rPr>
                <w:rFonts w:asciiTheme="majorHAnsi" w:hAnsiTheme="majorHAnsi" w:cstheme="majorHAnsi"/>
                <w:sz w:val="16"/>
                <w:szCs w:val="16"/>
              </w:rPr>
            </w:pPr>
          </w:p>
        </w:tc>
        <w:tc>
          <w:tcPr>
            <w:tcW w:w="3211" w:type="dxa"/>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xml:space="preserve">Activity 1.2.2 Targeted </w:t>
            </w:r>
            <w:r w:rsidR="008A5693" w:rsidRPr="008767E4">
              <w:rPr>
                <w:rFonts w:asciiTheme="majorHAnsi" w:hAnsiTheme="majorHAnsi" w:cstheme="majorHAnsi"/>
                <w:sz w:val="16"/>
                <w:szCs w:val="16"/>
              </w:rPr>
              <w:t>implementation</w:t>
            </w:r>
            <w:r w:rsidRPr="008767E4">
              <w:rPr>
                <w:rFonts w:asciiTheme="majorHAnsi" w:hAnsiTheme="majorHAnsi" w:cstheme="majorHAnsi"/>
                <w:sz w:val="16"/>
                <w:szCs w:val="16"/>
              </w:rPr>
              <w:t xml:space="preserve"> of RID project at community and sector level </w:t>
            </w:r>
          </w:p>
        </w:tc>
        <w:tc>
          <w:tcPr>
            <w:tcW w:w="888"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226,026 </w:t>
            </w:r>
          </w:p>
        </w:tc>
        <w:tc>
          <w:tcPr>
            <w:tcW w:w="1024"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401,851 </w:t>
            </w:r>
          </w:p>
        </w:tc>
        <w:tc>
          <w:tcPr>
            <w:tcW w:w="982"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753,288 </w:t>
            </w:r>
          </w:p>
        </w:tc>
        <w:tc>
          <w:tcPr>
            <w:tcW w:w="978"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625,709 </w:t>
            </w:r>
          </w:p>
        </w:tc>
        <w:tc>
          <w:tcPr>
            <w:tcW w:w="960"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328,330 </w:t>
            </w:r>
          </w:p>
        </w:tc>
        <w:tc>
          <w:tcPr>
            <w:tcW w:w="793"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25,620 </w:t>
            </w:r>
          </w:p>
        </w:tc>
        <w:tc>
          <w:tcPr>
            <w:tcW w:w="988" w:type="dxa"/>
            <w:vMerge/>
            <w:hideMark/>
          </w:tcPr>
          <w:p w:rsidR="008767E4" w:rsidRPr="008767E4" w:rsidRDefault="008767E4" w:rsidP="008767E4">
            <w:pPr>
              <w:spacing w:line="276" w:lineRule="auto"/>
              <w:rPr>
                <w:rFonts w:asciiTheme="majorHAnsi" w:hAnsiTheme="majorHAnsi" w:cstheme="majorHAnsi"/>
                <w:sz w:val="16"/>
                <w:szCs w:val="16"/>
              </w:rPr>
            </w:pPr>
          </w:p>
        </w:tc>
        <w:tc>
          <w:tcPr>
            <w:tcW w:w="783" w:type="dxa"/>
            <w:vMerge/>
            <w:hideMark/>
          </w:tcPr>
          <w:p w:rsidR="008767E4" w:rsidRPr="008767E4" w:rsidRDefault="008767E4" w:rsidP="008767E4">
            <w:pPr>
              <w:spacing w:line="276" w:lineRule="auto"/>
              <w:rPr>
                <w:rFonts w:asciiTheme="majorHAnsi" w:hAnsiTheme="majorHAnsi" w:cstheme="majorHAnsi"/>
                <w:sz w:val="16"/>
                <w:szCs w:val="16"/>
              </w:rPr>
            </w:pPr>
          </w:p>
        </w:tc>
        <w:tc>
          <w:tcPr>
            <w:tcW w:w="1538" w:type="dxa"/>
            <w:vMerge/>
            <w:hideMark/>
          </w:tcPr>
          <w:p w:rsidR="008767E4" w:rsidRPr="008767E4" w:rsidRDefault="008767E4" w:rsidP="008767E4">
            <w:pPr>
              <w:spacing w:line="276" w:lineRule="auto"/>
              <w:rPr>
                <w:rFonts w:asciiTheme="majorHAnsi" w:hAnsiTheme="majorHAnsi" w:cstheme="majorHAnsi"/>
                <w:sz w:val="16"/>
                <w:szCs w:val="16"/>
              </w:rPr>
            </w:pPr>
          </w:p>
        </w:tc>
        <w:tc>
          <w:tcPr>
            <w:tcW w:w="1071"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2,360,824 </w:t>
            </w:r>
          </w:p>
        </w:tc>
      </w:tr>
      <w:tr w:rsidR="00B531B2" w:rsidRPr="008767E4" w:rsidTr="00561C15">
        <w:trPr>
          <w:trHeight w:val="1786"/>
        </w:trPr>
        <w:tc>
          <w:tcPr>
            <w:tcW w:w="1884" w:type="dxa"/>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xml:space="preserve">Output 1.3 Gender </w:t>
            </w:r>
            <w:r w:rsidR="00334F07">
              <w:rPr>
                <w:rFonts w:asciiTheme="majorHAnsi" w:hAnsiTheme="majorHAnsi" w:cstheme="majorHAnsi"/>
                <w:sz w:val="16"/>
                <w:szCs w:val="16"/>
              </w:rPr>
              <w:t>and social inclusion</w:t>
            </w:r>
            <w:r w:rsidRPr="008767E4">
              <w:rPr>
                <w:rFonts w:asciiTheme="majorHAnsi" w:hAnsiTheme="majorHAnsi" w:cstheme="majorHAnsi"/>
                <w:sz w:val="16"/>
                <w:szCs w:val="16"/>
              </w:rPr>
              <w:t xml:space="preserve"> experts actively participating in shaping RID for government systems </w:t>
            </w:r>
          </w:p>
        </w:tc>
        <w:tc>
          <w:tcPr>
            <w:tcW w:w="3211" w:type="dxa"/>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Activity 1.3.1 Integration of GSI informed toolkits into planning and financing processes at central, sector and community level. Provision of training on integration of guidelines and tools. Integration of institutionalised capacity at community and sector level. Participation of Protection in the Pacific (</w:t>
            </w:r>
            <w:proofErr w:type="spellStart"/>
            <w:r w:rsidRPr="008767E4">
              <w:rPr>
                <w:rFonts w:asciiTheme="majorHAnsi" w:hAnsiTheme="majorHAnsi" w:cstheme="majorHAnsi"/>
                <w:sz w:val="16"/>
                <w:szCs w:val="16"/>
              </w:rPr>
              <w:t>ProPa</w:t>
            </w:r>
            <w:proofErr w:type="spellEnd"/>
            <w:r w:rsidRPr="008767E4">
              <w:rPr>
                <w:rFonts w:asciiTheme="majorHAnsi" w:hAnsiTheme="majorHAnsi" w:cstheme="majorHAnsi"/>
                <w:sz w:val="16"/>
                <w:szCs w:val="16"/>
              </w:rPr>
              <w:t xml:space="preserve">) network with integration of RID. </w:t>
            </w:r>
          </w:p>
        </w:tc>
        <w:tc>
          <w:tcPr>
            <w:tcW w:w="888"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35,688 </w:t>
            </w:r>
          </w:p>
        </w:tc>
        <w:tc>
          <w:tcPr>
            <w:tcW w:w="1024"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63,450 </w:t>
            </w:r>
          </w:p>
        </w:tc>
        <w:tc>
          <w:tcPr>
            <w:tcW w:w="982"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118,940 </w:t>
            </w:r>
          </w:p>
        </w:tc>
        <w:tc>
          <w:tcPr>
            <w:tcW w:w="978"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98,796 </w:t>
            </w:r>
          </w:p>
        </w:tc>
        <w:tc>
          <w:tcPr>
            <w:tcW w:w="960"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51,842 </w:t>
            </w:r>
          </w:p>
        </w:tc>
        <w:tc>
          <w:tcPr>
            <w:tcW w:w="793"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4,045 </w:t>
            </w:r>
          </w:p>
        </w:tc>
        <w:tc>
          <w:tcPr>
            <w:tcW w:w="988" w:type="dxa"/>
            <w:noWrap/>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xml:space="preserve"> UNDP </w:t>
            </w:r>
          </w:p>
        </w:tc>
        <w:tc>
          <w:tcPr>
            <w:tcW w:w="783" w:type="dxa"/>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xml:space="preserve"> DFAT/ KOICA/ MFAT/ SIDA </w:t>
            </w:r>
          </w:p>
        </w:tc>
        <w:tc>
          <w:tcPr>
            <w:tcW w:w="1538" w:type="dxa"/>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xml:space="preserve"> Knowledge Events; Diffusion Products; Knowledge tools &amp; Policies, Government Posts and Technical Assistance </w:t>
            </w:r>
          </w:p>
        </w:tc>
        <w:tc>
          <w:tcPr>
            <w:tcW w:w="1071"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372,761 </w:t>
            </w:r>
          </w:p>
        </w:tc>
      </w:tr>
      <w:tr w:rsidR="00B531B2" w:rsidRPr="008767E4" w:rsidTr="00561C15">
        <w:trPr>
          <w:trHeight w:val="315"/>
        </w:trPr>
        <w:tc>
          <w:tcPr>
            <w:tcW w:w="5095" w:type="dxa"/>
            <w:gridSpan w:val="2"/>
            <w:noWrap/>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xml:space="preserve"> Monitoring costs </w:t>
            </w:r>
          </w:p>
        </w:tc>
        <w:tc>
          <w:tcPr>
            <w:tcW w:w="888"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39,098 </w:t>
            </w:r>
          </w:p>
        </w:tc>
        <w:tc>
          <w:tcPr>
            <w:tcW w:w="1024"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80,552 </w:t>
            </w:r>
          </w:p>
        </w:tc>
        <w:tc>
          <w:tcPr>
            <w:tcW w:w="982"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95,906 </w:t>
            </w:r>
          </w:p>
        </w:tc>
        <w:tc>
          <w:tcPr>
            <w:tcW w:w="978"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127,743 </w:t>
            </w:r>
          </w:p>
        </w:tc>
        <w:tc>
          <w:tcPr>
            <w:tcW w:w="960"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78,442 </w:t>
            </w:r>
          </w:p>
        </w:tc>
        <w:tc>
          <w:tcPr>
            <w:tcW w:w="793"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3,647 </w:t>
            </w:r>
          </w:p>
        </w:tc>
        <w:tc>
          <w:tcPr>
            <w:tcW w:w="988" w:type="dxa"/>
            <w:noWrap/>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w:t>
            </w:r>
          </w:p>
        </w:tc>
        <w:tc>
          <w:tcPr>
            <w:tcW w:w="783" w:type="dxa"/>
            <w:noWrap/>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w:t>
            </w:r>
          </w:p>
        </w:tc>
        <w:tc>
          <w:tcPr>
            <w:tcW w:w="1538" w:type="dxa"/>
            <w:noWrap/>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w:t>
            </w:r>
          </w:p>
        </w:tc>
        <w:tc>
          <w:tcPr>
            <w:tcW w:w="1071"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425,388 </w:t>
            </w:r>
          </w:p>
        </w:tc>
      </w:tr>
      <w:tr w:rsidR="00B531B2" w:rsidRPr="008767E4" w:rsidTr="00561C15">
        <w:trPr>
          <w:trHeight w:val="315"/>
        </w:trPr>
        <w:tc>
          <w:tcPr>
            <w:tcW w:w="1884" w:type="dxa"/>
            <w:shd w:val="clear" w:color="auto" w:fill="D9D9D9" w:themeFill="background1" w:themeFillShade="D9"/>
            <w:noWrap/>
            <w:hideMark/>
          </w:tcPr>
          <w:p w:rsidR="008767E4" w:rsidRPr="008767E4" w:rsidRDefault="008767E4" w:rsidP="008767E4">
            <w:pPr>
              <w:spacing w:line="276" w:lineRule="auto"/>
              <w:rPr>
                <w:rFonts w:asciiTheme="majorHAnsi" w:hAnsiTheme="majorHAnsi" w:cstheme="majorHAnsi"/>
                <w:b/>
                <w:bCs/>
                <w:sz w:val="16"/>
                <w:szCs w:val="16"/>
              </w:rPr>
            </w:pPr>
            <w:r w:rsidRPr="008767E4">
              <w:rPr>
                <w:rFonts w:asciiTheme="majorHAnsi" w:hAnsiTheme="majorHAnsi" w:cstheme="majorHAnsi"/>
                <w:b/>
                <w:bCs/>
                <w:sz w:val="16"/>
                <w:szCs w:val="16"/>
              </w:rPr>
              <w:t>Sub-Total for Output 1</w:t>
            </w:r>
          </w:p>
        </w:tc>
        <w:tc>
          <w:tcPr>
            <w:tcW w:w="3211" w:type="dxa"/>
            <w:shd w:val="clear" w:color="auto" w:fill="D9D9D9" w:themeFill="background1" w:themeFillShade="D9"/>
            <w:noWrap/>
            <w:hideMark/>
          </w:tcPr>
          <w:p w:rsidR="008767E4" w:rsidRPr="008767E4" w:rsidRDefault="008767E4" w:rsidP="008767E4">
            <w:pPr>
              <w:spacing w:line="276" w:lineRule="auto"/>
              <w:rPr>
                <w:rFonts w:asciiTheme="majorHAnsi" w:hAnsiTheme="majorHAnsi" w:cstheme="majorHAnsi"/>
                <w:b/>
                <w:bCs/>
                <w:sz w:val="16"/>
                <w:szCs w:val="16"/>
              </w:rPr>
            </w:pPr>
            <w:r w:rsidRPr="008767E4">
              <w:rPr>
                <w:rFonts w:asciiTheme="majorHAnsi" w:hAnsiTheme="majorHAnsi" w:cstheme="majorHAnsi"/>
                <w:b/>
                <w:bCs/>
                <w:sz w:val="16"/>
                <w:szCs w:val="16"/>
              </w:rPr>
              <w:t> </w:t>
            </w:r>
          </w:p>
        </w:tc>
        <w:tc>
          <w:tcPr>
            <w:tcW w:w="888" w:type="dxa"/>
            <w:shd w:val="clear" w:color="auto" w:fill="D9D9D9" w:themeFill="background1" w:themeFillShade="D9"/>
            <w:noWrap/>
            <w:hideMark/>
          </w:tcPr>
          <w:p w:rsidR="008767E4" w:rsidRPr="008767E4" w:rsidRDefault="008767E4" w:rsidP="008767E4">
            <w:pPr>
              <w:spacing w:line="276" w:lineRule="auto"/>
              <w:jc w:val="right"/>
              <w:rPr>
                <w:rFonts w:asciiTheme="majorHAnsi" w:hAnsiTheme="majorHAnsi" w:cstheme="majorHAnsi"/>
                <w:b/>
                <w:bCs/>
                <w:sz w:val="16"/>
                <w:szCs w:val="16"/>
              </w:rPr>
            </w:pPr>
            <w:r w:rsidRPr="008767E4">
              <w:rPr>
                <w:rFonts w:asciiTheme="majorHAnsi" w:hAnsiTheme="majorHAnsi" w:cstheme="majorHAnsi"/>
                <w:b/>
                <w:bCs/>
                <w:sz w:val="16"/>
                <w:szCs w:val="16"/>
              </w:rPr>
              <w:t xml:space="preserve">    785,143 </w:t>
            </w:r>
          </w:p>
        </w:tc>
        <w:tc>
          <w:tcPr>
            <w:tcW w:w="1024" w:type="dxa"/>
            <w:shd w:val="clear" w:color="auto" w:fill="D9D9D9" w:themeFill="background1" w:themeFillShade="D9"/>
            <w:noWrap/>
            <w:hideMark/>
          </w:tcPr>
          <w:p w:rsidR="008767E4" w:rsidRPr="008767E4" w:rsidRDefault="008767E4" w:rsidP="008767E4">
            <w:pPr>
              <w:spacing w:line="276" w:lineRule="auto"/>
              <w:jc w:val="right"/>
              <w:rPr>
                <w:rFonts w:asciiTheme="majorHAnsi" w:hAnsiTheme="majorHAnsi" w:cstheme="majorHAnsi"/>
                <w:b/>
                <w:bCs/>
                <w:sz w:val="16"/>
                <w:szCs w:val="16"/>
              </w:rPr>
            </w:pPr>
            <w:r w:rsidRPr="008767E4">
              <w:rPr>
                <w:rFonts w:asciiTheme="majorHAnsi" w:hAnsiTheme="majorHAnsi" w:cstheme="majorHAnsi"/>
                <w:b/>
                <w:bCs/>
                <w:sz w:val="16"/>
                <w:szCs w:val="16"/>
              </w:rPr>
              <w:t xml:space="preserve"> 1,395,904 </w:t>
            </w:r>
          </w:p>
        </w:tc>
        <w:tc>
          <w:tcPr>
            <w:tcW w:w="982" w:type="dxa"/>
            <w:shd w:val="clear" w:color="auto" w:fill="D9D9D9" w:themeFill="background1" w:themeFillShade="D9"/>
            <w:noWrap/>
            <w:hideMark/>
          </w:tcPr>
          <w:p w:rsidR="008767E4" w:rsidRPr="008767E4" w:rsidRDefault="008767E4" w:rsidP="008767E4">
            <w:pPr>
              <w:spacing w:line="276" w:lineRule="auto"/>
              <w:jc w:val="right"/>
              <w:rPr>
                <w:rFonts w:asciiTheme="majorHAnsi" w:hAnsiTheme="majorHAnsi" w:cstheme="majorHAnsi"/>
                <w:b/>
                <w:bCs/>
                <w:sz w:val="16"/>
                <w:szCs w:val="16"/>
              </w:rPr>
            </w:pPr>
            <w:r w:rsidRPr="008767E4">
              <w:rPr>
                <w:rFonts w:asciiTheme="majorHAnsi" w:hAnsiTheme="majorHAnsi" w:cstheme="majorHAnsi"/>
                <w:b/>
                <w:bCs/>
                <w:sz w:val="16"/>
                <w:szCs w:val="16"/>
              </w:rPr>
              <w:t xml:space="preserve"> 2,616,684 </w:t>
            </w:r>
          </w:p>
        </w:tc>
        <w:tc>
          <w:tcPr>
            <w:tcW w:w="978" w:type="dxa"/>
            <w:shd w:val="clear" w:color="auto" w:fill="D9D9D9" w:themeFill="background1" w:themeFillShade="D9"/>
            <w:noWrap/>
            <w:hideMark/>
          </w:tcPr>
          <w:p w:rsidR="008767E4" w:rsidRPr="008767E4" w:rsidRDefault="008767E4" w:rsidP="008767E4">
            <w:pPr>
              <w:spacing w:line="276" w:lineRule="auto"/>
              <w:jc w:val="right"/>
              <w:rPr>
                <w:rFonts w:asciiTheme="majorHAnsi" w:hAnsiTheme="majorHAnsi" w:cstheme="majorHAnsi"/>
                <w:b/>
                <w:bCs/>
                <w:sz w:val="16"/>
                <w:szCs w:val="16"/>
              </w:rPr>
            </w:pPr>
            <w:r w:rsidRPr="008767E4">
              <w:rPr>
                <w:rFonts w:asciiTheme="majorHAnsi" w:hAnsiTheme="majorHAnsi" w:cstheme="majorHAnsi"/>
                <w:b/>
                <w:bCs/>
                <w:sz w:val="16"/>
                <w:szCs w:val="16"/>
              </w:rPr>
              <w:t xml:space="preserve"> 2,173,516 </w:t>
            </w:r>
          </w:p>
        </w:tc>
        <w:tc>
          <w:tcPr>
            <w:tcW w:w="960" w:type="dxa"/>
            <w:shd w:val="clear" w:color="auto" w:fill="D9D9D9" w:themeFill="background1" w:themeFillShade="D9"/>
            <w:noWrap/>
            <w:hideMark/>
          </w:tcPr>
          <w:p w:rsidR="008767E4" w:rsidRPr="008767E4" w:rsidRDefault="008767E4" w:rsidP="008767E4">
            <w:pPr>
              <w:spacing w:line="276" w:lineRule="auto"/>
              <w:jc w:val="right"/>
              <w:rPr>
                <w:rFonts w:asciiTheme="majorHAnsi" w:hAnsiTheme="majorHAnsi" w:cstheme="majorHAnsi"/>
                <w:b/>
                <w:bCs/>
                <w:sz w:val="16"/>
                <w:szCs w:val="16"/>
              </w:rPr>
            </w:pPr>
            <w:r w:rsidRPr="008767E4">
              <w:rPr>
                <w:rFonts w:asciiTheme="majorHAnsi" w:hAnsiTheme="majorHAnsi" w:cstheme="majorHAnsi"/>
                <w:b/>
                <w:bCs/>
                <w:sz w:val="16"/>
                <w:szCs w:val="16"/>
              </w:rPr>
              <w:t xml:space="preserve"> 1,140,516 </w:t>
            </w:r>
          </w:p>
        </w:tc>
        <w:tc>
          <w:tcPr>
            <w:tcW w:w="793" w:type="dxa"/>
            <w:shd w:val="clear" w:color="auto" w:fill="D9D9D9" w:themeFill="background1" w:themeFillShade="D9"/>
            <w:noWrap/>
            <w:hideMark/>
          </w:tcPr>
          <w:p w:rsidR="008767E4" w:rsidRPr="008767E4" w:rsidRDefault="008767E4" w:rsidP="008767E4">
            <w:pPr>
              <w:spacing w:line="276" w:lineRule="auto"/>
              <w:jc w:val="right"/>
              <w:rPr>
                <w:rFonts w:asciiTheme="majorHAnsi" w:hAnsiTheme="majorHAnsi" w:cstheme="majorHAnsi"/>
                <w:b/>
                <w:bCs/>
                <w:sz w:val="16"/>
                <w:szCs w:val="16"/>
              </w:rPr>
            </w:pPr>
            <w:r w:rsidRPr="008767E4">
              <w:rPr>
                <w:rFonts w:asciiTheme="majorHAnsi" w:hAnsiTheme="majorHAnsi" w:cstheme="majorHAnsi"/>
                <w:b/>
                <w:bCs/>
                <w:sz w:val="16"/>
                <w:szCs w:val="16"/>
              </w:rPr>
              <w:t xml:space="preserve">    8,994 </w:t>
            </w:r>
          </w:p>
        </w:tc>
        <w:tc>
          <w:tcPr>
            <w:tcW w:w="988" w:type="dxa"/>
            <w:shd w:val="clear" w:color="auto" w:fill="D9D9D9" w:themeFill="background1" w:themeFillShade="D9"/>
            <w:noWrap/>
            <w:hideMark/>
          </w:tcPr>
          <w:p w:rsidR="008767E4" w:rsidRPr="008767E4" w:rsidRDefault="008767E4" w:rsidP="008767E4">
            <w:pPr>
              <w:spacing w:line="276" w:lineRule="auto"/>
              <w:rPr>
                <w:rFonts w:asciiTheme="majorHAnsi" w:hAnsiTheme="majorHAnsi" w:cstheme="majorHAnsi"/>
                <w:b/>
                <w:bCs/>
                <w:sz w:val="16"/>
                <w:szCs w:val="16"/>
              </w:rPr>
            </w:pPr>
            <w:r w:rsidRPr="008767E4">
              <w:rPr>
                <w:rFonts w:asciiTheme="majorHAnsi" w:hAnsiTheme="majorHAnsi" w:cstheme="majorHAnsi"/>
                <w:b/>
                <w:bCs/>
                <w:sz w:val="16"/>
                <w:szCs w:val="16"/>
              </w:rPr>
              <w:t> </w:t>
            </w:r>
          </w:p>
        </w:tc>
        <w:tc>
          <w:tcPr>
            <w:tcW w:w="783" w:type="dxa"/>
            <w:shd w:val="clear" w:color="auto" w:fill="D9D9D9" w:themeFill="background1" w:themeFillShade="D9"/>
            <w:noWrap/>
            <w:hideMark/>
          </w:tcPr>
          <w:p w:rsidR="008767E4" w:rsidRPr="008767E4" w:rsidRDefault="008767E4" w:rsidP="008767E4">
            <w:pPr>
              <w:spacing w:line="276" w:lineRule="auto"/>
              <w:rPr>
                <w:rFonts w:asciiTheme="majorHAnsi" w:hAnsiTheme="majorHAnsi" w:cstheme="majorHAnsi"/>
                <w:b/>
                <w:bCs/>
                <w:sz w:val="16"/>
                <w:szCs w:val="16"/>
              </w:rPr>
            </w:pPr>
            <w:r w:rsidRPr="008767E4">
              <w:rPr>
                <w:rFonts w:asciiTheme="majorHAnsi" w:hAnsiTheme="majorHAnsi" w:cstheme="majorHAnsi"/>
                <w:b/>
                <w:bCs/>
                <w:sz w:val="16"/>
                <w:szCs w:val="16"/>
              </w:rPr>
              <w:t> </w:t>
            </w:r>
          </w:p>
        </w:tc>
        <w:tc>
          <w:tcPr>
            <w:tcW w:w="1538" w:type="dxa"/>
            <w:shd w:val="clear" w:color="auto" w:fill="D9D9D9" w:themeFill="background1" w:themeFillShade="D9"/>
            <w:noWrap/>
            <w:hideMark/>
          </w:tcPr>
          <w:p w:rsidR="008767E4" w:rsidRPr="008767E4" w:rsidRDefault="008767E4" w:rsidP="008767E4">
            <w:pPr>
              <w:spacing w:line="276" w:lineRule="auto"/>
              <w:rPr>
                <w:rFonts w:asciiTheme="majorHAnsi" w:hAnsiTheme="majorHAnsi" w:cstheme="majorHAnsi"/>
                <w:b/>
                <w:bCs/>
                <w:sz w:val="16"/>
                <w:szCs w:val="16"/>
              </w:rPr>
            </w:pPr>
            <w:r w:rsidRPr="008767E4">
              <w:rPr>
                <w:rFonts w:asciiTheme="majorHAnsi" w:hAnsiTheme="majorHAnsi" w:cstheme="majorHAnsi"/>
                <w:b/>
                <w:bCs/>
                <w:sz w:val="16"/>
                <w:szCs w:val="16"/>
              </w:rPr>
              <w:t> </w:t>
            </w:r>
          </w:p>
        </w:tc>
        <w:tc>
          <w:tcPr>
            <w:tcW w:w="1071" w:type="dxa"/>
            <w:shd w:val="clear" w:color="auto" w:fill="D9D9D9" w:themeFill="background1" w:themeFillShade="D9"/>
            <w:noWrap/>
            <w:hideMark/>
          </w:tcPr>
          <w:p w:rsidR="008767E4" w:rsidRPr="008767E4" w:rsidRDefault="008767E4" w:rsidP="008767E4">
            <w:pPr>
              <w:spacing w:line="276" w:lineRule="auto"/>
              <w:jc w:val="right"/>
              <w:rPr>
                <w:rFonts w:asciiTheme="majorHAnsi" w:hAnsiTheme="majorHAnsi" w:cstheme="majorHAnsi"/>
                <w:b/>
                <w:bCs/>
                <w:sz w:val="16"/>
                <w:szCs w:val="16"/>
              </w:rPr>
            </w:pPr>
            <w:r w:rsidRPr="008767E4">
              <w:rPr>
                <w:rFonts w:asciiTheme="majorHAnsi" w:hAnsiTheme="majorHAnsi" w:cstheme="majorHAnsi"/>
                <w:b/>
                <w:bCs/>
                <w:sz w:val="16"/>
                <w:szCs w:val="16"/>
              </w:rPr>
              <w:t xml:space="preserve">     8,626,145 </w:t>
            </w:r>
          </w:p>
        </w:tc>
      </w:tr>
      <w:tr w:rsidR="008767E4" w:rsidRPr="008767E4" w:rsidTr="008767E4">
        <w:trPr>
          <w:trHeight w:val="315"/>
        </w:trPr>
        <w:tc>
          <w:tcPr>
            <w:tcW w:w="15100" w:type="dxa"/>
            <w:gridSpan w:val="12"/>
            <w:shd w:val="clear" w:color="auto" w:fill="F2F2F2" w:themeFill="background1" w:themeFillShade="F2"/>
            <w:noWrap/>
            <w:hideMark/>
          </w:tcPr>
          <w:p w:rsidR="008767E4" w:rsidRPr="008767E4" w:rsidRDefault="008767E4" w:rsidP="008767E4">
            <w:pPr>
              <w:spacing w:line="276" w:lineRule="auto"/>
              <w:rPr>
                <w:rFonts w:asciiTheme="majorHAnsi" w:hAnsiTheme="majorHAnsi" w:cstheme="majorHAnsi"/>
                <w:b/>
                <w:bCs/>
                <w:sz w:val="16"/>
                <w:szCs w:val="16"/>
              </w:rPr>
            </w:pPr>
            <w:r w:rsidRPr="008767E4">
              <w:rPr>
                <w:rFonts w:asciiTheme="majorHAnsi" w:hAnsiTheme="majorHAnsi" w:cstheme="majorHAnsi"/>
                <w:b/>
                <w:bCs/>
                <w:sz w:val="16"/>
                <w:szCs w:val="16"/>
              </w:rPr>
              <w:t xml:space="preserve">Outcome 2: Country oversight and accountability systems require gender </w:t>
            </w:r>
            <w:r w:rsidR="00334F07">
              <w:rPr>
                <w:rFonts w:asciiTheme="majorHAnsi" w:hAnsiTheme="majorHAnsi" w:cstheme="majorHAnsi"/>
                <w:b/>
                <w:bCs/>
                <w:sz w:val="16"/>
                <w:szCs w:val="16"/>
              </w:rPr>
              <w:t xml:space="preserve">and socially inclusive </w:t>
            </w:r>
            <w:r w:rsidRPr="008767E4">
              <w:rPr>
                <w:rFonts w:asciiTheme="majorHAnsi" w:hAnsiTheme="majorHAnsi" w:cstheme="majorHAnsi"/>
                <w:b/>
                <w:bCs/>
                <w:sz w:val="16"/>
                <w:szCs w:val="16"/>
              </w:rPr>
              <w:t xml:space="preserve">risk-informed development </w:t>
            </w:r>
          </w:p>
        </w:tc>
      </w:tr>
      <w:tr w:rsidR="00B531B2" w:rsidRPr="008767E4" w:rsidTr="00561C15">
        <w:trPr>
          <w:trHeight w:val="2041"/>
        </w:trPr>
        <w:tc>
          <w:tcPr>
            <w:tcW w:w="1884" w:type="dxa"/>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xml:space="preserve">Output 2.1 Accountability: there is risk informed, independent scrutiny of government  </w:t>
            </w:r>
          </w:p>
        </w:tc>
        <w:tc>
          <w:tcPr>
            <w:tcW w:w="3211" w:type="dxa"/>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Activity 2.1.1 Integration of RID into Parliament, Legislative oversight functions, Public Account Committees and Audit functions. Provision of training on integration of guidelines and tools. Integration of institutionalised capacity for oversight functions</w:t>
            </w:r>
          </w:p>
        </w:tc>
        <w:tc>
          <w:tcPr>
            <w:tcW w:w="888"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176,392 </w:t>
            </w:r>
          </w:p>
        </w:tc>
        <w:tc>
          <w:tcPr>
            <w:tcW w:w="1024"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396,468 </w:t>
            </w:r>
          </w:p>
        </w:tc>
        <w:tc>
          <w:tcPr>
            <w:tcW w:w="982"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704,941 </w:t>
            </w:r>
          </w:p>
        </w:tc>
        <w:tc>
          <w:tcPr>
            <w:tcW w:w="978"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634,760 </w:t>
            </w:r>
          </w:p>
        </w:tc>
        <w:tc>
          <w:tcPr>
            <w:tcW w:w="960"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418,832 </w:t>
            </w:r>
          </w:p>
        </w:tc>
        <w:tc>
          <w:tcPr>
            <w:tcW w:w="793"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14,093 </w:t>
            </w:r>
          </w:p>
        </w:tc>
        <w:tc>
          <w:tcPr>
            <w:tcW w:w="988" w:type="dxa"/>
            <w:noWrap/>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xml:space="preserve"> UNDP </w:t>
            </w:r>
          </w:p>
        </w:tc>
        <w:tc>
          <w:tcPr>
            <w:tcW w:w="783" w:type="dxa"/>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xml:space="preserve"> DFAT/ KOICA/ MFAT/ SIDA </w:t>
            </w:r>
          </w:p>
        </w:tc>
        <w:tc>
          <w:tcPr>
            <w:tcW w:w="1538" w:type="dxa"/>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xml:space="preserve"> Knowledge Events; Diffusion Products; Knowledge tools &amp; Policies, Government Posts and Technical Assistance </w:t>
            </w:r>
          </w:p>
        </w:tc>
        <w:tc>
          <w:tcPr>
            <w:tcW w:w="1071"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2,345,486 </w:t>
            </w:r>
          </w:p>
        </w:tc>
      </w:tr>
      <w:tr w:rsidR="00B531B2" w:rsidRPr="008767E4" w:rsidTr="00561C15">
        <w:trPr>
          <w:trHeight w:val="1824"/>
        </w:trPr>
        <w:tc>
          <w:tcPr>
            <w:tcW w:w="1884" w:type="dxa"/>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xml:space="preserve">Output 2.2 Voice of society: there is risk informed engagement and scrutiny by civil society </w:t>
            </w:r>
          </w:p>
        </w:tc>
        <w:tc>
          <w:tcPr>
            <w:tcW w:w="3211" w:type="dxa"/>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xml:space="preserve">Activity 2.2.1 Facilitate dialogue with CSO to ensure voice of women, marginalized and youth are accounted. Provision of training on integration of guidelines and tools.  </w:t>
            </w:r>
          </w:p>
        </w:tc>
        <w:tc>
          <w:tcPr>
            <w:tcW w:w="888"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117,595</w:t>
            </w:r>
          </w:p>
        </w:tc>
        <w:tc>
          <w:tcPr>
            <w:tcW w:w="1024"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264,312 </w:t>
            </w:r>
          </w:p>
        </w:tc>
        <w:tc>
          <w:tcPr>
            <w:tcW w:w="982"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469,961 </w:t>
            </w:r>
          </w:p>
        </w:tc>
        <w:tc>
          <w:tcPr>
            <w:tcW w:w="978"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423,173 </w:t>
            </w:r>
          </w:p>
        </w:tc>
        <w:tc>
          <w:tcPr>
            <w:tcW w:w="960"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279,221 </w:t>
            </w:r>
          </w:p>
        </w:tc>
        <w:tc>
          <w:tcPr>
            <w:tcW w:w="793"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9,396 </w:t>
            </w:r>
          </w:p>
        </w:tc>
        <w:tc>
          <w:tcPr>
            <w:tcW w:w="988" w:type="dxa"/>
            <w:noWrap/>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xml:space="preserve"> UNDP </w:t>
            </w:r>
          </w:p>
        </w:tc>
        <w:tc>
          <w:tcPr>
            <w:tcW w:w="783" w:type="dxa"/>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xml:space="preserve"> DFAT/ KOICA/ MFAT/ SIDA </w:t>
            </w:r>
          </w:p>
        </w:tc>
        <w:tc>
          <w:tcPr>
            <w:tcW w:w="1538" w:type="dxa"/>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xml:space="preserve"> Knowledge Events; Diffusion Products; Knowledge tools &amp; Policies, Government Posts and Technical Assistance </w:t>
            </w:r>
          </w:p>
        </w:tc>
        <w:tc>
          <w:tcPr>
            <w:tcW w:w="1071"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1,563,658 </w:t>
            </w:r>
          </w:p>
        </w:tc>
      </w:tr>
      <w:tr w:rsidR="00B531B2" w:rsidRPr="008767E4" w:rsidTr="00561C15">
        <w:trPr>
          <w:trHeight w:val="315"/>
        </w:trPr>
        <w:tc>
          <w:tcPr>
            <w:tcW w:w="5095" w:type="dxa"/>
            <w:gridSpan w:val="2"/>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xml:space="preserve">Monitoring costs </w:t>
            </w:r>
          </w:p>
        </w:tc>
        <w:tc>
          <w:tcPr>
            <w:tcW w:w="888"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17,985 </w:t>
            </w:r>
          </w:p>
        </w:tc>
        <w:tc>
          <w:tcPr>
            <w:tcW w:w="1024"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37,054 </w:t>
            </w:r>
          </w:p>
        </w:tc>
        <w:tc>
          <w:tcPr>
            <w:tcW w:w="982"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47,117 </w:t>
            </w:r>
          </w:p>
        </w:tc>
        <w:tc>
          <w:tcPr>
            <w:tcW w:w="978"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58,762 </w:t>
            </w:r>
          </w:p>
        </w:tc>
        <w:tc>
          <w:tcPr>
            <w:tcW w:w="960"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36,083 </w:t>
            </w:r>
          </w:p>
        </w:tc>
        <w:tc>
          <w:tcPr>
            <w:tcW w:w="793"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1,678 </w:t>
            </w:r>
          </w:p>
        </w:tc>
        <w:tc>
          <w:tcPr>
            <w:tcW w:w="988" w:type="dxa"/>
            <w:noWrap/>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w:t>
            </w:r>
          </w:p>
        </w:tc>
        <w:tc>
          <w:tcPr>
            <w:tcW w:w="783" w:type="dxa"/>
            <w:noWrap/>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w:t>
            </w:r>
          </w:p>
        </w:tc>
        <w:tc>
          <w:tcPr>
            <w:tcW w:w="1538" w:type="dxa"/>
            <w:noWrap/>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w:t>
            </w:r>
          </w:p>
        </w:tc>
        <w:tc>
          <w:tcPr>
            <w:tcW w:w="1071"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198,679 </w:t>
            </w:r>
          </w:p>
        </w:tc>
      </w:tr>
      <w:tr w:rsidR="00B531B2" w:rsidRPr="008767E4" w:rsidTr="00561C15">
        <w:trPr>
          <w:trHeight w:val="315"/>
        </w:trPr>
        <w:tc>
          <w:tcPr>
            <w:tcW w:w="1884" w:type="dxa"/>
            <w:shd w:val="clear" w:color="auto" w:fill="D9D9D9" w:themeFill="background1" w:themeFillShade="D9"/>
            <w:noWrap/>
            <w:hideMark/>
          </w:tcPr>
          <w:p w:rsidR="008767E4" w:rsidRPr="008767E4" w:rsidRDefault="008767E4" w:rsidP="008767E4">
            <w:pPr>
              <w:spacing w:line="276" w:lineRule="auto"/>
              <w:rPr>
                <w:rFonts w:asciiTheme="majorHAnsi" w:hAnsiTheme="majorHAnsi" w:cstheme="majorHAnsi"/>
                <w:b/>
                <w:bCs/>
                <w:sz w:val="16"/>
                <w:szCs w:val="16"/>
              </w:rPr>
            </w:pPr>
            <w:r w:rsidRPr="008767E4">
              <w:rPr>
                <w:rFonts w:asciiTheme="majorHAnsi" w:hAnsiTheme="majorHAnsi" w:cstheme="majorHAnsi"/>
                <w:b/>
                <w:bCs/>
                <w:sz w:val="16"/>
                <w:szCs w:val="16"/>
              </w:rPr>
              <w:t>Sub-Total for Output 2</w:t>
            </w:r>
          </w:p>
        </w:tc>
        <w:tc>
          <w:tcPr>
            <w:tcW w:w="3211" w:type="dxa"/>
            <w:shd w:val="clear" w:color="auto" w:fill="D9D9D9" w:themeFill="background1" w:themeFillShade="D9"/>
            <w:noWrap/>
            <w:hideMark/>
          </w:tcPr>
          <w:p w:rsidR="008767E4" w:rsidRPr="008767E4" w:rsidRDefault="008767E4" w:rsidP="008767E4">
            <w:pPr>
              <w:spacing w:line="276" w:lineRule="auto"/>
              <w:rPr>
                <w:rFonts w:asciiTheme="majorHAnsi" w:hAnsiTheme="majorHAnsi" w:cstheme="majorHAnsi"/>
                <w:b/>
                <w:bCs/>
                <w:sz w:val="16"/>
                <w:szCs w:val="16"/>
              </w:rPr>
            </w:pPr>
            <w:r w:rsidRPr="008767E4">
              <w:rPr>
                <w:rFonts w:asciiTheme="majorHAnsi" w:hAnsiTheme="majorHAnsi" w:cstheme="majorHAnsi"/>
                <w:b/>
                <w:bCs/>
                <w:sz w:val="16"/>
                <w:szCs w:val="16"/>
              </w:rPr>
              <w:t> </w:t>
            </w:r>
          </w:p>
        </w:tc>
        <w:tc>
          <w:tcPr>
            <w:tcW w:w="888" w:type="dxa"/>
            <w:shd w:val="clear" w:color="auto" w:fill="D9D9D9" w:themeFill="background1" w:themeFillShade="D9"/>
            <w:noWrap/>
            <w:hideMark/>
          </w:tcPr>
          <w:p w:rsidR="008767E4" w:rsidRPr="008767E4" w:rsidRDefault="008767E4" w:rsidP="008767E4">
            <w:pPr>
              <w:spacing w:line="276" w:lineRule="auto"/>
              <w:jc w:val="right"/>
              <w:rPr>
                <w:rFonts w:asciiTheme="majorHAnsi" w:hAnsiTheme="majorHAnsi" w:cstheme="majorHAnsi"/>
                <w:b/>
                <w:bCs/>
                <w:sz w:val="16"/>
                <w:szCs w:val="16"/>
              </w:rPr>
            </w:pPr>
            <w:r w:rsidRPr="008767E4">
              <w:rPr>
                <w:rFonts w:asciiTheme="majorHAnsi" w:hAnsiTheme="majorHAnsi" w:cstheme="majorHAnsi"/>
                <w:b/>
                <w:bCs/>
                <w:sz w:val="16"/>
                <w:szCs w:val="16"/>
              </w:rPr>
              <w:t xml:space="preserve">    293,987 </w:t>
            </w:r>
          </w:p>
        </w:tc>
        <w:tc>
          <w:tcPr>
            <w:tcW w:w="1024" w:type="dxa"/>
            <w:shd w:val="clear" w:color="auto" w:fill="D9D9D9" w:themeFill="background1" w:themeFillShade="D9"/>
            <w:noWrap/>
            <w:hideMark/>
          </w:tcPr>
          <w:p w:rsidR="008767E4" w:rsidRPr="008767E4" w:rsidRDefault="008767E4" w:rsidP="008767E4">
            <w:pPr>
              <w:spacing w:line="276" w:lineRule="auto"/>
              <w:jc w:val="right"/>
              <w:rPr>
                <w:rFonts w:asciiTheme="majorHAnsi" w:hAnsiTheme="majorHAnsi" w:cstheme="majorHAnsi"/>
                <w:b/>
                <w:bCs/>
                <w:sz w:val="16"/>
                <w:szCs w:val="16"/>
              </w:rPr>
            </w:pPr>
            <w:r w:rsidRPr="008767E4">
              <w:rPr>
                <w:rFonts w:asciiTheme="majorHAnsi" w:hAnsiTheme="majorHAnsi" w:cstheme="majorHAnsi"/>
                <w:b/>
                <w:bCs/>
                <w:sz w:val="16"/>
                <w:szCs w:val="16"/>
              </w:rPr>
              <w:t xml:space="preserve">    660,780 </w:t>
            </w:r>
          </w:p>
        </w:tc>
        <w:tc>
          <w:tcPr>
            <w:tcW w:w="982" w:type="dxa"/>
            <w:shd w:val="clear" w:color="auto" w:fill="D9D9D9" w:themeFill="background1" w:themeFillShade="D9"/>
            <w:noWrap/>
            <w:hideMark/>
          </w:tcPr>
          <w:p w:rsidR="008767E4" w:rsidRPr="008767E4" w:rsidRDefault="008767E4" w:rsidP="008767E4">
            <w:pPr>
              <w:spacing w:line="276" w:lineRule="auto"/>
              <w:jc w:val="right"/>
              <w:rPr>
                <w:rFonts w:asciiTheme="majorHAnsi" w:hAnsiTheme="majorHAnsi" w:cstheme="majorHAnsi"/>
                <w:b/>
                <w:bCs/>
                <w:sz w:val="16"/>
                <w:szCs w:val="16"/>
              </w:rPr>
            </w:pPr>
            <w:r w:rsidRPr="008767E4">
              <w:rPr>
                <w:rFonts w:asciiTheme="majorHAnsi" w:hAnsiTheme="majorHAnsi" w:cstheme="majorHAnsi"/>
                <w:b/>
                <w:bCs/>
                <w:sz w:val="16"/>
                <w:szCs w:val="16"/>
              </w:rPr>
              <w:t xml:space="preserve"> 1,174,902 </w:t>
            </w:r>
          </w:p>
        </w:tc>
        <w:tc>
          <w:tcPr>
            <w:tcW w:w="978" w:type="dxa"/>
            <w:shd w:val="clear" w:color="auto" w:fill="D9D9D9" w:themeFill="background1" w:themeFillShade="D9"/>
            <w:noWrap/>
            <w:hideMark/>
          </w:tcPr>
          <w:p w:rsidR="008767E4" w:rsidRPr="008767E4" w:rsidRDefault="008767E4" w:rsidP="008767E4">
            <w:pPr>
              <w:spacing w:line="276" w:lineRule="auto"/>
              <w:jc w:val="right"/>
              <w:rPr>
                <w:rFonts w:asciiTheme="majorHAnsi" w:hAnsiTheme="majorHAnsi" w:cstheme="majorHAnsi"/>
                <w:b/>
                <w:bCs/>
                <w:sz w:val="16"/>
                <w:szCs w:val="16"/>
              </w:rPr>
            </w:pPr>
            <w:r w:rsidRPr="008767E4">
              <w:rPr>
                <w:rFonts w:asciiTheme="majorHAnsi" w:hAnsiTheme="majorHAnsi" w:cstheme="majorHAnsi"/>
                <w:b/>
                <w:bCs/>
                <w:sz w:val="16"/>
                <w:szCs w:val="16"/>
              </w:rPr>
              <w:t xml:space="preserve"> 1,057,933 </w:t>
            </w:r>
          </w:p>
        </w:tc>
        <w:tc>
          <w:tcPr>
            <w:tcW w:w="960" w:type="dxa"/>
            <w:shd w:val="clear" w:color="auto" w:fill="D9D9D9" w:themeFill="background1" w:themeFillShade="D9"/>
            <w:noWrap/>
            <w:hideMark/>
          </w:tcPr>
          <w:p w:rsidR="008767E4" w:rsidRPr="008767E4" w:rsidRDefault="008767E4" w:rsidP="008767E4">
            <w:pPr>
              <w:spacing w:line="276" w:lineRule="auto"/>
              <w:jc w:val="right"/>
              <w:rPr>
                <w:rFonts w:asciiTheme="majorHAnsi" w:hAnsiTheme="majorHAnsi" w:cstheme="majorHAnsi"/>
                <w:b/>
                <w:bCs/>
                <w:sz w:val="16"/>
                <w:szCs w:val="16"/>
              </w:rPr>
            </w:pPr>
            <w:r w:rsidRPr="008767E4">
              <w:rPr>
                <w:rFonts w:asciiTheme="majorHAnsi" w:hAnsiTheme="majorHAnsi" w:cstheme="majorHAnsi"/>
                <w:b/>
                <w:bCs/>
                <w:sz w:val="16"/>
                <w:szCs w:val="16"/>
              </w:rPr>
              <w:t xml:space="preserve">     698,053 </w:t>
            </w:r>
          </w:p>
        </w:tc>
        <w:tc>
          <w:tcPr>
            <w:tcW w:w="793" w:type="dxa"/>
            <w:shd w:val="clear" w:color="auto" w:fill="D9D9D9" w:themeFill="background1" w:themeFillShade="D9"/>
            <w:noWrap/>
            <w:hideMark/>
          </w:tcPr>
          <w:p w:rsidR="008767E4" w:rsidRPr="008767E4" w:rsidRDefault="008767E4" w:rsidP="008767E4">
            <w:pPr>
              <w:spacing w:line="276" w:lineRule="auto"/>
              <w:jc w:val="right"/>
              <w:rPr>
                <w:rFonts w:asciiTheme="majorHAnsi" w:hAnsiTheme="majorHAnsi" w:cstheme="majorHAnsi"/>
                <w:b/>
                <w:bCs/>
                <w:sz w:val="16"/>
                <w:szCs w:val="16"/>
              </w:rPr>
            </w:pPr>
            <w:r w:rsidRPr="008767E4">
              <w:rPr>
                <w:rFonts w:asciiTheme="majorHAnsi" w:hAnsiTheme="majorHAnsi" w:cstheme="majorHAnsi"/>
                <w:b/>
                <w:bCs/>
                <w:sz w:val="16"/>
                <w:szCs w:val="16"/>
              </w:rPr>
              <w:t xml:space="preserve">   23,489 </w:t>
            </w:r>
          </w:p>
        </w:tc>
        <w:tc>
          <w:tcPr>
            <w:tcW w:w="988" w:type="dxa"/>
            <w:shd w:val="clear" w:color="auto" w:fill="D9D9D9" w:themeFill="background1" w:themeFillShade="D9"/>
            <w:noWrap/>
            <w:hideMark/>
          </w:tcPr>
          <w:p w:rsidR="008767E4" w:rsidRPr="008767E4" w:rsidRDefault="008767E4" w:rsidP="008767E4">
            <w:pPr>
              <w:spacing w:line="276" w:lineRule="auto"/>
              <w:rPr>
                <w:rFonts w:asciiTheme="majorHAnsi" w:hAnsiTheme="majorHAnsi" w:cstheme="majorHAnsi"/>
                <w:b/>
                <w:bCs/>
                <w:sz w:val="16"/>
                <w:szCs w:val="16"/>
              </w:rPr>
            </w:pPr>
            <w:r w:rsidRPr="008767E4">
              <w:rPr>
                <w:rFonts w:asciiTheme="majorHAnsi" w:hAnsiTheme="majorHAnsi" w:cstheme="majorHAnsi"/>
                <w:b/>
                <w:bCs/>
                <w:sz w:val="16"/>
                <w:szCs w:val="16"/>
              </w:rPr>
              <w:t> </w:t>
            </w:r>
          </w:p>
        </w:tc>
        <w:tc>
          <w:tcPr>
            <w:tcW w:w="783" w:type="dxa"/>
            <w:shd w:val="clear" w:color="auto" w:fill="D9D9D9" w:themeFill="background1" w:themeFillShade="D9"/>
            <w:noWrap/>
            <w:hideMark/>
          </w:tcPr>
          <w:p w:rsidR="008767E4" w:rsidRPr="008767E4" w:rsidRDefault="008767E4" w:rsidP="008767E4">
            <w:pPr>
              <w:spacing w:line="276" w:lineRule="auto"/>
              <w:rPr>
                <w:rFonts w:asciiTheme="majorHAnsi" w:hAnsiTheme="majorHAnsi" w:cstheme="majorHAnsi"/>
                <w:b/>
                <w:bCs/>
                <w:sz w:val="16"/>
                <w:szCs w:val="16"/>
              </w:rPr>
            </w:pPr>
            <w:r w:rsidRPr="008767E4">
              <w:rPr>
                <w:rFonts w:asciiTheme="majorHAnsi" w:hAnsiTheme="majorHAnsi" w:cstheme="majorHAnsi"/>
                <w:b/>
                <w:bCs/>
                <w:sz w:val="16"/>
                <w:szCs w:val="16"/>
              </w:rPr>
              <w:t> </w:t>
            </w:r>
          </w:p>
        </w:tc>
        <w:tc>
          <w:tcPr>
            <w:tcW w:w="1538" w:type="dxa"/>
            <w:shd w:val="clear" w:color="auto" w:fill="D9D9D9" w:themeFill="background1" w:themeFillShade="D9"/>
            <w:noWrap/>
            <w:hideMark/>
          </w:tcPr>
          <w:p w:rsidR="008767E4" w:rsidRPr="008767E4" w:rsidRDefault="008767E4" w:rsidP="008767E4">
            <w:pPr>
              <w:spacing w:line="276" w:lineRule="auto"/>
              <w:rPr>
                <w:rFonts w:asciiTheme="majorHAnsi" w:hAnsiTheme="majorHAnsi" w:cstheme="majorHAnsi"/>
                <w:b/>
                <w:bCs/>
                <w:sz w:val="16"/>
                <w:szCs w:val="16"/>
              </w:rPr>
            </w:pPr>
            <w:r w:rsidRPr="008767E4">
              <w:rPr>
                <w:rFonts w:asciiTheme="majorHAnsi" w:hAnsiTheme="majorHAnsi" w:cstheme="majorHAnsi"/>
                <w:b/>
                <w:bCs/>
                <w:sz w:val="16"/>
                <w:szCs w:val="16"/>
              </w:rPr>
              <w:t> </w:t>
            </w:r>
          </w:p>
        </w:tc>
        <w:tc>
          <w:tcPr>
            <w:tcW w:w="1071" w:type="dxa"/>
            <w:shd w:val="clear" w:color="auto" w:fill="D9D9D9" w:themeFill="background1" w:themeFillShade="D9"/>
            <w:noWrap/>
            <w:hideMark/>
          </w:tcPr>
          <w:p w:rsidR="008767E4" w:rsidRPr="008767E4" w:rsidRDefault="008767E4" w:rsidP="008767E4">
            <w:pPr>
              <w:spacing w:line="276" w:lineRule="auto"/>
              <w:jc w:val="right"/>
              <w:rPr>
                <w:rFonts w:asciiTheme="majorHAnsi" w:hAnsiTheme="majorHAnsi" w:cstheme="majorHAnsi"/>
                <w:b/>
                <w:bCs/>
                <w:sz w:val="16"/>
                <w:szCs w:val="16"/>
              </w:rPr>
            </w:pPr>
            <w:r w:rsidRPr="008767E4">
              <w:rPr>
                <w:rFonts w:asciiTheme="majorHAnsi" w:hAnsiTheme="majorHAnsi" w:cstheme="majorHAnsi"/>
                <w:b/>
                <w:bCs/>
                <w:sz w:val="16"/>
                <w:szCs w:val="16"/>
              </w:rPr>
              <w:t xml:space="preserve">     4,107,823 </w:t>
            </w:r>
          </w:p>
        </w:tc>
      </w:tr>
      <w:tr w:rsidR="008767E4" w:rsidRPr="008767E4" w:rsidTr="008767E4">
        <w:trPr>
          <w:trHeight w:val="315"/>
        </w:trPr>
        <w:tc>
          <w:tcPr>
            <w:tcW w:w="15100" w:type="dxa"/>
            <w:gridSpan w:val="12"/>
            <w:shd w:val="clear" w:color="auto" w:fill="F2F2F2" w:themeFill="background1" w:themeFillShade="F2"/>
            <w:noWrap/>
            <w:hideMark/>
          </w:tcPr>
          <w:p w:rsidR="008767E4" w:rsidRPr="008767E4" w:rsidRDefault="008767E4" w:rsidP="008767E4">
            <w:pPr>
              <w:spacing w:line="276" w:lineRule="auto"/>
              <w:rPr>
                <w:rFonts w:asciiTheme="majorHAnsi" w:hAnsiTheme="majorHAnsi" w:cstheme="majorHAnsi"/>
                <w:b/>
                <w:bCs/>
                <w:sz w:val="16"/>
                <w:szCs w:val="16"/>
              </w:rPr>
            </w:pPr>
            <w:r w:rsidRPr="008767E4">
              <w:rPr>
                <w:rFonts w:asciiTheme="majorHAnsi" w:hAnsiTheme="majorHAnsi" w:cstheme="majorHAnsi"/>
                <w:b/>
                <w:bCs/>
                <w:sz w:val="16"/>
                <w:szCs w:val="16"/>
              </w:rPr>
              <w:t xml:space="preserve">Outcome 3: Regional organisations, policies and practices are actively supporting gender </w:t>
            </w:r>
            <w:r w:rsidR="005F6557">
              <w:rPr>
                <w:rFonts w:asciiTheme="majorHAnsi" w:hAnsiTheme="majorHAnsi" w:cstheme="majorHAnsi"/>
                <w:b/>
                <w:bCs/>
                <w:sz w:val="16"/>
                <w:szCs w:val="16"/>
              </w:rPr>
              <w:t>and socially inclusive</w:t>
            </w:r>
            <w:r w:rsidRPr="008767E4">
              <w:rPr>
                <w:rFonts w:asciiTheme="majorHAnsi" w:hAnsiTheme="majorHAnsi" w:cstheme="majorHAnsi"/>
                <w:b/>
                <w:bCs/>
                <w:sz w:val="16"/>
                <w:szCs w:val="16"/>
              </w:rPr>
              <w:t xml:space="preserve"> risk-informed development </w:t>
            </w:r>
          </w:p>
        </w:tc>
      </w:tr>
      <w:tr w:rsidR="00B531B2" w:rsidRPr="008767E4" w:rsidTr="00561C15">
        <w:trPr>
          <w:trHeight w:val="1546"/>
        </w:trPr>
        <w:tc>
          <w:tcPr>
            <w:tcW w:w="1884" w:type="dxa"/>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xml:space="preserve">Output 3.1 Countries are working collectively to influence other countries, regional actors and their own country systems and government </w:t>
            </w:r>
          </w:p>
        </w:tc>
        <w:tc>
          <w:tcPr>
            <w:tcW w:w="3211" w:type="dxa"/>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xml:space="preserve">3.1.1 Facilitate dialogue across Pacific Island Countries on the impact of RID. Enable peer-to-peer learning across the Pacific Island countries. Leverage capacities and knowledge across the region </w:t>
            </w:r>
          </w:p>
        </w:tc>
        <w:tc>
          <w:tcPr>
            <w:tcW w:w="888"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148,531 </w:t>
            </w:r>
          </w:p>
        </w:tc>
        <w:tc>
          <w:tcPr>
            <w:tcW w:w="1024"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388,684 </w:t>
            </w:r>
          </w:p>
        </w:tc>
        <w:tc>
          <w:tcPr>
            <w:tcW w:w="982"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671,042 </w:t>
            </w:r>
          </w:p>
        </w:tc>
        <w:tc>
          <w:tcPr>
            <w:tcW w:w="978"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631,448 </w:t>
            </w:r>
          </w:p>
        </w:tc>
        <w:tc>
          <w:tcPr>
            <w:tcW w:w="960"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460,389 </w:t>
            </w:r>
          </w:p>
        </w:tc>
        <w:tc>
          <w:tcPr>
            <w:tcW w:w="793"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7,951 </w:t>
            </w:r>
          </w:p>
        </w:tc>
        <w:tc>
          <w:tcPr>
            <w:tcW w:w="988" w:type="dxa"/>
            <w:noWrap/>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xml:space="preserve"> UNDP </w:t>
            </w:r>
          </w:p>
        </w:tc>
        <w:tc>
          <w:tcPr>
            <w:tcW w:w="783" w:type="dxa"/>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xml:space="preserve"> DFAT/ KOICA/ MFAT/ SIDA </w:t>
            </w:r>
          </w:p>
        </w:tc>
        <w:tc>
          <w:tcPr>
            <w:tcW w:w="1538" w:type="dxa"/>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xml:space="preserve"> Knowledge Events; Diffusion Products; Knowledge tools &amp; Policies and Technical Assistance </w:t>
            </w:r>
          </w:p>
        </w:tc>
        <w:tc>
          <w:tcPr>
            <w:tcW w:w="1071"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2,308,045 </w:t>
            </w:r>
          </w:p>
        </w:tc>
      </w:tr>
      <w:tr w:rsidR="00B531B2" w:rsidRPr="008767E4" w:rsidTr="00561C15">
        <w:trPr>
          <w:trHeight w:val="1485"/>
        </w:trPr>
        <w:tc>
          <w:tcPr>
            <w:tcW w:w="1884" w:type="dxa"/>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xml:space="preserve">Output 3.2 Regional agents (CROP, donors, regional programmes) are cognizant of, equipped to and in some situations are leading on GS&amp;I RID </w:t>
            </w:r>
          </w:p>
        </w:tc>
        <w:tc>
          <w:tcPr>
            <w:tcW w:w="3211" w:type="dxa"/>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xml:space="preserve">3.2.1 Conduct research on need for Risk Informed Development in the region. Lead regional dialogue on advocating for Risk Informed Development approach  </w:t>
            </w:r>
          </w:p>
        </w:tc>
        <w:tc>
          <w:tcPr>
            <w:tcW w:w="888"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148,531 </w:t>
            </w:r>
          </w:p>
        </w:tc>
        <w:tc>
          <w:tcPr>
            <w:tcW w:w="1024"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388,684 </w:t>
            </w:r>
          </w:p>
        </w:tc>
        <w:tc>
          <w:tcPr>
            <w:tcW w:w="982"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671,041 </w:t>
            </w:r>
          </w:p>
        </w:tc>
        <w:tc>
          <w:tcPr>
            <w:tcW w:w="978"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631,448 </w:t>
            </w:r>
          </w:p>
        </w:tc>
        <w:tc>
          <w:tcPr>
            <w:tcW w:w="960"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460,389 </w:t>
            </w:r>
          </w:p>
        </w:tc>
        <w:tc>
          <w:tcPr>
            <w:tcW w:w="793"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7,951 </w:t>
            </w:r>
          </w:p>
        </w:tc>
        <w:tc>
          <w:tcPr>
            <w:tcW w:w="988" w:type="dxa"/>
            <w:noWrap/>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xml:space="preserve"> UNDP </w:t>
            </w:r>
          </w:p>
        </w:tc>
        <w:tc>
          <w:tcPr>
            <w:tcW w:w="783" w:type="dxa"/>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xml:space="preserve"> DFAT/ KOICA/ MFAT/ SIDA </w:t>
            </w:r>
          </w:p>
        </w:tc>
        <w:tc>
          <w:tcPr>
            <w:tcW w:w="1538" w:type="dxa"/>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xml:space="preserve"> Knowledge Events; Diffusion Products; Knowledge tools &amp; Policies and Technical Assistance </w:t>
            </w:r>
          </w:p>
        </w:tc>
        <w:tc>
          <w:tcPr>
            <w:tcW w:w="1071"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2,308,044 </w:t>
            </w:r>
          </w:p>
        </w:tc>
      </w:tr>
      <w:tr w:rsidR="00B531B2" w:rsidRPr="008767E4" w:rsidTr="00561C15">
        <w:trPr>
          <w:trHeight w:val="233"/>
        </w:trPr>
        <w:tc>
          <w:tcPr>
            <w:tcW w:w="1884" w:type="dxa"/>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xml:space="preserve">Monitoring costs </w:t>
            </w:r>
          </w:p>
        </w:tc>
        <w:tc>
          <w:tcPr>
            <w:tcW w:w="3211" w:type="dxa"/>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w:t>
            </w:r>
          </w:p>
        </w:tc>
        <w:tc>
          <w:tcPr>
            <w:tcW w:w="888"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21,113 </w:t>
            </w:r>
          </w:p>
        </w:tc>
        <w:tc>
          <w:tcPr>
            <w:tcW w:w="1024"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43,498 </w:t>
            </w:r>
          </w:p>
        </w:tc>
        <w:tc>
          <w:tcPr>
            <w:tcW w:w="982"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58,789 </w:t>
            </w:r>
          </w:p>
        </w:tc>
        <w:tc>
          <w:tcPr>
            <w:tcW w:w="978"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68,981 </w:t>
            </w:r>
          </w:p>
        </w:tc>
        <w:tc>
          <w:tcPr>
            <w:tcW w:w="960"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42,358 </w:t>
            </w:r>
          </w:p>
        </w:tc>
        <w:tc>
          <w:tcPr>
            <w:tcW w:w="793"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1,970 </w:t>
            </w:r>
          </w:p>
        </w:tc>
        <w:tc>
          <w:tcPr>
            <w:tcW w:w="988" w:type="dxa"/>
            <w:noWrap/>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w:t>
            </w:r>
          </w:p>
        </w:tc>
        <w:tc>
          <w:tcPr>
            <w:tcW w:w="783" w:type="dxa"/>
            <w:noWrap/>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w:t>
            </w:r>
          </w:p>
        </w:tc>
        <w:tc>
          <w:tcPr>
            <w:tcW w:w="1538" w:type="dxa"/>
            <w:noWrap/>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w:t>
            </w:r>
          </w:p>
        </w:tc>
        <w:tc>
          <w:tcPr>
            <w:tcW w:w="1071" w:type="dxa"/>
            <w:noWrap/>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xml:space="preserve">        236,709 </w:t>
            </w:r>
          </w:p>
        </w:tc>
      </w:tr>
      <w:tr w:rsidR="00B531B2" w:rsidRPr="008767E4" w:rsidTr="00561C15">
        <w:trPr>
          <w:trHeight w:val="382"/>
        </w:trPr>
        <w:tc>
          <w:tcPr>
            <w:tcW w:w="1884" w:type="dxa"/>
            <w:shd w:val="clear" w:color="auto" w:fill="D9D9D9" w:themeFill="background1" w:themeFillShade="D9"/>
            <w:noWrap/>
            <w:hideMark/>
          </w:tcPr>
          <w:p w:rsidR="008767E4" w:rsidRPr="008767E4" w:rsidRDefault="008767E4" w:rsidP="008767E4">
            <w:pPr>
              <w:spacing w:line="276" w:lineRule="auto"/>
              <w:rPr>
                <w:rFonts w:asciiTheme="majorHAnsi" w:hAnsiTheme="majorHAnsi" w:cstheme="majorHAnsi"/>
                <w:b/>
                <w:bCs/>
                <w:sz w:val="16"/>
                <w:szCs w:val="16"/>
              </w:rPr>
            </w:pPr>
            <w:r w:rsidRPr="008767E4">
              <w:rPr>
                <w:rFonts w:asciiTheme="majorHAnsi" w:hAnsiTheme="majorHAnsi" w:cstheme="majorHAnsi"/>
                <w:b/>
                <w:bCs/>
                <w:sz w:val="16"/>
                <w:szCs w:val="16"/>
              </w:rPr>
              <w:t>Sub-Total for Output 3</w:t>
            </w:r>
          </w:p>
        </w:tc>
        <w:tc>
          <w:tcPr>
            <w:tcW w:w="3211" w:type="dxa"/>
            <w:shd w:val="clear" w:color="auto" w:fill="D9D9D9" w:themeFill="background1" w:themeFillShade="D9"/>
            <w:noWrap/>
            <w:hideMark/>
          </w:tcPr>
          <w:p w:rsidR="008767E4" w:rsidRPr="008767E4" w:rsidRDefault="008767E4" w:rsidP="008767E4">
            <w:pPr>
              <w:spacing w:line="276" w:lineRule="auto"/>
              <w:rPr>
                <w:rFonts w:asciiTheme="majorHAnsi" w:hAnsiTheme="majorHAnsi" w:cstheme="majorHAnsi"/>
                <w:b/>
                <w:bCs/>
                <w:sz w:val="16"/>
                <w:szCs w:val="16"/>
              </w:rPr>
            </w:pPr>
            <w:r w:rsidRPr="008767E4">
              <w:rPr>
                <w:rFonts w:asciiTheme="majorHAnsi" w:hAnsiTheme="majorHAnsi" w:cstheme="majorHAnsi"/>
                <w:b/>
                <w:bCs/>
                <w:sz w:val="16"/>
                <w:szCs w:val="16"/>
              </w:rPr>
              <w:t> </w:t>
            </w:r>
          </w:p>
        </w:tc>
        <w:tc>
          <w:tcPr>
            <w:tcW w:w="888" w:type="dxa"/>
            <w:shd w:val="clear" w:color="auto" w:fill="D9D9D9" w:themeFill="background1" w:themeFillShade="D9"/>
            <w:noWrap/>
            <w:hideMark/>
          </w:tcPr>
          <w:p w:rsidR="008767E4" w:rsidRPr="008767E4" w:rsidRDefault="008767E4" w:rsidP="008767E4">
            <w:pPr>
              <w:spacing w:line="276" w:lineRule="auto"/>
              <w:rPr>
                <w:rFonts w:asciiTheme="majorHAnsi" w:hAnsiTheme="majorHAnsi" w:cstheme="majorHAnsi"/>
                <w:b/>
                <w:bCs/>
                <w:sz w:val="16"/>
                <w:szCs w:val="16"/>
              </w:rPr>
            </w:pPr>
            <w:r w:rsidRPr="008767E4">
              <w:rPr>
                <w:rFonts w:asciiTheme="majorHAnsi" w:hAnsiTheme="majorHAnsi" w:cstheme="majorHAnsi"/>
                <w:b/>
                <w:bCs/>
                <w:sz w:val="16"/>
                <w:szCs w:val="16"/>
              </w:rPr>
              <w:t xml:space="preserve">     97,062 </w:t>
            </w:r>
          </w:p>
        </w:tc>
        <w:tc>
          <w:tcPr>
            <w:tcW w:w="1024" w:type="dxa"/>
            <w:shd w:val="clear" w:color="auto" w:fill="D9D9D9" w:themeFill="background1" w:themeFillShade="D9"/>
            <w:noWrap/>
            <w:hideMark/>
          </w:tcPr>
          <w:p w:rsidR="008767E4" w:rsidRPr="008767E4" w:rsidRDefault="008767E4" w:rsidP="008767E4">
            <w:pPr>
              <w:spacing w:line="276" w:lineRule="auto"/>
              <w:rPr>
                <w:rFonts w:asciiTheme="majorHAnsi" w:hAnsiTheme="majorHAnsi" w:cstheme="majorHAnsi"/>
                <w:b/>
                <w:bCs/>
                <w:sz w:val="16"/>
                <w:szCs w:val="16"/>
              </w:rPr>
            </w:pPr>
            <w:r w:rsidRPr="008767E4">
              <w:rPr>
                <w:rFonts w:asciiTheme="majorHAnsi" w:hAnsiTheme="majorHAnsi" w:cstheme="majorHAnsi"/>
                <w:b/>
                <w:bCs/>
                <w:sz w:val="16"/>
                <w:szCs w:val="16"/>
              </w:rPr>
              <w:t xml:space="preserve">     77,368 </w:t>
            </w:r>
          </w:p>
        </w:tc>
        <w:tc>
          <w:tcPr>
            <w:tcW w:w="982" w:type="dxa"/>
            <w:shd w:val="clear" w:color="auto" w:fill="D9D9D9" w:themeFill="background1" w:themeFillShade="D9"/>
            <w:noWrap/>
            <w:hideMark/>
          </w:tcPr>
          <w:p w:rsidR="008767E4" w:rsidRPr="008767E4" w:rsidRDefault="008767E4" w:rsidP="008767E4">
            <w:pPr>
              <w:spacing w:line="276" w:lineRule="auto"/>
              <w:rPr>
                <w:rFonts w:asciiTheme="majorHAnsi" w:hAnsiTheme="majorHAnsi" w:cstheme="majorHAnsi"/>
                <w:b/>
                <w:bCs/>
                <w:sz w:val="16"/>
                <w:szCs w:val="16"/>
              </w:rPr>
            </w:pPr>
            <w:r w:rsidRPr="008767E4">
              <w:rPr>
                <w:rFonts w:asciiTheme="majorHAnsi" w:hAnsiTheme="majorHAnsi" w:cstheme="majorHAnsi"/>
                <w:b/>
                <w:bCs/>
                <w:sz w:val="16"/>
                <w:szCs w:val="16"/>
              </w:rPr>
              <w:t xml:space="preserve"> 1,342,083 </w:t>
            </w:r>
          </w:p>
        </w:tc>
        <w:tc>
          <w:tcPr>
            <w:tcW w:w="978" w:type="dxa"/>
            <w:shd w:val="clear" w:color="auto" w:fill="D9D9D9" w:themeFill="background1" w:themeFillShade="D9"/>
            <w:noWrap/>
            <w:hideMark/>
          </w:tcPr>
          <w:p w:rsidR="008767E4" w:rsidRPr="008767E4" w:rsidRDefault="008767E4" w:rsidP="008767E4">
            <w:pPr>
              <w:spacing w:line="276" w:lineRule="auto"/>
              <w:rPr>
                <w:rFonts w:asciiTheme="majorHAnsi" w:hAnsiTheme="majorHAnsi" w:cstheme="majorHAnsi"/>
                <w:b/>
                <w:bCs/>
                <w:sz w:val="16"/>
                <w:szCs w:val="16"/>
              </w:rPr>
            </w:pPr>
            <w:r w:rsidRPr="008767E4">
              <w:rPr>
                <w:rFonts w:asciiTheme="majorHAnsi" w:hAnsiTheme="majorHAnsi" w:cstheme="majorHAnsi"/>
                <w:b/>
                <w:bCs/>
                <w:sz w:val="16"/>
                <w:szCs w:val="16"/>
              </w:rPr>
              <w:t xml:space="preserve"> 1,262,896 </w:t>
            </w:r>
          </w:p>
        </w:tc>
        <w:tc>
          <w:tcPr>
            <w:tcW w:w="960" w:type="dxa"/>
            <w:shd w:val="clear" w:color="auto" w:fill="D9D9D9" w:themeFill="background1" w:themeFillShade="D9"/>
            <w:noWrap/>
            <w:hideMark/>
          </w:tcPr>
          <w:p w:rsidR="008767E4" w:rsidRPr="008767E4" w:rsidRDefault="008767E4" w:rsidP="008767E4">
            <w:pPr>
              <w:spacing w:line="276" w:lineRule="auto"/>
              <w:rPr>
                <w:rFonts w:asciiTheme="majorHAnsi" w:hAnsiTheme="majorHAnsi" w:cstheme="majorHAnsi"/>
                <w:b/>
                <w:bCs/>
                <w:sz w:val="16"/>
                <w:szCs w:val="16"/>
              </w:rPr>
            </w:pPr>
            <w:r w:rsidRPr="008767E4">
              <w:rPr>
                <w:rFonts w:asciiTheme="majorHAnsi" w:hAnsiTheme="majorHAnsi" w:cstheme="majorHAnsi"/>
                <w:b/>
                <w:bCs/>
                <w:sz w:val="16"/>
                <w:szCs w:val="16"/>
              </w:rPr>
              <w:t xml:space="preserve">     920,778 </w:t>
            </w:r>
          </w:p>
        </w:tc>
        <w:tc>
          <w:tcPr>
            <w:tcW w:w="793" w:type="dxa"/>
            <w:shd w:val="clear" w:color="auto" w:fill="D9D9D9" w:themeFill="background1" w:themeFillShade="D9"/>
            <w:noWrap/>
            <w:hideMark/>
          </w:tcPr>
          <w:p w:rsidR="008767E4" w:rsidRPr="008767E4" w:rsidRDefault="008767E4" w:rsidP="008767E4">
            <w:pPr>
              <w:spacing w:line="276" w:lineRule="auto"/>
              <w:rPr>
                <w:rFonts w:asciiTheme="majorHAnsi" w:hAnsiTheme="majorHAnsi" w:cstheme="majorHAnsi"/>
                <w:b/>
                <w:bCs/>
                <w:sz w:val="16"/>
                <w:szCs w:val="16"/>
              </w:rPr>
            </w:pPr>
            <w:r w:rsidRPr="008767E4">
              <w:rPr>
                <w:rFonts w:asciiTheme="majorHAnsi" w:hAnsiTheme="majorHAnsi" w:cstheme="majorHAnsi"/>
                <w:b/>
                <w:bCs/>
                <w:sz w:val="16"/>
                <w:szCs w:val="16"/>
              </w:rPr>
              <w:t xml:space="preserve">    5,902 </w:t>
            </w:r>
          </w:p>
        </w:tc>
        <w:tc>
          <w:tcPr>
            <w:tcW w:w="988" w:type="dxa"/>
            <w:shd w:val="clear" w:color="auto" w:fill="D9D9D9" w:themeFill="background1" w:themeFillShade="D9"/>
            <w:noWrap/>
            <w:hideMark/>
          </w:tcPr>
          <w:p w:rsidR="008767E4" w:rsidRPr="008767E4" w:rsidRDefault="008767E4" w:rsidP="008767E4">
            <w:pPr>
              <w:spacing w:line="276" w:lineRule="auto"/>
              <w:rPr>
                <w:rFonts w:asciiTheme="majorHAnsi" w:hAnsiTheme="majorHAnsi" w:cstheme="majorHAnsi"/>
                <w:b/>
                <w:bCs/>
                <w:sz w:val="16"/>
                <w:szCs w:val="16"/>
              </w:rPr>
            </w:pPr>
            <w:r w:rsidRPr="008767E4">
              <w:rPr>
                <w:rFonts w:asciiTheme="majorHAnsi" w:hAnsiTheme="majorHAnsi" w:cstheme="majorHAnsi"/>
                <w:b/>
                <w:bCs/>
                <w:sz w:val="16"/>
                <w:szCs w:val="16"/>
              </w:rPr>
              <w:t> </w:t>
            </w:r>
          </w:p>
        </w:tc>
        <w:tc>
          <w:tcPr>
            <w:tcW w:w="783" w:type="dxa"/>
            <w:shd w:val="clear" w:color="auto" w:fill="D9D9D9" w:themeFill="background1" w:themeFillShade="D9"/>
            <w:noWrap/>
            <w:hideMark/>
          </w:tcPr>
          <w:p w:rsidR="008767E4" w:rsidRPr="008767E4" w:rsidRDefault="008767E4" w:rsidP="008767E4">
            <w:pPr>
              <w:spacing w:line="276" w:lineRule="auto"/>
              <w:rPr>
                <w:rFonts w:asciiTheme="majorHAnsi" w:hAnsiTheme="majorHAnsi" w:cstheme="majorHAnsi"/>
                <w:b/>
                <w:bCs/>
                <w:sz w:val="16"/>
                <w:szCs w:val="16"/>
              </w:rPr>
            </w:pPr>
            <w:r w:rsidRPr="008767E4">
              <w:rPr>
                <w:rFonts w:asciiTheme="majorHAnsi" w:hAnsiTheme="majorHAnsi" w:cstheme="majorHAnsi"/>
                <w:b/>
                <w:bCs/>
                <w:sz w:val="16"/>
                <w:szCs w:val="16"/>
              </w:rPr>
              <w:t> </w:t>
            </w:r>
          </w:p>
        </w:tc>
        <w:tc>
          <w:tcPr>
            <w:tcW w:w="1538" w:type="dxa"/>
            <w:shd w:val="clear" w:color="auto" w:fill="D9D9D9" w:themeFill="background1" w:themeFillShade="D9"/>
            <w:noWrap/>
            <w:hideMark/>
          </w:tcPr>
          <w:p w:rsidR="008767E4" w:rsidRPr="008767E4" w:rsidRDefault="008767E4" w:rsidP="008767E4">
            <w:pPr>
              <w:spacing w:line="276" w:lineRule="auto"/>
              <w:rPr>
                <w:rFonts w:asciiTheme="majorHAnsi" w:hAnsiTheme="majorHAnsi" w:cstheme="majorHAnsi"/>
                <w:b/>
                <w:bCs/>
                <w:sz w:val="16"/>
                <w:szCs w:val="16"/>
              </w:rPr>
            </w:pPr>
            <w:r w:rsidRPr="008767E4">
              <w:rPr>
                <w:rFonts w:asciiTheme="majorHAnsi" w:hAnsiTheme="majorHAnsi" w:cstheme="majorHAnsi"/>
                <w:b/>
                <w:bCs/>
                <w:sz w:val="16"/>
                <w:szCs w:val="16"/>
              </w:rPr>
              <w:t> </w:t>
            </w:r>
          </w:p>
        </w:tc>
        <w:tc>
          <w:tcPr>
            <w:tcW w:w="1071" w:type="dxa"/>
            <w:shd w:val="clear" w:color="auto" w:fill="D9D9D9" w:themeFill="background1" w:themeFillShade="D9"/>
            <w:noWrap/>
            <w:hideMark/>
          </w:tcPr>
          <w:p w:rsidR="008767E4" w:rsidRPr="008767E4" w:rsidRDefault="008767E4" w:rsidP="008767E4">
            <w:pPr>
              <w:spacing w:line="276" w:lineRule="auto"/>
              <w:jc w:val="right"/>
              <w:rPr>
                <w:rFonts w:asciiTheme="majorHAnsi" w:hAnsiTheme="majorHAnsi" w:cstheme="majorHAnsi"/>
                <w:b/>
                <w:bCs/>
                <w:sz w:val="16"/>
                <w:szCs w:val="16"/>
              </w:rPr>
            </w:pPr>
            <w:r w:rsidRPr="008767E4">
              <w:rPr>
                <w:rFonts w:asciiTheme="majorHAnsi" w:hAnsiTheme="majorHAnsi" w:cstheme="majorHAnsi"/>
                <w:b/>
                <w:bCs/>
                <w:sz w:val="16"/>
                <w:szCs w:val="16"/>
              </w:rPr>
              <w:t xml:space="preserve">     4,852,798 </w:t>
            </w:r>
          </w:p>
        </w:tc>
      </w:tr>
      <w:tr w:rsidR="00B531B2" w:rsidRPr="008767E4" w:rsidTr="00561C15">
        <w:trPr>
          <w:trHeight w:val="374"/>
        </w:trPr>
        <w:tc>
          <w:tcPr>
            <w:tcW w:w="1884" w:type="dxa"/>
            <w:noWrap/>
            <w:hideMark/>
          </w:tcPr>
          <w:p w:rsidR="008767E4" w:rsidRPr="008767E4" w:rsidRDefault="008767E4" w:rsidP="008767E4">
            <w:pPr>
              <w:spacing w:line="276" w:lineRule="auto"/>
              <w:rPr>
                <w:rFonts w:asciiTheme="majorHAnsi" w:hAnsiTheme="majorHAnsi" w:cstheme="majorHAnsi"/>
                <w:b/>
                <w:bCs/>
                <w:sz w:val="16"/>
                <w:szCs w:val="16"/>
              </w:rPr>
            </w:pPr>
            <w:r w:rsidRPr="008767E4">
              <w:rPr>
                <w:rFonts w:asciiTheme="majorHAnsi" w:hAnsiTheme="majorHAnsi" w:cstheme="majorHAnsi"/>
                <w:b/>
                <w:bCs/>
                <w:sz w:val="16"/>
                <w:szCs w:val="16"/>
              </w:rPr>
              <w:t>Total programme costs</w:t>
            </w:r>
          </w:p>
        </w:tc>
        <w:tc>
          <w:tcPr>
            <w:tcW w:w="3211" w:type="dxa"/>
            <w:noWrap/>
            <w:hideMark/>
          </w:tcPr>
          <w:p w:rsidR="008767E4" w:rsidRPr="008767E4" w:rsidRDefault="008767E4" w:rsidP="008767E4">
            <w:pPr>
              <w:spacing w:line="276" w:lineRule="auto"/>
              <w:rPr>
                <w:rFonts w:asciiTheme="majorHAnsi" w:hAnsiTheme="majorHAnsi" w:cstheme="majorHAnsi"/>
                <w:b/>
                <w:bCs/>
                <w:sz w:val="16"/>
                <w:szCs w:val="16"/>
              </w:rPr>
            </w:pPr>
            <w:r w:rsidRPr="008767E4">
              <w:rPr>
                <w:rFonts w:asciiTheme="majorHAnsi" w:hAnsiTheme="majorHAnsi" w:cstheme="majorHAnsi"/>
                <w:b/>
                <w:bCs/>
                <w:sz w:val="16"/>
                <w:szCs w:val="16"/>
              </w:rPr>
              <w:t> </w:t>
            </w:r>
          </w:p>
        </w:tc>
        <w:tc>
          <w:tcPr>
            <w:tcW w:w="888" w:type="dxa"/>
            <w:noWrap/>
            <w:hideMark/>
          </w:tcPr>
          <w:p w:rsidR="008767E4" w:rsidRPr="008767E4" w:rsidRDefault="008767E4" w:rsidP="008767E4">
            <w:pPr>
              <w:spacing w:line="276" w:lineRule="auto"/>
              <w:jc w:val="right"/>
              <w:rPr>
                <w:rFonts w:asciiTheme="majorHAnsi" w:hAnsiTheme="majorHAnsi" w:cstheme="majorHAnsi"/>
                <w:b/>
                <w:bCs/>
                <w:sz w:val="16"/>
                <w:szCs w:val="16"/>
              </w:rPr>
            </w:pPr>
            <w:r w:rsidRPr="008767E4">
              <w:rPr>
                <w:rFonts w:asciiTheme="majorHAnsi" w:hAnsiTheme="majorHAnsi" w:cstheme="majorHAnsi"/>
                <w:b/>
                <w:bCs/>
                <w:sz w:val="16"/>
                <w:szCs w:val="16"/>
              </w:rPr>
              <w:t xml:space="preserve"> 1,376,192 </w:t>
            </w:r>
          </w:p>
        </w:tc>
        <w:tc>
          <w:tcPr>
            <w:tcW w:w="1024" w:type="dxa"/>
            <w:noWrap/>
            <w:hideMark/>
          </w:tcPr>
          <w:p w:rsidR="008767E4" w:rsidRPr="008767E4" w:rsidRDefault="008767E4" w:rsidP="008767E4">
            <w:pPr>
              <w:spacing w:line="276" w:lineRule="auto"/>
              <w:jc w:val="right"/>
              <w:rPr>
                <w:rFonts w:asciiTheme="majorHAnsi" w:hAnsiTheme="majorHAnsi" w:cstheme="majorHAnsi"/>
                <w:b/>
                <w:bCs/>
                <w:sz w:val="16"/>
                <w:szCs w:val="16"/>
              </w:rPr>
            </w:pPr>
            <w:r w:rsidRPr="008767E4">
              <w:rPr>
                <w:rFonts w:asciiTheme="majorHAnsi" w:hAnsiTheme="majorHAnsi" w:cstheme="majorHAnsi"/>
                <w:b/>
                <w:bCs/>
                <w:sz w:val="16"/>
                <w:szCs w:val="16"/>
              </w:rPr>
              <w:t xml:space="preserve"> 2,834,052 </w:t>
            </w:r>
          </w:p>
        </w:tc>
        <w:tc>
          <w:tcPr>
            <w:tcW w:w="982" w:type="dxa"/>
            <w:noWrap/>
            <w:hideMark/>
          </w:tcPr>
          <w:p w:rsidR="008767E4" w:rsidRPr="008767E4" w:rsidRDefault="008767E4" w:rsidP="008767E4">
            <w:pPr>
              <w:spacing w:line="276" w:lineRule="auto"/>
              <w:jc w:val="right"/>
              <w:rPr>
                <w:rFonts w:asciiTheme="majorHAnsi" w:hAnsiTheme="majorHAnsi" w:cstheme="majorHAnsi"/>
                <w:b/>
                <w:bCs/>
                <w:sz w:val="16"/>
                <w:szCs w:val="16"/>
              </w:rPr>
            </w:pPr>
            <w:r w:rsidRPr="008767E4">
              <w:rPr>
                <w:rFonts w:asciiTheme="majorHAnsi" w:hAnsiTheme="majorHAnsi" w:cstheme="majorHAnsi"/>
                <w:b/>
                <w:bCs/>
                <w:sz w:val="16"/>
                <w:szCs w:val="16"/>
              </w:rPr>
              <w:t xml:space="preserve"> 5,133,669 </w:t>
            </w:r>
          </w:p>
        </w:tc>
        <w:tc>
          <w:tcPr>
            <w:tcW w:w="978" w:type="dxa"/>
            <w:noWrap/>
            <w:hideMark/>
          </w:tcPr>
          <w:p w:rsidR="008767E4" w:rsidRPr="008767E4" w:rsidRDefault="008767E4" w:rsidP="008767E4">
            <w:pPr>
              <w:spacing w:line="276" w:lineRule="auto"/>
              <w:jc w:val="right"/>
              <w:rPr>
                <w:rFonts w:asciiTheme="majorHAnsi" w:hAnsiTheme="majorHAnsi" w:cstheme="majorHAnsi"/>
                <w:b/>
                <w:bCs/>
                <w:sz w:val="16"/>
                <w:szCs w:val="16"/>
              </w:rPr>
            </w:pPr>
            <w:r w:rsidRPr="008767E4">
              <w:rPr>
                <w:rFonts w:asciiTheme="majorHAnsi" w:hAnsiTheme="majorHAnsi" w:cstheme="majorHAnsi"/>
                <w:b/>
                <w:bCs/>
                <w:sz w:val="16"/>
                <w:szCs w:val="16"/>
              </w:rPr>
              <w:t xml:space="preserve"> 4,494,345 </w:t>
            </w:r>
          </w:p>
        </w:tc>
        <w:tc>
          <w:tcPr>
            <w:tcW w:w="960" w:type="dxa"/>
            <w:noWrap/>
            <w:hideMark/>
          </w:tcPr>
          <w:p w:rsidR="008767E4" w:rsidRPr="008767E4" w:rsidRDefault="008767E4" w:rsidP="008767E4">
            <w:pPr>
              <w:spacing w:line="276" w:lineRule="auto"/>
              <w:jc w:val="right"/>
              <w:rPr>
                <w:rFonts w:asciiTheme="majorHAnsi" w:hAnsiTheme="majorHAnsi" w:cstheme="majorHAnsi"/>
                <w:b/>
                <w:bCs/>
                <w:sz w:val="16"/>
                <w:szCs w:val="16"/>
              </w:rPr>
            </w:pPr>
            <w:r w:rsidRPr="008767E4">
              <w:rPr>
                <w:rFonts w:asciiTheme="majorHAnsi" w:hAnsiTheme="majorHAnsi" w:cstheme="majorHAnsi"/>
                <w:b/>
                <w:bCs/>
                <w:sz w:val="16"/>
                <w:szCs w:val="16"/>
              </w:rPr>
              <w:t xml:space="preserve"> 2,759,347 </w:t>
            </w:r>
          </w:p>
        </w:tc>
        <w:tc>
          <w:tcPr>
            <w:tcW w:w="793" w:type="dxa"/>
            <w:noWrap/>
            <w:hideMark/>
          </w:tcPr>
          <w:p w:rsidR="008767E4" w:rsidRPr="008767E4" w:rsidRDefault="008767E4" w:rsidP="008767E4">
            <w:pPr>
              <w:spacing w:line="276" w:lineRule="auto"/>
              <w:jc w:val="right"/>
              <w:rPr>
                <w:rFonts w:asciiTheme="majorHAnsi" w:hAnsiTheme="majorHAnsi" w:cstheme="majorHAnsi"/>
                <w:b/>
                <w:bCs/>
                <w:sz w:val="16"/>
                <w:szCs w:val="16"/>
              </w:rPr>
            </w:pPr>
            <w:r w:rsidRPr="008767E4">
              <w:rPr>
                <w:rFonts w:asciiTheme="majorHAnsi" w:hAnsiTheme="majorHAnsi" w:cstheme="majorHAnsi"/>
                <w:b/>
                <w:bCs/>
                <w:sz w:val="16"/>
                <w:szCs w:val="16"/>
              </w:rPr>
              <w:t xml:space="preserve"> 128,385 </w:t>
            </w:r>
          </w:p>
        </w:tc>
        <w:tc>
          <w:tcPr>
            <w:tcW w:w="988" w:type="dxa"/>
            <w:noWrap/>
            <w:hideMark/>
          </w:tcPr>
          <w:p w:rsidR="008767E4" w:rsidRPr="008767E4" w:rsidRDefault="008767E4" w:rsidP="008767E4">
            <w:pPr>
              <w:spacing w:line="276" w:lineRule="auto"/>
              <w:rPr>
                <w:rFonts w:asciiTheme="majorHAnsi" w:hAnsiTheme="majorHAnsi" w:cstheme="majorHAnsi"/>
                <w:b/>
                <w:bCs/>
                <w:sz w:val="16"/>
                <w:szCs w:val="16"/>
              </w:rPr>
            </w:pPr>
            <w:r w:rsidRPr="008767E4">
              <w:rPr>
                <w:rFonts w:asciiTheme="majorHAnsi" w:hAnsiTheme="majorHAnsi" w:cstheme="majorHAnsi"/>
                <w:b/>
                <w:bCs/>
                <w:sz w:val="16"/>
                <w:szCs w:val="16"/>
              </w:rPr>
              <w:t> </w:t>
            </w:r>
          </w:p>
        </w:tc>
        <w:tc>
          <w:tcPr>
            <w:tcW w:w="783" w:type="dxa"/>
            <w:noWrap/>
            <w:hideMark/>
          </w:tcPr>
          <w:p w:rsidR="008767E4" w:rsidRPr="008767E4" w:rsidRDefault="008767E4" w:rsidP="008767E4">
            <w:pPr>
              <w:spacing w:line="276" w:lineRule="auto"/>
              <w:rPr>
                <w:rFonts w:asciiTheme="majorHAnsi" w:hAnsiTheme="majorHAnsi" w:cstheme="majorHAnsi"/>
                <w:b/>
                <w:bCs/>
                <w:sz w:val="16"/>
                <w:szCs w:val="16"/>
              </w:rPr>
            </w:pPr>
            <w:r w:rsidRPr="008767E4">
              <w:rPr>
                <w:rFonts w:asciiTheme="majorHAnsi" w:hAnsiTheme="majorHAnsi" w:cstheme="majorHAnsi"/>
                <w:b/>
                <w:bCs/>
                <w:sz w:val="16"/>
                <w:szCs w:val="16"/>
              </w:rPr>
              <w:t> </w:t>
            </w:r>
          </w:p>
        </w:tc>
        <w:tc>
          <w:tcPr>
            <w:tcW w:w="1538" w:type="dxa"/>
            <w:noWrap/>
            <w:hideMark/>
          </w:tcPr>
          <w:p w:rsidR="008767E4" w:rsidRPr="008767E4" w:rsidRDefault="008767E4" w:rsidP="008767E4">
            <w:pPr>
              <w:spacing w:line="276" w:lineRule="auto"/>
              <w:rPr>
                <w:rFonts w:asciiTheme="majorHAnsi" w:hAnsiTheme="majorHAnsi" w:cstheme="majorHAnsi"/>
                <w:b/>
                <w:bCs/>
                <w:sz w:val="16"/>
                <w:szCs w:val="16"/>
              </w:rPr>
            </w:pPr>
            <w:r w:rsidRPr="008767E4">
              <w:rPr>
                <w:rFonts w:asciiTheme="majorHAnsi" w:hAnsiTheme="majorHAnsi" w:cstheme="majorHAnsi"/>
                <w:b/>
                <w:bCs/>
                <w:sz w:val="16"/>
                <w:szCs w:val="16"/>
              </w:rPr>
              <w:t> </w:t>
            </w:r>
          </w:p>
        </w:tc>
        <w:tc>
          <w:tcPr>
            <w:tcW w:w="1071" w:type="dxa"/>
            <w:noWrap/>
            <w:hideMark/>
          </w:tcPr>
          <w:p w:rsidR="008767E4" w:rsidRPr="008767E4" w:rsidRDefault="008767E4" w:rsidP="008767E4">
            <w:pPr>
              <w:spacing w:line="276" w:lineRule="auto"/>
              <w:jc w:val="right"/>
              <w:rPr>
                <w:rFonts w:asciiTheme="majorHAnsi" w:hAnsiTheme="majorHAnsi" w:cstheme="majorHAnsi"/>
                <w:b/>
                <w:bCs/>
                <w:sz w:val="16"/>
                <w:szCs w:val="16"/>
              </w:rPr>
            </w:pPr>
            <w:r w:rsidRPr="008767E4">
              <w:rPr>
                <w:rFonts w:asciiTheme="majorHAnsi" w:hAnsiTheme="majorHAnsi" w:cstheme="majorHAnsi"/>
                <w:b/>
                <w:bCs/>
                <w:sz w:val="16"/>
                <w:szCs w:val="16"/>
              </w:rPr>
              <w:t xml:space="preserve">  17,586,766 </w:t>
            </w:r>
          </w:p>
        </w:tc>
      </w:tr>
      <w:tr w:rsidR="00B531B2" w:rsidRPr="008767E4" w:rsidTr="00561C15">
        <w:trPr>
          <w:trHeight w:val="300"/>
        </w:trPr>
        <w:tc>
          <w:tcPr>
            <w:tcW w:w="1884" w:type="dxa"/>
            <w:noWrap/>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xml:space="preserve">Evaluation </w:t>
            </w:r>
          </w:p>
        </w:tc>
        <w:tc>
          <w:tcPr>
            <w:tcW w:w="3211" w:type="dxa"/>
            <w:noWrap/>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Mid</w:t>
            </w:r>
            <w:r w:rsidR="00EF6ADA">
              <w:rPr>
                <w:rFonts w:asciiTheme="majorHAnsi" w:hAnsiTheme="majorHAnsi" w:cstheme="majorHAnsi"/>
                <w:sz w:val="16"/>
                <w:szCs w:val="16"/>
              </w:rPr>
              <w:t>-</w:t>
            </w:r>
            <w:r w:rsidRPr="008767E4">
              <w:rPr>
                <w:rFonts w:asciiTheme="majorHAnsi" w:hAnsiTheme="majorHAnsi" w:cstheme="majorHAnsi"/>
                <w:sz w:val="16"/>
                <w:szCs w:val="16"/>
              </w:rPr>
              <w:t>term Evaluation and Lessons learn</w:t>
            </w:r>
            <w:r w:rsidR="005F6557">
              <w:rPr>
                <w:rFonts w:asciiTheme="majorHAnsi" w:hAnsiTheme="majorHAnsi" w:cstheme="majorHAnsi"/>
                <w:sz w:val="16"/>
                <w:szCs w:val="16"/>
              </w:rPr>
              <w:t>ed</w:t>
            </w:r>
          </w:p>
        </w:tc>
        <w:tc>
          <w:tcPr>
            <w:tcW w:w="888"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   </w:t>
            </w:r>
          </w:p>
        </w:tc>
        <w:tc>
          <w:tcPr>
            <w:tcW w:w="1024"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   </w:t>
            </w:r>
          </w:p>
        </w:tc>
        <w:tc>
          <w:tcPr>
            <w:tcW w:w="982"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90,000 </w:t>
            </w:r>
          </w:p>
        </w:tc>
        <w:tc>
          <w:tcPr>
            <w:tcW w:w="978"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   </w:t>
            </w:r>
          </w:p>
        </w:tc>
        <w:tc>
          <w:tcPr>
            <w:tcW w:w="960"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   </w:t>
            </w:r>
          </w:p>
        </w:tc>
        <w:tc>
          <w:tcPr>
            <w:tcW w:w="793"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   </w:t>
            </w:r>
          </w:p>
        </w:tc>
        <w:tc>
          <w:tcPr>
            <w:tcW w:w="988" w:type="dxa"/>
            <w:noWrap/>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w:t>
            </w:r>
          </w:p>
        </w:tc>
        <w:tc>
          <w:tcPr>
            <w:tcW w:w="783" w:type="dxa"/>
            <w:noWrap/>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w:t>
            </w:r>
          </w:p>
        </w:tc>
        <w:tc>
          <w:tcPr>
            <w:tcW w:w="1538" w:type="dxa"/>
            <w:noWrap/>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w:t>
            </w:r>
          </w:p>
        </w:tc>
        <w:tc>
          <w:tcPr>
            <w:tcW w:w="1071"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90,000 </w:t>
            </w:r>
          </w:p>
        </w:tc>
      </w:tr>
      <w:tr w:rsidR="00B531B2" w:rsidRPr="008767E4" w:rsidTr="00561C15">
        <w:trPr>
          <w:trHeight w:val="315"/>
        </w:trPr>
        <w:tc>
          <w:tcPr>
            <w:tcW w:w="1884" w:type="dxa"/>
            <w:noWrap/>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General Management Support</w:t>
            </w:r>
          </w:p>
        </w:tc>
        <w:tc>
          <w:tcPr>
            <w:tcW w:w="3211" w:type="dxa"/>
            <w:noWrap/>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General Management Service (GMS) Fees 8%</w:t>
            </w:r>
          </w:p>
        </w:tc>
        <w:tc>
          <w:tcPr>
            <w:tcW w:w="888"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116,351 </w:t>
            </w:r>
          </w:p>
        </w:tc>
        <w:tc>
          <w:tcPr>
            <w:tcW w:w="1024"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239,078 </w:t>
            </w:r>
          </w:p>
        </w:tc>
        <w:tc>
          <w:tcPr>
            <w:tcW w:w="982"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433,177 </w:t>
            </w:r>
          </w:p>
        </w:tc>
        <w:tc>
          <w:tcPr>
            <w:tcW w:w="978"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379,125 </w:t>
            </w:r>
          </w:p>
        </w:tc>
        <w:tc>
          <w:tcPr>
            <w:tcW w:w="960"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232,585 </w:t>
            </w:r>
          </w:p>
        </w:tc>
        <w:tc>
          <w:tcPr>
            <w:tcW w:w="793"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10,854 </w:t>
            </w:r>
          </w:p>
        </w:tc>
        <w:tc>
          <w:tcPr>
            <w:tcW w:w="988" w:type="dxa"/>
            <w:noWrap/>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w:t>
            </w:r>
          </w:p>
        </w:tc>
        <w:tc>
          <w:tcPr>
            <w:tcW w:w="783" w:type="dxa"/>
            <w:noWrap/>
            <w:hideMark/>
          </w:tcPr>
          <w:p w:rsidR="008767E4" w:rsidRPr="008767E4" w:rsidRDefault="008767E4" w:rsidP="008767E4">
            <w:pPr>
              <w:spacing w:line="276" w:lineRule="auto"/>
              <w:rPr>
                <w:rFonts w:asciiTheme="majorHAnsi" w:hAnsiTheme="majorHAnsi" w:cstheme="majorHAnsi"/>
                <w:sz w:val="16"/>
                <w:szCs w:val="16"/>
              </w:rPr>
            </w:pPr>
            <w:r w:rsidRPr="008767E4">
              <w:rPr>
                <w:rFonts w:asciiTheme="majorHAnsi" w:hAnsiTheme="majorHAnsi" w:cstheme="majorHAnsi"/>
                <w:sz w:val="16"/>
                <w:szCs w:val="16"/>
              </w:rPr>
              <w:t> </w:t>
            </w:r>
          </w:p>
        </w:tc>
        <w:tc>
          <w:tcPr>
            <w:tcW w:w="1538" w:type="dxa"/>
            <w:noWrap/>
            <w:hideMark/>
          </w:tcPr>
          <w:p w:rsidR="008767E4" w:rsidRPr="008767E4" w:rsidRDefault="008767E4" w:rsidP="008767E4">
            <w:pPr>
              <w:spacing w:line="276" w:lineRule="auto"/>
              <w:rPr>
                <w:rFonts w:asciiTheme="majorHAnsi" w:hAnsiTheme="majorHAnsi" w:cstheme="majorHAnsi"/>
                <w:sz w:val="16"/>
                <w:szCs w:val="16"/>
              </w:rPr>
            </w:pPr>
          </w:p>
        </w:tc>
        <w:tc>
          <w:tcPr>
            <w:tcW w:w="1071" w:type="dxa"/>
            <w:noWrap/>
            <w:hideMark/>
          </w:tcPr>
          <w:p w:rsidR="008767E4" w:rsidRPr="008767E4" w:rsidRDefault="008767E4" w:rsidP="008767E4">
            <w:pPr>
              <w:spacing w:line="276" w:lineRule="auto"/>
              <w:jc w:val="right"/>
              <w:rPr>
                <w:rFonts w:asciiTheme="majorHAnsi" w:hAnsiTheme="majorHAnsi" w:cstheme="majorHAnsi"/>
                <w:sz w:val="16"/>
                <w:szCs w:val="16"/>
              </w:rPr>
            </w:pPr>
            <w:r w:rsidRPr="008767E4">
              <w:rPr>
                <w:rFonts w:asciiTheme="majorHAnsi" w:hAnsiTheme="majorHAnsi" w:cstheme="majorHAnsi"/>
                <w:sz w:val="16"/>
                <w:szCs w:val="16"/>
              </w:rPr>
              <w:t xml:space="preserve">     1,411,170 </w:t>
            </w:r>
          </w:p>
        </w:tc>
      </w:tr>
      <w:tr w:rsidR="00B531B2" w:rsidRPr="008767E4" w:rsidTr="00561C15">
        <w:trPr>
          <w:trHeight w:val="315"/>
        </w:trPr>
        <w:tc>
          <w:tcPr>
            <w:tcW w:w="1884" w:type="dxa"/>
            <w:shd w:val="clear" w:color="auto" w:fill="BFBFBF" w:themeFill="background1" w:themeFillShade="BF"/>
            <w:noWrap/>
            <w:hideMark/>
          </w:tcPr>
          <w:p w:rsidR="008767E4" w:rsidRPr="008767E4" w:rsidRDefault="008767E4" w:rsidP="008767E4">
            <w:pPr>
              <w:spacing w:line="276" w:lineRule="auto"/>
              <w:rPr>
                <w:rFonts w:asciiTheme="majorHAnsi" w:hAnsiTheme="majorHAnsi" w:cstheme="majorHAnsi"/>
                <w:b/>
                <w:bCs/>
                <w:sz w:val="16"/>
                <w:szCs w:val="16"/>
              </w:rPr>
            </w:pPr>
            <w:r w:rsidRPr="008767E4">
              <w:rPr>
                <w:rFonts w:asciiTheme="majorHAnsi" w:hAnsiTheme="majorHAnsi" w:cstheme="majorHAnsi"/>
                <w:b/>
                <w:bCs/>
                <w:sz w:val="16"/>
                <w:szCs w:val="16"/>
              </w:rPr>
              <w:t>TOTAL</w:t>
            </w:r>
          </w:p>
        </w:tc>
        <w:tc>
          <w:tcPr>
            <w:tcW w:w="3211" w:type="dxa"/>
            <w:shd w:val="clear" w:color="auto" w:fill="BFBFBF" w:themeFill="background1" w:themeFillShade="BF"/>
            <w:noWrap/>
            <w:hideMark/>
          </w:tcPr>
          <w:p w:rsidR="008767E4" w:rsidRPr="008767E4" w:rsidRDefault="008767E4" w:rsidP="008767E4">
            <w:pPr>
              <w:spacing w:line="276" w:lineRule="auto"/>
              <w:rPr>
                <w:rFonts w:asciiTheme="majorHAnsi" w:hAnsiTheme="majorHAnsi" w:cstheme="majorHAnsi"/>
                <w:b/>
                <w:bCs/>
                <w:sz w:val="16"/>
                <w:szCs w:val="16"/>
              </w:rPr>
            </w:pPr>
            <w:r w:rsidRPr="008767E4">
              <w:rPr>
                <w:rFonts w:asciiTheme="majorHAnsi" w:hAnsiTheme="majorHAnsi" w:cstheme="majorHAnsi"/>
                <w:b/>
                <w:bCs/>
                <w:sz w:val="16"/>
                <w:szCs w:val="16"/>
              </w:rPr>
              <w:t> </w:t>
            </w:r>
          </w:p>
        </w:tc>
        <w:tc>
          <w:tcPr>
            <w:tcW w:w="888" w:type="dxa"/>
            <w:shd w:val="clear" w:color="auto" w:fill="BFBFBF" w:themeFill="background1" w:themeFillShade="BF"/>
            <w:noWrap/>
            <w:hideMark/>
          </w:tcPr>
          <w:p w:rsidR="008767E4" w:rsidRPr="008767E4" w:rsidRDefault="008767E4" w:rsidP="008767E4">
            <w:pPr>
              <w:spacing w:line="276" w:lineRule="auto"/>
              <w:jc w:val="right"/>
              <w:rPr>
                <w:rFonts w:asciiTheme="majorHAnsi" w:hAnsiTheme="majorHAnsi" w:cstheme="majorHAnsi"/>
                <w:b/>
                <w:bCs/>
                <w:sz w:val="16"/>
                <w:szCs w:val="16"/>
              </w:rPr>
            </w:pPr>
            <w:r w:rsidRPr="008767E4">
              <w:rPr>
                <w:rFonts w:asciiTheme="majorHAnsi" w:hAnsiTheme="majorHAnsi" w:cstheme="majorHAnsi"/>
                <w:b/>
                <w:bCs/>
                <w:sz w:val="16"/>
                <w:szCs w:val="16"/>
              </w:rPr>
              <w:t xml:space="preserve">1,492,543 </w:t>
            </w:r>
          </w:p>
        </w:tc>
        <w:tc>
          <w:tcPr>
            <w:tcW w:w="1024" w:type="dxa"/>
            <w:shd w:val="clear" w:color="auto" w:fill="BFBFBF" w:themeFill="background1" w:themeFillShade="BF"/>
            <w:noWrap/>
            <w:hideMark/>
          </w:tcPr>
          <w:p w:rsidR="008767E4" w:rsidRPr="008767E4" w:rsidRDefault="008767E4" w:rsidP="008767E4">
            <w:pPr>
              <w:spacing w:line="276" w:lineRule="auto"/>
              <w:jc w:val="right"/>
              <w:rPr>
                <w:rFonts w:asciiTheme="majorHAnsi" w:hAnsiTheme="majorHAnsi" w:cstheme="majorHAnsi"/>
                <w:b/>
                <w:bCs/>
                <w:sz w:val="16"/>
                <w:szCs w:val="16"/>
              </w:rPr>
            </w:pPr>
            <w:r w:rsidRPr="008767E4">
              <w:rPr>
                <w:rFonts w:asciiTheme="majorHAnsi" w:hAnsiTheme="majorHAnsi" w:cstheme="majorHAnsi"/>
                <w:b/>
                <w:bCs/>
                <w:sz w:val="16"/>
                <w:szCs w:val="16"/>
              </w:rPr>
              <w:t xml:space="preserve"> 3,073,130 </w:t>
            </w:r>
          </w:p>
        </w:tc>
        <w:tc>
          <w:tcPr>
            <w:tcW w:w="982" w:type="dxa"/>
            <w:shd w:val="clear" w:color="auto" w:fill="BFBFBF" w:themeFill="background1" w:themeFillShade="BF"/>
            <w:noWrap/>
            <w:hideMark/>
          </w:tcPr>
          <w:p w:rsidR="008767E4" w:rsidRPr="008767E4" w:rsidRDefault="008767E4" w:rsidP="008767E4">
            <w:pPr>
              <w:spacing w:line="276" w:lineRule="auto"/>
              <w:jc w:val="right"/>
              <w:rPr>
                <w:rFonts w:asciiTheme="majorHAnsi" w:hAnsiTheme="majorHAnsi" w:cstheme="majorHAnsi"/>
                <w:b/>
                <w:bCs/>
                <w:sz w:val="16"/>
                <w:szCs w:val="16"/>
              </w:rPr>
            </w:pPr>
            <w:r w:rsidRPr="008767E4">
              <w:rPr>
                <w:rFonts w:asciiTheme="majorHAnsi" w:hAnsiTheme="majorHAnsi" w:cstheme="majorHAnsi"/>
                <w:b/>
                <w:bCs/>
                <w:sz w:val="16"/>
                <w:szCs w:val="16"/>
              </w:rPr>
              <w:t xml:space="preserve"> 5,656,846 </w:t>
            </w:r>
          </w:p>
        </w:tc>
        <w:tc>
          <w:tcPr>
            <w:tcW w:w="978" w:type="dxa"/>
            <w:shd w:val="clear" w:color="auto" w:fill="BFBFBF" w:themeFill="background1" w:themeFillShade="BF"/>
            <w:noWrap/>
            <w:hideMark/>
          </w:tcPr>
          <w:p w:rsidR="008767E4" w:rsidRPr="008767E4" w:rsidRDefault="008767E4" w:rsidP="008767E4">
            <w:pPr>
              <w:spacing w:line="276" w:lineRule="auto"/>
              <w:jc w:val="right"/>
              <w:rPr>
                <w:rFonts w:asciiTheme="majorHAnsi" w:hAnsiTheme="majorHAnsi" w:cstheme="majorHAnsi"/>
                <w:b/>
                <w:bCs/>
                <w:sz w:val="16"/>
                <w:szCs w:val="16"/>
              </w:rPr>
            </w:pPr>
            <w:r w:rsidRPr="008767E4">
              <w:rPr>
                <w:rFonts w:asciiTheme="majorHAnsi" w:hAnsiTheme="majorHAnsi" w:cstheme="majorHAnsi"/>
                <w:b/>
                <w:bCs/>
                <w:sz w:val="16"/>
                <w:szCs w:val="16"/>
              </w:rPr>
              <w:t xml:space="preserve"> 4,873,470 </w:t>
            </w:r>
          </w:p>
        </w:tc>
        <w:tc>
          <w:tcPr>
            <w:tcW w:w="960" w:type="dxa"/>
            <w:shd w:val="clear" w:color="auto" w:fill="BFBFBF" w:themeFill="background1" w:themeFillShade="BF"/>
            <w:noWrap/>
            <w:hideMark/>
          </w:tcPr>
          <w:p w:rsidR="008767E4" w:rsidRPr="008767E4" w:rsidRDefault="008767E4" w:rsidP="008767E4">
            <w:pPr>
              <w:spacing w:line="276" w:lineRule="auto"/>
              <w:jc w:val="right"/>
              <w:rPr>
                <w:rFonts w:asciiTheme="majorHAnsi" w:hAnsiTheme="majorHAnsi" w:cstheme="majorHAnsi"/>
                <w:b/>
                <w:bCs/>
                <w:sz w:val="16"/>
                <w:szCs w:val="16"/>
              </w:rPr>
            </w:pPr>
            <w:r w:rsidRPr="008767E4">
              <w:rPr>
                <w:rFonts w:asciiTheme="majorHAnsi" w:hAnsiTheme="majorHAnsi" w:cstheme="majorHAnsi"/>
                <w:b/>
                <w:bCs/>
                <w:sz w:val="16"/>
                <w:szCs w:val="16"/>
              </w:rPr>
              <w:t xml:space="preserve"> 2,991,932 </w:t>
            </w:r>
          </w:p>
        </w:tc>
        <w:tc>
          <w:tcPr>
            <w:tcW w:w="793" w:type="dxa"/>
            <w:shd w:val="clear" w:color="auto" w:fill="BFBFBF" w:themeFill="background1" w:themeFillShade="BF"/>
            <w:noWrap/>
            <w:hideMark/>
          </w:tcPr>
          <w:p w:rsidR="008767E4" w:rsidRPr="008767E4" w:rsidRDefault="008767E4" w:rsidP="008767E4">
            <w:pPr>
              <w:spacing w:line="276" w:lineRule="auto"/>
              <w:jc w:val="right"/>
              <w:rPr>
                <w:rFonts w:asciiTheme="majorHAnsi" w:hAnsiTheme="majorHAnsi" w:cstheme="majorHAnsi"/>
                <w:b/>
                <w:bCs/>
                <w:sz w:val="16"/>
                <w:szCs w:val="16"/>
              </w:rPr>
            </w:pPr>
            <w:r w:rsidRPr="008767E4">
              <w:rPr>
                <w:rFonts w:asciiTheme="majorHAnsi" w:hAnsiTheme="majorHAnsi" w:cstheme="majorHAnsi"/>
                <w:b/>
                <w:bCs/>
                <w:sz w:val="16"/>
                <w:szCs w:val="16"/>
              </w:rPr>
              <w:t xml:space="preserve"> 139,239 </w:t>
            </w:r>
          </w:p>
        </w:tc>
        <w:tc>
          <w:tcPr>
            <w:tcW w:w="988" w:type="dxa"/>
            <w:shd w:val="clear" w:color="auto" w:fill="BFBFBF" w:themeFill="background1" w:themeFillShade="BF"/>
            <w:noWrap/>
            <w:hideMark/>
          </w:tcPr>
          <w:p w:rsidR="008767E4" w:rsidRPr="008767E4" w:rsidRDefault="008767E4" w:rsidP="008767E4">
            <w:pPr>
              <w:spacing w:line="276" w:lineRule="auto"/>
              <w:rPr>
                <w:rFonts w:asciiTheme="majorHAnsi" w:hAnsiTheme="majorHAnsi" w:cstheme="majorHAnsi"/>
                <w:b/>
                <w:bCs/>
                <w:sz w:val="16"/>
                <w:szCs w:val="16"/>
              </w:rPr>
            </w:pPr>
            <w:r w:rsidRPr="008767E4">
              <w:rPr>
                <w:rFonts w:asciiTheme="majorHAnsi" w:hAnsiTheme="majorHAnsi" w:cstheme="majorHAnsi"/>
                <w:b/>
                <w:bCs/>
                <w:sz w:val="16"/>
                <w:szCs w:val="16"/>
              </w:rPr>
              <w:t> </w:t>
            </w:r>
          </w:p>
        </w:tc>
        <w:tc>
          <w:tcPr>
            <w:tcW w:w="783" w:type="dxa"/>
            <w:shd w:val="clear" w:color="auto" w:fill="BFBFBF" w:themeFill="background1" w:themeFillShade="BF"/>
            <w:noWrap/>
            <w:hideMark/>
          </w:tcPr>
          <w:p w:rsidR="008767E4" w:rsidRPr="008767E4" w:rsidRDefault="008767E4" w:rsidP="008767E4">
            <w:pPr>
              <w:spacing w:line="276" w:lineRule="auto"/>
              <w:rPr>
                <w:rFonts w:asciiTheme="majorHAnsi" w:hAnsiTheme="majorHAnsi" w:cstheme="majorHAnsi"/>
                <w:b/>
                <w:bCs/>
                <w:sz w:val="16"/>
                <w:szCs w:val="16"/>
              </w:rPr>
            </w:pPr>
            <w:r w:rsidRPr="008767E4">
              <w:rPr>
                <w:rFonts w:asciiTheme="majorHAnsi" w:hAnsiTheme="majorHAnsi" w:cstheme="majorHAnsi"/>
                <w:b/>
                <w:bCs/>
                <w:sz w:val="16"/>
                <w:szCs w:val="16"/>
              </w:rPr>
              <w:t> </w:t>
            </w:r>
          </w:p>
        </w:tc>
        <w:tc>
          <w:tcPr>
            <w:tcW w:w="1538" w:type="dxa"/>
            <w:shd w:val="clear" w:color="auto" w:fill="BFBFBF" w:themeFill="background1" w:themeFillShade="BF"/>
            <w:noWrap/>
            <w:hideMark/>
          </w:tcPr>
          <w:p w:rsidR="008767E4" w:rsidRPr="008767E4" w:rsidRDefault="008767E4" w:rsidP="008767E4">
            <w:pPr>
              <w:spacing w:line="276" w:lineRule="auto"/>
              <w:rPr>
                <w:rFonts w:asciiTheme="majorHAnsi" w:hAnsiTheme="majorHAnsi" w:cstheme="majorHAnsi"/>
                <w:b/>
                <w:bCs/>
                <w:sz w:val="16"/>
                <w:szCs w:val="16"/>
              </w:rPr>
            </w:pPr>
            <w:r w:rsidRPr="008767E4">
              <w:rPr>
                <w:rFonts w:asciiTheme="majorHAnsi" w:hAnsiTheme="majorHAnsi" w:cstheme="majorHAnsi"/>
                <w:b/>
                <w:bCs/>
                <w:sz w:val="16"/>
                <w:szCs w:val="16"/>
              </w:rPr>
              <w:t> </w:t>
            </w:r>
          </w:p>
        </w:tc>
        <w:tc>
          <w:tcPr>
            <w:tcW w:w="1071" w:type="dxa"/>
            <w:shd w:val="clear" w:color="auto" w:fill="BFBFBF" w:themeFill="background1" w:themeFillShade="BF"/>
            <w:noWrap/>
            <w:hideMark/>
          </w:tcPr>
          <w:p w:rsidR="008767E4" w:rsidRPr="008767E4" w:rsidRDefault="008767E4" w:rsidP="008767E4">
            <w:pPr>
              <w:spacing w:line="276" w:lineRule="auto"/>
              <w:jc w:val="right"/>
              <w:rPr>
                <w:rFonts w:asciiTheme="majorHAnsi" w:hAnsiTheme="majorHAnsi" w:cstheme="majorHAnsi"/>
                <w:b/>
                <w:bCs/>
                <w:sz w:val="16"/>
                <w:szCs w:val="16"/>
              </w:rPr>
            </w:pPr>
            <w:r w:rsidRPr="008767E4">
              <w:rPr>
                <w:rFonts w:asciiTheme="majorHAnsi" w:hAnsiTheme="majorHAnsi" w:cstheme="majorHAnsi"/>
                <w:b/>
                <w:bCs/>
                <w:sz w:val="16"/>
                <w:szCs w:val="16"/>
              </w:rPr>
              <w:t xml:space="preserve">19,087,936 </w:t>
            </w:r>
          </w:p>
        </w:tc>
      </w:tr>
    </w:tbl>
    <w:p w:rsidR="008767E4" w:rsidRDefault="00DE66BC" w:rsidP="00DE66BC">
      <w:pPr>
        <w:tabs>
          <w:tab w:val="left" w:pos="1770"/>
        </w:tabs>
        <w:spacing w:line="276" w:lineRule="auto"/>
      </w:pPr>
      <w:r>
        <w:tab/>
      </w:r>
    </w:p>
    <w:p w:rsidR="00DE66BC" w:rsidRPr="00DE66BC" w:rsidRDefault="00DE66BC" w:rsidP="00DE66BC">
      <w:pPr>
        <w:tabs>
          <w:tab w:val="left" w:pos="1770"/>
        </w:tabs>
        <w:sectPr w:rsidR="00DE66BC" w:rsidRPr="00DE66BC" w:rsidSect="00561C15">
          <w:pgSz w:w="16838" w:h="11906" w:orient="landscape" w:code="9"/>
          <w:pgMar w:top="1152" w:right="864" w:bottom="993" w:left="864" w:header="720" w:footer="432" w:gutter="0"/>
          <w:cols w:space="708"/>
          <w:titlePg/>
          <w:docGrid w:linePitch="360"/>
        </w:sectPr>
      </w:pPr>
      <w:r>
        <w:tab/>
      </w:r>
    </w:p>
    <w:p w:rsidR="00E50BD8" w:rsidRPr="00135431" w:rsidRDefault="002F14AB" w:rsidP="009D6B25">
      <w:pPr>
        <w:pStyle w:val="Heading1"/>
        <w:numPr>
          <w:ilvl w:val="0"/>
          <w:numId w:val="8"/>
        </w:numPr>
        <w:jc w:val="left"/>
      </w:pPr>
      <w:bookmarkStart w:id="82" w:name="_Toc22745680"/>
      <w:bookmarkStart w:id="83" w:name="_Toc25739973"/>
      <w:bookmarkStart w:id="84" w:name="_Toc25740082"/>
      <w:r w:rsidRPr="00135431">
        <w:t>Governance and Management Arrangements</w:t>
      </w:r>
      <w:bookmarkEnd w:id="82"/>
      <w:bookmarkEnd w:id="83"/>
      <w:bookmarkEnd w:id="84"/>
    </w:p>
    <w:p w:rsidR="00AD17EF" w:rsidRDefault="00AD17EF" w:rsidP="00AD17EF">
      <w:pPr>
        <w:jc w:val="both"/>
        <w:rPr>
          <w:rFonts w:cs="Arial"/>
        </w:rPr>
      </w:pPr>
      <w:bookmarkStart w:id="85" w:name="_Toc22745682"/>
      <w:r w:rsidRPr="004F7943">
        <w:rPr>
          <w:rFonts w:cs="Arial"/>
        </w:rPr>
        <w:t xml:space="preserve">The project </w:t>
      </w:r>
      <w:r>
        <w:rPr>
          <w:rFonts w:cs="Arial"/>
        </w:rPr>
        <w:t xml:space="preserve">falls under the broader UNDP Asia-Pacific Regional Programme: </w:t>
      </w:r>
      <w:r w:rsidR="00B00697">
        <w:rPr>
          <w:rFonts w:cs="Arial"/>
        </w:rPr>
        <w:t>s</w:t>
      </w:r>
      <w:r w:rsidR="00B00697" w:rsidRPr="00B00697">
        <w:rPr>
          <w:rFonts w:cs="Arial"/>
        </w:rPr>
        <w:t xml:space="preserve">olutions developed financed and applied at scale to reduce disaster risks and promote climate change adaptation </w:t>
      </w:r>
      <w:r w:rsidR="00B00697">
        <w:rPr>
          <w:rFonts w:cs="Arial"/>
        </w:rPr>
        <w:t>(</w:t>
      </w:r>
      <w:r w:rsidR="00B00697" w:rsidRPr="00B00697">
        <w:rPr>
          <w:rFonts w:cs="Arial"/>
        </w:rPr>
        <w:t>Output 2.4)</w:t>
      </w:r>
      <w:r w:rsidR="00B00697">
        <w:rPr>
          <w:rFonts w:cs="Arial"/>
        </w:rPr>
        <w:t>, as well as the UNDP Sub-Regional Programme Document (SRPD) for the Pacific: e</w:t>
      </w:r>
      <w:r w:rsidR="00B00697" w:rsidRPr="00B00697">
        <w:rPr>
          <w:rFonts w:cs="Arial"/>
        </w:rPr>
        <w:t>ffective risk-informed development plans disaster preparedness and recovery mechanisms in place at the national sector and subnational levels</w:t>
      </w:r>
      <w:r w:rsidR="00B00697">
        <w:rPr>
          <w:rFonts w:cs="Arial"/>
        </w:rPr>
        <w:t xml:space="preserve"> (</w:t>
      </w:r>
      <w:r w:rsidR="00B00697" w:rsidRPr="00B00697">
        <w:rPr>
          <w:rFonts w:cs="Arial"/>
        </w:rPr>
        <w:t>Output 1.2</w:t>
      </w:r>
      <w:r w:rsidR="00B00697">
        <w:rPr>
          <w:rFonts w:cs="Arial"/>
        </w:rPr>
        <w:t xml:space="preserve">). </w:t>
      </w:r>
      <w:r>
        <w:rPr>
          <w:rFonts w:cs="Arial"/>
        </w:rPr>
        <w:t xml:space="preserve">UNDP will execute this regional project through Direct Implementation Modality. While the project falls under the broader Asia-Pacific regional programme, the project board, consisting of project donors, beneficiary Pacific representatives and UNDP Pacific Office will </w:t>
      </w:r>
      <w:r w:rsidR="00762F69">
        <w:rPr>
          <w:rFonts w:cs="Arial"/>
        </w:rPr>
        <w:t xml:space="preserve">assess </w:t>
      </w:r>
      <w:r>
        <w:rPr>
          <w:rFonts w:cs="Arial"/>
        </w:rPr>
        <w:t xml:space="preserve">the performance of the project and review the multi-year workplans to ensure progress of implementation. </w:t>
      </w:r>
    </w:p>
    <w:p w:rsidR="00325CE9" w:rsidRDefault="00325CE9" w:rsidP="005A338D">
      <w:pPr>
        <w:pStyle w:val="Caption"/>
        <w:rPr>
          <w:rFonts w:cs="Arial"/>
        </w:rPr>
      </w:pPr>
      <w:bookmarkStart w:id="86" w:name="_Ref24642002"/>
      <w:r>
        <w:t xml:space="preserve">Figure </w:t>
      </w:r>
      <w:fldSimple w:instr=" SEQ Figure \* ARABIC ">
        <w:r w:rsidR="004F5751">
          <w:rPr>
            <w:noProof/>
          </w:rPr>
          <w:t>4</w:t>
        </w:r>
      </w:fldSimple>
      <w:bookmarkEnd w:id="86"/>
      <w:r>
        <w:t xml:space="preserve"> </w:t>
      </w:r>
      <w:r w:rsidRPr="004F7943">
        <w:rPr>
          <w:rFonts w:cs="Arial"/>
        </w:rPr>
        <w:t>Project management structure</w:t>
      </w:r>
      <w:r>
        <w:rPr>
          <w:rFonts w:cs="Arial"/>
        </w:rPr>
        <w:t xml:space="preserve"> </w:t>
      </w:r>
      <w:r w:rsidR="001B7BFD">
        <w:rPr>
          <w:rFonts w:cs="Arial"/>
        </w:rPr>
        <w:t xml:space="preserve">with </w:t>
      </w:r>
      <w:r w:rsidRPr="00910FF4">
        <w:t>Project Board</w:t>
      </w:r>
    </w:p>
    <w:p w:rsidR="00AD17EF" w:rsidRDefault="003560FF" w:rsidP="00AD17EF">
      <w:pPr>
        <w:jc w:val="center"/>
        <w:rPr>
          <w:rFonts w:cs="Arial"/>
        </w:rPr>
      </w:pPr>
      <w:r>
        <w:rPr>
          <w:rFonts w:cs="Arial"/>
          <w:noProof/>
        </w:rPr>
        <w:drawing>
          <wp:inline distT="0" distB="0" distL="0" distR="0" wp14:anchorId="11775C7E" wp14:editId="0501D2DC">
            <wp:extent cx="4206684" cy="4935984"/>
            <wp:effectExtent l="0" t="0" r="0" b="444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m and Board.png"/>
                    <pic:cNvPicPr/>
                  </pic:nvPicPr>
                  <pic:blipFill>
                    <a:blip r:embed="rId23">
                      <a:extLst>
                        <a:ext uri="{28A0092B-C50C-407E-A947-70E740481C1C}">
                          <a14:useLocalDpi xmlns:a14="http://schemas.microsoft.com/office/drawing/2010/main" val="0"/>
                        </a:ext>
                      </a:extLst>
                    </a:blip>
                    <a:stretch>
                      <a:fillRect/>
                    </a:stretch>
                  </pic:blipFill>
                  <pic:spPr>
                    <a:xfrm>
                      <a:off x="0" y="0"/>
                      <a:ext cx="4208322" cy="4937906"/>
                    </a:xfrm>
                    <a:prstGeom prst="rect">
                      <a:avLst/>
                    </a:prstGeom>
                  </pic:spPr>
                </pic:pic>
              </a:graphicData>
            </a:graphic>
          </wp:inline>
        </w:drawing>
      </w:r>
    </w:p>
    <w:p w:rsidR="00AD17EF" w:rsidRPr="005A338D" w:rsidRDefault="00AD17EF" w:rsidP="005A338D">
      <w:pPr>
        <w:pStyle w:val="Heading3"/>
        <w:spacing w:before="120" w:after="0"/>
        <w:jc w:val="left"/>
      </w:pPr>
      <w:r w:rsidRPr="005A338D">
        <w:t>Project Board</w:t>
      </w:r>
    </w:p>
    <w:p w:rsidR="00AD17EF" w:rsidRPr="004F7943" w:rsidRDefault="00AD17EF" w:rsidP="005A338D">
      <w:pPr>
        <w:spacing w:before="120"/>
        <w:jc w:val="both"/>
        <w:rPr>
          <w:rFonts w:cs="Arial"/>
        </w:rPr>
      </w:pPr>
      <w:r w:rsidRPr="004F7943">
        <w:rPr>
          <w:rFonts w:cs="Arial"/>
        </w:rPr>
        <w:t>The project will receive strategic guidance from a Project Board</w:t>
      </w:r>
      <w:r w:rsidR="00762F69">
        <w:rPr>
          <w:rFonts w:cs="Arial"/>
        </w:rPr>
        <w:t>. T</w:t>
      </w:r>
      <w:r w:rsidRPr="004F7943">
        <w:rPr>
          <w:rFonts w:cs="Arial"/>
        </w:rPr>
        <w:t xml:space="preserve">he Project Board will provide oversight and </w:t>
      </w:r>
      <w:r w:rsidR="00762F69">
        <w:rPr>
          <w:rFonts w:cs="Arial"/>
        </w:rPr>
        <w:t>have</w:t>
      </w:r>
      <w:r w:rsidR="00762F69" w:rsidRPr="004F7943">
        <w:rPr>
          <w:rFonts w:cs="Arial"/>
        </w:rPr>
        <w:t xml:space="preserve"> </w:t>
      </w:r>
      <w:r w:rsidRPr="004F7943">
        <w:rPr>
          <w:rFonts w:cs="Arial"/>
        </w:rPr>
        <w:t xml:space="preserve">overall responsibility for providing high level strategic directions for the project, such as ensuring that the project is focused on achieving its stated objectives throughout its life </w:t>
      </w:r>
      <w:r w:rsidR="008251B7" w:rsidRPr="004F7943">
        <w:rPr>
          <w:rFonts w:cs="Arial"/>
        </w:rPr>
        <w:t>cycle and</w:t>
      </w:r>
      <w:r w:rsidRPr="004F7943">
        <w:rPr>
          <w:rFonts w:cs="Arial"/>
        </w:rPr>
        <w:t xml:space="preserve"> delivering quality outputs that will contribute to higher level outcomes. The Board </w:t>
      </w:r>
      <w:r w:rsidR="00762F69">
        <w:rPr>
          <w:rFonts w:cs="Arial"/>
        </w:rPr>
        <w:t xml:space="preserve">will </w:t>
      </w:r>
      <w:r w:rsidRPr="004F7943">
        <w:rPr>
          <w:rFonts w:cs="Arial"/>
        </w:rPr>
        <w:t xml:space="preserve">make management decisions for </w:t>
      </w:r>
      <w:r w:rsidR="00762F69">
        <w:rPr>
          <w:rFonts w:cs="Arial"/>
        </w:rPr>
        <w:t>the</w:t>
      </w:r>
      <w:r w:rsidRPr="004F7943">
        <w:rPr>
          <w:rFonts w:cs="Arial"/>
        </w:rPr>
        <w:t xml:space="preserve"> project when guidance is required by the Project Manager and </w:t>
      </w:r>
      <w:r w:rsidR="00762F69">
        <w:rPr>
          <w:rFonts w:cs="Arial"/>
        </w:rPr>
        <w:t>if</w:t>
      </w:r>
      <w:r w:rsidR="00762F69" w:rsidRPr="004F7943">
        <w:rPr>
          <w:rFonts w:cs="Arial"/>
        </w:rPr>
        <w:t xml:space="preserve"> </w:t>
      </w:r>
      <w:r w:rsidRPr="004F7943">
        <w:rPr>
          <w:rFonts w:cs="Arial"/>
        </w:rPr>
        <w:t xml:space="preserve">project tolerances have been exceeded. </w:t>
      </w:r>
    </w:p>
    <w:p w:rsidR="00AD17EF" w:rsidRPr="004F7943" w:rsidRDefault="00AD17EF" w:rsidP="00AD17EF">
      <w:pPr>
        <w:jc w:val="both"/>
        <w:rPr>
          <w:rFonts w:cs="Arial"/>
        </w:rPr>
      </w:pPr>
      <w:r w:rsidRPr="004F7943">
        <w:rPr>
          <w:rFonts w:cs="Arial"/>
        </w:rPr>
        <w:t xml:space="preserve">In order to ensure UNDP’s ultimate accountability for the project results, Project Board decisions will be made in accordance with standards that shall ensure management for development results, best value </w:t>
      </w:r>
      <w:r w:rsidR="00762F69">
        <w:rPr>
          <w:rFonts w:cs="Arial"/>
        </w:rPr>
        <w:t xml:space="preserve">for </w:t>
      </w:r>
      <w:r w:rsidRPr="004F7943">
        <w:rPr>
          <w:rFonts w:cs="Arial"/>
        </w:rPr>
        <w:t xml:space="preserve">money, fairness, integrity, transparency and effective international competition.  In case consensus cannot be reached </w:t>
      </w:r>
      <w:r w:rsidRPr="003E2534">
        <w:rPr>
          <w:rFonts w:cs="Arial"/>
        </w:rPr>
        <w:t xml:space="preserve">within the Board, the final decision shall rest with the UNDP.  The members of the Project Board are identified in </w:t>
      </w:r>
      <w:r w:rsidR="003E2534" w:rsidRPr="005A338D">
        <w:rPr>
          <w:rFonts w:cs="Arial"/>
        </w:rPr>
        <w:fldChar w:fldCharType="begin"/>
      </w:r>
      <w:r w:rsidR="003E2534" w:rsidRPr="005A338D">
        <w:rPr>
          <w:rFonts w:cs="Arial"/>
        </w:rPr>
        <w:instrText xml:space="preserve"> REF _Ref24642002 \h </w:instrText>
      </w:r>
      <w:r w:rsidR="003E2534">
        <w:rPr>
          <w:rFonts w:cs="Arial"/>
        </w:rPr>
        <w:instrText xml:space="preserve"> \* MERGEFORMAT </w:instrText>
      </w:r>
      <w:r w:rsidR="003E2534" w:rsidRPr="005A338D">
        <w:rPr>
          <w:rFonts w:cs="Arial"/>
        </w:rPr>
      </w:r>
      <w:r w:rsidR="003E2534" w:rsidRPr="005A338D">
        <w:rPr>
          <w:rFonts w:cs="Arial"/>
        </w:rPr>
        <w:fldChar w:fldCharType="separate"/>
      </w:r>
      <w:r w:rsidR="004F5751">
        <w:t xml:space="preserve">Figure </w:t>
      </w:r>
      <w:r w:rsidR="004F5751">
        <w:rPr>
          <w:noProof/>
        </w:rPr>
        <w:t>4</w:t>
      </w:r>
      <w:r w:rsidR="003E2534" w:rsidRPr="005A338D">
        <w:rPr>
          <w:rFonts w:cs="Arial"/>
        </w:rPr>
        <w:fldChar w:fldCharType="end"/>
      </w:r>
      <w:r w:rsidR="003E2534">
        <w:rPr>
          <w:rFonts w:cs="Arial"/>
        </w:rPr>
        <w:t xml:space="preserve"> </w:t>
      </w:r>
      <w:r w:rsidR="00451DB1" w:rsidRPr="003E2534">
        <w:rPr>
          <w:rFonts w:cs="Arial"/>
        </w:rPr>
        <w:t>above</w:t>
      </w:r>
      <w:r w:rsidRPr="005A338D">
        <w:rPr>
          <w:rFonts w:cs="Arial"/>
        </w:rPr>
        <w:t>.</w:t>
      </w:r>
    </w:p>
    <w:p w:rsidR="00AD17EF" w:rsidRPr="005A338D" w:rsidRDefault="00AD17EF" w:rsidP="009D6B25">
      <w:pPr>
        <w:numPr>
          <w:ilvl w:val="0"/>
          <w:numId w:val="2"/>
        </w:numPr>
        <w:jc w:val="both"/>
        <w:rPr>
          <w:rFonts w:cs="Arial"/>
        </w:rPr>
      </w:pPr>
      <w:r w:rsidRPr="00593A6A">
        <w:rPr>
          <w:rFonts w:cs="Arial"/>
          <w:b/>
        </w:rPr>
        <w:t>Executive:</w:t>
      </w:r>
      <w:r w:rsidRPr="003E2534">
        <w:rPr>
          <w:rFonts w:cs="Arial"/>
        </w:rPr>
        <w:t xml:space="preserve"> individual representing the proj</w:t>
      </w:r>
      <w:r w:rsidRPr="005A338D">
        <w:rPr>
          <w:rFonts w:cs="Arial"/>
        </w:rPr>
        <w:t xml:space="preserve">ect ownership to chair the group. For this project the UNDP Pacific Office will assume this role. </w:t>
      </w:r>
    </w:p>
    <w:p w:rsidR="00AD17EF" w:rsidRPr="005A338D" w:rsidRDefault="00AD17EF" w:rsidP="009D6B25">
      <w:pPr>
        <w:numPr>
          <w:ilvl w:val="0"/>
          <w:numId w:val="2"/>
        </w:numPr>
        <w:jc w:val="both"/>
        <w:rPr>
          <w:rFonts w:cs="Arial"/>
        </w:rPr>
      </w:pPr>
      <w:r w:rsidRPr="005A338D">
        <w:rPr>
          <w:rFonts w:cs="Arial"/>
          <w:b/>
        </w:rPr>
        <w:t>Development Partners/Senior Supplier</w:t>
      </w:r>
      <w:r w:rsidRPr="005A338D">
        <w:rPr>
          <w:rFonts w:cs="Arial"/>
        </w:rPr>
        <w:t>: individual or group representing the interests of the parties concerned which provide funding for specific cost sharing projects and/or technical expertise to the project. The primary function within the Board is to provide guidance regarding the technical feasibility of the project. For this the Australian Department of Foreign Affairs and Trade</w:t>
      </w:r>
      <w:r w:rsidR="008F176C" w:rsidRPr="005A338D">
        <w:rPr>
          <w:rFonts w:cs="Arial"/>
        </w:rPr>
        <w:t xml:space="preserve"> (DFAT)</w:t>
      </w:r>
      <w:r w:rsidRPr="005A338D">
        <w:rPr>
          <w:rFonts w:cs="Arial"/>
        </w:rPr>
        <w:t xml:space="preserve">, </w:t>
      </w:r>
      <w:r w:rsidR="008F176C" w:rsidRPr="005A338D">
        <w:rPr>
          <w:rFonts w:cs="Arial"/>
        </w:rPr>
        <w:t xml:space="preserve">the New Zealand Ministry of Foreign Affairs and Trade (MFAT), </w:t>
      </w:r>
      <w:r w:rsidRPr="005A338D">
        <w:rPr>
          <w:rFonts w:cs="Arial"/>
        </w:rPr>
        <w:t>Korea International Cooperation Agency</w:t>
      </w:r>
      <w:r w:rsidR="008F176C" w:rsidRPr="005A338D">
        <w:rPr>
          <w:rFonts w:cs="Arial"/>
        </w:rPr>
        <w:t xml:space="preserve"> (KOICA)</w:t>
      </w:r>
      <w:r w:rsidRPr="005A338D">
        <w:rPr>
          <w:rFonts w:cs="Arial"/>
        </w:rPr>
        <w:t xml:space="preserve"> and Swedish International Development Cooperation </w:t>
      </w:r>
      <w:r w:rsidR="00F96F8C" w:rsidRPr="005A338D">
        <w:rPr>
          <w:rFonts w:cs="Arial"/>
        </w:rPr>
        <w:t xml:space="preserve">Agency </w:t>
      </w:r>
      <w:r w:rsidR="008F176C" w:rsidRPr="005A338D">
        <w:rPr>
          <w:rFonts w:cs="Arial"/>
        </w:rPr>
        <w:t xml:space="preserve">(SIDA) </w:t>
      </w:r>
      <w:r w:rsidRPr="005A338D">
        <w:rPr>
          <w:rFonts w:cs="Arial"/>
        </w:rPr>
        <w:t>will assume this role.</w:t>
      </w:r>
    </w:p>
    <w:p w:rsidR="00AD17EF" w:rsidRPr="005A338D" w:rsidRDefault="00AD17EF" w:rsidP="009D6B25">
      <w:pPr>
        <w:numPr>
          <w:ilvl w:val="0"/>
          <w:numId w:val="2"/>
        </w:numPr>
        <w:jc w:val="both"/>
        <w:rPr>
          <w:rFonts w:cs="Arial"/>
        </w:rPr>
      </w:pPr>
      <w:r w:rsidRPr="005A338D">
        <w:rPr>
          <w:rFonts w:cs="Arial"/>
          <w:b/>
        </w:rPr>
        <w:t>Beneficiary Representative</w:t>
      </w:r>
      <w:r w:rsidRPr="005A338D">
        <w:rPr>
          <w:rFonts w:cs="Arial"/>
        </w:rPr>
        <w:t>: individual or group of individuals representing the interests of those who will ultimately benefit from the project. The primary function within the Board is to ensure the realisation of project results from the perspective of project beneficiaries. Nominated representatives of the beneficiary countries will serve on the Project Board in this capacity.</w:t>
      </w:r>
    </w:p>
    <w:p w:rsidR="00AD17EF" w:rsidRPr="005A338D" w:rsidRDefault="00AD17EF" w:rsidP="009D6B25">
      <w:pPr>
        <w:numPr>
          <w:ilvl w:val="0"/>
          <w:numId w:val="2"/>
        </w:numPr>
        <w:jc w:val="both"/>
        <w:rPr>
          <w:rFonts w:cs="Arial"/>
        </w:rPr>
      </w:pPr>
      <w:r w:rsidRPr="005A338D">
        <w:rPr>
          <w:rFonts w:cs="Arial"/>
          <w:b/>
        </w:rPr>
        <w:t>Project Assurance</w:t>
      </w:r>
      <w:r w:rsidRPr="005A338D">
        <w:rPr>
          <w:rFonts w:cs="Arial"/>
        </w:rPr>
        <w:t>: This role is the responsibility of each Project Board member; however, the role can be delegated. The project assurance role performs objective and independent project oversight and monitoring functions, independent of the Project Manager, ensuring appropriate project management milestones are managed and completed. UNDP Pacific Office or designate, will provide quality assurance oversight. UNDP Regional Hub may be requested to provide technical, policy advisory or operational support.  A Monitoring</w:t>
      </w:r>
      <w:r w:rsidR="0074365A">
        <w:rPr>
          <w:rFonts w:cs="Arial"/>
        </w:rPr>
        <w:t>, Reporting and Learning</w:t>
      </w:r>
      <w:r w:rsidRPr="005A338D">
        <w:rPr>
          <w:rFonts w:cs="Arial"/>
        </w:rPr>
        <w:t xml:space="preserve"> </w:t>
      </w:r>
      <w:r w:rsidR="00900EC3">
        <w:rPr>
          <w:rFonts w:cs="Arial"/>
        </w:rPr>
        <w:t>O</w:t>
      </w:r>
      <w:r w:rsidRPr="005A338D">
        <w:rPr>
          <w:rFonts w:cs="Arial"/>
        </w:rPr>
        <w:t xml:space="preserve">fficer will be recruited under the project to provide day to day monitoring of project activities and quality assurance sitting under the auspices of the IRMU Unit. </w:t>
      </w:r>
    </w:p>
    <w:p w:rsidR="00AD17EF" w:rsidRPr="005A338D" w:rsidRDefault="00253797" w:rsidP="005A338D">
      <w:pPr>
        <w:pStyle w:val="Heading3"/>
        <w:spacing w:before="120" w:after="0"/>
        <w:jc w:val="left"/>
      </w:pPr>
      <w:bookmarkStart w:id="87" w:name="_Toc22283325"/>
      <w:r>
        <w:t>project</w:t>
      </w:r>
      <w:r w:rsidR="002B60B1" w:rsidRPr="005A338D">
        <w:t xml:space="preserve"> </w:t>
      </w:r>
      <w:r w:rsidR="00740A30" w:rsidRPr="005A338D">
        <w:t>Implementation</w:t>
      </w:r>
      <w:r w:rsidR="00AD17EF" w:rsidRPr="005A338D">
        <w:t xml:space="preserve"> Team</w:t>
      </w:r>
      <w:bookmarkEnd w:id="87"/>
    </w:p>
    <w:p w:rsidR="002B60B1" w:rsidRPr="005A338D" w:rsidRDefault="00253797" w:rsidP="002B60B1">
      <w:pPr>
        <w:spacing w:before="120"/>
        <w:jc w:val="both"/>
        <w:rPr>
          <w:rFonts w:cs="Arial"/>
          <w:b/>
          <w:bCs/>
        </w:rPr>
      </w:pPr>
      <w:r>
        <w:rPr>
          <w:rFonts w:cs="Arial"/>
          <w:b/>
          <w:bCs/>
        </w:rPr>
        <w:t>Project</w:t>
      </w:r>
      <w:r w:rsidR="002B60B1" w:rsidRPr="005A338D">
        <w:rPr>
          <w:rFonts w:cs="Arial"/>
          <w:b/>
          <w:bCs/>
        </w:rPr>
        <w:t xml:space="preserve"> Management</w:t>
      </w:r>
    </w:p>
    <w:p w:rsidR="002B60B1" w:rsidRPr="00593A6A" w:rsidRDefault="002B60B1" w:rsidP="005A338D">
      <w:pPr>
        <w:spacing w:before="120"/>
        <w:jc w:val="both"/>
        <w:rPr>
          <w:rFonts w:cs="Arial"/>
        </w:rPr>
      </w:pPr>
      <w:r w:rsidRPr="002B60B1">
        <w:rPr>
          <w:rFonts w:cs="Arial"/>
        </w:rPr>
        <w:t xml:space="preserve">The </w:t>
      </w:r>
      <w:r w:rsidR="00253797">
        <w:rPr>
          <w:rFonts w:cs="Arial"/>
        </w:rPr>
        <w:t>project</w:t>
      </w:r>
      <w:r w:rsidRPr="002B60B1">
        <w:rPr>
          <w:rFonts w:cs="Arial"/>
        </w:rPr>
        <w:t xml:space="preserve"> will be managed by a team based at the UNDP Pacific Office in Fiji, which will be responsible and accountable for day-to-day management of project interventions, achieving project outputs, and for the effective use of resources. Specific functions within the project management team include: </w:t>
      </w:r>
      <w:r w:rsidR="00253797">
        <w:rPr>
          <w:rFonts w:cs="Arial"/>
        </w:rPr>
        <w:t>project</w:t>
      </w:r>
      <w:r w:rsidRPr="002B60B1">
        <w:rPr>
          <w:rFonts w:cs="Arial"/>
        </w:rPr>
        <w:t xml:space="preserve"> management of workplans, contracts, human resources, partnership and quality assurance; monitoring and </w:t>
      </w:r>
      <w:r w:rsidR="00DE0A18">
        <w:rPr>
          <w:rFonts w:cs="Arial"/>
        </w:rPr>
        <w:t>reporting</w:t>
      </w:r>
      <w:r w:rsidRPr="002B60B1">
        <w:rPr>
          <w:rFonts w:cs="Arial"/>
        </w:rPr>
        <w:t xml:space="preserve"> as well as facilitating learning; reporting to UNDP, donor and government partners; partnership management; knowledge management; communications; operations and financial management. Specific posts </w:t>
      </w:r>
      <w:r w:rsidRPr="00593A6A">
        <w:rPr>
          <w:rFonts w:cs="Arial"/>
        </w:rPr>
        <w:t>that have and will be recruited as follows:</w:t>
      </w:r>
    </w:p>
    <w:p w:rsidR="002B60B1" w:rsidRPr="005A338D" w:rsidRDefault="00253797" w:rsidP="009D6B25">
      <w:pPr>
        <w:numPr>
          <w:ilvl w:val="0"/>
          <w:numId w:val="2"/>
        </w:numPr>
        <w:jc w:val="both"/>
        <w:rPr>
          <w:rFonts w:cs="Arial"/>
          <w:bCs/>
        </w:rPr>
      </w:pPr>
      <w:r>
        <w:rPr>
          <w:rFonts w:cs="Arial"/>
          <w:bCs/>
        </w:rPr>
        <w:t>Project</w:t>
      </w:r>
      <w:r w:rsidR="002B60B1" w:rsidRPr="005A338D">
        <w:rPr>
          <w:rFonts w:cs="Arial"/>
          <w:bCs/>
        </w:rPr>
        <w:t xml:space="preserve"> Manager</w:t>
      </w:r>
    </w:p>
    <w:p w:rsidR="002B60B1" w:rsidRPr="005A338D" w:rsidRDefault="002B60B1" w:rsidP="009D6B25">
      <w:pPr>
        <w:numPr>
          <w:ilvl w:val="0"/>
          <w:numId w:val="2"/>
        </w:numPr>
        <w:jc w:val="both"/>
        <w:rPr>
          <w:rFonts w:cs="Arial"/>
          <w:bCs/>
        </w:rPr>
      </w:pPr>
      <w:r w:rsidRPr="005A338D">
        <w:rPr>
          <w:rFonts w:cs="Arial"/>
          <w:bCs/>
        </w:rPr>
        <w:t xml:space="preserve">Deputy </w:t>
      </w:r>
      <w:r w:rsidR="00253797">
        <w:rPr>
          <w:rFonts w:cs="Arial"/>
          <w:bCs/>
        </w:rPr>
        <w:t>Project</w:t>
      </w:r>
      <w:r w:rsidRPr="005A338D">
        <w:rPr>
          <w:rFonts w:cs="Arial"/>
          <w:bCs/>
        </w:rPr>
        <w:t xml:space="preserve"> Manager</w:t>
      </w:r>
    </w:p>
    <w:p w:rsidR="002B60B1" w:rsidRPr="005A338D" w:rsidRDefault="002B60B1" w:rsidP="009D6B25">
      <w:pPr>
        <w:numPr>
          <w:ilvl w:val="0"/>
          <w:numId w:val="2"/>
        </w:numPr>
        <w:jc w:val="both"/>
        <w:rPr>
          <w:rFonts w:cs="Arial"/>
          <w:bCs/>
        </w:rPr>
      </w:pPr>
      <w:r w:rsidRPr="005A338D">
        <w:rPr>
          <w:rFonts w:cs="Arial"/>
          <w:bCs/>
        </w:rPr>
        <w:t>Partnership Liaison Specialist</w:t>
      </w:r>
    </w:p>
    <w:p w:rsidR="002B60B1" w:rsidRPr="005A338D" w:rsidRDefault="002B60B1" w:rsidP="009D6B25">
      <w:pPr>
        <w:numPr>
          <w:ilvl w:val="0"/>
          <w:numId w:val="2"/>
        </w:numPr>
        <w:jc w:val="both"/>
        <w:rPr>
          <w:rFonts w:cs="Arial"/>
          <w:bCs/>
        </w:rPr>
      </w:pPr>
      <w:r w:rsidRPr="005A338D">
        <w:rPr>
          <w:rFonts w:cs="Arial"/>
          <w:bCs/>
        </w:rPr>
        <w:t>Monitoring</w:t>
      </w:r>
      <w:r w:rsidR="00E07D69">
        <w:rPr>
          <w:rFonts w:cs="Arial"/>
          <w:bCs/>
        </w:rPr>
        <w:t xml:space="preserve">, Reporting </w:t>
      </w:r>
      <w:r w:rsidRPr="005A338D">
        <w:rPr>
          <w:rFonts w:cs="Arial"/>
          <w:bCs/>
        </w:rPr>
        <w:t>and Learning Officer</w:t>
      </w:r>
    </w:p>
    <w:p w:rsidR="002B60B1" w:rsidRPr="005A338D" w:rsidRDefault="002B60B1" w:rsidP="009D6B25">
      <w:pPr>
        <w:numPr>
          <w:ilvl w:val="0"/>
          <w:numId w:val="2"/>
        </w:numPr>
        <w:jc w:val="both"/>
        <w:rPr>
          <w:rFonts w:cs="Arial"/>
          <w:bCs/>
        </w:rPr>
      </w:pPr>
      <w:r w:rsidRPr="005A338D">
        <w:rPr>
          <w:rFonts w:cs="Arial"/>
          <w:bCs/>
        </w:rPr>
        <w:t>Communications Specialist</w:t>
      </w:r>
    </w:p>
    <w:p w:rsidR="002B60B1" w:rsidRPr="005A338D" w:rsidRDefault="002B60B1" w:rsidP="009D6B25">
      <w:pPr>
        <w:numPr>
          <w:ilvl w:val="0"/>
          <w:numId w:val="2"/>
        </w:numPr>
        <w:jc w:val="both"/>
        <w:rPr>
          <w:rFonts w:cs="Arial"/>
          <w:bCs/>
        </w:rPr>
      </w:pPr>
      <w:r w:rsidRPr="005A338D">
        <w:rPr>
          <w:rFonts w:cs="Arial"/>
          <w:bCs/>
        </w:rPr>
        <w:t>Finance Officer</w:t>
      </w:r>
    </w:p>
    <w:p w:rsidR="002B60B1" w:rsidRPr="005A338D" w:rsidRDefault="00253797" w:rsidP="009D6B25">
      <w:pPr>
        <w:numPr>
          <w:ilvl w:val="0"/>
          <w:numId w:val="2"/>
        </w:numPr>
        <w:jc w:val="both"/>
        <w:rPr>
          <w:rFonts w:cs="Arial"/>
          <w:bCs/>
        </w:rPr>
      </w:pPr>
      <w:r>
        <w:rPr>
          <w:rFonts w:cs="Arial"/>
          <w:bCs/>
        </w:rPr>
        <w:t>Project</w:t>
      </w:r>
      <w:r w:rsidR="002B60B1" w:rsidRPr="005A338D">
        <w:rPr>
          <w:rFonts w:cs="Arial"/>
          <w:bCs/>
        </w:rPr>
        <w:t xml:space="preserve"> Associate.</w:t>
      </w:r>
    </w:p>
    <w:p w:rsidR="002B60B1" w:rsidRPr="005A338D" w:rsidRDefault="002B60B1" w:rsidP="002B60B1">
      <w:pPr>
        <w:spacing w:after="240"/>
        <w:jc w:val="both"/>
        <w:rPr>
          <w:rFonts w:asciiTheme="majorHAnsi" w:hAnsiTheme="majorHAnsi" w:cstheme="majorHAnsi"/>
          <w:b/>
          <w:bCs/>
          <w:color w:val="000000"/>
        </w:rPr>
      </w:pPr>
      <w:r w:rsidRPr="005A338D">
        <w:rPr>
          <w:rFonts w:asciiTheme="majorHAnsi" w:hAnsiTheme="majorHAnsi" w:cstheme="majorHAnsi"/>
          <w:b/>
          <w:bCs/>
          <w:color w:val="000000"/>
        </w:rPr>
        <w:t xml:space="preserve">Technical </w:t>
      </w:r>
      <w:r w:rsidR="00BF706B">
        <w:rPr>
          <w:rFonts w:asciiTheme="majorHAnsi" w:hAnsiTheme="majorHAnsi" w:cstheme="majorHAnsi"/>
          <w:b/>
          <w:bCs/>
          <w:color w:val="000000"/>
        </w:rPr>
        <w:t>Specialists</w:t>
      </w:r>
      <w:r w:rsidRPr="005A338D">
        <w:rPr>
          <w:rFonts w:asciiTheme="majorHAnsi" w:hAnsiTheme="majorHAnsi" w:cstheme="majorHAnsi"/>
          <w:b/>
          <w:bCs/>
          <w:color w:val="000000"/>
        </w:rPr>
        <w:t xml:space="preserve"> </w:t>
      </w:r>
    </w:p>
    <w:p w:rsidR="002B60B1" w:rsidRPr="002B60B1" w:rsidRDefault="002B60B1" w:rsidP="005A338D">
      <w:pPr>
        <w:spacing w:after="240"/>
        <w:jc w:val="both"/>
        <w:rPr>
          <w:rFonts w:ascii="Calibri" w:hAnsi="Calibri"/>
          <w:color w:val="000000"/>
        </w:rPr>
      </w:pPr>
      <w:r w:rsidRPr="005A338D">
        <w:rPr>
          <w:rFonts w:asciiTheme="majorHAnsi" w:hAnsiTheme="majorHAnsi" w:cstheme="majorHAnsi"/>
          <w:color w:val="000000"/>
        </w:rPr>
        <w:t>T</w:t>
      </w:r>
      <w:r w:rsidRPr="005A338D">
        <w:rPr>
          <w:rFonts w:asciiTheme="majorHAnsi" w:hAnsiTheme="majorHAnsi" w:cstheme="majorHAnsi"/>
        </w:rPr>
        <w:t>he Suva based team will also consist of a series of technical advisers on a Full-Time Equivalent (</w:t>
      </w:r>
      <w:r w:rsidRPr="005A338D">
        <w:rPr>
          <w:rFonts w:asciiTheme="majorHAnsi" w:hAnsiTheme="majorHAnsi" w:cstheme="majorHAnsi"/>
          <w:color w:val="000000"/>
        </w:rPr>
        <w:t>FTE</w:t>
      </w:r>
      <w:r w:rsidRPr="005A338D">
        <w:rPr>
          <w:rFonts w:asciiTheme="majorHAnsi" w:hAnsiTheme="majorHAnsi" w:cstheme="majorHAnsi"/>
        </w:rPr>
        <w:t xml:space="preserve">) basis. These are based on areas which are deemed to be of high relevance in achieving the </w:t>
      </w:r>
      <w:r w:rsidR="00253797">
        <w:rPr>
          <w:rFonts w:asciiTheme="majorHAnsi" w:hAnsiTheme="majorHAnsi" w:cstheme="majorHAnsi"/>
        </w:rPr>
        <w:t>project</w:t>
      </w:r>
      <w:r w:rsidRPr="005A338D">
        <w:rPr>
          <w:rFonts w:asciiTheme="majorHAnsi" w:hAnsiTheme="majorHAnsi" w:cstheme="majorHAnsi"/>
        </w:rPr>
        <w:t xml:space="preserve"> objectives, outputs and outcomes and will include the following: Climate Change Adaptation (CCA) and Disaster Risk Management (DRM); Community Development; Gender </w:t>
      </w:r>
      <w:r w:rsidR="005F6557">
        <w:rPr>
          <w:rFonts w:asciiTheme="majorHAnsi" w:hAnsiTheme="majorHAnsi" w:cstheme="majorHAnsi"/>
        </w:rPr>
        <w:t>and Social Inclusion</w:t>
      </w:r>
      <w:r w:rsidRPr="005A338D">
        <w:rPr>
          <w:rFonts w:asciiTheme="majorHAnsi" w:hAnsiTheme="majorHAnsi" w:cstheme="majorHAnsi"/>
        </w:rPr>
        <w:t>; Oversight, accountability and parliamentarians; and Public Financial Management, budgeting and financing particularly focusing on internal domestic budgeting systems but also leveraging other financing instruments and sources.</w:t>
      </w:r>
    </w:p>
    <w:p w:rsidR="002B60B1" w:rsidRPr="005A338D" w:rsidRDefault="002B60B1" w:rsidP="005A338D">
      <w:pPr>
        <w:spacing w:after="240"/>
        <w:jc w:val="both"/>
        <w:rPr>
          <w:rFonts w:asciiTheme="majorHAnsi" w:hAnsiTheme="majorHAnsi" w:cstheme="majorHAnsi"/>
          <w:b/>
          <w:bCs/>
          <w:color w:val="000000"/>
        </w:rPr>
      </w:pPr>
      <w:r w:rsidRPr="005A338D">
        <w:rPr>
          <w:rFonts w:asciiTheme="majorHAnsi" w:hAnsiTheme="majorHAnsi" w:cstheme="majorHAnsi"/>
          <w:b/>
          <w:bCs/>
          <w:color w:val="000000"/>
        </w:rPr>
        <w:t xml:space="preserve">Bank of Short-term </w:t>
      </w:r>
      <w:r w:rsidR="00BF706B">
        <w:rPr>
          <w:rFonts w:asciiTheme="majorHAnsi" w:hAnsiTheme="majorHAnsi" w:cstheme="majorHAnsi"/>
          <w:b/>
          <w:bCs/>
          <w:color w:val="000000"/>
        </w:rPr>
        <w:t>Advisers</w:t>
      </w:r>
    </w:p>
    <w:p w:rsidR="002B60B1" w:rsidRDefault="002B60B1" w:rsidP="002B60B1">
      <w:pPr>
        <w:spacing w:after="240"/>
        <w:jc w:val="both"/>
        <w:rPr>
          <w:rFonts w:asciiTheme="majorHAnsi" w:hAnsiTheme="majorHAnsi" w:cstheme="majorHAnsi"/>
        </w:rPr>
      </w:pPr>
      <w:r w:rsidRPr="005A338D">
        <w:rPr>
          <w:rFonts w:asciiTheme="majorHAnsi" w:hAnsiTheme="majorHAnsi" w:cstheme="majorHAnsi"/>
        </w:rPr>
        <w:t xml:space="preserve">The </w:t>
      </w:r>
      <w:r w:rsidR="00253797">
        <w:rPr>
          <w:rFonts w:asciiTheme="majorHAnsi" w:hAnsiTheme="majorHAnsi" w:cstheme="majorHAnsi"/>
        </w:rPr>
        <w:t>project</w:t>
      </w:r>
      <w:r w:rsidRPr="005A338D">
        <w:rPr>
          <w:rFonts w:asciiTheme="majorHAnsi" w:hAnsiTheme="majorHAnsi" w:cstheme="majorHAnsi"/>
        </w:rPr>
        <w:t xml:space="preserve"> management team will also establish, on a more flexible short-term basis, a bank of technical experts to help deliver in-country and regional work. This will comprise of, but is not limited to, areas CCA and DRM, development and climate financing, private sector engagement, gender </w:t>
      </w:r>
      <w:r w:rsidR="005F6557">
        <w:rPr>
          <w:rFonts w:asciiTheme="majorHAnsi" w:hAnsiTheme="majorHAnsi" w:cstheme="majorHAnsi"/>
        </w:rPr>
        <w:t>and social inclusion</w:t>
      </w:r>
      <w:r w:rsidRPr="005A338D">
        <w:rPr>
          <w:rFonts w:asciiTheme="majorHAnsi" w:hAnsiTheme="majorHAnsi" w:cstheme="majorHAnsi"/>
        </w:rPr>
        <w:t xml:space="preserve">, capacity development, facilitated learning, </w:t>
      </w:r>
      <w:r w:rsidR="00CA4AEB">
        <w:rPr>
          <w:rFonts w:asciiTheme="majorHAnsi" w:hAnsiTheme="majorHAnsi" w:cstheme="majorHAnsi"/>
        </w:rPr>
        <w:t>monitoring, learning and reporting</w:t>
      </w:r>
      <w:r w:rsidRPr="005A338D">
        <w:rPr>
          <w:rFonts w:asciiTheme="majorHAnsi" w:hAnsiTheme="majorHAnsi" w:cstheme="majorHAnsi"/>
        </w:rPr>
        <w:t xml:space="preserve"> for change </w:t>
      </w:r>
      <w:r w:rsidR="00253797">
        <w:rPr>
          <w:rFonts w:asciiTheme="majorHAnsi" w:hAnsiTheme="majorHAnsi" w:cstheme="majorHAnsi"/>
        </w:rPr>
        <w:t>project</w:t>
      </w:r>
      <w:r w:rsidRPr="005A338D">
        <w:rPr>
          <w:rFonts w:asciiTheme="majorHAnsi" w:hAnsiTheme="majorHAnsi" w:cstheme="majorHAnsi"/>
        </w:rPr>
        <w:t xml:space="preserve">s, knowledge management, and specific sectoral expertise. The team will apply UNDP's modalities for hiring experts on a retainer basis but may also leverage off existing partnerships such as the DFAT Climate Partnership as and when this is feasible. Given that the </w:t>
      </w:r>
      <w:r w:rsidR="00253797">
        <w:rPr>
          <w:rFonts w:asciiTheme="majorHAnsi" w:hAnsiTheme="majorHAnsi" w:cstheme="majorHAnsi"/>
        </w:rPr>
        <w:t>project</w:t>
      </w:r>
      <w:r w:rsidRPr="005A338D">
        <w:rPr>
          <w:rFonts w:asciiTheme="majorHAnsi" w:hAnsiTheme="majorHAnsi" w:cstheme="majorHAnsi"/>
        </w:rPr>
        <w:t xml:space="preserve"> requires </w:t>
      </w:r>
      <w:r w:rsidR="00CD2158">
        <w:rPr>
          <w:rFonts w:asciiTheme="majorHAnsi" w:hAnsiTheme="majorHAnsi" w:cstheme="majorHAnsi"/>
        </w:rPr>
        <w:t xml:space="preserve">a </w:t>
      </w:r>
      <w:r w:rsidRPr="005A338D">
        <w:rPr>
          <w:rFonts w:asciiTheme="majorHAnsi" w:hAnsiTheme="majorHAnsi" w:cstheme="majorHAnsi"/>
        </w:rPr>
        <w:t>more sophisticated M</w:t>
      </w:r>
      <w:r w:rsidR="0071378A">
        <w:rPr>
          <w:rFonts w:asciiTheme="majorHAnsi" w:hAnsiTheme="majorHAnsi" w:cstheme="majorHAnsi"/>
        </w:rPr>
        <w:t>RL</w:t>
      </w:r>
      <w:r w:rsidRPr="005A338D">
        <w:rPr>
          <w:rFonts w:asciiTheme="majorHAnsi" w:hAnsiTheme="majorHAnsi" w:cstheme="majorHAnsi"/>
        </w:rPr>
        <w:t xml:space="preserve"> systems the bank will also include M</w:t>
      </w:r>
      <w:r w:rsidR="0071378A">
        <w:rPr>
          <w:rFonts w:asciiTheme="majorHAnsi" w:hAnsiTheme="majorHAnsi" w:cstheme="majorHAnsi"/>
        </w:rPr>
        <w:t>onitoring, Reporting and Learning</w:t>
      </w:r>
      <w:r w:rsidRPr="005A338D">
        <w:rPr>
          <w:rFonts w:asciiTheme="majorHAnsi" w:hAnsiTheme="majorHAnsi" w:cstheme="majorHAnsi"/>
        </w:rPr>
        <w:t xml:space="preserve"> experts specialising in designing and implementing systems tailored towards governance reform programming, for instance including expertise around Political Economy Analysis (PEA).</w:t>
      </w:r>
    </w:p>
    <w:p w:rsidR="00963812" w:rsidRDefault="00CD2158" w:rsidP="005A338D">
      <w:pPr>
        <w:pStyle w:val="Caption"/>
        <w:rPr>
          <w:rFonts w:asciiTheme="majorHAnsi" w:hAnsiTheme="majorHAnsi" w:cstheme="majorHAnsi"/>
        </w:rPr>
      </w:pPr>
      <w:r>
        <w:t xml:space="preserve">Figure </w:t>
      </w:r>
      <w:fldSimple w:instr=" SEQ Figure \* ARABIC ">
        <w:r w:rsidR="004F5751">
          <w:rPr>
            <w:noProof/>
          </w:rPr>
          <w:t>5</w:t>
        </w:r>
      </w:fldSimple>
      <w:r>
        <w:t xml:space="preserve"> </w:t>
      </w:r>
      <w:r w:rsidR="00253797">
        <w:t>project</w:t>
      </w:r>
      <w:r>
        <w:t xml:space="preserve"> implementation </w:t>
      </w:r>
      <w:r w:rsidR="00EF33C2">
        <w:t>capacity</w:t>
      </w:r>
      <w:r>
        <w:t xml:space="preserve"> structure</w:t>
      </w:r>
    </w:p>
    <w:p w:rsidR="00963812" w:rsidRPr="005A338D" w:rsidRDefault="003560FF" w:rsidP="005A338D">
      <w:pPr>
        <w:spacing w:after="240"/>
        <w:jc w:val="both"/>
        <w:rPr>
          <w:rFonts w:asciiTheme="majorHAnsi" w:hAnsiTheme="majorHAnsi" w:cstheme="majorHAnsi"/>
        </w:rPr>
      </w:pPr>
      <w:r>
        <w:rPr>
          <w:rFonts w:asciiTheme="majorHAnsi" w:hAnsiTheme="majorHAnsi" w:cstheme="majorHAnsi"/>
          <w:noProof/>
        </w:rPr>
        <w:drawing>
          <wp:inline distT="0" distB="0" distL="0" distR="0" wp14:anchorId="73BFD3B7" wp14:editId="098FA484">
            <wp:extent cx="6097270" cy="3045460"/>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a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97270" cy="3045460"/>
                    </a:xfrm>
                    <a:prstGeom prst="rect">
                      <a:avLst/>
                    </a:prstGeom>
                  </pic:spPr>
                </pic:pic>
              </a:graphicData>
            </a:graphic>
          </wp:inline>
        </w:drawing>
      </w:r>
    </w:p>
    <w:p w:rsidR="002B60B1" w:rsidRPr="005A338D" w:rsidRDefault="002B60B1" w:rsidP="005A338D">
      <w:pPr>
        <w:spacing w:after="240"/>
        <w:jc w:val="both"/>
        <w:rPr>
          <w:rFonts w:asciiTheme="majorHAnsi" w:hAnsiTheme="majorHAnsi" w:cstheme="majorHAnsi"/>
          <w:b/>
          <w:bCs/>
          <w:color w:val="000000"/>
        </w:rPr>
      </w:pPr>
      <w:r w:rsidRPr="005A338D">
        <w:rPr>
          <w:rFonts w:asciiTheme="majorHAnsi" w:hAnsiTheme="majorHAnsi" w:cstheme="majorHAnsi"/>
          <w:b/>
          <w:bCs/>
          <w:color w:val="000000"/>
        </w:rPr>
        <w:t>Delivery Partnerships</w:t>
      </w:r>
    </w:p>
    <w:p w:rsidR="002B60B1" w:rsidRPr="005A338D" w:rsidRDefault="002B60B1" w:rsidP="005A338D">
      <w:pPr>
        <w:spacing w:after="240"/>
        <w:jc w:val="both"/>
        <w:rPr>
          <w:rFonts w:asciiTheme="majorHAnsi" w:hAnsiTheme="majorHAnsi" w:cstheme="majorHAnsi"/>
        </w:rPr>
      </w:pPr>
      <w:r w:rsidRPr="005A338D">
        <w:rPr>
          <w:rFonts w:asciiTheme="majorHAnsi" w:hAnsiTheme="majorHAnsi" w:cstheme="majorHAnsi"/>
        </w:rPr>
        <w:t xml:space="preserve">The </w:t>
      </w:r>
      <w:r w:rsidR="00253797">
        <w:rPr>
          <w:rFonts w:asciiTheme="majorHAnsi" w:hAnsiTheme="majorHAnsi" w:cstheme="majorHAnsi"/>
        </w:rPr>
        <w:t>project</w:t>
      </w:r>
      <w:r w:rsidRPr="005A338D">
        <w:rPr>
          <w:rFonts w:asciiTheme="majorHAnsi" w:hAnsiTheme="majorHAnsi" w:cstheme="majorHAnsi"/>
        </w:rPr>
        <w:t xml:space="preserve"> will develop partnerships with a range of government agencies in order to help establish new ‘government posts’ or establish relationships with existing government positions across </w:t>
      </w:r>
      <w:r w:rsidR="00253797">
        <w:rPr>
          <w:rFonts w:asciiTheme="majorHAnsi" w:hAnsiTheme="majorHAnsi" w:cstheme="majorHAnsi"/>
        </w:rPr>
        <w:t>project</w:t>
      </w:r>
      <w:r w:rsidRPr="005A338D">
        <w:rPr>
          <w:rFonts w:asciiTheme="majorHAnsi" w:hAnsiTheme="majorHAnsi" w:cstheme="majorHAnsi"/>
        </w:rPr>
        <w:t xml:space="preserve"> countries and potentially in regional agencies. These government posts and existing positions will be the target groups for the majority of the </w:t>
      </w:r>
      <w:r w:rsidR="00253797">
        <w:rPr>
          <w:rFonts w:asciiTheme="majorHAnsi" w:hAnsiTheme="majorHAnsi" w:cstheme="majorHAnsi"/>
        </w:rPr>
        <w:t>project</w:t>
      </w:r>
      <w:r w:rsidRPr="005A338D">
        <w:rPr>
          <w:rFonts w:asciiTheme="majorHAnsi" w:hAnsiTheme="majorHAnsi" w:cstheme="majorHAnsi"/>
        </w:rPr>
        <w:t xml:space="preserve">’s interventions. These positions will provide dedicated capacity within organisations to ensure both that development is sustainable and that there is sustainability of the </w:t>
      </w:r>
      <w:r w:rsidR="00253797">
        <w:rPr>
          <w:rFonts w:asciiTheme="majorHAnsi" w:hAnsiTheme="majorHAnsi" w:cstheme="majorHAnsi"/>
        </w:rPr>
        <w:t>project</w:t>
      </w:r>
      <w:r w:rsidRPr="005A338D">
        <w:rPr>
          <w:rFonts w:asciiTheme="majorHAnsi" w:hAnsiTheme="majorHAnsi" w:cstheme="majorHAnsi"/>
        </w:rPr>
        <w:t xml:space="preserve"> interventions. This dedicated capacity may be placed in Ministries responsible for Finance, Gender and Social Inclusion, Planning and Aid Coordination, Sub-national Government or sectors.</w:t>
      </w:r>
    </w:p>
    <w:p w:rsidR="002B60B1" w:rsidRPr="005A338D" w:rsidRDefault="002B60B1" w:rsidP="005A338D">
      <w:pPr>
        <w:spacing w:after="240"/>
        <w:jc w:val="both"/>
        <w:rPr>
          <w:rFonts w:asciiTheme="majorHAnsi" w:hAnsiTheme="majorHAnsi" w:cstheme="majorHAnsi"/>
        </w:rPr>
      </w:pPr>
      <w:r w:rsidRPr="005A338D">
        <w:rPr>
          <w:rFonts w:asciiTheme="majorHAnsi" w:hAnsiTheme="majorHAnsi" w:cstheme="majorHAnsi"/>
        </w:rPr>
        <w:t xml:space="preserve">The </w:t>
      </w:r>
      <w:r w:rsidR="00253797">
        <w:rPr>
          <w:rFonts w:asciiTheme="majorHAnsi" w:hAnsiTheme="majorHAnsi" w:cstheme="majorHAnsi"/>
        </w:rPr>
        <w:t>project</w:t>
      </w:r>
      <w:r w:rsidRPr="005A338D">
        <w:rPr>
          <w:rFonts w:asciiTheme="majorHAnsi" w:hAnsiTheme="majorHAnsi" w:cstheme="majorHAnsi"/>
        </w:rPr>
        <w:t xml:space="preserve"> will also pursue Assisted Implementation and Demonstration opportunities in partnership with civil society organisations, non-government organisations, the private sector and through the Climate Partnership. Through the latter, this may involve utilising APCP’s existing bank of technical expertise, or partnering with </w:t>
      </w:r>
      <w:proofErr w:type="spellStart"/>
      <w:r w:rsidRPr="005A338D">
        <w:rPr>
          <w:rFonts w:asciiTheme="majorHAnsi" w:hAnsiTheme="majorHAnsi" w:cstheme="majorHAnsi"/>
        </w:rPr>
        <w:t>COSPPac</w:t>
      </w:r>
      <w:proofErr w:type="spellEnd"/>
      <w:r w:rsidRPr="005A338D">
        <w:rPr>
          <w:rFonts w:asciiTheme="majorHAnsi" w:hAnsiTheme="majorHAnsi" w:cstheme="majorHAnsi"/>
        </w:rPr>
        <w:t xml:space="preserve">, Geoscience Australia or other scientific organisations. </w:t>
      </w:r>
    </w:p>
    <w:p w:rsidR="009D39EC" w:rsidRDefault="009D39EC" w:rsidP="005A338D">
      <w:pPr>
        <w:spacing w:after="160" w:line="259" w:lineRule="auto"/>
        <w:jc w:val="both"/>
      </w:pPr>
    </w:p>
    <w:p w:rsidR="009D39EC" w:rsidRPr="009D39EC" w:rsidRDefault="009D39EC" w:rsidP="009D39EC">
      <w:pPr>
        <w:pStyle w:val="ListParagraph"/>
        <w:spacing w:after="160" w:line="259" w:lineRule="auto"/>
        <w:ind w:left="360"/>
        <w:rPr>
          <w:highlight w:val="cyan"/>
        </w:rPr>
        <w:sectPr w:rsidR="009D39EC" w:rsidRPr="009D39EC" w:rsidSect="00955924">
          <w:pgSz w:w="11906" w:h="16838" w:code="9"/>
          <w:pgMar w:top="864" w:right="1152" w:bottom="864" w:left="1152" w:header="720" w:footer="432" w:gutter="0"/>
          <w:cols w:space="708"/>
          <w:titlePg/>
          <w:docGrid w:linePitch="360"/>
        </w:sectPr>
      </w:pPr>
    </w:p>
    <w:p w:rsidR="002F14AB" w:rsidRPr="00135431" w:rsidRDefault="00135431" w:rsidP="009D6B25">
      <w:pPr>
        <w:pStyle w:val="Heading1"/>
        <w:numPr>
          <w:ilvl w:val="0"/>
          <w:numId w:val="8"/>
        </w:numPr>
        <w:jc w:val="left"/>
      </w:pPr>
      <w:bookmarkStart w:id="88" w:name="_Toc25739974"/>
      <w:bookmarkStart w:id="89" w:name="_Toc25740083"/>
      <w:r>
        <w:t>L</w:t>
      </w:r>
      <w:r w:rsidR="002F14AB" w:rsidRPr="00135431">
        <w:t>egal Context</w:t>
      </w:r>
      <w:bookmarkEnd w:id="85"/>
      <w:r w:rsidR="009D39EC">
        <w:t xml:space="preserve"> and Risk Management</w:t>
      </w:r>
      <w:bookmarkEnd w:id="88"/>
      <w:bookmarkEnd w:id="89"/>
    </w:p>
    <w:p w:rsidR="006D69F7" w:rsidRDefault="006D69F7" w:rsidP="006D69F7">
      <w:pPr>
        <w:pStyle w:val="Heading3"/>
        <w:spacing w:before="120" w:after="0"/>
        <w:jc w:val="left"/>
      </w:pPr>
      <w:r>
        <w:t>Legal Context</w:t>
      </w:r>
    </w:p>
    <w:p w:rsidR="002F14AB" w:rsidRPr="00511A94" w:rsidRDefault="002F14AB" w:rsidP="00451DB1">
      <w:pPr>
        <w:jc w:val="both"/>
        <w:rPr>
          <w:rFonts w:cs="Arial"/>
          <w:iCs/>
          <w:sz w:val="20"/>
          <w:szCs w:val="20"/>
        </w:rPr>
      </w:pPr>
      <w:r w:rsidRPr="00511A94">
        <w:rPr>
          <w:rFonts w:cs="Arial"/>
          <w:iCs/>
          <w:sz w:val="20"/>
          <w:szCs w:val="20"/>
        </w:rPr>
        <w:t xml:space="preserve">This project forms part of an overall programmatic framework under which several separate associated country level activities will be implemented. When assistance and support services are provided from this Project to the associated country level activities, this document shall be the “Project Document” instrument referred to in: (i) the respective signed SBAAs for the specific countries; or () in the </w:t>
      </w:r>
      <w:hyperlink r:id="rId25" w:history="1">
        <w:r w:rsidRPr="00511A94">
          <w:rPr>
            <w:rStyle w:val="Hyperlink"/>
            <w:rFonts w:cs="Arial"/>
            <w:sz w:val="20"/>
            <w:szCs w:val="20"/>
          </w:rPr>
          <w:t>Supplemental Provisions</w:t>
        </w:r>
      </w:hyperlink>
      <w:r w:rsidRPr="00511A94">
        <w:rPr>
          <w:rStyle w:val="Hyperlink"/>
          <w:rFonts w:cs="Arial"/>
          <w:sz w:val="20"/>
          <w:szCs w:val="20"/>
        </w:rPr>
        <w:t xml:space="preserve"> to the Project Document</w:t>
      </w:r>
      <w:r w:rsidRPr="00511A94">
        <w:rPr>
          <w:rFonts w:cs="Arial"/>
          <w:iCs/>
          <w:sz w:val="20"/>
          <w:szCs w:val="20"/>
        </w:rPr>
        <w:t xml:space="preserve"> attached to the Project Document in cases where the recipient country has not signed an SBAA with UNDP, attached hereto and forming an integral part hereof. </w:t>
      </w:r>
      <w:r w:rsidRPr="00511A94">
        <w:rPr>
          <w:rFonts w:cs="Arial"/>
          <w:sz w:val="20"/>
          <w:szCs w:val="20"/>
        </w:rPr>
        <w:t> All references in the SBAA to “Executing Agency” shall be deemed to refer to “Implementing Partner.”</w:t>
      </w:r>
    </w:p>
    <w:p w:rsidR="002F14AB" w:rsidRPr="00511A94" w:rsidRDefault="002F14AB" w:rsidP="00451DB1">
      <w:pPr>
        <w:jc w:val="both"/>
        <w:rPr>
          <w:rFonts w:cs="Arial"/>
          <w:iCs/>
          <w:sz w:val="20"/>
          <w:szCs w:val="20"/>
        </w:rPr>
      </w:pPr>
      <w:r w:rsidRPr="00511A94">
        <w:rPr>
          <w:rFonts w:cs="Arial"/>
          <w:iCs/>
          <w:sz w:val="20"/>
          <w:szCs w:val="20"/>
        </w:rPr>
        <w:t xml:space="preserve">This project will be implemented by </w:t>
      </w:r>
      <w:r w:rsidR="00FF1C18" w:rsidRPr="00511A94">
        <w:rPr>
          <w:rFonts w:cs="Arial"/>
          <w:sz w:val="20"/>
          <w:szCs w:val="20"/>
        </w:rPr>
        <w:t xml:space="preserve">UNDP Pacific Office </w:t>
      </w:r>
      <w:r w:rsidRPr="00511A94">
        <w:rPr>
          <w:rFonts w:cs="Arial"/>
          <w:iCs/>
          <w:sz w:val="20"/>
          <w:szCs w:val="20"/>
        </w:rPr>
        <w:t xml:space="preserve">(“Implementing Partner”) in accordance with its financial regulations, rules, practices and procedures only to the extent that they do not contravene the principles of the Financial Regulations and Rules of UNDP. Where the financial governance of an Implementing Partner does not provide the required guidance to ensure best value for money, fairness, integrity, transparency, and effective international competition, the financial governance of UNDP shall apply.  </w:t>
      </w:r>
    </w:p>
    <w:p w:rsidR="006D69F7" w:rsidRDefault="006D69F7" w:rsidP="006D69F7">
      <w:pPr>
        <w:pStyle w:val="Heading3"/>
        <w:spacing w:before="120" w:after="0"/>
        <w:jc w:val="left"/>
      </w:pPr>
      <w:r>
        <w:t>Risk Management</w:t>
      </w:r>
    </w:p>
    <w:p w:rsidR="00AF1856" w:rsidRPr="00511A94" w:rsidRDefault="00AF1856" w:rsidP="00AF1856">
      <w:pPr>
        <w:pStyle w:val="PlainText"/>
        <w:spacing w:line="240" w:lineRule="auto"/>
        <w:jc w:val="both"/>
        <w:rPr>
          <w:rFonts w:ascii="Calibri Light" w:hAnsi="Calibri Light" w:cs="Calibri"/>
          <w:szCs w:val="22"/>
          <w:lang w:val="en-GB"/>
        </w:rPr>
      </w:pPr>
      <w:r w:rsidRPr="00511A94">
        <w:rPr>
          <w:rFonts w:ascii="Calibri Light" w:hAnsi="Calibri Light" w:cs="Calibri"/>
          <w:szCs w:val="22"/>
          <w:lang w:val="en-GB"/>
        </w:rPr>
        <w:t>UNDP as the Implementing Partner will comply with the policies, procedures and practices of the United Nations Security Management System (UNSMS.)</w:t>
      </w:r>
    </w:p>
    <w:p w:rsidR="00AF1856" w:rsidRPr="00511A94" w:rsidRDefault="00AF1856" w:rsidP="00511A94">
      <w:pPr>
        <w:pStyle w:val="PlainText"/>
        <w:jc w:val="both"/>
        <w:rPr>
          <w:rFonts w:ascii="Calibri Light" w:hAnsi="Calibri Light" w:cs="Calibri"/>
          <w:szCs w:val="22"/>
          <w:lang w:val="en-GB"/>
        </w:rPr>
      </w:pPr>
    </w:p>
    <w:p w:rsidR="00AF1856" w:rsidRPr="00511A94" w:rsidRDefault="00AF1856" w:rsidP="00AF1856">
      <w:pPr>
        <w:pStyle w:val="PlainText"/>
        <w:spacing w:after="240" w:line="240" w:lineRule="auto"/>
        <w:jc w:val="both"/>
        <w:rPr>
          <w:rFonts w:ascii="Calibri Light" w:hAnsi="Calibri Light" w:cs="Calibri"/>
          <w:szCs w:val="22"/>
          <w:lang w:val="en-GB"/>
        </w:rPr>
      </w:pPr>
      <w:r w:rsidRPr="00511A94">
        <w:rPr>
          <w:rFonts w:ascii="Calibri Light" w:hAnsi="Calibri Light" w:cs="Calibri"/>
          <w:szCs w:val="22"/>
          <w:lang w:val="en-GB"/>
        </w:rPr>
        <w:t>UNDP as the Implementing Partner will undertake all reasonable efforts to ensure that none of the project funds</w:t>
      </w:r>
      <w:r w:rsidRPr="00511A94">
        <w:rPr>
          <w:rStyle w:val="FootnoteReference"/>
          <w:rFonts w:ascii="Calibri Light" w:hAnsi="Calibri Light" w:cs="Calibri"/>
          <w:sz w:val="20"/>
          <w:szCs w:val="22"/>
          <w:lang w:val="en-GB"/>
        </w:rPr>
        <w:footnoteReference w:id="18"/>
      </w:r>
      <w:r w:rsidRPr="00511A94">
        <w:rPr>
          <w:rFonts w:ascii="Calibri Light" w:hAnsi="Calibri Light" w:cs="Calibri"/>
          <w:szCs w:val="22"/>
          <w:lang w:val="en-GB"/>
        </w:rPr>
        <w:t xml:space="preserve">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26" w:history="1">
        <w:r w:rsidRPr="00511A94">
          <w:rPr>
            <w:rStyle w:val="Hyperlink"/>
            <w:rFonts w:ascii="Calibri Light" w:hAnsi="Calibri Light" w:cs="Calibri"/>
            <w:szCs w:val="22"/>
            <w:lang w:val="en-GB"/>
          </w:rPr>
          <w:t>http://www.un.org/sc/committees/1267/aq_sanctions_list.shtml</w:t>
        </w:r>
      </w:hyperlink>
      <w:r w:rsidRPr="00511A94">
        <w:rPr>
          <w:rFonts w:ascii="Calibri Light" w:hAnsi="Calibri Light" w:cs="Calibri"/>
          <w:color w:val="000080"/>
          <w:szCs w:val="22"/>
          <w:lang w:val="en-GB"/>
        </w:rPr>
        <w:t>.</w:t>
      </w:r>
      <w:r w:rsidR="00511A94" w:rsidRPr="00511A94">
        <w:rPr>
          <w:rFonts w:ascii="Calibri Light" w:hAnsi="Calibri Light" w:cs="Calibri"/>
          <w:color w:val="000080"/>
          <w:szCs w:val="22"/>
          <w:lang w:val="en-GB"/>
        </w:rPr>
        <w:t xml:space="preserve"> </w:t>
      </w:r>
      <w:r w:rsidRPr="00511A94">
        <w:rPr>
          <w:rFonts w:ascii="Calibri Light" w:hAnsi="Calibri Light" w:cs="Calibri"/>
          <w:szCs w:val="22"/>
          <w:lang w:val="en-GB"/>
        </w:rPr>
        <w:t>This provision must be included in all sub-contracts or sub-agreements entered into under this Project Document.</w:t>
      </w:r>
    </w:p>
    <w:p w:rsidR="00AF1856" w:rsidRPr="00511A94" w:rsidRDefault="00AF1856" w:rsidP="00AF1856">
      <w:pPr>
        <w:pStyle w:val="ListParagraph"/>
        <w:spacing w:before="100" w:beforeAutospacing="1" w:after="240" w:line="240" w:lineRule="auto"/>
        <w:ind w:left="0"/>
        <w:contextualSpacing w:val="0"/>
        <w:jc w:val="both"/>
        <w:rPr>
          <w:rFonts w:cs="Calibri"/>
          <w:sz w:val="20"/>
          <w:u w:val="single"/>
        </w:rPr>
      </w:pPr>
      <w:r w:rsidRPr="00511A94">
        <w:rPr>
          <w:rFonts w:cs="Calibri"/>
          <w:sz w:val="20"/>
        </w:rPr>
        <w:t xml:space="preserve">Social and environmental sustainability will be enhanced through application of the UNDP Social and Environmental Standards (http://www.undp.org/ses) and related Accountability Mechanism (http://www.undp.org/secu-srm).  </w:t>
      </w:r>
      <w:r w:rsidRPr="00511A94">
        <w:rPr>
          <w:rFonts w:cs="Calibri"/>
          <w:color w:val="000000"/>
          <w:sz w:val="20"/>
        </w:rPr>
        <w:t> </w:t>
      </w:r>
    </w:p>
    <w:p w:rsidR="00AF1856" w:rsidRPr="00511A94" w:rsidRDefault="00AF1856" w:rsidP="00511A94">
      <w:pPr>
        <w:pStyle w:val="Default"/>
        <w:spacing w:after="0" w:line="240" w:lineRule="auto"/>
        <w:jc w:val="both"/>
        <w:rPr>
          <w:rFonts w:cs="Calibri"/>
          <w:sz w:val="20"/>
          <w:szCs w:val="22"/>
          <w:lang w:val="en-GB"/>
        </w:rPr>
      </w:pPr>
      <w:r w:rsidRPr="00511A94">
        <w:rPr>
          <w:rFonts w:cs="Calibri"/>
          <w:color w:val="101010"/>
          <w:spacing w:val="-6"/>
          <w:kern w:val="1"/>
          <w:sz w:val="20"/>
          <w:szCs w:val="22"/>
          <w:lang w:val="en-GB"/>
        </w:rPr>
        <w:t xml:space="preserve">UNDP as the Implementing Partner will: (a) conduct project and programme-related activities in a manner consistent with the UNDP Social and Environmental Standards, (b) implement any management or mitigation plan prepared for the project or programme to comply with such standards, and (c) engage in a constructive and timely manner to address any concerns and complaints raised through the Accountability Mechanism. </w:t>
      </w:r>
      <w:r w:rsidRPr="00511A94">
        <w:rPr>
          <w:rFonts w:cs="Calibri"/>
          <w:color w:val="141414"/>
          <w:spacing w:val="-4"/>
          <w:sz w:val="20"/>
          <w:szCs w:val="22"/>
          <w:lang w:val="en-GB"/>
        </w:rPr>
        <w:t>UNDP</w:t>
      </w:r>
      <w:r w:rsidRPr="00511A94">
        <w:rPr>
          <w:rFonts w:cs="Calibri"/>
          <w:sz w:val="20"/>
          <w:szCs w:val="22"/>
          <w:lang w:val="en-GB"/>
        </w:rPr>
        <w:t xml:space="preserve"> will seek to ensure that communities and other project stakeholders are informed of and have access to the Accountability Mechanism. </w:t>
      </w:r>
    </w:p>
    <w:p w:rsidR="00AF1856" w:rsidRPr="00511A94" w:rsidRDefault="00AF1856" w:rsidP="00511A94">
      <w:pPr>
        <w:pStyle w:val="ListParagraph"/>
        <w:spacing w:before="240" w:after="240" w:line="240" w:lineRule="auto"/>
        <w:ind w:left="0"/>
        <w:contextualSpacing w:val="0"/>
        <w:jc w:val="both"/>
        <w:rPr>
          <w:rFonts w:cs="Calibri"/>
          <w:spacing w:val="-4"/>
          <w:sz w:val="20"/>
        </w:rPr>
      </w:pPr>
      <w:r w:rsidRPr="00511A94">
        <w:rPr>
          <w:rFonts w:cs="Calibri"/>
          <w:spacing w:val="-4"/>
          <w:sz w:val="20"/>
        </w:rPr>
        <w:t>All signatories to the Project Document shall cooperate in good faith with any exercise to evaluate any programme or project-related commitments or compliance with the UNDP Social and Environmental Standards. This includes providing access to project sites, relevant personnel, information, and documentation.</w:t>
      </w:r>
    </w:p>
    <w:p w:rsidR="00AF1856" w:rsidRPr="00511A94" w:rsidRDefault="00AF1856" w:rsidP="00511A94">
      <w:pPr>
        <w:autoSpaceDE w:val="0"/>
        <w:autoSpaceDN w:val="0"/>
        <w:adjustRightInd w:val="0"/>
        <w:spacing w:after="0" w:line="240" w:lineRule="auto"/>
        <w:jc w:val="both"/>
        <w:rPr>
          <w:rFonts w:eastAsia="Calibri" w:cs="Calibri"/>
          <w:color w:val="000000"/>
          <w:sz w:val="20"/>
        </w:rPr>
      </w:pPr>
      <w:r w:rsidRPr="00511A94">
        <w:rPr>
          <w:rFonts w:eastAsia="Calibri" w:cs="Calibri"/>
          <w:color w:val="000000"/>
          <w:sz w:val="20"/>
        </w:rPr>
        <w:t xml:space="preserve">UNDP as the Implementing Partner will ensure that </w:t>
      </w:r>
      <w:r w:rsidRPr="00511A94">
        <w:rPr>
          <w:rFonts w:cs="Calibri"/>
          <w:sz w:val="20"/>
        </w:rPr>
        <w:t>the following obligations are binding on each responsible party, subcontractor and sub-recipient:</w:t>
      </w:r>
    </w:p>
    <w:p w:rsidR="00AF1856" w:rsidRPr="00511A94" w:rsidRDefault="00AF1856" w:rsidP="00511A94">
      <w:pPr>
        <w:autoSpaceDE w:val="0"/>
        <w:autoSpaceDN w:val="0"/>
        <w:adjustRightInd w:val="0"/>
        <w:spacing w:after="0"/>
        <w:ind w:left="360"/>
        <w:jc w:val="both"/>
        <w:rPr>
          <w:rFonts w:eastAsia="Calibri" w:cs="Calibri"/>
          <w:color w:val="000000"/>
          <w:sz w:val="20"/>
        </w:rPr>
      </w:pPr>
    </w:p>
    <w:p w:rsidR="00AF1856" w:rsidRPr="00511A94" w:rsidRDefault="00AF1856" w:rsidP="009D6B25">
      <w:pPr>
        <w:numPr>
          <w:ilvl w:val="0"/>
          <w:numId w:val="14"/>
        </w:numPr>
        <w:autoSpaceDE w:val="0"/>
        <w:autoSpaceDN w:val="0"/>
        <w:adjustRightInd w:val="0"/>
        <w:spacing w:after="0" w:line="240" w:lineRule="auto"/>
        <w:jc w:val="both"/>
        <w:rPr>
          <w:rFonts w:cs="Calibri"/>
          <w:sz w:val="20"/>
        </w:rPr>
      </w:pPr>
      <w:r w:rsidRPr="00511A94">
        <w:rPr>
          <w:rFonts w:cs="Calibri"/>
          <w:sz w:val="20"/>
        </w:rPr>
        <w:t xml:space="preserve">Consistent with Article I of the SBAA </w:t>
      </w:r>
      <w:r w:rsidRPr="00511A94">
        <w:rPr>
          <w:rFonts w:cs="Calibri"/>
          <w:i/>
          <w:sz w:val="20"/>
        </w:rPr>
        <w:t>[or the Supplemental Provisions to the Project Document]</w:t>
      </w:r>
      <w:r w:rsidRPr="00511A94">
        <w:rPr>
          <w:rFonts w:cs="Calibri"/>
          <w:sz w:val="20"/>
        </w:rPr>
        <w:t>, the responsibility for the safety and security of each responsible party, subcontractor and sub-recipient</w:t>
      </w:r>
      <w:r w:rsidRPr="00511A94">
        <w:rPr>
          <w:rFonts w:eastAsia="Calibri" w:cs="Calibri"/>
          <w:color w:val="000000"/>
          <w:sz w:val="20"/>
        </w:rPr>
        <w:t xml:space="preserve"> </w:t>
      </w:r>
      <w:r w:rsidRPr="00511A94">
        <w:rPr>
          <w:rFonts w:cs="Calibri"/>
          <w:sz w:val="20"/>
        </w:rPr>
        <w:t xml:space="preserve">and its personnel and property, and of UNDP’s property in such responsible </w:t>
      </w:r>
      <w:proofErr w:type="spellStart"/>
      <w:r w:rsidRPr="00511A94">
        <w:rPr>
          <w:rFonts w:cs="Calibri"/>
          <w:sz w:val="20"/>
        </w:rPr>
        <w:t>party’s</w:t>
      </w:r>
      <w:proofErr w:type="spellEnd"/>
      <w:r w:rsidRPr="00511A94">
        <w:rPr>
          <w:rFonts w:cs="Calibri"/>
          <w:sz w:val="20"/>
        </w:rPr>
        <w:t>, subcontractor’s and sub-recipient’s custody, rests with such responsible party, subcontractor and sub-recipient.  To this end, each responsible party, subcontractor and sub-recipient</w:t>
      </w:r>
      <w:r w:rsidRPr="00511A94">
        <w:rPr>
          <w:rFonts w:eastAsia="Calibri" w:cs="Calibri"/>
          <w:color w:val="000000"/>
          <w:sz w:val="20"/>
        </w:rPr>
        <w:t xml:space="preserve"> </w:t>
      </w:r>
      <w:r w:rsidRPr="00511A94">
        <w:rPr>
          <w:rFonts w:cs="Calibri"/>
          <w:sz w:val="20"/>
        </w:rPr>
        <w:t>shall:</w:t>
      </w:r>
    </w:p>
    <w:p w:rsidR="00AF1856" w:rsidRPr="00511A94" w:rsidRDefault="00AF1856" w:rsidP="009D6B25">
      <w:pPr>
        <w:numPr>
          <w:ilvl w:val="0"/>
          <w:numId w:val="15"/>
        </w:numPr>
        <w:spacing w:after="60" w:line="240" w:lineRule="auto"/>
        <w:jc w:val="both"/>
        <w:rPr>
          <w:rFonts w:cs="Calibri"/>
          <w:sz w:val="20"/>
        </w:rPr>
      </w:pPr>
      <w:r w:rsidRPr="00511A94">
        <w:rPr>
          <w:rFonts w:cs="Calibri"/>
          <w:sz w:val="20"/>
        </w:rPr>
        <w:t>put in place an appropriate security plan and maintain the security plan, taking into account the security situation in the country where the project is being carried;</w:t>
      </w:r>
    </w:p>
    <w:p w:rsidR="00AF1856" w:rsidRPr="00511A94" w:rsidRDefault="00AF1856" w:rsidP="009D6B25">
      <w:pPr>
        <w:numPr>
          <w:ilvl w:val="0"/>
          <w:numId w:val="15"/>
        </w:numPr>
        <w:spacing w:after="60" w:line="240" w:lineRule="auto"/>
        <w:jc w:val="both"/>
        <w:rPr>
          <w:rFonts w:cs="Calibri"/>
          <w:sz w:val="20"/>
        </w:rPr>
      </w:pPr>
      <w:r w:rsidRPr="00511A94">
        <w:rPr>
          <w:rFonts w:cs="Calibri"/>
          <w:sz w:val="20"/>
        </w:rPr>
        <w:t xml:space="preserve">assume all risks and liabilities related to such responsible </w:t>
      </w:r>
      <w:proofErr w:type="spellStart"/>
      <w:r w:rsidRPr="00511A94">
        <w:rPr>
          <w:rFonts w:cs="Calibri"/>
          <w:sz w:val="20"/>
        </w:rPr>
        <w:t>party’s</w:t>
      </w:r>
      <w:proofErr w:type="spellEnd"/>
      <w:r w:rsidRPr="00511A94">
        <w:rPr>
          <w:rFonts w:cs="Calibri"/>
          <w:sz w:val="20"/>
        </w:rPr>
        <w:t>, subcontractor’s and sub-recipient’s security, and the full implementation of the security plan.</w:t>
      </w:r>
    </w:p>
    <w:p w:rsidR="00AF1856" w:rsidRPr="00511A94" w:rsidRDefault="00AF1856" w:rsidP="009D6B25">
      <w:pPr>
        <w:numPr>
          <w:ilvl w:val="0"/>
          <w:numId w:val="14"/>
        </w:numPr>
        <w:autoSpaceDE w:val="0"/>
        <w:autoSpaceDN w:val="0"/>
        <w:adjustRightInd w:val="0"/>
        <w:spacing w:after="0" w:line="240" w:lineRule="auto"/>
        <w:jc w:val="both"/>
        <w:rPr>
          <w:rFonts w:cs="Calibri"/>
          <w:sz w:val="20"/>
        </w:rPr>
      </w:pPr>
      <w:r w:rsidRPr="00511A94">
        <w:rPr>
          <w:rFonts w:cs="Calibri"/>
          <w:sz w:val="20"/>
        </w:rPr>
        <w:t xml:space="preserve">UNDP reserves the right to verify whether such a plan is in place, and to suggest modifications to the plan when necessary. Failure to maintain and implement an appropriate security plan as required hereunder shall be deemed a breach of the responsible </w:t>
      </w:r>
      <w:proofErr w:type="spellStart"/>
      <w:r w:rsidRPr="00511A94">
        <w:rPr>
          <w:rFonts w:cs="Calibri"/>
          <w:sz w:val="20"/>
        </w:rPr>
        <w:t>party’s</w:t>
      </w:r>
      <w:proofErr w:type="spellEnd"/>
      <w:r w:rsidRPr="00511A94">
        <w:rPr>
          <w:rFonts w:cs="Calibri"/>
          <w:sz w:val="20"/>
        </w:rPr>
        <w:t>, subcontractor’s and sub-recipient’s obligations under this Project Document.</w:t>
      </w:r>
    </w:p>
    <w:p w:rsidR="00AF1856" w:rsidRPr="00511A94" w:rsidRDefault="00AF1856" w:rsidP="009D6B25">
      <w:pPr>
        <w:numPr>
          <w:ilvl w:val="0"/>
          <w:numId w:val="14"/>
        </w:numPr>
        <w:autoSpaceDE w:val="0"/>
        <w:autoSpaceDN w:val="0"/>
        <w:adjustRightInd w:val="0"/>
        <w:spacing w:after="0" w:line="240" w:lineRule="auto"/>
        <w:jc w:val="both"/>
        <w:rPr>
          <w:rFonts w:eastAsia="Calibri" w:cs="Calibri"/>
          <w:color w:val="000000"/>
          <w:sz w:val="20"/>
        </w:rPr>
      </w:pPr>
      <w:r w:rsidRPr="00511A94">
        <w:rPr>
          <w:rFonts w:cs="Calibri"/>
          <w:sz w:val="20"/>
        </w:rPr>
        <w:t>Each responsible party, subcontractor and sub-recipient</w:t>
      </w:r>
      <w:r w:rsidRPr="00511A94">
        <w:rPr>
          <w:rFonts w:eastAsia="Calibri" w:cs="Calibri"/>
          <w:color w:val="000000"/>
          <w:sz w:val="20"/>
        </w:rPr>
        <w:t xml:space="preserve"> will take appropriate steps to prevent misuse of funds, fraud or corruption, by its officials, consultants, subcontractors and sub-recipients in implementing the project or programme or using the UNDP funds.  It will ensure that its financial management, anti-corruption and anti-fraud policies are in place and enforced for all funding received from or through UNDP.</w:t>
      </w:r>
    </w:p>
    <w:p w:rsidR="00AF1856" w:rsidRPr="00511A94" w:rsidRDefault="00AF1856" w:rsidP="009D6B25">
      <w:pPr>
        <w:numPr>
          <w:ilvl w:val="0"/>
          <w:numId w:val="14"/>
        </w:numPr>
        <w:autoSpaceDE w:val="0"/>
        <w:autoSpaceDN w:val="0"/>
        <w:adjustRightInd w:val="0"/>
        <w:spacing w:after="0" w:line="240" w:lineRule="auto"/>
        <w:jc w:val="both"/>
        <w:rPr>
          <w:rFonts w:eastAsia="Calibri" w:cs="Calibri"/>
          <w:color w:val="000000"/>
          <w:sz w:val="20"/>
        </w:rPr>
      </w:pPr>
      <w:r w:rsidRPr="00511A94">
        <w:rPr>
          <w:rFonts w:eastAsia="Calibri" w:cs="Calibri"/>
          <w:color w:val="000000"/>
          <w:sz w:val="20"/>
        </w:rPr>
        <w:t xml:space="preserve">The requirements of the following documents, then in force at the time of signature of the Project Document, apply to </w:t>
      </w:r>
      <w:r w:rsidRPr="00511A94">
        <w:rPr>
          <w:rFonts w:cs="Calibri"/>
          <w:sz w:val="20"/>
        </w:rPr>
        <w:t>each responsible party, subcontractor and sub-recipient</w:t>
      </w:r>
      <w:r w:rsidRPr="00511A94">
        <w:rPr>
          <w:rFonts w:eastAsia="Calibri" w:cs="Calibri"/>
          <w:color w:val="000000"/>
          <w:sz w:val="20"/>
        </w:rPr>
        <w:t xml:space="preserve">: </w:t>
      </w:r>
      <w:r w:rsidRPr="00511A94">
        <w:rPr>
          <w:rFonts w:eastAsia="Calibri" w:cs="Calibri"/>
          <w:bCs/>
          <w:color w:val="000000"/>
          <w:sz w:val="20"/>
        </w:rPr>
        <w:t>(a)</w:t>
      </w:r>
      <w:r w:rsidRPr="00511A94">
        <w:rPr>
          <w:rFonts w:eastAsia="Calibri" w:cs="Calibri"/>
          <w:b/>
          <w:bCs/>
          <w:color w:val="000000"/>
          <w:sz w:val="20"/>
        </w:rPr>
        <w:t xml:space="preserve"> </w:t>
      </w:r>
      <w:r w:rsidRPr="00511A94">
        <w:rPr>
          <w:rFonts w:eastAsia="Calibri" w:cs="Calibri"/>
          <w:color w:val="000000"/>
          <w:sz w:val="20"/>
        </w:rPr>
        <w:t xml:space="preserve">UNDP Policy on Fraud and other Corrupt Practices and </w:t>
      </w:r>
      <w:r w:rsidRPr="00511A94">
        <w:rPr>
          <w:rFonts w:eastAsia="Calibri" w:cs="Calibri"/>
          <w:bCs/>
          <w:color w:val="000000"/>
          <w:sz w:val="20"/>
        </w:rPr>
        <w:t>(b)</w:t>
      </w:r>
      <w:r w:rsidRPr="00511A94">
        <w:rPr>
          <w:rFonts w:eastAsia="Calibri" w:cs="Calibri"/>
          <w:b/>
          <w:bCs/>
          <w:color w:val="000000"/>
          <w:sz w:val="20"/>
        </w:rPr>
        <w:t xml:space="preserve"> </w:t>
      </w:r>
      <w:r w:rsidRPr="00511A94">
        <w:rPr>
          <w:rFonts w:eastAsia="Calibri" w:cs="Calibri"/>
          <w:color w:val="000000"/>
          <w:sz w:val="20"/>
        </w:rPr>
        <w:t xml:space="preserve">UNDP Office of Audit and Investigations Investigation Guidelines. </w:t>
      </w:r>
      <w:r w:rsidRPr="00511A94">
        <w:rPr>
          <w:rFonts w:cs="Calibri"/>
          <w:sz w:val="20"/>
        </w:rPr>
        <w:t>Each responsible party, subcontractor and sub-recipient</w:t>
      </w:r>
      <w:r w:rsidRPr="00511A94">
        <w:rPr>
          <w:rFonts w:eastAsia="Calibri" w:cs="Calibri"/>
          <w:sz w:val="20"/>
        </w:rPr>
        <w:t xml:space="preserve"> agrees to the requirements of the above documents, which are an integral part of this Project Document and are available online at www.undp.org. </w:t>
      </w:r>
    </w:p>
    <w:p w:rsidR="00AF1856" w:rsidRPr="00511A94" w:rsidRDefault="00AF1856" w:rsidP="009D6B25">
      <w:pPr>
        <w:numPr>
          <w:ilvl w:val="0"/>
          <w:numId w:val="14"/>
        </w:numPr>
        <w:autoSpaceDE w:val="0"/>
        <w:autoSpaceDN w:val="0"/>
        <w:adjustRightInd w:val="0"/>
        <w:spacing w:after="0" w:line="240" w:lineRule="auto"/>
        <w:jc w:val="both"/>
        <w:rPr>
          <w:rFonts w:cs="Calibri"/>
          <w:color w:val="000000"/>
          <w:sz w:val="20"/>
        </w:rPr>
      </w:pPr>
      <w:r w:rsidRPr="00511A94">
        <w:rPr>
          <w:rFonts w:cs="Calibri"/>
          <w:color w:val="000000"/>
          <w:sz w:val="20"/>
        </w:rPr>
        <w:t xml:space="preserve">In the event that an investigation is required, UNDP will conduct investigations relating to any aspect of UNDP programmes and projects. </w:t>
      </w:r>
      <w:r w:rsidRPr="00511A94">
        <w:rPr>
          <w:rFonts w:cs="Calibri"/>
          <w:sz w:val="20"/>
        </w:rPr>
        <w:t>Each responsible party, subcontractor and sub-recipient</w:t>
      </w:r>
      <w:r w:rsidRPr="00511A94">
        <w:rPr>
          <w:rFonts w:cs="Calibri"/>
          <w:color w:val="000000"/>
          <w:sz w:val="20"/>
        </w:rPr>
        <w:t xml:space="preserve"> will provide its full cooperation, including making available personnel, relevant documentation, and granting access to its</w:t>
      </w:r>
      <w:r w:rsidRPr="00511A94">
        <w:rPr>
          <w:rFonts w:eastAsia="Calibri" w:cs="Calibri"/>
          <w:color w:val="000000"/>
          <w:sz w:val="20"/>
        </w:rPr>
        <w:t xml:space="preserve"> </w:t>
      </w:r>
      <w:r w:rsidRPr="00511A94">
        <w:rPr>
          <w:rFonts w:cs="Calibri"/>
          <w:color w:val="000000"/>
          <w:sz w:val="20"/>
        </w:rPr>
        <w:t>(and its consultants’, subcontractors’ and sub-recipients’) premises, for such purposes at reasonable times and on reasonable conditions as may be required for the purpose of an investigation. Should there be a limitation in meeting this obligation, UNDP shall consult with it to find a solution.</w:t>
      </w:r>
    </w:p>
    <w:p w:rsidR="00AF1856" w:rsidRPr="00511A94" w:rsidRDefault="00AF1856" w:rsidP="009D6B25">
      <w:pPr>
        <w:numPr>
          <w:ilvl w:val="0"/>
          <w:numId w:val="14"/>
        </w:numPr>
        <w:autoSpaceDE w:val="0"/>
        <w:autoSpaceDN w:val="0"/>
        <w:adjustRightInd w:val="0"/>
        <w:spacing w:after="0" w:line="240" w:lineRule="auto"/>
        <w:jc w:val="both"/>
        <w:rPr>
          <w:rFonts w:cs="Calibri"/>
          <w:sz w:val="20"/>
        </w:rPr>
      </w:pPr>
      <w:r w:rsidRPr="00511A94">
        <w:rPr>
          <w:rFonts w:cs="Calibri"/>
          <w:sz w:val="20"/>
        </w:rPr>
        <w:t>Each responsible party, subcontractor and sub-recipient will promptly inform UNDP as the Implementing Partner in case of any incidence of inappropriate use of funds, or credible allegation of fraud or corruption with due confidentiality.</w:t>
      </w:r>
    </w:p>
    <w:p w:rsidR="00AF1856" w:rsidRPr="00511A94" w:rsidRDefault="00AF1856" w:rsidP="00511A94">
      <w:pPr>
        <w:spacing w:after="0"/>
        <w:ind w:left="360"/>
        <w:jc w:val="both"/>
        <w:rPr>
          <w:rFonts w:eastAsia="Calibri" w:cs="Calibri"/>
          <w:color w:val="000000"/>
          <w:sz w:val="20"/>
        </w:rPr>
      </w:pPr>
      <w:r w:rsidRPr="00511A94">
        <w:rPr>
          <w:rFonts w:cs="Calibri"/>
          <w:sz w:val="20"/>
        </w:rPr>
        <w:t>Where it becomes aware that a UNDP project or activity, in whole or in part, is the focus of investigation for alleged fraud/corruption, each responsible party, subcontractor and sub-recipient will inform the UNDP Resident Representative/Head of Office, who will promptly inform UNDP’s Office of Audit and Investigations (OAI). It will provide regular updates to the head of UNDP in the country and OAI of the status of, and actions relating to, such investigation.</w:t>
      </w:r>
    </w:p>
    <w:p w:rsidR="00AF1856" w:rsidRPr="00511A94" w:rsidRDefault="00AF1856" w:rsidP="009D6B25">
      <w:pPr>
        <w:numPr>
          <w:ilvl w:val="0"/>
          <w:numId w:val="14"/>
        </w:numPr>
        <w:autoSpaceDE w:val="0"/>
        <w:autoSpaceDN w:val="0"/>
        <w:adjustRightInd w:val="0"/>
        <w:spacing w:after="0" w:line="240" w:lineRule="auto"/>
        <w:jc w:val="both"/>
        <w:rPr>
          <w:rFonts w:eastAsia="Calibri" w:cs="Calibri"/>
          <w:color w:val="000000"/>
          <w:sz w:val="20"/>
        </w:rPr>
      </w:pPr>
      <w:r w:rsidRPr="00511A94">
        <w:rPr>
          <w:rFonts w:cs="Calibri"/>
          <w:sz w:val="20"/>
        </w:rPr>
        <w:t xml:space="preserve">UNDP will be entitled to a refund from the responsible party, subcontractor or sub-recipient of any funds provided that have been used inappropriately, including through fraud or corruption, or otherwise paid other than in accordance with the terms and conditions of this Project Document.  Such amount may be deducted by UNDP from any payment due to the responsible party, subcontractor or sub-recipient under this or any other agreement.  Recovery of such amount by UNDP shall not diminish or curtail any responsible </w:t>
      </w:r>
      <w:proofErr w:type="spellStart"/>
      <w:r w:rsidRPr="00511A94">
        <w:rPr>
          <w:rFonts w:cs="Calibri"/>
          <w:sz w:val="20"/>
        </w:rPr>
        <w:t>party’s</w:t>
      </w:r>
      <w:proofErr w:type="spellEnd"/>
      <w:r w:rsidRPr="00511A94">
        <w:rPr>
          <w:rFonts w:cs="Calibri"/>
          <w:sz w:val="20"/>
        </w:rPr>
        <w:t>, subcontractor’s or sub-recipient’s obligations under this Project Document.</w:t>
      </w:r>
    </w:p>
    <w:p w:rsidR="00AF1856" w:rsidRPr="00511A94" w:rsidRDefault="00AF1856" w:rsidP="00511A94">
      <w:pPr>
        <w:spacing w:after="0"/>
        <w:ind w:left="360"/>
        <w:jc w:val="both"/>
        <w:rPr>
          <w:rFonts w:eastAsia="Calibri" w:cs="Calibri"/>
          <w:color w:val="000000"/>
          <w:sz w:val="20"/>
        </w:rPr>
      </w:pPr>
      <w:r w:rsidRPr="00511A94">
        <w:rPr>
          <w:rFonts w:cs="Calibri"/>
          <w:sz w:val="20"/>
        </w:rPr>
        <w:t xml:space="preserve">Where such funds have not been refunded to UNDP, the responsible party, subcontractor or sub-recipient agrees that donors to UNDP (including the </w:t>
      </w:r>
      <w:r w:rsidR="00FB5FAA">
        <w:rPr>
          <w:rFonts w:cs="Calibri"/>
          <w:sz w:val="20"/>
        </w:rPr>
        <w:t>government</w:t>
      </w:r>
      <w:r w:rsidRPr="00511A94">
        <w:rPr>
          <w:rFonts w:cs="Calibri"/>
          <w:sz w:val="20"/>
        </w:rPr>
        <w:t>) whose funding is the source, in whole or in part, of the funds for the activities under this Project Document, may seek recourse to such responsible party, subcontractor or sub-recipient for the recovery of any funds determined by UNDP to have been used inappropriately, including through fraud or corruption, or otherwise paid other than in accordance with the terms and conditions of the Project Document.</w:t>
      </w:r>
      <w:r w:rsidR="00511A94" w:rsidRPr="00511A94">
        <w:rPr>
          <w:rFonts w:cs="Calibri"/>
          <w:sz w:val="20"/>
        </w:rPr>
        <w:t xml:space="preserve"> </w:t>
      </w:r>
      <w:r w:rsidRPr="00511A94">
        <w:rPr>
          <w:rFonts w:cs="Calibri"/>
          <w:i/>
          <w:sz w:val="20"/>
          <w:u w:val="single"/>
        </w:rPr>
        <w:t>Note</w:t>
      </w:r>
      <w:r w:rsidRPr="00511A94">
        <w:rPr>
          <w:rFonts w:cs="Calibri"/>
          <w:i/>
          <w:sz w:val="20"/>
        </w:rPr>
        <w:t>:</w:t>
      </w:r>
      <w:r w:rsidRPr="00511A94">
        <w:rPr>
          <w:rFonts w:cs="Calibri"/>
          <w:sz w:val="20"/>
        </w:rPr>
        <w:t xml:space="preserve"> The term “Project Document” as used in this clause shall be deemed to include any relevant subsidiary agreement further to the Project Document, including those with responsible parties, subcontractors and sub-recipients.</w:t>
      </w:r>
    </w:p>
    <w:p w:rsidR="00AF1856" w:rsidRPr="00511A94" w:rsidRDefault="00AF1856" w:rsidP="009D6B25">
      <w:pPr>
        <w:numPr>
          <w:ilvl w:val="0"/>
          <w:numId w:val="14"/>
        </w:numPr>
        <w:autoSpaceDE w:val="0"/>
        <w:autoSpaceDN w:val="0"/>
        <w:adjustRightInd w:val="0"/>
        <w:spacing w:after="0" w:line="240" w:lineRule="auto"/>
        <w:jc w:val="both"/>
        <w:rPr>
          <w:rFonts w:cs="Calibri"/>
          <w:sz w:val="20"/>
        </w:rPr>
      </w:pPr>
      <w:r w:rsidRPr="00511A94">
        <w:rPr>
          <w:rFonts w:cs="Calibri"/>
          <w:sz w:val="20"/>
        </w:rPr>
        <w:t>Each contract issued by the responsible party, subcontractor or sub-recipient in connection with this Project Document shall include a provision representing that no fees, gratuities, rebates, gifts, commissions or other payments, other than those shown in the proposal, have been given, received, or promised in connection with the selection process or in contract execution, and that the recipient of funds from it shall cooperate with any and all investigations and post-payment audits.</w:t>
      </w:r>
    </w:p>
    <w:p w:rsidR="00AF1856" w:rsidRPr="00511A94" w:rsidRDefault="00AF1856" w:rsidP="009D6B25">
      <w:pPr>
        <w:numPr>
          <w:ilvl w:val="0"/>
          <w:numId w:val="14"/>
        </w:numPr>
        <w:autoSpaceDE w:val="0"/>
        <w:autoSpaceDN w:val="0"/>
        <w:adjustRightInd w:val="0"/>
        <w:spacing w:after="0" w:line="240" w:lineRule="auto"/>
        <w:jc w:val="both"/>
        <w:rPr>
          <w:rFonts w:cs="Calibri"/>
          <w:sz w:val="20"/>
        </w:rPr>
      </w:pPr>
      <w:r w:rsidRPr="00511A94">
        <w:rPr>
          <w:rFonts w:cs="Calibri"/>
          <w:sz w:val="20"/>
        </w:rPr>
        <w:t xml:space="preserve">Should UNDP refer to the relevant national authorities for appropriate legal action any alleged wrongdoing relating to the project or programme, the </w:t>
      </w:r>
      <w:r w:rsidR="00FB5FAA">
        <w:rPr>
          <w:rFonts w:cs="Calibri"/>
          <w:sz w:val="20"/>
        </w:rPr>
        <w:t>government</w:t>
      </w:r>
      <w:r w:rsidRPr="00511A94">
        <w:rPr>
          <w:rFonts w:cs="Calibri"/>
          <w:sz w:val="20"/>
        </w:rPr>
        <w:t xml:space="preserve"> will ensure that the relevant national authorities shall actively investigate the same and take appropriate legal action against all individuals found to have participated in the wrongdoing, recover and return any recovered funds to UNDP.</w:t>
      </w:r>
    </w:p>
    <w:p w:rsidR="00AF1856" w:rsidRPr="00511A94" w:rsidRDefault="00AF1856" w:rsidP="009D6B25">
      <w:pPr>
        <w:numPr>
          <w:ilvl w:val="0"/>
          <w:numId w:val="14"/>
        </w:numPr>
        <w:autoSpaceDE w:val="0"/>
        <w:autoSpaceDN w:val="0"/>
        <w:adjustRightInd w:val="0"/>
        <w:spacing w:after="0" w:line="240" w:lineRule="auto"/>
        <w:jc w:val="both"/>
        <w:rPr>
          <w:rFonts w:cs="Calibri"/>
          <w:sz w:val="20"/>
        </w:rPr>
      </w:pPr>
      <w:r w:rsidRPr="00511A94">
        <w:rPr>
          <w:rFonts w:cs="Calibri"/>
          <w:sz w:val="20"/>
        </w:rPr>
        <w:t xml:space="preserve">Each responsible party, subcontractor and sub-recipient shall ensure that all of its obligations set forth under this section entitled “Risk Management” are passed on to its subcontractors and sub-recipients and that all the clauses under this section entitled “Risk Management Standard Clauses” are adequately reflected, </w:t>
      </w:r>
      <w:r w:rsidRPr="00511A94">
        <w:rPr>
          <w:rFonts w:cs="Calibri"/>
          <w:i/>
          <w:sz w:val="20"/>
        </w:rPr>
        <w:t>mutatis mutandis</w:t>
      </w:r>
      <w:r w:rsidRPr="00511A94">
        <w:rPr>
          <w:rFonts w:cs="Calibri"/>
          <w:sz w:val="20"/>
        </w:rPr>
        <w:t>, in all its sub-contracts or sub-agreements entered into further to this Project Document.</w:t>
      </w:r>
    </w:p>
    <w:p w:rsidR="002F14AB" w:rsidRPr="00135431" w:rsidRDefault="001930B8" w:rsidP="009D6B25">
      <w:pPr>
        <w:pStyle w:val="Heading1"/>
        <w:numPr>
          <w:ilvl w:val="0"/>
          <w:numId w:val="8"/>
        </w:numPr>
        <w:jc w:val="left"/>
      </w:pPr>
      <w:r w:rsidRPr="00AD17EF">
        <w:rPr>
          <w:rFonts w:ascii="Calibri" w:hAnsi="Calibri" w:cs="Calibri"/>
          <w:sz w:val="22"/>
          <w:szCs w:val="22"/>
        </w:rPr>
        <w:br w:type="page"/>
      </w:r>
      <w:bookmarkStart w:id="90" w:name="_Toc22745684"/>
      <w:bookmarkStart w:id="91" w:name="_Toc25739975"/>
      <w:bookmarkStart w:id="92" w:name="_Toc25740084"/>
      <w:r w:rsidR="002F14AB" w:rsidRPr="00135431">
        <w:t>ANNEXES</w:t>
      </w:r>
      <w:bookmarkEnd w:id="90"/>
      <w:bookmarkEnd w:id="91"/>
      <w:bookmarkEnd w:id="92"/>
    </w:p>
    <w:p w:rsidR="00030277" w:rsidRPr="00135431" w:rsidRDefault="00E07ED4" w:rsidP="001930B8">
      <w:pPr>
        <w:pStyle w:val="Heading2"/>
        <w:jc w:val="left"/>
      </w:pPr>
      <w:bookmarkStart w:id="93" w:name="_Toc22745685"/>
      <w:bookmarkStart w:id="94" w:name="_Toc25739976"/>
      <w:bookmarkStart w:id="95" w:name="_Toc25740085"/>
      <w:r w:rsidRPr="00135431">
        <w:t xml:space="preserve">ANNEX </w:t>
      </w:r>
      <w:r w:rsidR="00A853D6" w:rsidRPr="00135431">
        <w:t>I</w:t>
      </w:r>
      <w:r w:rsidRPr="00135431">
        <w:t>.</w:t>
      </w:r>
      <w:bookmarkEnd w:id="93"/>
      <w:r w:rsidR="00A242DE">
        <w:tab/>
      </w:r>
      <w:r w:rsidR="00163E60">
        <w:t>Project Quality Assurance Report</w:t>
      </w:r>
      <w:bookmarkEnd w:id="94"/>
      <w:bookmarkEnd w:id="95"/>
      <w:r w:rsidRPr="00135431">
        <w:t xml:space="preserve"> </w:t>
      </w:r>
    </w:p>
    <w:p w:rsidR="00030277" w:rsidRPr="00C318A5" w:rsidRDefault="0021630E" w:rsidP="00030277">
      <w:pPr>
        <w:rPr>
          <w:i/>
          <w:iCs/>
          <w:sz w:val="20"/>
        </w:rPr>
      </w:pPr>
      <w:r>
        <w:rPr>
          <w:i/>
          <w:iCs/>
          <w:sz w:val="20"/>
        </w:rPr>
        <w:t xml:space="preserve">Project Quality Assurance Report to be updated subsequent to LPAC meeting. </w:t>
      </w:r>
    </w:p>
    <w:p w:rsidR="00132DF1" w:rsidRPr="00135431" w:rsidRDefault="00E35527" w:rsidP="001930B8">
      <w:pPr>
        <w:pStyle w:val="Heading2"/>
        <w:jc w:val="left"/>
      </w:pPr>
      <w:r w:rsidRPr="00135431">
        <w:br w:type="page"/>
      </w:r>
      <w:bookmarkStart w:id="96" w:name="_Toc22745686"/>
      <w:bookmarkStart w:id="97" w:name="_Toc25739977"/>
      <w:bookmarkStart w:id="98" w:name="_Toc25740086"/>
      <w:r w:rsidR="00132DF1" w:rsidRPr="00135431">
        <w:t xml:space="preserve">ANNEX </w:t>
      </w:r>
      <w:r w:rsidR="00CD50C8">
        <w:t>II</w:t>
      </w:r>
      <w:r w:rsidR="00132DF1" w:rsidRPr="00135431">
        <w:t>.</w:t>
      </w:r>
      <w:bookmarkEnd w:id="96"/>
      <w:r w:rsidR="00CD50C8">
        <w:tab/>
      </w:r>
      <w:r w:rsidR="00C10602">
        <w:t xml:space="preserve">UNDP </w:t>
      </w:r>
      <w:r w:rsidR="00163E60" w:rsidRPr="00B00697">
        <w:t>S</w:t>
      </w:r>
      <w:r w:rsidR="00163E60">
        <w:t xml:space="preserve">ocial </w:t>
      </w:r>
      <w:r w:rsidR="008740A0">
        <w:t>&amp;</w:t>
      </w:r>
      <w:r w:rsidR="00163E60">
        <w:t xml:space="preserve"> Environmental Screening</w:t>
      </w:r>
      <w:bookmarkEnd w:id="97"/>
      <w:bookmarkEnd w:id="98"/>
    </w:p>
    <w:p w:rsidR="00E652DC" w:rsidRPr="00E652DC" w:rsidRDefault="00E652DC" w:rsidP="00E652DC">
      <w:pPr>
        <w:spacing w:before="200"/>
        <w:rPr>
          <w:rFonts w:cs="Calibri Light"/>
          <w:b/>
          <w:color w:val="4472C4"/>
          <w:sz w:val="20"/>
          <w:szCs w:val="20"/>
        </w:rPr>
      </w:pPr>
      <w:r w:rsidRPr="00E652DC">
        <w:rPr>
          <w:rFonts w:cs="Calibri Light"/>
          <w:b/>
          <w:color w:val="4472C4"/>
          <w:sz w:val="20"/>
          <w:szCs w:val="20"/>
        </w:rPr>
        <w:t>Project Information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6026"/>
      </w:tblGrid>
      <w:tr w:rsidR="00E652DC" w:rsidRPr="005118AF" w:rsidTr="00E652DC">
        <w:tc>
          <w:tcPr>
            <w:tcW w:w="3325" w:type="dxa"/>
            <w:shd w:val="clear" w:color="auto" w:fill="D5DCE4"/>
            <w:vAlign w:val="center"/>
          </w:tcPr>
          <w:p w:rsidR="00E652DC" w:rsidRPr="00E652DC" w:rsidRDefault="00E652DC" w:rsidP="00E652DC">
            <w:pPr>
              <w:tabs>
                <w:tab w:val="left" w:pos="360"/>
              </w:tabs>
              <w:rPr>
                <w:rFonts w:cs="Calibri Light"/>
                <w:b/>
                <w:i/>
                <w:color w:val="000000"/>
                <w:sz w:val="20"/>
                <w:szCs w:val="20"/>
              </w:rPr>
            </w:pPr>
            <w:r w:rsidRPr="00E652DC">
              <w:rPr>
                <w:rFonts w:cs="Calibri Light"/>
                <w:b/>
                <w:i/>
                <w:color w:val="000000"/>
                <w:sz w:val="20"/>
                <w:szCs w:val="20"/>
              </w:rPr>
              <w:t xml:space="preserve">Project Information </w:t>
            </w:r>
          </w:p>
        </w:tc>
        <w:tc>
          <w:tcPr>
            <w:tcW w:w="6026" w:type="dxa"/>
            <w:shd w:val="clear" w:color="auto" w:fill="D5DCE4"/>
            <w:vAlign w:val="center"/>
          </w:tcPr>
          <w:p w:rsidR="00E652DC" w:rsidRPr="00E652DC" w:rsidRDefault="00E652DC" w:rsidP="00E652DC">
            <w:pPr>
              <w:rPr>
                <w:rFonts w:cs="Calibri Light"/>
                <w:i/>
                <w:color w:val="000000"/>
                <w:sz w:val="20"/>
                <w:szCs w:val="20"/>
              </w:rPr>
            </w:pPr>
          </w:p>
        </w:tc>
      </w:tr>
      <w:tr w:rsidR="00E652DC" w:rsidRPr="005118AF" w:rsidTr="00E652DC">
        <w:trPr>
          <w:trHeight w:val="288"/>
        </w:trPr>
        <w:tc>
          <w:tcPr>
            <w:tcW w:w="3325" w:type="dxa"/>
            <w:shd w:val="clear" w:color="auto" w:fill="auto"/>
            <w:vAlign w:val="center"/>
          </w:tcPr>
          <w:p w:rsidR="00E652DC" w:rsidRPr="00E652DC" w:rsidRDefault="00E652DC" w:rsidP="009D6B25">
            <w:pPr>
              <w:pStyle w:val="ListParagraph"/>
              <w:numPr>
                <w:ilvl w:val="0"/>
                <w:numId w:val="23"/>
              </w:numPr>
              <w:spacing w:after="0" w:line="240" w:lineRule="auto"/>
              <w:ind w:left="360"/>
              <w:rPr>
                <w:rFonts w:cs="Calibri Light"/>
                <w:sz w:val="20"/>
                <w:szCs w:val="20"/>
              </w:rPr>
            </w:pPr>
            <w:r w:rsidRPr="00E652DC">
              <w:rPr>
                <w:rFonts w:cs="Calibri Light"/>
                <w:sz w:val="20"/>
                <w:szCs w:val="20"/>
              </w:rPr>
              <w:t>Project Title</w:t>
            </w:r>
          </w:p>
        </w:tc>
        <w:tc>
          <w:tcPr>
            <w:tcW w:w="6026" w:type="dxa"/>
            <w:shd w:val="clear" w:color="auto" w:fill="auto"/>
            <w:vAlign w:val="center"/>
          </w:tcPr>
          <w:p w:rsidR="00E652DC" w:rsidRPr="00E652DC" w:rsidRDefault="008251B7" w:rsidP="00E652DC">
            <w:pPr>
              <w:rPr>
                <w:rFonts w:cs="Calibri Light"/>
                <w:sz w:val="20"/>
                <w:szCs w:val="20"/>
              </w:rPr>
            </w:pPr>
            <w:r>
              <w:rPr>
                <w:rFonts w:cs="Calibri Light"/>
                <w:sz w:val="20"/>
                <w:szCs w:val="20"/>
              </w:rPr>
              <w:t>GOVERNANCE FOR RESILIENT DEVELOPMENT IN THE PACIFIC</w:t>
            </w:r>
          </w:p>
        </w:tc>
      </w:tr>
      <w:tr w:rsidR="00E652DC" w:rsidRPr="005118AF" w:rsidTr="00E652DC">
        <w:trPr>
          <w:trHeight w:val="288"/>
        </w:trPr>
        <w:tc>
          <w:tcPr>
            <w:tcW w:w="3325" w:type="dxa"/>
            <w:shd w:val="clear" w:color="auto" w:fill="auto"/>
            <w:vAlign w:val="center"/>
          </w:tcPr>
          <w:p w:rsidR="00E652DC" w:rsidRPr="00E652DC" w:rsidRDefault="00E652DC" w:rsidP="009D6B25">
            <w:pPr>
              <w:pStyle w:val="ListParagraph"/>
              <w:numPr>
                <w:ilvl w:val="0"/>
                <w:numId w:val="23"/>
              </w:numPr>
              <w:spacing w:after="0" w:line="240" w:lineRule="auto"/>
              <w:ind w:left="360"/>
              <w:rPr>
                <w:rFonts w:cs="Calibri Light"/>
                <w:sz w:val="20"/>
                <w:szCs w:val="20"/>
              </w:rPr>
            </w:pPr>
            <w:r w:rsidRPr="00E652DC">
              <w:rPr>
                <w:rFonts w:cs="Calibri Light"/>
                <w:sz w:val="20"/>
                <w:szCs w:val="20"/>
              </w:rPr>
              <w:t>Project Number</w:t>
            </w:r>
          </w:p>
        </w:tc>
        <w:tc>
          <w:tcPr>
            <w:tcW w:w="6026" w:type="dxa"/>
            <w:shd w:val="clear" w:color="auto" w:fill="auto"/>
            <w:vAlign w:val="center"/>
          </w:tcPr>
          <w:p w:rsidR="00E652DC" w:rsidRPr="00E652DC" w:rsidRDefault="00E652DC" w:rsidP="00E652DC">
            <w:pPr>
              <w:rPr>
                <w:rFonts w:cs="Calibri Light"/>
                <w:sz w:val="20"/>
                <w:szCs w:val="20"/>
              </w:rPr>
            </w:pPr>
            <w:r w:rsidRPr="005118AF">
              <w:rPr>
                <w:bCs/>
                <w:sz w:val="20"/>
              </w:rPr>
              <w:t>00112069</w:t>
            </w:r>
          </w:p>
        </w:tc>
      </w:tr>
      <w:tr w:rsidR="00E652DC" w:rsidRPr="005118AF" w:rsidTr="00E652DC">
        <w:trPr>
          <w:trHeight w:val="288"/>
        </w:trPr>
        <w:tc>
          <w:tcPr>
            <w:tcW w:w="3325" w:type="dxa"/>
            <w:shd w:val="clear" w:color="auto" w:fill="auto"/>
            <w:vAlign w:val="center"/>
          </w:tcPr>
          <w:p w:rsidR="00E652DC" w:rsidRPr="00E652DC" w:rsidRDefault="00E652DC" w:rsidP="009D6B25">
            <w:pPr>
              <w:pStyle w:val="ListParagraph"/>
              <w:numPr>
                <w:ilvl w:val="0"/>
                <w:numId w:val="23"/>
              </w:numPr>
              <w:spacing w:after="0" w:line="240" w:lineRule="auto"/>
              <w:ind w:left="360"/>
              <w:rPr>
                <w:rFonts w:cs="Calibri Light"/>
                <w:sz w:val="20"/>
                <w:szCs w:val="20"/>
              </w:rPr>
            </w:pPr>
            <w:r w:rsidRPr="00E652DC">
              <w:rPr>
                <w:rFonts w:cs="Calibri Light"/>
                <w:sz w:val="20"/>
                <w:szCs w:val="20"/>
              </w:rPr>
              <w:t>Location (Global/Region/Country)</w:t>
            </w:r>
          </w:p>
        </w:tc>
        <w:tc>
          <w:tcPr>
            <w:tcW w:w="6026" w:type="dxa"/>
            <w:shd w:val="clear" w:color="auto" w:fill="auto"/>
            <w:vAlign w:val="center"/>
          </w:tcPr>
          <w:p w:rsidR="00E652DC" w:rsidRPr="00E652DC" w:rsidRDefault="00E652DC" w:rsidP="00E652DC">
            <w:pPr>
              <w:rPr>
                <w:rFonts w:cs="Calibri Light"/>
                <w:sz w:val="20"/>
                <w:szCs w:val="20"/>
              </w:rPr>
            </w:pPr>
            <w:r w:rsidRPr="00E652DC">
              <w:rPr>
                <w:rFonts w:cs="Calibri Light"/>
                <w:sz w:val="20"/>
                <w:szCs w:val="20"/>
              </w:rPr>
              <w:t>REGIONAL</w:t>
            </w:r>
          </w:p>
        </w:tc>
      </w:tr>
    </w:tbl>
    <w:p w:rsidR="00E652DC" w:rsidRPr="00E652DC" w:rsidRDefault="00E652DC" w:rsidP="00E652DC">
      <w:pPr>
        <w:tabs>
          <w:tab w:val="left" w:pos="360"/>
        </w:tabs>
        <w:rPr>
          <w:rFonts w:cs="Calibri Light"/>
          <w:sz w:val="20"/>
          <w:szCs w:val="20"/>
        </w:rPr>
      </w:pPr>
    </w:p>
    <w:p w:rsidR="00E652DC" w:rsidRPr="00E652DC" w:rsidRDefault="00E652DC" w:rsidP="00E652DC">
      <w:pPr>
        <w:spacing w:before="200"/>
        <w:rPr>
          <w:rFonts w:cs="Calibri Light"/>
          <w:b/>
          <w:color w:val="2F5496"/>
          <w:sz w:val="20"/>
          <w:szCs w:val="20"/>
        </w:rPr>
      </w:pPr>
      <w:r w:rsidRPr="00E652DC">
        <w:rPr>
          <w:rFonts w:cs="Calibri Light"/>
          <w:b/>
          <w:color w:val="2F5496"/>
          <w:sz w:val="20"/>
          <w:szCs w:val="20"/>
        </w:rPr>
        <w:t>Part A. Integrating Overarching Principles to Strengthen Social and Environmental Sustainability</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E652DC" w:rsidRPr="00B53D2B" w:rsidTr="00E652DC">
        <w:trPr>
          <w:trHeight w:val="449"/>
        </w:trPr>
        <w:tc>
          <w:tcPr>
            <w:tcW w:w="9351" w:type="dxa"/>
            <w:shd w:val="clear" w:color="auto" w:fill="222A35"/>
            <w:vAlign w:val="center"/>
          </w:tcPr>
          <w:p w:rsidR="00E652DC" w:rsidRPr="00E652DC" w:rsidRDefault="00E652DC" w:rsidP="00E652DC">
            <w:pPr>
              <w:rPr>
                <w:rFonts w:cs="Calibri Light"/>
                <w:sz w:val="20"/>
                <w:szCs w:val="20"/>
              </w:rPr>
            </w:pPr>
            <w:r w:rsidRPr="00E652DC">
              <w:rPr>
                <w:rFonts w:cs="Calibri Light"/>
                <w:b/>
                <w:sz w:val="20"/>
                <w:szCs w:val="20"/>
              </w:rPr>
              <w:t>QUESTION 1: How Does the Project Integrate the Overarching Principles in order to Strengthen Social and Environmental Sustainability?</w:t>
            </w:r>
          </w:p>
        </w:tc>
      </w:tr>
      <w:tr w:rsidR="00E652DC" w:rsidRPr="00B53D2B" w:rsidTr="00E652DC">
        <w:tc>
          <w:tcPr>
            <w:tcW w:w="9351" w:type="dxa"/>
            <w:shd w:val="clear" w:color="auto" w:fill="D5DCE4"/>
          </w:tcPr>
          <w:p w:rsidR="00E652DC" w:rsidRPr="00E652DC" w:rsidRDefault="00E652DC" w:rsidP="00E652DC">
            <w:pPr>
              <w:tabs>
                <w:tab w:val="left" w:pos="432"/>
              </w:tabs>
              <w:spacing w:before="60"/>
              <w:rPr>
                <w:rFonts w:cs="Calibri Light"/>
                <w:b/>
                <w:i/>
                <w:sz w:val="20"/>
                <w:szCs w:val="20"/>
              </w:rPr>
            </w:pPr>
            <w:r w:rsidRPr="00E652DC">
              <w:rPr>
                <w:rFonts w:cs="Calibri Light"/>
                <w:b/>
                <w:i/>
                <w:sz w:val="20"/>
                <w:szCs w:val="20"/>
              </w:rPr>
              <w:t xml:space="preserve">Briefly describe in the space below how the Project mainstreams the human-rights based approach </w:t>
            </w:r>
          </w:p>
        </w:tc>
      </w:tr>
      <w:tr w:rsidR="00E652DC" w:rsidRPr="00B53D2B" w:rsidTr="00E652DC">
        <w:tc>
          <w:tcPr>
            <w:tcW w:w="9351" w:type="dxa"/>
            <w:shd w:val="clear" w:color="auto" w:fill="auto"/>
          </w:tcPr>
          <w:p w:rsidR="00E652DC" w:rsidRPr="00E652DC" w:rsidRDefault="008251B7" w:rsidP="00E652DC">
            <w:pPr>
              <w:spacing w:before="60" w:after="0"/>
              <w:jc w:val="both"/>
              <w:rPr>
                <w:rFonts w:cs="Calibri Light"/>
                <w:sz w:val="20"/>
                <w:szCs w:val="20"/>
              </w:rPr>
            </w:pPr>
            <w:proofErr w:type="gramStart"/>
            <w:r>
              <w:rPr>
                <w:sz w:val="20"/>
                <w:szCs w:val="20"/>
              </w:rPr>
              <w:t>GRDP</w:t>
            </w:r>
            <w:r w:rsidR="00E652DC" w:rsidRPr="00E652DC">
              <w:rPr>
                <w:sz w:val="20"/>
                <w:szCs w:val="20"/>
              </w:rPr>
              <w:t xml:space="preserve">  will</w:t>
            </w:r>
            <w:proofErr w:type="gramEnd"/>
            <w:r w:rsidR="00E652DC" w:rsidRPr="00E652DC">
              <w:rPr>
                <w:sz w:val="20"/>
                <w:szCs w:val="20"/>
              </w:rPr>
              <w:t xml:space="preserve"> do joint programming with RBAP’s Governance for Climate Change Financing Programme (GCCF) for Asia and the Pacific region. </w:t>
            </w:r>
            <w:r>
              <w:rPr>
                <w:sz w:val="20"/>
                <w:szCs w:val="20"/>
              </w:rPr>
              <w:t>GRDP</w:t>
            </w:r>
            <w:r w:rsidR="00E652DC" w:rsidRPr="00E652DC">
              <w:rPr>
                <w:sz w:val="20"/>
                <w:szCs w:val="20"/>
              </w:rPr>
              <w:t xml:space="preserve">  will contribute to three of the four GCCF key output areas: budget processes increasingly formulate gender responsive climate change related investments that will have a positive impact on poverty and human rights (output 1); accountability for gender-responsive climate change related investments that have impacts on poverty and human rights is enhanced (output 2); and regional institutions increasingly play a role in the integrated approach to gender-responsive climate change budgeting that have impacts on poverty and human rights (output 3).</w:t>
            </w:r>
          </w:p>
        </w:tc>
      </w:tr>
      <w:tr w:rsidR="00E652DC" w:rsidRPr="00B53D2B" w:rsidTr="00E652DC">
        <w:trPr>
          <w:trHeight w:val="296"/>
        </w:trPr>
        <w:tc>
          <w:tcPr>
            <w:tcW w:w="9351" w:type="dxa"/>
            <w:shd w:val="clear" w:color="auto" w:fill="D5DCE4"/>
          </w:tcPr>
          <w:p w:rsidR="00E652DC" w:rsidRPr="00E652DC" w:rsidRDefault="00E652DC" w:rsidP="00E652DC">
            <w:pPr>
              <w:spacing w:after="120"/>
              <w:contextualSpacing/>
              <w:rPr>
                <w:rFonts w:cs="Calibri Light"/>
                <w:b/>
                <w:i/>
                <w:sz w:val="20"/>
                <w:szCs w:val="20"/>
              </w:rPr>
            </w:pPr>
            <w:r w:rsidRPr="00E652DC">
              <w:rPr>
                <w:rFonts w:cs="Calibri Light"/>
                <w:b/>
                <w:i/>
                <w:sz w:val="20"/>
                <w:szCs w:val="20"/>
              </w:rPr>
              <w:t>Briefly describe in the space below how the Project is likely to improve gender equality and women’s empowerment</w:t>
            </w:r>
          </w:p>
        </w:tc>
      </w:tr>
      <w:tr w:rsidR="00E652DC" w:rsidRPr="00B53D2B" w:rsidTr="00E652DC">
        <w:tc>
          <w:tcPr>
            <w:tcW w:w="9351" w:type="dxa"/>
            <w:shd w:val="clear" w:color="auto" w:fill="auto"/>
          </w:tcPr>
          <w:p w:rsidR="00E652DC" w:rsidRPr="00E652DC" w:rsidRDefault="008251B7" w:rsidP="00E652DC">
            <w:pPr>
              <w:jc w:val="both"/>
              <w:rPr>
                <w:sz w:val="20"/>
                <w:szCs w:val="20"/>
              </w:rPr>
            </w:pPr>
            <w:r>
              <w:rPr>
                <w:sz w:val="20"/>
                <w:szCs w:val="20"/>
              </w:rPr>
              <w:t>GRDP</w:t>
            </w:r>
            <w:r w:rsidR="00E652DC" w:rsidRPr="00E652DC">
              <w:rPr>
                <w:sz w:val="20"/>
                <w:szCs w:val="20"/>
              </w:rPr>
              <w:t xml:space="preserve"> proposes that effective attention to climate change and disaster risks requires understanding those risks from the experience of people most likely to be vulnerable to impacts of climate change and disasters. This includes women, people with disability and other marginalised groups. </w:t>
            </w:r>
            <w:r>
              <w:rPr>
                <w:sz w:val="20"/>
                <w:szCs w:val="20"/>
              </w:rPr>
              <w:t>GRDP</w:t>
            </w:r>
            <w:r w:rsidR="00E652DC" w:rsidRPr="00E652DC">
              <w:rPr>
                <w:sz w:val="20"/>
                <w:szCs w:val="20"/>
              </w:rPr>
              <w:t xml:space="preserve"> will utilise the learning from </w:t>
            </w:r>
            <w:r>
              <w:rPr>
                <w:sz w:val="20"/>
                <w:szCs w:val="20"/>
              </w:rPr>
              <w:t>GRDP</w:t>
            </w:r>
            <w:r w:rsidR="00E652DC" w:rsidRPr="00E652DC">
              <w:rPr>
                <w:sz w:val="20"/>
                <w:szCs w:val="20"/>
              </w:rPr>
              <w:t xml:space="preserve"> to partner with ministries of women in each of its focus countries as part of its work with central government agencies. Utilising existing experience and knowledge of the women’s machinery of government within those government systems is an efficient way to draw on contextually relevant knowledge of the risks for women around climate change and disaster. It is also more likely to lead to a sustained focus on women in the </w:t>
            </w:r>
            <w:r w:rsidR="00FB5FAA">
              <w:rPr>
                <w:sz w:val="20"/>
                <w:szCs w:val="20"/>
              </w:rPr>
              <w:t>government</w:t>
            </w:r>
            <w:r w:rsidR="00E652DC" w:rsidRPr="00E652DC">
              <w:rPr>
                <w:sz w:val="20"/>
                <w:szCs w:val="20"/>
              </w:rPr>
              <w:t xml:space="preserve"> management of and ongoing attention to those risks.</w:t>
            </w:r>
          </w:p>
        </w:tc>
      </w:tr>
      <w:tr w:rsidR="00E652DC" w:rsidRPr="00B53D2B" w:rsidTr="00E652DC">
        <w:trPr>
          <w:trHeight w:val="305"/>
        </w:trPr>
        <w:tc>
          <w:tcPr>
            <w:tcW w:w="9351" w:type="dxa"/>
            <w:shd w:val="clear" w:color="auto" w:fill="D5DCE4"/>
          </w:tcPr>
          <w:p w:rsidR="00E652DC" w:rsidRPr="00E652DC" w:rsidRDefault="00E652DC" w:rsidP="00E652DC">
            <w:pPr>
              <w:spacing w:after="120"/>
              <w:contextualSpacing/>
              <w:rPr>
                <w:rFonts w:cs="Calibri Light"/>
                <w:b/>
                <w:i/>
                <w:sz w:val="20"/>
                <w:szCs w:val="20"/>
                <w:u w:val="single"/>
              </w:rPr>
            </w:pPr>
            <w:r w:rsidRPr="00E652DC">
              <w:rPr>
                <w:rFonts w:cs="Calibri Light"/>
                <w:b/>
                <w:i/>
                <w:sz w:val="20"/>
                <w:szCs w:val="20"/>
              </w:rPr>
              <w:t>Briefly describe in the space below how the Project mainstreams environmental sustainability</w:t>
            </w:r>
          </w:p>
        </w:tc>
      </w:tr>
      <w:tr w:rsidR="00E652DC" w:rsidRPr="00B53D2B" w:rsidTr="00E652DC">
        <w:tc>
          <w:tcPr>
            <w:tcW w:w="9351" w:type="dxa"/>
            <w:shd w:val="clear" w:color="auto" w:fill="auto"/>
          </w:tcPr>
          <w:p w:rsidR="00E652DC" w:rsidRPr="00E652DC" w:rsidRDefault="00E652DC" w:rsidP="00E652DC">
            <w:pPr>
              <w:tabs>
                <w:tab w:val="left" w:pos="432"/>
              </w:tabs>
              <w:spacing w:before="60"/>
              <w:rPr>
                <w:rFonts w:cs="Calibri Light"/>
                <w:color w:val="595959"/>
                <w:sz w:val="20"/>
                <w:szCs w:val="20"/>
              </w:rPr>
            </w:pPr>
            <w:r w:rsidRPr="00B118D4">
              <w:rPr>
                <w:bCs/>
                <w:sz w:val="20"/>
                <w:szCs w:val="20"/>
              </w:rPr>
              <w:t xml:space="preserve">The core proposition for </w:t>
            </w:r>
            <w:r w:rsidR="008251B7">
              <w:rPr>
                <w:bCs/>
                <w:sz w:val="20"/>
                <w:szCs w:val="20"/>
              </w:rPr>
              <w:t>GRDP</w:t>
            </w:r>
            <w:r w:rsidRPr="00B118D4">
              <w:rPr>
                <w:bCs/>
                <w:sz w:val="20"/>
                <w:szCs w:val="20"/>
              </w:rPr>
              <w:t xml:space="preserve"> is that Pacific Island people will be more resilient to the impacts of climate change and disasters if Pacific countries manage all development through a risk lens</w:t>
            </w:r>
            <w:r w:rsidRPr="00B118D4">
              <w:rPr>
                <w:sz w:val="20"/>
                <w:szCs w:val="20"/>
              </w:rPr>
              <w:t>.</w:t>
            </w:r>
          </w:p>
        </w:tc>
      </w:tr>
    </w:tbl>
    <w:p w:rsidR="00E652DC" w:rsidRPr="00E652DC" w:rsidRDefault="00E652DC" w:rsidP="00E652DC">
      <w:pPr>
        <w:rPr>
          <w:rFonts w:cs="Calibri Light"/>
          <w:b/>
          <w:sz w:val="20"/>
          <w:szCs w:val="20"/>
        </w:rPr>
      </w:pPr>
    </w:p>
    <w:p w:rsidR="00E652DC" w:rsidRPr="00E652DC" w:rsidRDefault="00E652DC" w:rsidP="00E652DC">
      <w:pPr>
        <w:keepNext/>
        <w:spacing w:before="200"/>
        <w:rPr>
          <w:rFonts w:cs="Calibri Light"/>
          <w:b/>
          <w:color w:val="2F5496"/>
          <w:sz w:val="20"/>
          <w:szCs w:val="20"/>
        </w:rPr>
      </w:pPr>
      <w:r w:rsidRPr="00E652DC">
        <w:rPr>
          <w:rFonts w:cs="Calibri Light"/>
          <w:b/>
          <w:color w:val="2F5496"/>
          <w:sz w:val="20"/>
          <w:szCs w:val="20"/>
        </w:rPr>
        <w:t>Part B. Identifying and Managing Social and Environmental Risks</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970"/>
        <w:gridCol w:w="1290"/>
        <w:gridCol w:w="284"/>
        <w:gridCol w:w="1264"/>
        <w:gridCol w:w="29"/>
        <w:gridCol w:w="10"/>
        <w:gridCol w:w="2524"/>
      </w:tblGrid>
      <w:tr w:rsidR="00E652DC" w:rsidRPr="005118AF" w:rsidTr="00E652DC">
        <w:trPr>
          <w:trHeight w:val="1061"/>
        </w:trPr>
        <w:tc>
          <w:tcPr>
            <w:tcW w:w="2836" w:type="dxa"/>
            <w:shd w:val="clear" w:color="auto" w:fill="2F5496"/>
          </w:tcPr>
          <w:p w:rsidR="00E652DC" w:rsidRPr="00E652DC" w:rsidRDefault="00E652DC" w:rsidP="00E652DC">
            <w:pPr>
              <w:keepNext/>
              <w:tabs>
                <w:tab w:val="left" w:pos="101"/>
              </w:tabs>
              <w:ind w:right="252" w:firstLine="11"/>
              <w:jc w:val="center"/>
              <w:rPr>
                <w:rFonts w:cs="Calibri Light"/>
                <w:b/>
                <w:color w:val="FFFFFF"/>
                <w:sz w:val="18"/>
                <w:szCs w:val="18"/>
              </w:rPr>
            </w:pPr>
            <w:r w:rsidRPr="00E652DC">
              <w:rPr>
                <w:rFonts w:cs="Calibri Light"/>
                <w:b/>
                <w:color w:val="FFFFFF"/>
                <w:sz w:val="18"/>
                <w:szCs w:val="18"/>
              </w:rPr>
              <w:t>QUESTION 2: What are the Potential Social and Environmental Risks?</w:t>
            </w:r>
          </w:p>
          <w:p w:rsidR="00E652DC" w:rsidRPr="00E652DC" w:rsidRDefault="00E652DC" w:rsidP="00E652DC">
            <w:pPr>
              <w:keepNext/>
              <w:tabs>
                <w:tab w:val="left" w:pos="101"/>
              </w:tabs>
              <w:ind w:right="252" w:firstLine="11"/>
              <w:jc w:val="center"/>
              <w:rPr>
                <w:rFonts w:cs="Calibri Light"/>
                <w:b/>
                <w:color w:val="FFFFFF"/>
                <w:sz w:val="18"/>
                <w:szCs w:val="18"/>
              </w:rPr>
            </w:pPr>
            <w:r w:rsidRPr="00E652DC">
              <w:rPr>
                <w:rFonts w:cs="Calibri Light"/>
                <w:i/>
                <w:color w:val="FFFFFF"/>
                <w:sz w:val="18"/>
                <w:szCs w:val="18"/>
              </w:rPr>
              <w:t>Note: Describe briefly potential social and environmental risks identified in Attachment 1 – Risk Screening Checklist (based on any “Yes” responses). If no risks have been identified in Attachment 1 then note “No Risks Identified” and skip to Question 4 and Select “Low Risk”. Questions 5 and 6 not required for Low Risk Projects.</w:t>
            </w:r>
          </w:p>
        </w:tc>
        <w:tc>
          <w:tcPr>
            <w:tcW w:w="4847" w:type="dxa"/>
            <w:gridSpan w:val="6"/>
            <w:shd w:val="clear" w:color="auto" w:fill="2F5496"/>
          </w:tcPr>
          <w:p w:rsidR="00E652DC" w:rsidRPr="00E652DC" w:rsidRDefault="00E652DC" w:rsidP="00E652DC">
            <w:pPr>
              <w:keepNext/>
              <w:tabs>
                <w:tab w:val="left" w:pos="101"/>
              </w:tabs>
              <w:ind w:right="252" w:firstLine="11"/>
              <w:jc w:val="center"/>
              <w:rPr>
                <w:rFonts w:cs="Calibri Light"/>
                <w:b/>
                <w:color w:val="FFFFFF"/>
                <w:sz w:val="18"/>
                <w:szCs w:val="18"/>
              </w:rPr>
            </w:pPr>
            <w:r w:rsidRPr="00E652DC">
              <w:rPr>
                <w:rFonts w:cs="Calibri Light"/>
                <w:b/>
                <w:color w:val="FFFFFF"/>
                <w:sz w:val="18"/>
                <w:szCs w:val="18"/>
              </w:rPr>
              <w:t>QUESTION 3: What is the level of significance of the potential social and environmental risks?</w:t>
            </w:r>
          </w:p>
          <w:p w:rsidR="00E652DC" w:rsidRPr="00E652DC" w:rsidRDefault="00E652DC" w:rsidP="00E652DC">
            <w:pPr>
              <w:keepNext/>
              <w:tabs>
                <w:tab w:val="left" w:pos="432"/>
              </w:tabs>
              <w:jc w:val="center"/>
              <w:rPr>
                <w:rFonts w:cs="Calibri Light"/>
                <w:b/>
                <w:color w:val="FFFFFF"/>
                <w:sz w:val="18"/>
                <w:szCs w:val="18"/>
              </w:rPr>
            </w:pPr>
            <w:r w:rsidRPr="00E652DC">
              <w:rPr>
                <w:rFonts w:cs="Calibri Light"/>
                <w:i/>
                <w:color w:val="FFFFFF"/>
                <w:sz w:val="18"/>
                <w:szCs w:val="18"/>
              </w:rPr>
              <w:t>Note: Respond to Questions 4 and 5 below before proceeding to Question 6</w:t>
            </w:r>
          </w:p>
        </w:tc>
        <w:tc>
          <w:tcPr>
            <w:tcW w:w="2524" w:type="dxa"/>
            <w:shd w:val="clear" w:color="auto" w:fill="2F5496"/>
          </w:tcPr>
          <w:p w:rsidR="00E652DC" w:rsidRPr="00E652DC" w:rsidRDefault="00E652DC" w:rsidP="00E652DC">
            <w:pPr>
              <w:keepNext/>
              <w:tabs>
                <w:tab w:val="left" w:pos="432"/>
              </w:tabs>
              <w:jc w:val="center"/>
              <w:rPr>
                <w:rFonts w:cs="Calibri Light"/>
                <w:b/>
                <w:color w:val="FFFFFF"/>
                <w:sz w:val="18"/>
                <w:szCs w:val="18"/>
              </w:rPr>
            </w:pPr>
            <w:r w:rsidRPr="00E652DC">
              <w:rPr>
                <w:rFonts w:cs="Calibri Light"/>
                <w:b/>
                <w:color w:val="FFFFFF"/>
                <w:sz w:val="18"/>
                <w:szCs w:val="18"/>
              </w:rPr>
              <w:t>QUESTION 6: What social and environmental assessment and management measures have been conducted and/or are required to address potential risks (for Risks with Moderate and High Significance)?</w:t>
            </w:r>
          </w:p>
        </w:tc>
      </w:tr>
      <w:tr w:rsidR="00E652DC" w:rsidRPr="005118AF" w:rsidTr="00E652DC">
        <w:tc>
          <w:tcPr>
            <w:tcW w:w="2836" w:type="dxa"/>
            <w:shd w:val="clear" w:color="auto" w:fill="D5DCE4"/>
          </w:tcPr>
          <w:p w:rsidR="00E652DC" w:rsidRPr="00E652DC" w:rsidRDefault="00E652DC" w:rsidP="00E652DC">
            <w:pPr>
              <w:rPr>
                <w:rFonts w:cs="Calibri Light"/>
                <w:b/>
                <w:i/>
                <w:sz w:val="18"/>
                <w:szCs w:val="18"/>
              </w:rPr>
            </w:pPr>
            <w:r w:rsidRPr="00E652DC">
              <w:rPr>
                <w:rFonts w:cs="Calibri Light"/>
                <w:b/>
                <w:i/>
                <w:sz w:val="18"/>
                <w:szCs w:val="18"/>
              </w:rPr>
              <w:t>Risk Description</w:t>
            </w:r>
          </w:p>
        </w:tc>
        <w:tc>
          <w:tcPr>
            <w:tcW w:w="1970" w:type="dxa"/>
            <w:shd w:val="clear" w:color="auto" w:fill="D5DCE4"/>
          </w:tcPr>
          <w:p w:rsidR="00E652DC" w:rsidRPr="00E652DC" w:rsidRDefault="00E652DC" w:rsidP="00E652DC">
            <w:pPr>
              <w:rPr>
                <w:rFonts w:cs="Calibri Light"/>
                <w:b/>
                <w:i/>
                <w:sz w:val="18"/>
                <w:szCs w:val="18"/>
              </w:rPr>
            </w:pPr>
            <w:r w:rsidRPr="00E652DC">
              <w:rPr>
                <w:rFonts w:cs="Calibri Light"/>
                <w:b/>
                <w:i/>
                <w:sz w:val="18"/>
                <w:szCs w:val="18"/>
              </w:rPr>
              <w:t xml:space="preserve">Impact and </w:t>
            </w:r>
            <w:proofErr w:type="gramStart"/>
            <w:r w:rsidRPr="00E652DC">
              <w:rPr>
                <w:rFonts w:cs="Calibri Light"/>
                <w:b/>
                <w:i/>
                <w:sz w:val="18"/>
                <w:szCs w:val="18"/>
              </w:rPr>
              <w:t>Probability  (</w:t>
            </w:r>
            <w:proofErr w:type="gramEnd"/>
            <w:r w:rsidRPr="00E652DC">
              <w:rPr>
                <w:rFonts w:cs="Calibri Light"/>
                <w:b/>
                <w:i/>
                <w:sz w:val="18"/>
                <w:szCs w:val="18"/>
              </w:rPr>
              <w:t>1-5)</w:t>
            </w:r>
          </w:p>
        </w:tc>
        <w:tc>
          <w:tcPr>
            <w:tcW w:w="1290" w:type="dxa"/>
            <w:shd w:val="clear" w:color="auto" w:fill="D5DCE4"/>
          </w:tcPr>
          <w:p w:rsidR="00E652DC" w:rsidRPr="00E652DC" w:rsidRDefault="00E652DC" w:rsidP="00E652DC">
            <w:pPr>
              <w:rPr>
                <w:rFonts w:cs="Calibri Light"/>
                <w:b/>
                <w:i/>
                <w:sz w:val="18"/>
                <w:szCs w:val="18"/>
              </w:rPr>
            </w:pPr>
            <w:r w:rsidRPr="00E652DC">
              <w:rPr>
                <w:rFonts w:cs="Calibri Light"/>
                <w:b/>
                <w:i/>
                <w:sz w:val="18"/>
                <w:szCs w:val="18"/>
              </w:rPr>
              <w:t>Significance</w:t>
            </w:r>
          </w:p>
          <w:p w:rsidR="00E652DC" w:rsidRPr="00E652DC" w:rsidRDefault="00E652DC" w:rsidP="00E652DC">
            <w:pPr>
              <w:rPr>
                <w:rFonts w:cs="Calibri Light"/>
                <w:b/>
                <w:i/>
                <w:sz w:val="18"/>
                <w:szCs w:val="18"/>
              </w:rPr>
            </w:pPr>
            <w:r w:rsidRPr="00E652DC">
              <w:rPr>
                <w:rFonts w:cs="Calibri Light"/>
                <w:b/>
                <w:i/>
                <w:sz w:val="18"/>
                <w:szCs w:val="18"/>
              </w:rPr>
              <w:t>(Low, Moderate, High)</w:t>
            </w:r>
          </w:p>
        </w:tc>
        <w:tc>
          <w:tcPr>
            <w:tcW w:w="1577" w:type="dxa"/>
            <w:gridSpan w:val="3"/>
            <w:shd w:val="clear" w:color="auto" w:fill="D5DCE4"/>
          </w:tcPr>
          <w:p w:rsidR="00E652DC" w:rsidRPr="00E652DC" w:rsidRDefault="00E652DC" w:rsidP="00E652DC">
            <w:pPr>
              <w:rPr>
                <w:rFonts w:cs="Calibri Light"/>
                <w:b/>
                <w:i/>
                <w:sz w:val="18"/>
                <w:szCs w:val="18"/>
              </w:rPr>
            </w:pPr>
            <w:r w:rsidRPr="00E652DC">
              <w:rPr>
                <w:rFonts w:cs="Calibri Light"/>
                <w:b/>
                <w:i/>
                <w:sz w:val="18"/>
                <w:szCs w:val="18"/>
              </w:rPr>
              <w:t>Comments</w:t>
            </w:r>
          </w:p>
        </w:tc>
        <w:tc>
          <w:tcPr>
            <w:tcW w:w="2534" w:type="dxa"/>
            <w:gridSpan w:val="2"/>
            <w:shd w:val="clear" w:color="auto" w:fill="D5DCE4"/>
          </w:tcPr>
          <w:p w:rsidR="00E652DC" w:rsidRPr="00E652DC" w:rsidRDefault="00E652DC" w:rsidP="00E652DC">
            <w:pPr>
              <w:rPr>
                <w:rFonts w:cs="Calibri Light"/>
                <w:b/>
                <w:i/>
                <w:sz w:val="18"/>
                <w:szCs w:val="18"/>
              </w:rPr>
            </w:pPr>
            <w:r w:rsidRPr="00E652DC">
              <w:rPr>
                <w:rFonts w:cs="Calibri Light"/>
                <w:b/>
                <w:i/>
                <w:sz w:val="18"/>
                <w:szCs w:val="18"/>
              </w:rPr>
              <w:t>Description of assessment and management measures as reflected in the Project design.  If ESIA or SESA is required note that the assessment should consider all potential impacts and risks.</w:t>
            </w:r>
          </w:p>
        </w:tc>
      </w:tr>
      <w:tr w:rsidR="00B00697" w:rsidRPr="005118AF" w:rsidTr="00E652DC">
        <w:tc>
          <w:tcPr>
            <w:tcW w:w="2836" w:type="dxa"/>
            <w:shd w:val="clear" w:color="auto" w:fill="auto"/>
            <w:vAlign w:val="center"/>
          </w:tcPr>
          <w:p w:rsidR="00B00697" w:rsidRPr="00752621" w:rsidRDefault="00B00697" w:rsidP="00B00697">
            <w:pPr>
              <w:rPr>
                <w:rFonts w:cs="Calibri Light"/>
                <w:sz w:val="18"/>
                <w:szCs w:val="18"/>
              </w:rPr>
            </w:pPr>
            <w:r w:rsidRPr="00752621">
              <w:rPr>
                <w:rFonts w:cs="Calibri Light"/>
                <w:sz w:val="18"/>
                <w:szCs w:val="18"/>
              </w:rPr>
              <w:t xml:space="preserve">Risk 1: The </w:t>
            </w:r>
            <w:r w:rsidR="000C74C1">
              <w:rPr>
                <w:rFonts w:cs="Calibri Light"/>
                <w:sz w:val="18"/>
                <w:szCs w:val="18"/>
              </w:rPr>
              <w:t>Programme</w:t>
            </w:r>
            <w:r w:rsidRPr="00752621">
              <w:rPr>
                <w:rFonts w:cs="Calibri Light"/>
                <w:sz w:val="18"/>
                <w:szCs w:val="18"/>
              </w:rPr>
              <w:t xml:space="preserve"> could be </w:t>
            </w:r>
            <w:r w:rsidR="00927AEC">
              <w:rPr>
                <w:rFonts w:cs="Calibri Light"/>
                <w:sz w:val="18"/>
                <w:szCs w:val="18"/>
              </w:rPr>
              <w:t>negatively impacted by</w:t>
            </w:r>
            <w:r w:rsidR="00927AEC" w:rsidRPr="00752621">
              <w:rPr>
                <w:rFonts w:cs="Calibri Light"/>
                <w:sz w:val="18"/>
                <w:szCs w:val="18"/>
              </w:rPr>
              <w:t xml:space="preserve"> </w:t>
            </w:r>
            <w:r w:rsidR="00927AEC">
              <w:rPr>
                <w:rFonts w:cs="Calibri Light"/>
                <w:sz w:val="18"/>
                <w:szCs w:val="18"/>
              </w:rPr>
              <w:t xml:space="preserve">climate change or disasters </w:t>
            </w:r>
            <w:r w:rsidR="000C74C1">
              <w:rPr>
                <w:rFonts w:cs="Calibri Light"/>
                <w:sz w:val="18"/>
                <w:szCs w:val="18"/>
              </w:rPr>
              <w:t>affecting countries</w:t>
            </w:r>
          </w:p>
        </w:tc>
        <w:tc>
          <w:tcPr>
            <w:tcW w:w="1970" w:type="dxa"/>
            <w:shd w:val="clear" w:color="auto" w:fill="auto"/>
          </w:tcPr>
          <w:p w:rsidR="00B00697" w:rsidRPr="00752621" w:rsidRDefault="00B00697" w:rsidP="00B00697">
            <w:pPr>
              <w:rPr>
                <w:rFonts w:cs="Calibri Light"/>
                <w:sz w:val="18"/>
                <w:szCs w:val="18"/>
              </w:rPr>
            </w:pPr>
            <w:r w:rsidRPr="00752621">
              <w:rPr>
                <w:rFonts w:cs="Calibri Light"/>
                <w:sz w:val="18"/>
                <w:szCs w:val="18"/>
              </w:rPr>
              <w:t xml:space="preserve">I = </w:t>
            </w:r>
            <w:r w:rsidR="00927AEC">
              <w:rPr>
                <w:rFonts w:cs="Calibri Light"/>
                <w:sz w:val="18"/>
                <w:szCs w:val="18"/>
              </w:rPr>
              <w:t>1</w:t>
            </w:r>
          </w:p>
          <w:p w:rsidR="00B00697" w:rsidRPr="00752621" w:rsidRDefault="00B00697" w:rsidP="00B00697">
            <w:pPr>
              <w:rPr>
                <w:rFonts w:cs="Calibri Light"/>
                <w:sz w:val="18"/>
                <w:szCs w:val="18"/>
              </w:rPr>
            </w:pPr>
            <w:r w:rsidRPr="00752621">
              <w:rPr>
                <w:rFonts w:cs="Calibri Light"/>
                <w:sz w:val="18"/>
                <w:szCs w:val="18"/>
              </w:rPr>
              <w:t xml:space="preserve">P = </w:t>
            </w:r>
            <w:r w:rsidR="00927AEC">
              <w:rPr>
                <w:rFonts w:cs="Calibri Light"/>
                <w:sz w:val="18"/>
                <w:szCs w:val="18"/>
              </w:rPr>
              <w:t>2</w:t>
            </w:r>
          </w:p>
        </w:tc>
        <w:tc>
          <w:tcPr>
            <w:tcW w:w="1290" w:type="dxa"/>
            <w:shd w:val="clear" w:color="auto" w:fill="auto"/>
          </w:tcPr>
          <w:p w:rsidR="00B00697" w:rsidRPr="00752621" w:rsidRDefault="00927AEC" w:rsidP="00B00697">
            <w:pPr>
              <w:rPr>
                <w:rFonts w:cs="Calibri Light"/>
                <w:bCs/>
                <w:sz w:val="18"/>
                <w:szCs w:val="18"/>
              </w:rPr>
            </w:pPr>
            <w:r>
              <w:rPr>
                <w:rFonts w:cs="Calibri Light"/>
                <w:bCs/>
                <w:sz w:val="18"/>
                <w:szCs w:val="18"/>
              </w:rPr>
              <w:t>Low</w:t>
            </w:r>
          </w:p>
        </w:tc>
        <w:tc>
          <w:tcPr>
            <w:tcW w:w="1577" w:type="dxa"/>
            <w:gridSpan w:val="3"/>
            <w:shd w:val="clear" w:color="auto" w:fill="auto"/>
          </w:tcPr>
          <w:p w:rsidR="00B00697" w:rsidRPr="00752621" w:rsidRDefault="00927AEC" w:rsidP="00B00697">
            <w:pPr>
              <w:rPr>
                <w:rFonts w:cs="Calibri Light"/>
                <w:bCs/>
                <w:sz w:val="18"/>
                <w:szCs w:val="18"/>
              </w:rPr>
            </w:pPr>
            <w:r>
              <w:rPr>
                <w:rFonts w:cs="Calibri Light"/>
                <w:bCs/>
                <w:sz w:val="18"/>
                <w:szCs w:val="18"/>
              </w:rPr>
              <w:t xml:space="preserve">Disasters and climate change are a reality all Pacific countries face, and countries need to manage these provide important entry points for the </w:t>
            </w:r>
            <w:r w:rsidR="00253797">
              <w:rPr>
                <w:rFonts w:cs="Calibri Light"/>
                <w:bCs/>
                <w:sz w:val="18"/>
                <w:szCs w:val="18"/>
              </w:rPr>
              <w:t>project</w:t>
            </w:r>
            <w:r w:rsidR="00B00697" w:rsidRPr="00752621">
              <w:rPr>
                <w:rFonts w:cs="Calibri Light"/>
                <w:bCs/>
                <w:sz w:val="18"/>
                <w:szCs w:val="18"/>
              </w:rPr>
              <w:t xml:space="preserve">. </w:t>
            </w:r>
          </w:p>
        </w:tc>
        <w:tc>
          <w:tcPr>
            <w:tcW w:w="2534" w:type="dxa"/>
            <w:gridSpan w:val="2"/>
            <w:shd w:val="clear" w:color="auto" w:fill="auto"/>
          </w:tcPr>
          <w:p w:rsidR="00B00697" w:rsidRPr="00752621" w:rsidRDefault="00B00697" w:rsidP="00B00697">
            <w:pPr>
              <w:rPr>
                <w:rFonts w:cs="Calibri Light"/>
                <w:bCs/>
                <w:sz w:val="18"/>
                <w:szCs w:val="18"/>
              </w:rPr>
            </w:pPr>
            <w:r w:rsidRPr="00752621">
              <w:rPr>
                <w:rFonts w:cs="Calibri Light"/>
                <w:bCs/>
                <w:sz w:val="18"/>
                <w:szCs w:val="18"/>
              </w:rPr>
              <w:t>Action will be contextualised to respond to the situation.</w:t>
            </w:r>
          </w:p>
        </w:tc>
      </w:tr>
      <w:tr w:rsidR="00E652DC" w:rsidRPr="005118AF" w:rsidTr="00E652DC">
        <w:trPr>
          <w:trHeight w:val="316"/>
        </w:trPr>
        <w:tc>
          <w:tcPr>
            <w:tcW w:w="2836" w:type="dxa"/>
            <w:shd w:val="clear" w:color="auto" w:fill="auto"/>
            <w:vAlign w:val="center"/>
          </w:tcPr>
          <w:p w:rsidR="00E652DC" w:rsidRPr="00E652DC" w:rsidRDefault="00E652DC" w:rsidP="00E652DC">
            <w:pPr>
              <w:rPr>
                <w:rFonts w:cs="Calibri Light"/>
                <w:sz w:val="18"/>
                <w:szCs w:val="18"/>
              </w:rPr>
            </w:pPr>
            <w:r w:rsidRPr="00E652DC">
              <w:rPr>
                <w:rFonts w:cs="Calibri Light"/>
                <w:sz w:val="18"/>
                <w:szCs w:val="18"/>
              </w:rPr>
              <w:t>[add additional rows as needed]</w:t>
            </w:r>
          </w:p>
        </w:tc>
        <w:tc>
          <w:tcPr>
            <w:tcW w:w="1970" w:type="dxa"/>
            <w:shd w:val="clear" w:color="auto" w:fill="auto"/>
          </w:tcPr>
          <w:p w:rsidR="00E652DC" w:rsidRPr="00E652DC" w:rsidRDefault="00E652DC" w:rsidP="00E652DC">
            <w:pPr>
              <w:rPr>
                <w:rFonts w:cs="Calibri Light"/>
                <w:sz w:val="18"/>
                <w:szCs w:val="18"/>
              </w:rPr>
            </w:pPr>
          </w:p>
        </w:tc>
        <w:tc>
          <w:tcPr>
            <w:tcW w:w="1290" w:type="dxa"/>
            <w:shd w:val="clear" w:color="auto" w:fill="auto"/>
          </w:tcPr>
          <w:p w:rsidR="00E652DC" w:rsidRPr="00E652DC" w:rsidRDefault="00E652DC" w:rsidP="00E652DC">
            <w:pPr>
              <w:rPr>
                <w:rFonts w:cs="Calibri Light"/>
                <w:b/>
                <w:sz w:val="18"/>
                <w:szCs w:val="18"/>
              </w:rPr>
            </w:pPr>
          </w:p>
        </w:tc>
        <w:tc>
          <w:tcPr>
            <w:tcW w:w="1577" w:type="dxa"/>
            <w:gridSpan w:val="3"/>
            <w:shd w:val="clear" w:color="auto" w:fill="auto"/>
          </w:tcPr>
          <w:p w:rsidR="00E652DC" w:rsidRPr="00E652DC" w:rsidRDefault="00E652DC" w:rsidP="00E652DC">
            <w:pPr>
              <w:rPr>
                <w:rFonts w:cs="Calibri Light"/>
                <w:b/>
                <w:sz w:val="18"/>
                <w:szCs w:val="18"/>
              </w:rPr>
            </w:pPr>
          </w:p>
        </w:tc>
        <w:tc>
          <w:tcPr>
            <w:tcW w:w="2534" w:type="dxa"/>
            <w:gridSpan w:val="2"/>
            <w:shd w:val="clear" w:color="auto" w:fill="auto"/>
          </w:tcPr>
          <w:p w:rsidR="00E652DC" w:rsidRPr="00E652DC" w:rsidRDefault="00E652DC" w:rsidP="00E652DC">
            <w:pPr>
              <w:rPr>
                <w:rFonts w:cs="Calibri Light"/>
                <w:b/>
                <w:sz w:val="18"/>
                <w:szCs w:val="18"/>
              </w:rPr>
            </w:pPr>
          </w:p>
        </w:tc>
      </w:tr>
      <w:tr w:rsidR="00E652DC" w:rsidRPr="005118AF" w:rsidTr="00E652DC">
        <w:trPr>
          <w:trHeight w:val="593"/>
        </w:trPr>
        <w:tc>
          <w:tcPr>
            <w:tcW w:w="2836" w:type="dxa"/>
            <w:vMerge w:val="restart"/>
            <w:shd w:val="clear" w:color="auto" w:fill="auto"/>
          </w:tcPr>
          <w:p w:rsidR="00E652DC" w:rsidRPr="00E652DC" w:rsidRDefault="00E652DC" w:rsidP="00E652DC">
            <w:pPr>
              <w:rPr>
                <w:rFonts w:cs="Calibri Light"/>
                <w:b/>
                <w:sz w:val="18"/>
                <w:szCs w:val="18"/>
              </w:rPr>
            </w:pPr>
          </w:p>
        </w:tc>
        <w:tc>
          <w:tcPr>
            <w:tcW w:w="7371" w:type="dxa"/>
            <w:gridSpan w:val="7"/>
            <w:shd w:val="clear" w:color="auto" w:fill="2F5496"/>
          </w:tcPr>
          <w:p w:rsidR="00E652DC" w:rsidRPr="00E652DC" w:rsidRDefault="00E652DC" w:rsidP="00E652DC">
            <w:pPr>
              <w:rPr>
                <w:rFonts w:cs="Calibri Light"/>
                <w:b/>
                <w:color w:val="FFFFFF"/>
                <w:sz w:val="18"/>
                <w:szCs w:val="18"/>
              </w:rPr>
            </w:pPr>
            <w:r w:rsidRPr="00E652DC">
              <w:rPr>
                <w:rFonts w:cs="Calibri Light"/>
                <w:b/>
                <w:color w:val="FFFFFF"/>
                <w:sz w:val="18"/>
                <w:szCs w:val="18"/>
              </w:rPr>
              <w:t xml:space="preserve">QUESTION 4: What is the overall Project risk categorization? </w:t>
            </w:r>
          </w:p>
        </w:tc>
      </w:tr>
      <w:tr w:rsidR="00E652DC" w:rsidRPr="005118AF" w:rsidTr="00E652DC">
        <w:tc>
          <w:tcPr>
            <w:tcW w:w="2836" w:type="dxa"/>
            <w:vMerge/>
            <w:shd w:val="clear" w:color="auto" w:fill="auto"/>
          </w:tcPr>
          <w:p w:rsidR="00E652DC" w:rsidRPr="00E652DC" w:rsidRDefault="00E652DC" w:rsidP="00E652DC">
            <w:pPr>
              <w:rPr>
                <w:rFonts w:cs="Calibri Light"/>
                <w:sz w:val="18"/>
                <w:szCs w:val="18"/>
                <w:u w:val="single"/>
              </w:rPr>
            </w:pPr>
          </w:p>
        </w:tc>
        <w:tc>
          <w:tcPr>
            <w:tcW w:w="4847" w:type="dxa"/>
            <w:gridSpan w:val="6"/>
            <w:shd w:val="clear" w:color="auto" w:fill="auto"/>
          </w:tcPr>
          <w:p w:rsidR="00E652DC" w:rsidRPr="00E652DC" w:rsidRDefault="00E652DC" w:rsidP="00E652DC">
            <w:pPr>
              <w:jc w:val="center"/>
              <w:rPr>
                <w:rFonts w:cs="Calibri Light"/>
                <w:b/>
                <w:sz w:val="18"/>
                <w:szCs w:val="18"/>
              </w:rPr>
            </w:pPr>
            <w:r w:rsidRPr="00E652DC">
              <w:rPr>
                <w:rFonts w:cs="Calibri Light"/>
                <w:b/>
                <w:sz w:val="18"/>
                <w:szCs w:val="18"/>
              </w:rPr>
              <w:t xml:space="preserve">Select one (see </w:t>
            </w:r>
            <w:hyperlink r:id="rId27" w:history="1">
              <w:r w:rsidRPr="00E652DC">
                <w:rPr>
                  <w:rStyle w:val="Hyperlink"/>
                  <w:rFonts w:cs="Calibri Light"/>
                  <w:b/>
                  <w:sz w:val="18"/>
                  <w:szCs w:val="18"/>
                </w:rPr>
                <w:t>SESP</w:t>
              </w:r>
            </w:hyperlink>
            <w:r w:rsidRPr="00E652DC">
              <w:rPr>
                <w:rFonts w:cs="Calibri Light"/>
                <w:b/>
                <w:sz w:val="18"/>
                <w:szCs w:val="18"/>
              </w:rPr>
              <w:t xml:space="preserve"> for guidance)</w:t>
            </w:r>
          </w:p>
        </w:tc>
        <w:tc>
          <w:tcPr>
            <w:tcW w:w="2524" w:type="dxa"/>
            <w:shd w:val="clear" w:color="auto" w:fill="auto"/>
          </w:tcPr>
          <w:p w:rsidR="00E652DC" w:rsidRPr="00E652DC" w:rsidRDefault="00E652DC" w:rsidP="00E652DC">
            <w:pPr>
              <w:jc w:val="center"/>
              <w:rPr>
                <w:rFonts w:cs="Calibri Light"/>
                <w:b/>
                <w:sz w:val="18"/>
                <w:szCs w:val="18"/>
              </w:rPr>
            </w:pPr>
            <w:r w:rsidRPr="00E652DC">
              <w:rPr>
                <w:rFonts w:cs="Calibri Light"/>
                <w:b/>
                <w:sz w:val="18"/>
                <w:szCs w:val="18"/>
              </w:rPr>
              <w:t>Comments</w:t>
            </w:r>
          </w:p>
        </w:tc>
      </w:tr>
      <w:tr w:rsidR="00E652DC" w:rsidRPr="005118AF" w:rsidTr="00E652DC">
        <w:trPr>
          <w:trHeight w:val="251"/>
        </w:trPr>
        <w:tc>
          <w:tcPr>
            <w:tcW w:w="2836" w:type="dxa"/>
            <w:vMerge/>
            <w:shd w:val="clear" w:color="auto" w:fill="auto"/>
          </w:tcPr>
          <w:p w:rsidR="00E652DC" w:rsidRPr="00E652DC" w:rsidRDefault="00E652DC" w:rsidP="00E652DC">
            <w:pPr>
              <w:rPr>
                <w:rFonts w:cs="Calibri Light"/>
                <w:sz w:val="18"/>
                <w:szCs w:val="18"/>
              </w:rPr>
            </w:pPr>
          </w:p>
        </w:tc>
        <w:tc>
          <w:tcPr>
            <w:tcW w:w="3544" w:type="dxa"/>
            <w:gridSpan w:val="3"/>
            <w:shd w:val="clear" w:color="auto" w:fill="auto"/>
          </w:tcPr>
          <w:p w:rsidR="00E652DC" w:rsidRPr="00E652DC" w:rsidRDefault="00E652DC" w:rsidP="00E652DC">
            <w:pPr>
              <w:jc w:val="right"/>
              <w:rPr>
                <w:rFonts w:cs="Calibri Light"/>
                <w:b/>
                <w:i/>
                <w:sz w:val="18"/>
                <w:szCs w:val="18"/>
              </w:rPr>
            </w:pPr>
            <w:r w:rsidRPr="00E652DC">
              <w:rPr>
                <w:rFonts w:cs="Calibri Light"/>
                <w:b/>
                <w:i/>
                <w:sz w:val="18"/>
                <w:szCs w:val="18"/>
              </w:rPr>
              <w:t>Low Risk</w:t>
            </w:r>
          </w:p>
        </w:tc>
        <w:tc>
          <w:tcPr>
            <w:tcW w:w="1303" w:type="dxa"/>
            <w:gridSpan w:val="3"/>
            <w:shd w:val="clear" w:color="auto" w:fill="auto"/>
          </w:tcPr>
          <w:p w:rsidR="00E652DC" w:rsidRPr="00E652DC" w:rsidRDefault="000C74C1" w:rsidP="00E652DC">
            <w:pPr>
              <w:ind w:left="-2230" w:firstLine="2230"/>
              <w:rPr>
                <w:rFonts w:cs="Calibri Light"/>
                <w:b/>
                <w:sz w:val="18"/>
                <w:szCs w:val="18"/>
              </w:rPr>
            </w:pPr>
            <w:r w:rsidRPr="00E652DC">
              <w:rPr>
                <w:rFonts w:cs="Calibri Light"/>
                <w:b/>
                <w:sz w:val="18"/>
                <w:szCs w:val="18"/>
              </w:rPr>
              <w:t>X</w:t>
            </w:r>
            <w:r w:rsidRPr="005118AF" w:rsidDel="000C74C1">
              <w:rPr>
                <w:rFonts w:ascii="Segoe UI Symbol" w:hAnsi="Segoe UI Symbol" w:cs="Segoe UI Symbol"/>
                <w:b/>
                <w:sz w:val="18"/>
                <w:szCs w:val="18"/>
              </w:rPr>
              <w:t xml:space="preserve"> </w:t>
            </w:r>
          </w:p>
        </w:tc>
        <w:tc>
          <w:tcPr>
            <w:tcW w:w="2524" w:type="dxa"/>
            <w:shd w:val="clear" w:color="auto" w:fill="auto"/>
          </w:tcPr>
          <w:p w:rsidR="00E652DC" w:rsidRPr="00E652DC" w:rsidRDefault="00E652DC" w:rsidP="00E652DC">
            <w:pPr>
              <w:rPr>
                <w:rFonts w:cs="Calibri Light"/>
                <w:b/>
                <w:sz w:val="18"/>
                <w:szCs w:val="18"/>
              </w:rPr>
            </w:pPr>
          </w:p>
        </w:tc>
      </w:tr>
      <w:tr w:rsidR="00E652DC" w:rsidRPr="005118AF" w:rsidTr="00E652DC">
        <w:tc>
          <w:tcPr>
            <w:tcW w:w="2836" w:type="dxa"/>
            <w:vMerge/>
            <w:shd w:val="clear" w:color="auto" w:fill="auto"/>
          </w:tcPr>
          <w:p w:rsidR="00E652DC" w:rsidRPr="00E652DC" w:rsidRDefault="00E652DC" w:rsidP="00E652DC">
            <w:pPr>
              <w:rPr>
                <w:rFonts w:cs="Calibri Light"/>
                <w:sz w:val="18"/>
                <w:szCs w:val="18"/>
              </w:rPr>
            </w:pPr>
          </w:p>
        </w:tc>
        <w:tc>
          <w:tcPr>
            <w:tcW w:w="3544" w:type="dxa"/>
            <w:gridSpan w:val="3"/>
            <w:shd w:val="clear" w:color="auto" w:fill="auto"/>
          </w:tcPr>
          <w:p w:rsidR="00E652DC" w:rsidRPr="00E652DC" w:rsidRDefault="00E652DC" w:rsidP="00E652DC">
            <w:pPr>
              <w:jc w:val="right"/>
              <w:rPr>
                <w:rFonts w:cs="Calibri Light"/>
                <w:b/>
                <w:i/>
                <w:sz w:val="18"/>
                <w:szCs w:val="18"/>
              </w:rPr>
            </w:pPr>
            <w:r w:rsidRPr="00E652DC">
              <w:rPr>
                <w:rFonts w:cs="Calibri Light"/>
                <w:b/>
                <w:i/>
                <w:sz w:val="18"/>
                <w:szCs w:val="18"/>
              </w:rPr>
              <w:t>Moderate Risk</w:t>
            </w:r>
          </w:p>
        </w:tc>
        <w:tc>
          <w:tcPr>
            <w:tcW w:w="1303" w:type="dxa"/>
            <w:gridSpan w:val="3"/>
            <w:shd w:val="clear" w:color="auto" w:fill="auto"/>
          </w:tcPr>
          <w:p w:rsidR="00E652DC" w:rsidRPr="00E652DC" w:rsidRDefault="000C74C1" w:rsidP="00E652DC">
            <w:pPr>
              <w:ind w:left="-2230" w:firstLine="2230"/>
              <w:rPr>
                <w:rFonts w:cs="Calibri Light"/>
                <w:b/>
                <w:sz w:val="18"/>
                <w:szCs w:val="18"/>
              </w:rPr>
            </w:pPr>
            <w:r w:rsidRPr="005118AF">
              <w:rPr>
                <w:rFonts w:ascii="Segoe UI Symbol" w:hAnsi="Segoe UI Symbol" w:cs="Segoe UI Symbol"/>
                <w:b/>
                <w:sz w:val="18"/>
                <w:szCs w:val="18"/>
              </w:rPr>
              <w:t>☐</w:t>
            </w:r>
          </w:p>
        </w:tc>
        <w:tc>
          <w:tcPr>
            <w:tcW w:w="2524" w:type="dxa"/>
            <w:shd w:val="clear" w:color="auto" w:fill="auto"/>
          </w:tcPr>
          <w:p w:rsidR="00E652DC" w:rsidRPr="00E652DC" w:rsidRDefault="00E652DC" w:rsidP="00E652DC">
            <w:pPr>
              <w:rPr>
                <w:rFonts w:cs="Calibri Light"/>
                <w:b/>
                <w:sz w:val="18"/>
                <w:szCs w:val="18"/>
              </w:rPr>
            </w:pPr>
          </w:p>
        </w:tc>
      </w:tr>
      <w:tr w:rsidR="00E652DC" w:rsidRPr="005118AF" w:rsidTr="00E652DC">
        <w:tc>
          <w:tcPr>
            <w:tcW w:w="2836" w:type="dxa"/>
            <w:vMerge/>
            <w:shd w:val="clear" w:color="auto" w:fill="auto"/>
          </w:tcPr>
          <w:p w:rsidR="00E652DC" w:rsidRPr="00E652DC" w:rsidRDefault="00E652DC" w:rsidP="00E652DC">
            <w:pPr>
              <w:rPr>
                <w:rFonts w:cs="Calibri Light"/>
                <w:sz w:val="18"/>
                <w:szCs w:val="18"/>
              </w:rPr>
            </w:pPr>
          </w:p>
        </w:tc>
        <w:tc>
          <w:tcPr>
            <w:tcW w:w="3544" w:type="dxa"/>
            <w:gridSpan w:val="3"/>
            <w:shd w:val="clear" w:color="auto" w:fill="auto"/>
          </w:tcPr>
          <w:p w:rsidR="00E652DC" w:rsidRPr="00E652DC" w:rsidRDefault="00E652DC" w:rsidP="00E652DC">
            <w:pPr>
              <w:jc w:val="right"/>
              <w:rPr>
                <w:rFonts w:cs="Calibri Light"/>
                <w:b/>
                <w:i/>
                <w:sz w:val="18"/>
                <w:szCs w:val="18"/>
              </w:rPr>
            </w:pPr>
            <w:r w:rsidRPr="00E652DC">
              <w:rPr>
                <w:rFonts w:cs="Calibri Light"/>
                <w:b/>
                <w:i/>
                <w:sz w:val="18"/>
                <w:szCs w:val="18"/>
              </w:rPr>
              <w:t>High Risk</w:t>
            </w:r>
          </w:p>
        </w:tc>
        <w:tc>
          <w:tcPr>
            <w:tcW w:w="1303" w:type="dxa"/>
            <w:gridSpan w:val="3"/>
            <w:shd w:val="clear" w:color="auto" w:fill="auto"/>
          </w:tcPr>
          <w:p w:rsidR="00E652DC" w:rsidRPr="00E652DC" w:rsidRDefault="00E652DC" w:rsidP="00E652DC">
            <w:pPr>
              <w:ind w:left="-2230" w:firstLine="2230"/>
              <w:rPr>
                <w:rFonts w:cs="Calibri Light"/>
                <w:b/>
                <w:sz w:val="18"/>
                <w:szCs w:val="18"/>
              </w:rPr>
            </w:pPr>
            <w:r w:rsidRPr="005118AF">
              <w:rPr>
                <w:rFonts w:ascii="Segoe UI Symbol" w:hAnsi="Segoe UI Symbol" w:cs="Segoe UI Symbol"/>
                <w:b/>
                <w:sz w:val="18"/>
                <w:szCs w:val="18"/>
              </w:rPr>
              <w:t>☐</w:t>
            </w:r>
          </w:p>
        </w:tc>
        <w:tc>
          <w:tcPr>
            <w:tcW w:w="2524" w:type="dxa"/>
            <w:shd w:val="clear" w:color="auto" w:fill="auto"/>
          </w:tcPr>
          <w:p w:rsidR="00E652DC" w:rsidRPr="00E652DC" w:rsidRDefault="00E652DC" w:rsidP="00E652DC">
            <w:pPr>
              <w:rPr>
                <w:rFonts w:cs="Calibri Light"/>
                <w:b/>
                <w:sz w:val="18"/>
                <w:szCs w:val="18"/>
              </w:rPr>
            </w:pPr>
          </w:p>
        </w:tc>
      </w:tr>
      <w:tr w:rsidR="00E652DC" w:rsidRPr="005118AF" w:rsidTr="00E652DC">
        <w:trPr>
          <w:trHeight w:val="782"/>
        </w:trPr>
        <w:tc>
          <w:tcPr>
            <w:tcW w:w="2836" w:type="dxa"/>
            <w:vMerge w:val="restart"/>
            <w:shd w:val="clear" w:color="auto" w:fill="FFFFFF"/>
          </w:tcPr>
          <w:p w:rsidR="00E652DC" w:rsidRPr="00E652DC" w:rsidRDefault="00E652DC" w:rsidP="00E652DC">
            <w:pPr>
              <w:ind w:hanging="18"/>
              <w:rPr>
                <w:rFonts w:cs="Calibri Light"/>
                <w:b/>
                <w:sz w:val="18"/>
                <w:szCs w:val="18"/>
              </w:rPr>
            </w:pPr>
          </w:p>
        </w:tc>
        <w:tc>
          <w:tcPr>
            <w:tcW w:w="4808" w:type="dxa"/>
            <w:gridSpan w:val="4"/>
            <w:shd w:val="clear" w:color="auto" w:fill="2F5496"/>
            <w:vAlign w:val="center"/>
          </w:tcPr>
          <w:p w:rsidR="00E652DC" w:rsidRPr="00E652DC" w:rsidRDefault="00E652DC" w:rsidP="00E652DC">
            <w:pPr>
              <w:tabs>
                <w:tab w:val="left" w:pos="360"/>
              </w:tabs>
              <w:rPr>
                <w:rFonts w:cs="Calibri Light"/>
                <w:color w:val="FFFFFF"/>
                <w:sz w:val="18"/>
                <w:szCs w:val="18"/>
              </w:rPr>
            </w:pPr>
            <w:r w:rsidRPr="00E652DC">
              <w:rPr>
                <w:rFonts w:cs="Calibri Light"/>
                <w:b/>
                <w:color w:val="FFFFFF"/>
                <w:sz w:val="18"/>
                <w:szCs w:val="18"/>
              </w:rPr>
              <w:t>QUESTION 5: Based on the identified risks and risk categorization, what requirements of the SES are relevant?</w:t>
            </w:r>
          </w:p>
        </w:tc>
        <w:tc>
          <w:tcPr>
            <w:tcW w:w="2563" w:type="dxa"/>
            <w:gridSpan w:val="3"/>
            <w:shd w:val="clear" w:color="auto" w:fill="2F5496"/>
            <w:vAlign w:val="center"/>
          </w:tcPr>
          <w:p w:rsidR="00E652DC" w:rsidRPr="00E652DC" w:rsidRDefault="00E652DC" w:rsidP="00E652DC">
            <w:pPr>
              <w:tabs>
                <w:tab w:val="left" w:pos="360"/>
              </w:tabs>
              <w:jc w:val="center"/>
              <w:rPr>
                <w:rFonts w:cs="Calibri Light"/>
                <w:b/>
                <w:sz w:val="18"/>
                <w:szCs w:val="18"/>
              </w:rPr>
            </w:pPr>
          </w:p>
        </w:tc>
      </w:tr>
      <w:tr w:rsidR="00E652DC" w:rsidRPr="005118AF" w:rsidTr="00E652DC">
        <w:trPr>
          <w:trHeight w:val="296"/>
        </w:trPr>
        <w:tc>
          <w:tcPr>
            <w:tcW w:w="2836" w:type="dxa"/>
            <w:vMerge/>
            <w:shd w:val="clear" w:color="auto" w:fill="FFFFFF"/>
          </w:tcPr>
          <w:p w:rsidR="00E652DC" w:rsidRPr="00E652DC" w:rsidRDefault="00E652DC" w:rsidP="00E652DC">
            <w:pPr>
              <w:rPr>
                <w:rFonts w:cs="Calibri Light"/>
                <w:sz w:val="18"/>
                <w:szCs w:val="18"/>
                <w:u w:val="single"/>
              </w:rPr>
            </w:pPr>
          </w:p>
        </w:tc>
        <w:tc>
          <w:tcPr>
            <w:tcW w:w="4808" w:type="dxa"/>
            <w:gridSpan w:val="4"/>
            <w:shd w:val="clear" w:color="auto" w:fill="auto"/>
          </w:tcPr>
          <w:p w:rsidR="00E652DC" w:rsidRPr="00E652DC" w:rsidRDefault="00E652DC" w:rsidP="00E652DC">
            <w:pPr>
              <w:tabs>
                <w:tab w:val="left" w:pos="360"/>
              </w:tabs>
              <w:jc w:val="center"/>
              <w:rPr>
                <w:rFonts w:cs="Calibri Light"/>
                <w:b/>
                <w:sz w:val="18"/>
                <w:szCs w:val="18"/>
              </w:rPr>
            </w:pPr>
            <w:r w:rsidRPr="00E652DC">
              <w:rPr>
                <w:rFonts w:cs="Calibri Light"/>
                <w:sz w:val="18"/>
                <w:szCs w:val="18"/>
              </w:rPr>
              <w:t>Check all that apply</w:t>
            </w:r>
          </w:p>
        </w:tc>
        <w:tc>
          <w:tcPr>
            <w:tcW w:w="2563" w:type="dxa"/>
            <w:gridSpan w:val="3"/>
            <w:shd w:val="clear" w:color="auto" w:fill="auto"/>
          </w:tcPr>
          <w:p w:rsidR="00E652DC" w:rsidRPr="00E652DC" w:rsidRDefault="00E652DC" w:rsidP="00E652DC">
            <w:pPr>
              <w:tabs>
                <w:tab w:val="left" w:pos="360"/>
              </w:tabs>
              <w:jc w:val="center"/>
              <w:rPr>
                <w:rFonts w:cs="Calibri Light"/>
                <w:b/>
                <w:sz w:val="18"/>
                <w:szCs w:val="18"/>
              </w:rPr>
            </w:pPr>
            <w:r w:rsidRPr="00E652DC">
              <w:rPr>
                <w:rFonts w:cs="Calibri Light"/>
                <w:b/>
                <w:sz w:val="18"/>
                <w:szCs w:val="18"/>
              </w:rPr>
              <w:t>Comments</w:t>
            </w:r>
          </w:p>
        </w:tc>
      </w:tr>
      <w:tr w:rsidR="00E652DC" w:rsidRPr="005118AF" w:rsidTr="00E652DC">
        <w:tc>
          <w:tcPr>
            <w:tcW w:w="2836" w:type="dxa"/>
            <w:vMerge/>
            <w:shd w:val="clear" w:color="auto" w:fill="FFFFFF"/>
          </w:tcPr>
          <w:p w:rsidR="00E652DC" w:rsidRPr="00E652DC" w:rsidRDefault="00E652DC" w:rsidP="00E652DC">
            <w:pPr>
              <w:tabs>
                <w:tab w:val="left" w:pos="270"/>
              </w:tabs>
              <w:ind w:left="270" w:hanging="270"/>
              <w:rPr>
                <w:rFonts w:cs="Calibri Light"/>
                <w:sz w:val="18"/>
                <w:szCs w:val="18"/>
              </w:rPr>
            </w:pPr>
          </w:p>
        </w:tc>
        <w:tc>
          <w:tcPr>
            <w:tcW w:w="3544" w:type="dxa"/>
            <w:gridSpan w:val="3"/>
            <w:shd w:val="clear" w:color="auto" w:fill="auto"/>
          </w:tcPr>
          <w:p w:rsidR="00E652DC" w:rsidRPr="00E652DC" w:rsidRDefault="00E652DC" w:rsidP="00E652DC">
            <w:pPr>
              <w:tabs>
                <w:tab w:val="left" w:pos="270"/>
              </w:tabs>
              <w:ind w:left="270" w:hanging="270"/>
              <w:rPr>
                <w:rFonts w:cs="Calibri Light"/>
                <w:b/>
                <w:i/>
                <w:sz w:val="18"/>
                <w:szCs w:val="18"/>
              </w:rPr>
            </w:pPr>
            <w:r w:rsidRPr="00E652DC">
              <w:rPr>
                <w:rFonts w:cs="Calibri Light"/>
                <w:b/>
                <w:i/>
                <w:sz w:val="18"/>
                <w:szCs w:val="18"/>
              </w:rPr>
              <w:t>Principle 1: Human Rights</w:t>
            </w:r>
          </w:p>
        </w:tc>
        <w:tc>
          <w:tcPr>
            <w:tcW w:w="1264" w:type="dxa"/>
            <w:shd w:val="clear" w:color="auto" w:fill="auto"/>
            <w:vAlign w:val="center"/>
          </w:tcPr>
          <w:p w:rsidR="00E652DC" w:rsidRPr="00E652DC" w:rsidRDefault="00E652DC" w:rsidP="00E652DC">
            <w:pPr>
              <w:tabs>
                <w:tab w:val="left" w:pos="360"/>
              </w:tabs>
              <w:rPr>
                <w:rFonts w:cs="Calibri Light"/>
                <w:sz w:val="18"/>
                <w:szCs w:val="18"/>
              </w:rPr>
            </w:pPr>
            <w:r w:rsidRPr="00E652DC">
              <w:rPr>
                <w:rFonts w:cs="Calibri Light"/>
                <w:b/>
                <w:sz w:val="18"/>
                <w:szCs w:val="18"/>
              </w:rPr>
              <w:t>X</w:t>
            </w:r>
          </w:p>
        </w:tc>
        <w:tc>
          <w:tcPr>
            <w:tcW w:w="2563" w:type="dxa"/>
            <w:gridSpan w:val="3"/>
            <w:shd w:val="clear" w:color="auto" w:fill="auto"/>
          </w:tcPr>
          <w:p w:rsidR="00E652DC" w:rsidRPr="00E652DC" w:rsidRDefault="00E652DC" w:rsidP="00E652DC">
            <w:pPr>
              <w:tabs>
                <w:tab w:val="left" w:pos="360"/>
              </w:tabs>
              <w:rPr>
                <w:rFonts w:cs="Calibri Light"/>
                <w:sz w:val="18"/>
                <w:szCs w:val="18"/>
              </w:rPr>
            </w:pPr>
          </w:p>
        </w:tc>
      </w:tr>
      <w:tr w:rsidR="00E652DC" w:rsidRPr="005118AF" w:rsidTr="00E652DC">
        <w:tc>
          <w:tcPr>
            <w:tcW w:w="2836" w:type="dxa"/>
            <w:vMerge/>
            <w:shd w:val="clear" w:color="auto" w:fill="FFFFFF"/>
          </w:tcPr>
          <w:p w:rsidR="00E652DC" w:rsidRPr="00E652DC" w:rsidRDefault="00E652DC" w:rsidP="00E652DC">
            <w:pPr>
              <w:tabs>
                <w:tab w:val="left" w:pos="270"/>
              </w:tabs>
              <w:ind w:left="270" w:hanging="270"/>
              <w:rPr>
                <w:rFonts w:cs="Calibri Light"/>
                <w:sz w:val="18"/>
                <w:szCs w:val="18"/>
              </w:rPr>
            </w:pPr>
          </w:p>
        </w:tc>
        <w:tc>
          <w:tcPr>
            <w:tcW w:w="3544" w:type="dxa"/>
            <w:gridSpan w:val="3"/>
            <w:shd w:val="clear" w:color="auto" w:fill="auto"/>
          </w:tcPr>
          <w:p w:rsidR="00E652DC" w:rsidRPr="00E652DC" w:rsidRDefault="00E652DC" w:rsidP="00E652DC">
            <w:pPr>
              <w:tabs>
                <w:tab w:val="left" w:pos="270"/>
              </w:tabs>
              <w:ind w:left="270" w:hanging="270"/>
              <w:rPr>
                <w:rFonts w:cs="Calibri Light"/>
                <w:b/>
                <w:i/>
                <w:sz w:val="18"/>
                <w:szCs w:val="18"/>
              </w:rPr>
            </w:pPr>
            <w:r w:rsidRPr="00E652DC">
              <w:rPr>
                <w:rFonts w:cs="Calibri Light"/>
                <w:b/>
                <w:i/>
                <w:sz w:val="18"/>
                <w:szCs w:val="18"/>
              </w:rPr>
              <w:t>Principle 2: Gender Equality and Women’s</w:t>
            </w:r>
            <w:r w:rsidR="000C74C1">
              <w:rPr>
                <w:rFonts w:cs="Calibri Light"/>
                <w:b/>
                <w:i/>
                <w:sz w:val="18"/>
                <w:szCs w:val="18"/>
              </w:rPr>
              <w:t xml:space="preserve"> </w:t>
            </w:r>
            <w:r w:rsidRPr="00E652DC">
              <w:rPr>
                <w:rFonts w:cs="Calibri Light"/>
                <w:b/>
                <w:i/>
                <w:sz w:val="18"/>
                <w:szCs w:val="18"/>
              </w:rPr>
              <w:t>Empowerment</w:t>
            </w:r>
          </w:p>
        </w:tc>
        <w:tc>
          <w:tcPr>
            <w:tcW w:w="1264" w:type="dxa"/>
            <w:shd w:val="clear" w:color="auto" w:fill="auto"/>
            <w:vAlign w:val="center"/>
          </w:tcPr>
          <w:p w:rsidR="00E652DC" w:rsidRPr="00E652DC" w:rsidRDefault="00E652DC" w:rsidP="00E652DC">
            <w:pPr>
              <w:tabs>
                <w:tab w:val="left" w:pos="360"/>
              </w:tabs>
              <w:rPr>
                <w:rFonts w:cs="Calibri Light"/>
                <w:sz w:val="18"/>
                <w:szCs w:val="18"/>
              </w:rPr>
            </w:pPr>
            <w:r w:rsidRPr="00E652DC">
              <w:rPr>
                <w:rFonts w:cs="Calibri Light"/>
                <w:b/>
                <w:sz w:val="18"/>
                <w:szCs w:val="18"/>
              </w:rPr>
              <w:t>X</w:t>
            </w:r>
          </w:p>
        </w:tc>
        <w:tc>
          <w:tcPr>
            <w:tcW w:w="2563" w:type="dxa"/>
            <w:gridSpan w:val="3"/>
            <w:shd w:val="clear" w:color="auto" w:fill="auto"/>
          </w:tcPr>
          <w:p w:rsidR="00E652DC" w:rsidRPr="00E652DC" w:rsidRDefault="00E652DC" w:rsidP="00E652DC">
            <w:pPr>
              <w:tabs>
                <w:tab w:val="left" w:pos="360"/>
              </w:tabs>
              <w:rPr>
                <w:rFonts w:cs="Calibri Light"/>
                <w:sz w:val="18"/>
                <w:szCs w:val="18"/>
              </w:rPr>
            </w:pPr>
          </w:p>
        </w:tc>
      </w:tr>
      <w:tr w:rsidR="00E652DC" w:rsidRPr="005118AF" w:rsidTr="00E652DC">
        <w:tc>
          <w:tcPr>
            <w:tcW w:w="2836" w:type="dxa"/>
            <w:vMerge w:val="restart"/>
            <w:shd w:val="clear" w:color="auto" w:fill="FFFFFF"/>
          </w:tcPr>
          <w:p w:rsidR="00E652DC" w:rsidRPr="00E652DC" w:rsidRDefault="00E652DC" w:rsidP="00E652DC">
            <w:pPr>
              <w:tabs>
                <w:tab w:val="left" w:pos="270"/>
              </w:tabs>
              <w:ind w:left="270" w:hanging="270"/>
              <w:rPr>
                <w:rFonts w:cs="Calibri Light"/>
                <w:sz w:val="18"/>
                <w:szCs w:val="18"/>
              </w:rPr>
            </w:pPr>
          </w:p>
        </w:tc>
        <w:tc>
          <w:tcPr>
            <w:tcW w:w="3544" w:type="dxa"/>
            <w:gridSpan w:val="3"/>
            <w:shd w:val="clear" w:color="auto" w:fill="auto"/>
          </w:tcPr>
          <w:p w:rsidR="00E652DC" w:rsidRPr="00E652DC" w:rsidRDefault="00E652DC" w:rsidP="00E652DC">
            <w:pPr>
              <w:tabs>
                <w:tab w:val="left" w:pos="270"/>
              </w:tabs>
              <w:ind w:left="270" w:hanging="270"/>
              <w:rPr>
                <w:rFonts w:cs="Calibri Light"/>
                <w:b/>
                <w:i/>
                <w:sz w:val="18"/>
                <w:szCs w:val="18"/>
              </w:rPr>
            </w:pPr>
            <w:r w:rsidRPr="00E652DC">
              <w:rPr>
                <w:rFonts w:cs="Calibri Light"/>
                <w:b/>
                <w:i/>
                <w:sz w:val="18"/>
                <w:szCs w:val="18"/>
              </w:rPr>
              <w:t>1.</w:t>
            </w:r>
            <w:r w:rsidRPr="00E652DC">
              <w:rPr>
                <w:rFonts w:cs="Calibri Light"/>
                <w:b/>
                <w:i/>
                <w:sz w:val="18"/>
                <w:szCs w:val="18"/>
              </w:rPr>
              <w:tab/>
              <w:t>Biodiversity Conservation and Natural Resource Management</w:t>
            </w:r>
          </w:p>
        </w:tc>
        <w:tc>
          <w:tcPr>
            <w:tcW w:w="1264" w:type="dxa"/>
            <w:shd w:val="clear" w:color="auto" w:fill="auto"/>
            <w:vAlign w:val="center"/>
          </w:tcPr>
          <w:p w:rsidR="00E652DC" w:rsidRPr="00E652DC" w:rsidRDefault="00E652DC" w:rsidP="00E652DC">
            <w:pPr>
              <w:tabs>
                <w:tab w:val="left" w:pos="360"/>
              </w:tabs>
              <w:rPr>
                <w:rFonts w:cs="Calibri Light"/>
                <w:sz w:val="18"/>
                <w:szCs w:val="18"/>
              </w:rPr>
            </w:pPr>
            <w:r w:rsidRPr="005118AF">
              <w:rPr>
                <w:rFonts w:ascii="Segoe UI Symbol" w:hAnsi="Segoe UI Symbol" w:cs="Segoe UI Symbol"/>
                <w:b/>
                <w:sz w:val="18"/>
                <w:szCs w:val="18"/>
              </w:rPr>
              <w:t>☐</w:t>
            </w:r>
          </w:p>
        </w:tc>
        <w:tc>
          <w:tcPr>
            <w:tcW w:w="2563" w:type="dxa"/>
            <w:gridSpan w:val="3"/>
            <w:shd w:val="clear" w:color="auto" w:fill="auto"/>
          </w:tcPr>
          <w:p w:rsidR="00E652DC" w:rsidRPr="00E652DC" w:rsidRDefault="00E652DC" w:rsidP="00E652DC">
            <w:pPr>
              <w:tabs>
                <w:tab w:val="left" w:pos="360"/>
              </w:tabs>
              <w:rPr>
                <w:rFonts w:cs="Calibri Light"/>
                <w:sz w:val="18"/>
                <w:szCs w:val="18"/>
              </w:rPr>
            </w:pPr>
          </w:p>
        </w:tc>
      </w:tr>
      <w:tr w:rsidR="00E652DC" w:rsidRPr="005118AF" w:rsidTr="00E652DC">
        <w:tc>
          <w:tcPr>
            <w:tcW w:w="2836" w:type="dxa"/>
            <w:vMerge/>
            <w:shd w:val="clear" w:color="auto" w:fill="FFFFFF"/>
          </w:tcPr>
          <w:p w:rsidR="00E652DC" w:rsidRPr="00E652DC" w:rsidRDefault="00E652DC" w:rsidP="00E652DC">
            <w:pPr>
              <w:tabs>
                <w:tab w:val="left" w:pos="270"/>
              </w:tabs>
              <w:ind w:left="270" w:hanging="270"/>
              <w:rPr>
                <w:rFonts w:cs="Calibri Light"/>
                <w:sz w:val="18"/>
                <w:szCs w:val="18"/>
              </w:rPr>
            </w:pPr>
          </w:p>
        </w:tc>
        <w:tc>
          <w:tcPr>
            <w:tcW w:w="3544" w:type="dxa"/>
            <w:gridSpan w:val="3"/>
            <w:shd w:val="clear" w:color="auto" w:fill="auto"/>
          </w:tcPr>
          <w:p w:rsidR="00E652DC" w:rsidRPr="00E652DC" w:rsidRDefault="00E652DC" w:rsidP="00E652DC">
            <w:pPr>
              <w:tabs>
                <w:tab w:val="left" w:pos="270"/>
              </w:tabs>
              <w:ind w:left="270" w:hanging="270"/>
              <w:rPr>
                <w:rFonts w:cs="Calibri Light"/>
                <w:b/>
                <w:i/>
                <w:sz w:val="18"/>
                <w:szCs w:val="18"/>
              </w:rPr>
            </w:pPr>
            <w:r w:rsidRPr="00E652DC">
              <w:rPr>
                <w:rFonts w:cs="Calibri Light"/>
                <w:b/>
                <w:i/>
                <w:sz w:val="18"/>
                <w:szCs w:val="18"/>
              </w:rPr>
              <w:t>2.</w:t>
            </w:r>
            <w:r w:rsidRPr="00E652DC">
              <w:rPr>
                <w:rFonts w:cs="Calibri Light"/>
                <w:b/>
                <w:i/>
                <w:sz w:val="18"/>
                <w:szCs w:val="18"/>
              </w:rPr>
              <w:tab/>
              <w:t>Climate Change Mitigation and Adaptation</w:t>
            </w:r>
          </w:p>
        </w:tc>
        <w:tc>
          <w:tcPr>
            <w:tcW w:w="1264" w:type="dxa"/>
            <w:shd w:val="clear" w:color="auto" w:fill="auto"/>
            <w:vAlign w:val="center"/>
          </w:tcPr>
          <w:p w:rsidR="00E652DC" w:rsidRPr="00E652DC" w:rsidRDefault="00E652DC" w:rsidP="00E652DC">
            <w:pPr>
              <w:tabs>
                <w:tab w:val="left" w:pos="360"/>
              </w:tabs>
              <w:rPr>
                <w:rFonts w:cs="Calibri Light"/>
                <w:sz w:val="18"/>
                <w:szCs w:val="18"/>
              </w:rPr>
            </w:pPr>
            <w:r w:rsidRPr="00E652DC">
              <w:rPr>
                <w:rFonts w:cs="Calibri Light"/>
                <w:b/>
                <w:sz w:val="18"/>
                <w:szCs w:val="18"/>
              </w:rPr>
              <w:t>X</w:t>
            </w:r>
          </w:p>
        </w:tc>
        <w:tc>
          <w:tcPr>
            <w:tcW w:w="2563" w:type="dxa"/>
            <w:gridSpan w:val="3"/>
            <w:shd w:val="clear" w:color="auto" w:fill="auto"/>
          </w:tcPr>
          <w:p w:rsidR="00E652DC" w:rsidRPr="00E652DC" w:rsidRDefault="00E652DC" w:rsidP="00E652DC">
            <w:pPr>
              <w:tabs>
                <w:tab w:val="left" w:pos="360"/>
              </w:tabs>
              <w:rPr>
                <w:rFonts w:cs="Calibri Light"/>
                <w:sz w:val="18"/>
                <w:szCs w:val="18"/>
              </w:rPr>
            </w:pPr>
          </w:p>
        </w:tc>
      </w:tr>
      <w:tr w:rsidR="00E652DC" w:rsidRPr="005118AF" w:rsidTr="00E652DC">
        <w:tc>
          <w:tcPr>
            <w:tcW w:w="2836" w:type="dxa"/>
            <w:vMerge/>
            <w:shd w:val="clear" w:color="auto" w:fill="FFFFFF"/>
          </w:tcPr>
          <w:p w:rsidR="00E652DC" w:rsidRPr="00E652DC" w:rsidRDefault="00E652DC" w:rsidP="00E652DC">
            <w:pPr>
              <w:tabs>
                <w:tab w:val="left" w:pos="270"/>
              </w:tabs>
              <w:ind w:left="270" w:hanging="270"/>
              <w:rPr>
                <w:rFonts w:cs="Calibri Light"/>
                <w:sz w:val="18"/>
                <w:szCs w:val="18"/>
              </w:rPr>
            </w:pPr>
          </w:p>
        </w:tc>
        <w:tc>
          <w:tcPr>
            <w:tcW w:w="3544" w:type="dxa"/>
            <w:gridSpan w:val="3"/>
            <w:shd w:val="clear" w:color="auto" w:fill="auto"/>
          </w:tcPr>
          <w:p w:rsidR="00E652DC" w:rsidRPr="00E652DC" w:rsidRDefault="00E652DC" w:rsidP="00E652DC">
            <w:pPr>
              <w:tabs>
                <w:tab w:val="left" w:pos="270"/>
              </w:tabs>
              <w:ind w:left="270" w:hanging="270"/>
              <w:rPr>
                <w:rFonts w:cs="Calibri Light"/>
                <w:b/>
                <w:i/>
                <w:sz w:val="18"/>
                <w:szCs w:val="18"/>
              </w:rPr>
            </w:pPr>
            <w:r w:rsidRPr="00E652DC">
              <w:rPr>
                <w:rFonts w:cs="Calibri Light"/>
                <w:b/>
                <w:i/>
                <w:sz w:val="18"/>
                <w:szCs w:val="18"/>
              </w:rPr>
              <w:t>3.</w:t>
            </w:r>
            <w:r w:rsidRPr="00E652DC">
              <w:rPr>
                <w:rFonts w:cs="Calibri Light"/>
                <w:b/>
                <w:i/>
                <w:sz w:val="18"/>
                <w:szCs w:val="18"/>
              </w:rPr>
              <w:tab/>
              <w:t>Community Health, Safety and Working Conditions</w:t>
            </w:r>
          </w:p>
        </w:tc>
        <w:tc>
          <w:tcPr>
            <w:tcW w:w="1264" w:type="dxa"/>
            <w:shd w:val="clear" w:color="auto" w:fill="auto"/>
            <w:vAlign w:val="center"/>
          </w:tcPr>
          <w:p w:rsidR="00E652DC" w:rsidRPr="00E652DC" w:rsidRDefault="00E652DC" w:rsidP="00E652DC">
            <w:pPr>
              <w:tabs>
                <w:tab w:val="left" w:pos="360"/>
              </w:tabs>
              <w:rPr>
                <w:rFonts w:cs="Calibri Light"/>
                <w:sz w:val="18"/>
                <w:szCs w:val="18"/>
              </w:rPr>
            </w:pPr>
            <w:r w:rsidRPr="005118AF">
              <w:rPr>
                <w:rFonts w:ascii="Segoe UI Symbol" w:hAnsi="Segoe UI Symbol" w:cs="Segoe UI Symbol"/>
                <w:b/>
                <w:sz w:val="18"/>
                <w:szCs w:val="18"/>
              </w:rPr>
              <w:t>☐</w:t>
            </w:r>
          </w:p>
        </w:tc>
        <w:tc>
          <w:tcPr>
            <w:tcW w:w="2563" w:type="dxa"/>
            <w:gridSpan w:val="3"/>
            <w:shd w:val="clear" w:color="auto" w:fill="auto"/>
          </w:tcPr>
          <w:p w:rsidR="00E652DC" w:rsidRPr="00E652DC" w:rsidRDefault="00E652DC" w:rsidP="00E652DC">
            <w:pPr>
              <w:tabs>
                <w:tab w:val="left" w:pos="360"/>
              </w:tabs>
              <w:rPr>
                <w:rFonts w:cs="Calibri Light"/>
                <w:sz w:val="18"/>
                <w:szCs w:val="18"/>
              </w:rPr>
            </w:pPr>
          </w:p>
        </w:tc>
      </w:tr>
      <w:tr w:rsidR="00E652DC" w:rsidRPr="005118AF" w:rsidTr="00E652DC">
        <w:tc>
          <w:tcPr>
            <w:tcW w:w="2836" w:type="dxa"/>
            <w:vMerge/>
            <w:shd w:val="clear" w:color="auto" w:fill="FFFFFF"/>
          </w:tcPr>
          <w:p w:rsidR="00E652DC" w:rsidRPr="00E652DC" w:rsidRDefault="00E652DC" w:rsidP="00E652DC">
            <w:pPr>
              <w:tabs>
                <w:tab w:val="left" w:pos="270"/>
              </w:tabs>
              <w:ind w:left="270" w:hanging="270"/>
              <w:rPr>
                <w:rFonts w:cs="Calibri Light"/>
                <w:sz w:val="18"/>
                <w:szCs w:val="18"/>
              </w:rPr>
            </w:pPr>
          </w:p>
        </w:tc>
        <w:tc>
          <w:tcPr>
            <w:tcW w:w="3544" w:type="dxa"/>
            <w:gridSpan w:val="3"/>
            <w:shd w:val="clear" w:color="auto" w:fill="auto"/>
          </w:tcPr>
          <w:p w:rsidR="00E652DC" w:rsidRPr="00E652DC" w:rsidRDefault="00E652DC" w:rsidP="00E652DC">
            <w:pPr>
              <w:tabs>
                <w:tab w:val="left" w:pos="270"/>
              </w:tabs>
              <w:ind w:left="270" w:hanging="270"/>
              <w:rPr>
                <w:rFonts w:cs="Calibri Light"/>
                <w:b/>
                <w:i/>
                <w:sz w:val="18"/>
                <w:szCs w:val="18"/>
              </w:rPr>
            </w:pPr>
            <w:r w:rsidRPr="00E652DC">
              <w:rPr>
                <w:rFonts w:cs="Calibri Light"/>
                <w:b/>
                <w:i/>
                <w:sz w:val="18"/>
                <w:szCs w:val="18"/>
              </w:rPr>
              <w:t>4.</w:t>
            </w:r>
            <w:r w:rsidRPr="00E652DC">
              <w:rPr>
                <w:rFonts w:cs="Calibri Light"/>
                <w:b/>
                <w:i/>
                <w:sz w:val="18"/>
                <w:szCs w:val="18"/>
              </w:rPr>
              <w:tab/>
              <w:t>Cultural Heritage</w:t>
            </w:r>
          </w:p>
        </w:tc>
        <w:tc>
          <w:tcPr>
            <w:tcW w:w="1264" w:type="dxa"/>
            <w:shd w:val="clear" w:color="auto" w:fill="auto"/>
            <w:vAlign w:val="center"/>
          </w:tcPr>
          <w:p w:rsidR="00E652DC" w:rsidRPr="00E652DC" w:rsidRDefault="00E652DC" w:rsidP="00E652DC">
            <w:pPr>
              <w:tabs>
                <w:tab w:val="left" w:pos="360"/>
              </w:tabs>
              <w:rPr>
                <w:rFonts w:cs="Calibri Light"/>
                <w:sz w:val="18"/>
                <w:szCs w:val="18"/>
              </w:rPr>
            </w:pPr>
            <w:r w:rsidRPr="005118AF">
              <w:rPr>
                <w:rFonts w:ascii="Segoe UI Symbol" w:hAnsi="Segoe UI Symbol" w:cs="Segoe UI Symbol"/>
                <w:b/>
                <w:sz w:val="18"/>
                <w:szCs w:val="18"/>
              </w:rPr>
              <w:t>☐</w:t>
            </w:r>
          </w:p>
        </w:tc>
        <w:tc>
          <w:tcPr>
            <w:tcW w:w="2563" w:type="dxa"/>
            <w:gridSpan w:val="3"/>
            <w:shd w:val="clear" w:color="auto" w:fill="auto"/>
          </w:tcPr>
          <w:p w:rsidR="00E652DC" w:rsidRPr="00E652DC" w:rsidRDefault="00E652DC" w:rsidP="00E652DC">
            <w:pPr>
              <w:tabs>
                <w:tab w:val="left" w:pos="360"/>
              </w:tabs>
              <w:rPr>
                <w:rFonts w:cs="Calibri Light"/>
                <w:sz w:val="18"/>
                <w:szCs w:val="18"/>
              </w:rPr>
            </w:pPr>
          </w:p>
        </w:tc>
      </w:tr>
      <w:tr w:rsidR="00E652DC" w:rsidRPr="005118AF" w:rsidTr="00E652DC">
        <w:tc>
          <w:tcPr>
            <w:tcW w:w="2836" w:type="dxa"/>
            <w:vMerge/>
            <w:shd w:val="clear" w:color="auto" w:fill="FFFFFF"/>
          </w:tcPr>
          <w:p w:rsidR="00E652DC" w:rsidRPr="00E652DC" w:rsidRDefault="00E652DC" w:rsidP="00E652DC">
            <w:pPr>
              <w:tabs>
                <w:tab w:val="left" w:pos="270"/>
              </w:tabs>
              <w:ind w:left="270" w:hanging="270"/>
              <w:rPr>
                <w:rFonts w:cs="Calibri Light"/>
                <w:sz w:val="18"/>
                <w:szCs w:val="18"/>
              </w:rPr>
            </w:pPr>
          </w:p>
        </w:tc>
        <w:tc>
          <w:tcPr>
            <w:tcW w:w="3544" w:type="dxa"/>
            <w:gridSpan w:val="3"/>
            <w:shd w:val="clear" w:color="auto" w:fill="auto"/>
          </w:tcPr>
          <w:p w:rsidR="00E652DC" w:rsidRPr="00E652DC" w:rsidRDefault="00E652DC" w:rsidP="00E652DC">
            <w:pPr>
              <w:tabs>
                <w:tab w:val="left" w:pos="270"/>
              </w:tabs>
              <w:ind w:left="270" w:hanging="270"/>
              <w:rPr>
                <w:rFonts w:cs="Calibri Light"/>
                <w:b/>
                <w:i/>
                <w:sz w:val="18"/>
                <w:szCs w:val="18"/>
              </w:rPr>
            </w:pPr>
            <w:r w:rsidRPr="00E652DC">
              <w:rPr>
                <w:rFonts w:cs="Calibri Light"/>
                <w:b/>
                <w:i/>
                <w:sz w:val="18"/>
                <w:szCs w:val="18"/>
              </w:rPr>
              <w:t>5.</w:t>
            </w:r>
            <w:r w:rsidRPr="00E652DC">
              <w:rPr>
                <w:rFonts w:cs="Calibri Light"/>
                <w:b/>
                <w:i/>
                <w:sz w:val="18"/>
                <w:szCs w:val="18"/>
              </w:rPr>
              <w:tab/>
              <w:t>Displacement and Resettlement</w:t>
            </w:r>
          </w:p>
        </w:tc>
        <w:tc>
          <w:tcPr>
            <w:tcW w:w="1264" w:type="dxa"/>
            <w:shd w:val="clear" w:color="auto" w:fill="auto"/>
            <w:vAlign w:val="center"/>
          </w:tcPr>
          <w:p w:rsidR="00E652DC" w:rsidRPr="00E652DC" w:rsidRDefault="00E652DC" w:rsidP="00E652DC">
            <w:pPr>
              <w:tabs>
                <w:tab w:val="left" w:pos="360"/>
              </w:tabs>
              <w:rPr>
                <w:rFonts w:cs="Calibri Light"/>
                <w:sz w:val="18"/>
                <w:szCs w:val="18"/>
              </w:rPr>
            </w:pPr>
            <w:r w:rsidRPr="005118AF">
              <w:rPr>
                <w:rFonts w:ascii="Segoe UI Symbol" w:hAnsi="Segoe UI Symbol" w:cs="Segoe UI Symbol"/>
                <w:b/>
                <w:sz w:val="18"/>
                <w:szCs w:val="18"/>
              </w:rPr>
              <w:t>☐</w:t>
            </w:r>
          </w:p>
        </w:tc>
        <w:tc>
          <w:tcPr>
            <w:tcW w:w="2563" w:type="dxa"/>
            <w:gridSpan w:val="3"/>
            <w:shd w:val="clear" w:color="auto" w:fill="auto"/>
          </w:tcPr>
          <w:p w:rsidR="00E652DC" w:rsidRPr="00E652DC" w:rsidRDefault="00E652DC" w:rsidP="00E652DC">
            <w:pPr>
              <w:tabs>
                <w:tab w:val="left" w:pos="360"/>
              </w:tabs>
              <w:rPr>
                <w:rFonts w:cs="Calibri Light"/>
                <w:sz w:val="18"/>
                <w:szCs w:val="18"/>
              </w:rPr>
            </w:pPr>
          </w:p>
        </w:tc>
      </w:tr>
      <w:tr w:rsidR="00E652DC" w:rsidRPr="005118AF" w:rsidTr="00E652DC">
        <w:tc>
          <w:tcPr>
            <w:tcW w:w="2836" w:type="dxa"/>
            <w:vMerge/>
            <w:shd w:val="clear" w:color="auto" w:fill="FFFFFF"/>
          </w:tcPr>
          <w:p w:rsidR="00E652DC" w:rsidRPr="00E652DC" w:rsidRDefault="00E652DC" w:rsidP="00E652DC">
            <w:pPr>
              <w:tabs>
                <w:tab w:val="left" w:pos="270"/>
              </w:tabs>
              <w:ind w:left="270" w:hanging="270"/>
              <w:rPr>
                <w:rFonts w:cs="Calibri Light"/>
                <w:sz w:val="18"/>
                <w:szCs w:val="18"/>
              </w:rPr>
            </w:pPr>
          </w:p>
        </w:tc>
        <w:tc>
          <w:tcPr>
            <w:tcW w:w="3544" w:type="dxa"/>
            <w:gridSpan w:val="3"/>
            <w:shd w:val="clear" w:color="auto" w:fill="auto"/>
          </w:tcPr>
          <w:p w:rsidR="00E652DC" w:rsidRPr="00E652DC" w:rsidRDefault="00E652DC" w:rsidP="00E652DC">
            <w:pPr>
              <w:tabs>
                <w:tab w:val="left" w:pos="270"/>
              </w:tabs>
              <w:ind w:left="270" w:hanging="270"/>
              <w:rPr>
                <w:rFonts w:cs="Calibri Light"/>
                <w:b/>
                <w:i/>
                <w:sz w:val="18"/>
                <w:szCs w:val="18"/>
              </w:rPr>
            </w:pPr>
            <w:r w:rsidRPr="00E652DC">
              <w:rPr>
                <w:rFonts w:cs="Calibri Light"/>
                <w:b/>
                <w:i/>
                <w:sz w:val="18"/>
                <w:szCs w:val="18"/>
              </w:rPr>
              <w:t>6.</w:t>
            </w:r>
            <w:r w:rsidRPr="00E652DC">
              <w:rPr>
                <w:rFonts w:cs="Calibri Light"/>
                <w:b/>
                <w:i/>
                <w:sz w:val="18"/>
                <w:szCs w:val="18"/>
              </w:rPr>
              <w:tab/>
              <w:t>Indigenous Peoples</w:t>
            </w:r>
          </w:p>
        </w:tc>
        <w:tc>
          <w:tcPr>
            <w:tcW w:w="1264" w:type="dxa"/>
            <w:shd w:val="clear" w:color="auto" w:fill="auto"/>
            <w:vAlign w:val="center"/>
          </w:tcPr>
          <w:p w:rsidR="00E652DC" w:rsidRPr="00E652DC" w:rsidRDefault="00E652DC" w:rsidP="00E652DC">
            <w:pPr>
              <w:tabs>
                <w:tab w:val="left" w:pos="360"/>
              </w:tabs>
              <w:rPr>
                <w:rFonts w:cs="Calibri Light"/>
                <w:sz w:val="18"/>
                <w:szCs w:val="18"/>
              </w:rPr>
            </w:pPr>
            <w:r w:rsidRPr="005118AF">
              <w:rPr>
                <w:rFonts w:ascii="Segoe UI Symbol" w:hAnsi="Segoe UI Symbol" w:cs="Segoe UI Symbol"/>
                <w:b/>
                <w:sz w:val="18"/>
                <w:szCs w:val="18"/>
              </w:rPr>
              <w:t>☐</w:t>
            </w:r>
          </w:p>
        </w:tc>
        <w:tc>
          <w:tcPr>
            <w:tcW w:w="2563" w:type="dxa"/>
            <w:gridSpan w:val="3"/>
            <w:shd w:val="clear" w:color="auto" w:fill="auto"/>
          </w:tcPr>
          <w:p w:rsidR="00E652DC" w:rsidRPr="00E652DC" w:rsidRDefault="00E652DC" w:rsidP="00E652DC">
            <w:pPr>
              <w:tabs>
                <w:tab w:val="left" w:pos="360"/>
              </w:tabs>
              <w:rPr>
                <w:rFonts w:cs="Calibri Light"/>
                <w:sz w:val="18"/>
                <w:szCs w:val="18"/>
              </w:rPr>
            </w:pPr>
          </w:p>
        </w:tc>
      </w:tr>
      <w:tr w:rsidR="00E652DC" w:rsidRPr="005118AF" w:rsidTr="00E652DC">
        <w:tc>
          <w:tcPr>
            <w:tcW w:w="2836" w:type="dxa"/>
            <w:vMerge/>
            <w:shd w:val="clear" w:color="auto" w:fill="FFFFFF"/>
          </w:tcPr>
          <w:p w:rsidR="00E652DC" w:rsidRPr="00E652DC" w:rsidRDefault="00E652DC" w:rsidP="00E652DC">
            <w:pPr>
              <w:tabs>
                <w:tab w:val="left" w:pos="270"/>
              </w:tabs>
              <w:ind w:left="270" w:hanging="270"/>
              <w:rPr>
                <w:rFonts w:cs="Calibri Light"/>
                <w:sz w:val="18"/>
                <w:szCs w:val="18"/>
              </w:rPr>
            </w:pPr>
          </w:p>
        </w:tc>
        <w:tc>
          <w:tcPr>
            <w:tcW w:w="3544" w:type="dxa"/>
            <w:gridSpan w:val="3"/>
            <w:shd w:val="clear" w:color="auto" w:fill="auto"/>
          </w:tcPr>
          <w:p w:rsidR="00E652DC" w:rsidRPr="00E652DC" w:rsidRDefault="00E652DC" w:rsidP="00E652DC">
            <w:pPr>
              <w:tabs>
                <w:tab w:val="left" w:pos="270"/>
              </w:tabs>
              <w:ind w:left="270" w:hanging="270"/>
              <w:rPr>
                <w:rFonts w:cs="Calibri Light"/>
                <w:b/>
                <w:i/>
                <w:sz w:val="18"/>
                <w:szCs w:val="18"/>
              </w:rPr>
            </w:pPr>
            <w:r w:rsidRPr="00E652DC">
              <w:rPr>
                <w:rFonts w:cs="Calibri Light"/>
                <w:b/>
                <w:i/>
                <w:sz w:val="18"/>
                <w:szCs w:val="18"/>
              </w:rPr>
              <w:t>7.</w:t>
            </w:r>
            <w:r w:rsidRPr="00E652DC">
              <w:rPr>
                <w:rFonts w:cs="Calibri Light"/>
                <w:b/>
                <w:i/>
                <w:sz w:val="18"/>
                <w:szCs w:val="18"/>
              </w:rPr>
              <w:tab/>
              <w:t>Pollution Prevention and Resource Efficiency</w:t>
            </w:r>
          </w:p>
        </w:tc>
        <w:tc>
          <w:tcPr>
            <w:tcW w:w="1264" w:type="dxa"/>
            <w:shd w:val="clear" w:color="auto" w:fill="auto"/>
            <w:vAlign w:val="center"/>
          </w:tcPr>
          <w:p w:rsidR="00E652DC" w:rsidRPr="00E652DC" w:rsidRDefault="00E652DC" w:rsidP="00E652DC">
            <w:pPr>
              <w:tabs>
                <w:tab w:val="left" w:pos="360"/>
              </w:tabs>
              <w:rPr>
                <w:rFonts w:cs="Calibri Light"/>
                <w:sz w:val="18"/>
                <w:szCs w:val="18"/>
              </w:rPr>
            </w:pPr>
            <w:r w:rsidRPr="005118AF">
              <w:rPr>
                <w:rFonts w:ascii="Segoe UI Symbol" w:hAnsi="Segoe UI Symbol" w:cs="Segoe UI Symbol"/>
                <w:b/>
                <w:sz w:val="18"/>
                <w:szCs w:val="18"/>
              </w:rPr>
              <w:t>☐</w:t>
            </w:r>
          </w:p>
        </w:tc>
        <w:tc>
          <w:tcPr>
            <w:tcW w:w="2563" w:type="dxa"/>
            <w:gridSpan w:val="3"/>
            <w:shd w:val="clear" w:color="auto" w:fill="auto"/>
          </w:tcPr>
          <w:p w:rsidR="00E652DC" w:rsidRPr="00E652DC" w:rsidRDefault="00E652DC" w:rsidP="00E652DC">
            <w:pPr>
              <w:tabs>
                <w:tab w:val="left" w:pos="360"/>
              </w:tabs>
              <w:rPr>
                <w:rFonts w:cs="Calibri Light"/>
                <w:sz w:val="18"/>
                <w:szCs w:val="18"/>
              </w:rPr>
            </w:pPr>
          </w:p>
        </w:tc>
      </w:tr>
    </w:tbl>
    <w:p w:rsidR="00E652DC" w:rsidRPr="00E652DC" w:rsidRDefault="00E652DC" w:rsidP="00E652DC">
      <w:pPr>
        <w:spacing w:before="200"/>
        <w:rPr>
          <w:rFonts w:cs="Calibri Light"/>
          <w:b/>
          <w:color w:val="4472C4"/>
          <w:sz w:val="20"/>
          <w:szCs w:val="20"/>
        </w:rPr>
      </w:pPr>
      <w:r w:rsidRPr="00E652DC">
        <w:rPr>
          <w:rFonts w:cs="Calibri Light"/>
          <w:b/>
          <w:color w:val="4472C4"/>
          <w:sz w:val="20"/>
          <w:szCs w:val="20"/>
        </w:rPr>
        <w:t xml:space="preserve">Final Sign Off </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7"/>
        <w:gridCol w:w="1479"/>
        <w:gridCol w:w="5641"/>
      </w:tblGrid>
      <w:tr w:rsidR="00E652DC" w:rsidRPr="005118AF" w:rsidTr="00E652DC">
        <w:tc>
          <w:tcPr>
            <w:tcW w:w="3087" w:type="dxa"/>
            <w:shd w:val="clear" w:color="auto" w:fill="D5DCE4"/>
          </w:tcPr>
          <w:p w:rsidR="00E652DC" w:rsidRPr="00E652DC" w:rsidRDefault="00E652DC" w:rsidP="00E652DC">
            <w:pPr>
              <w:tabs>
                <w:tab w:val="left" w:pos="360"/>
                <w:tab w:val="left" w:pos="4320"/>
              </w:tabs>
              <w:rPr>
                <w:rFonts w:cs="Calibri Light"/>
                <w:b/>
                <w:i/>
                <w:sz w:val="20"/>
                <w:szCs w:val="20"/>
              </w:rPr>
            </w:pPr>
            <w:r w:rsidRPr="00E652DC">
              <w:rPr>
                <w:rFonts w:cs="Calibri Light"/>
                <w:b/>
                <w:i/>
                <w:sz w:val="20"/>
                <w:szCs w:val="20"/>
              </w:rPr>
              <w:t>Signature</w:t>
            </w:r>
          </w:p>
        </w:tc>
        <w:tc>
          <w:tcPr>
            <w:tcW w:w="1479" w:type="dxa"/>
            <w:shd w:val="clear" w:color="auto" w:fill="D5DCE4"/>
          </w:tcPr>
          <w:p w:rsidR="00E652DC" w:rsidRPr="00E652DC" w:rsidRDefault="00E652DC" w:rsidP="00E652DC">
            <w:pPr>
              <w:tabs>
                <w:tab w:val="left" w:pos="360"/>
                <w:tab w:val="left" w:pos="4320"/>
              </w:tabs>
              <w:rPr>
                <w:rFonts w:cs="Calibri Light"/>
                <w:b/>
                <w:i/>
                <w:sz w:val="20"/>
                <w:szCs w:val="20"/>
              </w:rPr>
            </w:pPr>
            <w:r w:rsidRPr="00E652DC">
              <w:rPr>
                <w:rFonts w:cs="Calibri Light"/>
                <w:b/>
                <w:i/>
                <w:sz w:val="20"/>
                <w:szCs w:val="20"/>
              </w:rPr>
              <w:t>Date</w:t>
            </w:r>
          </w:p>
        </w:tc>
        <w:tc>
          <w:tcPr>
            <w:tcW w:w="5641" w:type="dxa"/>
            <w:shd w:val="clear" w:color="auto" w:fill="D5DCE4"/>
          </w:tcPr>
          <w:p w:rsidR="00E652DC" w:rsidRPr="00E652DC" w:rsidRDefault="00E652DC" w:rsidP="00E652DC">
            <w:pPr>
              <w:tabs>
                <w:tab w:val="left" w:pos="360"/>
                <w:tab w:val="left" w:pos="4320"/>
              </w:tabs>
              <w:rPr>
                <w:rFonts w:cs="Calibri Light"/>
                <w:b/>
                <w:i/>
                <w:sz w:val="20"/>
                <w:szCs w:val="20"/>
              </w:rPr>
            </w:pPr>
            <w:r w:rsidRPr="00E652DC">
              <w:rPr>
                <w:rFonts w:cs="Calibri Light"/>
                <w:b/>
                <w:i/>
                <w:sz w:val="20"/>
                <w:szCs w:val="20"/>
              </w:rPr>
              <w:t>Description</w:t>
            </w:r>
          </w:p>
        </w:tc>
      </w:tr>
      <w:tr w:rsidR="00E652DC" w:rsidRPr="005118AF" w:rsidTr="00E652DC">
        <w:trPr>
          <w:trHeight w:val="629"/>
        </w:trPr>
        <w:tc>
          <w:tcPr>
            <w:tcW w:w="3087" w:type="dxa"/>
            <w:shd w:val="clear" w:color="auto" w:fill="auto"/>
          </w:tcPr>
          <w:p w:rsidR="00E652DC" w:rsidRPr="00E652DC" w:rsidRDefault="00E652DC" w:rsidP="00E652DC">
            <w:pPr>
              <w:tabs>
                <w:tab w:val="left" w:pos="360"/>
                <w:tab w:val="left" w:pos="4320"/>
              </w:tabs>
              <w:rPr>
                <w:rFonts w:cs="Calibri Light"/>
                <w:sz w:val="20"/>
                <w:szCs w:val="20"/>
              </w:rPr>
            </w:pPr>
            <w:r w:rsidRPr="00E652DC">
              <w:rPr>
                <w:rFonts w:cs="Calibri Light"/>
                <w:sz w:val="20"/>
                <w:szCs w:val="20"/>
              </w:rPr>
              <w:t>QA Assessor</w:t>
            </w:r>
          </w:p>
        </w:tc>
        <w:tc>
          <w:tcPr>
            <w:tcW w:w="1479" w:type="dxa"/>
            <w:shd w:val="clear" w:color="auto" w:fill="auto"/>
          </w:tcPr>
          <w:p w:rsidR="00E652DC" w:rsidRPr="00E652DC" w:rsidRDefault="00E652DC" w:rsidP="00E652DC">
            <w:pPr>
              <w:tabs>
                <w:tab w:val="left" w:pos="360"/>
                <w:tab w:val="left" w:pos="4320"/>
              </w:tabs>
              <w:rPr>
                <w:rFonts w:cs="Calibri Light"/>
                <w:sz w:val="20"/>
                <w:szCs w:val="20"/>
              </w:rPr>
            </w:pPr>
          </w:p>
        </w:tc>
        <w:tc>
          <w:tcPr>
            <w:tcW w:w="5641" w:type="dxa"/>
            <w:shd w:val="clear" w:color="auto" w:fill="auto"/>
          </w:tcPr>
          <w:p w:rsidR="00E652DC" w:rsidRPr="00E652DC" w:rsidRDefault="00E652DC" w:rsidP="00E652DC">
            <w:pPr>
              <w:pStyle w:val="SESPbodynumbered"/>
              <w:numPr>
                <w:ilvl w:val="0"/>
                <w:numId w:val="0"/>
              </w:numPr>
              <w:tabs>
                <w:tab w:val="clear" w:pos="360"/>
                <w:tab w:val="left" w:pos="720"/>
              </w:tabs>
              <w:spacing w:before="0" w:after="0"/>
              <w:rPr>
                <w:rFonts w:ascii="Calibri Light" w:hAnsi="Calibri Light" w:cs="Calibri Light"/>
                <w:lang w:val="en-GB"/>
              </w:rPr>
            </w:pPr>
            <w:r w:rsidRPr="00E652DC">
              <w:rPr>
                <w:rFonts w:ascii="Calibri Light" w:hAnsi="Calibri Light" w:cs="Calibri Light"/>
              </w:rPr>
              <w:t>UNDP staff member responsible for the Project</w:t>
            </w:r>
            <w:r w:rsidRPr="00E652DC">
              <w:rPr>
                <w:rFonts w:ascii="Calibri Light" w:hAnsi="Calibri Light" w:cs="Calibri Light"/>
                <w:lang w:val="en-GB"/>
              </w:rPr>
              <w:t xml:space="preserve">, typically a UNDP </w:t>
            </w:r>
            <w:r w:rsidR="00253797">
              <w:rPr>
                <w:rFonts w:ascii="Calibri Light" w:hAnsi="Calibri Light" w:cs="Calibri Light"/>
                <w:lang w:val="en-GB"/>
              </w:rPr>
              <w:t>Project</w:t>
            </w:r>
            <w:r w:rsidRPr="00E652DC">
              <w:rPr>
                <w:rFonts w:ascii="Calibri Light" w:hAnsi="Calibri Light" w:cs="Calibri Light"/>
                <w:lang w:val="en-GB"/>
              </w:rPr>
              <w:t xml:space="preserve"> Officer. </w:t>
            </w:r>
          </w:p>
          <w:p w:rsidR="00E652DC" w:rsidRPr="00E652DC" w:rsidRDefault="00E652DC" w:rsidP="00E652DC">
            <w:pPr>
              <w:pStyle w:val="SESPbodynumbered"/>
              <w:numPr>
                <w:ilvl w:val="0"/>
                <w:numId w:val="0"/>
              </w:numPr>
              <w:tabs>
                <w:tab w:val="clear" w:pos="360"/>
                <w:tab w:val="left" w:pos="720"/>
              </w:tabs>
              <w:spacing w:before="0" w:after="0"/>
              <w:rPr>
                <w:rFonts w:ascii="Calibri Light" w:hAnsi="Calibri Light" w:cs="Calibri Light"/>
              </w:rPr>
            </w:pPr>
            <w:r w:rsidRPr="00E652DC">
              <w:rPr>
                <w:rFonts w:ascii="Calibri Light" w:hAnsi="Calibri Light" w:cs="Calibri Light"/>
                <w:lang w:val="en-GB"/>
              </w:rPr>
              <w:t>Final signature confirms they have “checked” to ensure that the SESP is adequately conducted.</w:t>
            </w:r>
          </w:p>
        </w:tc>
      </w:tr>
      <w:tr w:rsidR="00E652DC" w:rsidRPr="005118AF" w:rsidTr="00E652DC">
        <w:tc>
          <w:tcPr>
            <w:tcW w:w="3087" w:type="dxa"/>
            <w:shd w:val="clear" w:color="auto" w:fill="auto"/>
          </w:tcPr>
          <w:p w:rsidR="00E652DC" w:rsidRPr="00E652DC" w:rsidRDefault="00E652DC" w:rsidP="00E652DC">
            <w:pPr>
              <w:tabs>
                <w:tab w:val="left" w:pos="360"/>
                <w:tab w:val="left" w:pos="4320"/>
              </w:tabs>
              <w:rPr>
                <w:rFonts w:cs="Calibri Light"/>
                <w:sz w:val="20"/>
                <w:szCs w:val="20"/>
              </w:rPr>
            </w:pPr>
            <w:r w:rsidRPr="00E652DC">
              <w:rPr>
                <w:rFonts w:cs="Calibri Light"/>
                <w:sz w:val="20"/>
                <w:szCs w:val="20"/>
              </w:rPr>
              <w:t>QA Approver</w:t>
            </w:r>
          </w:p>
        </w:tc>
        <w:tc>
          <w:tcPr>
            <w:tcW w:w="1479" w:type="dxa"/>
            <w:shd w:val="clear" w:color="auto" w:fill="auto"/>
          </w:tcPr>
          <w:p w:rsidR="00E652DC" w:rsidRPr="00E652DC" w:rsidRDefault="00E652DC" w:rsidP="00E652DC">
            <w:pPr>
              <w:tabs>
                <w:tab w:val="left" w:pos="360"/>
                <w:tab w:val="left" w:pos="4320"/>
              </w:tabs>
              <w:rPr>
                <w:rFonts w:cs="Calibri Light"/>
                <w:sz w:val="20"/>
                <w:szCs w:val="20"/>
              </w:rPr>
            </w:pPr>
          </w:p>
        </w:tc>
        <w:tc>
          <w:tcPr>
            <w:tcW w:w="5641" w:type="dxa"/>
            <w:shd w:val="clear" w:color="auto" w:fill="auto"/>
          </w:tcPr>
          <w:p w:rsidR="00E652DC" w:rsidRPr="00E652DC" w:rsidRDefault="00E652DC" w:rsidP="00E652DC">
            <w:pPr>
              <w:tabs>
                <w:tab w:val="left" w:pos="360"/>
                <w:tab w:val="left" w:pos="4320"/>
              </w:tabs>
              <w:rPr>
                <w:rFonts w:cs="Calibri Light"/>
                <w:sz w:val="20"/>
                <w:szCs w:val="20"/>
              </w:rPr>
            </w:pPr>
            <w:r w:rsidRPr="00E652DC">
              <w:rPr>
                <w:rFonts w:cs="Calibri Light"/>
                <w:sz w:val="20"/>
                <w:szCs w:val="20"/>
              </w:rPr>
              <w:t>UNDP senior manager, typically the UNDP Deputy Country Director (DCD), Country Director (CD)</w:t>
            </w:r>
            <w:r w:rsidRPr="00E652DC">
              <w:rPr>
                <w:rFonts w:cs="Calibri Light"/>
                <w:b/>
                <w:sz w:val="20"/>
                <w:szCs w:val="20"/>
              </w:rPr>
              <w:t xml:space="preserve">, </w:t>
            </w:r>
            <w:r w:rsidRPr="00E652DC">
              <w:rPr>
                <w:rFonts w:cs="Calibri Light"/>
                <w:sz w:val="20"/>
                <w:szCs w:val="20"/>
              </w:rPr>
              <w:t xml:space="preserve">Deputy Resident Representative (DRR), or Resident Representative (RR). </w:t>
            </w:r>
          </w:p>
          <w:p w:rsidR="00E652DC" w:rsidRPr="00E652DC" w:rsidRDefault="00E652DC" w:rsidP="00E652DC">
            <w:pPr>
              <w:tabs>
                <w:tab w:val="left" w:pos="360"/>
                <w:tab w:val="left" w:pos="4320"/>
              </w:tabs>
              <w:rPr>
                <w:rFonts w:cs="Calibri Light"/>
                <w:sz w:val="20"/>
                <w:szCs w:val="20"/>
              </w:rPr>
            </w:pPr>
            <w:r w:rsidRPr="00E652DC">
              <w:rPr>
                <w:rFonts w:cs="Calibri Light"/>
                <w:sz w:val="20"/>
                <w:szCs w:val="20"/>
              </w:rPr>
              <w:t>The QA Approver cannot also be the QA Assessor. Final signature confirms they have “cleared” the SESP prior to submittal to the PAC.</w:t>
            </w:r>
          </w:p>
        </w:tc>
      </w:tr>
      <w:tr w:rsidR="00E652DC" w:rsidRPr="005118AF" w:rsidTr="00E652DC">
        <w:tc>
          <w:tcPr>
            <w:tcW w:w="3087" w:type="dxa"/>
            <w:shd w:val="clear" w:color="auto" w:fill="auto"/>
          </w:tcPr>
          <w:p w:rsidR="00E652DC" w:rsidRPr="00E652DC" w:rsidRDefault="00E652DC" w:rsidP="00E652DC">
            <w:pPr>
              <w:tabs>
                <w:tab w:val="left" w:pos="360"/>
                <w:tab w:val="left" w:pos="4320"/>
              </w:tabs>
              <w:rPr>
                <w:rFonts w:cs="Calibri Light"/>
                <w:sz w:val="20"/>
                <w:szCs w:val="20"/>
              </w:rPr>
            </w:pPr>
            <w:r w:rsidRPr="00E652DC">
              <w:rPr>
                <w:rFonts w:cs="Calibri Light"/>
                <w:sz w:val="20"/>
                <w:szCs w:val="20"/>
              </w:rPr>
              <w:t>PAC Chair</w:t>
            </w:r>
          </w:p>
        </w:tc>
        <w:tc>
          <w:tcPr>
            <w:tcW w:w="1479" w:type="dxa"/>
            <w:shd w:val="clear" w:color="auto" w:fill="auto"/>
          </w:tcPr>
          <w:p w:rsidR="00E652DC" w:rsidRPr="00E652DC" w:rsidRDefault="00E652DC" w:rsidP="00E652DC">
            <w:pPr>
              <w:tabs>
                <w:tab w:val="left" w:pos="360"/>
                <w:tab w:val="left" w:pos="4320"/>
              </w:tabs>
              <w:rPr>
                <w:rFonts w:cs="Calibri Light"/>
                <w:sz w:val="20"/>
                <w:szCs w:val="20"/>
              </w:rPr>
            </w:pPr>
          </w:p>
        </w:tc>
        <w:tc>
          <w:tcPr>
            <w:tcW w:w="5641" w:type="dxa"/>
            <w:shd w:val="clear" w:color="auto" w:fill="auto"/>
          </w:tcPr>
          <w:p w:rsidR="00E652DC" w:rsidRPr="00E652DC" w:rsidRDefault="00E652DC" w:rsidP="00E652DC">
            <w:pPr>
              <w:tabs>
                <w:tab w:val="left" w:pos="360"/>
                <w:tab w:val="left" w:pos="4320"/>
              </w:tabs>
              <w:rPr>
                <w:rFonts w:cs="Calibri Light"/>
                <w:sz w:val="20"/>
                <w:szCs w:val="20"/>
              </w:rPr>
            </w:pPr>
            <w:r w:rsidRPr="00E652DC">
              <w:rPr>
                <w:rFonts w:cs="Calibri Light"/>
                <w:sz w:val="20"/>
                <w:szCs w:val="20"/>
              </w:rPr>
              <w:t xml:space="preserve">UNDP chair of the PAC.  In some </w:t>
            </w:r>
            <w:proofErr w:type="gramStart"/>
            <w:r w:rsidRPr="00E652DC">
              <w:rPr>
                <w:rFonts w:cs="Calibri Light"/>
                <w:sz w:val="20"/>
                <w:szCs w:val="20"/>
              </w:rPr>
              <w:t>cases</w:t>
            </w:r>
            <w:proofErr w:type="gramEnd"/>
            <w:r w:rsidRPr="00E652DC">
              <w:rPr>
                <w:rFonts w:cs="Calibri Light"/>
                <w:sz w:val="20"/>
                <w:szCs w:val="20"/>
              </w:rPr>
              <w:t xml:space="preserve"> PAC Chair may also be the QA Approver. </w:t>
            </w:r>
          </w:p>
          <w:p w:rsidR="00E652DC" w:rsidRPr="00E652DC" w:rsidRDefault="00E652DC" w:rsidP="00E652DC">
            <w:pPr>
              <w:tabs>
                <w:tab w:val="left" w:pos="360"/>
                <w:tab w:val="left" w:pos="4320"/>
              </w:tabs>
              <w:rPr>
                <w:rFonts w:cs="Calibri Light"/>
                <w:sz w:val="20"/>
                <w:szCs w:val="20"/>
              </w:rPr>
            </w:pPr>
            <w:r w:rsidRPr="00E652DC">
              <w:rPr>
                <w:rFonts w:cs="Calibri Light"/>
                <w:sz w:val="20"/>
                <w:szCs w:val="20"/>
              </w:rPr>
              <w:t xml:space="preserve">Final signature confirms that the SESP was considered as part of the project appraisal and considered in recommendations of the PAC. </w:t>
            </w:r>
          </w:p>
        </w:tc>
      </w:tr>
    </w:tbl>
    <w:p w:rsidR="00E652DC" w:rsidRPr="00E652DC" w:rsidRDefault="00E652DC" w:rsidP="00E652DC">
      <w:pPr>
        <w:rPr>
          <w:rFonts w:cs="Calibri Light"/>
          <w:sz w:val="20"/>
          <w:szCs w:val="20"/>
        </w:rPr>
      </w:pPr>
    </w:p>
    <w:p w:rsidR="00E652DC" w:rsidRPr="00E652DC" w:rsidRDefault="00E652DC" w:rsidP="00E652DC">
      <w:pPr>
        <w:pStyle w:val="Heading3"/>
        <w:rPr>
          <w:rFonts w:cs="Calibri Light"/>
          <w:color w:val="4472C4"/>
          <w:sz w:val="20"/>
          <w:szCs w:val="20"/>
        </w:rPr>
      </w:pPr>
      <w:bookmarkStart w:id="99" w:name="_Toc404528202"/>
      <w:r w:rsidRPr="00E652DC">
        <w:rPr>
          <w:rFonts w:cs="Calibri Light"/>
          <w:color w:val="4472C4"/>
          <w:sz w:val="20"/>
          <w:szCs w:val="20"/>
        </w:rPr>
        <w:t>SESP Attachment 1. Social and Environmental Risk Screening Checklist</w:t>
      </w:r>
      <w:bookmarkEnd w:id="99"/>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97"/>
        <w:gridCol w:w="1134"/>
      </w:tblGrid>
      <w:tr w:rsidR="00E652DC" w:rsidRPr="005118AF" w:rsidTr="00E652DC">
        <w:tc>
          <w:tcPr>
            <w:tcW w:w="8897" w:type="dxa"/>
            <w:tcBorders>
              <w:bottom w:val="single" w:sz="4" w:space="0" w:color="auto"/>
            </w:tcBorders>
            <w:shd w:val="clear" w:color="auto" w:fill="ACB9CA"/>
          </w:tcPr>
          <w:p w:rsidR="00E652DC" w:rsidRPr="00E652DC" w:rsidRDefault="00E652DC" w:rsidP="00E652DC">
            <w:pPr>
              <w:tabs>
                <w:tab w:val="left" w:pos="810"/>
              </w:tabs>
              <w:rPr>
                <w:rFonts w:cs="Calibri Light"/>
                <w:sz w:val="20"/>
                <w:szCs w:val="20"/>
                <w:u w:val="single"/>
              </w:rPr>
            </w:pPr>
            <w:r w:rsidRPr="00E652DC">
              <w:rPr>
                <w:rFonts w:cs="Calibri Light"/>
                <w:b/>
                <w:sz w:val="20"/>
                <w:szCs w:val="20"/>
              </w:rPr>
              <w:t xml:space="preserve">Checklist Potential Social and Environmental </w:t>
            </w:r>
            <w:r w:rsidRPr="00E652DC">
              <w:rPr>
                <w:rFonts w:cs="Calibri Light"/>
                <w:b/>
                <w:sz w:val="20"/>
                <w:szCs w:val="20"/>
                <w:u w:val="single"/>
              </w:rPr>
              <w:t>Risks</w:t>
            </w:r>
          </w:p>
        </w:tc>
        <w:tc>
          <w:tcPr>
            <w:tcW w:w="1134" w:type="dxa"/>
            <w:tcBorders>
              <w:bottom w:val="single" w:sz="4" w:space="0" w:color="auto"/>
            </w:tcBorders>
            <w:shd w:val="clear" w:color="auto" w:fill="ACB9CA"/>
          </w:tcPr>
          <w:p w:rsidR="00E652DC" w:rsidRPr="00E652DC" w:rsidRDefault="00E652DC" w:rsidP="00E652DC">
            <w:pPr>
              <w:tabs>
                <w:tab w:val="left" w:pos="810"/>
              </w:tabs>
              <w:rPr>
                <w:rFonts w:cs="Calibri Light"/>
                <w:sz w:val="20"/>
                <w:szCs w:val="20"/>
              </w:rPr>
            </w:pPr>
          </w:p>
        </w:tc>
      </w:tr>
      <w:tr w:rsidR="00E652DC" w:rsidRPr="005118AF" w:rsidTr="00E652DC">
        <w:tc>
          <w:tcPr>
            <w:tcW w:w="8897" w:type="dxa"/>
            <w:tcBorders>
              <w:bottom w:val="single" w:sz="4" w:space="0" w:color="auto"/>
            </w:tcBorders>
            <w:shd w:val="clear" w:color="auto" w:fill="D9E2F3"/>
          </w:tcPr>
          <w:p w:rsidR="00E652DC" w:rsidRPr="00E652DC" w:rsidRDefault="00E652DC" w:rsidP="00E652DC">
            <w:pPr>
              <w:tabs>
                <w:tab w:val="left" w:pos="810"/>
              </w:tabs>
              <w:spacing w:before="120" w:after="120"/>
              <w:rPr>
                <w:rFonts w:cs="Calibri Light"/>
                <w:b/>
                <w:sz w:val="20"/>
                <w:szCs w:val="20"/>
              </w:rPr>
            </w:pPr>
            <w:r w:rsidRPr="00E652DC">
              <w:rPr>
                <w:rFonts w:cs="Calibri Light"/>
                <w:b/>
                <w:sz w:val="20"/>
                <w:szCs w:val="20"/>
              </w:rPr>
              <w:t>Principles 1: Human Rights</w:t>
            </w:r>
          </w:p>
        </w:tc>
        <w:tc>
          <w:tcPr>
            <w:tcW w:w="1134" w:type="dxa"/>
            <w:tcBorders>
              <w:bottom w:val="single" w:sz="4" w:space="0" w:color="auto"/>
            </w:tcBorders>
            <w:shd w:val="clear" w:color="auto" w:fill="D9E2F3"/>
          </w:tcPr>
          <w:p w:rsidR="00E652DC" w:rsidRPr="00E652DC" w:rsidRDefault="00E652DC" w:rsidP="00E652DC">
            <w:pPr>
              <w:tabs>
                <w:tab w:val="left" w:pos="810"/>
              </w:tabs>
              <w:jc w:val="center"/>
              <w:rPr>
                <w:rFonts w:cs="Calibri Light"/>
                <w:b/>
                <w:sz w:val="20"/>
                <w:szCs w:val="20"/>
              </w:rPr>
            </w:pPr>
            <w:r w:rsidRPr="00E652DC">
              <w:rPr>
                <w:rFonts w:cs="Calibri Light"/>
                <w:b/>
                <w:sz w:val="20"/>
                <w:szCs w:val="20"/>
              </w:rPr>
              <w:t xml:space="preserve">Answer </w:t>
            </w:r>
            <w:r w:rsidRPr="00E652DC">
              <w:rPr>
                <w:rFonts w:cs="Calibri Light"/>
                <w:b/>
                <w:sz w:val="20"/>
                <w:szCs w:val="20"/>
              </w:rPr>
              <w:br/>
              <w:t>(Yes/No)</w:t>
            </w:r>
          </w:p>
        </w:tc>
      </w:tr>
      <w:tr w:rsidR="00E652DC" w:rsidRPr="005118AF" w:rsidTr="00E652DC">
        <w:tc>
          <w:tcPr>
            <w:tcW w:w="8897" w:type="dxa"/>
            <w:tcBorders>
              <w:bottom w:val="single" w:sz="4" w:space="0" w:color="auto"/>
            </w:tcBorders>
            <w:shd w:val="clear" w:color="auto" w:fill="auto"/>
          </w:tcPr>
          <w:p w:rsidR="00E652DC" w:rsidRPr="00E652DC" w:rsidRDefault="00E652DC" w:rsidP="00E652DC">
            <w:pPr>
              <w:tabs>
                <w:tab w:val="left" w:pos="900"/>
              </w:tabs>
              <w:spacing w:before="60"/>
              <w:ind w:left="567" w:hanging="567"/>
              <w:rPr>
                <w:rFonts w:cs="Calibri Light"/>
                <w:sz w:val="20"/>
                <w:szCs w:val="20"/>
              </w:rPr>
            </w:pPr>
            <w:r w:rsidRPr="00E652DC">
              <w:rPr>
                <w:rFonts w:cs="Calibri Light"/>
                <w:sz w:val="20"/>
                <w:szCs w:val="20"/>
              </w:rPr>
              <w:t>1.</w:t>
            </w:r>
            <w:r w:rsidRPr="00E652DC">
              <w:rPr>
                <w:rFonts w:cs="Calibri Light"/>
                <w:sz w:val="20"/>
                <w:szCs w:val="20"/>
              </w:rPr>
              <w:tab/>
              <w:t>Could the Project lead to adverse impacts on enjoyment of the human rights (civil, political, economic, social or cultural) of the affected population and particularly of marginalized groups?</w:t>
            </w:r>
          </w:p>
        </w:tc>
        <w:tc>
          <w:tcPr>
            <w:tcW w:w="1134" w:type="dxa"/>
            <w:tcBorders>
              <w:bottom w:val="single" w:sz="4" w:space="0" w:color="auto"/>
            </w:tcBorders>
            <w:shd w:val="clear" w:color="auto" w:fill="auto"/>
          </w:tcPr>
          <w:p w:rsidR="00E652DC" w:rsidRPr="00E652DC" w:rsidRDefault="00E652DC" w:rsidP="00E652DC">
            <w:pPr>
              <w:tabs>
                <w:tab w:val="left" w:pos="810"/>
              </w:tabs>
              <w:rPr>
                <w:rFonts w:cs="Calibri Light"/>
                <w:sz w:val="20"/>
                <w:szCs w:val="20"/>
              </w:rPr>
            </w:pPr>
            <w:r w:rsidRPr="00E652DC">
              <w:rPr>
                <w:rFonts w:cs="Calibri Light"/>
                <w:sz w:val="20"/>
                <w:szCs w:val="20"/>
              </w:rPr>
              <w:t>No</w:t>
            </w:r>
          </w:p>
        </w:tc>
      </w:tr>
      <w:tr w:rsidR="00E652DC" w:rsidRPr="005118AF" w:rsidTr="00E652DC">
        <w:tc>
          <w:tcPr>
            <w:tcW w:w="8897" w:type="dxa"/>
            <w:tcBorders>
              <w:bottom w:val="single" w:sz="4" w:space="0" w:color="auto"/>
            </w:tcBorders>
            <w:shd w:val="clear" w:color="auto" w:fill="auto"/>
          </w:tcPr>
          <w:p w:rsidR="00E652DC" w:rsidRPr="00E652DC" w:rsidRDefault="00E652DC" w:rsidP="00E652DC">
            <w:pPr>
              <w:tabs>
                <w:tab w:val="left" w:pos="900"/>
              </w:tabs>
              <w:spacing w:before="60"/>
              <w:ind w:left="567" w:hanging="567"/>
              <w:rPr>
                <w:rFonts w:cs="Calibri Light"/>
                <w:sz w:val="20"/>
                <w:szCs w:val="20"/>
              </w:rPr>
            </w:pPr>
            <w:r w:rsidRPr="00E652DC">
              <w:rPr>
                <w:rFonts w:cs="Calibri Light"/>
                <w:sz w:val="20"/>
                <w:szCs w:val="20"/>
              </w:rPr>
              <w:t xml:space="preserve">2. </w:t>
            </w:r>
            <w:r w:rsidRPr="00E652DC">
              <w:rPr>
                <w:rFonts w:cs="Calibri Light"/>
                <w:sz w:val="20"/>
                <w:szCs w:val="20"/>
              </w:rPr>
              <w:tab/>
              <w:t>Is there a likelihood that the Project would have inequitable or discriminatory adverse impacts on affected populations, particularly people living in poverty or marginalized or excluded individuals or groups?</w:t>
            </w:r>
            <w:r w:rsidRPr="00E652DC">
              <w:rPr>
                <w:rStyle w:val="FootnoteReference"/>
                <w:rFonts w:ascii="Calibri Light" w:hAnsi="Calibri Light" w:cs="Calibri Light"/>
                <w:sz w:val="20"/>
                <w:szCs w:val="20"/>
              </w:rPr>
              <w:t xml:space="preserve"> </w:t>
            </w:r>
            <w:r w:rsidRPr="00E652DC">
              <w:rPr>
                <w:rStyle w:val="FootnoteReference"/>
                <w:rFonts w:ascii="Calibri Light" w:hAnsi="Calibri Light" w:cs="Calibri Light"/>
                <w:sz w:val="20"/>
                <w:szCs w:val="20"/>
              </w:rPr>
              <w:footnoteReference w:id="19"/>
            </w:r>
            <w:r w:rsidRPr="00E652DC">
              <w:rPr>
                <w:rFonts w:cs="Calibri Light"/>
                <w:sz w:val="20"/>
                <w:szCs w:val="20"/>
              </w:rPr>
              <w:t xml:space="preserve"> </w:t>
            </w:r>
          </w:p>
        </w:tc>
        <w:tc>
          <w:tcPr>
            <w:tcW w:w="1134" w:type="dxa"/>
            <w:tcBorders>
              <w:bottom w:val="single" w:sz="4" w:space="0" w:color="auto"/>
            </w:tcBorders>
            <w:shd w:val="clear" w:color="auto" w:fill="auto"/>
          </w:tcPr>
          <w:p w:rsidR="00E652DC" w:rsidRPr="00E652DC" w:rsidRDefault="00E652DC" w:rsidP="00E652DC">
            <w:pPr>
              <w:tabs>
                <w:tab w:val="left" w:pos="810"/>
              </w:tabs>
              <w:rPr>
                <w:rFonts w:cs="Calibri Light"/>
                <w:sz w:val="20"/>
                <w:szCs w:val="20"/>
              </w:rPr>
            </w:pPr>
            <w:r w:rsidRPr="00E652DC">
              <w:rPr>
                <w:rFonts w:cs="Calibri Light"/>
                <w:sz w:val="20"/>
                <w:szCs w:val="20"/>
              </w:rPr>
              <w:t>No</w:t>
            </w:r>
          </w:p>
        </w:tc>
      </w:tr>
      <w:tr w:rsidR="00E652DC" w:rsidRPr="005118AF" w:rsidTr="00E652DC">
        <w:tc>
          <w:tcPr>
            <w:tcW w:w="8897" w:type="dxa"/>
            <w:tcBorders>
              <w:bottom w:val="single" w:sz="4" w:space="0" w:color="auto"/>
            </w:tcBorders>
            <w:shd w:val="clear" w:color="auto" w:fill="auto"/>
          </w:tcPr>
          <w:p w:rsidR="00E652DC" w:rsidRPr="00E652DC" w:rsidRDefault="00E652DC" w:rsidP="00E652DC">
            <w:pPr>
              <w:tabs>
                <w:tab w:val="left" w:pos="900"/>
              </w:tabs>
              <w:spacing w:before="60"/>
              <w:ind w:left="567" w:hanging="567"/>
              <w:rPr>
                <w:rFonts w:cs="Calibri Light"/>
                <w:sz w:val="20"/>
                <w:szCs w:val="20"/>
              </w:rPr>
            </w:pPr>
            <w:r w:rsidRPr="00E652DC">
              <w:rPr>
                <w:rFonts w:cs="Calibri Light"/>
                <w:sz w:val="20"/>
                <w:szCs w:val="20"/>
              </w:rPr>
              <w:t>3.</w:t>
            </w:r>
            <w:r w:rsidRPr="00E652DC">
              <w:rPr>
                <w:rFonts w:cs="Calibri Light"/>
                <w:sz w:val="20"/>
                <w:szCs w:val="20"/>
              </w:rPr>
              <w:tab/>
              <w:t>Could the Project potentially restrict availability, quality of and access to resources or basic services, in particular to marginalized individuals or groups?</w:t>
            </w:r>
          </w:p>
        </w:tc>
        <w:tc>
          <w:tcPr>
            <w:tcW w:w="1134" w:type="dxa"/>
            <w:tcBorders>
              <w:bottom w:val="single" w:sz="4" w:space="0" w:color="auto"/>
            </w:tcBorders>
            <w:shd w:val="clear" w:color="auto" w:fill="auto"/>
          </w:tcPr>
          <w:p w:rsidR="00E652DC" w:rsidRPr="00E652DC" w:rsidRDefault="00E652DC" w:rsidP="00E652DC">
            <w:pPr>
              <w:tabs>
                <w:tab w:val="left" w:pos="810"/>
              </w:tabs>
              <w:rPr>
                <w:rFonts w:cs="Calibri Light"/>
                <w:sz w:val="20"/>
                <w:szCs w:val="20"/>
              </w:rPr>
            </w:pPr>
            <w:r w:rsidRPr="00E652DC">
              <w:rPr>
                <w:rFonts w:cs="Calibri Light"/>
                <w:sz w:val="20"/>
                <w:szCs w:val="20"/>
              </w:rPr>
              <w:t>No</w:t>
            </w:r>
          </w:p>
        </w:tc>
      </w:tr>
      <w:tr w:rsidR="00E652DC" w:rsidRPr="005118AF" w:rsidTr="00E652DC">
        <w:tc>
          <w:tcPr>
            <w:tcW w:w="8897" w:type="dxa"/>
            <w:tcBorders>
              <w:bottom w:val="single" w:sz="4" w:space="0" w:color="auto"/>
            </w:tcBorders>
            <w:shd w:val="clear" w:color="auto" w:fill="auto"/>
          </w:tcPr>
          <w:p w:rsidR="00E652DC" w:rsidRPr="00E652DC" w:rsidRDefault="00E652DC" w:rsidP="00E652DC">
            <w:pPr>
              <w:tabs>
                <w:tab w:val="left" w:pos="900"/>
              </w:tabs>
              <w:spacing w:before="60"/>
              <w:ind w:left="567" w:hanging="567"/>
              <w:rPr>
                <w:rFonts w:cs="Calibri Light"/>
                <w:sz w:val="20"/>
                <w:szCs w:val="20"/>
              </w:rPr>
            </w:pPr>
            <w:r w:rsidRPr="00E652DC">
              <w:rPr>
                <w:rFonts w:cs="Calibri Light"/>
                <w:sz w:val="20"/>
                <w:szCs w:val="20"/>
              </w:rPr>
              <w:t>4.</w:t>
            </w:r>
            <w:r w:rsidRPr="00E652DC">
              <w:rPr>
                <w:rFonts w:cs="Calibri Light"/>
                <w:sz w:val="20"/>
                <w:szCs w:val="20"/>
              </w:rPr>
              <w:tab/>
              <w:t>Is there a likelihood that the Project would exclude any potentially affected stakeholders, in particular marginalized groups, from fully participating in decisions that may affect them?</w:t>
            </w:r>
          </w:p>
        </w:tc>
        <w:tc>
          <w:tcPr>
            <w:tcW w:w="1134" w:type="dxa"/>
            <w:tcBorders>
              <w:bottom w:val="single" w:sz="4" w:space="0" w:color="auto"/>
            </w:tcBorders>
            <w:shd w:val="clear" w:color="auto" w:fill="auto"/>
          </w:tcPr>
          <w:p w:rsidR="00E652DC" w:rsidRPr="00E652DC" w:rsidRDefault="00E652DC" w:rsidP="00E652DC">
            <w:pPr>
              <w:tabs>
                <w:tab w:val="left" w:pos="810"/>
              </w:tabs>
              <w:rPr>
                <w:rFonts w:cs="Calibri Light"/>
                <w:sz w:val="20"/>
                <w:szCs w:val="20"/>
              </w:rPr>
            </w:pPr>
            <w:r w:rsidRPr="00E652DC">
              <w:rPr>
                <w:rFonts w:cs="Calibri Light"/>
                <w:sz w:val="20"/>
                <w:szCs w:val="20"/>
              </w:rPr>
              <w:t>No</w:t>
            </w:r>
          </w:p>
        </w:tc>
      </w:tr>
      <w:tr w:rsidR="00E652DC" w:rsidRPr="005118AF" w:rsidTr="00E652DC">
        <w:tc>
          <w:tcPr>
            <w:tcW w:w="8897" w:type="dxa"/>
            <w:tcBorders>
              <w:bottom w:val="single" w:sz="4" w:space="0" w:color="auto"/>
            </w:tcBorders>
            <w:shd w:val="clear" w:color="auto" w:fill="auto"/>
          </w:tcPr>
          <w:p w:rsidR="00E652DC" w:rsidRPr="00E652DC" w:rsidDel="00074D34" w:rsidRDefault="00E652DC" w:rsidP="00E652DC">
            <w:pPr>
              <w:tabs>
                <w:tab w:val="left" w:pos="900"/>
              </w:tabs>
              <w:spacing w:before="60"/>
              <w:ind w:left="567" w:hanging="567"/>
              <w:rPr>
                <w:rFonts w:cs="Calibri Light"/>
                <w:sz w:val="20"/>
                <w:szCs w:val="20"/>
              </w:rPr>
            </w:pPr>
            <w:r w:rsidRPr="00E652DC">
              <w:rPr>
                <w:rFonts w:cs="Calibri Light"/>
                <w:sz w:val="20"/>
                <w:szCs w:val="20"/>
              </w:rPr>
              <w:t>5.</w:t>
            </w:r>
            <w:r w:rsidRPr="00E652DC">
              <w:rPr>
                <w:rFonts w:cs="Calibri Light"/>
                <w:sz w:val="20"/>
                <w:szCs w:val="20"/>
              </w:rPr>
              <w:tab/>
              <w:t>Is there a risk that duty-bearers do not have the capacity to meet their obligations in the Project?</w:t>
            </w:r>
          </w:p>
        </w:tc>
        <w:tc>
          <w:tcPr>
            <w:tcW w:w="1134" w:type="dxa"/>
            <w:tcBorders>
              <w:bottom w:val="single" w:sz="4" w:space="0" w:color="auto"/>
            </w:tcBorders>
            <w:shd w:val="clear" w:color="auto" w:fill="auto"/>
          </w:tcPr>
          <w:p w:rsidR="00E652DC" w:rsidRPr="00E652DC" w:rsidRDefault="00E652DC" w:rsidP="00E652DC">
            <w:pPr>
              <w:tabs>
                <w:tab w:val="left" w:pos="810"/>
              </w:tabs>
              <w:rPr>
                <w:rFonts w:cs="Calibri Light"/>
                <w:sz w:val="20"/>
                <w:szCs w:val="20"/>
              </w:rPr>
            </w:pPr>
            <w:r w:rsidRPr="00E652DC">
              <w:rPr>
                <w:rFonts w:cs="Calibri Light"/>
                <w:sz w:val="20"/>
                <w:szCs w:val="20"/>
              </w:rPr>
              <w:t>No</w:t>
            </w:r>
          </w:p>
        </w:tc>
      </w:tr>
      <w:tr w:rsidR="00E652DC" w:rsidRPr="005118AF" w:rsidTr="00E652DC">
        <w:tc>
          <w:tcPr>
            <w:tcW w:w="8897" w:type="dxa"/>
            <w:tcBorders>
              <w:bottom w:val="single" w:sz="4" w:space="0" w:color="auto"/>
            </w:tcBorders>
            <w:shd w:val="clear" w:color="auto" w:fill="auto"/>
          </w:tcPr>
          <w:p w:rsidR="00E652DC" w:rsidRPr="00E652DC" w:rsidRDefault="00E652DC" w:rsidP="00E652DC">
            <w:pPr>
              <w:tabs>
                <w:tab w:val="left" w:pos="900"/>
              </w:tabs>
              <w:spacing w:before="60"/>
              <w:ind w:left="567" w:hanging="567"/>
              <w:rPr>
                <w:rFonts w:cs="Calibri Light"/>
                <w:sz w:val="20"/>
                <w:szCs w:val="20"/>
              </w:rPr>
            </w:pPr>
            <w:r w:rsidRPr="00E652DC">
              <w:rPr>
                <w:rFonts w:cs="Calibri Light"/>
                <w:sz w:val="20"/>
                <w:szCs w:val="20"/>
              </w:rPr>
              <w:t>6.</w:t>
            </w:r>
            <w:r w:rsidRPr="00E652DC">
              <w:rPr>
                <w:rFonts w:cs="Calibri Light"/>
                <w:sz w:val="20"/>
                <w:szCs w:val="20"/>
              </w:rPr>
              <w:tab/>
              <w:t xml:space="preserve">Is there a risk that rights-holders do not have the capacity to claim their rights? </w:t>
            </w:r>
          </w:p>
        </w:tc>
        <w:tc>
          <w:tcPr>
            <w:tcW w:w="1134" w:type="dxa"/>
            <w:tcBorders>
              <w:bottom w:val="single" w:sz="4" w:space="0" w:color="auto"/>
            </w:tcBorders>
            <w:shd w:val="clear" w:color="auto" w:fill="auto"/>
          </w:tcPr>
          <w:p w:rsidR="00E652DC" w:rsidRPr="00E652DC" w:rsidRDefault="00E652DC" w:rsidP="00E652DC">
            <w:pPr>
              <w:tabs>
                <w:tab w:val="left" w:pos="810"/>
              </w:tabs>
              <w:rPr>
                <w:rFonts w:cs="Calibri Light"/>
                <w:sz w:val="20"/>
                <w:szCs w:val="20"/>
              </w:rPr>
            </w:pPr>
            <w:r w:rsidRPr="00E652DC">
              <w:rPr>
                <w:rFonts w:cs="Calibri Light"/>
                <w:sz w:val="20"/>
                <w:szCs w:val="20"/>
              </w:rPr>
              <w:t>No</w:t>
            </w:r>
          </w:p>
        </w:tc>
      </w:tr>
      <w:tr w:rsidR="00E652DC" w:rsidRPr="005118AF" w:rsidTr="00E652DC">
        <w:tc>
          <w:tcPr>
            <w:tcW w:w="8897" w:type="dxa"/>
            <w:tcBorders>
              <w:bottom w:val="single" w:sz="4" w:space="0" w:color="auto"/>
            </w:tcBorders>
            <w:shd w:val="clear" w:color="auto" w:fill="auto"/>
          </w:tcPr>
          <w:p w:rsidR="00E652DC" w:rsidRPr="00E652DC" w:rsidRDefault="00E652DC" w:rsidP="00E652DC">
            <w:pPr>
              <w:tabs>
                <w:tab w:val="left" w:pos="900"/>
              </w:tabs>
              <w:spacing w:before="60"/>
              <w:ind w:left="567" w:hanging="567"/>
              <w:rPr>
                <w:rFonts w:cs="Calibri Light"/>
                <w:sz w:val="20"/>
                <w:szCs w:val="20"/>
              </w:rPr>
            </w:pPr>
            <w:r w:rsidRPr="00E652DC">
              <w:rPr>
                <w:rFonts w:cs="Calibri Light"/>
                <w:sz w:val="20"/>
                <w:szCs w:val="20"/>
              </w:rPr>
              <w:t>7.</w:t>
            </w:r>
            <w:r w:rsidRPr="00E652DC">
              <w:rPr>
                <w:rFonts w:cs="Calibri Light"/>
                <w:sz w:val="20"/>
                <w:szCs w:val="20"/>
              </w:rPr>
              <w:tab/>
              <w:t>Have local communities or individuals, given the opportunity, raised human rights concerns regarding the Project during the stakeholder engagement process?</w:t>
            </w:r>
          </w:p>
        </w:tc>
        <w:tc>
          <w:tcPr>
            <w:tcW w:w="1134" w:type="dxa"/>
            <w:tcBorders>
              <w:bottom w:val="single" w:sz="4" w:space="0" w:color="auto"/>
            </w:tcBorders>
            <w:shd w:val="clear" w:color="auto" w:fill="auto"/>
          </w:tcPr>
          <w:p w:rsidR="00E652DC" w:rsidRPr="00E652DC" w:rsidRDefault="00E652DC" w:rsidP="00E652DC">
            <w:pPr>
              <w:tabs>
                <w:tab w:val="left" w:pos="810"/>
              </w:tabs>
              <w:rPr>
                <w:rFonts w:cs="Calibri Light"/>
                <w:sz w:val="20"/>
                <w:szCs w:val="20"/>
              </w:rPr>
            </w:pPr>
            <w:r w:rsidRPr="00E652DC">
              <w:rPr>
                <w:rFonts w:cs="Calibri Light"/>
                <w:sz w:val="20"/>
                <w:szCs w:val="20"/>
              </w:rPr>
              <w:t>No</w:t>
            </w:r>
          </w:p>
        </w:tc>
      </w:tr>
      <w:tr w:rsidR="00E652DC" w:rsidRPr="005118AF" w:rsidTr="00E652DC">
        <w:tc>
          <w:tcPr>
            <w:tcW w:w="8897" w:type="dxa"/>
            <w:tcBorders>
              <w:bottom w:val="single" w:sz="4" w:space="0" w:color="auto"/>
            </w:tcBorders>
            <w:shd w:val="clear" w:color="auto" w:fill="auto"/>
          </w:tcPr>
          <w:p w:rsidR="00E652DC" w:rsidRPr="00E652DC" w:rsidRDefault="00E652DC" w:rsidP="00E652DC">
            <w:pPr>
              <w:tabs>
                <w:tab w:val="left" w:pos="900"/>
              </w:tabs>
              <w:spacing w:before="60"/>
              <w:ind w:left="567" w:hanging="567"/>
              <w:rPr>
                <w:rFonts w:cs="Calibri Light"/>
                <w:sz w:val="20"/>
                <w:szCs w:val="20"/>
              </w:rPr>
            </w:pPr>
            <w:r w:rsidRPr="00E652DC">
              <w:rPr>
                <w:rFonts w:cs="Calibri Light"/>
                <w:sz w:val="20"/>
                <w:szCs w:val="20"/>
              </w:rPr>
              <w:t>8.</w:t>
            </w:r>
            <w:r w:rsidRPr="00E652DC">
              <w:rPr>
                <w:rFonts w:cs="Calibri Light"/>
                <w:sz w:val="20"/>
                <w:szCs w:val="20"/>
              </w:rPr>
              <w:tab/>
              <w:t>Is there a risk that the Project would exacerbate conflicts among and/or the risk of violence to project-affected communities and individuals?</w:t>
            </w:r>
          </w:p>
        </w:tc>
        <w:tc>
          <w:tcPr>
            <w:tcW w:w="1134" w:type="dxa"/>
            <w:tcBorders>
              <w:bottom w:val="single" w:sz="4" w:space="0" w:color="auto"/>
            </w:tcBorders>
            <w:shd w:val="clear" w:color="auto" w:fill="auto"/>
          </w:tcPr>
          <w:p w:rsidR="00E652DC" w:rsidRPr="00E652DC" w:rsidRDefault="00E652DC" w:rsidP="00E652DC">
            <w:pPr>
              <w:tabs>
                <w:tab w:val="left" w:pos="810"/>
              </w:tabs>
              <w:rPr>
                <w:rFonts w:cs="Calibri Light"/>
                <w:sz w:val="20"/>
                <w:szCs w:val="20"/>
              </w:rPr>
            </w:pPr>
            <w:r w:rsidRPr="00E652DC">
              <w:rPr>
                <w:rFonts w:cs="Calibri Light"/>
                <w:sz w:val="20"/>
                <w:szCs w:val="20"/>
              </w:rPr>
              <w:t>No</w:t>
            </w:r>
          </w:p>
        </w:tc>
      </w:tr>
      <w:tr w:rsidR="00E652DC" w:rsidRPr="005118AF" w:rsidTr="00E652DC">
        <w:tc>
          <w:tcPr>
            <w:tcW w:w="8897" w:type="dxa"/>
            <w:tcBorders>
              <w:bottom w:val="single" w:sz="4" w:space="0" w:color="auto"/>
            </w:tcBorders>
            <w:shd w:val="clear" w:color="auto" w:fill="D9E2F3"/>
          </w:tcPr>
          <w:p w:rsidR="00E652DC" w:rsidRPr="00E652DC" w:rsidRDefault="00E652DC" w:rsidP="00E652DC">
            <w:pPr>
              <w:tabs>
                <w:tab w:val="left" w:pos="810"/>
              </w:tabs>
              <w:spacing w:before="120" w:after="120"/>
              <w:rPr>
                <w:rFonts w:cs="Calibri Light"/>
                <w:b/>
                <w:sz w:val="20"/>
                <w:szCs w:val="20"/>
              </w:rPr>
            </w:pPr>
            <w:r w:rsidRPr="00E652DC">
              <w:rPr>
                <w:rFonts w:cs="Calibri Light"/>
                <w:b/>
                <w:sz w:val="20"/>
                <w:szCs w:val="20"/>
              </w:rPr>
              <w:t>Principle 2: Gender Equality and Women’s Empowerment</w:t>
            </w:r>
          </w:p>
        </w:tc>
        <w:tc>
          <w:tcPr>
            <w:tcW w:w="1134" w:type="dxa"/>
            <w:tcBorders>
              <w:bottom w:val="single" w:sz="4" w:space="0" w:color="auto"/>
            </w:tcBorders>
            <w:shd w:val="clear" w:color="auto" w:fill="D9E2F3"/>
          </w:tcPr>
          <w:p w:rsidR="00E652DC" w:rsidRPr="00E652DC" w:rsidRDefault="00E652DC" w:rsidP="00E652DC">
            <w:pPr>
              <w:tabs>
                <w:tab w:val="left" w:pos="810"/>
              </w:tabs>
              <w:spacing w:before="120" w:after="120"/>
              <w:rPr>
                <w:rFonts w:cs="Calibri Light"/>
                <w:b/>
                <w:sz w:val="20"/>
                <w:szCs w:val="20"/>
              </w:rPr>
            </w:pPr>
          </w:p>
        </w:tc>
      </w:tr>
      <w:tr w:rsidR="00E652DC" w:rsidRPr="005118AF" w:rsidTr="00E652DC">
        <w:tc>
          <w:tcPr>
            <w:tcW w:w="8897" w:type="dxa"/>
            <w:tcBorders>
              <w:bottom w:val="single" w:sz="4" w:space="0" w:color="auto"/>
            </w:tcBorders>
            <w:shd w:val="clear" w:color="auto" w:fill="auto"/>
          </w:tcPr>
          <w:p w:rsidR="00E652DC" w:rsidRPr="00E652DC" w:rsidRDefault="00E652DC" w:rsidP="00E652DC">
            <w:pPr>
              <w:tabs>
                <w:tab w:val="left" w:pos="900"/>
              </w:tabs>
              <w:spacing w:before="60"/>
              <w:ind w:left="567" w:hanging="567"/>
              <w:rPr>
                <w:rFonts w:cs="Calibri Light"/>
                <w:sz w:val="20"/>
                <w:szCs w:val="20"/>
              </w:rPr>
            </w:pPr>
            <w:r w:rsidRPr="00E652DC">
              <w:rPr>
                <w:rFonts w:cs="Calibri Light"/>
                <w:sz w:val="20"/>
                <w:szCs w:val="20"/>
              </w:rPr>
              <w:t>1.</w:t>
            </w:r>
            <w:r w:rsidRPr="00E652DC">
              <w:rPr>
                <w:rFonts w:cs="Calibri Light"/>
                <w:sz w:val="20"/>
                <w:szCs w:val="20"/>
              </w:rPr>
              <w:tab/>
              <w:t xml:space="preserve">Is there a likelihood that the proposed Project would have adverse impacts on gender equality and/or the situation of women and girls? </w:t>
            </w:r>
          </w:p>
        </w:tc>
        <w:tc>
          <w:tcPr>
            <w:tcW w:w="1134" w:type="dxa"/>
            <w:tcBorders>
              <w:bottom w:val="single" w:sz="4" w:space="0" w:color="auto"/>
            </w:tcBorders>
            <w:shd w:val="clear" w:color="auto" w:fill="auto"/>
          </w:tcPr>
          <w:p w:rsidR="00E652DC" w:rsidRPr="00E652DC" w:rsidRDefault="00E652DC" w:rsidP="00E652DC">
            <w:pPr>
              <w:tabs>
                <w:tab w:val="left" w:pos="810"/>
              </w:tabs>
              <w:rPr>
                <w:rFonts w:cs="Calibri Light"/>
                <w:sz w:val="20"/>
                <w:szCs w:val="20"/>
              </w:rPr>
            </w:pPr>
            <w:r w:rsidRPr="00E652DC">
              <w:rPr>
                <w:rFonts w:cs="Calibri Light"/>
                <w:sz w:val="20"/>
                <w:szCs w:val="20"/>
              </w:rPr>
              <w:t>No</w:t>
            </w:r>
          </w:p>
        </w:tc>
      </w:tr>
      <w:tr w:rsidR="00E652DC" w:rsidRPr="005118AF" w:rsidTr="00E652DC">
        <w:tc>
          <w:tcPr>
            <w:tcW w:w="8897" w:type="dxa"/>
            <w:tcBorders>
              <w:bottom w:val="single" w:sz="4" w:space="0" w:color="auto"/>
            </w:tcBorders>
            <w:shd w:val="clear" w:color="auto" w:fill="auto"/>
          </w:tcPr>
          <w:p w:rsidR="00E652DC" w:rsidRPr="00E652DC" w:rsidRDefault="00E652DC" w:rsidP="00E652DC">
            <w:pPr>
              <w:tabs>
                <w:tab w:val="left" w:pos="900"/>
              </w:tabs>
              <w:spacing w:before="60"/>
              <w:ind w:left="567" w:hanging="567"/>
              <w:rPr>
                <w:rFonts w:cs="Calibri Light"/>
                <w:sz w:val="20"/>
                <w:szCs w:val="20"/>
              </w:rPr>
            </w:pPr>
            <w:r w:rsidRPr="00E652DC">
              <w:rPr>
                <w:rFonts w:cs="Calibri Light"/>
                <w:sz w:val="20"/>
                <w:szCs w:val="20"/>
              </w:rPr>
              <w:t>2.</w:t>
            </w:r>
            <w:r w:rsidRPr="00E652DC">
              <w:rPr>
                <w:rFonts w:cs="Calibri Light"/>
                <w:sz w:val="20"/>
                <w:szCs w:val="20"/>
              </w:rPr>
              <w:tab/>
              <w:t>Would the Project potentially reproduce discriminations against women based on gender, especially regarding participation in design and implementation or access to opportunities and benefits?</w:t>
            </w:r>
          </w:p>
        </w:tc>
        <w:tc>
          <w:tcPr>
            <w:tcW w:w="1134" w:type="dxa"/>
            <w:tcBorders>
              <w:bottom w:val="single" w:sz="4" w:space="0" w:color="auto"/>
            </w:tcBorders>
            <w:shd w:val="clear" w:color="auto" w:fill="auto"/>
          </w:tcPr>
          <w:p w:rsidR="00E652DC" w:rsidRPr="00E652DC" w:rsidRDefault="00E652DC" w:rsidP="00E652DC">
            <w:pPr>
              <w:tabs>
                <w:tab w:val="left" w:pos="810"/>
              </w:tabs>
              <w:rPr>
                <w:rFonts w:cs="Calibri Light"/>
                <w:sz w:val="20"/>
                <w:szCs w:val="20"/>
              </w:rPr>
            </w:pPr>
            <w:r w:rsidRPr="00E652DC">
              <w:rPr>
                <w:rFonts w:cs="Calibri Light"/>
                <w:sz w:val="20"/>
                <w:szCs w:val="20"/>
              </w:rPr>
              <w:t>No</w:t>
            </w:r>
          </w:p>
        </w:tc>
      </w:tr>
      <w:tr w:rsidR="00E652DC" w:rsidRPr="005118AF" w:rsidTr="00E652DC">
        <w:tc>
          <w:tcPr>
            <w:tcW w:w="8897" w:type="dxa"/>
            <w:tcBorders>
              <w:bottom w:val="single" w:sz="4" w:space="0" w:color="auto"/>
            </w:tcBorders>
            <w:shd w:val="clear" w:color="auto" w:fill="auto"/>
          </w:tcPr>
          <w:p w:rsidR="00E652DC" w:rsidRPr="00E652DC" w:rsidRDefault="00E652DC" w:rsidP="00E652DC">
            <w:pPr>
              <w:tabs>
                <w:tab w:val="left" w:pos="900"/>
              </w:tabs>
              <w:spacing w:before="60"/>
              <w:ind w:left="567" w:hanging="567"/>
              <w:rPr>
                <w:rFonts w:cs="Calibri Light"/>
                <w:sz w:val="20"/>
                <w:szCs w:val="20"/>
              </w:rPr>
            </w:pPr>
            <w:r w:rsidRPr="00E652DC">
              <w:rPr>
                <w:rFonts w:cs="Calibri Light"/>
                <w:sz w:val="20"/>
                <w:szCs w:val="20"/>
              </w:rPr>
              <w:t>3.</w:t>
            </w:r>
            <w:r w:rsidRPr="00E652DC">
              <w:rPr>
                <w:rFonts w:cs="Calibri Light"/>
                <w:sz w:val="20"/>
                <w:szCs w:val="20"/>
              </w:rPr>
              <w:tab/>
              <w:t>Have women’s groups/leaders raised gender equality concerns regarding the Project during the stakeholder engagement process and has this been included in the overall Project proposal and in the risk assessment?</w:t>
            </w:r>
          </w:p>
        </w:tc>
        <w:tc>
          <w:tcPr>
            <w:tcW w:w="1134" w:type="dxa"/>
            <w:tcBorders>
              <w:bottom w:val="single" w:sz="4" w:space="0" w:color="auto"/>
            </w:tcBorders>
            <w:shd w:val="clear" w:color="auto" w:fill="auto"/>
          </w:tcPr>
          <w:p w:rsidR="00E652DC" w:rsidRPr="00E652DC" w:rsidRDefault="00E652DC" w:rsidP="00E652DC">
            <w:pPr>
              <w:tabs>
                <w:tab w:val="left" w:pos="810"/>
              </w:tabs>
              <w:rPr>
                <w:rFonts w:cs="Calibri Light"/>
                <w:sz w:val="20"/>
                <w:szCs w:val="20"/>
              </w:rPr>
            </w:pPr>
            <w:r w:rsidRPr="00E652DC">
              <w:rPr>
                <w:rFonts w:cs="Calibri Light"/>
                <w:sz w:val="20"/>
                <w:szCs w:val="20"/>
              </w:rPr>
              <w:t>No</w:t>
            </w:r>
          </w:p>
        </w:tc>
      </w:tr>
      <w:tr w:rsidR="00E652DC" w:rsidRPr="005118AF" w:rsidTr="00E652DC">
        <w:tc>
          <w:tcPr>
            <w:tcW w:w="8897" w:type="dxa"/>
            <w:tcBorders>
              <w:bottom w:val="single" w:sz="4" w:space="0" w:color="auto"/>
            </w:tcBorders>
            <w:shd w:val="clear" w:color="auto" w:fill="auto"/>
          </w:tcPr>
          <w:p w:rsidR="00E652DC" w:rsidRPr="00E652DC" w:rsidRDefault="00E652DC" w:rsidP="00E652DC">
            <w:pPr>
              <w:tabs>
                <w:tab w:val="left" w:pos="900"/>
              </w:tabs>
              <w:spacing w:before="60"/>
              <w:ind w:left="567" w:hanging="567"/>
              <w:rPr>
                <w:rFonts w:cs="Calibri Light"/>
                <w:sz w:val="20"/>
                <w:szCs w:val="20"/>
              </w:rPr>
            </w:pPr>
            <w:r w:rsidRPr="00E652DC">
              <w:rPr>
                <w:rFonts w:cs="Calibri Light"/>
                <w:sz w:val="20"/>
                <w:szCs w:val="20"/>
              </w:rPr>
              <w:t>4.</w:t>
            </w:r>
            <w:r w:rsidRPr="00E652DC">
              <w:rPr>
                <w:rFonts w:cs="Calibri Light"/>
                <w:sz w:val="20"/>
                <w:szCs w:val="20"/>
              </w:rPr>
              <w:tab/>
              <w:t>Would the Project potentially limit women’s ability to use, develop and protect natural resources, taking into account different roles and positions of women and men in accessing environmental goods and services?</w:t>
            </w:r>
          </w:p>
          <w:p w:rsidR="00E652DC" w:rsidRPr="00E652DC" w:rsidRDefault="00E652DC" w:rsidP="00E652DC">
            <w:pPr>
              <w:tabs>
                <w:tab w:val="left" w:pos="900"/>
              </w:tabs>
              <w:spacing w:before="60"/>
              <w:ind w:left="567" w:hanging="567"/>
              <w:rPr>
                <w:rFonts w:cs="Calibri Light"/>
                <w:i/>
                <w:sz w:val="20"/>
                <w:szCs w:val="20"/>
              </w:rPr>
            </w:pPr>
            <w:r w:rsidRPr="00E652DC">
              <w:rPr>
                <w:rFonts w:cs="Calibri Light"/>
                <w:sz w:val="20"/>
                <w:szCs w:val="20"/>
              </w:rPr>
              <w:tab/>
            </w:r>
            <w:r w:rsidRPr="00E652DC">
              <w:rPr>
                <w:rFonts w:cs="Calibri Light"/>
                <w:i/>
                <w:sz w:val="20"/>
                <w:szCs w:val="20"/>
              </w:rPr>
              <w:t>For example, activities that could lead to natural resources degradation or depletion in communities who depend on these resources for their livelihoods and well being</w:t>
            </w:r>
          </w:p>
        </w:tc>
        <w:tc>
          <w:tcPr>
            <w:tcW w:w="1134" w:type="dxa"/>
            <w:tcBorders>
              <w:bottom w:val="single" w:sz="4" w:space="0" w:color="auto"/>
            </w:tcBorders>
            <w:shd w:val="clear" w:color="auto" w:fill="auto"/>
          </w:tcPr>
          <w:p w:rsidR="00E652DC" w:rsidRPr="00E652DC" w:rsidRDefault="00E652DC" w:rsidP="00E652DC">
            <w:pPr>
              <w:tabs>
                <w:tab w:val="left" w:pos="810"/>
              </w:tabs>
              <w:rPr>
                <w:rFonts w:cs="Calibri Light"/>
                <w:sz w:val="20"/>
                <w:szCs w:val="20"/>
              </w:rPr>
            </w:pPr>
            <w:r w:rsidRPr="00E652DC">
              <w:rPr>
                <w:rFonts w:cs="Calibri Light"/>
                <w:sz w:val="20"/>
                <w:szCs w:val="20"/>
              </w:rPr>
              <w:t>No</w:t>
            </w:r>
          </w:p>
        </w:tc>
      </w:tr>
    </w:tbl>
    <w:p w:rsidR="00E652DC" w:rsidRPr="00E652DC" w:rsidRDefault="00E652DC" w:rsidP="00E652DC">
      <w:pPr>
        <w:rPr>
          <w:rFonts w:cs="Calibri Light"/>
          <w:sz w:val="20"/>
          <w:szCs w:val="20"/>
        </w:rPr>
      </w:pPr>
      <w:r w:rsidRPr="00E652DC">
        <w:rPr>
          <w:rFonts w:cs="Calibri Light"/>
          <w:sz w:val="20"/>
          <w:szCs w:val="20"/>
        </w:rPr>
        <w:br w:type="page"/>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5"/>
        <w:gridCol w:w="1396"/>
      </w:tblGrid>
      <w:tr w:rsidR="00E652DC" w:rsidRPr="005118AF" w:rsidTr="00E652DC">
        <w:tc>
          <w:tcPr>
            <w:tcW w:w="8635" w:type="dxa"/>
            <w:tcBorders>
              <w:bottom w:val="single" w:sz="4" w:space="0" w:color="auto"/>
            </w:tcBorders>
            <w:shd w:val="clear" w:color="auto" w:fill="D9E2F3"/>
          </w:tcPr>
          <w:p w:rsidR="00E652DC" w:rsidRPr="00E652DC" w:rsidRDefault="00E652DC" w:rsidP="00E652DC">
            <w:pPr>
              <w:tabs>
                <w:tab w:val="left" w:pos="810"/>
              </w:tabs>
              <w:spacing w:before="120" w:after="120"/>
              <w:rPr>
                <w:rFonts w:cs="Calibri Light"/>
                <w:b/>
                <w:sz w:val="20"/>
                <w:szCs w:val="20"/>
              </w:rPr>
            </w:pPr>
            <w:r w:rsidRPr="00E652DC">
              <w:rPr>
                <w:rFonts w:cs="Calibri Light"/>
                <w:b/>
                <w:sz w:val="20"/>
                <w:szCs w:val="20"/>
              </w:rPr>
              <w:t xml:space="preserve">Principle 3:  Environmental Sustainability: </w:t>
            </w:r>
            <w:r w:rsidRPr="00E652DC">
              <w:rPr>
                <w:rFonts w:cs="Calibri Light"/>
                <w:sz w:val="20"/>
                <w:szCs w:val="20"/>
              </w:rPr>
              <w:t>Screening</w:t>
            </w:r>
            <w:r w:rsidRPr="00E652DC">
              <w:rPr>
                <w:rFonts w:cs="Calibri Light"/>
                <w:b/>
                <w:sz w:val="20"/>
                <w:szCs w:val="20"/>
              </w:rPr>
              <w:t xml:space="preserve"> </w:t>
            </w:r>
            <w:r w:rsidRPr="00E652DC">
              <w:rPr>
                <w:rFonts w:cs="Calibri Light"/>
                <w:sz w:val="20"/>
                <w:szCs w:val="20"/>
              </w:rPr>
              <w:t>questions regarding environmental risks are encompassed by the specific Standard-related questions below</w:t>
            </w:r>
          </w:p>
        </w:tc>
        <w:tc>
          <w:tcPr>
            <w:tcW w:w="1396" w:type="dxa"/>
            <w:tcBorders>
              <w:bottom w:val="single" w:sz="4" w:space="0" w:color="auto"/>
            </w:tcBorders>
            <w:shd w:val="clear" w:color="auto" w:fill="D9E2F3"/>
          </w:tcPr>
          <w:p w:rsidR="00E652DC" w:rsidRPr="00E652DC" w:rsidRDefault="00E652DC" w:rsidP="00E652DC">
            <w:pPr>
              <w:tabs>
                <w:tab w:val="left" w:pos="810"/>
              </w:tabs>
              <w:rPr>
                <w:rFonts w:cs="Calibri Light"/>
                <w:sz w:val="20"/>
                <w:szCs w:val="20"/>
              </w:rPr>
            </w:pPr>
          </w:p>
        </w:tc>
      </w:tr>
      <w:tr w:rsidR="00E652DC" w:rsidRPr="005118AF" w:rsidTr="00E652DC">
        <w:tc>
          <w:tcPr>
            <w:tcW w:w="8635" w:type="dxa"/>
            <w:tcBorders>
              <w:bottom w:val="single" w:sz="4" w:space="0" w:color="auto"/>
            </w:tcBorders>
            <w:shd w:val="clear" w:color="auto" w:fill="auto"/>
          </w:tcPr>
          <w:p w:rsidR="00E652DC" w:rsidRPr="00E652DC" w:rsidRDefault="00E652DC" w:rsidP="00E652DC">
            <w:pPr>
              <w:tabs>
                <w:tab w:val="left" w:pos="810"/>
              </w:tabs>
              <w:rPr>
                <w:rFonts w:cs="Calibri Light"/>
                <w:b/>
                <w:sz w:val="20"/>
                <w:szCs w:val="20"/>
              </w:rPr>
            </w:pPr>
          </w:p>
        </w:tc>
        <w:tc>
          <w:tcPr>
            <w:tcW w:w="1396" w:type="dxa"/>
            <w:tcBorders>
              <w:bottom w:val="single" w:sz="4" w:space="0" w:color="auto"/>
            </w:tcBorders>
            <w:shd w:val="clear" w:color="auto" w:fill="auto"/>
          </w:tcPr>
          <w:p w:rsidR="00E652DC" w:rsidRPr="00E652DC" w:rsidRDefault="00E652DC" w:rsidP="00E652DC">
            <w:pPr>
              <w:tabs>
                <w:tab w:val="left" w:pos="810"/>
              </w:tabs>
              <w:rPr>
                <w:rFonts w:cs="Calibri Light"/>
                <w:sz w:val="20"/>
                <w:szCs w:val="20"/>
              </w:rPr>
            </w:pPr>
          </w:p>
        </w:tc>
      </w:tr>
      <w:tr w:rsidR="00E652DC" w:rsidRPr="005118AF" w:rsidTr="00E652DC">
        <w:tc>
          <w:tcPr>
            <w:tcW w:w="8635" w:type="dxa"/>
            <w:tcBorders>
              <w:bottom w:val="single" w:sz="4" w:space="0" w:color="auto"/>
            </w:tcBorders>
            <w:shd w:val="clear" w:color="auto" w:fill="D9E2F3"/>
            <w:vAlign w:val="center"/>
          </w:tcPr>
          <w:p w:rsidR="00E652DC" w:rsidRPr="00E652DC" w:rsidRDefault="00E652DC" w:rsidP="00E652DC">
            <w:pPr>
              <w:tabs>
                <w:tab w:val="left" w:pos="570"/>
              </w:tabs>
              <w:spacing w:before="120" w:after="120"/>
              <w:rPr>
                <w:rFonts w:cs="Calibri Light"/>
                <w:b/>
                <w:sz w:val="20"/>
                <w:szCs w:val="20"/>
              </w:rPr>
            </w:pPr>
            <w:r w:rsidRPr="00E652DC">
              <w:rPr>
                <w:rFonts w:cs="Calibri Light"/>
                <w:b/>
                <w:sz w:val="20"/>
                <w:szCs w:val="20"/>
              </w:rPr>
              <w:t xml:space="preserve">Standard 1: Biodiversity Conservation and Sustainable </w:t>
            </w:r>
            <w:hyperlink w:anchor="SustNatResManGlossary" w:history="1">
              <w:r w:rsidRPr="00E652DC">
                <w:rPr>
                  <w:rFonts w:cs="Calibri Light"/>
                  <w:b/>
                  <w:sz w:val="20"/>
                  <w:szCs w:val="20"/>
                </w:rPr>
                <w:t>Natural</w:t>
              </w:r>
            </w:hyperlink>
            <w:r w:rsidRPr="00E652DC">
              <w:rPr>
                <w:rFonts w:cs="Calibri Light"/>
                <w:b/>
                <w:sz w:val="20"/>
                <w:szCs w:val="20"/>
              </w:rPr>
              <w:t xml:space="preserve"> Resource Management</w:t>
            </w:r>
          </w:p>
        </w:tc>
        <w:tc>
          <w:tcPr>
            <w:tcW w:w="1396" w:type="dxa"/>
            <w:tcBorders>
              <w:bottom w:val="single" w:sz="4" w:space="0" w:color="auto"/>
            </w:tcBorders>
            <w:shd w:val="clear" w:color="auto" w:fill="D9E2F3"/>
          </w:tcPr>
          <w:p w:rsidR="00E652DC" w:rsidRPr="00E652DC" w:rsidRDefault="00E652DC" w:rsidP="00E652DC">
            <w:pPr>
              <w:rPr>
                <w:rFonts w:cs="Calibri Light"/>
                <w:b/>
                <w:sz w:val="20"/>
                <w:szCs w:val="20"/>
              </w:rPr>
            </w:pPr>
          </w:p>
        </w:tc>
      </w:tr>
      <w:tr w:rsidR="00E652DC" w:rsidRPr="005118AF" w:rsidTr="00E652DC">
        <w:tc>
          <w:tcPr>
            <w:tcW w:w="8635" w:type="dxa"/>
            <w:shd w:val="clear" w:color="auto" w:fill="auto"/>
          </w:tcPr>
          <w:p w:rsidR="00E652DC" w:rsidRPr="00E652DC" w:rsidRDefault="00E652DC" w:rsidP="00E652DC">
            <w:pPr>
              <w:tabs>
                <w:tab w:val="left" w:pos="900"/>
              </w:tabs>
              <w:spacing w:before="60"/>
              <w:ind w:left="567" w:hanging="567"/>
              <w:rPr>
                <w:rFonts w:cs="Calibri Light"/>
                <w:sz w:val="20"/>
                <w:szCs w:val="20"/>
              </w:rPr>
            </w:pPr>
            <w:r w:rsidRPr="00E652DC">
              <w:rPr>
                <w:rFonts w:cs="Calibri Light"/>
                <w:sz w:val="20"/>
                <w:szCs w:val="20"/>
              </w:rPr>
              <w:t xml:space="preserve">1.1 </w:t>
            </w:r>
            <w:r w:rsidRPr="00E652DC">
              <w:rPr>
                <w:rFonts w:cs="Calibri Light"/>
                <w:sz w:val="20"/>
                <w:szCs w:val="20"/>
              </w:rPr>
              <w:tab/>
              <w:t>Would the Project potentially cause adverse impacts to habitats (e.g. modified, natural, and critical habitats) and/or ecosystems and ecosystem services?</w:t>
            </w:r>
            <w:r w:rsidRPr="00E652DC">
              <w:rPr>
                <w:rFonts w:cs="Calibri Light"/>
                <w:sz w:val="20"/>
                <w:szCs w:val="20"/>
              </w:rPr>
              <w:br/>
            </w:r>
            <w:r w:rsidRPr="00E652DC">
              <w:rPr>
                <w:rFonts w:cs="Calibri Light"/>
                <w:sz w:val="20"/>
                <w:szCs w:val="20"/>
              </w:rPr>
              <w:br/>
            </w:r>
            <w:r w:rsidRPr="00E652DC">
              <w:rPr>
                <w:rFonts w:cs="Calibri Light"/>
                <w:i/>
                <w:sz w:val="20"/>
                <w:szCs w:val="20"/>
              </w:rPr>
              <w:t>For example, through habitat loss, conversion or degradation, fragmentation, hydrological changes</w:t>
            </w:r>
          </w:p>
        </w:tc>
        <w:tc>
          <w:tcPr>
            <w:tcW w:w="1396" w:type="dxa"/>
            <w:shd w:val="clear" w:color="auto" w:fill="auto"/>
          </w:tcPr>
          <w:p w:rsidR="00E652DC" w:rsidRPr="00E652DC" w:rsidRDefault="00E652DC" w:rsidP="00E652DC">
            <w:pPr>
              <w:rPr>
                <w:rFonts w:cs="Calibri Light"/>
                <w:sz w:val="20"/>
                <w:szCs w:val="20"/>
              </w:rPr>
            </w:pPr>
            <w:r w:rsidRPr="00E652DC">
              <w:rPr>
                <w:rFonts w:cs="Calibri Light"/>
                <w:sz w:val="20"/>
                <w:szCs w:val="20"/>
              </w:rPr>
              <w:t>No</w:t>
            </w:r>
          </w:p>
        </w:tc>
      </w:tr>
      <w:tr w:rsidR="00E652DC" w:rsidRPr="005118AF" w:rsidTr="00E652DC">
        <w:tc>
          <w:tcPr>
            <w:tcW w:w="8635" w:type="dxa"/>
            <w:tcBorders>
              <w:bottom w:val="single" w:sz="4" w:space="0" w:color="auto"/>
            </w:tcBorders>
            <w:shd w:val="clear" w:color="auto" w:fill="auto"/>
          </w:tcPr>
          <w:p w:rsidR="00E652DC" w:rsidRPr="00E652DC" w:rsidRDefault="00E652DC" w:rsidP="00E652DC">
            <w:pPr>
              <w:tabs>
                <w:tab w:val="left" w:pos="900"/>
              </w:tabs>
              <w:autoSpaceDE w:val="0"/>
              <w:autoSpaceDN w:val="0"/>
              <w:adjustRightInd w:val="0"/>
              <w:spacing w:before="60"/>
              <w:ind w:left="567" w:hanging="567"/>
              <w:rPr>
                <w:rFonts w:cs="Calibri Light"/>
                <w:color w:val="000000"/>
                <w:sz w:val="20"/>
                <w:szCs w:val="20"/>
              </w:rPr>
            </w:pPr>
            <w:r w:rsidRPr="00E652DC">
              <w:rPr>
                <w:rFonts w:cs="Calibri Light"/>
                <w:bCs/>
                <w:color w:val="000000"/>
                <w:sz w:val="20"/>
                <w:szCs w:val="20"/>
              </w:rPr>
              <w:t xml:space="preserve">1.2 </w:t>
            </w:r>
            <w:r w:rsidRPr="00E652DC">
              <w:rPr>
                <w:rFonts w:cs="Calibri Light"/>
                <w:bCs/>
                <w:color w:val="000000"/>
                <w:sz w:val="20"/>
                <w:szCs w:val="20"/>
              </w:rPr>
              <w:tab/>
              <w:t>Are any Project activities proposed within or adjacent to critical habitats and/or environmentally sensitive areas, including legally protected areas (e.g. nature reserve, national park), areas proposed for protection, or recognized as such by authoritative sources and/or indigenous peoples or local communities?</w:t>
            </w:r>
          </w:p>
        </w:tc>
        <w:tc>
          <w:tcPr>
            <w:tcW w:w="1396" w:type="dxa"/>
            <w:tcBorders>
              <w:bottom w:val="single" w:sz="4" w:space="0" w:color="auto"/>
            </w:tcBorders>
            <w:shd w:val="clear" w:color="auto" w:fill="auto"/>
          </w:tcPr>
          <w:p w:rsidR="00E652DC" w:rsidRPr="00E652DC" w:rsidRDefault="00E652DC" w:rsidP="00E652DC">
            <w:pPr>
              <w:rPr>
                <w:rFonts w:cs="Calibri Light"/>
                <w:sz w:val="20"/>
                <w:szCs w:val="20"/>
              </w:rPr>
            </w:pPr>
            <w:r w:rsidRPr="00E652DC">
              <w:rPr>
                <w:rFonts w:cs="Calibri Light"/>
                <w:sz w:val="20"/>
                <w:szCs w:val="20"/>
              </w:rPr>
              <w:t>No</w:t>
            </w:r>
          </w:p>
        </w:tc>
      </w:tr>
      <w:tr w:rsidR="00E652DC" w:rsidRPr="005118AF" w:rsidTr="00E652DC">
        <w:tc>
          <w:tcPr>
            <w:tcW w:w="8635" w:type="dxa"/>
            <w:tcBorders>
              <w:bottom w:val="single" w:sz="4" w:space="0" w:color="auto"/>
            </w:tcBorders>
            <w:shd w:val="clear" w:color="auto" w:fill="auto"/>
          </w:tcPr>
          <w:p w:rsidR="00E652DC" w:rsidRPr="00E652DC" w:rsidRDefault="00E652DC" w:rsidP="00E652DC">
            <w:pPr>
              <w:tabs>
                <w:tab w:val="left" w:pos="900"/>
              </w:tabs>
              <w:spacing w:before="60"/>
              <w:ind w:left="567" w:hanging="567"/>
              <w:rPr>
                <w:rFonts w:cs="Calibri Light"/>
                <w:sz w:val="20"/>
                <w:szCs w:val="20"/>
              </w:rPr>
            </w:pPr>
            <w:r w:rsidRPr="00E652DC">
              <w:rPr>
                <w:rFonts w:cs="Calibri Light"/>
                <w:sz w:val="20"/>
                <w:szCs w:val="20"/>
              </w:rPr>
              <w:t>1.3</w:t>
            </w:r>
            <w:r w:rsidRPr="00E652DC">
              <w:rPr>
                <w:rFonts w:cs="Calibri Light"/>
                <w:sz w:val="20"/>
                <w:szCs w:val="20"/>
              </w:rPr>
              <w:tab/>
              <w:t>Does the Project involve changes to the use of lands and resources that may have adverse impacts on habitats, ecosystems, and/or livelihoods? (Note: if restrictions and/or limitations of access to lands would apply, refer to Standard 5)</w:t>
            </w:r>
          </w:p>
        </w:tc>
        <w:tc>
          <w:tcPr>
            <w:tcW w:w="1396" w:type="dxa"/>
            <w:tcBorders>
              <w:bottom w:val="single" w:sz="4" w:space="0" w:color="auto"/>
            </w:tcBorders>
            <w:shd w:val="clear" w:color="auto" w:fill="auto"/>
          </w:tcPr>
          <w:p w:rsidR="00E652DC" w:rsidRPr="00E652DC" w:rsidRDefault="00E652DC" w:rsidP="00E652DC">
            <w:pPr>
              <w:rPr>
                <w:rFonts w:cs="Calibri Light"/>
                <w:sz w:val="20"/>
                <w:szCs w:val="20"/>
              </w:rPr>
            </w:pPr>
            <w:r w:rsidRPr="00E652DC">
              <w:rPr>
                <w:rFonts w:cs="Calibri Light"/>
                <w:sz w:val="20"/>
                <w:szCs w:val="20"/>
              </w:rPr>
              <w:t>No</w:t>
            </w:r>
          </w:p>
        </w:tc>
      </w:tr>
      <w:tr w:rsidR="00E652DC" w:rsidRPr="005118AF" w:rsidTr="00E652DC">
        <w:tc>
          <w:tcPr>
            <w:tcW w:w="8635" w:type="dxa"/>
            <w:tcBorders>
              <w:bottom w:val="single" w:sz="4" w:space="0" w:color="auto"/>
            </w:tcBorders>
            <w:shd w:val="clear" w:color="auto" w:fill="auto"/>
          </w:tcPr>
          <w:p w:rsidR="00E652DC" w:rsidRPr="00E652DC" w:rsidRDefault="00E652DC" w:rsidP="00E652DC">
            <w:pPr>
              <w:tabs>
                <w:tab w:val="left" w:pos="900"/>
              </w:tabs>
              <w:spacing w:before="60"/>
              <w:ind w:left="567" w:hanging="567"/>
              <w:rPr>
                <w:rFonts w:cs="Calibri Light"/>
                <w:sz w:val="20"/>
                <w:szCs w:val="20"/>
              </w:rPr>
            </w:pPr>
            <w:r w:rsidRPr="00E652DC">
              <w:rPr>
                <w:rFonts w:cs="Calibri Light"/>
                <w:sz w:val="20"/>
                <w:szCs w:val="20"/>
              </w:rPr>
              <w:t>1.4</w:t>
            </w:r>
            <w:r w:rsidRPr="00E652DC">
              <w:rPr>
                <w:rFonts w:cs="Calibri Light"/>
                <w:sz w:val="20"/>
                <w:szCs w:val="20"/>
              </w:rPr>
              <w:tab/>
              <w:t>Would Project activities pose risks to endangered species?</w:t>
            </w:r>
          </w:p>
        </w:tc>
        <w:tc>
          <w:tcPr>
            <w:tcW w:w="1396" w:type="dxa"/>
            <w:tcBorders>
              <w:bottom w:val="single" w:sz="4" w:space="0" w:color="auto"/>
            </w:tcBorders>
            <w:shd w:val="clear" w:color="auto" w:fill="auto"/>
          </w:tcPr>
          <w:p w:rsidR="00E652DC" w:rsidRPr="00E652DC" w:rsidRDefault="00E652DC" w:rsidP="00E652DC">
            <w:pPr>
              <w:rPr>
                <w:rFonts w:cs="Calibri Light"/>
                <w:sz w:val="20"/>
                <w:szCs w:val="20"/>
              </w:rPr>
            </w:pPr>
            <w:r w:rsidRPr="00E652DC">
              <w:rPr>
                <w:rFonts w:cs="Calibri Light"/>
                <w:sz w:val="20"/>
                <w:szCs w:val="20"/>
              </w:rPr>
              <w:t>No</w:t>
            </w:r>
          </w:p>
        </w:tc>
      </w:tr>
      <w:tr w:rsidR="00E652DC" w:rsidRPr="005118AF" w:rsidTr="00E652DC">
        <w:tc>
          <w:tcPr>
            <w:tcW w:w="8635" w:type="dxa"/>
            <w:tcBorders>
              <w:bottom w:val="single" w:sz="4" w:space="0" w:color="auto"/>
            </w:tcBorders>
            <w:shd w:val="clear" w:color="auto" w:fill="auto"/>
          </w:tcPr>
          <w:p w:rsidR="00E652DC" w:rsidRPr="00E652DC" w:rsidRDefault="00E652DC" w:rsidP="00E652DC">
            <w:pPr>
              <w:tabs>
                <w:tab w:val="left" w:pos="900"/>
              </w:tabs>
              <w:spacing w:before="60"/>
              <w:ind w:left="567" w:hanging="567"/>
              <w:rPr>
                <w:rFonts w:cs="Calibri Light"/>
                <w:sz w:val="20"/>
                <w:szCs w:val="20"/>
              </w:rPr>
            </w:pPr>
            <w:r w:rsidRPr="00E652DC">
              <w:rPr>
                <w:rFonts w:cs="Calibri Light"/>
                <w:sz w:val="20"/>
                <w:szCs w:val="20"/>
              </w:rPr>
              <w:t xml:space="preserve">1.5 </w:t>
            </w:r>
            <w:r w:rsidRPr="00E652DC">
              <w:rPr>
                <w:rFonts w:cs="Calibri Light"/>
                <w:sz w:val="20"/>
                <w:szCs w:val="20"/>
              </w:rPr>
              <w:tab/>
              <w:t xml:space="preserve">Would the Project pose a risk of introducing invasive alien species? </w:t>
            </w:r>
          </w:p>
        </w:tc>
        <w:tc>
          <w:tcPr>
            <w:tcW w:w="1396" w:type="dxa"/>
            <w:tcBorders>
              <w:bottom w:val="single" w:sz="4" w:space="0" w:color="auto"/>
            </w:tcBorders>
            <w:shd w:val="clear" w:color="auto" w:fill="auto"/>
          </w:tcPr>
          <w:p w:rsidR="00E652DC" w:rsidRPr="00E652DC" w:rsidRDefault="00E652DC" w:rsidP="00E652DC">
            <w:pPr>
              <w:rPr>
                <w:rFonts w:cs="Calibri Light"/>
                <w:sz w:val="20"/>
                <w:szCs w:val="20"/>
              </w:rPr>
            </w:pPr>
            <w:r w:rsidRPr="00E652DC">
              <w:rPr>
                <w:rFonts w:cs="Calibri Light"/>
                <w:sz w:val="20"/>
                <w:szCs w:val="20"/>
              </w:rPr>
              <w:t>No</w:t>
            </w:r>
          </w:p>
        </w:tc>
      </w:tr>
      <w:tr w:rsidR="00E652DC" w:rsidRPr="005118AF" w:rsidTr="00E652DC">
        <w:tc>
          <w:tcPr>
            <w:tcW w:w="8635" w:type="dxa"/>
            <w:tcBorders>
              <w:bottom w:val="single" w:sz="4" w:space="0" w:color="auto"/>
            </w:tcBorders>
            <w:shd w:val="clear" w:color="auto" w:fill="auto"/>
          </w:tcPr>
          <w:p w:rsidR="00E652DC" w:rsidRPr="00E652DC" w:rsidRDefault="00E652DC" w:rsidP="00E652DC">
            <w:pPr>
              <w:tabs>
                <w:tab w:val="left" w:pos="900"/>
              </w:tabs>
              <w:spacing w:before="60"/>
              <w:ind w:left="567" w:hanging="567"/>
              <w:rPr>
                <w:rFonts w:cs="Calibri Light"/>
                <w:sz w:val="20"/>
                <w:szCs w:val="20"/>
              </w:rPr>
            </w:pPr>
            <w:r w:rsidRPr="00E652DC">
              <w:rPr>
                <w:rFonts w:cs="Calibri Light"/>
                <w:sz w:val="20"/>
                <w:szCs w:val="20"/>
              </w:rPr>
              <w:t>1.6</w:t>
            </w:r>
            <w:r w:rsidRPr="00E652DC">
              <w:rPr>
                <w:rFonts w:cs="Calibri Light"/>
                <w:sz w:val="20"/>
                <w:szCs w:val="20"/>
              </w:rPr>
              <w:tab/>
              <w:t>Does the Project involve harvesting of natural forests, plantation development, or reforestation?</w:t>
            </w:r>
          </w:p>
        </w:tc>
        <w:tc>
          <w:tcPr>
            <w:tcW w:w="1396" w:type="dxa"/>
            <w:tcBorders>
              <w:bottom w:val="single" w:sz="4" w:space="0" w:color="auto"/>
            </w:tcBorders>
            <w:shd w:val="clear" w:color="auto" w:fill="auto"/>
          </w:tcPr>
          <w:p w:rsidR="00E652DC" w:rsidRPr="00E652DC" w:rsidRDefault="00E652DC" w:rsidP="00E652DC">
            <w:pPr>
              <w:rPr>
                <w:rFonts w:cs="Calibri Light"/>
                <w:sz w:val="20"/>
                <w:szCs w:val="20"/>
              </w:rPr>
            </w:pPr>
            <w:r w:rsidRPr="00E652DC">
              <w:rPr>
                <w:rFonts w:cs="Calibri Light"/>
                <w:sz w:val="20"/>
                <w:szCs w:val="20"/>
              </w:rPr>
              <w:t>No</w:t>
            </w:r>
          </w:p>
        </w:tc>
      </w:tr>
      <w:tr w:rsidR="00E652DC" w:rsidRPr="005118AF" w:rsidTr="00E652DC">
        <w:tc>
          <w:tcPr>
            <w:tcW w:w="8635" w:type="dxa"/>
            <w:tcBorders>
              <w:bottom w:val="single" w:sz="4" w:space="0" w:color="auto"/>
            </w:tcBorders>
            <w:shd w:val="clear" w:color="auto" w:fill="auto"/>
          </w:tcPr>
          <w:p w:rsidR="00E652DC" w:rsidRPr="00E652DC" w:rsidRDefault="00E652DC" w:rsidP="00E652DC">
            <w:pPr>
              <w:tabs>
                <w:tab w:val="left" w:pos="900"/>
              </w:tabs>
              <w:spacing w:before="60"/>
              <w:ind w:left="567" w:hanging="567"/>
              <w:rPr>
                <w:rFonts w:cs="Calibri Light"/>
                <w:sz w:val="20"/>
                <w:szCs w:val="20"/>
              </w:rPr>
            </w:pPr>
            <w:r w:rsidRPr="00E652DC">
              <w:rPr>
                <w:rFonts w:cs="Calibri Light"/>
                <w:sz w:val="20"/>
                <w:szCs w:val="20"/>
              </w:rPr>
              <w:t xml:space="preserve">1.7 </w:t>
            </w:r>
            <w:r w:rsidRPr="00E652DC">
              <w:rPr>
                <w:rFonts w:cs="Calibri Light"/>
                <w:sz w:val="20"/>
                <w:szCs w:val="20"/>
              </w:rPr>
              <w:tab/>
              <w:t>Does the Project involve the production and/or harvesting of fish populations or other aquatic species?</w:t>
            </w:r>
          </w:p>
        </w:tc>
        <w:tc>
          <w:tcPr>
            <w:tcW w:w="1396" w:type="dxa"/>
            <w:tcBorders>
              <w:bottom w:val="single" w:sz="4" w:space="0" w:color="auto"/>
            </w:tcBorders>
            <w:shd w:val="clear" w:color="auto" w:fill="auto"/>
          </w:tcPr>
          <w:p w:rsidR="00E652DC" w:rsidRPr="00E652DC" w:rsidRDefault="00E652DC" w:rsidP="00E652DC">
            <w:pPr>
              <w:rPr>
                <w:rFonts w:cs="Calibri Light"/>
                <w:sz w:val="20"/>
                <w:szCs w:val="20"/>
              </w:rPr>
            </w:pPr>
            <w:r w:rsidRPr="00E652DC">
              <w:rPr>
                <w:rFonts w:cs="Calibri Light"/>
                <w:sz w:val="20"/>
                <w:szCs w:val="20"/>
              </w:rPr>
              <w:t>No</w:t>
            </w:r>
          </w:p>
        </w:tc>
      </w:tr>
      <w:tr w:rsidR="00E652DC" w:rsidRPr="005118AF" w:rsidTr="00E652DC">
        <w:tc>
          <w:tcPr>
            <w:tcW w:w="8635" w:type="dxa"/>
            <w:tcBorders>
              <w:bottom w:val="single" w:sz="4" w:space="0" w:color="auto"/>
            </w:tcBorders>
            <w:shd w:val="clear" w:color="auto" w:fill="auto"/>
          </w:tcPr>
          <w:p w:rsidR="00E652DC" w:rsidRPr="00E652DC" w:rsidRDefault="00E652DC" w:rsidP="00E652DC">
            <w:pPr>
              <w:tabs>
                <w:tab w:val="left" w:pos="900"/>
              </w:tabs>
              <w:spacing w:before="60"/>
              <w:ind w:left="567" w:hanging="567"/>
              <w:rPr>
                <w:rFonts w:cs="Calibri Light"/>
                <w:sz w:val="20"/>
                <w:szCs w:val="20"/>
              </w:rPr>
            </w:pPr>
            <w:r w:rsidRPr="00E652DC">
              <w:rPr>
                <w:rFonts w:cs="Calibri Light"/>
                <w:sz w:val="20"/>
                <w:szCs w:val="20"/>
              </w:rPr>
              <w:t xml:space="preserve">1.8 </w:t>
            </w:r>
            <w:r w:rsidRPr="00E652DC">
              <w:rPr>
                <w:rFonts w:cs="Calibri Light"/>
                <w:sz w:val="20"/>
                <w:szCs w:val="20"/>
              </w:rPr>
              <w:tab/>
              <w:t>Does the Project involve significant extraction, diversion or containment of surface or ground water?</w:t>
            </w:r>
          </w:p>
          <w:p w:rsidR="00E652DC" w:rsidRPr="00E652DC" w:rsidRDefault="00E652DC" w:rsidP="00E652DC">
            <w:pPr>
              <w:tabs>
                <w:tab w:val="left" w:pos="900"/>
              </w:tabs>
              <w:spacing w:before="60"/>
              <w:ind w:left="567" w:hanging="567"/>
              <w:rPr>
                <w:rFonts w:cs="Calibri Light"/>
                <w:i/>
                <w:sz w:val="20"/>
                <w:szCs w:val="20"/>
              </w:rPr>
            </w:pPr>
            <w:r w:rsidRPr="00E652DC">
              <w:rPr>
                <w:rFonts w:cs="Calibri Light"/>
                <w:sz w:val="20"/>
                <w:szCs w:val="20"/>
              </w:rPr>
              <w:tab/>
            </w:r>
            <w:r w:rsidRPr="00E652DC">
              <w:rPr>
                <w:rFonts w:cs="Calibri Light"/>
                <w:i/>
                <w:sz w:val="20"/>
                <w:szCs w:val="20"/>
              </w:rPr>
              <w:t>For example, construction of dams, reservoirs, river basin developments, groundwater extraction</w:t>
            </w:r>
          </w:p>
        </w:tc>
        <w:tc>
          <w:tcPr>
            <w:tcW w:w="1396" w:type="dxa"/>
            <w:tcBorders>
              <w:bottom w:val="single" w:sz="4" w:space="0" w:color="auto"/>
            </w:tcBorders>
            <w:shd w:val="clear" w:color="auto" w:fill="auto"/>
          </w:tcPr>
          <w:p w:rsidR="00E652DC" w:rsidRPr="00E652DC" w:rsidRDefault="00E652DC" w:rsidP="00E652DC">
            <w:pPr>
              <w:rPr>
                <w:rFonts w:cs="Calibri Light"/>
                <w:sz w:val="20"/>
                <w:szCs w:val="20"/>
              </w:rPr>
            </w:pPr>
            <w:r w:rsidRPr="00E652DC">
              <w:rPr>
                <w:rFonts w:cs="Calibri Light"/>
                <w:sz w:val="20"/>
                <w:szCs w:val="20"/>
              </w:rPr>
              <w:t>No</w:t>
            </w:r>
          </w:p>
        </w:tc>
      </w:tr>
      <w:tr w:rsidR="00E652DC" w:rsidRPr="005118AF" w:rsidTr="00E652DC">
        <w:tc>
          <w:tcPr>
            <w:tcW w:w="8635" w:type="dxa"/>
            <w:tcBorders>
              <w:bottom w:val="single" w:sz="4" w:space="0" w:color="auto"/>
            </w:tcBorders>
            <w:shd w:val="clear" w:color="auto" w:fill="auto"/>
          </w:tcPr>
          <w:p w:rsidR="00E652DC" w:rsidRPr="00E652DC" w:rsidRDefault="00E652DC" w:rsidP="00E652DC">
            <w:pPr>
              <w:tabs>
                <w:tab w:val="left" w:pos="900"/>
              </w:tabs>
              <w:spacing w:before="60"/>
              <w:ind w:left="567" w:hanging="567"/>
              <w:rPr>
                <w:rFonts w:cs="Calibri Light"/>
                <w:sz w:val="20"/>
                <w:szCs w:val="20"/>
              </w:rPr>
            </w:pPr>
            <w:r w:rsidRPr="00E652DC">
              <w:rPr>
                <w:rFonts w:cs="Calibri Light"/>
                <w:sz w:val="20"/>
                <w:szCs w:val="20"/>
              </w:rPr>
              <w:t>1.9</w:t>
            </w:r>
            <w:r w:rsidRPr="00E652DC">
              <w:rPr>
                <w:rFonts w:cs="Calibri Light"/>
                <w:sz w:val="20"/>
                <w:szCs w:val="20"/>
              </w:rPr>
              <w:tab/>
              <w:t xml:space="preserve">Does the Project involve utilization of genetic resources? (e.g. collection and/or harvesting, commercial development) </w:t>
            </w:r>
          </w:p>
        </w:tc>
        <w:tc>
          <w:tcPr>
            <w:tcW w:w="1396"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No</w:t>
            </w:r>
          </w:p>
        </w:tc>
      </w:tr>
      <w:tr w:rsidR="00E652DC" w:rsidRPr="005118AF" w:rsidTr="00E652DC">
        <w:tc>
          <w:tcPr>
            <w:tcW w:w="8635" w:type="dxa"/>
            <w:tcBorders>
              <w:bottom w:val="single" w:sz="4" w:space="0" w:color="auto"/>
            </w:tcBorders>
            <w:shd w:val="clear" w:color="auto" w:fill="auto"/>
          </w:tcPr>
          <w:p w:rsidR="00E652DC" w:rsidRPr="00E652DC" w:rsidRDefault="00E652DC" w:rsidP="00E652DC">
            <w:pPr>
              <w:tabs>
                <w:tab w:val="left" w:pos="900"/>
              </w:tabs>
              <w:spacing w:before="60"/>
              <w:ind w:left="567" w:hanging="567"/>
              <w:rPr>
                <w:rFonts w:cs="Calibri Light"/>
                <w:b/>
                <w:sz w:val="20"/>
                <w:szCs w:val="20"/>
              </w:rPr>
            </w:pPr>
            <w:r w:rsidRPr="00E652DC">
              <w:rPr>
                <w:rFonts w:cs="Calibri Light"/>
                <w:sz w:val="20"/>
                <w:szCs w:val="20"/>
              </w:rPr>
              <w:t>1.10</w:t>
            </w:r>
            <w:r w:rsidRPr="00E652DC">
              <w:rPr>
                <w:rFonts w:cs="Calibri Light"/>
                <w:sz w:val="20"/>
                <w:szCs w:val="20"/>
              </w:rPr>
              <w:tab/>
              <w:t>Would the Project generate potential adverse transboundary or global environmental concerns?</w:t>
            </w:r>
          </w:p>
        </w:tc>
        <w:tc>
          <w:tcPr>
            <w:tcW w:w="1396"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No</w:t>
            </w:r>
          </w:p>
        </w:tc>
      </w:tr>
      <w:tr w:rsidR="00E652DC" w:rsidRPr="005118AF" w:rsidTr="00E652DC">
        <w:tc>
          <w:tcPr>
            <w:tcW w:w="8635" w:type="dxa"/>
            <w:tcBorders>
              <w:bottom w:val="single" w:sz="4" w:space="0" w:color="auto"/>
            </w:tcBorders>
            <w:shd w:val="clear" w:color="auto" w:fill="auto"/>
          </w:tcPr>
          <w:p w:rsidR="00E652DC" w:rsidRPr="00E652DC" w:rsidRDefault="00E652DC" w:rsidP="00E652DC">
            <w:pPr>
              <w:tabs>
                <w:tab w:val="left" w:pos="900"/>
              </w:tabs>
              <w:spacing w:before="60"/>
              <w:ind w:left="567" w:hanging="567"/>
              <w:rPr>
                <w:rFonts w:cs="Calibri Light"/>
                <w:sz w:val="20"/>
                <w:szCs w:val="20"/>
              </w:rPr>
            </w:pPr>
            <w:r w:rsidRPr="00E652DC">
              <w:rPr>
                <w:rFonts w:cs="Calibri Light"/>
                <w:sz w:val="20"/>
                <w:szCs w:val="20"/>
              </w:rPr>
              <w:t>1.11</w:t>
            </w:r>
            <w:r w:rsidRPr="00E652DC">
              <w:rPr>
                <w:rFonts w:cs="Calibri Light"/>
                <w:sz w:val="20"/>
                <w:szCs w:val="20"/>
              </w:rPr>
              <w:tab/>
              <w:t>Would the Project result in secondary or consequential development activities which could lead to adverse social and environmental effects, or would it generate cumulative impacts with other known existing or planned activities in the area?</w:t>
            </w:r>
          </w:p>
          <w:p w:rsidR="00E652DC" w:rsidRPr="00E652DC" w:rsidRDefault="00E652DC" w:rsidP="00E652DC">
            <w:pPr>
              <w:tabs>
                <w:tab w:val="left" w:pos="900"/>
              </w:tabs>
              <w:spacing w:before="60"/>
              <w:ind w:left="567" w:hanging="567"/>
              <w:rPr>
                <w:rFonts w:cs="Calibri Light"/>
                <w:i/>
                <w:sz w:val="20"/>
                <w:szCs w:val="20"/>
              </w:rPr>
            </w:pPr>
            <w:r w:rsidRPr="00E652DC">
              <w:rPr>
                <w:rFonts w:cs="Calibri Light"/>
                <w:sz w:val="20"/>
                <w:szCs w:val="20"/>
              </w:rPr>
              <w:tab/>
            </w:r>
            <w:r w:rsidRPr="00E652DC">
              <w:rPr>
                <w:rFonts w:cs="Calibri Light"/>
                <w:i/>
                <w:sz w:val="20"/>
                <w:szCs w:val="20"/>
              </w:rPr>
              <w:t>For example, a new road through forested lands will generate direct environmental and social impacts (e.g. felling of trees, earthworks, potential relocation of inhabitants). The new road may also facilitate encroachment on lands by illegal settlers or generate unplanned commercial development along the route, potentially in sensitive areas. These are indirect, secondary, or induced impacts that need to be considered. Also, if similar developments in the same forested area are planned, then cumulative impacts of multiple activities (even if not part of the same Project) need to be considered.</w:t>
            </w:r>
          </w:p>
        </w:tc>
        <w:tc>
          <w:tcPr>
            <w:tcW w:w="1396"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No</w:t>
            </w:r>
          </w:p>
        </w:tc>
      </w:tr>
    </w:tbl>
    <w:p w:rsidR="00E652DC" w:rsidRPr="00E652DC" w:rsidRDefault="00E652DC" w:rsidP="00E652DC">
      <w:pPr>
        <w:rPr>
          <w:rFonts w:cs="Calibri Light"/>
          <w:sz w:val="20"/>
          <w:szCs w:val="20"/>
        </w:rPr>
      </w:pPr>
    </w:p>
    <w:p w:rsidR="00E652DC" w:rsidRPr="00E652DC" w:rsidRDefault="00E652DC" w:rsidP="00E652DC">
      <w:pPr>
        <w:rPr>
          <w:rFonts w:cs="Calibri Light"/>
          <w:sz w:val="20"/>
          <w:szCs w:val="20"/>
        </w:rPr>
      </w:pPr>
      <w:r w:rsidRPr="00E652DC">
        <w:rPr>
          <w:rFonts w:cs="Calibri Light"/>
          <w:sz w:val="20"/>
          <w:szCs w:val="20"/>
        </w:rP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5"/>
        <w:gridCol w:w="1254"/>
      </w:tblGrid>
      <w:tr w:rsidR="00E652DC" w:rsidRPr="005118AF" w:rsidTr="00E652DC">
        <w:trPr>
          <w:trHeight w:val="530"/>
        </w:trPr>
        <w:tc>
          <w:tcPr>
            <w:tcW w:w="8635" w:type="dxa"/>
            <w:tcBorders>
              <w:bottom w:val="single" w:sz="4" w:space="0" w:color="auto"/>
            </w:tcBorders>
            <w:shd w:val="clear" w:color="auto" w:fill="D9E2F3"/>
            <w:vAlign w:val="center"/>
          </w:tcPr>
          <w:p w:rsidR="00E652DC" w:rsidRPr="00E652DC" w:rsidRDefault="00E652DC" w:rsidP="00E652DC">
            <w:pPr>
              <w:tabs>
                <w:tab w:val="left" w:pos="555"/>
              </w:tabs>
              <w:spacing w:before="120" w:after="120"/>
              <w:rPr>
                <w:rFonts w:cs="Calibri Light"/>
                <w:b/>
                <w:sz w:val="20"/>
                <w:szCs w:val="20"/>
              </w:rPr>
            </w:pPr>
            <w:r w:rsidRPr="00E652DC">
              <w:rPr>
                <w:rFonts w:cs="Calibri Light"/>
                <w:b/>
                <w:sz w:val="20"/>
                <w:szCs w:val="20"/>
              </w:rPr>
              <w:t>Standard 2: Climate Change Mitigation and Adaptation</w:t>
            </w:r>
          </w:p>
        </w:tc>
        <w:tc>
          <w:tcPr>
            <w:tcW w:w="1254" w:type="dxa"/>
            <w:tcBorders>
              <w:bottom w:val="single" w:sz="4" w:space="0" w:color="auto"/>
            </w:tcBorders>
            <w:shd w:val="clear" w:color="auto" w:fill="D9E2F3"/>
          </w:tcPr>
          <w:p w:rsidR="00E652DC" w:rsidRPr="00E652DC" w:rsidRDefault="00E652DC" w:rsidP="00E652DC">
            <w:pPr>
              <w:tabs>
                <w:tab w:val="left" w:pos="585"/>
              </w:tabs>
              <w:spacing w:before="60"/>
              <w:ind w:left="567" w:hanging="567"/>
              <w:rPr>
                <w:rFonts w:cs="Calibri Light"/>
                <w:sz w:val="20"/>
                <w:szCs w:val="20"/>
              </w:rPr>
            </w:pPr>
          </w:p>
        </w:tc>
      </w:tr>
      <w:tr w:rsidR="00E652DC" w:rsidRPr="005118AF" w:rsidTr="00E652DC">
        <w:tc>
          <w:tcPr>
            <w:tcW w:w="8635"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 xml:space="preserve">2.1 </w:t>
            </w:r>
            <w:r w:rsidRPr="00E652DC">
              <w:rPr>
                <w:rFonts w:cs="Calibri Light"/>
                <w:sz w:val="20"/>
                <w:szCs w:val="20"/>
              </w:rPr>
              <w:tab/>
              <w:t>Will the proposed Project result in significant</w:t>
            </w:r>
            <w:r w:rsidRPr="00E652DC">
              <w:rPr>
                <w:rFonts w:cs="Calibri Light"/>
                <w:sz w:val="20"/>
                <w:szCs w:val="20"/>
                <w:vertAlign w:val="superscript"/>
              </w:rPr>
              <w:footnoteReference w:id="20"/>
            </w:r>
            <w:r w:rsidRPr="00E652DC">
              <w:rPr>
                <w:rFonts w:cs="Calibri Light"/>
                <w:sz w:val="20"/>
                <w:szCs w:val="20"/>
                <w:vertAlign w:val="superscript"/>
              </w:rPr>
              <w:t xml:space="preserve"> </w:t>
            </w:r>
            <w:r w:rsidRPr="00E652DC">
              <w:rPr>
                <w:rFonts w:cs="Calibri Light"/>
                <w:sz w:val="20"/>
                <w:szCs w:val="20"/>
              </w:rPr>
              <w:t xml:space="preserve">greenhouse gas emissions or may exacerbate climate change? </w:t>
            </w:r>
          </w:p>
        </w:tc>
        <w:tc>
          <w:tcPr>
            <w:tcW w:w="1254"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No</w:t>
            </w:r>
          </w:p>
        </w:tc>
      </w:tr>
      <w:tr w:rsidR="00E652DC" w:rsidRPr="005118AF" w:rsidTr="00E652DC">
        <w:tc>
          <w:tcPr>
            <w:tcW w:w="8635" w:type="dxa"/>
            <w:tcBorders>
              <w:bottom w:val="single" w:sz="4" w:space="0" w:color="auto"/>
            </w:tcBorders>
            <w:shd w:val="clear" w:color="auto" w:fill="auto"/>
          </w:tcPr>
          <w:p w:rsidR="00E652DC" w:rsidRPr="00E652DC" w:rsidRDefault="00E652DC" w:rsidP="00E652DC">
            <w:pPr>
              <w:tabs>
                <w:tab w:val="left" w:pos="585"/>
              </w:tabs>
              <w:autoSpaceDE w:val="0"/>
              <w:autoSpaceDN w:val="0"/>
              <w:adjustRightInd w:val="0"/>
              <w:spacing w:before="60"/>
              <w:ind w:left="567" w:hanging="567"/>
              <w:rPr>
                <w:rFonts w:cs="Calibri Light"/>
                <w:sz w:val="20"/>
                <w:szCs w:val="20"/>
              </w:rPr>
            </w:pPr>
            <w:r w:rsidRPr="00E652DC">
              <w:rPr>
                <w:rFonts w:cs="Calibri Light"/>
                <w:sz w:val="20"/>
                <w:szCs w:val="20"/>
              </w:rPr>
              <w:t>2.2</w:t>
            </w:r>
            <w:r w:rsidRPr="00E652DC">
              <w:rPr>
                <w:rFonts w:cs="Calibri Light"/>
                <w:sz w:val="20"/>
                <w:szCs w:val="20"/>
              </w:rPr>
              <w:tab/>
              <w:t xml:space="preserve">Would the potential outcomes of the Project be sensitive or vulnerable to potential impacts of </w:t>
            </w:r>
            <w:r w:rsidRPr="00E652DC">
              <w:rPr>
                <w:rFonts w:cs="Calibri Light"/>
                <w:bCs/>
                <w:color w:val="000000"/>
                <w:sz w:val="20"/>
                <w:szCs w:val="20"/>
              </w:rPr>
              <w:t>climate</w:t>
            </w:r>
            <w:r w:rsidRPr="00E652DC">
              <w:rPr>
                <w:rFonts w:cs="Calibri Light"/>
                <w:sz w:val="20"/>
                <w:szCs w:val="20"/>
              </w:rPr>
              <w:t xml:space="preserve"> change? </w:t>
            </w:r>
          </w:p>
        </w:tc>
        <w:tc>
          <w:tcPr>
            <w:tcW w:w="1254"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No</w:t>
            </w:r>
          </w:p>
        </w:tc>
      </w:tr>
      <w:tr w:rsidR="00E652DC" w:rsidRPr="005118AF" w:rsidTr="00E652DC">
        <w:tc>
          <w:tcPr>
            <w:tcW w:w="8635"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2.3</w:t>
            </w:r>
            <w:r w:rsidRPr="00E652DC">
              <w:rPr>
                <w:rFonts w:cs="Calibri Light"/>
                <w:sz w:val="20"/>
                <w:szCs w:val="20"/>
              </w:rPr>
              <w:tab/>
              <w:t xml:space="preserve">Is the proposed Project likely to directly or indirectly increase social and environmental </w:t>
            </w:r>
            <w:hyperlink w:anchor="CCVulnerabilityGlossary" w:history="1">
              <w:r w:rsidRPr="00E652DC">
                <w:rPr>
                  <w:rFonts w:cs="Calibri Light"/>
                  <w:sz w:val="20"/>
                  <w:szCs w:val="20"/>
                </w:rPr>
                <w:t>vulnerability to climate change</w:t>
              </w:r>
            </w:hyperlink>
            <w:r w:rsidRPr="00E652DC">
              <w:rPr>
                <w:rFonts w:cs="Calibri Light"/>
                <w:sz w:val="20"/>
                <w:szCs w:val="20"/>
              </w:rPr>
              <w:t xml:space="preserve"> now or in the future (also known as maladaptive practices)?</w:t>
            </w:r>
          </w:p>
          <w:p w:rsidR="00E652DC" w:rsidRPr="00E652DC" w:rsidRDefault="00E652DC" w:rsidP="00E652DC">
            <w:pPr>
              <w:tabs>
                <w:tab w:val="left" w:pos="630"/>
              </w:tabs>
              <w:spacing w:before="60"/>
              <w:ind w:left="630"/>
              <w:rPr>
                <w:rFonts w:cs="Calibri Light"/>
                <w:sz w:val="20"/>
                <w:szCs w:val="20"/>
              </w:rPr>
            </w:pPr>
            <w:r w:rsidRPr="00E652DC">
              <w:rPr>
                <w:rFonts w:cs="Calibri Light"/>
                <w:i/>
                <w:sz w:val="20"/>
                <w:szCs w:val="20"/>
              </w:rPr>
              <w:t>For example, changes to land use planning may encourage further development of floodplains, potentially increasing the population’s vulnerability to climate change, specifically flooding</w:t>
            </w:r>
          </w:p>
        </w:tc>
        <w:tc>
          <w:tcPr>
            <w:tcW w:w="1254"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No</w:t>
            </w:r>
          </w:p>
        </w:tc>
      </w:tr>
      <w:tr w:rsidR="00E652DC" w:rsidRPr="005118AF" w:rsidTr="00E652DC">
        <w:trPr>
          <w:trHeight w:val="539"/>
        </w:trPr>
        <w:tc>
          <w:tcPr>
            <w:tcW w:w="8635" w:type="dxa"/>
            <w:tcBorders>
              <w:bottom w:val="single" w:sz="4" w:space="0" w:color="auto"/>
            </w:tcBorders>
            <w:shd w:val="clear" w:color="auto" w:fill="D9E2F3"/>
            <w:vAlign w:val="center"/>
          </w:tcPr>
          <w:p w:rsidR="00E652DC" w:rsidRPr="00E652DC" w:rsidRDefault="00E652DC" w:rsidP="00E652DC">
            <w:pPr>
              <w:tabs>
                <w:tab w:val="left" w:pos="0"/>
                <w:tab w:val="left" w:pos="555"/>
              </w:tabs>
              <w:spacing w:before="60"/>
              <w:rPr>
                <w:rFonts w:cs="Calibri Light"/>
                <w:b/>
                <w:sz w:val="20"/>
                <w:szCs w:val="20"/>
              </w:rPr>
            </w:pPr>
            <w:r w:rsidRPr="00E652DC">
              <w:rPr>
                <w:rFonts w:cs="Calibri Light"/>
                <w:b/>
                <w:sz w:val="20"/>
                <w:szCs w:val="20"/>
              </w:rPr>
              <w:t>Standard 3: Community Health, Safety and Working Conditions</w:t>
            </w:r>
          </w:p>
        </w:tc>
        <w:tc>
          <w:tcPr>
            <w:tcW w:w="1254" w:type="dxa"/>
            <w:tcBorders>
              <w:bottom w:val="single" w:sz="4" w:space="0" w:color="auto"/>
            </w:tcBorders>
            <w:shd w:val="clear" w:color="auto" w:fill="D9E2F3"/>
            <w:vAlign w:val="center"/>
          </w:tcPr>
          <w:p w:rsidR="00E652DC" w:rsidRPr="00E652DC" w:rsidRDefault="00E652DC" w:rsidP="00E652DC">
            <w:pPr>
              <w:tabs>
                <w:tab w:val="left" w:pos="585"/>
              </w:tabs>
              <w:spacing w:before="60"/>
              <w:ind w:left="567" w:hanging="567"/>
              <w:rPr>
                <w:rFonts w:cs="Calibri Light"/>
                <w:sz w:val="20"/>
                <w:szCs w:val="20"/>
              </w:rPr>
            </w:pPr>
          </w:p>
        </w:tc>
      </w:tr>
      <w:tr w:rsidR="00E652DC" w:rsidRPr="005118AF" w:rsidTr="00E652DC">
        <w:tc>
          <w:tcPr>
            <w:tcW w:w="8635"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3.1</w:t>
            </w:r>
            <w:r w:rsidRPr="00E652DC">
              <w:rPr>
                <w:rFonts w:cs="Calibri Light"/>
                <w:sz w:val="20"/>
                <w:szCs w:val="20"/>
              </w:rPr>
              <w:tab/>
              <w:t>Would elements of Project construction, operation, or decommissioning pose potential safety risks to local communities?</w:t>
            </w:r>
          </w:p>
        </w:tc>
        <w:tc>
          <w:tcPr>
            <w:tcW w:w="1254"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No</w:t>
            </w:r>
          </w:p>
        </w:tc>
      </w:tr>
      <w:tr w:rsidR="00E652DC" w:rsidRPr="005118AF" w:rsidTr="00E652DC">
        <w:tc>
          <w:tcPr>
            <w:tcW w:w="8635"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3.2</w:t>
            </w:r>
            <w:r w:rsidRPr="00E652DC">
              <w:rPr>
                <w:rFonts w:cs="Calibri Light"/>
                <w:sz w:val="20"/>
                <w:szCs w:val="20"/>
              </w:rPr>
              <w:tab/>
              <w:t>Would the Project pose potential risks to community health and safety due to the transport, storage, and use and/or disposal of hazardous or dangerous materials (e.g. explosives, fuel and other chemicals during construction and operation)?</w:t>
            </w:r>
          </w:p>
        </w:tc>
        <w:tc>
          <w:tcPr>
            <w:tcW w:w="1254"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No</w:t>
            </w:r>
          </w:p>
        </w:tc>
      </w:tr>
      <w:tr w:rsidR="00E652DC" w:rsidRPr="005118AF" w:rsidTr="00E652DC">
        <w:tc>
          <w:tcPr>
            <w:tcW w:w="8635"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3.3</w:t>
            </w:r>
            <w:r w:rsidRPr="00E652DC">
              <w:rPr>
                <w:rFonts w:cs="Calibri Light"/>
                <w:sz w:val="20"/>
                <w:szCs w:val="20"/>
              </w:rPr>
              <w:tab/>
              <w:t>Does the Project involve large-scale infrastructure development (e.g. dams, roads, buildings)?</w:t>
            </w:r>
          </w:p>
        </w:tc>
        <w:tc>
          <w:tcPr>
            <w:tcW w:w="1254"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No</w:t>
            </w:r>
          </w:p>
        </w:tc>
      </w:tr>
      <w:tr w:rsidR="00E652DC" w:rsidRPr="005118AF" w:rsidTr="00E652DC">
        <w:tc>
          <w:tcPr>
            <w:tcW w:w="8635"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3.4</w:t>
            </w:r>
            <w:r w:rsidRPr="00E652DC">
              <w:rPr>
                <w:rFonts w:cs="Calibri Light"/>
                <w:sz w:val="20"/>
                <w:szCs w:val="20"/>
              </w:rPr>
              <w:tab/>
              <w:t>Would failure of structural elements of the Project pose risks to communities? (e.g. collapse of buildings or infrastructure)</w:t>
            </w:r>
          </w:p>
        </w:tc>
        <w:tc>
          <w:tcPr>
            <w:tcW w:w="1254"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No</w:t>
            </w:r>
          </w:p>
        </w:tc>
      </w:tr>
      <w:tr w:rsidR="00E652DC" w:rsidRPr="005118AF" w:rsidTr="00E652DC">
        <w:tc>
          <w:tcPr>
            <w:tcW w:w="8635"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3.5</w:t>
            </w:r>
            <w:r w:rsidRPr="00E652DC">
              <w:rPr>
                <w:rFonts w:cs="Calibri Light"/>
                <w:sz w:val="20"/>
                <w:szCs w:val="20"/>
              </w:rPr>
              <w:tab/>
              <w:t>Would the proposed Project be susceptible to or lead to increased vulnerability to earthquakes, subsidence, landslides, erosion, flooding or extreme climatic conditions?</w:t>
            </w:r>
          </w:p>
        </w:tc>
        <w:tc>
          <w:tcPr>
            <w:tcW w:w="1254"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No</w:t>
            </w:r>
          </w:p>
        </w:tc>
      </w:tr>
      <w:tr w:rsidR="00E652DC" w:rsidRPr="005118AF" w:rsidTr="00E652DC">
        <w:tc>
          <w:tcPr>
            <w:tcW w:w="8635"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3.6</w:t>
            </w:r>
            <w:r w:rsidRPr="00E652DC">
              <w:rPr>
                <w:rFonts w:cs="Calibri Light"/>
                <w:sz w:val="20"/>
                <w:szCs w:val="20"/>
              </w:rPr>
              <w:tab/>
              <w:t>Would the Project result in potential increased health risks (e.g. from water-borne or other vector-borne diseases or communicable infections such as HIV/AIDS)?</w:t>
            </w:r>
          </w:p>
        </w:tc>
        <w:tc>
          <w:tcPr>
            <w:tcW w:w="1254"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No</w:t>
            </w:r>
          </w:p>
        </w:tc>
      </w:tr>
      <w:tr w:rsidR="00E652DC" w:rsidRPr="005118AF" w:rsidTr="00E652DC">
        <w:tc>
          <w:tcPr>
            <w:tcW w:w="8635"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3.7</w:t>
            </w:r>
            <w:r w:rsidRPr="00E652DC">
              <w:rPr>
                <w:rFonts w:cs="Calibri Light"/>
                <w:sz w:val="20"/>
                <w:szCs w:val="20"/>
              </w:rPr>
              <w:tab/>
              <w:t>Does the Project pose potential risks and vulnerabilities related to occupational health and safety due to physical, chemical, biological, and radiological hazards during Project construction, operation, or decommissioning?</w:t>
            </w:r>
          </w:p>
        </w:tc>
        <w:tc>
          <w:tcPr>
            <w:tcW w:w="1254"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No</w:t>
            </w:r>
          </w:p>
        </w:tc>
      </w:tr>
      <w:tr w:rsidR="00E652DC" w:rsidRPr="005118AF" w:rsidTr="00E652DC">
        <w:tc>
          <w:tcPr>
            <w:tcW w:w="8635"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3.8</w:t>
            </w:r>
            <w:r w:rsidRPr="00E652DC">
              <w:rPr>
                <w:rFonts w:cs="Calibri Light"/>
                <w:sz w:val="20"/>
                <w:szCs w:val="20"/>
              </w:rPr>
              <w:tab/>
              <w:t xml:space="preserve">Does the Project involve support for employment or livelihoods that may fail to comply with national and international </w:t>
            </w:r>
            <w:proofErr w:type="spellStart"/>
            <w:r w:rsidRPr="00E652DC">
              <w:rPr>
                <w:rFonts w:cs="Calibri Light"/>
                <w:sz w:val="20"/>
                <w:szCs w:val="20"/>
              </w:rPr>
              <w:t>labor</w:t>
            </w:r>
            <w:proofErr w:type="spellEnd"/>
            <w:r w:rsidRPr="00E652DC">
              <w:rPr>
                <w:rFonts w:cs="Calibri Light"/>
                <w:sz w:val="20"/>
                <w:szCs w:val="20"/>
              </w:rPr>
              <w:t xml:space="preserve"> standards (i.e. principles and standards of ILO fundamental conventions)?  </w:t>
            </w:r>
          </w:p>
        </w:tc>
        <w:tc>
          <w:tcPr>
            <w:tcW w:w="1254"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No</w:t>
            </w:r>
          </w:p>
        </w:tc>
      </w:tr>
      <w:tr w:rsidR="00E652DC" w:rsidRPr="005118AF" w:rsidTr="00E652DC">
        <w:tc>
          <w:tcPr>
            <w:tcW w:w="8635"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3.9</w:t>
            </w:r>
            <w:r w:rsidRPr="00E652DC">
              <w:rPr>
                <w:rFonts w:cs="Calibri Light"/>
                <w:sz w:val="20"/>
                <w:szCs w:val="20"/>
              </w:rPr>
              <w:tab/>
              <w:t>Does the Project engage security personnel that may pose a potential risk to health and safety of communities and/or individuals (e.g. due to a lack of adequate training or accountability)?</w:t>
            </w:r>
          </w:p>
        </w:tc>
        <w:tc>
          <w:tcPr>
            <w:tcW w:w="1254"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No</w:t>
            </w:r>
          </w:p>
        </w:tc>
      </w:tr>
      <w:tr w:rsidR="00E652DC" w:rsidRPr="005118AF" w:rsidTr="00E652DC">
        <w:trPr>
          <w:trHeight w:val="503"/>
        </w:trPr>
        <w:tc>
          <w:tcPr>
            <w:tcW w:w="8635" w:type="dxa"/>
            <w:tcBorders>
              <w:bottom w:val="single" w:sz="4" w:space="0" w:color="auto"/>
            </w:tcBorders>
            <w:shd w:val="clear" w:color="auto" w:fill="D9E2F3"/>
            <w:vAlign w:val="center"/>
          </w:tcPr>
          <w:p w:rsidR="00E652DC" w:rsidRPr="00E652DC" w:rsidRDefault="00E652DC" w:rsidP="00E652DC">
            <w:pPr>
              <w:tabs>
                <w:tab w:val="left" w:pos="0"/>
                <w:tab w:val="left" w:pos="555"/>
              </w:tabs>
              <w:spacing w:before="60"/>
              <w:rPr>
                <w:rFonts w:cs="Calibri Light"/>
                <w:b/>
                <w:sz w:val="20"/>
                <w:szCs w:val="20"/>
              </w:rPr>
            </w:pPr>
            <w:r w:rsidRPr="00E652DC">
              <w:rPr>
                <w:rFonts w:cs="Calibri Light"/>
                <w:b/>
                <w:sz w:val="20"/>
                <w:szCs w:val="20"/>
              </w:rPr>
              <w:t>Standard 4: Cultural Heritage</w:t>
            </w:r>
          </w:p>
        </w:tc>
        <w:tc>
          <w:tcPr>
            <w:tcW w:w="1254" w:type="dxa"/>
            <w:tcBorders>
              <w:bottom w:val="single" w:sz="4" w:space="0" w:color="auto"/>
            </w:tcBorders>
            <w:shd w:val="clear" w:color="auto" w:fill="D9E2F3"/>
            <w:vAlign w:val="center"/>
          </w:tcPr>
          <w:p w:rsidR="00E652DC" w:rsidRPr="00E652DC" w:rsidRDefault="00E652DC" w:rsidP="00E652DC">
            <w:pPr>
              <w:tabs>
                <w:tab w:val="left" w:pos="585"/>
              </w:tabs>
              <w:spacing w:before="60"/>
              <w:ind w:left="567" w:hanging="567"/>
              <w:rPr>
                <w:rFonts w:cs="Calibri Light"/>
                <w:sz w:val="20"/>
                <w:szCs w:val="20"/>
              </w:rPr>
            </w:pPr>
          </w:p>
        </w:tc>
      </w:tr>
      <w:tr w:rsidR="00E652DC" w:rsidRPr="005118AF" w:rsidTr="00E652DC">
        <w:tc>
          <w:tcPr>
            <w:tcW w:w="8635"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4.1</w:t>
            </w:r>
            <w:r w:rsidRPr="00E652DC">
              <w:rPr>
                <w:rFonts w:cs="Calibri Light"/>
                <w:sz w:val="20"/>
                <w:szCs w:val="20"/>
              </w:rPr>
              <w:tab/>
              <w:t xml:space="preserve">Will the proposed Project result in interventions that would potentially adversely impact sites, structures, or objects with historical, cultural, artistic, traditional or religious values or intangible forms of culture (e.g. knowledge, innovations, practices)? (Note: Projects intended to </w:t>
            </w:r>
            <w:proofErr w:type="gramStart"/>
            <w:r w:rsidRPr="00E652DC">
              <w:rPr>
                <w:rFonts w:cs="Calibri Light"/>
                <w:sz w:val="20"/>
                <w:szCs w:val="20"/>
              </w:rPr>
              <w:t>protect</w:t>
            </w:r>
            <w:proofErr w:type="gramEnd"/>
            <w:r w:rsidRPr="00E652DC">
              <w:rPr>
                <w:rFonts w:cs="Calibri Light"/>
                <w:sz w:val="20"/>
                <w:szCs w:val="20"/>
              </w:rPr>
              <w:t xml:space="preserve"> and conserve Cultural Heritage may also have inadvertent adverse impacts)</w:t>
            </w:r>
          </w:p>
        </w:tc>
        <w:tc>
          <w:tcPr>
            <w:tcW w:w="1254"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No</w:t>
            </w:r>
          </w:p>
        </w:tc>
      </w:tr>
      <w:tr w:rsidR="00E652DC" w:rsidRPr="005118AF" w:rsidTr="00E652DC">
        <w:tc>
          <w:tcPr>
            <w:tcW w:w="8635"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b/>
                <w:sz w:val="20"/>
                <w:szCs w:val="20"/>
              </w:rPr>
            </w:pPr>
            <w:r w:rsidRPr="00E652DC">
              <w:rPr>
                <w:rFonts w:cs="Calibri Light"/>
                <w:sz w:val="20"/>
                <w:szCs w:val="20"/>
              </w:rPr>
              <w:t>4.2</w:t>
            </w:r>
            <w:r w:rsidRPr="00E652DC">
              <w:rPr>
                <w:rFonts w:cs="Calibri Light"/>
                <w:sz w:val="20"/>
                <w:szCs w:val="20"/>
              </w:rPr>
              <w:tab/>
              <w:t>Does the Project propose utilizing tangible and/or intangible forms of cultural heritage for commercial or other purposes?</w:t>
            </w:r>
          </w:p>
        </w:tc>
        <w:tc>
          <w:tcPr>
            <w:tcW w:w="1254"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No</w:t>
            </w:r>
          </w:p>
        </w:tc>
      </w:tr>
      <w:tr w:rsidR="00E652DC" w:rsidRPr="005118AF" w:rsidTr="00E652DC">
        <w:trPr>
          <w:trHeight w:val="566"/>
        </w:trPr>
        <w:tc>
          <w:tcPr>
            <w:tcW w:w="8635" w:type="dxa"/>
            <w:tcBorders>
              <w:bottom w:val="single" w:sz="4" w:space="0" w:color="auto"/>
            </w:tcBorders>
            <w:shd w:val="clear" w:color="auto" w:fill="D9E2F3"/>
            <w:vAlign w:val="center"/>
          </w:tcPr>
          <w:p w:rsidR="00E652DC" w:rsidRPr="00E652DC" w:rsidRDefault="00E652DC" w:rsidP="00E652DC">
            <w:pPr>
              <w:tabs>
                <w:tab w:val="left" w:pos="0"/>
                <w:tab w:val="left" w:pos="555"/>
              </w:tabs>
              <w:spacing w:before="60"/>
              <w:rPr>
                <w:rFonts w:cs="Calibri Light"/>
                <w:b/>
                <w:sz w:val="20"/>
                <w:szCs w:val="20"/>
              </w:rPr>
            </w:pPr>
            <w:r w:rsidRPr="00E652DC">
              <w:rPr>
                <w:rFonts w:cs="Calibri Light"/>
                <w:b/>
                <w:sz w:val="20"/>
                <w:szCs w:val="20"/>
              </w:rPr>
              <w:t>Standard 5: Displacement and Resettlement</w:t>
            </w:r>
          </w:p>
        </w:tc>
        <w:tc>
          <w:tcPr>
            <w:tcW w:w="1254" w:type="dxa"/>
            <w:tcBorders>
              <w:bottom w:val="single" w:sz="4" w:space="0" w:color="auto"/>
            </w:tcBorders>
            <w:shd w:val="clear" w:color="auto" w:fill="D9E2F3"/>
            <w:vAlign w:val="center"/>
          </w:tcPr>
          <w:p w:rsidR="00E652DC" w:rsidRPr="00E652DC" w:rsidRDefault="00E652DC" w:rsidP="00E652DC">
            <w:pPr>
              <w:tabs>
                <w:tab w:val="left" w:pos="585"/>
              </w:tabs>
              <w:spacing w:before="60"/>
              <w:ind w:left="567" w:hanging="567"/>
              <w:rPr>
                <w:rFonts w:cs="Calibri Light"/>
                <w:sz w:val="20"/>
                <w:szCs w:val="20"/>
              </w:rPr>
            </w:pPr>
          </w:p>
        </w:tc>
      </w:tr>
      <w:tr w:rsidR="00E652DC" w:rsidRPr="005118AF" w:rsidTr="00E652DC">
        <w:tc>
          <w:tcPr>
            <w:tcW w:w="8635"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b/>
                <w:sz w:val="20"/>
                <w:szCs w:val="20"/>
              </w:rPr>
            </w:pPr>
            <w:r w:rsidRPr="00E652DC">
              <w:rPr>
                <w:rFonts w:cs="Calibri Light"/>
                <w:sz w:val="20"/>
                <w:szCs w:val="20"/>
              </w:rPr>
              <w:t>5.1</w:t>
            </w:r>
            <w:r w:rsidRPr="00E652DC">
              <w:rPr>
                <w:rFonts w:cs="Calibri Light"/>
                <w:sz w:val="20"/>
                <w:szCs w:val="20"/>
              </w:rPr>
              <w:tab/>
              <w:t>Would the Project potentially involve temporary or permanent and full or partial physical displacement?</w:t>
            </w:r>
          </w:p>
        </w:tc>
        <w:tc>
          <w:tcPr>
            <w:tcW w:w="1254"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No</w:t>
            </w:r>
          </w:p>
        </w:tc>
      </w:tr>
      <w:tr w:rsidR="00E652DC" w:rsidRPr="005118AF" w:rsidTr="00E652DC">
        <w:tc>
          <w:tcPr>
            <w:tcW w:w="8635"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b/>
                <w:sz w:val="20"/>
                <w:szCs w:val="20"/>
              </w:rPr>
            </w:pPr>
            <w:r w:rsidRPr="00E652DC">
              <w:rPr>
                <w:rFonts w:cs="Calibri Light"/>
                <w:sz w:val="20"/>
                <w:szCs w:val="20"/>
              </w:rPr>
              <w:t>5.2</w:t>
            </w:r>
            <w:r w:rsidRPr="00E652DC">
              <w:rPr>
                <w:rFonts w:cs="Calibri Light"/>
                <w:sz w:val="20"/>
                <w:szCs w:val="20"/>
              </w:rPr>
              <w:tab/>
              <w:t xml:space="preserve">Would the Project possibly result in economic displacement (e.g. loss of assets or access to resources due to land acquisition or access restrictions – even in the absence of physical relocation)? </w:t>
            </w:r>
          </w:p>
        </w:tc>
        <w:tc>
          <w:tcPr>
            <w:tcW w:w="1254"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No</w:t>
            </w:r>
          </w:p>
        </w:tc>
      </w:tr>
      <w:tr w:rsidR="00E652DC" w:rsidRPr="005118AF" w:rsidTr="00E652DC">
        <w:tc>
          <w:tcPr>
            <w:tcW w:w="8635"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5.3</w:t>
            </w:r>
            <w:r w:rsidRPr="00E652DC">
              <w:rPr>
                <w:rFonts w:cs="Calibri Light"/>
                <w:sz w:val="20"/>
                <w:szCs w:val="20"/>
              </w:rPr>
              <w:tab/>
              <w:t>Is there a risk that the Project would lead to forced evictions?</w:t>
            </w:r>
            <w:r w:rsidRPr="00E652DC">
              <w:rPr>
                <w:rStyle w:val="FootnoteReference"/>
                <w:rFonts w:ascii="Calibri Light" w:hAnsi="Calibri Light" w:cs="Calibri Light"/>
                <w:sz w:val="20"/>
                <w:szCs w:val="20"/>
              </w:rPr>
              <w:footnoteReference w:id="21"/>
            </w:r>
          </w:p>
        </w:tc>
        <w:tc>
          <w:tcPr>
            <w:tcW w:w="1254"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No</w:t>
            </w:r>
          </w:p>
        </w:tc>
      </w:tr>
      <w:tr w:rsidR="00E652DC" w:rsidRPr="005118AF" w:rsidTr="00E652DC">
        <w:tc>
          <w:tcPr>
            <w:tcW w:w="8635"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5.4</w:t>
            </w:r>
            <w:r w:rsidRPr="00E652DC">
              <w:rPr>
                <w:rFonts w:cs="Calibri Light"/>
                <w:sz w:val="20"/>
                <w:szCs w:val="20"/>
              </w:rPr>
              <w:tab/>
              <w:t xml:space="preserve">Would the proposed Project possibly affect land tenure arrangements and/or </w:t>
            </w:r>
            <w:proofErr w:type="gramStart"/>
            <w:r w:rsidRPr="00E652DC">
              <w:rPr>
                <w:rFonts w:cs="Calibri Light"/>
                <w:sz w:val="20"/>
                <w:szCs w:val="20"/>
              </w:rPr>
              <w:t>community based</w:t>
            </w:r>
            <w:proofErr w:type="gramEnd"/>
            <w:r w:rsidRPr="00E652DC">
              <w:rPr>
                <w:rFonts w:cs="Calibri Light"/>
                <w:sz w:val="20"/>
                <w:szCs w:val="20"/>
              </w:rPr>
              <w:t xml:space="preserve"> property rights/customary rights to land, territories and/or resources? </w:t>
            </w:r>
          </w:p>
        </w:tc>
        <w:tc>
          <w:tcPr>
            <w:tcW w:w="1254"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No</w:t>
            </w:r>
          </w:p>
        </w:tc>
      </w:tr>
      <w:tr w:rsidR="00E652DC" w:rsidRPr="005118AF" w:rsidTr="00E652DC">
        <w:trPr>
          <w:trHeight w:val="584"/>
        </w:trPr>
        <w:tc>
          <w:tcPr>
            <w:tcW w:w="8635" w:type="dxa"/>
            <w:tcBorders>
              <w:bottom w:val="single" w:sz="4" w:space="0" w:color="auto"/>
            </w:tcBorders>
            <w:shd w:val="clear" w:color="auto" w:fill="D9E2F3"/>
            <w:vAlign w:val="center"/>
          </w:tcPr>
          <w:p w:rsidR="00E652DC" w:rsidRPr="00E652DC" w:rsidRDefault="00E652DC" w:rsidP="00E652DC">
            <w:pPr>
              <w:tabs>
                <w:tab w:val="left" w:pos="0"/>
                <w:tab w:val="left" w:pos="555"/>
              </w:tabs>
              <w:spacing w:before="60"/>
              <w:rPr>
                <w:rFonts w:cs="Calibri Light"/>
                <w:b/>
                <w:sz w:val="20"/>
                <w:szCs w:val="20"/>
              </w:rPr>
            </w:pPr>
            <w:r w:rsidRPr="00E652DC">
              <w:rPr>
                <w:rFonts w:cs="Calibri Light"/>
                <w:b/>
                <w:sz w:val="20"/>
                <w:szCs w:val="20"/>
              </w:rPr>
              <w:t>Standard 6: Indigenous Peoples</w:t>
            </w:r>
          </w:p>
        </w:tc>
        <w:tc>
          <w:tcPr>
            <w:tcW w:w="1254" w:type="dxa"/>
            <w:tcBorders>
              <w:bottom w:val="single" w:sz="4" w:space="0" w:color="auto"/>
            </w:tcBorders>
            <w:shd w:val="clear" w:color="auto" w:fill="D9E2F3"/>
            <w:vAlign w:val="center"/>
          </w:tcPr>
          <w:p w:rsidR="00E652DC" w:rsidRPr="00E652DC" w:rsidRDefault="00E652DC" w:rsidP="00E652DC">
            <w:pPr>
              <w:tabs>
                <w:tab w:val="left" w:pos="585"/>
              </w:tabs>
              <w:spacing w:before="60"/>
              <w:ind w:left="567" w:hanging="567"/>
              <w:rPr>
                <w:rFonts w:cs="Calibri Light"/>
                <w:sz w:val="20"/>
                <w:szCs w:val="20"/>
              </w:rPr>
            </w:pPr>
          </w:p>
        </w:tc>
      </w:tr>
      <w:tr w:rsidR="00E652DC" w:rsidRPr="005118AF" w:rsidTr="00E652DC">
        <w:tc>
          <w:tcPr>
            <w:tcW w:w="8635"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6.1</w:t>
            </w:r>
            <w:r w:rsidRPr="00E652DC">
              <w:rPr>
                <w:rFonts w:cs="Calibri Light"/>
                <w:sz w:val="20"/>
                <w:szCs w:val="20"/>
              </w:rPr>
              <w:tab/>
              <w:t>Are indigenous peoples present in the Project area (including Project area of influence)?</w:t>
            </w:r>
          </w:p>
        </w:tc>
        <w:tc>
          <w:tcPr>
            <w:tcW w:w="1254"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No</w:t>
            </w:r>
          </w:p>
        </w:tc>
      </w:tr>
      <w:tr w:rsidR="00E652DC" w:rsidRPr="005118AF" w:rsidTr="00E652DC">
        <w:tc>
          <w:tcPr>
            <w:tcW w:w="8635"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6.2</w:t>
            </w:r>
            <w:r w:rsidRPr="00E652DC">
              <w:rPr>
                <w:rFonts w:cs="Calibri Light"/>
                <w:sz w:val="20"/>
                <w:szCs w:val="20"/>
              </w:rPr>
              <w:tab/>
              <w:t>Is it likely that the Project or portions of the Project will be located on lands and territories claimed by indigenous peoples?</w:t>
            </w:r>
          </w:p>
        </w:tc>
        <w:tc>
          <w:tcPr>
            <w:tcW w:w="1254"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No</w:t>
            </w:r>
          </w:p>
        </w:tc>
      </w:tr>
      <w:tr w:rsidR="00E652DC" w:rsidRPr="005118AF" w:rsidTr="00E652DC">
        <w:tc>
          <w:tcPr>
            <w:tcW w:w="8635"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6.3</w:t>
            </w:r>
            <w:r w:rsidRPr="00E652DC">
              <w:rPr>
                <w:rFonts w:cs="Calibri Light"/>
                <w:sz w:val="20"/>
                <w:szCs w:val="20"/>
              </w:rPr>
              <w:tab/>
              <w:t xml:space="preserve">Would the proposed Project potentially affect the human rights, lands, natural resources, territories, and traditional livelihoods of indigenous peoples (regardless of whether indigenous peoples possess the legal titles to such areas, whether the Project is located within or outside of the lands and territories inhabited by the affected peoples, or whether the indigenous peoples are recognized as indigenous peoples by the country in question)? </w:t>
            </w:r>
          </w:p>
          <w:p w:rsidR="00E652DC" w:rsidRPr="00E652DC" w:rsidRDefault="00E652DC" w:rsidP="00E652DC">
            <w:pPr>
              <w:tabs>
                <w:tab w:val="left" w:pos="585"/>
              </w:tabs>
              <w:spacing w:before="60"/>
              <w:ind w:left="567" w:firstLine="40"/>
              <w:rPr>
                <w:rFonts w:cs="Calibri Light"/>
                <w:i/>
                <w:sz w:val="20"/>
                <w:szCs w:val="20"/>
              </w:rPr>
            </w:pPr>
            <w:r w:rsidRPr="00E652DC">
              <w:rPr>
                <w:rFonts w:cs="Calibri Light"/>
                <w:i/>
                <w:sz w:val="20"/>
                <w:szCs w:val="20"/>
              </w:rPr>
              <w:t>If the answer to the screening question 6.3 is “yes” the potential risk impacts are considered potentially severe and/or critical and the Project would be categorized as either Moderate or High Risk.</w:t>
            </w:r>
          </w:p>
        </w:tc>
        <w:tc>
          <w:tcPr>
            <w:tcW w:w="1254"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No</w:t>
            </w:r>
          </w:p>
        </w:tc>
      </w:tr>
      <w:tr w:rsidR="00E652DC" w:rsidRPr="005118AF" w:rsidTr="00E652DC">
        <w:tc>
          <w:tcPr>
            <w:tcW w:w="8635"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6.4</w:t>
            </w:r>
            <w:r w:rsidRPr="00E652DC">
              <w:rPr>
                <w:rFonts w:cs="Calibri Light"/>
                <w:sz w:val="20"/>
                <w:szCs w:val="20"/>
              </w:rPr>
              <w:tab/>
              <w:t>Has there been an absence of culturally appropriate consultations carried out with the objective of achieving FPIC on matters that may affect the rights and interests, lands, resources, territories and traditional livelihoods of the indigenous peoples concerned?</w:t>
            </w:r>
          </w:p>
        </w:tc>
        <w:tc>
          <w:tcPr>
            <w:tcW w:w="1254"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No</w:t>
            </w:r>
          </w:p>
        </w:tc>
      </w:tr>
      <w:tr w:rsidR="00E652DC" w:rsidRPr="005118AF" w:rsidTr="00E652DC">
        <w:tc>
          <w:tcPr>
            <w:tcW w:w="8635"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6.5</w:t>
            </w:r>
            <w:r w:rsidRPr="00E652DC">
              <w:rPr>
                <w:rFonts w:cs="Calibri Light"/>
                <w:sz w:val="20"/>
                <w:szCs w:val="20"/>
              </w:rPr>
              <w:tab/>
              <w:t>Does the proposed Project involve the utilization and/or commercial development of natural resources on lands and territories claimed by indigenous peoples?</w:t>
            </w:r>
          </w:p>
        </w:tc>
        <w:tc>
          <w:tcPr>
            <w:tcW w:w="1254"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No</w:t>
            </w:r>
          </w:p>
        </w:tc>
      </w:tr>
      <w:tr w:rsidR="00E652DC" w:rsidRPr="005118AF" w:rsidTr="00E652DC">
        <w:tc>
          <w:tcPr>
            <w:tcW w:w="8635"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6.6</w:t>
            </w:r>
            <w:r w:rsidRPr="00E652DC">
              <w:rPr>
                <w:rFonts w:cs="Calibri Light"/>
                <w:sz w:val="20"/>
                <w:szCs w:val="20"/>
              </w:rPr>
              <w:tab/>
              <w:t>Is there a potential for forced eviction or the whole or partial physical or economic displacement of indigenous peoples, including through access restrictions to lands, territories, and resources?</w:t>
            </w:r>
          </w:p>
        </w:tc>
        <w:tc>
          <w:tcPr>
            <w:tcW w:w="1254"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No</w:t>
            </w:r>
          </w:p>
        </w:tc>
      </w:tr>
      <w:tr w:rsidR="00E652DC" w:rsidRPr="005118AF" w:rsidTr="00E652DC">
        <w:tc>
          <w:tcPr>
            <w:tcW w:w="8635"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6.7</w:t>
            </w:r>
            <w:r w:rsidRPr="00E652DC">
              <w:rPr>
                <w:rFonts w:cs="Calibri Light"/>
                <w:sz w:val="20"/>
                <w:szCs w:val="20"/>
              </w:rPr>
              <w:tab/>
              <w:t>Would the Project adversely affect the development priorities of indigenous peoples as defined by them?</w:t>
            </w:r>
          </w:p>
        </w:tc>
        <w:tc>
          <w:tcPr>
            <w:tcW w:w="1254"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No</w:t>
            </w:r>
          </w:p>
        </w:tc>
      </w:tr>
      <w:tr w:rsidR="00E652DC" w:rsidRPr="005118AF" w:rsidTr="00E652DC">
        <w:tc>
          <w:tcPr>
            <w:tcW w:w="8635"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6.8</w:t>
            </w:r>
            <w:r w:rsidRPr="00E652DC">
              <w:rPr>
                <w:rFonts w:cs="Calibri Light"/>
                <w:sz w:val="20"/>
                <w:szCs w:val="20"/>
              </w:rPr>
              <w:tab/>
              <w:t>Would the Project potentially affect the physical and cultural survival of indigenous peoples?</w:t>
            </w:r>
          </w:p>
        </w:tc>
        <w:tc>
          <w:tcPr>
            <w:tcW w:w="1254"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No</w:t>
            </w:r>
          </w:p>
        </w:tc>
      </w:tr>
      <w:tr w:rsidR="00E652DC" w:rsidRPr="005118AF" w:rsidTr="00E652DC">
        <w:tc>
          <w:tcPr>
            <w:tcW w:w="8635"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6.9</w:t>
            </w:r>
            <w:r w:rsidRPr="00E652DC">
              <w:rPr>
                <w:rFonts w:cs="Calibri Light"/>
                <w:sz w:val="20"/>
                <w:szCs w:val="20"/>
              </w:rPr>
              <w:tab/>
              <w:t>Would the Project potentially affect the Cultural Heritage of indigenous peoples, including through the commercialization or use of their traditional knowledge and practices?</w:t>
            </w:r>
          </w:p>
        </w:tc>
        <w:tc>
          <w:tcPr>
            <w:tcW w:w="1254"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No</w:t>
            </w:r>
          </w:p>
        </w:tc>
      </w:tr>
      <w:tr w:rsidR="00E652DC" w:rsidRPr="005118AF" w:rsidTr="00E652DC">
        <w:trPr>
          <w:trHeight w:val="602"/>
        </w:trPr>
        <w:tc>
          <w:tcPr>
            <w:tcW w:w="8635" w:type="dxa"/>
            <w:tcBorders>
              <w:bottom w:val="single" w:sz="4" w:space="0" w:color="auto"/>
            </w:tcBorders>
            <w:shd w:val="clear" w:color="auto" w:fill="D9E2F3"/>
            <w:vAlign w:val="center"/>
          </w:tcPr>
          <w:p w:rsidR="00E652DC" w:rsidRPr="00E652DC" w:rsidRDefault="00E652DC" w:rsidP="00E652DC">
            <w:pPr>
              <w:tabs>
                <w:tab w:val="left" w:pos="570"/>
              </w:tabs>
              <w:spacing w:before="120"/>
              <w:rPr>
                <w:rFonts w:cs="Calibri Light"/>
                <w:b/>
                <w:sz w:val="20"/>
                <w:szCs w:val="20"/>
              </w:rPr>
            </w:pPr>
            <w:r w:rsidRPr="00E652DC">
              <w:rPr>
                <w:rFonts w:cs="Calibri Light"/>
                <w:b/>
                <w:sz w:val="20"/>
                <w:szCs w:val="20"/>
              </w:rPr>
              <w:t>Standard 7: Pollution Prevention and Resource Efficiency</w:t>
            </w:r>
          </w:p>
        </w:tc>
        <w:tc>
          <w:tcPr>
            <w:tcW w:w="1254" w:type="dxa"/>
            <w:tcBorders>
              <w:bottom w:val="single" w:sz="4" w:space="0" w:color="auto"/>
            </w:tcBorders>
            <w:shd w:val="clear" w:color="auto" w:fill="D9E2F3"/>
            <w:vAlign w:val="center"/>
          </w:tcPr>
          <w:p w:rsidR="00E652DC" w:rsidRPr="00E652DC" w:rsidRDefault="00E652DC" w:rsidP="00E652DC">
            <w:pPr>
              <w:rPr>
                <w:rFonts w:cs="Calibri Light"/>
                <w:b/>
                <w:i/>
                <w:sz w:val="20"/>
                <w:szCs w:val="20"/>
              </w:rPr>
            </w:pPr>
          </w:p>
        </w:tc>
      </w:tr>
      <w:tr w:rsidR="00E652DC" w:rsidRPr="005118AF" w:rsidTr="00E652DC">
        <w:tc>
          <w:tcPr>
            <w:tcW w:w="8635" w:type="dxa"/>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7.1</w:t>
            </w:r>
            <w:r w:rsidRPr="00E652DC">
              <w:rPr>
                <w:rFonts w:cs="Calibri Light"/>
                <w:sz w:val="20"/>
                <w:szCs w:val="20"/>
              </w:rPr>
              <w:tab/>
              <w:t xml:space="preserve">Would the Project potentially result in the release of pollutants to the environment due to routine or non-routine circumstances with the potential for adverse local, regional, and/or </w:t>
            </w:r>
            <w:hyperlink w:anchor="TransboundaryImpactsGlossary" w:history="1">
              <w:r w:rsidRPr="00E652DC">
                <w:rPr>
                  <w:rFonts w:cs="Calibri Light"/>
                  <w:sz w:val="20"/>
                  <w:szCs w:val="20"/>
                </w:rPr>
                <w:t>transboundary impacts</w:t>
              </w:r>
            </w:hyperlink>
            <w:r w:rsidRPr="00E652DC">
              <w:rPr>
                <w:rFonts w:cs="Calibri Light"/>
                <w:sz w:val="20"/>
                <w:szCs w:val="20"/>
              </w:rPr>
              <w:t xml:space="preserve">? </w:t>
            </w:r>
          </w:p>
        </w:tc>
        <w:tc>
          <w:tcPr>
            <w:tcW w:w="1254" w:type="dxa"/>
            <w:shd w:val="clear" w:color="auto" w:fill="auto"/>
          </w:tcPr>
          <w:p w:rsidR="00E652DC" w:rsidRPr="00E652DC" w:rsidRDefault="00E652DC" w:rsidP="00E652DC">
            <w:pPr>
              <w:rPr>
                <w:rFonts w:cs="Calibri Light"/>
                <w:sz w:val="20"/>
                <w:szCs w:val="20"/>
              </w:rPr>
            </w:pPr>
            <w:r w:rsidRPr="00E652DC">
              <w:rPr>
                <w:rFonts w:cs="Calibri Light"/>
                <w:sz w:val="20"/>
                <w:szCs w:val="20"/>
              </w:rPr>
              <w:t>No</w:t>
            </w:r>
          </w:p>
        </w:tc>
      </w:tr>
      <w:tr w:rsidR="00E652DC" w:rsidRPr="005118AF" w:rsidTr="00E652DC">
        <w:tc>
          <w:tcPr>
            <w:tcW w:w="8635"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7.2</w:t>
            </w:r>
            <w:r w:rsidRPr="00E652DC">
              <w:rPr>
                <w:rFonts w:cs="Calibri Light"/>
                <w:sz w:val="20"/>
                <w:szCs w:val="20"/>
              </w:rPr>
              <w:tab/>
              <w:t>Would the proposed Project potentially result in the generation of waste (both hazardous and non-hazardous)?</w:t>
            </w:r>
          </w:p>
        </w:tc>
        <w:tc>
          <w:tcPr>
            <w:tcW w:w="1254" w:type="dxa"/>
            <w:tcBorders>
              <w:bottom w:val="single" w:sz="4" w:space="0" w:color="auto"/>
            </w:tcBorders>
            <w:shd w:val="clear" w:color="auto" w:fill="auto"/>
          </w:tcPr>
          <w:p w:rsidR="00E652DC" w:rsidRPr="00E652DC" w:rsidRDefault="00E652DC" w:rsidP="00E652DC">
            <w:pPr>
              <w:rPr>
                <w:rFonts w:cs="Calibri Light"/>
                <w:sz w:val="20"/>
                <w:szCs w:val="20"/>
              </w:rPr>
            </w:pPr>
            <w:r w:rsidRPr="00E652DC">
              <w:rPr>
                <w:rFonts w:cs="Calibri Light"/>
                <w:sz w:val="20"/>
                <w:szCs w:val="20"/>
              </w:rPr>
              <w:t>No</w:t>
            </w:r>
          </w:p>
        </w:tc>
      </w:tr>
      <w:tr w:rsidR="00E652DC" w:rsidRPr="005118AF" w:rsidTr="00E652DC">
        <w:trPr>
          <w:trHeight w:val="402"/>
        </w:trPr>
        <w:tc>
          <w:tcPr>
            <w:tcW w:w="8635"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7.3</w:t>
            </w:r>
            <w:r w:rsidRPr="00E652DC">
              <w:rPr>
                <w:rFonts w:cs="Calibri Light"/>
                <w:sz w:val="20"/>
                <w:szCs w:val="20"/>
              </w:rPr>
              <w:tab/>
              <w:t>Will the proposed Project potentially involve the manufacture, trade, release, and/or use of hazardous chemicals and/or materials? Does the Project propose use of chemicals or materials subject to international bans or phase-outs?</w:t>
            </w:r>
          </w:p>
          <w:p w:rsidR="00E652DC" w:rsidRPr="00E652DC" w:rsidRDefault="00E652DC" w:rsidP="00E652DC">
            <w:pPr>
              <w:tabs>
                <w:tab w:val="left" w:pos="630"/>
              </w:tabs>
              <w:spacing w:before="60"/>
              <w:ind w:left="630"/>
              <w:rPr>
                <w:rFonts w:cs="Calibri Light"/>
                <w:sz w:val="20"/>
                <w:szCs w:val="20"/>
              </w:rPr>
            </w:pPr>
            <w:r w:rsidRPr="00E652DC">
              <w:rPr>
                <w:rFonts w:cs="Calibri Light"/>
                <w:i/>
                <w:sz w:val="20"/>
                <w:szCs w:val="20"/>
              </w:rPr>
              <w:t>For example, DDT, PCBs and other chemicals listed in international conventions such as the Stockholm Conventions on Persistent Organic Pollutants or the Montreal Protocol</w:t>
            </w:r>
            <w:r w:rsidRPr="00E652DC">
              <w:rPr>
                <w:rFonts w:cs="Calibri Light"/>
                <w:sz w:val="20"/>
                <w:szCs w:val="20"/>
              </w:rPr>
              <w:t xml:space="preserve"> </w:t>
            </w:r>
          </w:p>
        </w:tc>
        <w:tc>
          <w:tcPr>
            <w:tcW w:w="1254" w:type="dxa"/>
            <w:tcBorders>
              <w:bottom w:val="single" w:sz="4" w:space="0" w:color="auto"/>
            </w:tcBorders>
            <w:shd w:val="clear" w:color="auto" w:fill="auto"/>
          </w:tcPr>
          <w:p w:rsidR="00E652DC" w:rsidRPr="00E652DC" w:rsidRDefault="00E652DC" w:rsidP="00E652DC">
            <w:pPr>
              <w:rPr>
                <w:rFonts w:cs="Calibri Light"/>
                <w:sz w:val="20"/>
                <w:szCs w:val="20"/>
              </w:rPr>
            </w:pPr>
            <w:r w:rsidRPr="00E652DC">
              <w:rPr>
                <w:rFonts w:cs="Calibri Light"/>
                <w:sz w:val="20"/>
                <w:szCs w:val="20"/>
              </w:rPr>
              <w:t>No</w:t>
            </w:r>
          </w:p>
        </w:tc>
      </w:tr>
      <w:tr w:rsidR="00E652DC" w:rsidRPr="005118AF" w:rsidTr="00E652DC">
        <w:tc>
          <w:tcPr>
            <w:tcW w:w="8635"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 xml:space="preserve">7.4 </w:t>
            </w:r>
            <w:r w:rsidRPr="00E652DC">
              <w:rPr>
                <w:rFonts w:cs="Calibri Light"/>
                <w:sz w:val="20"/>
                <w:szCs w:val="20"/>
              </w:rPr>
              <w:tab/>
              <w:t>Will the proposed Project involve the application of pesticides that may have a negative effect on the environment or human health?</w:t>
            </w:r>
          </w:p>
        </w:tc>
        <w:tc>
          <w:tcPr>
            <w:tcW w:w="1254"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No</w:t>
            </w:r>
          </w:p>
        </w:tc>
      </w:tr>
      <w:tr w:rsidR="00E652DC" w:rsidRPr="005118AF" w:rsidTr="00E652DC">
        <w:tc>
          <w:tcPr>
            <w:tcW w:w="8635"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7.5</w:t>
            </w:r>
            <w:r w:rsidRPr="00E652DC">
              <w:rPr>
                <w:rFonts w:cs="Calibri Light"/>
                <w:sz w:val="20"/>
                <w:szCs w:val="20"/>
              </w:rPr>
              <w:tab/>
              <w:t xml:space="preserve">Does the Project include activities that require significant consumption of raw materials, energy, and/or water? </w:t>
            </w:r>
          </w:p>
        </w:tc>
        <w:tc>
          <w:tcPr>
            <w:tcW w:w="1254" w:type="dxa"/>
            <w:tcBorders>
              <w:bottom w:val="single" w:sz="4" w:space="0" w:color="auto"/>
            </w:tcBorders>
            <w:shd w:val="clear" w:color="auto" w:fill="auto"/>
          </w:tcPr>
          <w:p w:rsidR="00E652DC" w:rsidRPr="00E652DC" w:rsidRDefault="00E652DC" w:rsidP="00E652DC">
            <w:pPr>
              <w:tabs>
                <w:tab w:val="left" w:pos="585"/>
              </w:tabs>
              <w:spacing w:before="60"/>
              <w:ind w:left="567" w:hanging="567"/>
              <w:rPr>
                <w:rFonts w:cs="Calibri Light"/>
                <w:sz w:val="20"/>
                <w:szCs w:val="20"/>
              </w:rPr>
            </w:pPr>
            <w:r w:rsidRPr="00E652DC">
              <w:rPr>
                <w:rFonts w:cs="Calibri Light"/>
                <w:sz w:val="20"/>
                <w:szCs w:val="20"/>
              </w:rPr>
              <w:t>No</w:t>
            </w:r>
          </w:p>
        </w:tc>
      </w:tr>
    </w:tbl>
    <w:p w:rsidR="00EB0F83" w:rsidRPr="00135431" w:rsidRDefault="00EB0F83" w:rsidP="00030277">
      <w:pPr>
        <w:rPr>
          <w:bCs/>
          <w:iCs/>
        </w:rPr>
      </w:pPr>
    </w:p>
    <w:p w:rsidR="00EB0F83" w:rsidRPr="00135431" w:rsidRDefault="00EB0F83" w:rsidP="00EB0F83"/>
    <w:p w:rsidR="00EB0F83" w:rsidRPr="00135431" w:rsidRDefault="00EB0F83" w:rsidP="00EB0F83"/>
    <w:p w:rsidR="001930B8" w:rsidRPr="00135431" w:rsidRDefault="001930B8" w:rsidP="001930B8">
      <w:pPr>
        <w:pStyle w:val="Heading2"/>
        <w:jc w:val="left"/>
        <w:sectPr w:rsidR="001930B8" w:rsidRPr="00135431" w:rsidSect="00EB0F83">
          <w:headerReference w:type="even" r:id="rId28"/>
          <w:headerReference w:type="default" r:id="rId29"/>
          <w:headerReference w:type="first" r:id="rId30"/>
          <w:pgSz w:w="11906" w:h="16838" w:code="9"/>
          <w:pgMar w:top="864" w:right="1152" w:bottom="864" w:left="1152" w:header="720" w:footer="432" w:gutter="0"/>
          <w:cols w:space="708"/>
          <w:titlePg/>
          <w:docGrid w:linePitch="360"/>
        </w:sectPr>
      </w:pPr>
      <w:bookmarkStart w:id="100" w:name="_Ref22288020"/>
      <w:bookmarkStart w:id="101" w:name="_Ref22288025"/>
    </w:p>
    <w:p w:rsidR="00A853D6" w:rsidRPr="00135431" w:rsidRDefault="00A853D6" w:rsidP="001930B8">
      <w:pPr>
        <w:pStyle w:val="Heading2"/>
        <w:jc w:val="left"/>
      </w:pPr>
      <w:bookmarkStart w:id="102" w:name="_Toc22745687"/>
      <w:bookmarkStart w:id="103" w:name="_Toc25739978"/>
      <w:bookmarkStart w:id="104" w:name="_Toc25740087"/>
      <w:r w:rsidRPr="00135431">
        <w:t xml:space="preserve">ANNEX </w:t>
      </w:r>
      <w:r w:rsidR="00CD50C8">
        <w:t>II</w:t>
      </w:r>
      <w:r w:rsidR="003041A3" w:rsidRPr="00135431">
        <w:t>I</w:t>
      </w:r>
      <w:r w:rsidRPr="00135431">
        <w:t>.</w:t>
      </w:r>
      <w:r w:rsidR="004A563D">
        <w:tab/>
      </w:r>
      <w:bookmarkEnd w:id="100"/>
      <w:bookmarkEnd w:id="101"/>
      <w:bookmarkEnd w:id="102"/>
      <w:r w:rsidR="00163E60">
        <w:t>Risk Log</w:t>
      </w:r>
      <w:bookmarkEnd w:id="103"/>
      <w:bookmarkEnd w:id="1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394"/>
        <w:gridCol w:w="1417"/>
        <w:gridCol w:w="1701"/>
        <w:gridCol w:w="5529"/>
        <w:gridCol w:w="850"/>
      </w:tblGrid>
      <w:tr w:rsidR="00B622F3" w:rsidRPr="00135431" w:rsidTr="004A563D">
        <w:tc>
          <w:tcPr>
            <w:tcW w:w="534" w:type="dxa"/>
            <w:shd w:val="clear" w:color="auto" w:fill="808080"/>
          </w:tcPr>
          <w:p w:rsidR="00B622F3" w:rsidRPr="00135431" w:rsidRDefault="00B622F3" w:rsidP="00C942E2">
            <w:pPr>
              <w:spacing w:after="0"/>
              <w:rPr>
                <w:rFonts w:ascii="Calibri" w:hAnsi="Calibri" w:cs="Calibri"/>
                <w:color w:val="FFFFFF"/>
                <w:sz w:val="20"/>
                <w:szCs w:val="20"/>
              </w:rPr>
            </w:pPr>
            <w:r w:rsidRPr="00135431">
              <w:rPr>
                <w:rFonts w:ascii="Calibri" w:hAnsi="Calibri" w:cs="Calibri"/>
                <w:color w:val="FFFFFF"/>
                <w:sz w:val="20"/>
                <w:szCs w:val="20"/>
              </w:rPr>
              <w:t>#</w:t>
            </w:r>
          </w:p>
        </w:tc>
        <w:tc>
          <w:tcPr>
            <w:tcW w:w="4394" w:type="dxa"/>
            <w:shd w:val="clear" w:color="auto" w:fill="808080"/>
          </w:tcPr>
          <w:p w:rsidR="00B622F3" w:rsidRPr="00135431" w:rsidRDefault="00B622F3" w:rsidP="00C942E2">
            <w:pPr>
              <w:spacing w:after="0"/>
              <w:rPr>
                <w:rFonts w:ascii="Calibri" w:hAnsi="Calibri" w:cs="Calibri"/>
                <w:color w:val="FFFFFF"/>
                <w:sz w:val="20"/>
                <w:szCs w:val="20"/>
              </w:rPr>
            </w:pPr>
            <w:r w:rsidRPr="00135431">
              <w:rPr>
                <w:rFonts w:ascii="Calibri" w:hAnsi="Calibri" w:cs="Calibri"/>
                <w:color w:val="FFFFFF"/>
                <w:sz w:val="20"/>
                <w:szCs w:val="20"/>
              </w:rPr>
              <w:t>Description</w:t>
            </w:r>
          </w:p>
        </w:tc>
        <w:tc>
          <w:tcPr>
            <w:tcW w:w="1417" w:type="dxa"/>
            <w:shd w:val="clear" w:color="auto" w:fill="808080"/>
          </w:tcPr>
          <w:p w:rsidR="00B622F3" w:rsidRPr="00135431" w:rsidRDefault="00B622F3" w:rsidP="00C942E2">
            <w:pPr>
              <w:spacing w:after="0"/>
              <w:rPr>
                <w:rFonts w:ascii="Calibri" w:hAnsi="Calibri" w:cs="Calibri"/>
                <w:color w:val="FFFFFF"/>
                <w:sz w:val="20"/>
                <w:szCs w:val="20"/>
              </w:rPr>
            </w:pPr>
            <w:r w:rsidRPr="00135431">
              <w:rPr>
                <w:rFonts w:ascii="Calibri" w:hAnsi="Calibri" w:cs="Calibri"/>
                <w:color w:val="FFFFFF"/>
                <w:sz w:val="20"/>
                <w:szCs w:val="20"/>
              </w:rPr>
              <w:t>Risk Category</w:t>
            </w:r>
          </w:p>
        </w:tc>
        <w:tc>
          <w:tcPr>
            <w:tcW w:w="1701" w:type="dxa"/>
            <w:shd w:val="clear" w:color="auto" w:fill="808080"/>
          </w:tcPr>
          <w:p w:rsidR="00B622F3" w:rsidRPr="00135431" w:rsidRDefault="00B622F3" w:rsidP="00C942E2">
            <w:pPr>
              <w:spacing w:after="0"/>
              <w:rPr>
                <w:rFonts w:ascii="Calibri" w:hAnsi="Calibri" w:cs="Calibri"/>
                <w:color w:val="FFFFFF"/>
                <w:sz w:val="20"/>
                <w:szCs w:val="20"/>
              </w:rPr>
            </w:pPr>
            <w:r w:rsidRPr="00135431">
              <w:rPr>
                <w:rFonts w:ascii="Calibri" w:hAnsi="Calibri" w:cs="Calibri"/>
                <w:color w:val="FFFFFF"/>
                <w:sz w:val="20"/>
                <w:szCs w:val="20"/>
              </w:rPr>
              <w:t>Risk Level</w:t>
            </w:r>
          </w:p>
        </w:tc>
        <w:tc>
          <w:tcPr>
            <w:tcW w:w="5529" w:type="dxa"/>
            <w:shd w:val="clear" w:color="auto" w:fill="808080"/>
          </w:tcPr>
          <w:p w:rsidR="00B622F3" w:rsidRPr="00135431" w:rsidRDefault="00B622F3" w:rsidP="00C942E2">
            <w:pPr>
              <w:spacing w:after="0"/>
              <w:rPr>
                <w:rFonts w:ascii="Calibri" w:hAnsi="Calibri" w:cs="Calibri"/>
                <w:color w:val="FFFFFF"/>
                <w:sz w:val="20"/>
                <w:szCs w:val="20"/>
              </w:rPr>
            </w:pPr>
            <w:r w:rsidRPr="00135431">
              <w:rPr>
                <w:rFonts w:ascii="Calibri" w:hAnsi="Calibri" w:cs="Calibri"/>
                <w:color w:val="FFFFFF"/>
                <w:sz w:val="20"/>
                <w:szCs w:val="20"/>
              </w:rPr>
              <w:t>Risk Treatment / Management Measures</w:t>
            </w:r>
          </w:p>
        </w:tc>
        <w:tc>
          <w:tcPr>
            <w:tcW w:w="850" w:type="dxa"/>
            <w:shd w:val="clear" w:color="auto" w:fill="808080"/>
          </w:tcPr>
          <w:p w:rsidR="00B622F3" w:rsidRPr="00135431" w:rsidRDefault="00B622F3" w:rsidP="00C942E2">
            <w:pPr>
              <w:spacing w:after="0"/>
              <w:rPr>
                <w:rFonts w:ascii="Calibri" w:hAnsi="Calibri" w:cs="Calibri"/>
                <w:color w:val="FFFFFF"/>
                <w:sz w:val="20"/>
                <w:szCs w:val="20"/>
              </w:rPr>
            </w:pPr>
            <w:r w:rsidRPr="00135431">
              <w:rPr>
                <w:rFonts w:ascii="Calibri" w:hAnsi="Calibri" w:cs="Calibri"/>
                <w:color w:val="FFFFFF"/>
                <w:sz w:val="20"/>
                <w:szCs w:val="20"/>
              </w:rPr>
              <w:t>Risk Owner</w:t>
            </w:r>
          </w:p>
        </w:tc>
      </w:tr>
      <w:tr w:rsidR="00B622F3" w:rsidRPr="00135431" w:rsidTr="004A563D">
        <w:tc>
          <w:tcPr>
            <w:tcW w:w="534" w:type="dxa"/>
          </w:tcPr>
          <w:p w:rsidR="00B622F3" w:rsidRPr="00AD17EF" w:rsidRDefault="00B622F3" w:rsidP="00C942E2">
            <w:pPr>
              <w:spacing w:after="0"/>
              <w:rPr>
                <w:rFonts w:cs="Calibri Light"/>
                <w:sz w:val="18"/>
                <w:szCs w:val="18"/>
              </w:rPr>
            </w:pPr>
            <w:r w:rsidRPr="00AD17EF">
              <w:rPr>
                <w:rFonts w:cs="Calibri Light"/>
                <w:sz w:val="18"/>
                <w:szCs w:val="18"/>
              </w:rPr>
              <w:t>1</w:t>
            </w:r>
          </w:p>
        </w:tc>
        <w:tc>
          <w:tcPr>
            <w:tcW w:w="4394" w:type="dxa"/>
          </w:tcPr>
          <w:p w:rsidR="00B622F3" w:rsidRPr="00AD17EF" w:rsidRDefault="00253797" w:rsidP="00C942E2">
            <w:pPr>
              <w:spacing w:after="0"/>
              <w:rPr>
                <w:rFonts w:cs="Calibri Light"/>
                <w:sz w:val="18"/>
                <w:szCs w:val="18"/>
              </w:rPr>
            </w:pPr>
            <w:r>
              <w:rPr>
                <w:rFonts w:cs="Calibri Light"/>
                <w:sz w:val="18"/>
                <w:szCs w:val="18"/>
              </w:rPr>
              <w:t>Project</w:t>
            </w:r>
            <w:r w:rsidR="00B622F3" w:rsidRPr="00AD17EF">
              <w:rPr>
                <w:rFonts w:cs="Calibri Light"/>
                <w:sz w:val="18"/>
                <w:szCs w:val="18"/>
              </w:rPr>
              <w:t xml:space="preserve"> is misunderstood as the approach to climate change is unusual </w:t>
            </w:r>
          </w:p>
        </w:tc>
        <w:tc>
          <w:tcPr>
            <w:tcW w:w="1417" w:type="dxa"/>
          </w:tcPr>
          <w:p w:rsidR="00B622F3" w:rsidRPr="00AD17EF" w:rsidRDefault="00B622F3" w:rsidP="00C942E2">
            <w:pPr>
              <w:spacing w:after="0"/>
              <w:rPr>
                <w:rFonts w:cs="Calibri Light"/>
                <w:sz w:val="18"/>
                <w:szCs w:val="18"/>
                <w:lang w:val="en-US"/>
              </w:rPr>
            </w:pPr>
            <w:r w:rsidRPr="00AD17EF">
              <w:rPr>
                <w:rFonts w:cs="Calibri Light"/>
                <w:sz w:val="18"/>
                <w:szCs w:val="18"/>
                <w:lang w:val="en-US"/>
              </w:rPr>
              <w:t xml:space="preserve">Operational </w:t>
            </w:r>
          </w:p>
        </w:tc>
        <w:tc>
          <w:tcPr>
            <w:tcW w:w="1701" w:type="dxa"/>
          </w:tcPr>
          <w:p w:rsidR="00B622F3" w:rsidRPr="00AD17EF" w:rsidRDefault="00B622F3" w:rsidP="00C942E2">
            <w:pPr>
              <w:spacing w:after="0"/>
              <w:rPr>
                <w:rFonts w:cs="Calibri Light"/>
                <w:sz w:val="18"/>
                <w:szCs w:val="18"/>
              </w:rPr>
            </w:pPr>
            <w:r w:rsidRPr="00AD17EF">
              <w:rPr>
                <w:rFonts w:cs="Calibri Light"/>
                <w:sz w:val="18"/>
                <w:szCs w:val="18"/>
              </w:rPr>
              <w:t>Likelihood = 2</w:t>
            </w:r>
          </w:p>
          <w:p w:rsidR="00B622F3" w:rsidRPr="00AD17EF" w:rsidRDefault="00B622F3" w:rsidP="00C942E2">
            <w:pPr>
              <w:spacing w:after="0"/>
              <w:rPr>
                <w:rFonts w:cs="Calibri Light"/>
                <w:sz w:val="18"/>
                <w:szCs w:val="18"/>
              </w:rPr>
            </w:pPr>
            <w:r w:rsidRPr="00AD17EF">
              <w:rPr>
                <w:rFonts w:cs="Calibri Light"/>
                <w:sz w:val="18"/>
                <w:szCs w:val="18"/>
              </w:rPr>
              <w:t>Impact = 3</w:t>
            </w:r>
          </w:p>
          <w:p w:rsidR="00B622F3" w:rsidRPr="00AD17EF" w:rsidRDefault="00B622F3" w:rsidP="00C942E2">
            <w:pPr>
              <w:spacing w:after="0"/>
              <w:rPr>
                <w:rFonts w:cs="Calibri Light"/>
                <w:sz w:val="18"/>
                <w:szCs w:val="18"/>
              </w:rPr>
            </w:pPr>
          </w:p>
        </w:tc>
        <w:tc>
          <w:tcPr>
            <w:tcW w:w="5529" w:type="dxa"/>
          </w:tcPr>
          <w:p w:rsidR="00B622F3" w:rsidRPr="00AD17EF" w:rsidRDefault="00B622F3" w:rsidP="009D6B25">
            <w:pPr>
              <w:numPr>
                <w:ilvl w:val="0"/>
                <w:numId w:val="9"/>
              </w:numPr>
              <w:spacing w:after="0"/>
              <w:ind w:left="317"/>
              <w:rPr>
                <w:rFonts w:cs="Calibri Light"/>
                <w:sz w:val="18"/>
                <w:szCs w:val="18"/>
              </w:rPr>
            </w:pPr>
            <w:r w:rsidRPr="00AD17EF">
              <w:rPr>
                <w:rFonts w:cs="Calibri Light"/>
                <w:sz w:val="18"/>
                <w:szCs w:val="18"/>
              </w:rPr>
              <w:t xml:space="preserve">Communication is regular, stakeholders are given clear understanding of </w:t>
            </w:r>
            <w:r w:rsidR="00253797">
              <w:rPr>
                <w:rFonts w:cs="Calibri Light"/>
                <w:sz w:val="18"/>
                <w:szCs w:val="18"/>
              </w:rPr>
              <w:t>project</w:t>
            </w:r>
            <w:r w:rsidRPr="00AD17EF">
              <w:rPr>
                <w:rFonts w:cs="Calibri Light"/>
                <w:sz w:val="18"/>
                <w:szCs w:val="18"/>
              </w:rPr>
              <w:t xml:space="preserve"> strategy</w:t>
            </w:r>
          </w:p>
        </w:tc>
        <w:tc>
          <w:tcPr>
            <w:tcW w:w="850" w:type="dxa"/>
          </w:tcPr>
          <w:p w:rsidR="00B622F3" w:rsidRPr="00AD17EF" w:rsidRDefault="00B622F3" w:rsidP="00C942E2">
            <w:pPr>
              <w:spacing w:after="0"/>
              <w:rPr>
                <w:rFonts w:cs="Calibri Light"/>
                <w:sz w:val="18"/>
                <w:szCs w:val="18"/>
              </w:rPr>
            </w:pPr>
            <w:r w:rsidRPr="00AD17EF">
              <w:rPr>
                <w:rFonts w:cs="Calibri Light"/>
                <w:sz w:val="18"/>
                <w:szCs w:val="18"/>
              </w:rPr>
              <w:t>UNDP</w:t>
            </w:r>
          </w:p>
        </w:tc>
      </w:tr>
      <w:tr w:rsidR="00B622F3" w:rsidRPr="00135431" w:rsidTr="004A563D">
        <w:tc>
          <w:tcPr>
            <w:tcW w:w="534" w:type="dxa"/>
          </w:tcPr>
          <w:p w:rsidR="00B622F3" w:rsidRPr="00AD17EF" w:rsidRDefault="00B622F3" w:rsidP="00C942E2">
            <w:pPr>
              <w:spacing w:after="0"/>
              <w:rPr>
                <w:rFonts w:cs="Calibri Light"/>
                <w:sz w:val="18"/>
                <w:szCs w:val="18"/>
              </w:rPr>
            </w:pPr>
            <w:r w:rsidRPr="00AD17EF">
              <w:rPr>
                <w:rFonts w:cs="Calibri Light"/>
                <w:sz w:val="18"/>
                <w:szCs w:val="18"/>
              </w:rPr>
              <w:t>2</w:t>
            </w:r>
          </w:p>
        </w:tc>
        <w:tc>
          <w:tcPr>
            <w:tcW w:w="4394" w:type="dxa"/>
          </w:tcPr>
          <w:p w:rsidR="00B622F3" w:rsidRPr="00AD17EF" w:rsidRDefault="00B622F3" w:rsidP="00C942E2">
            <w:pPr>
              <w:spacing w:after="0"/>
              <w:rPr>
                <w:rFonts w:cs="Calibri Light"/>
                <w:sz w:val="18"/>
                <w:szCs w:val="18"/>
              </w:rPr>
            </w:pPr>
            <w:r w:rsidRPr="00AD17EF">
              <w:rPr>
                <w:rFonts w:cs="Calibri Light"/>
                <w:sz w:val="18"/>
                <w:szCs w:val="18"/>
              </w:rPr>
              <w:t xml:space="preserve">Government partners do not prioritise or see the value of the </w:t>
            </w:r>
            <w:r w:rsidR="00253797">
              <w:rPr>
                <w:rFonts w:cs="Calibri Light"/>
                <w:sz w:val="18"/>
                <w:szCs w:val="18"/>
              </w:rPr>
              <w:t>project</w:t>
            </w:r>
            <w:r w:rsidRPr="00AD17EF">
              <w:rPr>
                <w:rFonts w:cs="Calibri Light"/>
                <w:sz w:val="18"/>
                <w:szCs w:val="18"/>
              </w:rPr>
              <w:t xml:space="preserve">   </w:t>
            </w:r>
          </w:p>
        </w:tc>
        <w:tc>
          <w:tcPr>
            <w:tcW w:w="1417" w:type="dxa"/>
          </w:tcPr>
          <w:p w:rsidR="00B622F3" w:rsidRPr="00AD17EF" w:rsidRDefault="00B622F3" w:rsidP="00C942E2">
            <w:pPr>
              <w:spacing w:after="0"/>
              <w:rPr>
                <w:rFonts w:cs="Calibri Light"/>
                <w:sz w:val="18"/>
                <w:szCs w:val="18"/>
                <w:lang w:val="en-US"/>
              </w:rPr>
            </w:pPr>
            <w:r w:rsidRPr="00AD17EF">
              <w:rPr>
                <w:rFonts w:cs="Calibri Light"/>
                <w:sz w:val="18"/>
                <w:szCs w:val="18"/>
                <w:lang w:val="en-US"/>
              </w:rPr>
              <w:t xml:space="preserve">Operational </w:t>
            </w:r>
          </w:p>
        </w:tc>
        <w:tc>
          <w:tcPr>
            <w:tcW w:w="1701" w:type="dxa"/>
          </w:tcPr>
          <w:p w:rsidR="00B622F3" w:rsidRPr="00AD17EF" w:rsidRDefault="00B622F3" w:rsidP="00C942E2">
            <w:pPr>
              <w:spacing w:after="0"/>
              <w:rPr>
                <w:rFonts w:cs="Calibri Light"/>
                <w:sz w:val="18"/>
                <w:szCs w:val="18"/>
              </w:rPr>
            </w:pPr>
            <w:r w:rsidRPr="00AD17EF">
              <w:rPr>
                <w:rFonts w:cs="Calibri Light"/>
                <w:sz w:val="18"/>
                <w:szCs w:val="18"/>
              </w:rPr>
              <w:t>Likelihood = 3</w:t>
            </w:r>
          </w:p>
          <w:p w:rsidR="00B622F3" w:rsidRPr="00AD17EF" w:rsidRDefault="00B622F3" w:rsidP="00C942E2">
            <w:pPr>
              <w:spacing w:after="0"/>
              <w:rPr>
                <w:rFonts w:cs="Calibri Light"/>
                <w:sz w:val="18"/>
                <w:szCs w:val="18"/>
              </w:rPr>
            </w:pPr>
            <w:r w:rsidRPr="00AD17EF">
              <w:rPr>
                <w:rFonts w:cs="Calibri Light"/>
                <w:sz w:val="18"/>
                <w:szCs w:val="18"/>
              </w:rPr>
              <w:t>Impact = 2</w:t>
            </w:r>
          </w:p>
        </w:tc>
        <w:tc>
          <w:tcPr>
            <w:tcW w:w="5529" w:type="dxa"/>
          </w:tcPr>
          <w:p w:rsidR="00B622F3" w:rsidRPr="00AD17EF" w:rsidRDefault="00B622F3" w:rsidP="009D6B25">
            <w:pPr>
              <w:numPr>
                <w:ilvl w:val="0"/>
                <w:numId w:val="9"/>
              </w:numPr>
              <w:spacing w:after="0"/>
              <w:ind w:left="317"/>
              <w:rPr>
                <w:rFonts w:cs="Calibri Light"/>
                <w:sz w:val="18"/>
                <w:szCs w:val="18"/>
              </w:rPr>
            </w:pPr>
            <w:r w:rsidRPr="00AD17EF">
              <w:rPr>
                <w:rFonts w:cs="Calibri Light"/>
                <w:sz w:val="18"/>
                <w:szCs w:val="18"/>
              </w:rPr>
              <w:t xml:space="preserve">Maintain close relationships with government partners and work with existing (converted) partners </w:t>
            </w:r>
          </w:p>
          <w:p w:rsidR="00B622F3" w:rsidRPr="00AD17EF" w:rsidRDefault="00B622F3" w:rsidP="009D6B25">
            <w:pPr>
              <w:numPr>
                <w:ilvl w:val="0"/>
                <w:numId w:val="9"/>
              </w:numPr>
              <w:spacing w:after="0"/>
              <w:ind w:left="317"/>
              <w:rPr>
                <w:rFonts w:cs="Calibri Light"/>
                <w:sz w:val="18"/>
                <w:szCs w:val="18"/>
              </w:rPr>
            </w:pPr>
            <w:r w:rsidRPr="00AD17EF">
              <w:rPr>
                <w:rFonts w:cs="Calibri Light"/>
                <w:sz w:val="18"/>
                <w:szCs w:val="18"/>
              </w:rPr>
              <w:t>Early research and communications</w:t>
            </w:r>
          </w:p>
          <w:p w:rsidR="00B622F3" w:rsidRPr="00AD17EF" w:rsidRDefault="00B622F3" w:rsidP="009D6B25">
            <w:pPr>
              <w:numPr>
                <w:ilvl w:val="0"/>
                <w:numId w:val="9"/>
              </w:numPr>
              <w:spacing w:after="0"/>
              <w:ind w:left="317"/>
              <w:rPr>
                <w:rFonts w:cs="Calibri Light"/>
                <w:sz w:val="18"/>
                <w:szCs w:val="18"/>
              </w:rPr>
            </w:pPr>
            <w:r w:rsidRPr="00AD17EF">
              <w:rPr>
                <w:rFonts w:cs="Calibri Light"/>
                <w:sz w:val="18"/>
                <w:szCs w:val="18"/>
              </w:rPr>
              <w:t xml:space="preserve">Ongoing communications and advocacy </w:t>
            </w:r>
          </w:p>
        </w:tc>
        <w:tc>
          <w:tcPr>
            <w:tcW w:w="850" w:type="dxa"/>
          </w:tcPr>
          <w:p w:rsidR="00B622F3" w:rsidRPr="00AD17EF" w:rsidRDefault="00B622F3" w:rsidP="00C942E2">
            <w:pPr>
              <w:spacing w:after="0"/>
              <w:rPr>
                <w:rFonts w:cs="Calibri Light"/>
                <w:sz w:val="18"/>
                <w:szCs w:val="18"/>
              </w:rPr>
            </w:pPr>
            <w:r w:rsidRPr="00AD17EF">
              <w:rPr>
                <w:rFonts w:cs="Calibri Light"/>
                <w:sz w:val="18"/>
                <w:szCs w:val="18"/>
              </w:rPr>
              <w:t>UNDP</w:t>
            </w:r>
          </w:p>
        </w:tc>
      </w:tr>
      <w:tr w:rsidR="00B622F3" w:rsidRPr="00135431" w:rsidTr="004A563D">
        <w:tc>
          <w:tcPr>
            <w:tcW w:w="534" w:type="dxa"/>
          </w:tcPr>
          <w:p w:rsidR="00B622F3" w:rsidRPr="00AD17EF" w:rsidRDefault="00B622F3" w:rsidP="00C942E2">
            <w:pPr>
              <w:spacing w:after="0"/>
              <w:rPr>
                <w:rFonts w:cs="Calibri Light"/>
                <w:sz w:val="18"/>
                <w:szCs w:val="18"/>
              </w:rPr>
            </w:pPr>
            <w:r w:rsidRPr="00AD17EF">
              <w:rPr>
                <w:rFonts w:cs="Calibri Light"/>
                <w:sz w:val="18"/>
                <w:szCs w:val="18"/>
              </w:rPr>
              <w:t>3</w:t>
            </w:r>
          </w:p>
        </w:tc>
        <w:tc>
          <w:tcPr>
            <w:tcW w:w="4394" w:type="dxa"/>
          </w:tcPr>
          <w:p w:rsidR="00B622F3" w:rsidRPr="00AD17EF" w:rsidRDefault="00B622F3" w:rsidP="00C942E2">
            <w:pPr>
              <w:spacing w:after="0"/>
              <w:rPr>
                <w:rFonts w:cs="Calibri Light"/>
                <w:sz w:val="18"/>
                <w:szCs w:val="18"/>
              </w:rPr>
            </w:pPr>
            <w:r w:rsidRPr="00AD17EF">
              <w:rPr>
                <w:rFonts w:cs="Calibri Light"/>
                <w:sz w:val="18"/>
                <w:szCs w:val="18"/>
              </w:rPr>
              <w:t xml:space="preserve">The </w:t>
            </w:r>
            <w:r w:rsidR="00253797">
              <w:rPr>
                <w:rFonts w:cs="Calibri Light"/>
                <w:sz w:val="18"/>
                <w:szCs w:val="18"/>
              </w:rPr>
              <w:t>project</w:t>
            </w:r>
            <w:r w:rsidRPr="00AD17EF">
              <w:rPr>
                <w:rFonts w:cs="Calibri Light"/>
                <w:sz w:val="18"/>
                <w:szCs w:val="18"/>
              </w:rPr>
              <w:t xml:space="preserve"> won’t get traction as </w:t>
            </w:r>
            <w:r w:rsidR="00895613">
              <w:rPr>
                <w:rFonts w:cs="Calibri Light"/>
                <w:sz w:val="18"/>
                <w:szCs w:val="18"/>
              </w:rPr>
              <w:t>it does</w:t>
            </w:r>
            <w:r w:rsidR="006D1693">
              <w:rPr>
                <w:rFonts w:cs="Calibri Light"/>
                <w:sz w:val="18"/>
                <w:szCs w:val="18"/>
              </w:rPr>
              <w:t xml:space="preserve"> not</w:t>
            </w:r>
            <w:r w:rsidRPr="00AD17EF">
              <w:rPr>
                <w:rFonts w:cs="Calibri Light"/>
                <w:sz w:val="18"/>
                <w:szCs w:val="18"/>
              </w:rPr>
              <w:t xml:space="preserve"> have extensive experience in PFM and oversight </w:t>
            </w:r>
          </w:p>
        </w:tc>
        <w:tc>
          <w:tcPr>
            <w:tcW w:w="1417" w:type="dxa"/>
          </w:tcPr>
          <w:p w:rsidR="00B622F3" w:rsidRPr="00AD17EF" w:rsidRDefault="00B622F3" w:rsidP="00C942E2">
            <w:pPr>
              <w:spacing w:after="0"/>
              <w:rPr>
                <w:rFonts w:cs="Calibri Light"/>
                <w:sz w:val="18"/>
                <w:szCs w:val="18"/>
                <w:lang w:val="en-US"/>
              </w:rPr>
            </w:pPr>
            <w:r w:rsidRPr="00AD17EF">
              <w:rPr>
                <w:rFonts w:cs="Calibri Light"/>
                <w:sz w:val="18"/>
                <w:szCs w:val="18"/>
                <w:lang w:val="en-US"/>
              </w:rPr>
              <w:t xml:space="preserve">Operational </w:t>
            </w:r>
          </w:p>
        </w:tc>
        <w:tc>
          <w:tcPr>
            <w:tcW w:w="1701" w:type="dxa"/>
          </w:tcPr>
          <w:p w:rsidR="00B622F3" w:rsidRPr="00AD17EF" w:rsidRDefault="00B622F3" w:rsidP="00C942E2">
            <w:pPr>
              <w:spacing w:after="0"/>
              <w:rPr>
                <w:rFonts w:cs="Calibri Light"/>
                <w:sz w:val="18"/>
                <w:szCs w:val="18"/>
              </w:rPr>
            </w:pPr>
            <w:r w:rsidRPr="00AD17EF">
              <w:rPr>
                <w:rFonts w:cs="Calibri Light"/>
                <w:sz w:val="18"/>
                <w:szCs w:val="18"/>
              </w:rPr>
              <w:t>Likelihood = 2</w:t>
            </w:r>
          </w:p>
          <w:p w:rsidR="00B622F3" w:rsidRPr="00AD17EF" w:rsidRDefault="00B622F3" w:rsidP="00C942E2">
            <w:pPr>
              <w:spacing w:after="0"/>
              <w:rPr>
                <w:rFonts w:cs="Calibri Light"/>
                <w:sz w:val="18"/>
                <w:szCs w:val="18"/>
              </w:rPr>
            </w:pPr>
            <w:r w:rsidRPr="00AD17EF">
              <w:rPr>
                <w:rFonts w:cs="Calibri Light"/>
                <w:sz w:val="18"/>
                <w:szCs w:val="18"/>
              </w:rPr>
              <w:t>Impact = 2</w:t>
            </w:r>
          </w:p>
        </w:tc>
        <w:tc>
          <w:tcPr>
            <w:tcW w:w="5529" w:type="dxa"/>
          </w:tcPr>
          <w:p w:rsidR="00E375A2" w:rsidRPr="00E375A2" w:rsidRDefault="00E375A2" w:rsidP="009D6B25">
            <w:pPr>
              <w:numPr>
                <w:ilvl w:val="0"/>
                <w:numId w:val="9"/>
              </w:numPr>
              <w:spacing w:after="0"/>
              <w:ind w:left="317"/>
              <w:rPr>
                <w:rFonts w:cs="Calibri Light"/>
                <w:sz w:val="18"/>
                <w:szCs w:val="18"/>
              </w:rPr>
            </w:pPr>
            <w:r>
              <w:rPr>
                <w:rFonts w:cs="Calibri Light"/>
                <w:sz w:val="18"/>
                <w:szCs w:val="18"/>
              </w:rPr>
              <w:t>Work closely with and through existing UNDP governance and parliamentary teams in Pacific Office and Bangkok, who have relationships with key stakeholders</w:t>
            </w:r>
          </w:p>
        </w:tc>
        <w:tc>
          <w:tcPr>
            <w:tcW w:w="850" w:type="dxa"/>
          </w:tcPr>
          <w:p w:rsidR="00B622F3" w:rsidRPr="00AD17EF" w:rsidRDefault="00B622F3" w:rsidP="00C942E2">
            <w:pPr>
              <w:spacing w:after="0"/>
              <w:rPr>
                <w:rFonts w:cs="Calibri Light"/>
                <w:sz w:val="18"/>
                <w:szCs w:val="18"/>
              </w:rPr>
            </w:pPr>
            <w:r w:rsidRPr="00AD17EF">
              <w:rPr>
                <w:rFonts w:cs="Calibri Light"/>
                <w:sz w:val="18"/>
                <w:szCs w:val="18"/>
              </w:rPr>
              <w:t>UNDP</w:t>
            </w:r>
          </w:p>
        </w:tc>
      </w:tr>
      <w:tr w:rsidR="00B622F3" w:rsidRPr="00135431" w:rsidTr="004A563D">
        <w:tc>
          <w:tcPr>
            <w:tcW w:w="534" w:type="dxa"/>
          </w:tcPr>
          <w:p w:rsidR="00B622F3" w:rsidRPr="00AD17EF" w:rsidRDefault="00B622F3" w:rsidP="00C942E2">
            <w:pPr>
              <w:spacing w:after="0"/>
              <w:rPr>
                <w:rFonts w:cs="Calibri Light"/>
                <w:sz w:val="18"/>
                <w:szCs w:val="18"/>
              </w:rPr>
            </w:pPr>
            <w:r w:rsidRPr="00AD17EF">
              <w:rPr>
                <w:rFonts w:cs="Calibri Light"/>
                <w:sz w:val="18"/>
                <w:szCs w:val="18"/>
              </w:rPr>
              <w:t>4</w:t>
            </w:r>
          </w:p>
        </w:tc>
        <w:tc>
          <w:tcPr>
            <w:tcW w:w="4394" w:type="dxa"/>
          </w:tcPr>
          <w:p w:rsidR="00B622F3" w:rsidRPr="00AD17EF" w:rsidRDefault="00B622F3" w:rsidP="00C942E2">
            <w:pPr>
              <w:spacing w:after="0"/>
              <w:rPr>
                <w:rFonts w:cs="Calibri Light"/>
                <w:sz w:val="18"/>
                <w:szCs w:val="18"/>
              </w:rPr>
            </w:pPr>
            <w:r w:rsidRPr="00AD17EF">
              <w:rPr>
                <w:rFonts w:cs="Calibri Light"/>
                <w:sz w:val="18"/>
                <w:szCs w:val="18"/>
              </w:rPr>
              <w:t xml:space="preserve">Government systems aren’t able to influence development </w:t>
            </w:r>
          </w:p>
        </w:tc>
        <w:tc>
          <w:tcPr>
            <w:tcW w:w="1417" w:type="dxa"/>
          </w:tcPr>
          <w:p w:rsidR="00B622F3" w:rsidRPr="00AD17EF" w:rsidRDefault="00B622F3" w:rsidP="00C942E2">
            <w:pPr>
              <w:spacing w:after="0"/>
              <w:rPr>
                <w:rFonts w:cs="Calibri Light"/>
                <w:sz w:val="18"/>
                <w:szCs w:val="18"/>
                <w:lang w:val="en-US"/>
              </w:rPr>
            </w:pPr>
            <w:r w:rsidRPr="00AD17EF">
              <w:rPr>
                <w:rFonts w:cs="Calibri Light"/>
                <w:sz w:val="18"/>
                <w:szCs w:val="18"/>
                <w:lang w:val="en-US"/>
              </w:rPr>
              <w:t xml:space="preserve">Operational </w:t>
            </w:r>
          </w:p>
        </w:tc>
        <w:tc>
          <w:tcPr>
            <w:tcW w:w="1701" w:type="dxa"/>
          </w:tcPr>
          <w:p w:rsidR="00B622F3" w:rsidRPr="00AD17EF" w:rsidRDefault="00B622F3" w:rsidP="00C942E2">
            <w:pPr>
              <w:spacing w:after="0"/>
              <w:rPr>
                <w:rFonts w:cs="Calibri Light"/>
                <w:sz w:val="18"/>
                <w:szCs w:val="18"/>
              </w:rPr>
            </w:pPr>
            <w:r w:rsidRPr="00AD17EF">
              <w:rPr>
                <w:rFonts w:cs="Calibri Light"/>
                <w:sz w:val="18"/>
                <w:szCs w:val="18"/>
              </w:rPr>
              <w:t>Likelihood = 1</w:t>
            </w:r>
          </w:p>
          <w:p w:rsidR="00B622F3" w:rsidRPr="00AD17EF" w:rsidRDefault="00B622F3" w:rsidP="00C942E2">
            <w:pPr>
              <w:spacing w:after="0"/>
              <w:rPr>
                <w:rFonts w:cs="Calibri Light"/>
                <w:sz w:val="18"/>
                <w:szCs w:val="18"/>
              </w:rPr>
            </w:pPr>
            <w:r w:rsidRPr="00AD17EF">
              <w:rPr>
                <w:rFonts w:cs="Calibri Light"/>
                <w:sz w:val="18"/>
                <w:szCs w:val="18"/>
              </w:rPr>
              <w:t>Impact = 4</w:t>
            </w:r>
          </w:p>
        </w:tc>
        <w:tc>
          <w:tcPr>
            <w:tcW w:w="5529" w:type="dxa"/>
          </w:tcPr>
          <w:p w:rsidR="00B622F3" w:rsidRPr="00AD17EF" w:rsidRDefault="00B622F3" w:rsidP="009D6B25">
            <w:pPr>
              <w:numPr>
                <w:ilvl w:val="0"/>
                <w:numId w:val="9"/>
              </w:numPr>
              <w:spacing w:after="0"/>
              <w:ind w:left="317"/>
              <w:rPr>
                <w:rFonts w:cs="Calibri Light"/>
                <w:sz w:val="18"/>
                <w:szCs w:val="18"/>
              </w:rPr>
            </w:pPr>
            <w:r w:rsidRPr="00AD17EF">
              <w:rPr>
                <w:rFonts w:cs="Calibri Light"/>
                <w:sz w:val="18"/>
                <w:szCs w:val="18"/>
              </w:rPr>
              <w:t xml:space="preserve">Risk has been included as a key assumption which the </w:t>
            </w:r>
            <w:r w:rsidR="00253797">
              <w:rPr>
                <w:rFonts w:cs="Calibri Light"/>
                <w:sz w:val="18"/>
                <w:szCs w:val="18"/>
              </w:rPr>
              <w:t>project</w:t>
            </w:r>
            <w:r w:rsidRPr="00AD17EF">
              <w:rPr>
                <w:rFonts w:cs="Calibri Light"/>
                <w:sz w:val="18"/>
                <w:szCs w:val="18"/>
              </w:rPr>
              <w:t xml:space="preserve"> team will monitor on a </w:t>
            </w:r>
            <w:r w:rsidR="00E375A2" w:rsidRPr="00AD17EF">
              <w:rPr>
                <w:rFonts w:cs="Calibri Light"/>
                <w:sz w:val="18"/>
                <w:szCs w:val="18"/>
              </w:rPr>
              <w:t>6-monthly</w:t>
            </w:r>
            <w:r w:rsidRPr="00AD17EF">
              <w:rPr>
                <w:rFonts w:cs="Calibri Light"/>
                <w:sz w:val="18"/>
                <w:szCs w:val="18"/>
              </w:rPr>
              <w:t xml:space="preserve"> basis</w:t>
            </w:r>
          </w:p>
        </w:tc>
        <w:tc>
          <w:tcPr>
            <w:tcW w:w="850" w:type="dxa"/>
          </w:tcPr>
          <w:p w:rsidR="00B622F3" w:rsidRPr="00AD17EF" w:rsidRDefault="00B622F3" w:rsidP="00C942E2">
            <w:pPr>
              <w:spacing w:after="0"/>
              <w:rPr>
                <w:rFonts w:cs="Calibri Light"/>
                <w:sz w:val="18"/>
                <w:szCs w:val="18"/>
              </w:rPr>
            </w:pPr>
            <w:r w:rsidRPr="00AD17EF">
              <w:rPr>
                <w:rFonts w:cs="Calibri Light"/>
                <w:sz w:val="18"/>
                <w:szCs w:val="18"/>
              </w:rPr>
              <w:t>UNDP</w:t>
            </w:r>
          </w:p>
        </w:tc>
      </w:tr>
      <w:tr w:rsidR="00B622F3" w:rsidRPr="00135431" w:rsidTr="004A563D">
        <w:tc>
          <w:tcPr>
            <w:tcW w:w="534" w:type="dxa"/>
          </w:tcPr>
          <w:p w:rsidR="00B622F3" w:rsidRPr="00AD17EF" w:rsidRDefault="00B622F3" w:rsidP="00C942E2">
            <w:pPr>
              <w:spacing w:after="0"/>
              <w:rPr>
                <w:rFonts w:cs="Calibri Light"/>
                <w:sz w:val="18"/>
                <w:szCs w:val="18"/>
              </w:rPr>
            </w:pPr>
            <w:r w:rsidRPr="00AD17EF">
              <w:rPr>
                <w:rFonts w:cs="Calibri Light"/>
                <w:sz w:val="18"/>
                <w:szCs w:val="18"/>
              </w:rPr>
              <w:t>5</w:t>
            </w:r>
          </w:p>
        </w:tc>
        <w:tc>
          <w:tcPr>
            <w:tcW w:w="4394" w:type="dxa"/>
          </w:tcPr>
          <w:p w:rsidR="00B622F3" w:rsidRPr="00AD17EF" w:rsidRDefault="00B622F3" w:rsidP="00C942E2">
            <w:pPr>
              <w:spacing w:after="0"/>
              <w:rPr>
                <w:rFonts w:cs="Calibri Light"/>
                <w:sz w:val="18"/>
                <w:szCs w:val="18"/>
              </w:rPr>
            </w:pPr>
            <w:r w:rsidRPr="00AD17EF">
              <w:rPr>
                <w:rFonts w:cs="Calibri Light"/>
                <w:sz w:val="18"/>
                <w:szCs w:val="18"/>
              </w:rPr>
              <w:t>Risk of duplication as a result of operating in a crowded climate change space</w:t>
            </w:r>
          </w:p>
        </w:tc>
        <w:tc>
          <w:tcPr>
            <w:tcW w:w="1417" w:type="dxa"/>
          </w:tcPr>
          <w:p w:rsidR="00B622F3" w:rsidRPr="00AD17EF" w:rsidRDefault="00B622F3" w:rsidP="00C942E2">
            <w:pPr>
              <w:spacing w:after="0"/>
              <w:rPr>
                <w:rFonts w:cs="Calibri Light"/>
                <w:sz w:val="18"/>
                <w:szCs w:val="18"/>
                <w:lang w:val="en-US"/>
              </w:rPr>
            </w:pPr>
            <w:r w:rsidRPr="00AD17EF">
              <w:rPr>
                <w:rFonts w:cs="Calibri Light"/>
                <w:sz w:val="18"/>
                <w:szCs w:val="18"/>
                <w:lang w:val="en-US"/>
              </w:rPr>
              <w:t>Strategic</w:t>
            </w:r>
          </w:p>
        </w:tc>
        <w:tc>
          <w:tcPr>
            <w:tcW w:w="1701" w:type="dxa"/>
          </w:tcPr>
          <w:p w:rsidR="00B622F3" w:rsidRPr="00AD17EF" w:rsidRDefault="00B622F3" w:rsidP="00C942E2">
            <w:pPr>
              <w:spacing w:after="0"/>
              <w:rPr>
                <w:rFonts w:cs="Calibri Light"/>
                <w:sz w:val="18"/>
                <w:szCs w:val="18"/>
              </w:rPr>
            </w:pPr>
            <w:r w:rsidRPr="00AD17EF">
              <w:rPr>
                <w:rFonts w:cs="Calibri Light"/>
                <w:sz w:val="18"/>
                <w:szCs w:val="18"/>
              </w:rPr>
              <w:t xml:space="preserve">Likelihood = </w:t>
            </w:r>
          </w:p>
          <w:p w:rsidR="00B622F3" w:rsidRPr="00AD17EF" w:rsidRDefault="00B622F3" w:rsidP="00C942E2">
            <w:pPr>
              <w:spacing w:after="0"/>
              <w:rPr>
                <w:rFonts w:cs="Calibri Light"/>
                <w:sz w:val="18"/>
                <w:szCs w:val="18"/>
              </w:rPr>
            </w:pPr>
            <w:r w:rsidRPr="00AD17EF">
              <w:rPr>
                <w:rFonts w:cs="Calibri Light"/>
                <w:sz w:val="18"/>
                <w:szCs w:val="18"/>
              </w:rPr>
              <w:t xml:space="preserve">Impact = </w:t>
            </w:r>
          </w:p>
        </w:tc>
        <w:tc>
          <w:tcPr>
            <w:tcW w:w="5529" w:type="dxa"/>
          </w:tcPr>
          <w:p w:rsidR="00B622F3" w:rsidRPr="00AD17EF" w:rsidRDefault="00B622F3" w:rsidP="009D6B25">
            <w:pPr>
              <w:numPr>
                <w:ilvl w:val="0"/>
                <w:numId w:val="9"/>
              </w:numPr>
              <w:spacing w:after="0"/>
              <w:ind w:left="317"/>
              <w:rPr>
                <w:rFonts w:cs="Calibri Light"/>
                <w:sz w:val="18"/>
                <w:szCs w:val="18"/>
              </w:rPr>
            </w:pPr>
            <w:r w:rsidRPr="00AD17EF">
              <w:rPr>
                <w:rFonts w:cs="Calibri Light"/>
                <w:sz w:val="18"/>
                <w:szCs w:val="18"/>
              </w:rPr>
              <w:t xml:space="preserve">Highlight niche role this </w:t>
            </w:r>
            <w:proofErr w:type="gramStart"/>
            <w:r w:rsidR="008251B7">
              <w:rPr>
                <w:rFonts w:cs="Calibri Light"/>
                <w:sz w:val="18"/>
                <w:szCs w:val="18"/>
              </w:rPr>
              <w:t>GRDP</w:t>
            </w:r>
            <w:r w:rsidR="00662DA7" w:rsidRPr="00AD17EF">
              <w:rPr>
                <w:rFonts w:cs="Calibri Light"/>
                <w:sz w:val="18"/>
                <w:szCs w:val="18"/>
              </w:rPr>
              <w:t xml:space="preserve"> </w:t>
            </w:r>
            <w:r w:rsidRPr="00AD17EF">
              <w:rPr>
                <w:rFonts w:cs="Calibri Light"/>
                <w:sz w:val="18"/>
                <w:szCs w:val="18"/>
              </w:rPr>
              <w:t xml:space="preserve"> and</w:t>
            </w:r>
            <w:proofErr w:type="gramEnd"/>
            <w:r w:rsidRPr="00AD17EF">
              <w:rPr>
                <w:rFonts w:cs="Calibri Light"/>
                <w:sz w:val="18"/>
                <w:szCs w:val="18"/>
              </w:rPr>
              <w:t xml:space="preserve"> APCP can play in connecting </w:t>
            </w:r>
            <w:r w:rsidR="00253797">
              <w:rPr>
                <w:rFonts w:cs="Calibri Light"/>
                <w:sz w:val="18"/>
                <w:szCs w:val="18"/>
              </w:rPr>
              <w:t>project</w:t>
            </w:r>
            <w:r w:rsidRPr="00AD17EF">
              <w:rPr>
                <w:rFonts w:cs="Calibri Light"/>
                <w:sz w:val="18"/>
                <w:szCs w:val="18"/>
              </w:rPr>
              <w:t>s and partners</w:t>
            </w:r>
          </w:p>
          <w:p w:rsidR="00B622F3" w:rsidRPr="00AD17EF" w:rsidRDefault="00B622F3" w:rsidP="009D6B25">
            <w:pPr>
              <w:numPr>
                <w:ilvl w:val="0"/>
                <w:numId w:val="9"/>
              </w:numPr>
              <w:spacing w:after="0"/>
              <w:ind w:left="317"/>
              <w:rPr>
                <w:rFonts w:cs="Calibri Light"/>
                <w:sz w:val="18"/>
                <w:szCs w:val="18"/>
              </w:rPr>
            </w:pPr>
            <w:r w:rsidRPr="00AD17EF">
              <w:rPr>
                <w:rFonts w:cs="Calibri Light"/>
                <w:sz w:val="18"/>
                <w:szCs w:val="18"/>
              </w:rPr>
              <w:t xml:space="preserve">Joint missions coordinated with/through CROP agencies </w:t>
            </w:r>
          </w:p>
          <w:p w:rsidR="00B622F3" w:rsidRPr="00AD17EF" w:rsidRDefault="00B622F3" w:rsidP="009D6B25">
            <w:pPr>
              <w:numPr>
                <w:ilvl w:val="0"/>
                <w:numId w:val="9"/>
              </w:numPr>
              <w:spacing w:after="0"/>
              <w:ind w:left="317"/>
              <w:rPr>
                <w:rFonts w:cs="Calibri Light"/>
                <w:sz w:val="18"/>
                <w:szCs w:val="18"/>
              </w:rPr>
            </w:pPr>
            <w:r w:rsidRPr="00AD17EF">
              <w:rPr>
                <w:rFonts w:cs="Calibri Light"/>
                <w:sz w:val="18"/>
                <w:szCs w:val="18"/>
              </w:rPr>
              <w:t xml:space="preserve">Regular communications with wide range government and partner of partners </w:t>
            </w:r>
          </w:p>
        </w:tc>
        <w:tc>
          <w:tcPr>
            <w:tcW w:w="850" w:type="dxa"/>
          </w:tcPr>
          <w:p w:rsidR="00B622F3" w:rsidRPr="00AD17EF" w:rsidRDefault="00B622F3" w:rsidP="00C942E2">
            <w:pPr>
              <w:spacing w:after="0"/>
              <w:rPr>
                <w:rFonts w:cs="Calibri Light"/>
                <w:sz w:val="18"/>
                <w:szCs w:val="18"/>
              </w:rPr>
            </w:pPr>
            <w:r w:rsidRPr="00AD17EF">
              <w:rPr>
                <w:rFonts w:cs="Calibri Light"/>
                <w:sz w:val="18"/>
                <w:szCs w:val="18"/>
              </w:rPr>
              <w:t>UNDP</w:t>
            </w:r>
          </w:p>
        </w:tc>
      </w:tr>
      <w:tr w:rsidR="00B622F3" w:rsidRPr="00135431" w:rsidTr="004A563D">
        <w:tc>
          <w:tcPr>
            <w:tcW w:w="534" w:type="dxa"/>
          </w:tcPr>
          <w:p w:rsidR="00B622F3" w:rsidRPr="00AD17EF" w:rsidRDefault="00B622F3" w:rsidP="00C942E2">
            <w:pPr>
              <w:spacing w:after="0"/>
              <w:rPr>
                <w:rFonts w:cs="Calibri Light"/>
                <w:sz w:val="18"/>
                <w:szCs w:val="18"/>
              </w:rPr>
            </w:pPr>
            <w:r w:rsidRPr="00AD17EF">
              <w:rPr>
                <w:rFonts w:cs="Calibri Light"/>
                <w:sz w:val="18"/>
                <w:szCs w:val="18"/>
              </w:rPr>
              <w:t>6</w:t>
            </w:r>
          </w:p>
        </w:tc>
        <w:tc>
          <w:tcPr>
            <w:tcW w:w="4394" w:type="dxa"/>
          </w:tcPr>
          <w:p w:rsidR="00B622F3" w:rsidRPr="00AD17EF" w:rsidRDefault="00B622F3" w:rsidP="00C942E2">
            <w:pPr>
              <w:spacing w:after="0"/>
              <w:rPr>
                <w:rFonts w:cs="Calibri Light"/>
                <w:sz w:val="18"/>
                <w:szCs w:val="18"/>
              </w:rPr>
            </w:pPr>
            <w:r w:rsidRPr="00AD17EF">
              <w:rPr>
                <w:rFonts w:cs="Calibri Light"/>
                <w:sz w:val="18"/>
                <w:szCs w:val="18"/>
              </w:rPr>
              <w:t>Governments are consumed with other developmental/ political challenges (e.g. coup, disaster)</w:t>
            </w:r>
          </w:p>
        </w:tc>
        <w:tc>
          <w:tcPr>
            <w:tcW w:w="1417" w:type="dxa"/>
          </w:tcPr>
          <w:p w:rsidR="00B622F3" w:rsidRPr="00AD17EF" w:rsidRDefault="00B622F3" w:rsidP="00C942E2">
            <w:pPr>
              <w:spacing w:after="0"/>
              <w:rPr>
                <w:rFonts w:cs="Calibri Light"/>
                <w:sz w:val="18"/>
                <w:szCs w:val="18"/>
                <w:lang w:val="en-US"/>
              </w:rPr>
            </w:pPr>
            <w:r w:rsidRPr="00AD17EF">
              <w:rPr>
                <w:rFonts w:cs="Calibri Light"/>
                <w:sz w:val="18"/>
                <w:szCs w:val="18"/>
                <w:lang w:val="en-US"/>
              </w:rPr>
              <w:t xml:space="preserve">Social &amp; environmental </w:t>
            </w:r>
          </w:p>
        </w:tc>
        <w:tc>
          <w:tcPr>
            <w:tcW w:w="1701" w:type="dxa"/>
          </w:tcPr>
          <w:p w:rsidR="00B622F3" w:rsidRPr="00AD17EF" w:rsidRDefault="00B622F3" w:rsidP="00C942E2">
            <w:pPr>
              <w:spacing w:after="0"/>
              <w:rPr>
                <w:rFonts w:cs="Calibri Light"/>
                <w:sz w:val="18"/>
                <w:szCs w:val="18"/>
              </w:rPr>
            </w:pPr>
            <w:r w:rsidRPr="00AD17EF">
              <w:rPr>
                <w:rFonts w:cs="Calibri Light"/>
                <w:sz w:val="18"/>
                <w:szCs w:val="18"/>
              </w:rPr>
              <w:t>Likelihood = 3</w:t>
            </w:r>
          </w:p>
          <w:p w:rsidR="00B622F3" w:rsidRPr="00AD17EF" w:rsidRDefault="00B622F3" w:rsidP="00C942E2">
            <w:pPr>
              <w:spacing w:after="0"/>
              <w:rPr>
                <w:rFonts w:cs="Calibri Light"/>
                <w:sz w:val="18"/>
                <w:szCs w:val="18"/>
              </w:rPr>
            </w:pPr>
            <w:r w:rsidRPr="00AD17EF">
              <w:rPr>
                <w:rFonts w:cs="Calibri Light"/>
                <w:sz w:val="18"/>
                <w:szCs w:val="18"/>
              </w:rPr>
              <w:t>Impact = 3</w:t>
            </w:r>
          </w:p>
        </w:tc>
        <w:tc>
          <w:tcPr>
            <w:tcW w:w="5529" w:type="dxa"/>
          </w:tcPr>
          <w:p w:rsidR="00B622F3" w:rsidRPr="00AD17EF" w:rsidRDefault="00B622F3" w:rsidP="009D6B25">
            <w:pPr>
              <w:numPr>
                <w:ilvl w:val="0"/>
                <w:numId w:val="9"/>
              </w:numPr>
              <w:spacing w:after="0"/>
              <w:ind w:left="317"/>
              <w:rPr>
                <w:rFonts w:cs="Calibri Light"/>
                <w:sz w:val="18"/>
                <w:szCs w:val="18"/>
              </w:rPr>
            </w:pPr>
            <w:r w:rsidRPr="00AD17EF">
              <w:rPr>
                <w:rFonts w:cs="Calibri Light"/>
                <w:sz w:val="18"/>
                <w:szCs w:val="18"/>
              </w:rPr>
              <w:t>Maintain strong partnerships with government, other donors and regional agents</w:t>
            </w:r>
          </w:p>
          <w:p w:rsidR="00B622F3" w:rsidRPr="00AD17EF" w:rsidRDefault="00B622F3" w:rsidP="009D6B25">
            <w:pPr>
              <w:numPr>
                <w:ilvl w:val="0"/>
                <w:numId w:val="9"/>
              </w:numPr>
              <w:spacing w:after="0"/>
              <w:ind w:left="317"/>
              <w:rPr>
                <w:rFonts w:cs="Calibri Light"/>
                <w:sz w:val="18"/>
                <w:szCs w:val="18"/>
              </w:rPr>
            </w:pPr>
            <w:r w:rsidRPr="00AD17EF">
              <w:rPr>
                <w:rFonts w:cs="Calibri Light"/>
                <w:sz w:val="18"/>
                <w:szCs w:val="18"/>
              </w:rPr>
              <w:t xml:space="preserve">Work through Outcome 2 on oversight will assist </w:t>
            </w:r>
          </w:p>
        </w:tc>
        <w:tc>
          <w:tcPr>
            <w:tcW w:w="850" w:type="dxa"/>
          </w:tcPr>
          <w:p w:rsidR="00B622F3" w:rsidRPr="00AD17EF" w:rsidRDefault="00B622F3" w:rsidP="00C942E2">
            <w:pPr>
              <w:spacing w:after="0"/>
              <w:rPr>
                <w:rFonts w:cs="Calibri Light"/>
                <w:sz w:val="18"/>
                <w:szCs w:val="18"/>
              </w:rPr>
            </w:pPr>
            <w:r w:rsidRPr="00AD17EF">
              <w:rPr>
                <w:rFonts w:cs="Calibri Light"/>
                <w:sz w:val="18"/>
                <w:szCs w:val="18"/>
              </w:rPr>
              <w:t>UNDP</w:t>
            </w:r>
          </w:p>
        </w:tc>
      </w:tr>
      <w:tr w:rsidR="00B622F3" w:rsidRPr="00135431" w:rsidTr="004A563D">
        <w:tc>
          <w:tcPr>
            <w:tcW w:w="534" w:type="dxa"/>
          </w:tcPr>
          <w:p w:rsidR="00B622F3" w:rsidRPr="00AD17EF" w:rsidRDefault="00B622F3" w:rsidP="00C942E2">
            <w:pPr>
              <w:spacing w:after="0"/>
              <w:rPr>
                <w:rFonts w:cs="Calibri Light"/>
                <w:sz w:val="18"/>
                <w:szCs w:val="18"/>
              </w:rPr>
            </w:pPr>
            <w:r w:rsidRPr="00AD17EF">
              <w:rPr>
                <w:rFonts w:cs="Calibri Light"/>
                <w:sz w:val="18"/>
                <w:szCs w:val="18"/>
              </w:rPr>
              <w:t>7</w:t>
            </w:r>
          </w:p>
        </w:tc>
        <w:tc>
          <w:tcPr>
            <w:tcW w:w="4394" w:type="dxa"/>
          </w:tcPr>
          <w:p w:rsidR="00B622F3" w:rsidRPr="00AD17EF" w:rsidRDefault="00B622F3" w:rsidP="00C942E2">
            <w:pPr>
              <w:spacing w:after="0"/>
              <w:rPr>
                <w:rFonts w:cs="Calibri Light"/>
                <w:sz w:val="18"/>
                <w:szCs w:val="18"/>
              </w:rPr>
            </w:pPr>
            <w:r w:rsidRPr="00AD17EF">
              <w:rPr>
                <w:rFonts w:cs="Calibri Light"/>
                <w:sz w:val="18"/>
                <w:szCs w:val="18"/>
              </w:rPr>
              <w:t>Fiduciary risk of fraud</w:t>
            </w:r>
          </w:p>
        </w:tc>
        <w:tc>
          <w:tcPr>
            <w:tcW w:w="1417" w:type="dxa"/>
          </w:tcPr>
          <w:p w:rsidR="00B622F3" w:rsidRPr="00AD17EF" w:rsidRDefault="00B622F3" w:rsidP="00C942E2">
            <w:pPr>
              <w:spacing w:after="0"/>
              <w:rPr>
                <w:rFonts w:cs="Calibri Light"/>
                <w:sz w:val="18"/>
                <w:szCs w:val="18"/>
                <w:lang w:val="en-US"/>
              </w:rPr>
            </w:pPr>
            <w:r w:rsidRPr="00AD17EF">
              <w:rPr>
                <w:rFonts w:cs="Calibri Light"/>
                <w:sz w:val="18"/>
                <w:szCs w:val="18"/>
                <w:lang w:val="en-US"/>
              </w:rPr>
              <w:t xml:space="preserve">Financial </w:t>
            </w:r>
          </w:p>
        </w:tc>
        <w:tc>
          <w:tcPr>
            <w:tcW w:w="1701" w:type="dxa"/>
          </w:tcPr>
          <w:p w:rsidR="00B622F3" w:rsidRPr="00AD17EF" w:rsidRDefault="00B622F3" w:rsidP="00C942E2">
            <w:pPr>
              <w:spacing w:after="0"/>
              <w:rPr>
                <w:rFonts w:cs="Calibri Light"/>
                <w:sz w:val="18"/>
                <w:szCs w:val="18"/>
              </w:rPr>
            </w:pPr>
            <w:r w:rsidRPr="00AD17EF">
              <w:rPr>
                <w:rFonts w:cs="Calibri Light"/>
                <w:sz w:val="18"/>
                <w:szCs w:val="18"/>
              </w:rPr>
              <w:t>Likelihood = 1</w:t>
            </w:r>
          </w:p>
          <w:p w:rsidR="00B622F3" w:rsidRPr="00AD17EF" w:rsidRDefault="00B622F3" w:rsidP="00C942E2">
            <w:pPr>
              <w:spacing w:after="0"/>
              <w:rPr>
                <w:rFonts w:cs="Calibri Light"/>
                <w:sz w:val="18"/>
                <w:szCs w:val="18"/>
              </w:rPr>
            </w:pPr>
            <w:r w:rsidRPr="00AD17EF">
              <w:rPr>
                <w:rFonts w:cs="Calibri Light"/>
                <w:sz w:val="18"/>
                <w:szCs w:val="18"/>
              </w:rPr>
              <w:t>Impact = 4</w:t>
            </w:r>
          </w:p>
        </w:tc>
        <w:tc>
          <w:tcPr>
            <w:tcW w:w="5529" w:type="dxa"/>
          </w:tcPr>
          <w:p w:rsidR="00B622F3" w:rsidRPr="00AD17EF" w:rsidRDefault="00B622F3" w:rsidP="009D6B25">
            <w:pPr>
              <w:numPr>
                <w:ilvl w:val="0"/>
                <w:numId w:val="9"/>
              </w:numPr>
              <w:spacing w:after="0"/>
              <w:ind w:left="317"/>
              <w:rPr>
                <w:rFonts w:cs="Calibri Light"/>
                <w:sz w:val="18"/>
                <w:szCs w:val="18"/>
              </w:rPr>
            </w:pPr>
            <w:r w:rsidRPr="00AD17EF">
              <w:rPr>
                <w:rFonts w:cs="Calibri Light"/>
                <w:sz w:val="18"/>
                <w:szCs w:val="18"/>
              </w:rPr>
              <w:t>UNDP have strong and appropriate HACT guidelines (all cash transfers are direct to government and implementing partners)</w:t>
            </w:r>
          </w:p>
          <w:p w:rsidR="00B622F3" w:rsidRPr="00AD17EF" w:rsidRDefault="00B622F3" w:rsidP="009D6B25">
            <w:pPr>
              <w:numPr>
                <w:ilvl w:val="0"/>
                <w:numId w:val="9"/>
              </w:numPr>
              <w:spacing w:after="0"/>
              <w:ind w:left="317"/>
              <w:rPr>
                <w:rFonts w:cs="Calibri Light"/>
                <w:sz w:val="18"/>
                <w:szCs w:val="18"/>
              </w:rPr>
            </w:pPr>
            <w:r w:rsidRPr="00AD17EF">
              <w:rPr>
                <w:rFonts w:cs="Calibri Light"/>
                <w:sz w:val="18"/>
                <w:szCs w:val="18"/>
              </w:rPr>
              <w:t xml:space="preserve">UNDP will directly fund most activities </w:t>
            </w:r>
          </w:p>
        </w:tc>
        <w:tc>
          <w:tcPr>
            <w:tcW w:w="850" w:type="dxa"/>
          </w:tcPr>
          <w:p w:rsidR="00B622F3" w:rsidRPr="00AD17EF" w:rsidRDefault="00B622F3" w:rsidP="00C942E2">
            <w:pPr>
              <w:spacing w:after="0"/>
              <w:rPr>
                <w:rFonts w:cs="Calibri Light"/>
                <w:sz w:val="18"/>
                <w:szCs w:val="18"/>
              </w:rPr>
            </w:pPr>
            <w:r w:rsidRPr="00AD17EF">
              <w:rPr>
                <w:rFonts w:cs="Calibri Light"/>
                <w:sz w:val="18"/>
                <w:szCs w:val="18"/>
              </w:rPr>
              <w:t>UNDP</w:t>
            </w:r>
          </w:p>
        </w:tc>
      </w:tr>
      <w:tr w:rsidR="00B622F3" w:rsidRPr="00135431" w:rsidTr="004A563D">
        <w:tc>
          <w:tcPr>
            <w:tcW w:w="534" w:type="dxa"/>
          </w:tcPr>
          <w:p w:rsidR="00B622F3" w:rsidRPr="00AD17EF" w:rsidRDefault="00B622F3" w:rsidP="00C942E2">
            <w:pPr>
              <w:spacing w:after="0"/>
              <w:rPr>
                <w:rFonts w:cs="Calibri Light"/>
                <w:sz w:val="18"/>
                <w:szCs w:val="18"/>
              </w:rPr>
            </w:pPr>
            <w:r w:rsidRPr="00AD17EF">
              <w:rPr>
                <w:rFonts w:cs="Calibri Light"/>
                <w:sz w:val="18"/>
                <w:szCs w:val="18"/>
              </w:rPr>
              <w:t>8</w:t>
            </w:r>
          </w:p>
        </w:tc>
        <w:tc>
          <w:tcPr>
            <w:tcW w:w="4394" w:type="dxa"/>
          </w:tcPr>
          <w:p w:rsidR="00B622F3" w:rsidRPr="00AD17EF" w:rsidRDefault="00B622F3" w:rsidP="00C942E2">
            <w:pPr>
              <w:spacing w:after="0"/>
              <w:rPr>
                <w:rFonts w:cs="Calibri Light"/>
                <w:sz w:val="18"/>
                <w:szCs w:val="18"/>
              </w:rPr>
            </w:pPr>
            <w:r w:rsidRPr="00AD17EF">
              <w:rPr>
                <w:rFonts w:cs="Calibri Light"/>
                <w:sz w:val="18"/>
                <w:szCs w:val="18"/>
              </w:rPr>
              <w:t xml:space="preserve">Existing budget, planning, policy and oversight systems and process are difficult to modify </w:t>
            </w:r>
          </w:p>
        </w:tc>
        <w:tc>
          <w:tcPr>
            <w:tcW w:w="1417" w:type="dxa"/>
          </w:tcPr>
          <w:p w:rsidR="00B622F3" w:rsidRPr="00AD17EF" w:rsidRDefault="00B622F3" w:rsidP="00C942E2">
            <w:pPr>
              <w:spacing w:after="0"/>
              <w:rPr>
                <w:rFonts w:cs="Calibri Light"/>
                <w:sz w:val="18"/>
                <w:szCs w:val="18"/>
                <w:lang w:val="en-US"/>
              </w:rPr>
            </w:pPr>
            <w:r w:rsidRPr="00AD17EF">
              <w:rPr>
                <w:rFonts w:cs="Calibri Light"/>
                <w:sz w:val="18"/>
                <w:szCs w:val="18"/>
                <w:lang w:val="en-US"/>
              </w:rPr>
              <w:t>Operational</w:t>
            </w:r>
          </w:p>
        </w:tc>
        <w:tc>
          <w:tcPr>
            <w:tcW w:w="1701" w:type="dxa"/>
          </w:tcPr>
          <w:p w:rsidR="00B622F3" w:rsidRPr="00AD17EF" w:rsidRDefault="00B622F3" w:rsidP="00C942E2">
            <w:pPr>
              <w:spacing w:after="0"/>
              <w:rPr>
                <w:rFonts w:cs="Calibri Light"/>
                <w:sz w:val="18"/>
                <w:szCs w:val="18"/>
              </w:rPr>
            </w:pPr>
            <w:r w:rsidRPr="00AD17EF">
              <w:rPr>
                <w:rFonts w:cs="Calibri Light"/>
                <w:sz w:val="18"/>
                <w:szCs w:val="18"/>
              </w:rPr>
              <w:t>Likelihood = 2</w:t>
            </w:r>
          </w:p>
          <w:p w:rsidR="00B622F3" w:rsidRPr="00AD17EF" w:rsidRDefault="00B622F3" w:rsidP="00C942E2">
            <w:pPr>
              <w:spacing w:after="0"/>
              <w:rPr>
                <w:rFonts w:cs="Calibri Light"/>
                <w:sz w:val="18"/>
                <w:szCs w:val="18"/>
              </w:rPr>
            </w:pPr>
            <w:r w:rsidRPr="00AD17EF">
              <w:rPr>
                <w:rFonts w:cs="Calibri Light"/>
                <w:sz w:val="18"/>
                <w:szCs w:val="18"/>
              </w:rPr>
              <w:t>Impact = 2</w:t>
            </w:r>
          </w:p>
        </w:tc>
        <w:tc>
          <w:tcPr>
            <w:tcW w:w="5529" w:type="dxa"/>
          </w:tcPr>
          <w:p w:rsidR="00B622F3" w:rsidRPr="00AD17EF" w:rsidRDefault="00253797" w:rsidP="009D6B25">
            <w:pPr>
              <w:numPr>
                <w:ilvl w:val="0"/>
                <w:numId w:val="9"/>
              </w:numPr>
              <w:spacing w:after="0"/>
              <w:ind w:left="317"/>
              <w:rPr>
                <w:rFonts w:cs="Calibri Light"/>
                <w:sz w:val="18"/>
                <w:szCs w:val="18"/>
              </w:rPr>
            </w:pPr>
            <w:r>
              <w:rPr>
                <w:rFonts w:cs="Calibri Light"/>
                <w:sz w:val="18"/>
                <w:szCs w:val="18"/>
              </w:rPr>
              <w:t>Project</w:t>
            </w:r>
            <w:r w:rsidR="00B622F3" w:rsidRPr="00AD17EF">
              <w:rPr>
                <w:rFonts w:cs="Calibri Light"/>
                <w:sz w:val="18"/>
                <w:szCs w:val="18"/>
              </w:rPr>
              <w:t xml:space="preserve"> will select entry points where partners are open to </w:t>
            </w:r>
            <w:r w:rsidR="00E375A2" w:rsidRPr="00AD17EF">
              <w:rPr>
                <w:rFonts w:cs="Calibri Light"/>
                <w:sz w:val="18"/>
                <w:szCs w:val="18"/>
              </w:rPr>
              <w:t>change,</w:t>
            </w:r>
            <w:r w:rsidR="00B622F3" w:rsidRPr="00AD17EF">
              <w:rPr>
                <w:rFonts w:cs="Calibri Light"/>
                <w:sz w:val="18"/>
                <w:szCs w:val="18"/>
              </w:rPr>
              <w:t xml:space="preserve"> and systems can absorb change</w:t>
            </w:r>
          </w:p>
          <w:p w:rsidR="00B622F3" w:rsidRPr="00AD17EF" w:rsidRDefault="00B622F3" w:rsidP="009D6B25">
            <w:pPr>
              <w:numPr>
                <w:ilvl w:val="0"/>
                <w:numId w:val="9"/>
              </w:numPr>
              <w:spacing w:after="0"/>
              <w:ind w:left="317"/>
              <w:rPr>
                <w:rFonts w:cs="Calibri Light"/>
                <w:sz w:val="18"/>
                <w:szCs w:val="18"/>
              </w:rPr>
            </w:pPr>
            <w:r w:rsidRPr="00AD17EF">
              <w:rPr>
                <w:rFonts w:cs="Calibri Light"/>
                <w:sz w:val="18"/>
                <w:szCs w:val="18"/>
              </w:rPr>
              <w:t xml:space="preserve">Align interventions with ongoing PFM and Planning reforms  </w:t>
            </w:r>
          </w:p>
          <w:p w:rsidR="00B622F3" w:rsidRPr="00AD17EF" w:rsidRDefault="00B622F3" w:rsidP="009D6B25">
            <w:pPr>
              <w:numPr>
                <w:ilvl w:val="0"/>
                <w:numId w:val="9"/>
              </w:numPr>
              <w:spacing w:after="0"/>
              <w:ind w:left="317"/>
              <w:rPr>
                <w:rFonts w:cs="Calibri Light"/>
                <w:sz w:val="18"/>
                <w:szCs w:val="18"/>
              </w:rPr>
            </w:pPr>
            <w:r w:rsidRPr="00AD17EF">
              <w:rPr>
                <w:rFonts w:cs="Calibri Light"/>
                <w:sz w:val="18"/>
                <w:szCs w:val="18"/>
              </w:rPr>
              <w:t xml:space="preserve">Partner with existing reform </w:t>
            </w:r>
            <w:r w:rsidR="00253797">
              <w:rPr>
                <w:rFonts w:cs="Calibri Light"/>
                <w:sz w:val="18"/>
                <w:szCs w:val="18"/>
              </w:rPr>
              <w:t>project</w:t>
            </w:r>
            <w:r w:rsidRPr="00AD17EF">
              <w:rPr>
                <w:rFonts w:cs="Calibri Light"/>
                <w:sz w:val="18"/>
                <w:szCs w:val="18"/>
              </w:rPr>
              <w:t xml:space="preserve">s </w:t>
            </w:r>
          </w:p>
        </w:tc>
        <w:tc>
          <w:tcPr>
            <w:tcW w:w="850" w:type="dxa"/>
          </w:tcPr>
          <w:p w:rsidR="00B622F3" w:rsidRPr="00AD17EF" w:rsidRDefault="00B622F3" w:rsidP="00C942E2">
            <w:pPr>
              <w:spacing w:after="0"/>
              <w:rPr>
                <w:rFonts w:cs="Calibri Light"/>
                <w:sz w:val="18"/>
                <w:szCs w:val="18"/>
              </w:rPr>
            </w:pPr>
            <w:r w:rsidRPr="00AD17EF">
              <w:rPr>
                <w:rFonts w:cs="Calibri Light"/>
                <w:sz w:val="18"/>
                <w:szCs w:val="18"/>
              </w:rPr>
              <w:t>UNDP</w:t>
            </w:r>
          </w:p>
        </w:tc>
      </w:tr>
      <w:tr w:rsidR="00B622F3" w:rsidRPr="00135431" w:rsidTr="004A563D">
        <w:tc>
          <w:tcPr>
            <w:tcW w:w="534" w:type="dxa"/>
          </w:tcPr>
          <w:p w:rsidR="00B622F3" w:rsidRPr="00AD17EF" w:rsidRDefault="00B622F3" w:rsidP="00C942E2">
            <w:pPr>
              <w:spacing w:after="0"/>
              <w:rPr>
                <w:rFonts w:cs="Calibri Light"/>
                <w:sz w:val="18"/>
                <w:szCs w:val="18"/>
              </w:rPr>
            </w:pPr>
            <w:r w:rsidRPr="00AD17EF">
              <w:rPr>
                <w:rFonts w:cs="Calibri Light"/>
                <w:sz w:val="18"/>
                <w:szCs w:val="18"/>
              </w:rPr>
              <w:t>9</w:t>
            </w:r>
          </w:p>
        </w:tc>
        <w:tc>
          <w:tcPr>
            <w:tcW w:w="4394" w:type="dxa"/>
          </w:tcPr>
          <w:p w:rsidR="00B622F3" w:rsidRPr="00AD17EF" w:rsidRDefault="00B622F3" w:rsidP="00C942E2">
            <w:pPr>
              <w:spacing w:after="0"/>
              <w:rPr>
                <w:rFonts w:cs="Calibri Light"/>
                <w:sz w:val="18"/>
                <w:szCs w:val="18"/>
              </w:rPr>
            </w:pPr>
            <w:r w:rsidRPr="00AD17EF">
              <w:rPr>
                <w:rFonts w:cs="Calibri Light"/>
                <w:sz w:val="18"/>
                <w:szCs w:val="18"/>
              </w:rPr>
              <w:t xml:space="preserve">Resettlement and relocation  </w:t>
            </w:r>
          </w:p>
        </w:tc>
        <w:tc>
          <w:tcPr>
            <w:tcW w:w="1417" w:type="dxa"/>
          </w:tcPr>
          <w:p w:rsidR="00B622F3" w:rsidRPr="00AD17EF" w:rsidRDefault="00B622F3" w:rsidP="00C942E2">
            <w:pPr>
              <w:spacing w:after="0"/>
              <w:rPr>
                <w:rFonts w:cs="Calibri Light"/>
                <w:sz w:val="18"/>
                <w:szCs w:val="18"/>
                <w:lang w:val="en-US"/>
              </w:rPr>
            </w:pPr>
            <w:r w:rsidRPr="00AD17EF">
              <w:rPr>
                <w:rFonts w:cs="Calibri Light"/>
                <w:sz w:val="18"/>
                <w:szCs w:val="18"/>
                <w:lang w:val="en-US"/>
              </w:rPr>
              <w:t xml:space="preserve">Safety and Security  </w:t>
            </w:r>
          </w:p>
        </w:tc>
        <w:tc>
          <w:tcPr>
            <w:tcW w:w="1701" w:type="dxa"/>
          </w:tcPr>
          <w:p w:rsidR="00B622F3" w:rsidRPr="00AD17EF" w:rsidRDefault="00B622F3" w:rsidP="00C942E2">
            <w:pPr>
              <w:spacing w:after="0"/>
              <w:rPr>
                <w:rFonts w:cs="Calibri Light"/>
                <w:sz w:val="18"/>
                <w:szCs w:val="18"/>
              </w:rPr>
            </w:pPr>
            <w:r w:rsidRPr="00AD17EF">
              <w:rPr>
                <w:rFonts w:cs="Calibri Light"/>
                <w:sz w:val="18"/>
                <w:szCs w:val="18"/>
              </w:rPr>
              <w:t>Likelihood = 2</w:t>
            </w:r>
          </w:p>
          <w:p w:rsidR="00B622F3" w:rsidRPr="00AD17EF" w:rsidRDefault="00B622F3" w:rsidP="00C942E2">
            <w:pPr>
              <w:spacing w:after="0"/>
              <w:rPr>
                <w:rFonts w:cs="Calibri Light"/>
                <w:sz w:val="18"/>
                <w:szCs w:val="18"/>
              </w:rPr>
            </w:pPr>
            <w:r w:rsidRPr="00AD17EF">
              <w:rPr>
                <w:rFonts w:cs="Calibri Light"/>
                <w:sz w:val="18"/>
                <w:szCs w:val="18"/>
              </w:rPr>
              <w:t>Impact = 3</w:t>
            </w:r>
          </w:p>
        </w:tc>
        <w:tc>
          <w:tcPr>
            <w:tcW w:w="5529" w:type="dxa"/>
          </w:tcPr>
          <w:p w:rsidR="00B622F3" w:rsidRPr="00AD17EF" w:rsidRDefault="00253797" w:rsidP="009D6B25">
            <w:pPr>
              <w:numPr>
                <w:ilvl w:val="0"/>
                <w:numId w:val="9"/>
              </w:numPr>
              <w:spacing w:after="0"/>
              <w:ind w:left="317"/>
              <w:rPr>
                <w:rFonts w:cs="Calibri Light"/>
                <w:sz w:val="18"/>
                <w:szCs w:val="18"/>
              </w:rPr>
            </w:pPr>
            <w:r>
              <w:rPr>
                <w:rFonts w:cs="Calibri Light"/>
                <w:sz w:val="18"/>
                <w:szCs w:val="18"/>
              </w:rPr>
              <w:t>Project</w:t>
            </w:r>
            <w:r w:rsidR="00B622F3" w:rsidRPr="00AD17EF">
              <w:rPr>
                <w:rFonts w:cs="Calibri Light"/>
                <w:sz w:val="18"/>
                <w:szCs w:val="18"/>
              </w:rPr>
              <w:t xml:space="preserve"> will not be involved directly in any displacement or resettlement activities but will engage the respective Government and/or affected communities to manage CCDRM risks </w:t>
            </w:r>
          </w:p>
          <w:p w:rsidR="00B622F3" w:rsidRPr="00AD17EF" w:rsidRDefault="00B622F3" w:rsidP="009D6B25">
            <w:pPr>
              <w:numPr>
                <w:ilvl w:val="0"/>
                <w:numId w:val="9"/>
              </w:numPr>
              <w:spacing w:after="0"/>
              <w:ind w:left="317"/>
              <w:rPr>
                <w:rFonts w:cs="Calibri Light"/>
                <w:sz w:val="18"/>
                <w:szCs w:val="18"/>
              </w:rPr>
            </w:pPr>
            <w:r w:rsidRPr="00AD17EF">
              <w:rPr>
                <w:rFonts w:cs="Calibri Light"/>
                <w:sz w:val="18"/>
                <w:szCs w:val="18"/>
              </w:rPr>
              <w:t xml:space="preserve">Should resettlement or relocation arise, </w:t>
            </w:r>
            <w:r w:rsidR="00253797">
              <w:rPr>
                <w:rFonts w:cs="Calibri Light"/>
                <w:sz w:val="18"/>
                <w:szCs w:val="18"/>
              </w:rPr>
              <w:t>project</w:t>
            </w:r>
            <w:r w:rsidRPr="00AD17EF">
              <w:rPr>
                <w:rFonts w:cs="Calibri Light"/>
                <w:sz w:val="18"/>
                <w:szCs w:val="18"/>
              </w:rPr>
              <w:t xml:space="preserve"> will ensure any activity complies with the principles or donor’s relevant policies and ensure engagement is at a policy level rather than any direct planning </w:t>
            </w:r>
          </w:p>
        </w:tc>
        <w:tc>
          <w:tcPr>
            <w:tcW w:w="850" w:type="dxa"/>
          </w:tcPr>
          <w:p w:rsidR="00B622F3" w:rsidRPr="00AD17EF" w:rsidRDefault="00B622F3" w:rsidP="00C942E2">
            <w:pPr>
              <w:spacing w:after="0"/>
              <w:rPr>
                <w:rFonts w:cs="Calibri Light"/>
                <w:sz w:val="18"/>
                <w:szCs w:val="18"/>
              </w:rPr>
            </w:pPr>
            <w:r w:rsidRPr="00AD17EF">
              <w:rPr>
                <w:rFonts w:cs="Calibri Light"/>
                <w:sz w:val="18"/>
                <w:szCs w:val="18"/>
              </w:rPr>
              <w:t>UNDP</w:t>
            </w:r>
          </w:p>
        </w:tc>
      </w:tr>
      <w:tr w:rsidR="00B622F3" w:rsidRPr="00135431" w:rsidTr="004A563D">
        <w:tc>
          <w:tcPr>
            <w:tcW w:w="534" w:type="dxa"/>
          </w:tcPr>
          <w:p w:rsidR="00B622F3" w:rsidRPr="00AD17EF" w:rsidRDefault="00B622F3" w:rsidP="00C942E2">
            <w:pPr>
              <w:spacing w:after="0"/>
              <w:rPr>
                <w:rFonts w:cs="Calibri Light"/>
                <w:sz w:val="18"/>
                <w:szCs w:val="18"/>
              </w:rPr>
            </w:pPr>
            <w:r w:rsidRPr="00AD17EF">
              <w:rPr>
                <w:rFonts w:cs="Calibri Light"/>
                <w:sz w:val="18"/>
                <w:szCs w:val="18"/>
              </w:rPr>
              <w:t>10</w:t>
            </w:r>
          </w:p>
        </w:tc>
        <w:tc>
          <w:tcPr>
            <w:tcW w:w="4394" w:type="dxa"/>
          </w:tcPr>
          <w:p w:rsidR="00B622F3" w:rsidRPr="00AD17EF" w:rsidRDefault="00B622F3" w:rsidP="00C942E2">
            <w:pPr>
              <w:spacing w:after="0"/>
              <w:rPr>
                <w:rFonts w:cs="Calibri Light"/>
                <w:sz w:val="18"/>
                <w:szCs w:val="18"/>
              </w:rPr>
            </w:pPr>
            <w:r w:rsidRPr="00AD17EF">
              <w:rPr>
                <w:rFonts w:cs="Calibri Light"/>
                <w:sz w:val="18"/>
                <w:szCs w:val="18"/>
              </w:rPr>
              <w:t xml:space="preserve">Broader systems reform delayed or poor quality </w:t>
            </w:r>
          </w:p>
        </w:tc>
        <w:tc>
          <w:tcPr>
            <w:tcW w:w="1417" w:type="dxa"/>
          </w:tcPr>
          <w:p w:rsidR="00B622F3" w:rsidRPr="00AD17EF" w:rsidRDefault="00B622F3" w:rsidP="00C942E2">
            <w:pPr>
              <w:spacing w:after="0"/>
              <w:rPr>
                <w:rFonts w:cs="Calibri Light"/>
                <w:sz w:val="18"/>
                <w:szCs w:val="18"/>
                <w:lang w:val="en-US"/>
              </w:rPr>
            </w:pPr>
            <w:r w:rsidRPr="00AD17EF">
              <w:rPr>
                <w:rFonts w:cs="Calibri Light"/>
                <w:sz w:val="18"/>
                <w:szCs w:val="18"/>
                <w:lang w:val="en-US"/>
              </w:rPr>
              <w:t xml:space="preserve">Operational </w:t>
            </w:r>
          </w:p>
        </w:tc>
        <w:tc>
          <w:tcPr>
            <w:tcW w:w="1701" w:type="dxa"/>
          </w:tcPr>
          <w:p w:rsidR="00B622F3" w:rsidRPr="00AD17EF" w:rsidRDefault="00B622F3" w:rsidP="00C942E2">
            <w:pPr>
              <w:spacing w:after="0"/>
              <w:rPr>
                <w:rFonts w:cs="Calibri Light"/>
                <w:sz w:val="18"/>
                <w:szCs w:val="18"/>
              </w:rPr>
            </w:pPr>
            <w:r w:rsidRPr="00AD17EF">
              <w:rPr>
                <w:rFonts w:cs="Calibri Light"/>
                <w:sz w:val="18"/>
                <w:szCs w:val="18"/>
              </w:rPr>
              <w:t>Likelihood = 4</w:t>
            </w:r>
          </w:p>
          <w:p w:rsidR="00B622F3" w:rsidRPr="00AD17EF" w:rsidRDefault="00B622F3" w:rsidP="00C942E2">
            <w:pPr>
              <w:spacing w:after="0"/>
              <w:rPr>
                <w:rFonts w:cs="Calibri Light"/>
                <w:sz w:val="18"/>
                <w:szCs w:val="18"/>
              </w:rPr>
            </w:pPr>
            <w:r w:rsidRPr="00AD17EF">
              <w:rPr>
                <w:rFonts w:cs="Calibri Light"/>
                <w:sz w:val="18"/>
                <w:szCs w:val="18"/>
              </w:rPr>
              <w:t>Impact = 2</w:t>
            </w:r>
          </w:p>
        </w:tc>
        <w:tc>
          <w:tcPr>
            <w:tcW w:w="5529" w:type="dxa"/>
          </w:tcPr>
          <w:p w:rsidR="00B622F3" w:rsidRPr="00AD17EF" w:rsidRDefault="00253797" w:rsidP="009D6B25">
            <w:pPr>
              <w:numPr>
                <w:ilvl w:val="0"/>
                <w:numId w:val="9"/>
              </w:numPr>
              <w:spacing w:after="0"/>
              <w:ind w:left="317"/>
              <w:rPr>
                <w:rFonts w:cs="Calibri Light"/>
                <w:sz w:val="18"/>
                <w:szCs w:val="18"/>
              </w:rPr>
            </w:pPr>
            <w:r>
              <w:rPr>
                <w:rFonts w:cs="Calibri Light"/>
                <w:sz w:val="18"/>
                <w:szCs w:val="18"/>
              </w:rPr>
              <w:t>Project</w:t>
            </w:r>
            <w:r w:rsidR="00B622F3" w:rsidRPr="00AD17EF">
              <w:rPr>
                <w:rFonts w:cs="Calibri Light"/>
                <w:sz w:val="18"/>
                <w:szCs w:val="18"/>
              </w:rPr>
              <w:t xml:space="preserve"> will adopt and agile approach to work planning and budgeting to be responsive to reform timing </w:t>
            </w:r>
          </w:p>
        </w:tc>
        <w:tc>
          <w:tcPr>
            <w:tcW w:w="850" w:type="dxa"/>
          </w:tcPr>
          <w:p w:rsidR="00B622F3" w:rsidRPr="00AD17EF" w:rsidRDefault="00B622F3" w:rsidP="00C942E2">
            <w:pPr>
              <w:spacing w:after="0"/>
              <w:rPr>
                <w:rFonts w:cs="Calibri Light"/>
                <w:sz w:val="18"/>
                <w:szCs w:val="18"/>
              </w:rPr>
            </w:pPr>
            <w:r w:rsidRPr="00AD17EF">
              <w:rPr>
                <w:rFonts w:cs="Calibri Light"/>
                <w:sz w:val="18"/>
                <w:szCs w:val="18"/>
              </w:rPr>
              <w:t>UNDP</w:t>
            </w:r>
          </w:p>
        </w:tc>
      </w:tr>
      <w:tr w:rsidR="00B622F3" w:rsidRPr="00135431" w:rsidTr="004A563D">
        <w:tc>
          <w:tcPr>
            <w:tcW w:w="534" w:type="dxa"/>
          </w:tcPr>
          <w:p w:rsidR="00B622F3" w:rsidRPr="00AD17EF" w:rsidRDefault="00B622F3" w:rsidP="00C942E2">
            <w:pPr>
              <w:spacing w:after="0"/>
              <w:rPr>
                <w:rFonts w:cs="Calibri Light"/>
                <w:sz w:val="18"/>
                <w:szCs w:val="18"/>
              </w:rPr>
            </w:pPr>
            <w:r w:rsidRPr="00AD17EF">
              <w:rPr>
                <w:rFonts w:cs="Calibri Light"/>
                <w:sz w:val="18"/>
                <w:szCs w:val="18"/>
              </w:rPr>
              <w:t>11</w:t>
            </w:r>
          </w:p>
        </w:tc>
        <w:tc>
          <w:tcPr>
            <w:tcW w:w="4394" w:type="dxa"/>
          </w:tcPr>
          <w:p w:rsidR="00B622F3" w:rsidRPr="00AD17EF" w:rsidRDefault="00B622F3" w:rsidP="00C942E2">
            <w:pPr>
              <w:spacing w:after="0"/>
              <w:rPr>
                <w:rFonts w:cs="Calibri Light"/>
                <w:sz w:val="18"/>
                <w:szCs w:val="18"/>
              </w:rPr>
            </w:pPr>
            <w:r w:rsidRPr="00AD17EF">
              <w:rPr>
                <w:rFonts w:cs="Calibri Light"/>
                <w:sz w:val="18"/>
                <w:szCs w:val="18"/>
              </w:rPr>
              <w:t>Counterparts cannot sustain reforms that have been introduced</w:t>
            </w:r>
          </w:p>
        </w:tc>
        <w:tc>
          <w:tcPr>
            <w:tcW w:w="1417" w:type="dxa"/>
          </w:tcPr>
          <w:p w:rsidR="00B622F3" w:rsidRPr="00AD17EF" w:rsidRDefault="00B622F3" w:rsidP="00C942E2">
            <w:pPr>
              <w:spacing w:after="0"/>
              <w:rPr>
                <w:rFonts w:cs="Calibri Light"/>
                <w:sz w:val="18"/>
                <w:szCs w:val="18"/>
                <w:lang w:val="en-US"/>
              </w:rPr>
            </w:pPr>
            <w:r w:rsidRPr="00AD17EF">
              <w:rPr>
                <w:rFonts w:cs="Calibri Light"/>
                <w:sz w:val="18"/>
                <w:szCs w:val="18"/>
                <w:lang w:val="en-US"/>
              </w:rPr>
              <w:t xml:space="preserve">Operational </w:t>
            </w:r>
          </w:p>
        </w:tc>
        <w:tc>
          <w:tcPr>
            <w:tcW w:w="1701" w:type="dxa"/>
          </w:tcPr>
          <w:p w:rsidR="00B622F3" w:rsidRPr="00AD17EF" w:rsidRDefault="00B622F3" w:rsidP="00C942E2">
            <w:pPr>
              <w:spacing w:after="0"/>
              <w:rPr>
                <w:rFonts w:cs="Calibri Light"/>
                <w:sz w:val="18"/>
                <w:szCs w:val="18"/>
              </w:rPr>
            </w:pPr>
            <w:r w:rsidRPr="00AD17EF">
              <w:rPr>
                <w:rFonts w:cs="Calibri Light"/>
                <w:sz w:val="18"/>
                <w:szCs w:val="18"/>
              </w:rPr>
              <w:t>Likelihood = 2</w:t>
            </w:r>
          </w:p>
          <w:p w:rsidR="00B622F3" w:rsidRPr="00AD17EF" w:rsidRDefault="00B622F3" w:rsidP="00C942E2">
            <w:pPr>
              <w:spacing w:after="0"/>
              <w:rPr>
                <w:rFonts w:cs="Calibri Light"/>
                <w:sz w:val="18"/>
                <w:szCs w:val="18"/>
              </w:rPr>
            </w:pPr>
            <w:r w:rsidRPr="00AD17EF">
              <w:rPr>
                <w:rFonts w:cs="Calibri Light"/>
                <w:sz w:val="18"/>
                <w:szCs w:val="18"/>
              </w:rPr>
              <w:t>Impact = 3</w:t>
            </w:r>
          </w:p>
        </w:tc>
        <w:tc>
          <w:tcPr>
            <w:tcW w:w="5529" w:type="dxa"/>
          </w:tcPr>
          <w:p w:rsidR="00B622F3" w:rsidRPr="00AD17EF" w:rsidRDefault="00B622F3" w:rsidP="009D6B25">
            <w:pPr>
              <w:numPr>
                <w:ilvl w:val="0"/>
                <w:numId w:val="9"/>
              </w:numPr>
              <w:spacing w:after="0"/>
              <w:ind w:left="317"/>
              <w:rPr>
                <w:rFonts w:cs="Calibri Light"/>
                <w:sz w:val="18"/>
                <w:szCs w:val="18"/>
              </w:rPr>
            </w:pPr>
            <w:r w:rsidRPr="00AD17EF">
              <w:rPr>
                <w:rFonts w:cs="Calibri Light"/>
                <w:sz w:val="18"/>
                <w:szCs w:val="18"/>
              </w:rPr>
              <w:t xml:space="preserve">This is a </w:t>
            </w:r>
            <w:r w:rsidR="00253797">
              <w:rPr>
                <w:rFonts w:cs="Calibri Light"/>
                <w:sz w:val="18"/>
                <w:szCs w:val="18"/>
              </w:rPr>
              <w:t>project</w:t>
            </w:r>
            <w:r w:rsidRPr="00AD17EF">
              <w:rPr>
                <w:rFonts w:cs="Calibri Light"/>
                <w:sz w:val="18"/>
                <w:szCs w:val="18"/>
              </w:rPr>
              <w:t xml:space="preserve"> intent, and therefore there will be constant monitoring of risk </w:t>
            </w:r>
          </w:p>
          <w:p w:rsidR="00B622F3" w:rsidRPr="00AD17EF" w:rsidRDefault="00B622F3" w:rsidP="009D6B25">
            <w:pPr>
              <w:numPr>
                <w:ilvl w:val="0"/>
                <w:numId w:val="9"/>
              </w:numPr>
              <w:spacing w:after="0"/>
              <w:ind w:left="317"/>
              <w:rPr>
                <w:rFonts w:cs="Calibri Light"/>
                <w:sz w:val="18"/>
                <w:szCs w:val="18"/>
              </w:rPr>
            </w:pPr>
            <w:r w:rsidRPr="00AD17EF">
              <w:rPr>
                <w:rFonts w:cs="Calibri Light"/>
                <w:sz w:val="18"/>
                <w:szCs w:val="18"/>
              </w:rPr>
              <w:t>Undertake ongoing training and coaching with counterparts</w:t>
            </w:r>
          </w:p>
        </w:tc>
        <w:tc>
          <w:tcPr>
            <w:tcW w:w="850" w:type="dxa"/>
          </w:tcPr>
          <w:p w:rsidR="00B622F3" w:rsidRPr="00AD17EF" w:rsidRDefault="00B622F3" w:rsidP="00C942E2">
            <w:pPr>
              <w:spacing w:after="0"/>
              <w:rPr>
                <w:rFonts w:cs="Calibri Light"/>
                <w:sz w:val="18"/>
                <w:szCs w:val="18"/>
              </w:rPr>
            </w:pPr>
            <w:r w:rsidRPr="00AD17EF">
              <w:rPr>
                <w:rFonts w:cs="Calibri Light"/>
                <w:sz w:val="18"/>
                <w:szCs w:val="18"/>
              </w:rPr>
              <w:t>UNDP</w:t>
            </w:r>
          </w:p>
        </w:tc>
      </w:tr>
      <w:tr w:rsidR="00B622F3" w:rsidRPr="00135431" w:rsidTr="004A563D">
        <w:tc>
          <w:tcPr>
            <w:tcW w:w="534" w:type="dxa"/>
          </w:tcPr>
          <w:p w:rsidR="00B622F3" w:rsidRPr="00AD17EF" w:rsidRDefault="00B622F3" w:rsidP="00C942E2">
            <w:pPr>
              <w:spacing w:after="0"/>
              <w:rPr>
                <w:rFonts w:cs="Calibri Light"/>
                <w:sz w:val="18"/>
                <w:szCs w:val="18"/>
              </w:rPr>
            </w:pPr>
            <w:r w:rsidRPr="00AD17EF">
              <w:rPr>
                <w:rFonts w:cs="Calibri Light"/>
                <w:sz w:val="18"/>
                <w:szCs w:val="18"/>
              </w:rPr>
              <w:t>12</w:t>
            </w:r>
          </w:p>
        </w:tc>
        <w:tc>
          <w:tcPr>
            <w:tcW w:w="4394" w:type="dxa"/>
          </w:tcPr>
          <w:p w:rsidR="00B622F3" w:rsidRPr="00AD17EF" w:rsidRDefault="00B622F3" w:rsidP="00C942E2">
            <w:pPr>
              <w:spacing w:after="0"/>
              <w:rPr>
                <w:rFonts w:cs="Calibri Light"/>
                <w:sz w:val="18"/>
                <w:szCs w:val="18"/>
              </w:rPr>
            </w:pPr>
            <w:r w:rsidRPr="00AD17EF">
              <w:rPr>
                <w:rFonts w:cs="Calibri Light"/>
                <w:sz w:val="18"/>
                <w:szCs w:val="18"/>
              </w:rPr>
              <w:t xml:space="preserve">Advocacy stakeholders will not (or cannot) engage constructively with government </w:t>
            </w:r>
          </w:p>
        </w:tc>
        <w:tc>
          <w:tcPr>
            <w:tcW w:w="1417" w:type="dxa"/>
          </w:tcPr>
          <w:p w:rsidR="00B622F3" w:rsidRPr="00AD17EF" w:rsidRDefault="00B622F3" w:rsidP="00C942E2">
            <w:pPr>
              <w:spacing w:after="0"/>
              <w:rPr>
                <w:rFonts w:cs="Calibri Light"/>
                <w:sz w:val="18"/>
                <w:szCs w:val="18"/>
                <w:lang w:val="en-US"/>
              </w:rPr>
            </w:pPr>
            <w:r w:rsidRPr="00AD17EF">
              <w:rPr>
                <w:rFonts w:cs="Calibri Light"/>
                <w:sz w:val="18"/>
                <w:szCs w:val="18"/>
                <w:lang w:val="en-US"/>
              </w:rPr>
              <w:t xml:space="preserve">Political </w:t>
            </w:r>
          </w:p>
        </w:tc>
        <w:tc>
          <w:tcPr>
            <w:tcW w:w="1701" w:type="dxa"/>
          </w:tcPr>
          <w:p w:rsidR="00B622F3" w:rsidRPr="00AD17EF" w:rsidRDefault="00B622F3" w:rsidP="00C942E2">
            <w:pPr>
              <w:spacing w:after="0"/>
              <w:rPr>
                <w:rFonts w:cs="Calibri Light"/>
                <w:sz w:val="18"/>
                <w:szCs w:val="18"/>
              </w:rPr>
            </w:pPr>
            <w:r w:rsidRPr="00AD17EF">
              <w:rPr>
                <w:rFonts w:cs="Calibri Light"/>
                <w:sz w:val="18"/>
                <w:szCs w:val="18"/>
              </w:rPr>
              <w:t>Likelihood = 2</w:t>
            </w:r>
          </w:p>
          <w:p w:rsidR="00B622F3" w:rsidRPr="00AD17EF" w:rsidRDefault="00B622F3" w:rsidP="00C942E2">
            <w:pPr>
              <w:spacing w:after="0"/>
              <w:rPr>
                <w:rFonts w:cs="Calibri Light"/>
                <w:sz w:val="18"/>
                <w:szCs w:val="18"/>
              </w:rPr>
            </w:pPr>
            <w:r w:rsidRPr="00AD17EF">
              <w:rPr>
                <w:rFonts w:cs="Calibri Light"/>
                <w:sz w:val="18"/>
                <w:szCs w:val="18"/>
              </w:rPr>
              <w:t>Impact = 2</w:t>
            </w:r>
          </w:p>
        </w:tc>
        <w:tc>
          <w:tcPr>
            <w:tcW w:w="5529" w:type="dxa"/>
          </w:tcPr>
          <w:p w:rsidR="00B622F3" w:rsidRPr="00AD17EF" w:rsidRDefault="00B622F3" w:rsidP="009D6B25">
            <w:pPr>
              <w:numPr>
                <w:ilvl w:val="0"/>
                <w:numId w:val="9"/>
              </w:numPr>
              <w:spacing w:after="0"/>
              <w:ind w:left="317"/>
              <w:rPr>
                <w:rFonts w:cs="Calibri Light"/>
                <w:sz w:val="18"/>
                <w:szCs w:val="18"/>
              </w:rPr>
            </w:pPr>
            <w:r w:rsidRPr="00AD17EF">
              <w:rPr>
                <w:rFonts w:cs="Calibri Light"/>
                <w:sz w:val="18"/>
                <w:szCs w:val="18"/>
              </w:rPr>
              <w:t>Maintain as a core programming assumption which will be revised six</w:t>
            </w:r>
            <w:r w:rsidR="00BF5B0F">
              <w:rPr>
                <w:rFonts w:cs="Calibri Light"/>
                <w:sz w:val="18"/>
                <w:szCs w:val="18"/>
              </w:rPr>
              <w:t>-</w:t>
            </w:r>
            <w:r w:rsidRPr="00AD17EF">
              <w:rPr>
                <w:rFonts w:cs="Calibri Light"/>
                <w:sz w:val="18"/>
                <w:szCs w:val="18"/>
              </w:rPr>
              <w:t xml:space="preserve">monthly </w:t>
            </w:r>
          </w:p>
          <w:p w:rsidR="00B622F3" w:rsidRPr="00AD17EF" w:rsidRDefault="00B622F3" w:rsidP="009D6B25">
            <w:pPr>
              <w:numPr>
                <w:ilvl w:val="0"/>
                <w:numId w:val="9"/>
              </w:numPr>
              <w:spacing w:after="0"/>
              <w:ind w:left="317"/>
              <w:rPr>
                <w:rFonts w:cs="Calibri Light"/>
                <w:sz w:val="18"/>
                <w:szCs w:val="18"/>
              </w:rPr>
            </w:pPr>
            <w:r w:rsidRPr="00AD17EF">
              <w:rPr>
                <w:rFonts w:cs="Calibri Light"/>
                <w:sz w:val="18"/>
                <w:szCs w:val="18"/>
              </w:rPr>
              <w:t xml:space="preserve">Partner with internal UNDP CSO expertise </w:t>
            </w:r>
          </w:p>
        </w:tc>
        <w:tc>
          <w:tcPr>
            <w:tcW w:w="850" w:type="dxa"/>
          </w:tcPr>
          <w:p w:rsidR="00B622F3" w:rsidRPr="00AD17EF" w:rsidRDefault="00B622F3" w:rsidP="00C942E2">
            <w:pPr>
              <w:spacing w:after="0"/>
              <w:rPr>
                <w:rFonts w:cs="Calibri Light"/>
                <w:sz w:val="18"/>
                <w:szCs w:val="18"/>
              </w:rPr>
            </w:pPr>
            <w:r w:rsidRPr="00AD17EF">
              <w:rPr>
                <w:rFonts w:cs="Calibri Light"/>
                <w:sz w:val="18"/>
                <w:szCs w:val="18"/>
              </w:rPr>
              <w:t>UNDP</w:t>
            </w:r>
          </w:p>
        </w:tc>
      </w:tr>
      <w:tr w:rsidR="00B622F3" w:rsidRPr="00135431" w:rsidTr="004A563D">
        <w:tc>
          <w:tcPr>
            <w:tcW w:w="534" w:type="dxa"/>
          </w:tcPr>
          <w:p w:rsidR="00B622F3" w:rsidRPr="00AD17EF" w:rsidRDefault="00B622F3" w:rsidP="00C942E2">
            <w:pPr>
              <w:spacing w:after="0"/>
              <w:rPr>
                <w:rFonts w:cs="Calibri Light"/>
                <w:sz w:val="18"/>
                <w:szCs w:val="18"/>
              </w:rPr>
            </w:pPr>
            <w:r w:rsidRPr="00AD17EF">
              <w:rPr>
                <w:rFonts w:cs="Calibri Light"/>
                <w:sz w:val="18"/>
                <w:szCs w:val="18"/>
              </w:rPr>
              <w:t>13</w:t>
            </w:r>
          </w:p>
        </w:tc>
        <w:tc>
          <w:tcPr>
            <w:tcW w:w="4394" w:type="dxa"/>
          </w:tcPr>
          <w:p w:rsidR="00B622F3" w:rsidRPr="00AD17EF" w:rsidRDefault="00B622F3" w:rsidP="00C942E2">
            <w:pPr>
              <w:spacing w:after="0"/>
              <w:rPr>
                <w:rFonts w:cs="Calibri Light"/>
                <w:sz w:val="18"/>
                <w:szCs w:val="18"/>
              </w:rPr>
            </w:pPr>
            <w:r w:rsidRPr="00AD17EF">
              <w:rPr>
                <w:rFonts w:cs="Calibri Light"/>
                <w:sz w:val="18"/>
                <w:szCs w:val="18"/>
              </w:rPr>
              <w:t xml:space="preserve">Advocacy stakeholders engage with government or parliament and there are repercussions  </w:t>
            </w:r>
          </w:p>
        </w:tc>
        <w:tc>
          <w:tcPr>
            <w:tcW w:w="1417" w:type="dxa"/>
          </w:tcPr>
          <w:p w:rsidR="00B622F3" w:rsidRPr="00AD17EF" w:rsidRDefault="00B622F3" w:rsidP="00C942E2">
            <w:pPr>
              <w:spacing w:after="0"/>
              <w:rPr>
                <w:rFonts w:cs="Calibri Light"/>
                <w:sz w:val="18"/>
                <w:szCs w:val="18"/>
                <w:lang w:val="en-US"/>
              </w:rPr>
            </w:pPr>
            <w:r w:rsidRPr="00AD17EF">
              <w:rPr>
                <w:rFonts w:cs="Calibri Light"/>
                <w:sz w:val="18"/>
                <w:szCs w:val="18"/>
                <w:lang w:val="en-US"/>
              </w:rPr>
              <w:t xml:space="preserve">Safety and security </w:t>
            </w:r>
          </w:p>
        </w:tc>
        <w:tc>
          <w:tcPr>
            <w:tcW w:w="1701" w:type="dxa"/>
          </w:tcPr>
          <w:p w:rsidR="00B622F3" w:rsidRPr="00AD17EF" w:rsidRDefault="00B622F3" w:rsidP="00C942E2">
            <w:pPr>
              <w:spacing w:after="0"/>
              <w:rPr>
                <w:rFonts w:cs="Calibri Light"/>
                <w:sz w:val="18"/>
                <w:szCs w:val="18"/>
              </w:rPr>
            </w:pPr>
            <w:r w:rsidRPr="00AD17EF">
              <w:rPr>
                <w:rFonts w:cs="Calibri Light"/>
                <w:sz w:val="18"/>
                <w:szCs w:val="18"/>
              </w:rPr>
              <w:t>Likelihood = 2</w:t>
            </w:r>
          </w:p>
          <w:p w:rsidR="00B622F3" w:rsidRPr="00AD17EF" w:rsidRDefault="00B622F3" w:rsidP="00C942E2">
            <w:pPr>
              <w:spacing w:after="0"/>
              <w:rPr>
                <w:rFonts w:cs="Calibri Light"/>
                <w:sz w:val="18"/>
                <w:szCs w:val="18"/>
              </w:rPr>
            </w:pPr>
            <w:r w:rsidRPr="00AD17EF">
              <w:rPr>
                <w:rFonts w:cs="Calibri Light"/>
                <w:sz w:val="18"/>
                <w:szCs w:val="18"/>
              </w:rPr>
              <w:t>Impact = 4</w:t>
            </w:r>
          </w:p>
        </w:tc>
        <w:tc>
          <w:tcPr>
            <w:tcW w:w="5529" w:type="dxa"/>
          </w:tcPr>
          <w:p w:rsidR="00B622F3" w:rsidRPr="00AD17EF" w:rsidRDefault="00B622F3" w:rsidP="009D6B25">
            <w:pPr>
              <w:numPr>
                <w:ilvl w:val="0"/>
                <w:numId w:val="9"/>
              </w:numPr>
              <w:spacing w:after="0"/>
              <w:ind w:left="317"/>
              <w:rPr>
                <w:rFonts w:cs="Calibri Light"/>
                <w:sz w:val="18"/>
                <w:szCs w:val="18"/>
              </w:rPr>
            </w:pPr>
            <w:r w:rsidRPr="00AD17EF">
              <w:rPr>
                <w:rFonts w:cs="Calibri Light"/>
                <w:sz w:val="18"/>
                <w:szCs w:val="18"/>
              </w:rPr>
              <w:t xml:space="preserve">Undertake regular monitoring of potential repercussions </w:t>
            </w:r>
          </w:p>
          <w:p w:rsidR="00B622F3" w:rsidRPr="00AD17EF" w:rsidRDefault="00B622F3" w:rsidP="009D6B25">
            <w:pPr>
              <w:numPr>
                <w:ilvl w:val="0"/>
                <w:numId w:val="9"/>
              </w:numPr>
              <w:spacing w:after="0"/>
              <w:ind w:left="317"/>
              <w:rPr>
                <w:rFonts w:cs="Calibri Light"/>
                <w:sz w:val="18"/>
                <w:szCs w:val="18"/>
              </w:rPr>
            </w:pPr>
            <w:r w:rsidRPr="00AD17EF">
              <w:rPr>
                <w:rFonts w:cs="Calibri Light"/>
                <w:sz w:val="18"/>
                <w:szCs w:val="18"/>
              </w:rPr>
              <w:t xml:space="preserve">Liaise and work closely with advocacy groups </w:t>
            </w:r>
          </w:p>
          <w:p w:rsidR="00B622F3" w:rsidRPr="00AD17EF" w:rsidRDefault="00B622F3" w:rsidP="009D6B25">
            <w:pPr>
              <w:numPr>
                <w:ilvl w:val="0"/>
                <w:numId w:val="9"/>
              </w:numPr>
              <w:spacing w:after="0"/>
              <w:ind w:left="317"/>
              <w:rPr>
                <w:rFonts w:cs="Calibri Light"/>
                <w:sz w:val="18"/>
                <w:szCs w:val="18"/>
              </w:rPr>
            </w:pPr>
            <w:r w:rsidRPr="00AD17EF">
              <w:rPr>
                <w:rFonts w:cs="Calibri Light"/>
                <w:sz w:val="18"/>
                <w:szCs w:val="18"/>
              </w:rPr>
              <w:t xml:space="preserve">Undertake political economy analysis on an ongoing basis as part of regular programming </w:t>
            </w:r>
          </w:p>
        </w:tc>
        <w:tc>
          <w:tcPr>
            <w:tcW w:w="850" w:type="dxa"/>
          </w:tcPr>
          <w:p w:rsidR="00B622F3" w:rsidRPr="00AD17EF" w:rsidRDefault="00B622F3" w:rsidP="00C942E2">
            <w:pPr>
              <w:spacing w:after="0"/>
              <w:rPr>
                <w:rFonts w:cs="Calibri Light"/>
                <w:sz w:val="18"/>
                <w:szCs w:val="18"/>
              </w:rPr>
            </w:pPr>
            <w:r w:rsidRPr="00AD17EF">
              <w:rPr>
                <w:rFonts w:cs="Calibri Light"/>
                <w:sz w:val="18"/>
                <w:szCs w:val="18"/>
              </w:rPr>
              <w:t>UNDP</w:t>
            </w:r>
          </w:p>
        </w:tc>
      </w:tr>
      <w:tr w:rsidR="00B622F3" w:rsidRPr="00135431" w:rsidTr="004A563D">
        <w:tc>
          <w:tcPr>
            <w:tcW w:w="534" w:type="dxa"/>
          </w:tcPr>
          <w:p w:rsidR="00B622F3" w:rsidRPr="00AD17EF" w:rsidRDefault="00B622F3" w:rsidP="00C942E2">
            <w:pPr>
              <w:spacing w:after="0"/>
              <w:rPr>
                <w:rFonts w:cs="Calibri Light"/>
                <w:sz w:val="18"/>
                <w:szCs w:val="18"/>
              </w:rPr>
            </w:pPr>
            <w:r w:rsidRPr="00AD17EF">
              <w:rPr>
                <w:rFonts w:cs="Calibri Light"/>
                <w:sz w:val="18"/>
                <w:szCs w:val="18"/>
              </w:rPr>
              <w:t>14</w:t>
            </w:r>
          </w:p>
        </w:tc>
        <w:tc>
          <w:tcPr>
            <w:tcW w:w="4394" w:type="dxa"/>
          </w:tcPr>
          <w:p w:rsidR="00B622F3" w:rsidRPr="00AD17EF" w:rsidRDefault="00B622F3" w:rsidP="00C942E2">
            <w:pPr>
              <w:spacing w:after="0"/>
              <w:rPr>
                <w:rFonts w:cs="Calibri Light"/>
                <w:sz w:val="18"/>
                <w:szCs w:val="18"/>
              </w:rPr>
            </w:pPr>
            <w:r w:rsidRPr="00AD17EF">
              <w:rPr>
                <w:rFonts w:cs="Calibri Light"/>
                <w:sz w:val="18"/>
                <w:szCs w:val="18"/>
              </w:rPr>
              <w:t>Advocacy stakeholder’s or oversight functions activities cause repercussions which have reputational risks for UNDP and donors</w:t>
            </w:r>
          </w:p>
        </w:tc>
        <w:tc>
          <w:tcPr>
            <w:tcW w:w="1417" w:type="dxa"/>
          </w:tcPr>
          <w:p w:rsidR="00B622F3" w:rsidRPr="00AD17EF" w:rsidRDefault="00B622F3" w:rsidP="00C942E2">
            <w:pPr>
              <w:spacing w:after="0"/>
              <w:rPr>
                <w:rFonts w:cs="Calibri Light"/>
                <w:sz w:val="18"/>
                <w:szCs w:val="18"/>
                <w:lang w:val="en-US"/>
              </w:rPr>
            </w:pPr>
            <w:r w:rsidRPr="00AD17EF">
              <w:rPr>
                <w:rFonts w:cs="Calibri Light"/>
                <w:sz w:val="18"/>
                <w:szCs w:val="18"/>
                <w:lang w:val="en-US"/>
              </w:rPr>
              <w:t xml:space="preserve">Operational </w:t>
            </w:r>
          </w:p>
        </w:tc>
        <w:tc>
          <w:tcPr>
            <w:tcW w:w="1701" w:type="dxa"/>
          </w:tcPr>
          <w:p w:rsidR="00B622F3" w:rsidRPr="00AD17EF" w:rsidRDefault="00B622F3" w:rsidP="00C942E2">
            <w:pPr>
              <w:spacing w:after="0"/>
              <w:rPr>
                <w:rFonts w:cs="Calibri Light"/>
                <w:sz w:val="18"/>
                <w:szCs w:val="18"/>
              </w:rPr>
            </w:pPr>
            <w:r w:rsidRPr="00AD17EF">
              <w:rPr>
                <w:rFonts w:cs="Calibri Light"/>
                <w:sz w:val="18"/>
                <w:szCs w:val="18"/>
              </w:rPr>
              <w:t>Likelihood = 3</w:t>
            </w:r>
          </w:p>
          <w:p w:rsidR="00B622F3" w:rsidRPr="00AD17EF" w:rsidRDefault="00B622F3" w:rsidP="00C942E2">
            <w:pPr>
              <w:spacing w:after="0"/>
              <w:rPr>
                <w:rFonts w:cs="Calibri Light"/>
                <w:sz w:val="18"/>
                <w:szCs w:val="18"/>
              </w:rPr>
            </w:pPr>
            <w:r w:rsidRPr="00AD17EF">
              <w:rPr>
                <w:rFonts w:cs="Calibri Light"/>
                <w:sz w:val="18"/>
                <w:szCs w:val="18"/>
              </w:rPr>
              <w:t>Impact = 3</w:t>
            </w:r>
          </w:p>
        </w:tc>
        <w:tc>
          <w:tcPr>
            <w:tcW w:w="5529" w:type="dxa"/>
          </w:tcPr>
          <w:p w:rsidR="00B622F3" w:rsidRPr="00AD17EF" w:rsidRDefault="00B622F3" w:rsidP="009D6B25">
            <w:pPr>
              <w:numPr>
                <w:ilvl w:val="0"/>
                <w:numId w:val="9"/>
              </w:numPr>
              <w:spacing w:after="0"/>
              <w:ind w:left="317"/>
              <w:rPr>
                <w:rFonts w:cs="Calibri Light"/>
                <w:sz w:val="18"/>
                <w:szCs w:val="18"/>
              </w:rPr>
            </w:pPr>
            <w:r w:rsidRPr="00AD17EF">
              <w:rPr>
                <w:rFonts w:cs="Calibri Light"/>
                <w:sz w:val="18"/>
                <w:szCs w:val="18"/>
              </w:rPr>
              <w:t xml:space="preserve">Undertake regular monitoring of potential repercussions </w:t>
            </w:r>
          </w:p>
          <w:p w:rsidR="00B622F3" w:rsidRPr="00AD17EF" w:rsidRDefault="00B622F3" w:rsidP="009D6B25">
            <w:pPr>
              <w:numPr>
                <w:ilvl w:val="0"/>
                <w:numId w:val="9"/>
              </w:numPr>
              <w:spacing w:after="0"/>
              <w:ind w:left="317"/>
              <w:rPr>
                <w:rFonts w:cs="Calibri Light"/>
                <w:sz w:val="18"/>
                <w:szCs w:val="18"/>
              </w:rPr>
            </w:pPr>
            <w:r w:rsidRPr="00AD17EF">
              <w:rPr>
                <w:rFonts w:cs="Calibri Light"/>
                <w:sz w:val="18"/>
                <w:szCs w:val="18"/>
              </w:rPr>
              <w:t xml:space="preserve">Liaise and work closely with advocacy groups </w:t>
            </w:r>
          </w:p>
          <w:p w:rsidR="00B622F3" w:rsidRPr="00AD17EF" w:rsidRDefault="00B622F3" w:rsidP="009D6B25">
            <w:pPr>
              <w:numPr>
                <w:ilvl w:val="0"/>
                <w:numId w:val="9"/>
              </w:numPr>
              <w:spacing w:after="0"/>
              <w:ind w:left="317"/>
              <w:rPr>
                <w:rFonts w:cs="Calibri Light"/>
                <w:sz w:val="18"/>
                <w:szCs w:val="18"/>
              </w:rPr>
            </w:pPr>
            <w:r w:rsidRPr="00AD17EF">
              <w:rPr>
                <w:rFonts w:cs="Calibri Light"/>
                <w:sz w:val="18"/>
                <w:szCs w:val="18"/>
              </w:rPr>
              <w:t>Undertake political economy analysis on an ongoing basis as part of regular programming</w:t>
            </w:r>
          </w:p>
        </w:tc>
        <w:tc>
          <w:tcPr>
            <w:tcW w:w="850" w:type="dxa"/>
          </w:tcPr>
          <w:p w:rsidR="00B622F3" w:rsidRPr="00AD17EF" w:rsidRDefault="00B622F3" w:rsidP="00C942E2">
            <w:pPr>
              <w:spacing w:after="0"/>
              <w:rPr>
                <w:rFonts w:cs="Calibri Light"/>
                <w:sz w:val="18"/>
                <w:szCs w:val="18"/>
              </w:rPr>
            </w:pPr>
            <w:r w:rsidRPr="00AD17EF">
              <w:rPr>
                <w:rFonts w:cs="Calibri Light"/>
                <w:sz w:val="18"/>
                <w:szCs w:val="18"/>
              </w:rPr>
              <w:t>UNDP</w:t>
            </w:r>
          </w:p>
        </w:tc>
      </w:tr>
      <w:tr w:rsidR="00B622F3" w:rsidRPr="00135431" w:rsidTr="004A563D">
        <w:tc>
          <w:tcPr>
            <w:tcW w:w="534" w:type="dxa"/>
          </w:tcPr>
          <w:p w:rsidR="00B622F3" w:rsidRPr="00AD17EF" w:rsidRDefault="00B622F3" w:rsidP="00C942E2">
            <w:pPr>
              <w:spacing w:after="0"/>
              <w:rPr>
                <w:rFonts w:cs="Calibri Light"/>
                <w:sz w:val="18"/>
                <w:szCs w:val="18"/>
              </w:rPr>
            </w:pPr>
            <w:r w:rsidRPr="00AD17EF">
              <w:rPr>
                <w:rFonts w:cs="Calibri Light"/>
                <w:sz w:val="18"/>
                <w:szCs w:val="18"/>
              </w:rPr>
              <w:t>15</w:t>
            </w:r>
          </w:p>
        </w:tc>
        <w:tc>
          <w:tcPr>
            <w:tcW w:w="4394" w:type="dxa"/>
          </w:tcPr>
          <w:p w:rsidR="00B622F3" w:rsidRPr="00AD17EF" w:rsidRDefault="00B622F3" w:rsidP="00C942E2">
            <w:pPr>
              <w:spacing w:after="0"/>
              <w:rPr>
                <w:rFonts w:cs="Calibri Light"/>
                <w:sz w:val="18"/>
                <w:szCs w:val="18"/>
              </w:rPr>
            </w:pPr>
            <w:r w:rsidRPr="00AD17EF">
              <w:rPr>
                <w:rFonts w:cs="Calibri Light"/>
                <w:sz w:val="18"/>
                <w:szCs w:val="18"/>
              </w:rPr>
              <w:t xml:space="preserve">The rapid decline in the exchange rate has implications for the amount of USD available for programming implementation  </w:t>
            </w:r>
          </w:p>
        </w:tc>
        <w:tc>
          <w:tcPr>
            <w:tcW w:w="1417" w:type="dxa"/>
          </w:tcPr>
          <w:p w:rsidR="00B622F3" w:rsidRPr="00AD17EF" w:rsidRDefault="00B622F3" w:rsidP="00C942E2">
            <w:pPr>
              <w:spacing w:after="0"/>
              <w:rPr>
                <w:rFonts w:cs="Calibri Light"/>
                <w:sz w:val="18"/>
                <w:szCs w:val="18"/>
                <w:lang w:val="en-US"/>
              </w:rPr>
            </w:pPr>
            <w:r w:rsidRPr="00AD17EF">
              <w:rPr>
                <w:rFonts w:cs="Calibri Light"/>
                <w:sz w:val="18"/>
                <w:szCs w:val="18"/>
                <w:lang w:val="en-US"/>
              </w:rPr>
              <w:t xml:space="preserve">Financial </w:t>
            </w:r>
          </w:p>
        </w:tc>
        <w:tc>
          <w:tcPr>
            <w:tcW w:w="1701" w:type="dxa"/>
          </w:tcPr>
          <w:p w:rsidR="00B622F3" w:rsidRPr="00AD17EF" w:rsidRDefault="00B622F3" w:rsidP="00C942E2">
            <w:pPr>
              <w:spacing w:after="0"/>
              <w:rPr>
                <w:rFonts w:cs="Calibri Light"/>
                <w:sz w:val="18"/>
                <w:szCs w:val="18"/>
              </w:rPr>
            </w:pPr>
            <w:r w:rsidRPr="00AD17EF">
              <w:rPr>
                <w:rFonts w:cs="Calibri Light"/>
                <w:sz w:val="18"/>
                <w:szCs w:val="18"/>
              </w:rPr>
              <w:t>Likelihood = 2</w:t>
            </w:r>
          </w:p>
          <w:p w:rsidR="00B622F3" w:rsidRPr="00AD17EF" w:rsidRDefault="00B622F3" w:rsidP="00C942E2">
            <w:pPr>
              <w:spacing w:after="0"/>
              <w:rPr>
                <w:rFonts w:cs="Calibri Light"/>
                <w:sz w:val="18"/>
                <w:szCs w:val="18"/>
              </w:rPr>
            </w:pPr>
            <w:r w:rsidRPr="00AD17EF">
              <w:rPr>
                <w:rFonts w:cs="Calibri Light"/>
                <w:sz w:val="18"/>
                <w:szCs w:val="18"/>
              </w:rPr>
              <w:t>Impact = 3</w:t>
            </w:r>
          </w:p>
        </w:tc>
        <w:tc>
          <w:tcPr>
            <w:tcW w:w="5529" w:type="dxa"/>
          </w:tcPr>
          <w:p w:rsidR="00B622F3" w:rsidRPr="00AD17EF" w:rsidRDefault="00B622F3" w:rsidP="009D6B25">
            <w:pPr>
              <w:numPr>
                <w:ilvl w:val="0"/>
                <w:numId w:val="9"/>
              </w:numPr>
              <w:spacing w:after="0"/>
              <w:ind w:left="317"/>
              <w:rPr>
                <w:rFonts w:cs="Calibri Light"/>
                <w:sz w:val="18"/>
                <w:szCs w:val="18"/>
              </w:rPr>
            </w:pPr>
            <w:r w:rsidRPr="00AD17EF">
              <w:rPr>
                <w:rFonts w:cs="Calibri Light"/>
                <w:sz w:val="18"/>
                <w:szCs w:val="18"/>
              </w:rPr>
              <w:t>All activities, budget and expenditure will be analysed more tightly in terms of ‘value for money’</w:t>
            </w:r>
          </w:p>
          <w:p w:rsidR="00B622F3" w:rsidRPr="00AD17EF" w:rsidRDefault="00B622F3" w:rsidP="009D6B25">
            <w:pPr>
              <w:numPr>
                <w:ilvl w:val="0"/>
                <w:numId w:val="9"/>
              </w:numPr>
              <w:spacing w:after="0"/>
              <w:ind w:left="317"/>
              <w:rPr>
                <w:rFonts w:cs="Calibri Light"/>
                <w:sz w:val="18"/>
                <w:szCs w:val="18"/>
              </w:rPr>
            </w:pPr>
            <w:r w:rsidRPr="00AD17EF">
              <w:rPr>
                <w:rFonts w:cs="Calibri Light"/>
                <w:sz w:val="18"/>
                <w:szCs w:val="18"/>
              </w:rPr>
              <w:t>Contingency budget will be established</w:t>
            </w:r>
          </w:p>
          <w:p w:rsidR="00B622F3" w:rsidRPr="00AD17EF" w:rsidRDefault="00B622F3" w:rsidP="009D6B25">
            <w:pPr>
              <w:numPr>
                <w:ilvl w:val="0"/>
                <w:numId w:val="9"/>
              </w:numPr>
              <w:spacing w:after="0"/>
              <w:ind w:left="317"/>
              <w:rPr>
                <w:rFonts w:cs="Calibri Light"/>
                <w:sz w:val="18"/>
                <w:szCs w:val="18"/>
              </w:rPr>
            </w:pPr>
            <w:r w:rsidRPr="00AD17EF">
              <w:rPr>
                <w:rFonts w:cs="Calibri Light"/>
                <w:sz w:val="18"/>
                <w:szCs w:val="18"/>
              </w:rPr>
              <w:t xml:space="preserve">Closer alignment of anticipated spending needs to tranches of funding are reflected in future disbursement schedule </w:t>
            </w:r>
          </w:p>
        </w:tc>
        <w:tc>
          <w:tcPr>
            <w:tcW w:w="850" w:type="dxa"/>
          </w:tcPr>
          <w:p w:rsidR="00B622F3" w:rsidRPr="00AD17EF" w:rsidRDefault="00B622F3" w:rsidP="00C942E2">
            <w:pPr>
              <w:spacing w:after="0"/>
              <w:rPr>
                <w:rFonts w:cs="Calibri Light"/>
                <w:sz w:val="18"/>
                <w:szCs w:val="18"/>
              </w:rPr>
            </w:pPr>
            <w:r w:rsidRPr="00AD17EF">
              <w:rPr>
                <w:rFonts w:cs="Calibri Light"/>
                <w:sz w:val="18"/>
                <w:szCs w:val="18"/>
              </w:rPr>
              <w:t>UNDP</w:t>
            </w:r>
          </w:p>
        </w:tc>
      </w:tr>
      <w:tr w:rsidR="00B622F3" w:rsidRPr="00135431" w:rsidTr="004A563D">
        <w:tc>
          <w:tcPr>
            <w:tcW w:w="534" w:type="dxa"/>
          </w:tcPr>
          <w:p w:rsidR="00B622F3" w:rsidRPr="00AD17EF" w:rsidRDefault="00B622F3" w:rsidP="00C942E2">
            <w:pPr>
              <w:spacing w:after="0"/>
              <w:rPr>
                <w:rFonts w:cs="Calibri Light"/>
                <w:sz w:val="18"/>
                <w:szCs w:val="18"/>
              </w:rPr>
            </w:pPr>
            <w:r w:rsidRPr="00AD17EF">
              <w:rPr>
                <w:rFonts w:cs="Calibri Light"/>
                <w:sz w:val="18"/>
                <w:szCs w:val="18"/>
              </w:rPr>
              <w:t>16</w:t>
            </w:r>
          </w:p>
        </w:tc>
        <w:tc>
          <w:tcPr>
            <w:tcW w:w="4394" w:type="dxa"/>
          </w:tcPr>
          <w:p w:rsidR="00B622F3" w:rsidRPr="00AD17EF" w:rsidRDefault="00B622F3" w:rsidP="00C942E2">
            <w:pPr>
              <w:spacing w:after="0"/>
              <w:rPr>
                <w:rFonts w:cs="Calibri Light"/>
                <w:sz w:val="18"/>
                <w:szCs w:val="18"/>
              </w:rPr>
            </w:pPr>
            <w:r w:rsidRPr="00AD17EF">
              <w:rPr>
                <w:rFonts w:cs="Calibri Light"/>
                <w:sz w:val="18"/>
                <w:szCs w:val="18"/>
              </w:rPr>
              <w:t xml:space="preserve">Regional agents don’t have the capacity to influence PICs policies and practices </w:t>
            </w:r>
          </w:p>
        </w:tc>
        <w:tc>
          <w:tcPr>
            <w:tcW w:w="1417" w:type="dxa"/>
          </w:tcPr>
          <w:p w:rsidR="00B622F3" w:rsidRPr="00AD17EF" w:rsidRDefault="00B622F3" w:rsidP="00C942E2">
            <w:pPr>
              <w:spacing w:after="0"/>
              <w:rPr>
                <w:rFonts w:cs="Calibri Light"/>
                <w:sz w:val="18"/>
                <w:szCs w:val="18"/>
                <w:lang w:val="en-US"/>
              </w:rPr>
            </w:pPr>
            <w:r w:rsidRPr="00AD17EF">
              <w:rPr>
                <w:rFonts w:cs="Calibri Light"/>
                <w:sz w:val="18"/>
                <w:szCs w:val="18"/>
                <w:lang w:val="en-US"/>
              </w:rPr>
              <w:t xml:space="preserve">Operational </w:t>
            </w:r>
          </w:p>
        </w:tc>
        <w:tc>
          <w:tcPr>
            <w:tcW w:w="1701" w:type="dxa"/>
          </w:tcPr>
          <w:p w:rsidR="00B622F3" w:rsidRPr="00AD17EF" w:rsidRDefault="00B622F3" w:rsidP="00C942E2">
            <w:pPr>
              <w:spacing w:after="0"/>
              <w:rPr>
                <w:rFonts w:cs="Calibri Light"/>
                <w:sz w:val="18"/>
                <w:szCs w:val="18"/>
              </w:rPr>
            </w:pPr>
            <w:r w:rsidRPr="00AD17EF">
              <w:rPr>
                <w:rFonts w:cs="Calibri Light"/>
                <w:sz w:val="18"/>
                <w:szCs w:val="18"/>
              </w:rPr>
              <w:t>Likelihood = 2</w:t>
            </w:r>
          </w:p>
          <w:p w:rsidR="00B622F3" w:rsidRPr="00AD17EF" w:rsidRDefault="00B622F3" w:rsidP="00C942E2">
            <w:pPr>
              <w:spacing w:after="0"/>
              <w:rPr>
                <w:rFonts w:cs="Calibri Light"/>
                <w:sz w:val="18"/>
                <w:szCs w:val="18"/>
              </w:rPr>
            </w:pPr>
            <w:r w:rsidRPr="00AD17EF">
              <w:rPr>
                <w:rFonts w:cs="Calibri Light"/>
                <w:sz w:val="18"/>
                <w:szCs w:val="18"/>
              </w:rPr>
              <w:t>Impact = 4</w:t>
            </w:r>
          </w:p>
        </w:tc>
        <w:tc>
          <w:tcPr>
            <w:tcW w:w="5529" w:type="dxa"/>
          </w:tcPr>
          <w:p w:rsidR="00B622F3" w:rsidRPr="00AD17EF" w:rsidRDefault="00B622F3" w:rsidP="009D6B25">
            <w:pPr>
              <w:numPr>
                <w:ilvl w:val="0"/>
                <w:numId w:val="9"/>
              </w:numPr>
              <w:spacing w:after="0"/>
              <w:ind w:left="317"/>
              <w:rPr>
                <w:rFonts w:cs="Calibri Light"/>
                <w:sz w:val="18"/>
                <w:szCs w:val="18"/>
              </w:rPr>
            </w:pPr>
            <w:r w:rsidRPr="00AD17EF">
              <w:rPr>
                <w:rFonts w:cs="Calibri Light"/>
                <w:sz w:val="18"/>
                <w:szCs w:val="18"/>
              </w:rPr>
              <w:t xml:space="preserve">Identified as a core assumption in the </w:t>
            </w:r>
            <w:r w:rsidR="00253797">
              <w:rPr>
                <w:rFonts w:cs="Calibri Light"/>
                <w:sz w:val="18"/>
                <w:szCs w:val="18"/>
              </w:rPr>
              <w:t>project</w:t>
            </w:r>
            <w:r w:rsidRPr="00AD17EF">
              <w:rPr>
                <w:rFonts w:cs="Calibri Light"/>
                <w:sz w:val="18"/>
                <w:szCs w:val="18"/>
              </w:rPr>
              <w:t xml:space="preserve"> which will be regularly </w:t>
            </w:r>
            <w:proofErr w:type="gramStart"/>
            <w:r w:rsidRPr="00AD17EF">
              <w:rPr>
                <w:rFonts w:cs="Calibri Light"/>
                <w:sz w:val="18"/>
                <w:szCs w:val="18"/>
              </w:rPr>
              <w:t>monitored</w:t>
            </w:r>
            <w:proofErr w:type="gramEnd"/>
            <w:r w:rsidRPr="00AD17EF">
              <w:rPr>
                <w:rFonts w:cs="Calibri Light"/>
                <w:sz w:val="18"/>
                <w:szCs w:val="18"/>
              </w:rPr>
              <w:t xml:space="preserve"> and programming will be adapted </w:t>
            </w:r>
          </w:p>
          <w:p w:rsidR="00B622F3" w:rsidRPr="00AD17EF" w:rsidRDefault="00B622F3" w:rsidP="009D6B25">
            <w:pPr>
              <w:numPr>
                <w:ilvl w:val="0"/>
                <w:numId w:val="9"/>
              </w:numPr>
              <w:spacing w:after="0"/>
              <w:ind w:left="317"/>
              <w:rPr>
                <w:rFonts w:cs="Calibri Light"/>
                <w:sz w:val="18"/>
                <w:szCs w:val="18"/>
              </w:rPr>
            </w:pPr>
            <w:r w:rsidRPr="00AD17EF">
              <w:rPr>
                <w:rFonts w:cs="Calibri Light"/>
                <w:sz w:val="18"/>
                <w:szCs w:val="18"/>
              </w:rPr>
              <w:t xml:space="preserve">Select regional agents according to the influence </w:t>
            </w:r>
          </w:p>
        </w:tc>
        <w:tc>
          <w:tcPr>
            <w:tcW w:w="850" w:type="dxa"/>
          </w:tcPr>
          <w:p w:rsidR="00B622F3" w:rsidRPr="00AD17EF" w:rsidRDefault="00B622F3" w:rsidP="00C942E2">
            <w:pPr>
              <w:spacing w:after="0"/>
              <w:rPr>
                <w:rFonts w:cs="Calibri Light"/>
                <w:sz w:val="18"/>
                <w:szCs w:val="18"/>
              </w:rPr>
            </w:pPr>
            <w:r w:rsidRPr="00AD17EF">
              <w:rPr>
                <w:rFonts w:cs="Calibri Light"/>
                <w:sz w:val="18"/>
                <w:szCs w:val="18"/>
              </w:rPr>
              <w:t>UNDP</w:t>
            </w:r>
          </w:p>
        </w:tc>
      </w:tr>
      <w:tr w:rsidR="00B622F3" w:rsidRPr="00135431" w:rsidTr="004A563D">
        <w:tc>
          <w:tcPr>
            <w:tcW w:w="534" w:type="dxa"/>
          </w:tcPr>
          <w:p w:rsidR="00B622F3" w:rsidRPr="00AD17EF" w:rsidRDefault="00B622F3" w:rsidP="00C942E2">
            <w:pPr>
              <w:spacing w:after="0"/>
              <w:rPr>
                <w:rFonts w:cs="Calibri Light"/>
                <w:sz w:val="18"/>
                <w:szCs w:val="18"/>
              </w:rPr>
            </w:pPr>
            <w:r w:rsidRPr="00AD17EF">
              <w:rPr>
                <w:rFonts w:cs="Calibri Light"/>
                <w:sz w:val="18"/>
                <w:szCs w:val="18"/>
              </w:rPr>
              <w:t>17</w:t>
            </w:r>
          </w:p>
        </w:tc>
        <w:tc>
          <w:tcPr>
            <w:tcW w:w="4394" w:type="dxa"/>
          </w:tcPr>
          <w:p w:rsidR="00B622F3" w:rsidRPr="00AD17EF" w:rsidRDefault="00B622F3" w:rsidP="00C942E2">
            <w:pPr>
              <w:spacing w:after="0"/>
              <w:rPr>
                <w:rFonts w:cs="Calibri Light"/>
                <w:sz w:val="18"/>
                <w:szCs w:val="18"/>
              </w:rPr>
            </w:pPr>
            <w:r w:rsidRPr="00AD17EF">
              <w:rPr>
                <w:rFonts w:cs="Calibri Light"/>
                <w:sz w:val="18"/>
                <w:szCs w:val="18"/>
              </w:rPr>
              <w:t xml:space="preserve">Regional agents have motivations and interests that do not align with or shift from the </w:t>
            </w:r>
            <w:r w:rsidR="00253797">
              <w:rPr>
                <w:rFonts w:cs="Calibri Light"/>
                <w:sz w:val="18"/>
                <w:szCs w:val="18"/>
              </w:rPr>
              <w:t>project</w:t>
            </w:r>
          </w:p>
        </w:tc>
        <w:tc>
          <w:tcPr>
            <w:tcW w:w="1417" w:type="dxa"/>
          </w:tcPr>
          <w:p w:rsidR="00B622F3" w:rsidRPr="00AD17EF" w:rsidRDefault="00B622F3" w:rsidP="00C942E2">
            <w:pPr>
              <w:tabs>
                <w:tab w:val="left" w:pos="1950"/>
              </w:tabs>
              <w:spacing w:after="0"/>
              <w:rPr>
                <w:rFonts w:cs="Calibri Light"/>
                <w:sz w:val="18"/>
                <w:szCs w:val="18"/>
                <w:lang w:val="en-US"/>
              </w:rPr>
            </w:pPr>
            <w:r w:rsidRPr="00AD17EF">
              <w:rPr>
                <w:rFonts w:cs="Calibri Light"/>
                <w:sz w:val="18"/>
                <w:szCs w:val="18"/>
                <w:lang w:val="en-US"/>
              </w:rPr>
              <w:t xml:space="preserve">Political </w:t>
            </w:r>
          </w:p>
        </w:tc>
        <w:tc>
          <w:tcPr>
            <w:tcW w:w="1701" w:type="dxa"/>
          </w:tcPr>
          <w:p w:rsidR="00B622F3" w:rsidRPr="00AD17EF" w:rsidRDefault="00B622F3" w:rsidP="00C942E2">
            <w:pPr>
              <w:spacing w:after="0"/>
              <w:rPr>
                <w:rFonts w:cs="Calibri Light"/>
                <w:sz w:val="18"/>
                <w:szCs w:val="18"/>
              </w:rPr>
            </w:pPr>
            <w:r w:rsidRPr="00AD17EF">
              <w:rPr>
                <w:rFonts w:cs="Calibri Light"/>
                <w:sz w:val="18"/>
                <w:szCs w:val="18"/>
              </w:rPr>
              <w:t xml:space="preserve">Likelihood = 3 </w:t>
            </w:r>
          </w:p>
          <w:p w:rsidR="00B622F3" w:rsidRPr="00AD17EF" w:rsidRDefault="00B622F3" w:rsidP="00C942E2">
            <w:pPr>
              <w:spacing w:after="0"/>
              <w:rPr>
                <w:rFonts w:cs="Calibri Light"/>
                <w:sz w:val="18"/>
                <w:szCs w:val="18"/>
              </w:rPr>
            </w:pPr>
            <w:r w:rsidRPr="00AD17EF">
              <w:rPr>
                <w:rFonts w:cs="Calibri Light"/>
                <w:sz w:val="18"/>
                <w:szCs w:val="18"/>
              </w:rPr>
              <w:t>Impact = 4</w:t>
            </w:r>
          </w:p>
        </w:tc>
        <w:tc>
          <w:tcPr>
            <w:tcW w:w="5529" w:type="dxa"/>
          </w:tcPr>
          <w:p w:rsidR="00B622F3" w:rsidRPr="00AD17EF" w:rsidRDefault="00B622F3" w:rsidP="009D6B25">
            <w:pPr>
              <w:numPr>
                <w:ilvl w:val="0"/>
                <w:numId w:val="9"/>
              </w:numPr>
              <w:spacing w:after="0"/>
              <w:ind w:left="317"/>
              <w:rPr>
                <w:rFonts w:cs="Calibri Light"/>
                <w:sz w:val="18"/>
                <w:szCs w:val="18"/>
              </w:rPr>
            </w:pPr>
            <w:r w:rsidRPr="00AD17EF">
              <w:rPr>
                <w:rFonts w:cs="Calibri Light"/>
                <w:sz w:val="18"/>
                <w:szCs w:val="18"/>
              </w:rPr>
              <w:t xml:space="preserve">Identifying agents that have common interests </w:t>
            </w:r>
          </w:p>
          <w:p w:rsidR="00B622F3" w:rsidRPr="00AD17EF" w:rsidRDefault="00B622F3" w:rsidP="009D6B25">
            <w:pPr>
              <w:numPr>
                <w:ilvl w:val="0"/>
                <w:numId w:val="9"/>
              </w:numPr>
              <w:spacing w:after="0"/>
              <w:ind w:left="317"/>
              <w:rPr>
                <w:rFonts w:cs="Calibri Light"/>
                <w:sz w:val="18"/>
                <w:szCs w:val="18"/>
              </w:rPr>
            </w:pPr>
            <w:r w:rsidRPr="00AD17EF">
              <w:rPr>
                <w:rFonts w:cs="Calibri Light"/>
                <w:sz w:val="18"/>
                <w:szCs w:val="18"/>
              </w:rPr>
              <w:t>Undertake ongoing Political Economy Analysis</w:t>
            </w:r>
          </w:p>
          <w:p w:rsidR="00B622F3" w:rsidRPr="00AD17EF" w:rsidRDefault="00B622F3" w:rsidP="009D6B25">
            <w:pPr>
              <w:numPr>
                <w:ilvl w:val="0"/>
                <w:numId w:val="9"/>
              </w:numPr>
              <w:spacing w:after="0"/>
              <w:ind w:left="317"/>
              <w:rPr>
                <w:rFonts w:cs="Calibri Light"/>
                <w:sz w:val="18"/>
                <w:szCs w:val="18"/>
              </w:rPr>
            </w:pPr>
            <w:r w:rsidRPr="00AD17EF">
              <w:rPr>
                <w:rFonts w:cs="Calibri Light"/>
                <w:sz w:val="18"/>
                <w:szCs w:val="18"/>
              </w:rPr>
              <w:t>Ongoing monitoring of regional agents and their relative influence in the RID space</w:t>
            </w:r>
          </w:p>
          <w:p w:rsidR="00B622F3" w:rsidRPr="00AD17EF" w:rsidRDefault="00B622F3" w:rsidP="009D6B25">
            <w:pPr>
              <w:numPr>
                <w:ilvl w:val="0"/>
                <w:numId w:val="9"/>
              </w:numPr>
              <w:spacing w:after="0"/>
              <w:ind w:left="317"/>
              <w:rPr>
                <w:rFonts w:cs="Calibri Light"/>
                <w:sz w:val="18"/>
                <w:szCs w:val="18"/>
              </w:rPr>
            </w:pPr>
            <w:r w:rsidRPr="00AD17EF">
              <w:rPr>
                <w:rFonts w:cs="Calibri Light"/>
                <w:sz w:val="18"/>
                <w:szCs w:val="18"/>
              </w:rPr>
              <w:t>Team to undertake PEA training</w:t>
            </w:r>
          </w:p>
        </w:tc>
        <w:tc>
          <w:tcPr>
            <w:tcW w:w="850" w:type="dxa"/>
          </w:tcPr>
          <w:p w:rsidR="00B622F3" w:rsidRPr="00AD17EF" w:rsidRDefault="00B622F3" w:rsidP="00C942E2">
            <w:pPr>
              <w:spacing w:after="0"/>
              <w:rPr>
                <w:rFonts w:cs="Calibri Light"/>
                <w:sz w:val="18"/>
                <w:szCs w:val="18"/>
              </w:rPr>
            </w:pPr>
            <w:r w:rsidRPr="00AD17EF">
              <w:rPr>
                <w:rFonts w:cs="Calibri Light"/>
                <w:sz w:val="18"/>
                <w:szCs w:val="18"/>
              </w:rPr>
              <w:t>UNDP</w:t>
            </w:r>
          </w:p>
        </w:tc>
      </w:tr>
      <w:tr w:rsidR="00B622F3" w:rsidRPr="00135431" w:rsidTr="004A563D">
        <w:tc>
          <w:tcPr>
            <w:tcW w:w="534" w:type="dxa"/>
          </w:tcPr>
          <w:p w:rsidR="00B622F3" w:rsidRPr="00AD17EF" w:rsidRDefault="00B622F3" w:rsidP="00C942E2">
            <w:pPr>
              <w:spacing w:after="0"/>
              <w:rPr>
                <w:rFonts w:cs="Calibri Light"/>
                <w:sz w:val="18"/>
                <w:szCs w:val="18"/>
              </w:rPr>
            </w:pPr>
            <w:r w:rsidRPr="00AD17EF">
              <w:rPr>
                <w:rFonts w:cs="Calibri Light"/>
                <w:sz w:val="18"/>
                <w:szCs w:val="18"/>
              </w:rPr>
              <w:t>18</w:t>
            </w:r>
          </w:p>
        </w:tc>
        <w:tc>
          <w:tcPr>
            <w:tcW w:w="4394" w:type="dxa"/>
          </w:tcPr>
          <w:p w:rsidR="00B622F3" w:rsidRPr="00AD17EF" w:rsidRDefault="00B622F3" w:rsidP="00C942E2">
            <w:pPr>
              <w:spacing w:after="0"/>
              <w:rPr>
                <w:rFonts w:cs="Calibri Light"/>
                <w:sz w:val="18"/>
                <w:szCs w:val="18"/>
              </w:rPr>
            </w:pPr>
            <w:r w:rsidRPr="00AD17EF">
              <w:rPr>
                <w:rFonts w:cs="Calibri Light"/>
                <w:sz w:val="18"/>
                <w:szCs w:val="18"/>
              </w:rPr>
              <w:t xml:space="preserve">Country representatives do not value lessons from other Pacific countries </w:t>
            </w:r>
          </w:p>
        </w:tc>
        <w:tc>
          <w:tcPr>
            <w:tcW w:w="1417" w:type="dxa"/>
          </w:tcPr>
          <w:p w:rsidR="00B622F3" w:rsidRPr="00AD17EF" w:rsidRDefault="00B622F3" w:rsidP="00C942E2">
            <w:pPr>
              <w:spacing w:after="0"/>
              <w:rPr>
                <w:rFonts w:cs="Calibri Light"/>
                <w:sz w:val="18"/>
                <w:szCs w:val="18"/>
                <w:lang w:val="en-US"/>
              </w:rPr>
            </w:pPr>
            <w:r w:rsidRPr="00AD17EF">
              <w:rPr>
                <w:rFonts w:cs="Calibri Light"/>
                <w:sz w:val="18"/>
                <w:szCs w:val="18"/>
                <w:lang w:val="en-US"/>
              </w:rPr>
              <w:t xml:space="preserve">Strategic </w:t>
            </w:r>
          </w:p>
        </w:tc>
        <w:tc>
          <w:tcPr>
            <w:tcW w:w="1701" w:type="dxa"/>
          </w:tcPr>
          <w:p w:rsidR="00B622F3" w:rsidRPr="00AD17EF" w:rsidRDefault="00B622F3" w:rsidP="00C942E2">
            <w:pPr>
              <w:spacing w:after="0"/>
              <w:rPr>
                <w:rFonts w:cs="Calibri Light"/>
                <w:sz w:val="18"/>
                <w:szCs w:val="18"/>
              </w:rPr>
            </w:pPr>
            <w:r w:rsidRPr="00AD17EF">
              <w:rPr>
                <w:rFonts w:cs="Calibri Light"/>
                <w:sz w:val="18"/>
                <w:szCs w:val="18"/>
              </w:rPr>
              <w:t>Likelihood = 2</w:t>
            </w:r>
          </w:p>
          <w:p w:rsidR="00B622F3" w:rsidRPr="00AD17EF" w:rsidRDefault="00B622F3" w:rsidP="00C942E2">
            <w:pPr>
              <w:spacing w:after="0"/>
              <w:rPr>
                <w:rFonts w:cs="Calibri Light"/>
                <w:sz w:val="18"/>
                <w:szCs w:val="18"/>
              </w:rPr>
            </w:pPr>
            <w:r w:rsidRPr="00AD17EF">
              <w:rPr>
                <w:rFonts w:cs="Calibri Light"/>
                <w:sz w:val="18"/>
                <w:szCs w:val="18"/>
              </w:rPr>
              <w:t>Impact = 4</w:t>
            </w:r>
          </w:p>
        </w:tc>
        <w:tc>
          <w:tcPr>
            <w:tcW w:w="5529" w:type="dxa"/>
          </w:tcPr>
          <w:p w:rsidR="00B622F3" w:rsidRPr="00AD17EF" w:rsidRDefault="00B622F3" w:rsidP="009D6B25">
            <w:pPr>
              <w:numPr>
                <w:ilvl w:val="0"/>
                <w:numId w:val="9"/>
              </w:numPr>
              <w:spacing w:after="0"/>
              <w:ind w:left="317"/>
              <w:rPr>
                <w:rFonts w:cs="Calibri Light"/>
                <w:sz w:val="18"/>
                <w:szCs w:val="18"/>
              </w:rPr>
            </w:pPr>
            <w:r w:rsidRPr="00AD17EF">
              <w:rPr>
                <w:rFonts w:cs="Calibri Light"/>
                <w:sz w:val="18"/>
                <w:szCs w:val="18"/>
              </w:rPr>
              <w:t>Team will work sub-regionally (Micronesia, Melanesia and Polynesia) as well as regionally</w:t>
            </w:r>
          </w:p>
          <w:p w:rsidR="00B622F3" w:rsidRPr="00AD17EF" w:rsidRDefault="00B622F3" w:rsidP="009D6B25">
            <w:pPr>
              <w:numPr>
                <w:ilvl w:val="0"/>
                <w:numId w:val="9"/>
              </w:numPr>
              <w:spacing w:after="0"/>
              <w:ind w:left="317"/>
              <w:rPr>
                <w:rFonts w:cs="Calibri Light"/>
                <w:sz w:val="18"/>
                <w:szCs w:val="18"/>
              </w:rPr>
            </w:pPr>
            <w:r w:rsidRPr="00AD17EF">
              <w:rPr>
                <w:rFonts w:cs="Calibri Light"/>
                <w:sz w:val="18"/>
                <w:szCs w:val="18"/>
              </w:rPr>
              <w:t>Bring in global, regional and national expertise, to diversify potential inputs</w:t>
            </w:r>
          </w:p>
        </w:tc>
        <w:tc>
          <w:tcPr>
            <w:tcW w:w="850" w:type="dxa"/>
          </w:tcPr>
          <w:p w:rsidR="00B622F3" w:rsidRPr="00AD17EF" w:rsidRDefault="00B622F3" w:rsidP="00C942E2">
            <w:pPr>
              <w:spacing w:after="0"/>
              <w:rPr>
                <w:rFonts w:cs="Calibri Light"/>
                <w:sz w:val="18"/>
                <w:szCs w:val="18"/>
              </w:rPr>
            </w:pPr>
            <w:r w:rsidRPr="00AD17EF">
              <w:rPr>
                <w:rFonts w:cs="Calibri Light"/>
                <w:sz w:val="18"/>
                <w:szCs w:val="18"/>
              </w:rPr>
              <w:t>UNDP</w:t>
            </w:r>
          </w:p>
        </w:tc>
      </w:tr>
    </w:tbl>
    <w:p w:rsidR="00B622F3" w:rsidRPr="00135431" w:rsidRDefault="00B622F3" w:rsidP="00EB0F83"/>
    <w:p w:rsidR="001930B8" w:rsidRPr="00135431" w:rsidRDefault="001930B8" w:rsidP="001930B8">
      <w:pPr>
        <w:pStyle w:val="Heading2"/>
        <w:jc w:val="left"/>
        <w:sectPr w:rsidR="001930B8" w:rsidRPr="00135431" w:rsidSect="001930B8">
          <w:pgSz w:w="16838" w:h="11906" w:orient="landscape" w:code="9"/>
          <w:pgMar w:top="1152" w:right="864" w:bottom="1152" w:left="864" w:header="720" w:footer="432" w:gutter="0"/>
          <w:cols w:space="708"/>
          <w:titlePg/>
          <w:docGrid w:linePitch="360"/>
        </w:sectPr>
      </w:pPr>
    </w:p>
    <w:p w:rsidR="00072F56" w:rsidRPr="00135431" w:rsidRDefault="00072F56" w:rsidP="00072F56">
      <w:pPr>
        <w:pStyle w:val="Heading2"/>
        <w:jc w:val="left"/>
      </w:pPr>
      <w:bookmarkStart w:id="105" w:name="_Toc23233900"/>
      <w:bookmarkStart w:id="106" w:name="_Toc25739979"/>
      <w:bookmarkStart w:id="107" w:name="_Toc25740088"/>
      <w:bookmarkStart w:id="108" w:name="_Ref21964703"/>
      <w:bookmarkStart w:id="109" w:name="_Ref21964716"/>
      <w:bookmarkStart w:id="110" w:name="_Toc22745689"/>
      <w:r w:rsidRPr="00135431">
        <w:t xml:space="preserve">ANNEX </w:t>
      </w:r>
      <w:r>
        <w:t>IV</w:t>
      </w:r>
      <w:r w:rsidRPr="00135431">
        <w:t>.</w:t>
      </w:r>
      <w:r>
        <w:tab/>
      </w:r>
      <w:bookmarkEnd w:id="105"/>
      <w:r>
        <w:t>Capacity Assessment</w:t>
      </w:r>
      <w:bookmarkEnd w:id="106"/>
      <w:bookmarkEnd w:id="107"/>
    </w:p>
    <w:p w:rsidR="00072F56" w:rsidRPr="002560A7" w:rsidRDefault="00072F56" w:rsidP="00072F56">
      <w:pPr>
        <w:pStyle w:val="ListParagraph"/>
        <w:ind w:left="0"/>
        <w:rPr>
          <w:sz w:val="20"/>
        </w:rPr>
      </w:pPr>
      <w:r w:rsidRPr="002560A7">
        <w:rPr>
          <w:sz w:val="20"/>
        </w:rPr>
        <w:t>This section is not applicable as the project uses Direct Implementing Modality where the Implementing Partner is UNDP.</w:t>
      </w:r>
    </w:p>
    <w:p w:rsidR="00072F56" w:rsidRPr="00135431" w:rsidRDefault="00072F56" w:rsidP="00072F56">
      <w:pPr>
        <w:pStyle w:val="Heading2"/>
        <w:jc w:val="left"/>
      </w:pPr>
      <w:bookmarkStart w:id="111" w:name="_Toc23233901"/>
      <w:bookmarkStart w:id="112" w:name="_Toc25739980"/>
      <w:bookmarkStart w:id="113" w:name="_Toc25740089"/>
      <w:r w:rsidRPr="00135431">
        <w:t xml:space="preserve">ANNEX </w:t>
      </w:r>
      <w:r>
        <w:t>V</w:t>
      </w:r>
      <w:r w:rsidRPr="00135431">
        <w:t>.</w:t>
      </w:r>
      <w:r>
        <w:tab/>
      </w:r>
      <w:bookmarkEnd w:id="111"/>
      <w:r>
        <w:t>Project Management</w:t>
      </w:r>
      <w:r w:rsidR="002B6834">
        <w:t>: Terms of Reference</w:t>
      </w:r>
      <w:bookmarkEnd w:id="112"/>
      <w:bookmarkEnd w:id="113"/>
    </w:p>
    <w:p w:rsidR="00072F56" w:rsidRDefault="002B6834" w:rsidP="00072F56">
      <w:pPr>
        <w:pStyle w:val="ListParagraph"/>
        <w:spacing w:after="0" w:line="240" w:lineRule="auto"/>
        <w:ind w:left="0"/>
        <w:jc w:val="both"/>
        <w:textAlignment w:val="center"/>
        <w:rPr>
          <w:rFonts w:cs="Calibri Light"/>
          <w:b/>
          <w:sz w:val="18"/>
          <w:szCs w:val="20"/>
        </w:rPr>
      </w:pPr>
      <w:r w:rsidRPr="0040022F">
        <w:rPr>
          <w:rFonts w:cs="Calibri Light"/>
          <w:b/>
          <w:sz w:val="18"/>
          <w:szCs w:val="20"/>
        </w:rPr>
        <w:t>PROJECT MANAGER</w:t>
      </w:r>
    </w:p>
    <w:p w:rsidR="0040022F" w:rsidRPr="0040022F" w:rsidRDefault="0040022F" w:rsidP="0040022F">
      <w:pPr>
        <w:pStyle w:val="ListParagraph"/>
        <w:spacing w:after="0" w:line="240" w:lineRule="auto"/>
        <w:ind w:left="0"/>
        <w:jc w:val="both"/>
        <w:rPr>
          <w:rFonts w:cs="Arial"/>
          <w:b/>
          <w:sz w:val="18"/>
          <w:szCs w:val="20"/>
        </w:rPr>
      </w:pPr>
      <w:r w:rsidRPr="0040022F">
        <w:rPr>
          <w:rFonts w:cs="Arial"/>
          <w:b/>
          <w:sz w:val="18"/>
          <w:szCs w:val="20"/>
        </w:rPr>
        <w:t xml:space="preserve">Management of the </w:t>
      </w:r>
      <w:r w:rsidR="00253797">
        <w:rPr>
          <w:rFonts w:cs="Arial"/>
          <w:b/>
          <w:sz w:val="18"/>
          <w:szCs w:val="20"/>
        </w:rPr>
        <w:t>project</w:t>
      </w:r>
      <w:r w:rsidRPr="0040022F">
        <w:rPr>
          <w:rFonts w:cs="Arial"/>
          <w:b/>
          <w:sz w:val="18"/>
          <w:szCs w:val="20"/>
        </w:rPr>
        <w:t xml:space="preserve"> and supervision of the </w:t>
      </w:r>
      <w:r w:rsidR="00253797">
        <w:rPr>
          <w:rFonts w:cs="Arial"/>
          <w:b/>
          <w:sz w:val="18"/>
          <w:szCs w:val="20"/>
        </w:rPr>
        <w:t>project</w:t>
      </w:r>
      <w:r w:rsidRPr="0040022F">
        <w:rPr>
          <w:rFonts w:cs="Arial"/>
          <w:b/>
          <w:sz w:val="18"/>
          <w:szCs w:val="20"/>
        </w:rPr>
        <w:t xml:space="preserve"> team:</w:t>
      </w:r>
    </w:p>
    <w:p w:rsidR="0040022F" w:rsidRPr="0040022F" w:rsidRDefault="0040022F" w:rsidP="009D6B25">
      <w:pPr>
        <w:pStyle w:val="ListParagraph"/>
        <w:numPr>
          <w:ilvl w:val="0"/>
          <w:numId w:val="25"/>
        </w:numPr>
        <w:spacing w:after="0" w:line="240" w:lineRule="auto"/>
        <w:jc w:val="both"/>
        <w:rPr>
          <w:rFonts w:cs="Arial"/>
          <w:b/>
          <w:sz w:val="18"/>
          <w:szCs w:val="20"/>
        </w:rPr>
      </w:pPr>
      <w:r w:rsidRPr="0040022F">
        <w:rPr>
          <w:rFonts w:cs="Arial"/>
          <w:sz w:val="18"/>
          <w:szCs w:val="20"/>
        </w:rPr>
        <w:t xml:space="preserve">Ensure that the main objectives of the </w:t>
      </w:r>
      <w:r w:rsidR="00253797">
        <w:rPr>
          <w:rFonts w:cs="Arial"/>
          <w:sz w:val="18"/>
          <w:szCs w:val="20"/>
        </w:rPr>
        <w:t>project</w:t>
      </w:r>
      <w:r w:rsidRPr="0040022F">
        <w:rPr>
          <w:rFonts w:cs="Arial"/>
          <w:sz w:val="18"/>
          <w:szCs w:val="20"/>
        </w:rPr>
        <w:t xml:space="preserve"> are achieved in the most efficient and effective manner</w:t>
      </w:r>
    </w:p>
    <w:p w:rsidR="0040022F" w:rsidRPr="0040022F" w:rsidRDefault="0040022F" w:rsidP="009D6B25">
      <w:pPr>
        <w:pStyle w:val="ListParagraph"/>
        <w:numPr>
          <w:ilvl w:val="0"/>
          <w:numId w:val="25"/>
        </w:numPr>
        <w:spacing w:after="0" w:line="240" w:lineRule="auto"/>
        <w:jc w:val="both"/>
        <w:rPr>
          <w:rFonts w:cs="Arial"/>
          <w:b/>
          <w:sz w:val="18"/>
          <w:szCs w:val="20"/>
        </w:rPr>
      </w:pPr>
      <w:r w:rsidRPr="0040022F">
        <w:rPr>
          <w:rFonts w:cs="Arial"/>
          <w:sz w:val="18"/>
          <w:szCs w:val="20"/>
        </w:rPr>
        <w:t xml:space="preserve">Provide strategic oversight of planning, budgeting, implementing and monitoring of the </w:t>
      </w:r>
      <w:r w:rsidR="00253797">
        <w:rPr>
          <w:rFonts w:cs="Arial"/>
          <w:sz w:val="18"/>
          <w:szCs w:val="20"/>
        </w:rPr>
        <w:t>project</w:t>
      </w:r>
      <w:r w:rsidRPr="0040022F">
        <w:rPr>
          <w:rFonts w:cs="Arial"/>
          <w:sz w:val="18"/>
          <w:szCs w:val="20"/>
        </w:rPr>
        <w:t>, tracking use of financial resources in accordance with UNDP rules and regulations</w:t>
      </w:r>
    </w:p>
    <w:p w:rsidR="0040022F" w:rsidRPr="0040022F" w:rsidRDefault="0040022F" w:rsidP="009D6B25">
      <w:pPr>
        <w:pStyle w:val="ListParagraph"/>
        <w:numPr>
          <w:ilvl w:val="0"/>
          <w:numId w:val="25"/>
        </w:numPr>
        <w:spacing w:after="0" w:line="240" w:lineRule="auto"/>
        <w:jc w:val="both"/>
        <w:rPr>
          <w:rFonts w:cs="Arial"/>
          <w:b/>
          <w:sz w:val="18"/>
          <w:szCs w:val="20"/>
        </w:rPr>
      </w:pPr>
      <w:r w:rsidRPr="0040022F">
        <w:rPr>
          <w:rFonts w:cs="Arial"/>
          <w:sz w:val="18"/>
          <w:szCs w:val="20"/>
        </w:rPr>
        <w:t xml:space="preserve">Design and formulation of the </w:t>
      </w:r>
      <w:r w:rsidR="00253797">
        <w:rPr>
          <w:rFonts w:cs="Arial"/>
          <w:sz w:val="18"/>
          <w:szCs w:val="20"/>
        </w:rPr>
        <w:t>project</w:t>
      </w:r>
      <w:r w:rsidRPr="0040022F">
        <w:rPr>
          <w:rFonts w:cs="Arial"/>
          <w:sz w:val="18"/>
          <w:szCs w:val="20"/>
        </w:rPr>
        <w:t xml:space="preserve"> including the framing, implementation, revision and documentation of an agreed Monitoring and Evaluation Framework</w:t>
      </w:r>
    </w:p>
    <w:p w:rsidR="0040022F" w:rsidRPr="0040022F" w:rsidRDefault="0040022F" w:rsidP="009D6B25">
      <w:pPr>
        <w:pStyle w:val="ListParagraph"/>
        <w:numPr>
          <w:ilvl w:val="0"/>
          <w:numId w:val="25"/>
        </w:numPr>
        <w:spacing w:after="0" w:line="240" w:lineRule="auto"/>
        <w:jc w:val="both"/>
        <w:rPr>
          <w:rFonts w:cs="Arial"/>
          <w:b/>
          <w:sz w:val="18"/>
          <w:szCs w:val="20"/>
        </w:rPr>
      </w:pPr>
      <w:r w:rsidRPr="0040022F">
        <w:rPr>
          <w:rFonts w:cs="Arial"/>
          <w:sz w:val="18"/>
          <w:szCs w:val="20"/>
        </w:rPr>
        <w:t xml:space="preserve">Lead the preparation of monitoring and progress reports, work plans, budget and expenditure statements for approval by the </w:t>
      </w:r>
      <w:r w:rsidR="00253797">
        <w:rPr>
          <w:rFonts w:cs="Arial"/>
          <w:sz w:val="18"/>
          <w:szCs w:val="20"/>
        </w:rPr>
        <w:t>Project</w:t>
      </w:r>
      <w:r w:rsidRPr="0040022F">
        <w:rPr>
          <w:rFonts w:cs="Arial"/>
          <w:sz w:val="18"/>
          <w:szCs w:val="20"/>
        </w:rPr>
        <w:t xml:space="preserve"> Board</w:t>
      </w:r>
    </w:p>
    <w:p w:rsidR="0040022F" w:rsidRPr="0040022F" w:rsidRDefault="0040022F" w:rsidP="009D6B25">
      <w:pPr>
        <w:pStyle w:val="ListParagraph"/>
        <w:numPr>
          <w:ilvl w:val="0"/>
          <w:numId w:val="25"/>
        </w:numPr>
        <w:spacing w:after="0" w:line="240" w:lineRule="auto"/>
        <w:jc w:val="both"/>
        <w:rPr>
          <w:rFonts w:cs="Arial"/>
          <w:b/>
          <w:sz w:val="18"/>
          <w:szCs w:val="20"/>
        </w:rPr>
      </w:pPr>
      <w:r w:rsidRPr="0040022F">
        <w:rPr>
          <w:rFonts w:cs="Arial"/>
          <w:sz w:val="18"/>
          <w:szCs w:val="20"/>
        </w:rPr>
        <w:t xml:space="preserve">Supervise and build the professional capacities of the </w:t>
      </w:r>
      <w:r w:rsidR="00253797">
        <w:rPr>
          <w:rFonts w:cs="Arial"/>
          <w:sz w:val="18"/>
          <w:szCs w:val="20"/>
        </w:rPr>
        <w:t>project</w:t>
      </w:r>
      <w:r w:rsidRPr="0040022F">
        <w:rPr>
          <w:rFonts w:cs="Arial"/>
          <w:sz w:val="18"/>
          <w:szCs w:val="20"/>
        </w:rPr>
        <w:t xml:space="preserve"> team</w:t>
      </w:r>
    </w:p>
    <w:p w:rsidR="0040022F" w:rsidRDefault="0040022F" w:rsidP="009D6B25">
      <w:pPr>
        <w:pStyle w:val="ListParagraph"/>
        <w:numPr>
          <w:ilvl w:val="0"/>
          <w:numId w:val="25"/>
        </w:numPr>
        <w:spacing w:after="0" w:line="240" w:lineRule="auto"/>
        <w:jc w:val="both"/>
        <w:rPr>
          <w:rFonts w:cs="Arial"/>
          <w:b/>
          <w:sz w:val="18"/>
          <w:szCs w:val="20"/>
        </w:rPr>
      </w:pPr>
      <w:r w:rsidRPr="0040022F">
        <w:rPr>
          <w:rFonts w:cs="Arial"/>
          <w:sz w:val="18"/>
          <w:szCs w:val="20"/>
        </w:rPr>
        <w:t xml:space="preserve">Ensure that the </w:t>
      </w:r>
      <w:r w:rsidR="00253797">
        <w:rPr>
          <w:rFonts w:cs="Arial"/>
          <w:sz w:val="18"/>
          <w:szCs w:val="20"/>
        </w:rPr>
        <w:t>project</w:t>
      </w:r>
      <w:r w:rsidRPr="0040022F">
        <w:rPr>
          <w:rFonts w:cs="Arial"/>
          <w:sz w:val="18"/>
          <w:szCs w:val="20"/>
        </w:rPr>
        <w:t xml:space="preserve"> enhances </w:t>
      </w:r>
      <w:r w:rsidR="00FB5FAA">
        <w:rPr>
          <w:rFonts w:cs="Arial"/>
          <w:sz w:val="18"/>
          <w:szCs w:val="20"/>
        </w:rPr>
        <w:t>government</w:t>
      </w:r>
      <w:r w:rsidRPr="0040022F">
        <w:rPr>
          <w:rFonts w:cs="Arial"/>
          <w:sz w:val="18"/>
          <w:szCs w:val="20"/>
        </w:rPr>
        <w:t xml:space="preserve"> ownership, promotes institutionalisation of DRM initiatives and sustainability</w:t>
      </w:r>
    </w:p>
    <w:p w:rsidR="0040022F" w:rsidRPr="0040022F" w:rsidRDefault="0040022F" w:rsidP="009D6B25">
      <w:pPr>
        <w:pStyle w:val="ListParagraph"/>
        <w:numPr>
          <w:ilvl w:val="0"/>
          <w:numId w:val="25"/>
        </w:numPr>
        <w:spacing w:after="0" w:line="240" w:lineRule="auto"/>
        <w:jc w:val="both"/>
        <w:rPr>
          <w:rFonts w:cs="Arial"/>
          <w:b/>
          <w:sz w:val="18"/>
          <w:szCs w:val="20"/>
        </w:rPr>
      </w:pPr>
      <w:r w:rsidRPr="0040022F">
        <w:rPr>
          <w:rFonts w:cs="Arial"/>
          <w:sz w:val="18"/>
          <w:szCs w:val="20"/>
        </w:rPr>
        <w:t>Ensure the identification of clear and achievable physical and financial targets, a realistic work plan to reach them and an agreed upon monitoring and reporting system for the INGO implementing partner</w:t>
      </w:r>
    </w:p>
    <w:tbl>
      <w:tblPr>
        <w:tblW w:w="9634" w:type="dxa"/>
        <w:shd w:val="clear" w:color="auto" w:fill="E0E0E0"/>
        <w:tblLook w:val="0000" w:firstRow="0" w:lastRow="0" w:firstColumn="0" w:lastColumn="0" w:noHBand="0" w:noVBand="0"/>
      </w:tblPr>
      <w:tblGrid>
        <w:gridCol w:w="9634"/>
      </w:tblGrid>
      <w:tr w:rsidR="00072F56" w:rsidRPr="0040022F" w:rsidTr="00072F56">
        <w:tc>
          <w:tcPr>
            <w:tcW w:w="9634" w:type="dxa"/>
          </w:tcPr>
          <w:p w:rsidR="00072F56" w:rsidRPr="0040022F" w:rsidRDefault="00072F56" w:rsidP="002B6834">
            <w:pPr>
              <w:spacing w:after="0" w:line="240" w:lineRule="auto"/>
              <w:jc w:val="both"/>
              <w:rPr>
                <w:rFonts w:cs="Arial"/>
                <w:b/>
                <w:sz w:val="18"/>
                <w:szCs w:val="20"/>
              </w:rPr>
            </w:pPr>
            <w:r w:rsidRPr="0040022F">
              <w:rPr>
                <w:rFonts w:cs="Arial"/>
                <w:b/>
                <w:sz w:val="18"/>
                <w:szCs w:val="20"/>
              </w:rPr>
              <w:t xml:space="preserve">Policy and </w:t>
            </w:r>
            <w:r w:rsidR="00253797">
              <w:rPr>
                <w:rFonts w:cs="Arial"/>
                <w:b/>
                <w:sz w:val="18"/>
                <w:szCs w:val="20"/>
              </w:rPr>
              <w:t>Project</w:t>
            </w:r>
            <w:r w:rsidRPr="0040022F">
              <w:rPr>
                <w:rFonts w:cs="Arial"/>
                <w:b/>
                <w:sz w:val="18"/>
                <w:szCs w:val="20"/>
              </w:rPr>
              <w:t xml:space="preserve"> Services</w:t>
            </w:r>
          </w:p>
          <w:p w:rsidR="00072F56" w:rsidRPr="0040022F" w:rsidRDefault="00072F56" w:rsidP="009D6B25">
            <w:pPr>
              <w:pStyle w:val="ListParagraph"/>
              <w:numPr>
                <w:ilvl w:val="0"/>
                <w:numId w:val="25"/>
              </w:numPr>
              <w:spacing w:after="0" w:line="240" w:lineRule="auto"/>
              <w:jc w:val="both"/>
              <w:rPr>
                <w:rFonts w:cs="Arial"/>
                <w:sz w:val="18"/>
                <w:szCs w:val="20"/>
              </w:rPr>
            </w:pPr>
            <w:r w:rsidRPr="0040022F">
              <w:rPr>
                <w:rFonts w:cs="Arial"/>
                <w:sz w:val="18"/>
                <w:szCs w:val="20"/>
              </w:rPr>
              <w:t xml:space="preserve">Ensure that the best technical assistance is provided for project implementation </w:t>
            </w:r>
          </w:p>
          <w:p w:rsidR="00072F56" w:rsidRPr="0040022F" w:rsidRDefault="00072F56" w:rsidP="009D6B25">
            <w:pPr>
              <w:pStyle w:val="ListParagraph"/>
              <w:numPr>
                <w:ilvl w:val="0"/>
                <w:numId w:val="25"/>
              </w:numPr>
              <w:spacing w:after="0" w:line="240" w:lineRule="auto"/>
              <w:jc w:val="both"/>
              <w:rPr>
                <w:rFonts w:cs="Arial"/>
                <w:sz w:val="18"/>
                <w:szCs w:val="20"/>
              </w:rPr>
            </w:pPr>
            <w:r w:rsidRPr="0040022F">
              <w:rPr>
                <w:rFonts w:cs="Arial"/>
                <w:sz w:val="18"/>
                <w:szCs w:val="20"/>
              </w:rPr>
              <w:t xml:space="preserve">Lead the analytical and policy development work of the team and ensure high quality products </w:t>
            </w:r>
          </w:p>
          <w:p w:rsidR="00072F56" w:rsidRPr="0040022F" w:rsidRDefault="00072F56" w:rsidP="009D6B25">
            <w:pPr>
              <w:pStyle w:val="ListParagraph"/>
              <w:numPr>
                <w:ilvl w:val="0"/>
                <w:numId w:val="25"/>
              </w:numPr>
              <w:spacing w:after="0" w:line="240" w:lineRule="auto"/>
              <w:jc w:val="both"/>
              <w:rPr>
                <w:rFonts w:cs="Arial"/>
                <w:sz w:val="18"/>
                <w:szCs w:val="20"/>
              </w:rPr>
            </w:pPr>
            <w:r w:rsidRPr="0040022F">
              <w:rPr>
                <w:rFonts w:cs="Arial"/>
                <w:sz w:val="18"/>
                <w:szCs w:val="20"/>
              </w:rPr>
              <w:t xml:space="preserve">Work with a number of counterparts including </w:t>
            </w:r>
            <w:r w:rsidR="00FB5FAA">
              <w:rPr>
                <w:rFonts w:cs="Arial"/>
                <w:sz w:val="18"/>
                <w:szCs w:val="20"/>
              </w:rPr>
              <w:t>government</w:t>
            </w:r>
            <w:r w:rsidRPr="0040022F">
              <w:rPr>
                <w:rFonts w:cs="Arial"/>
                <w:sz w:val="18"/>
                <w:szCs w:val="20"/>
              </w:rPr>
              <w:t>s of the targeted countries and key national and regional institutions towards strengthening DRM capacities</w:t>
            </w:r>
          </w:p>
          <w:p w:rsidR="00072F56" w:rsidRPr="0040022F" w:rsidRDefault="00072F56" w:rsidP="009D6B25">
            <w:pPr>
              <w:pStyle w:val="ListParagraph"/>
              <w:numPr>
                <w:ilvl w:val="0"/>
                <w:numId w:val="25"/>
              </w:numPr>
              <w:spacing w:after="0" w:line="240" w:lineRule="auto"/>
              <w:jc w:val="both"/>
              <w:rPr>
                <w:rFonts w:cs="Arial"/>
                <w:sz w:val="18"/>
                <w:szCs w:val="20"/>
              </w:rPr>
            </w:pPr>
            <w:r w:rsidRPr="0040022F">
              <w:rPr>
                <w:rFonts w:cs="Arial"/>
                <w:sz w:val="18"/>
                <w:szCs w:val="20"/>
              </w:rPr>
              <w:t xml:space="preserve">Encourage cross-practice work in the course of implementing the </w:t>
            </w:r>
            <w:r w:rsidR="00253797">
              <w:rPr>
                <w:rFonts w:cs="Arial"/>
                <w:sz w:val="18"/>
                <w:szCs w:val="20"/>
              </w:rPr>
              <w:t>project</w:t>
            </w:r>
            <w:r w:rsidRPr="0040022F">
              <w:rPr>
                <w:rFonts w:cs="Arial"/>
                <w:sz w:val="18"/>
                <w:szCs w:val="20"/>
              </w:rPr>
              <w:t xml:space="preserve"> including considerations of the environment, gender, human rights and natural resources management</w:t>
            </w:r>
          </w:p>
          <w:p w:rsidR="00072F56" w:rsidRPr="0040022F" w:rsidRDefault="00072F56" w:rsidP="009D6B25">
            <w:pPr>
              <w:pStyle w:val="ListParagraph"/>
              <w:numPr>
                <w:ilvl w:val="0"/>
                <w:numId w:val="25"/>
              </w:numPr>
              <w:spacing w:after="0" w:line="240" w:lineRule="auto"/>
              <w:jc w:val="both"/>
              <w:rPr>
                <w:rFonts w:cs="Arial"/>
                <w:sz w:val="18"/>
                <w:szCs w:val="20"/>
              </w:rPr>
            </w:pPr>
            <w:r w:rsidRPr="0040022F">
              <w:rPr>
                <w:rFonts w:cs="Arial"/>
                <w:sz w:val="18"/>
                <w:szCs w:val="20"/>
              </w:rPr>
              <w:t xml:space="preserve">Ensure the highest UNDP standards in the provision of technical and advisory inputs, organization of workshops, seminars, training and delivery of outputs. </w:t>
            </w:r>
          </w:p>
        </w:tc>
      </w:tr>
      <w:tr w:rsidR="00072F56" w:rsidRPr="0040022F" w:rsidTr="00072F56">
        <w:tc>
          <w:tcPr>
            <w:tcW w:w="9634" w:type="dxa"/>
          </w:tcPr>
          <w:p w:rsidR="00072F56" w:rsidRPr="0040022F" w:rsidRDefault="00072F56" w:rsidP="002B6834">
            <w:pPr>
              <w:spacing w:after="0" w:line="240" w:lineRule="auto"/>
              <w:jc w:val="both"/>
              <w:rPr>
                <w:rFonts w:cs="Arial"/>
                <w:b/>
                <w:sz w:val="18"/>
                <w:szCs w:val="20"/>
              </w:rPr>
            </w:pPr>
            <w:r w:rsidRPr="0040022F">
              <w:rPr>
                <w:rFonts w:cs="Arial"/>
                <w:b/>
                <w:sz w:val="18"/>
                <w:szCs w:val="20"/>
              </w:rPr>
              <w:t>Strategic partnerships and resource mobilization:</w:t>
            </w:r>
          </w:p>
          <w:p w:rsidR="00072F56" w:rsidRPr="0040022F" w:rsidRDefault="00072F56" w:rsidP="009D6B25">
            <w:pPr>
              <w:pStyle w:val="ListParagraph"/>
              <w:numPr>
                <w:ilvl w:val="0"/>
                <w:numId w:val="25"/>
              </w:numPr>
              <w:spacing w:after="0" w:line="240" w:lineRule="auto"/>
              <w:jc w:val="both"/>
              <w:rPr>
                <w:rFonts w:cs="Arial"/>
                <w:sz w:val="18"/>
                <w:szCs w:val="20"/>
              </w:rPr>
            </w:pPr>
            <w:r w:rsidRPr="0040022F">
              <w:rPr>
                <w:rFonts w:cs="Arial"/>
                <w:sz w:val="18"/>
                <w:szCs w:val="20"/>
              </w:rPr>
              <w:t>Work with a number of counterparts including governments of the different island countries in the region and key regional / national institutions towards strengthening DRM capacities</w:t>
            </w:r>
          </w:p>
          <w:p w:rsidR="00072F56" w:rsidRPr="0040022F" w:rsidRDefault="00072F56" w:rsidP="009D6B25">
            <w:pPr>
              <w:pStyle w:val="ListParagraph"/>
              <w:numPr>
                <w:ilvl w:val="0"/>
                <w:numId w:val="25"/>
              </w:numPr>
              <w:spacing w:after="0" w:line="240" w:lineRule="auto"/>
              <w:jc w:val="both"/>
              <w:rPr>
                <w:rFonts w:cs="Arial"/>
                <w:sz w:val="18"/>
                <w:szCs w:val="20"/>
              </w:rPr>
            </w:pPr>
            <w:r w:rsidRPr="0040022F">
              <w:rPr>
                <w:rFonts w:cs="Arial"/>
                <w:sz w:val="18"/>
                <w:szCs w:val="20"/>
              </w:rPr>
              <w:t xml:space="preserve">Coordinate with other agencies at national and regional levels to ensure effective and efficient implementation of the </w:t>
            </w:r>
            <w:r w:rsidR="00253797">
              <w:rPr>
                <w:rFonts w:cs="Arial"/>
                <w:sz w:val="18"/>
                <w:szCs w:val="20"/>
              </w:rPr>
              <w:t>project</w:t>
            </w:r>
          </w:p>
          <w:p w:rsidR="00072F56" w:rsidRPr="0040022F" w:rsidRDefault="00072F56" w:rsidP="009D6B25">
            <w:pPr>
              <w:pStyle w:val="ListParagraph"/>
              <w:numPr>
                <w:ilvl w:val="0"/>
                <w:numId w:val="25"/>
              </w:numPr>
              <w:spacing w:after="0" w:line="240" w:lineRule="auto"/>
              <w:jc w:val="both"/>
              <w:rPr>
                <w:rFonts w:cs="Arial"/>
                <w:sz w:val="18"/>
                <w:szCs w:val="20"/>
              </w:rPr>
            </w:pPr>
            <w:r w:rsidRPr="0040022F">
              <w:rPr>
                <w:rFonts w:cs="Arial"/>
                <w:sz w:val="18"/>
                <w:szCs w:val="20"/>
              </w:rPr>
              <w:t>Creation and coordination of partnerships among the various beneficiary entities, implementing partners, donors, other actors in the field of DRM and CCA and the partner governments for a timely, resource-bound and effective implementation of the project activities</w:t>
            </w:r>
          </w:p>
          <w:p w:rsidR="00072F56" w:rsidRPr="0040022F" w:rsidRDefault="00072F56" w:rsidP="009D6B25">
            <w:pPr>
              <w:pStyle w:val="ListParagraph"/>
              <w:numPr>
                <w:ilvl w:val="0"/>
                <w:numId w:val="25"/>
              </w:numPr>
              <w:spacing w:after="0" w:line="240" w:lineRule="auto"/>
              <w:jc w:val="both"/>
              <w:rPr>
                <w:rFonts w:cs="Arial"/>
                <w:sz w:val="18"/>
                <w:szCs w:val="20"/>
              </w:rPr>
            </w:pPr>
            <w:r w:rsidRPr="0040022F">
              <w:rPr>
                <w:rFonts w:cs="Arial"/>
                <w:sz w:val="18"/>
                <w:szCs w:val="20"/>
              </w:rPr>
              <w:t xml:space="preserve">Implementation of resource mobilization strategies to achieve </w:t>
            </w:r>
            <w:r w:rsidR="00253797">
              <w:rPr>
                <w:rFonts w:cs="Arial"/>
                <w:sz w:val="18"/>
                <w:szCs w:val="20"/>
              </w:rPr>
              <w:t>project</w:t>
            </w:r>
            <w:r w:rsidRPr="0040022F">
              <w:rPr>
                <w:rFonts w:cs="Arial"/>
                <w:sz w:val="18"/>
                <w:szCs w:val="20"/>
              </w:rPr>
              <w:t xml:space="preserve"> outcomes</w:t>
            </w:r>
          </w:p>
        </w:tc>
      </w:tr>
      <w:tr w:rsidR="00072F56" w:rsidRPr="0040022F" w:rsidTr="00072F56">
        <w:tc>
          <w:tcPr>
            <w:tcW w:w="9634" w:type="dxa"/>
          </w:tcPr>
          <w:p w:rsidR="00072F56" w:rsidRPr="0040022F" w:rsidRDefault="00072F56" w:rsidP="002B6834">
            <w:pPr>
              <w:spacing w:after="0" w:line="240" w:lineRule="auto"/>
              <w:jc w:val="both"/>
              <w:rPr>
                <w:rFonts w:cs="Arial"/>
                <w:b/>
                <w:bCs/>
                <w:sz w:val="18"/>
                <w:szCs w:val="20"/>
              </w:rPr>
            </w:pPr>
            <w:r w:rsidRPr="0040022F">
              <w:rPr>
                <w:rFonts w:cs="Arial"/>
                <w:b/>
                <w:bCs/>
                <w:sz w:val="18"/>
                <w:szCs w:val="20"/>
              </w:rPr>
              <w:t>Knowledge Management:</w:t>
            </w:r>
          </w:p>
          <w:p w:rsidR="00072F56" w:rsidRPr="0040022F" w:rsidRDefault="00072F56" w:rsidP="009D6B25">
            <w:pPr>
              <w:pStyle w:val="ListParagraph"/>
              <w:numPr>
                <w:ilvl w:val="0"/>
                <w:numId w:val="25"/>
              </w:numPr>
              <w:spacing w:after="0" w:line="240" w:lineRule="auto"/>
              <w:jc w:val="both"/>
              <w:rPr>
                <w:rFonts w:cs="Arial"/>
                <w:sz w:val="18"/>
                <w:szCs w:val="20"/>
              </w:rPr>
            </w:pPr>
            <w:r w:rsidRPr="0040022F">
              <w:rPr>
                <w:rFonts w:cs="Arial"/>
                <w:sz w:val="18"/>
                <w:szCs w:val="20"/>
              </w:rPr>
              <w:t>Support knowledge management related to DRM and CCA across the PICs as well as at the regional level</w:t>
            </w:r>
          </w:p>
          <w:p w:rsidR="00072F56" w:rsidRPr="0040022F" w:rsidRDefault="00072F56" w:rsidP="009D6B25">
            <w:pPr>
              <w:pStyle w:val="ListParagraph"/>
              <w:numPr>
                <w:ilvl w:val="0"/>
                <w:numId w:val="25"/>
              </w:numPr>
              <w:spacing w:after="0" w:line="240" w:lineRule="auto"/>
              <w:jc w:val="both"/>
              <w:rPr>
                <w:rFonts w:cs="Arial"/>
                <w:sz w:val="18"/>
                <w:szCs w:val="20"/>
              </w:rPr>
            </w:pPr>
            <w:r w:rsidRPr="0040022F">
              <w:rPr>
                <w:rFonts w:cs="Arial"/>
                <w:sz w:val="18"/>
                <w:szCs w:val="20"/>
              </w:rPr>
              <w:t>Ensure that project results are captured and recorded in knowledge products to communicate project results and to promote replication</w:t>
            </w:r>
          </w:p>
          <w:p w:rsidR="00072F56" w:rsidRPr="0040022F" w:rsidRDefault="00072F56" w:rsidP="009D6B25">
            <w:pPr>
              <w:pStyle w:val="ListParagraph"/>
              <w:numPr>
                <w:ilvl w:val="0"/>
                <w:numId w:val="25"/>
              </w:numPr>
              <w:spacing w:after="0" w:line="240" w:lineRule="auto"/>
              <w:jc w:val="both"/>
              <w:rPr>
                <w:rFonts w:cs="Arial"/>
                <w:sz w:val="18"/>
                <w:szCs w:val="20"/>
              </w:rPr>
            </w:pPr>
            <w:r w:rsidRPr="0040022F">
              <w:rPr>
                <w:rFonts w:cs="Arial"/>
                <w:sz w:val="18"/>
                <w:szCs w:val="20"/>
              </w:rPr>
              <w:t>Promote a learning environment and systematic information sharing within the project team</w:t>
            </w:r>
          </w:p>
          <w:p w:rsidR="00072F56" w:rsidRPr="0040022F" w:rsidRDefault="00072F56" w:rsidP="009D6B25">
            <w:pPr>
              <w:pStyle w:val="ListParagraph"/>
              <w:numPr>
                <w:ilvl w:val="0"/>
                <w:numId w:val="25"/>
              </w:numPr>
              <w:spacing w:after="0" w:line="240" w:lineRule="auto"/>
              <w:jc w:val="both"/>
              <w:rPr>
                <w:rFonts w:cs="Arial"/>
                <w:sz w:val="18"/>
                <w:szCs w:val="20"/>
              </w:rPr>
            </w:pPr>
            <w:r w:rsidRPr="0040022F">
              <w:rPr>
                <w:rFonts w:cs="Arial"/>
                <w:sz w:val="18"/>
                <w:szCs w:val="20"/>
              </w:rPr>
              <w:t xml:space="preserve">Promote the quality of all knowledge products, reports and services, and ensure effective integration and compatibility with other practice areas </w:t>
            </w:r>
          </w:p>
          <w:p w:rsidR="00072F56" w:rsidRPr="0040022F" w:rsidRDefault="00072F56" w:rsidP="009D6B25">
            <w:pPr>
              <w:pStyle w:val="ListParagraph"/>
              <w:numPr>
                <w:ilvl w:val="0"/>
                <w:numId w:val="25"/>
              </w:numPr>
              <w:spacing w:after="0" w:line="240" w:lineRule="auto"/>
              <w:jc w:val="both"/>
              <w:rPr>
                <w:rFonts w:cs="Arial"/>
                <w:sz w:val="18"/>
                <w:szCs w:val="20"/>
              </w:rPr>
            </w:pPr>
            <w:r w:rsidRPr="0040022F">
              <w:rPr>
                <w:rFonts w:cs="Arial"/>
                <w:sz w:val="18"/>
                <w:szCs w:val="20"/>
              </w:rPr>
              <w:t>Sound contributions to knowledge networks and communities of practice at regional and global levels</w:t>
            </w:r>
          </w:p>
        </w:tc>
      </w:tr>
    </w:tbl>
    <w:p w:rsidR="000C54D3" w:rsidRPr="0040022F" w:rsidRDefault="000C54D3" w:rsidP="002B6834">
      <w:pPr>
        <w:pStyle w:val="ListParagraph"/>
        <w:spacing w:after="0" w:line="240" w:lineRule="auto"/>
        <w:ind w:left="0"/>
        <w:jc w:val="both"/>
        <w:textAlignment w:val="center"/>
        <w:rPr>
          <w:rFonts w:cs="Calibri Light"/>
          <w:b/>
          <w:sz w:val="18"/>
          <w:szCs w:val="20"/>
        </w:rPr>
      </w:pPr>
    </w:p>
    <w:p w:rsidR="00072F56" w:rsidRDefault="002B6834" w:rsidP="002B6834">
      <w:pPr>
        <w:pStyle w:val="ListParagraph"/>
        <w:spacing w:after="0" w:line="240" w:lineRule="auto"/>
        <w:ind w:left="0"/>
        <w:jc w:val="both"/>
        <w:textAlignment w:val="center"/>
        <w:rPr>
          <w:rFonts w:cs="Calibri Light"/>
          <w:b/>
          <w:sz w:val="18"/>
          <w:szCs w:val="20"/>
        </w:rPr>
      </w:pPr>
      <w:r w:rsidRPr="0040022F">
        <w:rPr>
          <w:rFonts w:cs="Calibri Light"/>
          <w:b/>
          <w:sz w:val="18"/>
          <w:szCs w:val="20"/>
        </w:rPr>
        <w:t>DEPUTY PROJECT MANAGER</w:t>
      </w:r>
    </w:p>
    <w:p w:rsidR="0040022F" w:rsidRPr="0040022F" w:rsidRDefault="0040022F" w:rsidP="0040022F">
      <w:pPr>
        <w:pStyle w:val="ListParagraph"/>
        <w:spacing w:after="0" w:line="240" w:lineRule="auto"/>
        <w:ind w:left="0"/>
        <w:jc w:val="both"/>
        <w:rPr>
          <w:rFonts w:cs="Arial"/>
          <w:b/>
          <w:sz w:val="18"/>
          <w:szCs w:val="20"/>
        </w:rPr>
      </w:pPr>
      <w:r>
        <w:rPr>
          <w:rFonts w:cs="Arial"/>
          <w:b/>
          <w:sz w:val="18"/>
          <w:szCs w:val="20"/>
        </w:rPr>
        <w:t>Suppo</w:t>
      </w:r>
      <w:r w:rsidRPr="0040022F">
        <w:rPr>
          <w:rFonts w:cs="Arial"/>
          <w:b/>
          <w:sz w:val="18"/>
          <w:szCs w:val="20"/>
        </w:rPr>
        <w:t>rt Efficient and effective planning, management, coordination, implementation and monitoring of project results and activities</w:t>
      </w:r>
    </w:p>
    <w:p w:rsidR="0040022F" w:rsidRPr="0040022F" w:rsidRDefault="0040022F" w:rsidP="009D6B25">
      <w:pPr>
        <w:pStyle w:val="ListParagraph"/>
        <w:numPr>
          <w:ilvl w:val="0"/>
          <w:numId w:val="25"/>
        </w:numPr>
        <w:spacing w:after="0" w:line="240" w:lineRule="auto"/>
        <w:jc w:val="both"/>
        <w:rPr>
          <w:rFonts w:cs="Arial"/>
          <w:sz w:val="18"/>
          <w:szCs w:val="20"/>
        </w:rPr>
      </w:pPr>
      <w:r w:rsidRPr="0040022F">
        <w:rPr>
          <w:rFonts w:cs="Arial"/>
          <w:sz w:val="18"/>
          <w:szCs w:val="20"/>
        </w:rPr>
        <w:t>Provide pro-active follow-up and support on the day-to-day coordination and implementation of the project activities following best practices of project and result-based management; </w:t>
      </w:r>
    </w:p>
    <w:p w:rsidR="0040022F" w:rsidRPr="0040022F" w:rsidRDefault="0040022F" w:rsidP="009D6B25">
      <w:pPr>
        <w:pStyle w:val="ListParagraph"/>
        <w:numPr>
          <w:ilvl w:val="0"/>
          <w:numId w:val="25"/>
        </w:numPr>
        <w:spacing w:after="0" w:line="240" w:lineRule="auto"/>
        <w:jc w:val="both"/>
        <w:rPr>
          <w:rFonts w:cs="Arial"/>
          <w:sz w:val="18"/>
          <w:szCs w:val="20"/>
        </w:rPr>
      </w:pPr>
      <w:r w:rsidRPr="0040022F">
        <w:rPr>
          <w:rFonts w:cs="Arial"/>
          <w:sz w:val="18"/>
          <w:szCs w:val="20"/>
        </w:rPr>
        <w:t>Coordinate technical inputs in support to planned project activities in consultation with project technical experts, implementing partners, and other project stakeholders; </w:t>
      </w:r>
    </w:p>
    <w:p w:rsidR="0040022F" w:rsidRPr="0040022F" w:rsidRDefault="0040022F" w:rsidP="009D6B25">
      <w:pPr>
        <w:pStyle w:val="ListParagraph"/>
        <w:numPr>
          <w:ilvl w:val="0"/>
          <w:numId w:val="25"/>
        </w:numPr>
        <w:spacing w:after="0" w:line="240" w:lineRule="auto"/>
        <w:jc w:val="both"/>
        <w:rPr>
          <w:rFonts w:cs="Arial"/>
          <w:sz w:val="18"/>
          <w:szCs w:val="20"/>
        </w:rPr>
      </w:pPr>
      <w:r w:rsidRPr="0040022F">
        <w:rPr>
          <w:rFonts w:cs="Arial"/>
          <w:sz w:val="18"/>
          <w:szCs w:val="20"/>
        </w:rPr>
        <w:t xml:space="preserve">Draft </w:t>
      </w:r>
      <w:proofErr w:type="spellStart"/>
      <w:r w:rsidRPr="0040022F">
        <w:rPr>
          <w:rFonts w:cs="Arial"/>
          <w:sz w:val="18"/>
          <w:szCs w:val="20"/>
        </w:rPr>
        <w:t>ToRs</w:t>
      </w:r>
      <w:proofErr w:type="spellEnd"/>
      <w:r w:rsidRPr="0040022F">
        <w:rPr>
          <w:rFonts w:cs="Arial"/>
          <w:sz w:val="18"/>
          <w:szCs w:val="20"/>
        </w:rPr>
        <w:t xml:space="preserve"> and other technical documentations for further review by Project Manager; </w:t>
      </w:r>
    </w:p>
    <w:p w:rsidR="0040022F" w:rsidRPr="0040022F" w:rsidRDefault="0040022F" w:rsidP="009D6B25">
      <w:pPr>
        <w:pStyle w:val="ListParagraph"/>
        <w:numPr>
          <w:ilvl w:val="0"/>
          <w:numId w:val="25"/>
        </w:numPr>
        <w:spacing w:after="0" w:line="240" w:lineRule="auto"/>
        <w:jc w:val="both"/>
        <w:rPr>
          <w:rFonts w:cs="Arial"/>
          <w:sz w:val="18"/>
          <w:szCs w:val="20"/>
        </w:rPr>
      </w:pPr>
      <w:r w:rsidRPr="0040022F">
        <w:rPr>
          <w:rFonts w:cs="Arial"/>
          <w:sz w:val="18"/>
          <w:szCs w:val="20"/>
        </w:rPr>
        <w:t>Provide secondary supervision with matters relating to finance, logistical, administrative arrangements, and project related procurement and HR procedures; </w:t>
      </w:r>
    </w:p>
    <w:p w:rsidR="0040022F" w:rsidRPr="0040022F" w:rsidRDefault="0040022F" w:rsidP="009D6B25">
      <w:pPr>
        <w:pStyle w:val="ListParagraph"/>
        <w:numPr>
          <w:ilvl w:val="0"/>
          <w:numId w:val="25"/>
        </w:numPr>
        <w:spacing w:after="0" w:line="240" w:lineRule="auto"/>
        <w:jc w:val="both"/>
        <w:rPr>
          <w:rFonts w:cs="Arial"/>
          <w:sz w:val="18"/>
          <w:szCs w:val="20"/>
        </w:rPr>
      </w:pPr>
      <w:r w:rsidRPr="0040022F">
        <w:rPr>
          <w:rFonts w:cs="Arial"/>
          <w:sz w:val="18"/>
          <w:szCs w:val="20"/>
        </w:rPr>
        <w:t>Provide technical advice to implementing partners and stakeholders to perform tasks related to project activities efficiently and effectively;</w:t>
      </w:r>
    </w:p>
    <w:p w:rsidR="0040022F" w:rsidRPr="0040022F" w:rsidRDefault="0040022F" w:rsidP="009D6B25">
      <w:pPr>
        <w:pStyle w:val="ListParagraph"/>
        <w:numPr>
          <w:ilvl w:val="0"/>
          <w:numId w:val="25"/>
        </w:numPr>
        <w:spacing w:after="0" w:line="240" w:lineRule="auto"/>
        <w:jc w:val="both"/>
        <w:rPr>
          <w:rFonts w:cs="Arial"/>
          <w:sz w:val="18"/>
          <w:szCs w:val="20"/>
        </w:rPr>
      </w:pPr>
      <w:r w:rsidRPr="0040022F">
        <w:rPr>
          <w:rFonts w:cs="Arial"/>
          <w:sz w:val="18"/>
          <w:szCs w:val="20"/>
        </w:rPr>
        <w:t>Support and coordinate the implementation of project activities with implementing partners and relevant stakeholders; </w:t>
      </w:r>
    </w:p>
    <w:p w:rsidR="0040022F" w:rsidRPr="0040022F" w:rsidRDefault="0040022F" w:rsidP="009D6B25">
      <w:pPr>
        <w:pStyle w:val="ListParagraph"/>
        <w:numPr>
          <w:ilvl w:val="0"/>
          <w:numId w:val="25"/>
        </w:numPr>
        <w:spacing w:after="0" w:line="240" w:lineRule="auto"/>
        <w:jc w:val="both"/>
        <w:rPr>
          <w:rFonts w:cs="Arial"/>
          <w:sz w:val="18"/>
          <w:szCs w:val="20"/>
        </w:rPr>
      </w:pPr>
      <w:r w:rsidRPr="0040022F">
        <w:rPr>
          <w:rFonts w:cs="Arial"/>
          <w:sz w:val="18"/>
          <w:szCs w:val="20"/>
        </w:rPr>
        <w:t>Participate, collate and provide inputs in preparation project workplans and project evaluations.</w:t>
      </w:r>
    </w:p>
    <w:p w:rsidR="0040022F" w:rsidRPr="0040022F" w:rsidRDefault="0040022F" w:rsidP="009D6B25">
      <w:pPr>
        <w:pStyle w:val="ListParagraph"/>
        <w:numPr>
          <w:ilvl w:val="0"/>
          <w:numId w:val="25"/>
        </w:numPr>
        <w:spacing w:after="0" w:line="240" w:lineRule="auto"/>
        <w:jc w:val="both"/>
        <w:rPr>
          <w:rFonts w:cs="Arial"/>
          <w:sz w:val="18"/>
          <w:szCs w:val="20"/>
        </w:rPr>
      </w:pPr>
      <w:r w:rsidRPr="0040022F">
        <w:rPr>
          <w:rFonts w:cs="Arial"/>
          <w:sz w:val="18"/>
          <w:szCs w:val="20"/>
        </w:rPr>
        <w:t>Provide secondary supervision of the activities of various administrative project team members ensuring that administrative tasks are performed accurately and effectively</w:t>
      </w:r>
    </w:p>
    <w:p w:rsidR="0040022F" w:rsidRPr="0040022F" w:rsidRDefault="0040022F" w:rsidP="009D6B25">
      <w:pPr>
        <w:pStyle w:val="ListParagraph"/>
        <w:numPr>
          <w:ilvl w:val="0"/>
          <w:numId w:val="25"/>
        </w:numPr>
        <w:spacing w:after="0" w:line="240" w:lineRule="auto"/>
        <w:jc w:val="both"/>
        <w:rPr>
          <w:rFonts w:cs="Arial"/>
          <w:sz w:val="18"/>
          <w:szCs w:val="20"/>
        </w:rPr>
      </w:pPr>
      <w:r w:rsidRPr="0040022F">
        <w:rPr>
          <w:rFonts w:cs="Arial"/>
          <w:sz w:val="18"/>
          <w:szCs w:val="20"/>
        </w:rPr>
        <w:t>Backstops for the Project Manager during his or her absence;</w:t>
      </w:r>
    </w:p>
    <w:p w:rsidR="0040022F" w:rsidRDefault="0040022F" w:rsidP="009D6B25">
      <w:pPr>
        <w:pStyle w:val="ListParagraph"/>
        <w:numPr>
          <w:ilvl w:val="0"/>
          <w:numId w:val="25"/>
        </w:numPr>
        <w:spacing w:after="0" w:line="240" w:lineRule="auto"/>
        <w:jc w:val="both"/>
        <w:rPr>
          <w:rFonts w:cs="Arial"/>
          <w:sz w:val="18"/>
          <w:szCs w:val="20"/>
        </w:rPr>
      </w:pPr>
      <w:r w:rsidRPr="0040022F">
        <w:rPr>
          <w:rFonts w:cs="Arial"/>
          <w:sz w:val="18"/>
          <w:szCs w:val="20"/>
        </w:rPr>
        <w:t>Undertake other duties as assigned by the Project Manager or as a proactive necessary contribution to the success of the project.</w:t>
      </w:r>
    </w:p>
    <w:p w:rsidR="0040022F" w:rsidRPr="0040022F" w:rsidRDefault="0040022F" w:rsidP="009D6B25">
      <w:pPr>
        <w:pStyle w:val="ListParagraph"/>
        <w:numPr>
          <w:ilvl w:val="0"/>
          <w:numId w:val="25"/>
        </w:numPr>
        <w:spacing w:after="0" w:line="240" w:lineRule="auto"/>
        <w:jc w:val="both"/>
        <w:rPr>
          <w:rFonts w:cs="Arial"/>
          <w:sz w:val="18"/>
          <w:szCs w:val="20"/>
        </w:rPr>
      </w:pPr>
      <w:r w:rsidRPr="0040022F">
        <w:rPr>
          <w:rFonts w:cs="Arial"/>
          <w:sz w:val="18"/>
          <w:szCs w:val="20"/>
        </w:rPr>
        <w:t>Follow-up in ensuring the implementation of the recommendations of independent evaluation reviews and/or audits, as approved by UNDP Pacific Office in Fiji Management</w:t>
      </w:r>
    </w:p>
    <w:tbl>
      <w:tblPr>
        <w:tblW w:w="8794" w:type="dxa"/>
        <w:tblInd w:w="-34" w:type="dxa"/>
        <w:shd w:val="clear" w:color="auto" w:fill="E0E0E0"/>
        <w:tblLook w:val="0000" w:firstRow="0" w:lastRow="0" w:firstColumn="0" w:lastColumn="0" w:noHBand="0" w:noVBand="0"/>
      </w:tblPr>
      <w:tblGrid>
        <w:gridCol w:w="8794"/>
      </w:tblGrid>
      <w:tr w:rsidR="00072F56" w:rsidRPr="0040022F" w:rsidTr="002B6834">
        <w:tc>
          <w:tcPr>
            <w:tcW w:w="8794" w:type="dxa"/>
          </w:tcPr>
          <w:p w:rsidR="00072F56" w:rsidRPr="0040022F" w:rsidRDefault="00072F56" w:rsidP="000C54D3">
            <w:pPr>
              <w:pStyle w:val="ListParagraph"/>
              <w:spacing w:after="0" w:line="240" w:lineRule="auto"/>
              <w:ind w:left="0"/>
              <w:jc w:val="both"/>
              <w:rPr>
                <w:rFonts w:cs="Arial"/>
                <w:b/>
                <w:sz w:val="18"/>
                <w:szCs w:val="20"/>
              </w:rPr>
            </w:pPr>
            <w:r w:rsidRPr="0040022F">
              <w:rPr>
                <w:rFonts w:cs="Arial"/>
                <w:b/>
                <w:sz w:val="18"/>
                <w:szCs w:val="20"/>
              </w:rPr>
              <w:t>Support monitoring and reporting of project activities in close collaboration with project partners and stakeholder</w:t>
            </w:r>
          </w:p>
          <w:p w:rsidR="00072F56" w:rsidRPr="0040022F" w:rsidRDefault="000C54D3" w:rsidP="009D6B25">
            <w:pPr>
              <w:pStyle w:val="ListParagraph"/>
              <w:numPr>
                <w:ilvl w:val="0"/>
                <w:numId w:val="25"/>
              </w:numPr>
              <w:spacing w:after="0" w:line="240" w:lineRule="auto"/>
              <w:jc w:val="both"/>
              <w:rPr>
                <w:rFonts w:cs="Arial"/>
                <w:sz w:val="18"/>
                <w:szCs w:val="20"/>
              </w:rPr>
            </w:pPr>
            <w:r w:rsidRPr="0040022F">
              <w:rPr>
                <w:rFonts w:cs="Arial"/>
                <w:sz w:val="18"/>
                <w:szCs w:val="20"/>
              </w:rPr>
              <w:t>Support</w:t>
            </w:r>
            <w:r w:rsidR="00072F56" w:rsidRPr="0040022F">
              <w:rPr>
                <w:rFonts w:cs="Arial"/>
                <w:sz w:val="18"/>
                <w:szCs w:val="20"/>
              </w:rPr>
              <w:t xml:space="preserve"> the Project Manager and managing and monitoring the project team (technical specialists, project officers, support staff, consultants) and ensure timely implementation, results –orientation and accountability for project results that incorporates creativity, innovation and responsiveness to emerging needs</w:t>
            </w:r>
          </w:p>
          <w:p w:rsidR="00072F56" w:rsidRPr="0040022F" w:rsidRDefault="00072F56" w:rsidP="009D6B25">
            <w:pPr>
              <w:pStyle w:val="ListParagraph"/>
              <w:numPr>
                <w:ilvl w:val="0"/>
                <w:numId w:val="25"/>
              </w:numPr>
              <w:spacing w:after="0" w:line="240" w:lineRule="auto"/>
              <w:jc w:val="both"/>
              <w:rPr>
                <w:rFonts w:cs="Arial"/>
                <w:sz w:val="18"/>
                <w:szCs w:val="20"/>
              </w:rPr>
            </w:pPr>
            <w:r w:rsidRPr="0040022F">
              <w:rPr>
                <w:rFonts w:cs="Arial"/>
                <w:sz w:val="18"/>
                <w:szCs w:val="20"/>
              </w:rPr>
              <w:t xml:space="preserve">Prepare or provide, appropriate, technical </w:t>
            </w:r>
            <w:r w:rsidR="00253797">
              <w:rPr>
                <w:rFonts w:cs="Arial"/>
                <w:sz w:val="18"/>
                <w:szCs w:val="20"/>
              </w:rPr>
              <w:t>project</w:t>
            </w:r>
            <w:r w:rsidRPr="0040022F">
              <w:rPr>
                <w:rFonts w:cs="Arial"/>
                <w:sz w:val="18"/>
                <w:szCs w:val="20"/>
              </w:rPr>
              <w:t xml:space="preserve"> management inputs to regular reports (monthly, quarterly, and annually) and propose activities to be implemented in the next reporting period; </w:t>
            </w:r>
          </w:p>
          <w:p w:rsidR="00072F56" w:rsidRPr="0040022F" w:rsidRDefault="00072F56" w:rsidP="009D6B25">
            <w:pPr>
              <w:pStyle w:val="ListParagraph"/>
              <w:numPr>
                <w:ilvl w:val="0"/>
                <w:numId w:val="25"/>
              </w:numPr>
              <w:spacing w:after="0" w:line="240" w:lineRule="auto"/>
              <w:jc w:val="both"/>
              <w:rPr>
                <w:rFonts w:cs="Arial"/>
                <w:sz w:val="18"/>
                <w:szCs w:val="20"/>
              </w:rPr>
            </w:pPr>
            <w:r w:rsidRPr="0040022F">
              <w:rPr>
                <w:rFonts w:cs="Arial"/>
                <w:sz w:val="18"/>
                <w:szCs w:val="20"/>
              </w:rPr>
              <w:t>Monitor and report the progress on agreed results framework and performance indicators and take action/decision and/or provide timely support to project staff;</w:t>
            </w:r>
          </w:p>
          <w:p w:rsidR="00072F56" w:rsidRPr="0040022F" w:rsidRDefault="00072F56" w:rsidP="009D6B25">
            <w:pPr>
              <w:pStyle w:val="ListParagraph"/>
              <w:numPr>
                <w:ilvl w:val="0"/>
                <w:numId w:val="25"/>
              </w:numPr>
              <w:spacing w:after="0" w:line="240" w:lineRule="auto"/>
              <w:jc w:val="both"/>
              <w:rPr>
                <w:rFonts w:cs="Arial"/>
                <w:sz w:val="18"/>
                <w:szCs w:val="20"/>
              </w:rPr>
            </w:pPr>
            <w:r w:rsidRPr="0040022F">
              <w:rPr>
                <w:rFonts w:cs="Arial"/>
                <w:sz w:val="18"/>
                <w:szCs w:val="20"/>
              </w:rPr>
              <w:t>Implement adequate monitoring procedures and systems throughout project activities in close collaboration with other project teams; </w:t>
            </w:r>
          </w:p>
          <w:p w:rsidR="00072F56" w:rsidRPr="0040022F" w:rsidRDefault="00072F56" w:rsidP="009D6B25">
            <w:pPr>
              <w:pStyle w:val="ListParagraph"/>
              <w:numPr>
                <w:ilvl w:val="0"/>
                <w:numId w:val="25"/>
              </w:numPr>
              <w:spacing w:after="0" w:line="240" w:lineRule="auto"/>
              <w:jc w:val="both"/>
              <w:rPr>
                <w:rFonts w:cs="Arial"/>
                <w:sz w:val="18"/>
                <w:szCs w:val="20"/>
              </w:rPr>
            </w:pPr>
            <w:r w:rsidRPr="0040022F">
              <w:rPr>
                <w:rFonts w:cs="Arial"/>
                <w:sz w:val="18"/>
                <w:szCs w:val="20"/>
              </w:rPr>
              <w:t>Provide practical inputs to the development, preparation and implementation of SOPs;</w:t>
            </w:r>
          </w:p>
          <w:p w:rsidR="00072F56" w:rsidRPr="0040022F" w:rsidRDefault="00072F56" w:rsidP="009D6B25">
            <w:pPr>
              <w:pStyle w:val="ListParagraph"/>
              <w:numPr>
                <w:ilvl w:val="0"/>
                <w:numId w:val="25"/>
              </w:numPr>
              <w:spacing w:after="0" w:line="240" w:lineRule="auto"/>
              <w:jc w:val="both"/>
              <w:rPr>
                <w:rFonts w:cs="Arial"/>
                <w:sz w:val="18"/>
                <w:szCs w:val="20"/>
              </w:rPr>
            </w:pPr>
            <w:r w:rsidRPr="0040022F">
              <w:rPr>
                <w:rFonts w:cs="Arial"/>
                <w:sz w:val="18"/>
                <w:szCs w:val="20"/>
              </w:rPr>
              <w:t>Oversee the logistical arrangements for project management and quality assurance meetings with implementing partners and relevant stakeholders; </w:t>
            </w:r>
          </w:p>
          <w:p w:rsidR="00072F56" w:rsidRPr="0040022F" w:rsidRDefault="00072F56" w:rsidP="009D6B25">
            <w:pPr>
              <w:pStyle w:val="ListParagraph"/>
              <w:numPr>
                <w:ilvl w:val="0"/>
                <w:numId w:val="25"/>
              </w:numPr>
              <w:spacing w:after="0" w:line="240" w:lineRule="auto"/>
              <w:jc w:val="both"/>
              <w:rPr>
                <w:rFonts w:cs="Arial"/>
                <w:sz w:val="18"/>
                <w:szCs w:val="20"/>
              </w:rPr>
            </w:pPr>
            <w:r w:rsidRPr="0040022F">
              <w:rPr>
                <w:rFonts w:cs="Arial"/>
                <w:sz w:val="18"/>
                <w:szCs w:val="20"/>
              </w:rPr>
              <w:t>Draft agendas, correspondence, memos, letters, recommendations, proposals/concept notes, and other project related documentations and correspondences, as appropriate;</w:t>
            </w:r>
          </w:p>
          <w:p w:rsidR="00072F56" w:rsidRPr="0040022F" w:rsidRDefault="00072F56" w:rsidP="009D6B25">
            <w:pPr>
              <w:pStyle w:val="ListParagraph"/>
              <w:numPr>
                <w:ilvl w:val="0"/>
                <w:numId w:val="25"/>
              </w:numPr>
              <w:spacing w:after="0" w:line="240" w:lineRule="auto"/>
              <w:jc w:val="both"/>
              <w:rPr>
                <w:rFonts w:cs="Arial"/>
                <w:sz w:val="18"/>
                <w:szCs w:val="20"/>
              </w:rPr>
            </w:pPr>
            <w:r w:rsidRPr="0040022F">
              <w:rPr>
                <w:rFonts w:cs="Arial"/>
                <w:sz w:val="18"/>
                <w:szCs w:val="20"/>
              </w:rPr>
              <w:t>Make field visits, collaborate with local counterparts and/or facilitate arrangements for joint monitoring visits to project sites as per the requirement of the project; </w:t>
            </w:r>
          </w:p>
          <w:p w:rsidR="00072F56" w:rsidRPr="0040022F" w:rsidRDefault="00072F56" w:rsidP="009D6B25">
            <w:pPr>
              <w:pStyle w:val="ListParagraph"/>
              <w:numPr>
                <w:ilvl w:val="0"/>
                <w:numId w:val="25"/>
              </w:numPr>
              <w:spacing w:after="0" w:line="240" w:lineRule="auto"/>
              <w:jc w:val="both"/>
              <w:rPr>
                <w:rFonts w:cs="Arial"/>
                <w:sz w:val="18"/>
                <w:szCs w:val="20"/>
              </w:rPr>
            </w:pPr>
            <w:r w:rsidRPr="0040022F">
              <w:rPr>
                <w:rFonts w:cs="Arial"/>
                <w:sz w:val="18"/>
                <w:szCs w:val="20"/>
              </w:rPr>
              <w:t>Monitor project risks and support the development of mitigation measures thereof, relaying information to Project Manager</w:t>
            </w:r>
          </w:p>
        </w:tc>
      </w:tr>
      <w:tr w:rsidR="00072F56" w:rsidRPr="0040022F" w:rsidTr="002B6834">
        <w:tc>
          <w:tcPr>
            <w:tcW w:w="8794" w:type="dxa"/>
          </w:tcPr>
          <w:p w:rsidR="00072F56" w:rsidRPr="0040022F" w:rsidRDefault="00072F56" w:rsidP="002B6834">
            <w:pPr>
              <w:pStyle w:val="ListParagraph"/>
              <w:shd w:val="clear" w:color="auto" w:fill="FFFFFF"/>
              <w:spacing w:after="0" w:line="240" w:lineRule="auto"/>
              <w:ind w:left="0"/>
              <w:jc w:val="both"/>
              <w:rPr>
                <w:b/>
                <w:sz w:val="18"/>
                <w:szCs w:val="20"/>
              </w:rPr>
            </w:pPr>
            <w:r w:rsidRPr="0040022F">
              <w:rPr>
                <w:b/>
                <w:sz w:val="18"/>
                <w:szCs w:val="20"/>
                <w:shd w:val="clear" w:color="auto" w:fill="FFFFFF"/>
              </w:rPr>
              <w:t>Support implementation of project visibility and knowledge management activities:  </w:t>
            </w:r>
          </w:p>
          <w:p w:rsidR="00072F56" w:rsidRPr="0040022F" w:rsidRDefault="00072F56" w:rsidP="009D6B25">
            <w:pPr>
              <w:pStyle w:val="ListParagraph"/>
              <w:numPr>
                <w:ilvl w:val="0"/>
                <w:numId w:val="25"/>
              </w:numPr>
              <w:spacing w:after="0" w:line="240" w:lineRule="auto"/>
              <w:jc w:val="both"/>
              <w:rPr>
                <w:rFonts w:cs="Arial"/>
                <w:sz w:val="18"/>
                <w:szCs w:val="20"/>
              </w:rPr>
            </w:pPr>
            <w:r w:rsidRPr="0040022F">
              <w:rPr>
                <w:rFonts w:cs="Arial"/>
                <w:sz w:val="18"/>
                <w:szCs w:val="20"/>
              </w:rPr>
              <w:t>Contributes to the systematic capacity building of Implementing Partners and staff and counterparts through introduction of innovation and best practices, access to knowledge and expertise and promotion of their application to project implementation;</w:t>
            </w:r>
          </w:p>
          <w:p w:rsidR="00072F56" w:rsidRPr="0040022F" w:rsidRDefault="00072F56" w:rsidP="009D6B25">
            <w:pPr>
              <w:pStyle w:val="ListParagraph"/>
              <w:numPr>
                <w:ilvl w:val="0"/>
                <w:numId w:val="25"/>
              </w:numPr>
              <w:spacing w:after="0" w:line="240" w:lineRule="auto"/>
              <w:jc w:val="both"/>
              <w:rPr>
                <w:rFonts w:cs="Arial"/>
                <w:sz w:val="18"/>
                <w:szCs w:val="20"/>
              </w:rPr>
            </w:pPr>
            <w:r w:rsidRPr="0040022F">
              <w:rPr>
                <w:rFonts w:cs="Arial"/>
                <w:sz w:val="18"/>
                <w:szCs w:val="20"/>
              </w:rPr>
              <w:t>Support the PM in capturing and disseminations of lessons learnt during project implementation;</w:t>
            </w:r>
          </w:p>
          <w:p w:rsidR="00072F56" w:rsidRPr="0040022F" w:rsidRDefault="00072F56" w:rsidP="009D6B25">
            <w:pPr>
              <w:pStyle w:val="ListParagraph"/>
              <w:numPr>
                <w:ilvl w:val="0"/>
                <w:numId w:val="25"/>
              </w:numPr>
              <w:spacing w:after="0" w:line="240" w:lineRule="auto"/>
              <w:jc w:val="both"/>
              <w:rPr>
                <w:rFonts w:cs="Arial"/>
                <w:sz w:val="18"/>
                <w:szCs w:val="20"/>
              </w:rPr>
            </w:pPr>
            <w:r w:rsidRPr="0040022F">
              <w:rPr>
                <w:rFonts w:cs="Arial"/>
                <w:sz w:val="18"/>
                <w:szCs w:val="20"/>
              </w:rPr>
              <w:t>Actively engage and promote teamwork, information sharing and collaboration within the project team and between project partners; </w:t>
            </w:r>
          </w:p>
          <w:p w:rsidR="00072F56" w:rsidRPr="0040022F" w:rsidRDefault="00072F56" w:rsidP="009D6B25">
            <w:pPr>
              <w:pStyle w:val="ListParagraph"/>
              <w:numPr>
                <w:ilvl w:val="0"/>
                <w:numId w:val="25"/>
              </w:numPr>
              <w:spacing w:after="0" w:line="240" w:lineRule="auto"/>
              <w:jc w:val="both"/>
              <w:rPr>
                <w:sz w:val="18"/>
                <w:szCs w:val="20"/>
              </w:rPr>
            </w:pPr>
            <w:r w:rsidRPr="0040022F">
              <w:rPr>
                <w:rFonts w:cs="Arial"/>
                <w:sz w:val="18"/>
                <w:szCs w:val="20"/>
              </w:rPr>
              <w:t>Provide</w:t>
            </w:r>
            <w:r w:rsidRPr="0040022F">
              <w:rPr>
                <w:sz w:val="18"/>
                <w:szCs w:val="20"/>
              </w:rPr>
              <w:t xml:space="preserve"> substantive inputs to presentations, visibility activities, advocacy, and other project-related materials, etc.; </w:t>
            </w:r>
          </w:p>
        </w:tc>
      </w:tr>
    </w:tbl>
    <w:p w:rsidR="00072F56" w:rsidRPr="0040022F" w:rsidRDefault="00072F56" w:rsidP="00072F56">
      <w:pPr>
        <w:spacing w:after="0" w:line="240" w:lineRule="auto"/>
        <w:jc w:val="both"/>
        <w:textAlignment w:val="center"/>
        <w:rPr>
          <w:rFonts w:cs="Calibri Light"/>
          <w:b/>
          <w:sz w:val="18"/>
          <w:szCs w:val="20"/>
        </w:rPr>
      </w:pPr>
    </w:p>
    <w:p w:rsidR="00072F56" w:rsidRDefault="00253797" w:rsidP="002B6834">
      <w:pPr>
        <w:pStyle w:val="ListParagraph"/>
        <w:spacing w:after="0" w:line="240" w:lineRule="auto"/>
        <w:ind w:left="0"/>
        <w:jc w:val="both"/>
        <w:textAlignment w:val="center"/>
        <w:rPr>
          <w:rFonts w:cs="Calibri Light"/>
          <w:b/>
          <w:sz w:val="18"/>
          <w:szCs w:val="20"/>
        </w:rPr>
      </w:pPr>
      <w:r>
        <w:rPr>
          <w:rFonts w:cs="Calibri Light"/>
          <w:b/>
          <w:sz w:val="18"/>
          <w:szCs w:val="20"/>
        </w:rPr>
        <w:t>PROJECT</w:t>
      </w:r>
      <w:r w:rsidR="000C54D3" w:rsidRPr="0040022F">
        <w:rPr>
          <w:rFonts w:cs="Calibri Light"/>
          <w:b/>
          <w:sz w:val="18"/>
          <w:szCs w:val="20"/>
        </w:rPr>
        <w:t xml:space="preserve"> FINANCE OFFICER</w:t>
      </w:r>
    </w:p>
    <w:p w:rsidR="0040022F" w:rsidRPr="0040022F" w:rsidRDefault="0040022F" w:rsidP="0040022F">
      <w:pPr>
        <w:pStyle w:val="ListParagraph"/>
        <w:shd w:val="clear" w:color="auto" w:fill="FFFFFF"/>
        <w:spacing w:after="0" w:line="240" w:lineRule="auto"/>
        <w:ind w:left="0"/>
        <w:jc w:val="both"/>
        <w:rPr>
          <w:b/>
          <w:sz w:val="18"/>
          <w:szCs w:val="20"/>
          <w:shd w:val="clear" w:color="auto" w:fill="FFFFFF"/>
        </w:rPr>
      </w:pPr>
      <w:r>
        <w:rPr>
          <w:b/>
          <w:sz w:val="18"/>
          <w:szCs w:val="20"/>
          <w:shd w:val="clear" w:color="auto" w:fill="FFFFFF"/>
        </w:rPr>
        <w:t>En</w:t>
      </w:r>
      <w:r w:rsidRPr="0040022F">
        <w:rPr>
          <w:b/>
          <w:sz w:val="18"/>
          <w:szCs w:val="20"/>
          <w:shd w:val="clear" w:color="auto" w:fill="FFFFFF"/>
        </w:rPr>
        <w:t xml:space="preserve">sures effective management of all stages of the </w:t>
      </w:r>
      <w:r w:rsidR="00253797">
        <w:rPr>
          <w:b/>
          <w:sz w:val="18"/>
          <w:szCs w:val="20"/>
          <w:shd w:val="clear" w:color="auto" w:fill="FFFFFF"/>
        </w:rPr>
        <w:t>project</w:t>
      </w:r>
      <w:r w:rsidRPr="0040022F">
        <w:rPr>
          <w:b/>
          <w:sz w:val="18"/>
          <w:szCs w:val="20"/>
          <w:shd w:val="clear" w:color="auto" w:fill="FFFFFF"/>
        </w:rPr>
        <w:t xml:space="preserve"> cycle and work planning process</w:t>
      </w:r>
    </w:p>
    <w:p w:rsidR="0040022F" w:rsidRPr="0040022F" w:rsidRDefault="0040022F" w:rsidP="009D6B25">
      <w:pPr>
        <w:pStyle w:val="ListParagraph"/>
        <w:numPr>
          <w:ilvl w:val="0"/>
          <w:numId w:val="25"/>
        </w:numPr>
        <w:spacing w:after="0" w:line="240" w:lineRule="auto"/>
        <w:jc w:val="both"/>
        <w:rPr>
          <w:rFonts w:cs="Arial"/>
          <w:sz w:val="18"/>
          <w:szCs w:val="20"/>
        </w:rPr>
      </w:pPr>
      <w:r w:rsidRPr="0040022F">
        <w:rPr>
          <w:rFonts w:cs="Arial"/>
          <w:sz w:val="18"/>
          <w:szCs w:val="20"/>
        </w:rPr>
        <w:t xml:space="preserve">Oversee all aspects of the project cycle (initiation, </w:t>
      </w:r>
      <w:r w:rsidR="00253797">
        <w:rPr>
          <w:rFonts w:cs="Arial"/>
          <w:sz w:val="18"/>
          <w:szCs w:val="20"/>
        </w:rPr>
        <w:t>project</w:t>
      </w:r>
      <w:r w:rsidRPr="0040022F">
        <w:rPr>
          <w:rFonts w:cs="Arial"/>
          <w:sz w:val="18"/>
          <w:szCs w:val="20"/>
        </w:rPr>
        <w:t xml:space="preserve"> delivery, close-out) in accordance with the relevant </w:t>
      </w:r>
      <w:r w:rsidR="00253797">
        <w:rPr>
          <w:rFonts w:cs="Arial"/>
          <w:sz w:val="18"/>
          <w:szCs w:val="20"/>
        </w:rPr>
        <w:t>project</w:t>
      </w:r>
      <w:r w:rsidRPr="0040022F">
        <w:rPr>
          <w:rFonts w:cs="Arial"/>
          <w:sz w:val="18"/>
          <w:szCs w:val="20"/>
        </w:rPr>
        <w:t xml:space="preserve"> documents and advise teams on necessary steps to remain compliant with UNDP requirements;</w:t>
      </w:r>
    </w:p>
    <w:p w:rsidR="0040022F" w:rsidRPr="0040022F" w:rsidRDefault="0040022F" w:rsidP="009D6B25">
      <w:pPr>
        <w:pStyle w:val="ListParagraph"/>
        <w:numPr>
          <w:ilvl w:val="0"/>
          <w:numId w:val="25"/>
        </w:numPr>
        <w:spacing w:after="0" w:line="240" w:lineRule="auto"/>
        <w:jc w:val="both"/>
        <w:rPr>
          <w:rFonts w:cs="Arial"/>
          <w:sz w:val="18"/>
          <w:szCs w:val="20"/>
        </w:rPr>
      </w:pPr>
      <w:r w:rsidRPr="0040022F">
        <w:rPr>
          <w:rFonts w:cs="Arial"/>
          <w:sz w:val="18"/>
          <w:szCs w:val="20"/>
        </w:rPr>
        <w:t xml:space="preserve">With technical input from the </w:t>
      </w:r>
      <w:r w:rsidR="00253797">
        <w:rPr>
          <w:rFonts w:cs="Arial"/>
          <w:sz w:val="18"/>
          <w:szCs w:val="20"/>
        </w:rPr>
        <w:t>Project</w:t>
      </w:r>
      <w:r w:rsidRPr="0040022F">
        <w:rPr>
          <w:rFonts w:cs="Arial"/>
          <w:sz w:val="18"/>
          <w:szCs w:val="20"/>
        </w:rPr>
        <w:t xml:space="preserve"> Manager provide input to UNDP corporate planning documents and ensure that planned results are taken into account in the processes of monitoring and evaluating at the country and regional levels of UNDP;</w:t>
      </w:r>
    </w:p>
    <w:p w:rsidR="0040022F" w:rsidRPr="0040022F" w:rsidRDefault="0040022F" w:rsidP="009D6B25">
      <w:pPr>
        <w:pStyle w:val="ListParagraph"/>
        <w:numPr>
          <w:ilvl w:val="0"/>
          <w:numId w:val="25"/>
        </w:numPr>
        <w:spacing w:after="0" w:line="240" w:lineRule="auto"/>
        <w:jc w:val="both"/>
        <w:rPr>
          <w:rFonts w:cs="Arial"/>
          <w:sz w:val="18"/>
          <w:szCs w:val="20"/>
        </w:rPr>
      </w:pPr>
      <w:r w:rsidRPr="0040022F">
        <w:rPr>
          <w:rFonts w:cs="Arial"/>
          <w:sz w:val="18"/>
          <w:szCs w:val="20"/>
        </w:rPr>
        <w:t xml:space="preserve">Participate in annual work planning process, ensuring that annual work plans are shared with </w:t>
      </w:r>
      <w:r w:rsidR="00253797">
        <w:rPr>
          <w:rFonts w:cs="Arial"/>
          <w:sz w:val="18"/>
          <w:szCs w:val="20"/>
        </w:rPr>
        <w:t>project</w:t>
      </w:r>
      <w:r w:rsidRPr="0040022F">
        <w:rPr>
          <w:rFonts w:cs="Arial"/>
          <w:sz w:val="18"/>
          <w:szCs w:val="20"/>
        </w:rPr>
        <w:t xml:space="preserve"> partners and that they are entered onto UNDP ATLAS;</w:t>
      </w:r>
    </w:p>
    <w:p w:rsidR="0040022F" w:rsidRDefault="0040022F" w:rsidP="009D6B25">
      <w:pPr>
        <w:pStyle w:val="ListParagraph"/>
        <w:numPr>
          <w:ilvl w:val="0"/>
          <w:numId w:val="25"/>
        </w:numPr>
        <w:spacing w:after="0" w:line="240" w:lineRule="auto"/>
        <w:jc w:val="both"/>
        <w:rPr>
          <w:rFonts w:cs="Arial"/>
          <w:sz w:val="18"/>
          <w:szCs w:val="20"/>
        </w:rPr>
      </w:pPr>
      <w:r w:rsidRPr="0040022F">
        <w:rPr>
          <w:rFonts w:cs="Arial"/>
          <w:sz w:val="18"/>
          <w:szCs w:val="20"/>
        </w:rPr>
        <w:t xml:space="preserve">Manage any revisions to the </w:t>
      </w:r>
      <w:r w:rsidR="00253797">
        <w:rPr>
          <w:rFonts w:cs="Arial"/>
          <w:sz w:val="18"/>
          <w:szCs w:val="20"/>
        </w:rPr>
        <w:t>project</w:t>
      </w:r>
      <w:r w:rsidRPr="0040022F">
        <w:rPr>
          <w:rFonts w:cs="Arial"/>
          <w:sz w:val="18"/>
          <w:szCs w:val="20"/>
        </w:rPr>
        <w:t xml:space="preserve"> document as needed with technical input from the team;</w:t>
      </w:r>
    </w:p>
    <w:p w:rsidR="0040022F" w:rsidRPr="0040022F" w:rsidRDefault="0040022F" w:rsidP="009D6B25">
      <w:pPr>
        <w:pStyle w:val="ListParagraph"/>
        <w:numPr>
          <w:ilvl w:val="0"/>
          <w:numId w:val="25"/>
        </w:numPr>
        <w:spacing w:after="0" w:line="240" w:lineRule="auto"/>
        <w:jc w:val="both"/>
        <w:rPr>
          <w:rFonts w:cs="Arial"/>
          <w:sz w:val="18"/>
          <w:szCs w:val="20"/>
        </w:rPr>
      </w:pPr>
      <w:r w:rsidRPr="0040022F">
        <w:rPr>
          <w:rFonts w:cs="Arial"/>
          <w:sz w:val="18"/>
          <w:szCs w:val="20"/>
        </w:rPr>
        <w:t>Oversee coordination of mid-term and final evaluations by UNDP and other funding partners and work with tea</w:t>
      </w:r>
      <w:r w:rsidRPr="0040022F">
        <w:rPr>
          <w:sz w:val="18"/>
          <w:szCs w:val="20"/>
        </w:rPr>
        <w:t>ms to secure technical input</w:t>
      </w:r>
    </w:p>
    <w:p w:rsidR="0040022F" w:rsidRPr="0040022F" w:rsidRDefault="0040022F" w:rsidP="0040022F">
      <w:pPr>
        <w:pStyle w:val="ListParagraph"/>
        <w:spacing w:after="0" w:line="240" w:lineRule="auto"/>
        <w:ind w:left="0"/>
        <w:contextualSpacing w:val="0"/>
        <w:jc w:val="both"/>
        <w:rPr>
          <w:rFonts w:cs="Arial"/>
          <w:b/>
          <w:sz w:val="18"/>
          <w:szCs w:val="20"/>
        </w:rPr>
      </w:pPr>
      <w:r w:rsidRPr="0040022F">
        <w:rPr>
          <w:rFonts w:cs="Arial"/>
          <w:b/>
          <w:sz w:val="18"/>
          <w:szCs w:val="20"/>
        </w:rPr>
        <w:t xml:space="preserve">Manages efficient, transparent and timely financial reporting and analysis that is regularly monitored and controlled to support </w:t>
      </w:r>
      <w:r w:rsidR="00253797">
        <w:rPr>
          <w:rFonts w:cs="Arial"/>
          <w:b/>
          <w:sz w:val="18"/>
          <w:szCs w:val="20"/>
        </w:rPr>
        <w:t>project</w:t>
      </w:r>
      <w:r w:rsidRPr="0040022F">
        <w:rPr>
          <w:rFonts w:cs="Arial"/>
          <w:b/>
          <w:sz w:val="18"/>
          <w:szCs w:val="20"/>
        </w:rPr>
        <w:t xml:space="preserve"> outcomes</w:t>
      </w:r>
    </w:p>
    <w:p w:rsidR="0040022F" w:rsidRPr="0040022F" w:rsidRDefault="0040022F" w:rsidP="009D6B25">
      <w:pPr>
        <w:numPr>
          <w:ilvl w:val="0"/>
          <w:numId w:val="25"/>
        </w:numPr>
        <w:spacing w:after="0" w:line="240" w:lineRule="auto"/>
        <w:jc w:val="both"/>
        <w:rPr>
          <w:rFonts w:cs="Arial"/>
          <w:sz w:val="18"/>
          <w:szCs w:val="20"/>
        </w:rPr>
      </w:pPr>
      <w:r w:rsidRPr="0040022F">
        <w:rPr>
          <w:rFonts w:cs="Arial"/>
          <w:sz w:val="18"/>
          <w:szCs w:val="20"/>
        </w:rPr>
        <w:t>Ensure full compliance with UNDP rules, regulations, and policies of financial activities, financial recording/reporting system;</w:t>
      </w:r>
    </w:p>
    <w:p w:rsidR="0040022F" w:rsidRPr="0040022F" w:rsidRDefault="0040022F" w:rsidP="009D6B25">
      <w:pPr>
        <w:pStyle w:val="ListParagraph"/>
        <w:numPr>
          <w:ilvl w:val="0"/>
          <w:numId w:val="25"/>
        </w:numPr>
        <w:spacing w:after="0" w:line="240" w:lineRule="auto"/>
        <w:contextualSpacing w:val="0"/>
        <w:jc w:val="both"/>
        <w:rPr>
          <w:rFonts w:cs="Arial"/>
          <w:sz w:val="18"/>
          <w:szCs w:val="20"/>
        </w:rPr>
      </w:pPr>
      <w:r w:rsidRPr="0040022F">
        <w:rPr>
          <w:rFonts w:cs="Arial"/>
          <w:sz w:val="18"/>
          <w:szCs w:val="20"/>
        </w:rPr>
        <w:t xml:space="preserve">Prepare and manage </w:t>
      </w:r>
      <w:r w:rsidR="00253797">
        <w:rPr>
          <w:rFonts w:cs="Arial"/>
          <w:sz w:val="18"/>
          <w:szCs w:val="20"/>
        </w:rPr>
        <w:t>project</w:t>
      </w:r>
      <w:r w:rsidRPr="0040022F">
        <w:rPr>
          <w:rFonts w:cs="Arial"/>
          <w:sz w:val="18"/>
          <w:szCs w:val="20"/>
        </w:rPr>
        <w:t xml:space="preserve"> budgets, inputting budgets into ATLAS, complete timely budget revisions;</w:t>
      </w:r>
    </w:p>
    <w:p w:rsidR="0040022F" w:rsidRPr="0040022F" w:rsidRDefault="0040022F" w:rsidP="009D6B25">
      <w:pPr>
        <w:numPr>
          <w:ilvl w:val="0"/>
          <w:numId w:val="25"/>
        </w:numPr>
        <w:spacing w:after="0" w:line="240" w:lineRule="auto"/>
        <w:jc w:val="both"/>
        <w:rPr>
          <w:rFonts w:cs="Arial"/>
          <w:sz w:val="18"/>
          <w:szCs w:val="20"/>
        </w:rPr>
      </w:pPr>
      <w:r w:rsidRPr="0040022F">
        <w:rPr>
          <w:rFonts w:cs="Arial"/>
          <w:sz w:val="18"/>
          <w:szCs w:val="20"/>
        </w:rPr>
        <w:t>Identifying and investigating operational and financial bottlenecks and development and implementation of solutions to address them;</w:t>
      </w:r>
    </w:p>
    <w:p w:rsidR="0040022F" w:rsidRPr="0040022F" w:rsidRDefault="0040022F" w:rsidP="009D6B25">
      <w:pPr>
        <w:numPr>
          <w:ilvl w:val="0"/>
          <w:numId w:val="25"/>
        </w:numPr>
        <w:spacing w:after="0" w:line="240" w:lineRule="auto"/>
        <w:jc w:val="both"/>
        <w:rPr>
          <w:rFonts w:cs="Arial"/>
          <w:sz w:val="18"/>
          <w:szCs w:val="20"/>
        </w:rPr>
      </w:pPr>
      <w:r w:rsidRPr="0040022F">
        <w:rPr>
          <w:rFonts w:cs="Arial"/>
          <w:sz w:val="18"/>
          <w:szCs w:val="20"/>
        </w:rPr>
        <w:t>Conduct monthly analysis and monitoring of budget expenditures;</w:t>
      </w:r>
    </w:p>
    <w:p w:rsidR="0040022F" w:rsidRPr="0040022F" w:rsidRDefault="0040022F" w:rsidP="009D6B25">
      <w:pPr>
        <w:numPr>
          <w:ilvl w:val="0"/>
          <w:numId w:val="25"/>
        </w:numPr>
        <w:spacing w:after="0" w:line="240" w:lineRule="auto"/>
        <w:jc w:val="both"/>
        <w:rPr>
          <w:rFonts w:cs="Arial"/>
          <w:sz w:val="18"/>
          <w:szCs w:val="20"/>
        </w:rPr>
      </w:pPr>
      <w:r w:rsidRPr="0040022F">
        <w:rPr>
          <w:rFonts w:cs="Arial"/>
          <w:sz w:val="18"/>
          <w:szCs w:val="20"/>
        </w:rPr>
        <w:t>Identification of financial problems, proposal of solutions;</w:t>
      </w:r>
    </w:p>
    <w:p w:rsidR="0040022F" w:rsidRPr="0040022F" w:rsidRDefault="0040022F" w:rsidP="009D6B25">
      <w:pPr>
        <w:numPr>
          <w:ilvl w:val="0"/>
          <w:numId w:val="25"/>
        </w:numPr>
        <w:spacing w:after="0" w:line="240" w:lineRule="auto"/>
        <w:jc w:val="both"/>
        <w:rPr>
          <w:rFonts w:cs="Arial"/>
          <w:sz w:val="18"/>
          <w:szCs w:val="20"/>
        </w:rPr>
      </w:pPr>
      <w:r w:rsidRPr="0040022F">
        <w:rPr>
          <w:rFonts w:cs="Arial"/>
          <w:sz w:val="18"/>
          <w:szCs w:val="20"/>
        </w:rPr>
        <w:t>Ensure the correct flow and storage of legal documents and binding agreements;</w:t>
      </w:r>
    </w:p>
    <w:p w:rsidR="0040022F" w:rsidRPr="0040022F" w:rsidRDefault="0040022F" w:rsidP="009D6B25">
      <w:pPr>
        <w:numPr>
          <w:ilvl w:val="0"/>
          <w:numId w:val="25"/>
        </w:numPr>
        <w:spacing w:after="0" w:line="240" w:lineRule="auto"/>
        <w:jc w:val="both"/>
        <w:rPr>
          <w:rFonts w:cs="Arial"/>
          <w:sz w:val="18"/>
          <w:szCs w:val="20"/>
        </w:rPr>
      </w:pPr>
      <w:r w:rsidRPr="0040022F">
        <w:rPr>
          <w:rFonts w:cs="Arial"/>
          <w:sz w:val="18"/>
          <w:szCs w:val="20"/>
        </w:rPr>
        <w:t xml:space="preserve">Review, </w:t>
      </w:r>
      <w:proofErr w:type="spellStart"/>
      <w:r w:rsidRPr="0040022F">
        <w:rPr>
          <w:rFonts w:cs="Arial"/>
          <w:sz w:val="18"/>
          <w:szCs w:val="20"/>
        </w:rPr>
        <w:t>analyze</w:t>
      </w:r>
      <w:proofErr w:type="spellEnd"/>
      <w:r w:rsidRPr="0040022F">
        <w:rPr>
          <w:rFonts w:cs="Arial"/>
          <w:sz w:val="18"/>
          <w:szCs w:val="20"/>
        </w:rPr>
        <w:t xml:space="preserve"> and clear financial reports from implementing partners;</w:t>
      </w:r>
    </w:p>
    <w:p w:rsidR="0040022F" w:rsidRDefault="0040022F" w:rsidP="009D6B25">
      <w:pPr>
        <w:numPr>
          <w:ilvl w:val="0"/>
          <w:numId w:val="25"/>
        </w:numPr>
        <w:spacing w:after="0" w:line="240" w:lineRule="auto"/>
        <w:jc w:val="both"/>
        <w:rPr>
          <w:rFonts w:cs="Arial"/>
          <w:sz w:val="18"/>
          <w:szCs w:val="20"/>
        </w:rPr>
      </w:pPr>
      <w:r w:rsidRPr="0040022F">
        <w:rPr>
          <w:rFonts w:cs="Arial"/>
          <w:sz w:val="18"/>
          <w:szCs w:val="20"/>
        </w:rPr>
        <w:t xml:space="preserve">Participate in the development of implementing partners work-plans, activity schedules and financial operational plans; </w:t>
      </w:r>
    </w:p>
    <w:p w:rsidR="0040022F" w:rsidRPr="0040022F" w:rsidRDefault="0040022F" w:rsidP="009D6B25">
      <w:pPr>
        <w:numPr>
          <w:ilvl w:val="0"/>
          <w:numId w:val="25"/>
        </w:numPr>
        <w:spacing w:after="0" w:line="240" w:lineRule="auto"/>
        <w:jc w:val="both"/>
        <w:rPr>
          <w:rFonts w:cs="Arial"/>
          <w:sz w:val="18"/>
          <w:szCs w:val="20"/>
        </w:rPr>
      </w:pPr>
      <w:r w:rsidRPr="0040022F">
        <w:rPr>
          <w:rFonts w:cs="Arial"/>
          <w:sz w:val="18"/>
          <w:szCs w:val="20"/>
        </w:rPr>
        <w:t xml:space="preserve">Liaise and advise the PM on the financial status of the </w:t>
      </w:r>
      <w:r w:rsidR="00253797">
        <w:rPr>
          <w:rFonts w:cs="Arial"/>
          <w:sz w:val="18"/>
          <w:szCs w:val="20"/>
        </w:rPr>
        <w:t>project</w:t>
      </w:r>
    </w:p>
    <w:p w:rsidR="0040022F" w:rsidRPr="0040022F" w:rsidRDefault="0040022F" w:rsidP="0040022F">
      <w:pPr>
        <w:pStyle w:val="ListParagraph"/>
        <w:spacing w:after="0" w:line="240" w:lineRule="auto"/>
        <w:ind w:left="0"/>
        <w:contextualSpacing w:val="0"/>
        <w:rPr>
          <w:b/>
          <w:sz w:val="18"/>
          <w:szCs w:val="20"/>
        </w:rPr>
      </w:pPr>
      <w:r w:rsidRPr="0040022F">
        <w:rPr>
          <w:b/>
          <w:sz w:val="18"/>
          <w:szCs w:val="20"/>
        </w:rPr>
        <w:t>Ensures efficient and effective procurement and recruitment processes</w:t>
      </w:r>
    </w:p>
    <w:p w:rsidR="0040022F" w:rsidRPr="0040022F" w:rsidRDefault="0040022F" w:rsidP="009D6B25">
      <w:pPr>
        <w:numPr>
          <w:ilvl w:val="0"/>
          <w:numId w:val="24"/>
        </w:numPr>
        <w:spacing w:after="0" w:line="240" w:lineRule="auto"/>
        <w:jc w:val="both"/>
        <w:rPr>
          <w:sz w:val="18"/>
          <w:szCs w:val="20"/>
        </w:rPr>
      </w:pPr>
      <w:r w:rsidRPr="0040022F">
        <w:rPr>
          <w:sz w:val="18"/>
          <w:szCs w:val="20"/>
        </w:rPr>
        <w:t>Provide strategic and operational leadership to team on all procurement and hiring matters;</w:t>
      </w:r>
    </w:p>
    <w:p w:rsidR="0040022F" w:rsidRPr="0040022F" w:rsidRDefault="0040022F" w:rsidP="009D6B25">
      <w:pPr>
        <w:numPr>
          <w:ilvl w:val="0"/>
          <w:numId w:val="24"/>
        </w:numPr>
        <w:spacing w:after="0" w:line="240" w:lineRule="auto"/>
        <w:jc w:val="both"/>
        <w:rPr>
          <w:sz w:val="18"/>
          <w:szCs w:val="20"/>
        </w:rPr>
      </w:pPr>
      <w:r w:rsidRPr="0040022F">
        <w:rPr>
          <w:sz w:val="18"/>
          <w:szCs w:val="20"/>
        </w:rPr>
        <w:t>Upon receipt of terms of reference, determine appropriate procurement process;</w:t>
      </w:r>
    </w:p>
    <w:p w:rsidR="0040022F" w:rsidRPr="0040022F" w:rsidRDefault="0040022F" w:rsidP="009D6B25">
      <w:pPr>
        <w:numPr>
          <w:ilvl w:val="0"/>
          <w:numId w:val="24"/>
        </w:numPr>
        <w:spacing w:after="0" w:line="240" w:lineRule="auto"/>
        <w:jc w:val="both"/>
        <w:rPr>
          <w:sz w:val="18"/>
          <w:szCs w:val="20"/>
        </w:rPr>
      </w:pPr>
      <w:r w:rsidRPr="0040022F">
        <w:rPr>
          <w:sz w:val="18"/>
          <w:szCs w:val="20"/>
        </w:rPr>
        <w:t>Assist technical team in conducting shortlisting and final selection of consultants in accordance with UNDP procedures;</w:t>
      </w:r>
    </w:p>
    <w:p w:rsidR="0040022F" w:rsidRPr="0040022F" w:rsidRDefault="0040022F" w:rsidP="009D6B25">
      <w:pPr>
        <w:numPr>
          <w:ilvl w:val="0"/>
          <w:numId w:val="24"/>
        </w:numPr>
        <w:spacing w:after="0" w:line="240" w:lineRule="auto"/>
        <w:jc w:val="both"/>
        <w:rPr>
          <w:sz w:val="18"/>
          <w:szCs w:val="20"/>
        </w:rPr>
      </w:pPr>
      <w:r w:rsidRPr="0040022F">
        <w:rPr>
          <w:sz w:val="18"/>
          <w:szCs w:val="20"/>
        </w:rPr>
        <w:t>Work with appropriate operations unit to process contracts, follow up on all request for additional information;</w:t>
      </w:r>
    </w:p>
    <w:p w:rsidR="0040022F" w:rsidRPr="0040022F" w:rsidRDefault="0040022F" w:rsidP="009D6B25">
      <w:pPr>
        <w:numPr>
          <w:ilvl w:val="0"/>
          <w:numId w:val="24"/>
        </w:numPr>
        <w:spacing w:after="0" w:line="240" w:lineRule="auto"/>
        <w:jc w:val="both"/>
        <w:rPr>
          <w:sz w:val="18"/>
          <w:szCs w:val="20"/>
        </w:rPr>
      </w:pPr>
      <w:r w:rsidRPr="0040022F">
        <w:rPr>
          <w:sz w:val="18"/>
          <w:szCs w:val="20"/>
        </w:rPr>
        <w:t>Ensure timely payments to consultants and correct performance reviews of consultants are completed;</w:t>
      </w:r>
    </w:p>
    <w:p w:rsidR="0040022F" w:rsidRPr="0040022F" w:rsidRDefault="0040022F" w:rsidP="009D6B25">
      <w:pPr>
        <w:numPr>
          <w:ilvl w:val="0"/>
          <w:numId w:val="24"/>
        </w:numPr>
        <w:spacing w:after="0" w:line="240" w:lineRule="auto"/>
        <w:jc w:val="both"/>
        <w:rPr>
          <w:sz w:val="18"/>
          <w:szCs w:val="20"/>
        </w:rPr>
      </w:pPr>
      <w:r w:rsidRPr="0040022F">
        <w:rPr>
          <w:sz w:val="18"/>
          <w:szCs w:val="20"/>
        </w:rPr>
        <w:t>Liaise with appropriate human resource body and technical team to advertise positions, shortlist applicants, and arrange and manage interview and selection process;</w:t>
      </w:r>
    </w:p>
    <w:p w:rsidR="0040022F" w:rsidRPr="0040022F" w:rsidRDefault="0040022F" w:rsidP="009D6B25">
      <w:pPr>
        <w:numPr>
          <w:ilvl w:val="0"/>
          <w:numId w:val="24"/>
        </w:numPr>
        <w:spacing w:after="0" w:line="240" w:lineRule="auto"/>
        <w:jc w:val="both"/>
        <w:rPr>
          <w:sz w:val="18"/>
          <w:szCs w:val="20"/>
        </w:rPr>
      </w:pPr>
      <w:r w:rsidRPr="0040022F">
        <w:rPr>
          <w:sz w:val="18"/>
          <w:szCs w:val="20"/>
        </w:rPr>
        <w:t>Advise team on procurement of goods and services, facilitate rapid completion of procurement approval and completion;</w:t>
      </w:r>
    </w:p>
    <w:p w:rsidR="0040022F" w:rsidRDefault="0040022F" w:rsidP="009D6B25">
      <w:pPr>
        <w:numPr>
          <w:ilvl w:val="0"/>
          <w:numId w:val="24"/>
        </w:numPr>
        <w:spacing w:after="0" w:line="240" w:lineRule="auto"/>
        <w:jc w:val="both"/>
        <w:rPr>
          <w:sz w:val="18"/>
          <w:szCs w:val="20"/>
        </w:rPr>
      </w:pPr>
      <w:r w:rsidRPr="0040022F">
        <w:rPr>
          <w:sz w:val="18"/>
          <w:szCs w:val="20"/>
        </w:rPr>
        <w:t>Manage purchase and disposal of assets;</w:t>
      </w:r>
    </w:p>
    <w:p w:rsidR="0040022F" w:rsidRPr="0040022F" w:rsidRDefault="0040022F" w:rsidP="009D6B25">
      <w:pPr>
        <w:numPr>
          <w:ilvl w:val="0"/>
          <w:numId w:val="24"/>
        </w:numPr>
        <w:spacing w:after="0" w:line="240" w:lineRule="auto"/>
        <w:jc w:val="both"/>
        <w:rPr>
          <w:sz w:val="18"/>
          <w:szCs w:val="20"/>
        </w:rPr>
      </w:pPr>
      <w:r w:rsidRPr="0040022F">
        <w:rPr>
          <w:sz w:val="18"/>
          <w:szCs w:val="20"/>
        </w:rPr>
        <w:t xml:space="preserve">Guide work of </w:t>
      </w:r>
      <w:r w:rsidR="008251B7">
        <w:rPr>
          <w:sz w:val="18"/>
          <w:szCs w:val="20"/>
        </w:rPr>
        <w:t>GRDP</w:t>
      </w:r>
      <w:r w:rsidRPr="0040022F">
        <w:rPr>
          <w:sz w:val="18"/>
          <w:szCs w:val="20"/>
        </w:rPr>
        <w:t xml:space="preserve"> </w:t>
      </w:r>
      <w:r w:rsidR="00253797">
        <w:rPr>
          <w:sz w:val="18"/>
          <w:szCs w:val="20"/>
        </w:rPr>
        <w:t>Project</w:t>
      </w:r>
      <w:r w:rsidRPr="0040022F">
        <w:rPr>
          <w:sz w:val="18"/>
          <w:szCs w:val="20"/>
        </w:rPr>
        <w:t xml:space="preserve"> Assistants and train team in procurement and human resource issues</w:t>
      </w:r>
    </w:p>
    <w:p w:rsidR="0040022F" w:rsidRDefault="0040022F" w:rsidP="0040022F">
      <w:pPr>
        <w:pStyle w:val="ListParagraph"/>
        <w:spacing w:after="0" w:line="240" w:lineRule="auto"/>
        <w:ind w:left="0"/>
        <w:jc w:val="both"/>
        <w:rPr>
          <w:rFonts w:cs="Arial"/>
          <w:sz w:val="18"/>
          <w:szCs w:val="20"/>
        </w:rPr>
      </w:pPr>
    </w:p>
    <w:p w:rsidR="00C10602" w:rsidRDefault="00C10602" w:rsidP="000C54D3">
      <w:pPr>
        <w:pStyle w:val="ListParagraph"/>
        <w:spacing w:after="0" w:line="240" w:lineRule="auto"/>
        <w:ind w:left="0"/>
        <w:jc w:val="both"/>
        <w:textAlignment w:val="center"/>
        <w:rPr>
          <w:rFonts w:cs="Calibri Light"/>
          <w:b/>
          <w:sz w:val="18"/>
          <w:szCs w:val="20"/>
        </w:rPr>
      </w:pPr>
    </w:p>
    <w:p w:rsidR="00C10602" w:rsidRDefault="00C10602" w:rsidP="000C54D3">
      <w:pPr>
        <w:pStyle w:val="ListParagraph"/>
        <w:spacing w:after="0" w:line="240" w:lineRule="auto"/>
        <w:ind w:left="0"/>
        <w:jc w:val="both"/>
        <w:textAlignment w:val="center"/>
        <w:rPr>
          <w:rFonts w:cs="Calibri Light"/>
          <w:b/>
          <w:sz w:val="18"/>
          <w:szCs w:val="20"/>
        </w:rPr>
      </w:pPr>
    </w:p>
    <w:p w:rsidR="00072F56" w:rsidRPr="0040022F" w:rsidRDefault="00253797" w:rsidP="000C54D3">
      <w:pPr>
        <w:pStyle w:val="ListParagraph"/>
        <w:spacing w:after="0" w:line="240" w:lineRule="auto"/>
        <w:ind w:left="0"/>
        <w:jc w:val="both"/>
        <w:textAlignment w:val="center"/>
        <w:rPr>
          <w:rFonts w:cs="Calibri Light"/>
          <w:b/>
          <w:sz w:val="18"/>
          <w:szCs w:val="20"/>
        </w:rPr>
      </w:pPr>
      <w:r>
        <w:rPr>
          <w:rFonts w:cs="Calibri Light"/>
          <w:b/>
          <w:sz w:val="18"/>
          <w:szCs w:val="20"/>
        </w:rPr>
        <w:t>PROJECT</w:t>
      </w:r>
      <w:r w:rsidR="000C54D3" w:rsidRPr="0040022F">
        <w:rPr>
          <w:rFonts w:cs="Calibri Light"/>
          <w:b/>
          <w:sz w:val="18"/>
          <w:szCs w:val="20"/>
        </w:rPr>
        <w:t xml:space="preserve"> ASSOCIATE</w:t>
      </w:r>
    </w:p>
    <w:tbl>
      <w:tblPr>
        <w:tblW w:w="9072" w:type="dxa"/>
        <w:tblInd w:w="108" w:type="dxa"/>
        <w:shd w:val="clear" w:color="auto" w:fill="E0E0E0"/>
        <w:tblLook w:val="0000" w:firstRow="0" w:lastRow="0" w:firstColumn="0" w:lastColumn="0" w:noHBand="0" w:noVBand="0"/>
      </w:tblPr>
      <w:tblGrid>
        <w:gridCol w:w="9072"/>
      </w:tblGrid>
      <w:tr w:rsidR="00072F56" w:rsidRPr="0040022F" w:rsidTr="000C54D3">
        <w:tc>
          <w:tcPr>
            <w:tcW w:w="9072" w:type="dxa"/>
          </w:tcPr>
          <w:p w:rsidR="00072F56" w:rsidRPr="0040022F" w:rsidRDefault="00072F56" w:rsidP="009D6B25">
            <w:pPr>
              <w:numPr>
                <w:ilvl w:val="0"/>
                <w:numId w:val="24"/>
              </w:numPr>
              <w:spacing w:after="0" w:line="240" w:lineRule="auto"/>
              <w:jc w:val="both"/>
              <w:rPr>
                <w:sz w:val="18"/>
                <w:szCs w:val="20"/>
              </w:rPr>
            </w:pPr>
            <w:r w:rsidRPr="0040022F">
              <w:rPr>
                <w:sz w:val="18"/>
                <w:szCs w:val="20"/>
              </w:rPr>
              <w:t xml:space="preserve">Ensures administration and implementation of </w:t>
            </w:r>
            <w:r w:rsidR="00253797">
              <w:rPr>
                <w:sz w:val="18"/>
                <w:szCs w:val="20"/>
              </w:rPr>
              <w:t>project</w:t>
            </w:r>
            <w:r w:rsidRPr="0040022F">
              <w:rPr>
                <w:sz w:val="18"/>
                <w:szCs w:val="20"/>
              </w:rPr>
              <w:t>/operations and financial management strategies, adapts processes and procedures focusing on achievement of the following results:</w:t>
            </w:r>
          </w:p>
          <w:p w:rsidR="00072F56" w:rsidRPr="0040022F" w:rsidRDefault="00072F56" w:rsidP="009D6B25">
            <w:pPr>
              <w:numPr>
                <w:ilvl w:val="0"/>
                <w:numId w:val="24"/>
              </w:numPr>
              <w:spacing w:after="0" w:line="240" w:lineRule="auto"/>
              <w:jc w:val="both"/>
              <w:rPr>
                <w:sz w:val="18"/>
                <w:szCs w:val="20"/>
              </w:rPr>
            </w:pPr>
            <w:r w:rsidRPr="0040022F">
              <w:rPr>
                <w:sz w:val="18"/>
                <w:szCs w:val="20"/>
              </w:rPr>
              <w:t>Full compliance with UN/UNDP rules and regulations and other relevant policies on financial recording/reporting system and follow-up on audit recommendations; implementation of effective internal controls, proper functioning of a client-oriented financial resources management system.</w:t>
            </w:r>
          </w:p>
          <w:p w:rsidR="00072F56" w:rsidRPr="0040022F" w:rsidRDefault="00072F56" w:rsidP="009D6B25">
            <w:pPr>
              <w:numPr>
                <w:ilvl w:val="0"/>
                <w:numId w:val="24"/>
              </w:numPr>
              <w:spacing w:after="0" w:line="240" w:lineRule="auto"/>
              <w:jc w:val="both"/>
              <w:rPr>
                <w:sz w:val="18"/>
                <w:szCs w:val="20"/>
              </w:rPr>
            </w:pPr>
            <w:r w:rsidRPr="0040022F">
              <w:rPr>
                <w:sz w:val="18"/>
                <w:szCs w:val="20"/>
              </w:rPr>
              <w:t>Provision of inputs for implementation of cost-saving and reduction strategies in consultation with the office management.</w:t>
            </w:r>
          </w:p>
          <w:p w:rsidR="00072F56" w:rsidRPr="0040022F" w:rsidRDefault="00072F56" w:rsidP="009D6B25">
            <w:pPr>
              <w:numPr>
                <w:ilvl w:val="0"/>
                <w:numId w:val="24"/>
              </w:numPr>
              <w:spacing w:after="0" w:line="240" w:lineRule="auto"/>
              <w:jc w:val="both"/>
              <w:rPr>
                <w:sz w:val="18"/>
                <w:szCs w:val="20"/>
              </w:rPr>
            </w:pPr>
            <w:r w:rsidRPr="0040022F">
              <w:rPr>
                <w:sz w:val="18"/>
                <w:szCs w:val="20"/>
              </w:rPr>
              <w:t>Preparation of cost sharing, and trust fund agreements, follow up on contributions within the resource mobilization efforts.</w:t>
            </w:r>
          </w:p>
        </w:tc>
      </w:tr>
      <w:tr w:rsidR="00072F56" w:rsidRPr="0040022F" w:rsidTr="000C54D3">
        <w:trPr>
          <w:trHeight w:val="1547"/>
        </w:trPr>
        <w:tc>
          <w:tcPr>
            <w:tcW w:w="9072" w:type="dxa"/>
          </w:tcPr>
          <w:p w:rsidR="00072F56" w:rsidRPr="0040022F" w:rsidRDefault="00072F56" w:rsidP="000C54D3">
            <w:pPr>
              <w:pStyle w:val="BodyText"/>
              <w:pBdr>
                <w:bottom w:val="none" w:sz="0" w:space="0" w:color="auto"/>
              </w:pBdr>
              <w:spacing w:after="0" w:line="240" w:lineRule="auto"/>
              <w:rPr>
                <w:rFonts w:ascii="Calibri Light" w:hAnsi="Calibri Light"/>
                <w:b/>
                <w:i w:val="0"/>
                <w:iCs w:val="0"/>
                <w:sz w:val="18"/>
                <w:szCs w:val="20"/>
              </w:rPr>
            </w:pPr>
            <w:r w:rsidRPr="0040022F">
              <w:rPr>
                <w:rFonts w:ascii="Calibri Light" w:hAnsi="Calibri Light"/>
                <w:b/>
                <w:i w:val="0"/>
                <w:iCs w:val="0"/>
                <w:sz w:val="18"/>
                <w:szCs w:val="20"/>
              </w:rPr>
              <w:t xml:space="preserve">Provides effective support to management of the </w:t>
            </w:r>
            <w:r w:rsidR="00253797">
              <w:rPr>
                <w:rFonts w:ascii="Calibri Light" w:hAnsi="Calibri Light"/>
                <w:b/>
                <w:i w:val="0"/>
                <w:iCs w:val="0"/>
                <w:sz w:val="18"/>
                <w:szCs w:val="20"/>
              </w:rPr>
              <w:t>project</w:t>
            </w:r>
            <w:r w:rsidRPr="0040022F">
              <w:rPr>
                <w:rFonts w:ascii="Calibri Light" w:hAnsi="Calibri Light"/>
                <w:b/>
                <w:i w:val="0"/>
                <w:iCs w:val="0"/>
                <w:sz w:val="18"/>
                <w:szCs w:val="20"/>
              </w:rPr>
              <w:t xml:space="preserve">, </w:t>
            </w:r>
            <w:r w:rsidRPr="0040022F">
              <w:rPr>
                <w:rFonts w:ascii="Calibri Light" w:hAnsi="Calibri Light"/>
                <w:b/>
                <w:bCs/>
                <w:i w:val="0"/>
                <w:iCs w:val="0"/>
                <w:sz w:val="18"/>
                <w:szCs w:val="20"/>
              </w:rPr>
              <w:t>administration of budgets and functioning of the optimal cost-recovery system</w:t>
            </w:r>
            <w:r w:rsidRPr="0040022F">
              <w:rPr>
                <w:rFonts w:ascii="Calibri Light" w:hAnsi="Calibri Light"/>
                <w:b/>
                <w:i w:val="0"/>
                <w:iCs w:val="0"/>
                <w:sz w:val="18"/>
                <w:szCs w:val="20"/>
              </w:rPr>
              <w:t xml:space="preserve"> focusing on achievement of the following results:</w:t>
            </w:r>
          </w:p>
          <w:p w:rsidR="00072F56" w:rsidRPr="0040022F" w:rsidRDefault="00072F56" w:rsidP="009D6B25">
            <w:pPr>
              <w:numPr>
                <w:ilvl w:val="0"/>
                <w:numId w:val="24"/>
              </w:numPr>
              <w:spacing w:after="0" w:line="240" w:lineRule="auto"/>
              <w:jc w:val="both"/>
              <w:rPr>
                <w:sz w:val="18"/>
                <w:szCs w:val="20"/>
              </w:rPr>
            </w:pPr>
            <w:r w:rsidRPr="0040022F">
              <w:rPr>
                <w:sz w:val="18"/>
                <w:szCs w:val="20"/>
              </w:rPr>
              <w:t xml:space="preserve">Presentation of information for formulation of </w:t>
            </w:r>
            <w:r w:rsidR="00253797">
              <w:rPr>
                <w:sz w:val="18"/>
                <w:szCs w:val="20"/>
              </w:rPr>
              <w:t>project</w:t>
            </w:r>
            <w:r w:rsidRPr="0040022F">
              <w:rPr>
                <w:sz w:val="18"/>
                <w:szCs w:val="20"/>
              </w:rPr>
              <w:t xml:space="preserve"> work plans, budgets, proposals on implementation arrangements and execution modalities. Entry of data of into Atlas in the form of Annual Work Plans (AWPs), monitoring of their status.</w:t>
            </w:r>
          </w:p>
          <w:p w:rsidR="00072F56" w:rsidRPr="0040022F" w:rsidRDefault="00072F56" w:rsidP="009D6B25">
            <w:pPr>
              <w:numPr>
                <w:ilvl w:val="0"/>
                <w:numId w:val="24"/>
              </w:numPr>
              <w:spacing w:after="0" w:line="240" w:lineRule="auto"/>
              <w:jc w:val="both"/>
              <w:rPr>
                <w:sz w:val="18"/>
                <w:szCs w:val="20"/>
              </w:rPr>
            </w:pPr>
            <w:r w:rsidRPr="0040022F">
              <w:rPr>
                <w:sz w:val="18"/>
                <w:szCs w:val="20"/>
              </w:rPr>
              <w:t>Provision of guidance to the executing agencies on routine implementation of projects, tracking use of financial resources.</w:t>
            </w:r>
          </w:p>
          <w:p w:rsidR="00072F56" w:rsidRPr="0040022F" w:rsidRDefault="00072F56" w:rsidP="009D6B25">
            <w:pPr>
              <w:numPr>
                <w:ilvl w:val="0"/>
                <w:numId w:val="24"/>
              </w:numPr>
              <w:spacing w:after="0" w:line="240" w:lineRule="auto"/>
              <w:jc w:val="both"/>
              <w:rPr>
                <w:sz w:val="18"/>
                <w:szCs w:val="20"/>
              </w:rPr>
            </w:pPr>
            <w:r w:rsidRPr="0040022F">
              <w:rPr>
                <w:sz w:val="18"/>
                <w:szCs w:val="20"/>
              </w:rPr>
              <w:t xml:space="preserve">Provision of information for the audit of the </w:t>
            </w:r>
            <w:proofErr w:type="spellStart"/>
            <w:r w:rsidRPr="0040022F">
              <w:rPr>
                <w:sz w:val="18"/>
                <w:szCs w:val="20"/>
              </w:rPr>
              <w:t>programe</w:t>
            </w:r>
            <w:proofErr w:type="spellEnd"/>
            <w:r w:rsidRPr="0040022F">
              <w:rPr>
                <w:sz w:val="18"/>
                <w:szCs w:val="20"/>
              </w:rPr>
              <w:t>, implementation of audit recommendations.</w:t>
            </w:r>
          </w:p>
          <w:p w:rsidR="00072F56" w:rsidRPr="0040022F" w:rsidRDefault="00072F56" w:rsidP="009D6B25">
            <w:pPr>
              <w:numPr>
                <w:ilvl w:val="0"/>
                <w:numId w:val="24"/>
              </w:numPr>
              <w:spacing w:after="0" w:line="240" w:lineRule="auto"/>
              <w:jc w:val="both"/>
              <w:rPr>
                <w:sz w:val="18"/>
                <w:szCs w:val="20"/>
              </w:rPr>
            </w:pPr>
            <w:r w:rsidRPr="0040022F">
              <w:rPr>
                <w:sz w:val="18"/>
                <w:szCs w:val="20"/>
              </w:rPr>
              <w:t>Implementation of the control mechanism for through monitoring of budgets preparation and modifications</w:t>
            </w:r>
          </w:p>
          <w:p w:rsidR="00072F56" w:rsidRPr="0040022F" w:rsidRDefault="00072F56" w:rsidP="009D6B25">
            <w:pPr>
              <w:numPr>
                <w:ilvl w:val="0"/>
                <w:numId w:val="24"/>
              </w:numPr>
              <w:spacing w:after="0" w:line="240" w:lineRule="auto"/>
              <w:jc w:val="both"/>
              <w:rPr>
                <w:sz w:val="18"/>
                <w:szCs w:val="20"/>
              </w:rPr>
            </w:pPr>
            <w:r w:rsidRPr="0040022F">
              <w:rPr>
                <w:sz w:val="18"/>
                <w:szCs w:val="20"/>
              </w:rPr>
              <w:t>Tracking and reporting on mobilized resources.</w:t>
            </w:r>
          </w:p>
          <w:p w:rsidR="00072F56" w:rsidRPr="0040022F" w:rsidRDefault="00072F56" w:rsidP="009D6B25">
            <w:pPr>
              <w:numPr>
                <w:ilvl w:val="0"/>
                <w:numId w:val="24"/>
              </w:numPr>
              <w:spacing w:after="0" w:line="240" w:lineRule="auto"/>
              <w:jc w:val="both"/>
              <w:rPr>
                <w:i/>
                <w:iCs/>
                <w:sz w:val="18"/>
                <w:szCs w:val="20"/>
              </w:rPr>
            </w:pPr>
            <w:r w:rsidRPr="0040022F">
              <w:rPr>
                <w:sz w:val="18"/>
                <w:szCs w:val="20"/>
              </w:rPr>
              <w:t>Assists in the preparation of cost-recovery bills in Atlas for the services provided by UNDP JOC, elaboration</w:t>
            </w:r>
            <w:r w:rsidRPr="0040022F">
              <w:rPr>
                <w:i/>
                <w:iCs/>
                <w:sz w:val="18"/>
                <w:szCs w:val="20"/>
              </w:rPr>
              <w:t xml:space="preserve"> and implementation of the income tracking system and follow up on cost recovery.</w:t>
            </w:r>
          </w:p>
        </w:tc>
      </w:tr>
      <w:tr w:rsidR="00072F56" w:rsidRPr="0040022F" w:rsidTr="000C54D3">
        <w:trPr>
          <w:trHeight w:val="1218"/>
        </w:trPr>
        <w:tc>
          <w:tcPr>
            <w:tcW w:w="9072" w:type="dxa"/>
          </w:tcPr>
          <w:p w:rsidR="00072F56" w:rsidRPr="0040022F" w:rsidRDefault="00072F56" w:rsidP="002560A7">
            <w:pPr>
              <w:spacing w:after="0" w:line="240" w:lineRule="auto"/>
              <w:jc w:val="both"/>
              <w:rPr>
                <w:b/>
                <w:sz w:val="18"/>
                <w:szCs w:val="20"/>
              </w:rPr>
            </w:pPr>
            <w:r w:rsidRPr="0040022F">
              <w:rPr>
                <w:b/>
                <w:sz w:val="18"/>
                <w:szCs w:val="20"/>
              </w:rPr>
              <w:t>Provides accounting and administrative support to the Joint Operations Centre focusing on achievement of the following results:</w:t>
            </w:r>
          </w:p>
          <w:p w:rsidR="00072F56" w:rsidRPr="0040022F" w:rsidRDefault="00072F56" w:rsidP="009D6B25">
            <w:pPr>
              <w:numPr>
                <w:ilvl w:val="0"/>
                <w:numId w:val="24"/>
              </w:numPr>
              <w:spacing w:after="0" w:line="240" w:lineRule="auto"/>
              <w:jc w:val="both"/>
              <w:rPr>
                <w:sz w:val="18"/>
                <w:szCs w:val="20"/>
              </w:rPr>
            </w:pPr>
            <w:r w:rsidRPr="0040022F">
              <w:rPr>
                <w:sz w:val="18"/>
                <w:szCs w:val="20"/>
              </w:rPr>
              <w:t xml:space="preserve">Proper control of the supporting documents for payments and financial reports for </w:t>
            </w:r>
            <w:r w:rsidR="00253797">
              <w:rPr>
                <w:sz w:val="18"/>
                <w:szCs w:val="20"/>
              </w:rPr>
              <w:t>project</w:t>
            </w:r>
            <w:r w:rsidRPr="0040022F">
              <w:rPr>
                <w:sz w:val="18"/>
                <w:szCs w:val="20"/>
              </w:rPr>
              <w:t>; preparation of PO and non-PO vouchers for development projects.</w:t>
            </w:r>
          </w:p>
          <w:p w:rsidR="00072F56" w:rsidRPr="0040022F" w:rsidRDefault="00072F56" w:rsidP="009D6B25">
            <w:pPr>
              <w:numPr>
                <w:ilvl w:val="0"/>
                <w:numId w:val="24"/>
              </w:numPr>
              <w:spacing w:after="0" w:line="240" w:lineRule="auto"/>
              <w:jc w:val="both"/>
              <w:rPr>
                <w:sz w:val="18"/>
                <w:szCs w:val="20"/>
              </w:rPr>
            </w:pPr>
            <w:r w:rsidRPr="0040022F">
              <w:rPr>
                <w:sz w:val="18"/>
                <w:szCs w:val="20"/>
              </w:rPr>
              <w:t>Maintenance of the internal expenditures control system which ensures that vouchers processed are matched and completed, transactions are correctly recorded and posted in Atlas; payrolls are duly prepared and processed; travel claims, MPOs and other entitlements are duly processed</w:t>
            </w:r>
          </w:p>
          <w:p w:rsidR="00072F56" w:rsidRPr="0040022F" w:rsidRDefault="00072F56" w:rsidP="009D6B25">
            <w:pPr>
              <w:numPr>
                <w:ilvl w:val="0"/>
                <w:numId w:val="24"/>
              </w:numPr>
              <w:spacing w:after="0" w:line="240" w:lineRule="auto"/>
              <w:jc w:val="both"/>
              <w:rPr>
                <w:sz w:val="18"/>
                <w:szCs w:val="20"/>
              </w:rPr>
            </w:pPr>
            <w:r w:rsidRPr="0040022F">
              <w:rPr>
                <w:sz w:val="18"/>
                <w:szCs w:val="20"/>
              </w:rPr>
              <w:t>Timely corrective actions on erroneous data in Atlas.  Preparation of financial reports as required.</w:t>
            </w:r>
          </w:p>
          <w:p w:rsidR="00072F56" w:rsidRPr="0040022F" w:rsidRDefault="00072F56" w:rsidP="009D6B25">
            <w:pPr>
              <w:numPr>
                <w:ilvl w:val="0"/>
                <w:numId w:val="24"/>
              </w:numPr>
              <w:spacing w:after="0" w:line="240" w:lineRule="auto"/>
              <w:jc w:val="both"/>
              <w:rPr>
                <w:sz w:val="18"/>
                <w:szCs w:val="20"/>
              </w:rPr>
            </w:pPr>
            <w:r w:rsidRPr="0040022F">
              <w:rPr>
                <w:sz w:val="18"/>
                <w:szCs w:val="20"/>
              </w:rPr>
              <w:t>Performance of a Buyer Role in Atlas and preparation of Vendor List</w:t>
            </w:r>
          </w:p>
          <w:p w:rsidR="00072F56" w:rsidRPr="0040022F" w:rsidRDefault="00072F56" w:rsidP="009D6B25">
            <w:pPr>
              <w:numPr>
                <w:ilvl w:val="0"/>
                <w:numId w:val="24"/>
              </w:numPr>
              <w:spacing w:after="0" w:line="240" w:lineRule="auto"/>
              <w:jc w:val="both"/>
              <w:rPr>
                <w:sz w:val="18"/>
                <w:szCs w:val="20"/>
              </w:rPr>
            </w:pPr>
            <w:r w:rsidRPr="0040022F">
              <w:rPr>
                <w:sz w:val="18"/>
                <w:szCs w:val="20"/>
              </w:rPr>
              <w:t>Support to procurement processes including preparation of RFQs, ITBs receipt of quotations, bids or proposals</w:t>
            </w:r>
          </w:p>
          <w:p w:rsidR="00072F56" w:rsidRPr="0040022F" w:rsidRDefault="00072F56" w:rsidP="009D6B25">
            <w:pPr>
              <w:numPr>
                <w:ilvl w:val="0"/>
                <w:numId w:val="24"/>
              </w:numPr>
              <w:spacing w:after="0" w:line="240" w:lineRule="auto"/>
              <w:jc w:val="both"/>
              <w:rPr>
                <w:sz w:val="18"/>
                <w:szCs w:val="20"/>
              </w:rPr>
            </w:pPr>
            <w:r w:rsidRPr="0040022F">
              <w:rPr>
                <w:sz w:val="18"/>
                <w:szCs w:val="20"/>
              </w:rPr>
              <w:t>Maintenance of the project manager’s calendars, managing government and external partners lists, arrangement of appointments and meetings</w:t>
            </w:r>
          </w:p>
          <w:p w:rsidR="00072F56" w:rsidRPr="0040022F" w:rsidRDefault="00072F56" w:rsidP="009D6B25">
            <w:pPr>
              <w:numPr>
                <w:ilvl w:val="0"/>
                <w:numId w:val="24"/>
              </w:numPr>
              <w:spacing w:after="0" w:line="240" w:lineRule="auto"/>
              <w:jc w:val="both"/>
              <w:rPr>
                <w:sz w:val="18"/>
                <w:szCs w:val="20"/>
              </w:rPr>
            </w:pPr>
            <w:r w:rsidRPr="0040022F">
              <w:rPr>
                <w:sz w:val="18"/>
                <w:szCs w:val="20"/>
              </w:rPr>
              <w:t>Coordination of travel arrangement and hotel reservations, preparation of travel authorizations, processing requests for visas</w:t>
            </w:r>
          </w:p>
          <w:p w:rsidR="00072F56" w:rsidRPr="0040022F" w:rsidRDefault="00072F56" w:rsidP="009D6B25">
            <w:pPr>
              <w:numPr>
                <w:ilvl w:val="0"/>
                <w:numId w:val="24"/>
              </w:numPr>
              <w:spacing w:after="0" w:line="240" w:lineRule="auto"/>
              <w:jc w:val="both"/>
              <w:rPr>
                <w:sz w:val="18"/>
                <w:szCs w:val="20"/>
              </w:rPr>
            </w:pPr>
            <w:r w:rsidRPr="0040022F">
              <w:rPr>
                <w:sz w:val="18"/>
                <w:szCs w:val="20"/>
              </w:rPr>
              <w:t>Administrative support to conference, workshops, retreats</w:t>
            </w:r>
          </w:p>
          <w:p w:rsidR="00072F56" w:rsidRPr="0040022F" w:rsidRDefault="00072F56" w:rsidP="009D6B25">
            <w:pPr>
              <w:numPr>
                <w:ilvl w:val="0"/>
                <w:numId w:val="24"/>
              </w:numPr>
              <w:spacing w:after="0" w:line="240" w:lineRule="auto"/>
              <w:jc w:val="both"/>
              <w:rPr>
                <w:sz w:val="18"/>
                <w:szCs w:val="20"/>
              </w:rPr>
            </w:pPr>
            <w:r w:rsidRPr="0040022F">
              <w:rPr>
                <w:sz w:val="18"/>
                <w:szCs w:val="20"/>
              </w:rPr>
              <w:t>Collection of information for DSA, travel agencies and other administrative surveys; support to organization of common service activities</w:t>
            </w:r>
          </w:p>
          <w:p w:rsidR="00072F56" w:rsidRPr="0040022F" w:rsidRDefault="00072F56" w:rsidP="009D6B25">
            <w:pPr>
              <w:numPr>
                <w:ilvl w:val="0"/>
                <w:numId w:val="24"/>
              </w:numPr>
              <w:spacing w:after="0" w:line="240" w:lineRule="auto"/>
              <w:jc w:val="both"/>
              <w:rPr>
                <w:sz w:val="18"/>
                <w:szCs w:val="20"/>
              </w:rPr>
            </w:pPr>
            <w:r w:rsidRPr="0040022F">
              <w:rPr>
                <w:sz w:val="18"/>
                <w:szCs w:val="20"/>
              </w:rPr>
              <w:t>Assist in processing staff/workshop travel claims in line with financial procedures</w:t>
            </w:r>
          </w:p>
          <w:p w:rsidR="00072F56" w:rsidRPr="0040022F" w:rsidRDefault="00072F56" w:rsidP="009D6B25">
            <w:pPr>
              <w:numPr>
                <w:ilvl w:val="0"/>
                <w:numId w:val="24"/>
              </w:numPr>
              <w:spacing w:after="0" w:line="240" w:lineRule="auto"/>
              <w:jc w:val="both"/>
              <w:rPr>
                <w:sz w:val="18"/>
                <w:szCs w:val="20"/>
              </w:rPr>
            </w:pPr>
            <w:r w:rsidRPr="0040022F">
              <w:rPr>
                <w:sz w:val="18"/>
                <w:szCs w:val="20"/>
              </w:rPr>
              <w:t>Custodian for management of office stationery supplies</w:t>
            </w:r>
          </w:p>
          <w:p w:rsidR="00072F56" w:rsidRPr="0040022F" w:rsidRDefault="00072F56" w:rsidP="009D6B25">
            <w:pPr>
              <w:numPr>
                <w:ilvl w:val="0"/>
                <w:numId w:val="24"/>
              </w:numPr>
              <w:spacing w:after="0" w:line="240" w:lineRule="auto"/>
              <w:jc w:val="both"/>
              <w:rPr>
                <w:sz w:val="18"/>
                <w:szCs w:val="20"/>
              </w:rPr>
            </w:pPr>
            <w:r w:rsidRPr="0040022F">
              <w:rPr>
                <w:sz w:val="18"/>
                <w:szCs w:val="20"/>
              </w:rPr>
              <w:t>Maintenance of e-filing systems ensuring safekeeping of confidential materials</w:t>
            </w:r>
          </w:p>
          <w:p w:rsidR="00072F56" w:rsidRPr="0040022F" w:rsidRDefault="00072F56" w:rsidP="009D6B25">
            <w:pPr>
              <w:numPr>
                <w:ilvl w:val="0"/>
                <w:numId w:val="24"/>
              </w:numPr>
              <w:spacing w:after="0" w:line="240" w:lineRule="auto"/>
              <w:jc w:val="both"/>
              <w:rPr>
                <w:sz w:val="18"/>
                <w:szCs w:val="20"/>
              </w:rPr>
            </w:pPr>
            <w:r w:rsidRPr="0040022F">
              <w:rPr>
                <w:sz w:val="18"/>
                <w:szCs w:val="20"/>
              </w:rPr>
              <w:t>Presentation of information on the status of financial resources as required</w:t>
            </w:r>
          </w:p>
          <w:p w:rsidR="00072F56" w:rsidRPr="0040022F" w:rsidRDefault="00072F56" w:rsidP="009D6B25">
            <w:pPr>
              <w:numPr>
                <w:ilvl w:val="0"/>
                <w:numId w:val="24"/>
              </w:numPr>
              <w:spacing w:after="0" w:line="240" w:lineRule="auto"/>
              <w:jc w:val="both"/>
              <w:rPr>
                <w:sz w:val="18"/>
                <w:szCs w:val="20"/>
              </w:rPr>
            </w:pPr>
            <w:r w:rsidRPr="0040022F">
              <w:rPr>
                <w:sz w:val="18"/>
                <w:szCs w:val="20"/>
              </w:rPr>
              <w:t>Assistance with timely disbursement of payments to Travel Agent</w:t>
            </w:r>
          </w:p>
          <w:p w:rsidR="00072F56" w:rsidRPr="0040022F" w:rsidRDefault="00072F56" w:rsidP="009D6B25">
            <w:pPr>
              <w:numPr>
                <w:ilvl w:val="0"/>
                <w:numId w:val="24"/>
              </w:numPr>
              <w:spacing w:after="0" w:line="240" w:lineRule="auto"/>
              <w:jc w:val="both"/>
              <w:rPr>
                <w:sz w:val="18"/>
                <w:szCs w:val="20"/>
              </w:rPr>
            </w:pPr>
            <w:r w:rsidRPr="0040022F">
              <w:rPr>
                <w:sz w:val="18"/>
                <w:szCs w:val="20"/>
              </w:rPr>
              <w:t>Prepare bank documents as needed</w:t>
            </w:r>
          </w:p>
          <w:p w:rsidR="00072F56" w:rsidRPr="0040022F" w:rsidRDefault="00072F56" w:rsidP="009D6B25">
            <w:pPr>
              <w:numPr>
                <w:ilvl w:val="0"/>
                <w:numId w:val="24"/>
              </w:numPr>
              <w:spacing w:after="0" w:line="240" w:lineRule="auto"/>
              <w:jc w:val="both"/>
              <w:rPr>
                <w:sz w:val="18"/>
                <w:szCs w:val="20"/>
              </w:rPr>
            </w:pPr>
            <w:r w:rsidRPr="0040022F">
              <w:rPr>
                <w:sz w:val="18"/>
                <w:szCs w:val="20"/>
              </w:rPr>
              <w:t xml:space="preserve">Follow-up on deadlines, </w:t>
            </w:r>
            <w:proofErr w:type="spellStart"/>
            <w:r w:rsidRPr="0040022F">
              <w:rPr>
                <w:sz w:val="18"/>
                <w:szCs w:val="20"/>
              </w:rPr>
              <w:t>committeemen</w:t>
            </w:r>
            <w:r w:rsidR="000C54D3" w:rsidRPr="0040022F">
              <w:rPr>
                <w:sz w:val="18"/>
                <w:szCs w:val="20"/>
              </w:rPr>
              <w:t>t</w:t>
            </w:r>
            <w:r w:rsidRPr="0040022F">
              <w:rPr>
                <w:sz w:val="18"/>
                <w:szCs w:val="20"/>
              </w:rPr>
              <w:t>’s</w:t>
            </w:r>
            <w:proofErr w:type="spellEnd"/>
            <w:r w:rsidRPr="0040022F">
              <w:rPr>
                <w:sz w:val="18"/>
                <w:szCs w:val="20"/>
              </w:rPr>
              <w:t xml:space="preserve"> made, actions taken and coordination of collection and submission of reports</w:t>
            </w:r>
          </w:p>
          <w:p w:rsidR="00072F56" w:rsidRPr="0040022F" w:rsidRDefault="00072F56" w:rsidP="009D6B25">
            <w:pPr>
              <w:numPr>
                <w:ilvl w:val="0"/>
                <w:numId w:val="24"/>
              </w:numPr>
              <w:spacing w:after="0" w:line="240" w:lineRule="auto"/>
              <w:jc w:val="both"/>
              <w:rPr>
                <w:sz w:val="18"/>
                <w:szCs w:val="20"/>
              </w:rPr>
            </w:pPr>
            <w:r w:rsidRPr="0040022F">
              <w:rPr>
                <w:sz w:val="18"/>
                <w:szCs w:val="20"/>
              </w:rPr>
              <w:t>Assistance in provision of information for audit management</w:t>
            </w:r>
          </w:p>
        </w:tc>
      </w:tr>
      <w:tr w:rsidR="00072F56" w:rsidRPr="0040022F" w:rsidTr="000C54D3">
        <w:tc>
          <w:tcPr>
            <w:tcW w:w="9072" w:type="dxa"/>
          </w:tcPr>
          <w:p w:rsidR="00072F56" w:rsidRPr="0040022F" w:rsidRDefault="00072F56" w:rsidP="002560A7">
            <w:pPr>
              <w:pStyle w:val="ListParagraph"/>
              <w:spacing w:after="0" w:line="240" w:lineRule="auto"/>
              <w:ind w:left="0"/>
              <w:jc w:val="both"/>
              <w:rPr>
                <w:b/>
                <w:sz w:val="18"/>
                <w:szCs w:val="20"/>
              </w:rPr>
            </w:pPr>
            <w:r w:rsidRPr="0040022F">
              <w:rPr>
                <w:b/>
                <w:sz w:val="18"/>
                <w:szCs w:val="20"/>
              </w:rPr>
              <w:t xml:space="preserve">Ensures </w:t>
            </w:r>
            <w:r w:rsidRPr="0040022F">
              <w:rPr>
                <w:b/>
                <w:bCs/>
                <w:sz w:val="18"/>
                <w:szCs w:val="20"/>
              </w:rPr>
              <w:t>facilitation of knowledge building and knowledge sharing</w:t>
            </w:r>
            <w:r w:rsidRPr="0040022F">
              <w:rPr>
                <w:b/>
                <w:sz w:val="18"/>
                <w:szCs w:val="20"/>
              </w:rPr>
              <w:t xml:space="preserve"> in the CO focusing on achievement of the following results:</w:t>
            </w:r>
          </w:p>
          <w:p w:rsidR="00072F56" w:rsidRPr="0040022F" w:rsidRDefault="00072F56" w:rsidP="009D6B25">
            <w:pPr>
              <w:numPr>
                <w:ilvl w:val="0"/>
                <w:numId w:val="24"/>
              </w:numPr>
              <w:spacing w:after="0" w:line="240" w:lineRule="auto"/>
              <w:jc w:val="both"/>
              <w:rPr>
                <w:sz w:val="18"/>
                <w:szCs w:val="20"/>
              </w:rPr>
            </w:pPr>
            <w:r w:rsidRPr="0040022F">
              <w:rPr>
                <w:sz w:val="18"/>
                <w:szCs w:val="20"/>
              </w:rPr>
              <w:t xml:space="preserve">Systematic gaining and sharing of knowledge and experience related to </w:t>
            </w:r>
            <w:r w:rsidR="00253797">
              <w:rPr>
                <w:sz w:val="18"/>
                <w:szCs w:val="20"/>
              </w:rPr>
              <w:t>project</w:t>
            </w:r>
            <w:r w:rsidRPr="0040022F">
              <w:rPr>
                <w:sz w:val="18"/>
                <w:szCs w:val="20"/>
              </w:rPr>
              <w:t xml:space="preserve"> management.</w:t>
            </w:r>
          </w:p>
          <w:p w:rsidR="00072F56" w:rsidRPr="0040022F" w:rsidRDefault="00072F56" w:rsidP="009D6B25">
            <w:pPr>
              <w:numPr>
                <w:ilvl w:val="0"/>
                <w:numId w:val="24"/>
              </w:numPr>
              <w:spacing w:after="0" w:line="240" w:lineRule="auto"/>
              <w:jc w:val="both"/>
              <w:rPr>
                <w:sz w:val="18"/>
                <w:szCs w:val="20"/>
              </w:rPr>
            </w:pPr>
            <w:r w:rsidRPr="0040022F">
              <w:rPr>
                <w:sz w:val="18"/>
                <w:szCs w:val="20"/>
              </w:rPr>
              <w:t xml:space="preserve">Organization of training for the office staff on </w:t>
            </w:r>
            <w:r w:rsidR="00253797">
              <w:rPr>
                <w:sz w:val="18"/>
                <w:szCs w:val="20"/>
              </w:rPr>
              <w:t>project</w:t>
            </w:r>
            <w:r w:rsidRPr="0040022F">
              <w:rPr>
                <w:sz w:val="18"/>
                <w:szCs w:val="20"/>
              </w:rPr>
              <w:t>/operations related issues.</w:t>
            </w:r>
          </w:p>
          <w:p w:rsidR="00072F56" w:rsidRPr="0040022F" w:rsidRDefault="00072F56" w:rsidP="009D6B25">
            <w:pPr>
              <w:numPr>
                <w:ilvl w:val="0"/>
                <w:numId w:val="24"/>
              </w:numPr>
              <w:spacing w:after="0" w:line="240" w:lineRule="auto"/>
              <w:jc w:val="both"/>
              <w:rPr>
                <w:sz w:val="18"/>
                <w:szCs w:val="20"/>
              </w:rPr>
            </w:pPr>
            <w:r w:rsidRPr="0040022F">
              <w:rPr>
                <w:sz w:val="18"/>
                <w:szCs w:val="20"/>
              </w:rPr>
              <w:t xml:space="preserve">Synthesis of lessons learned and best practices in </w:t>
            </w:r>
            <w:r w:rsidR="00253797">
              <w:rPr>
                <w:sz w:val="18"/>
                <w:szCs w:val="20"/>
              </w:rPr>
              <w:t>project</w:t>
            </w:r>
            <w:r w:rsidRPr="0040022F">
              <w:rPr>
                <w:sz w:val="18"/>
                <w:szCs w:val="20"/>
              </w:rPr>
              <w:t xml:space="preserve"> finance.</w:t>
            </w:r>
          </w:p>
          <w:p w:rsidR="00072F56" w:rsidRPr="0040022F" w:rsidRDefault="00072F56" w:rsidP="009D6B25">
            <w:pPr>
              <w:numPr>
                <w:ilvl w:val="0"/>
                <w:numId w:val="24"/>
              </w:numPr>
              <w:spacing w:after="0" w:line="240" w:lineRule="auto"/>
              <w:jc w:val="both"/>
              <w:rPr>
                <w:sz w:val="18"/>
                <w:szCs w:val="20"/>
              </w:rPr>
            </w:pPr>
            <w:r w:rsidRPr="0040022F">
              <w:rPr>
                <w:sz w:val="18"/>
                <w:szCs w:val="20"/>
              </w:rPr>
              <w:t>Sound contributions to knowledge networks and communities of practice.</w:t>
            </w:r>
          </w:p>
        </w:tc>
      </w:tr>
    </w:tbl>
    <w:p w:rsidR="00072F56" w:rsidRPr="00072F56" w:rsidRDefault="00072F56" w:rsidP="00072F56">
      <w:pPr>
        <w:spacing w:after="0" w:line="240" w:lineRule="auto"/>
        <w:jc w:val="both"/>
        <w:textAlignment w:val="center"/>
        <w:rPr>
          <w:rFonts w:cs="Calibri Light"/>
          <w:b/>
          <w:sz w:val="20"/>
          <w:szCs w:val="20"/>
        </w:rPr>
      </w:pPr>
    </w:p>
    <w:p w:rsidR="00E7626A" w:rsidRPr="00135431" w:rsidRDefault="00072F56" w:rsidP="00E7626A">
      <w:pPr>
        <w:pStyle w:val="Heading2"/>
        <w:jc w:val="left"/>
      </w:pPr>
      <w:r>
        <w:br w:type="page"/>
      </w:r>
      <w:bookmarkStart w:id="114" w:name="_Toc25739981"/>
      <w:bookmarkStart w:id="115" w:name="_Toc25740090"/>
      <w:r w:rsidR="00E7626A" w:rsidRPr="00135431">
        <w:t xml:space="preserve">ANNEX </w:t>
      </w:r>
      <w:r w:rsidR="00E7626A">
        <w:t>V</w:t>
      </w:r>
      <w:r w:rsidR="003A6EEA">
        <w:t>I</w:t>
      </w:r>
      <w:r w:rsidR="00E7626A" w:rsidRPr="00135431">
        <w:t>.</w:t>
      </w:r>
      <w:r w:rsidR="00E7626A">
        <w:tab/>
      </w:r>
      <w:r w:rsidR="00E7626A" w:rsidRPr="007C7746">
        <w:t>G</w:t>
      </w:r>
      <w:r w:rsidR="00E7626A">
        <w:t xml:space="preserve">ender </w:t>
      </w:r>
      <w:r w:rsidR="003C2320">
        <w:t>and Social Inclusion</w:t>
      </w:r>
      <w:r w:rsidR="0040022F">
        <w:t>: Baseline Analysis</w:t>
      </w:r>
      <w:bookmarkEnd w:id="114"/>
      <w:bookmarkEnd w:id="115"/>
    </w:p>
    <w:bookmarkEnd w:id="108"/>
    <w:bookmarkEnd w:id="109"/>
    <w:bookmarkEnd w:id="110"/>
    <w:p w:rsidR="007C7746" w:rsidRPr="00752621" w:rsidRDefault="007C7746" w:rsidP="007C7746">
      <w:pPr>
        <w:spacing w:after="0"/>
        <w:jc w:val="both"/>
        <w:rPr>
          <w:rFonts w:cs="Calibri Light"/>
          <w:b/>
          <w:bCs/>
          <w:iCs/>
          <w:color w:val="000000"/>
          <w:lang w:val="en-US"/>
        </w:rPr>
      </w:pPr>
      <w:r w:rsidRPr="00752621">
        <w:rPr>
          <w:rFonts w:cs="Calibri Light"/>
          <w:b/>
          <w:bCs/>
          <w:iCs/>
          <w:color w:val="000000"/>
          <w:lang w:val="en-US"/>
        </w:rPr>
        <w:t xml:space="preserve">Introduction </w:t>
      </w:r>
    </w:p>
    <w:p w:rsidR="007C7746" w:rsidRPr="00752621" w:rsidRDefault="007C7746" w:rsidP="007C7746">
      <w:pPr>
        <w:spacing w:after="0"/>
        <w:jc w:val="both"/>
        <w:rPr>
          <w:rFonts w:cs="Calibri Light"/>
        </w:rPr>
      </w:pPr>
      <w:r w:rsidRPr="00752621">
        <w:rPr>
          <w:rFonts w:cs="Calibri Light"/>
        </w:rPr>
        <w:t xml:space="preserve">The </w:t>
      </w:r>
      <w:r w:rsidR="008251B7">
        <w:rPr>
          <w:rFonts w:cs="Calibri Light"/>
        </w:rPr>
        <w:t xml:space="preserve">GRDP </w:t>
      </w:r>
      <w:r w:rsidR="008251B7" w:rsidRPr="00752621">
        <w:rPr>
          <w:rFonts w:cs="Calibri Light"/>
        </w:rPr>
        <w:t>theory</w:t>
      </w:r>
      <w:r w:rsidRPr="00752621">
        <w:rPr>
          <w:rFonts w:cs="Calibri Light"/>
        </w:rPr>
        <w:t xml:space="preserve"> of change rests on a core assumption that Pacific Island people will be more resilient to the impacts of climate change and disasters if countries manage all development through a risk informed approach. The </w:t>
      </w:r>
      <w:r w:rsidR="00253797">
        <w:rPr>
          <w:rFonts w:cs="Calibri Light"/>
        </w:rPr>
        <w:t>project</w:t>
      </w:r>
      <w:r w:rsidR="00895613">
        <w:rPr>
          <w:rFonts w:cs="Calibri Light"/>
        </w:rPr>
        <w:t xml:space="preserve"> </w:t>
      </w:r>
      <w:r w:rsidRPr="00752621">
        <w:rPr>
          <w:rFonts w:cs="Calibri Light"/>
        </w:rPr>
        <w:t xml:space="preserve">further assumes that this will happen through </w:t>
      </w:r>
      <w:r w:rsidRPr="00752621">
        <w:rPr>
          <w:rFonts w:cs="Calibri Light"/>
          <w:b/>
          <w:bCs/>
        </w:rPr>
        <w:t>locally led change</w:t>
      </w:r>
      <w:r w:rsidRPr="00752621">
        <w:rPr>
          <w:rFonts w:cs="Calibri Light"/>
        </w:rPr>
        <w:t xml:space="preserve">, with different approaches emerging in each country context. Thus, </w:t>
      </w:r>
      <w:r w:rsidR="00762F69">
        <w:rPr>
          <w:rFonts w:cs="Calibri Light"/>
        </w:rPr>
        <w:t xml:space="preserve">the </w:t>
      </w:r>
      <w:r w:rsidR="008251B7">
        <w:rPr>
          <w:rFonts w:cs="Calibri Light"/>
        </w:rPr>
        <w:t>GRDP</w:t>
      </w:r>
      <w:r w:rsidR="00762F69">
        <w:rPr>
          <w:rFonts w:cs="Calibri Light"/>
        </w:rPr>
        <w:t xml:space="preserve"> ’s</w:t>
      </w:r>
      <w:r w:rsidR="00762F69" w:rsidRPr="00752621">
        <w:rPr>
          <w:rFonts w:cs="Calibri Light"/>
        </w:rPr>
        <w:t xml:space="preserve"> </w:t>
      </w:r>
      <w:r w:rsidRPr="00752621">
        <w:rPr>
          <w:rFonts w:cs="Calibri Light"/>
        </w:rPr>
        <w:t xml:space="preserve">approach focuses on systems change at national, subnational and sectoral levels, integrating change within and subsequently between countries, to leverage greater momentum for long term transformation. In order to determine interventions and identify programming entry points the </w:t>
      </w:r>
      <w:r w:rsidR="00253797">
        <w:rPr>
          <w:rFonts w:cs="Calibri Light"/>
        </w:rPr>
        <w:t>project</w:t>
      </w:r>
      <w:r w:rsidRPr="00752621">
        <w:rPr>
          <w:rFonts w:cs="Calibri Light"/>
        </w:rPr>
        <w:t xml:space="preserve"> has developed </w:t>
      </w:r>
      <w:r w:rsidRPr="00752621">
        <w:rPr>
          <w:rFonts w:cs="Calibri Light"/>
          <w:b/>
          <w:bCs/>
        </w:rPr>
        <w:t>design baseline</w:t>
      </w:r>
      <w:r w:rsidRPr="00752621">
        <w:rPr>
          <w:rFonts w:cs="Calibri Light"/>
        </w:rPr>
        <w:t xml:space="preserve"> analyses for each </w:t>
      </w:r>
      <w:r w:rsidR="00253797">
        <w:rPr>
          <w:rFonts w:cs="Calibri Light"/>
        </w:rPr>
        <w:t>project</w:t>
      </w:r>
      <w:r w:rsidRPr="00752621">
        <w:rPr>
          <w:rFonts w:cs="Calibri Light"/>
        </w:rPr>
        <w:t xml:space="preserve"> country and thematic areas such as the degree to which development is </w:t>
      </w:r>
      <w:r w:rsidRPr="00752621">
        <w:rPr>
          <w:rFonts w:cs="Calibri Light"/>
          <w:b/>
          <w:bCs/>
        </w:rPr>
        <w:t xml:space="preserve">gender </w:t>
      </w:r>
      <w:r w:rsidR="00F763DD">
        <w:rPr>
          <w:rFonts w:cs="Calibri Light"/>
          <w:b/>
          <w:bCs/>
        </w:rPr>
        <w:t>and socially inclusive</w:t>
      </w:r>
      <w:r w:rsidRPr="00752621">
        <w:rPr>
          <w:rFonts w:cs="Calibri Light"/>
        </w:rPr>
        <w:t xml:space="preserve">. It is proposed that these design baselines will be expanded upon within the first year of programming to provide a full information base against which to monitor and assess progress and effectiveness during implementation and at the completion of the </w:t>
      </w:r>
      <w:r w:rsidR="00253797">
        <w:rPr>
          <w:rFonts w:cs="Calibri Light"/>
        </w:rPr>
        <w:t>project</w:t>
      </w:r>
      <w:r w:rsidRPr="00752621">
        <w:rPr>
          <w:rFonts w:cs="Calibri Light"/>
        </w:rPr>
        <w:t xml:space="preserve">. </w:t>
      </w:r>
    </w:p>
    <w:p w:rsidR="007C7746" w:rsidRPr="00752621" w:rsidRDefault="007C7746" w:rsidP="007C7746">
      <w:pPr>
        <w:spacing w:after="0"/>
        <w:jc w:val="both"/>
        <w:rPr>
          <w:rFonts w:cs="Calibri Light"/>
        </w:rPr>
      </w:pPr>
    </w:p>
    <w:p w:rsidR="007C7746" w:rsidRPr="00752621" w:rsidRDefault="007C7746" w:rsidP="007C7746">
      <w:pPr>
        <w:spacing w:after="0"/>
        <w:jc w:val="both"/>
        <w:rPr>
          <w:rFonts w:cs="Calibri Light"/>
        </w:rPr>
      </w:pPr>
      <w:r w:rsidRPr="00752621">
        <w:rPr>
          <w:rFonts w:cs="Calibri Light"/>
          <w:iCs/>
          <w:color w:val="000000"/>
          <w:lang w:val="en-US"/>
        </w:rPr>
        <w:t>The design baseline data collection has focused on the following major areas: t</w:t>
      </w:r>
      <w:r w:rsidRPr="00752621">
        <w:rPr>
          <w:rFonts w:cs="Calibri Light"/>
        </w:rPr>
        <w:t xml:space="preserve">he extent to which the gender </w:t>
      </w:r>
      <w:r w:rsidR="00F763DD">
        <w:rPr>
          <w:rFonts w:cs="Calibri Light"/>
        </w:rPr>
        <w:t>and social inclusion</w:t>
      </w:r>
      <w:r w:rsidRPr="00752621">
        <w:rPr>
          <w:rFonts w:cs="Calibri Light"/>
        </w:rPr>
        <w:t xml:space="preserve"> machinery inform risk informed budgeting and planning; and the extent to which risks are integrated into: national </w:t>
      </w:r>
      <w:r w:rsidRPr="00752621">
        <w:rPr>
          <w:rFonts w:cs="Calibri Light"/>
          <w:iCs/>
          <w:color w:val="000000"/>
          <w:lang w:val="en-US"/>
        </w:rPr>
        <w:t xml:space="preserve">level planning and financing and monitoring and evaluation; community development, including sectors; and </w:t>
      </w:r>
      <w:r w:rsidRPr="00752621">
        <w:rPr>
          <w:rFonts w:cs="Calibri Light"/>
        </w:rPr>
        <w:t xml:space="preserve">oversight and accountability systems. An informal political economy analysis (PEA) was also undertaken in each country in an attempt to better understand issues around: who controls financial flows and narratives, what coalitions and partnerships exist and whether there are significant external influences and what their interests are. As part of the monitoring, evaluation and learning for the </w:t>
      </w:r>
      <w:r w:rsidR="00253797">
        <w:rPr>
          <w:rFonts w:cs="Calibri Light"/>
        </w:rPr>
        <w:t>project</w:t>
      </w:r>
      <w:r w:rsidRPr="00752621">
        <w:rPr>
          <w:rFonts w:cs="Calibri Light"/>
        </w:rPr>
        <w:t xml:space="preserve">, comprehensive PEAs will be undertaken on a regular basis, and used to define programming entry points, as well as for reporting on results (for instance to understand attribution). </w:t>
      </w:r>
    </w:p>
    <w:p w:rsidR="007C7746" w:rsidRPr="00752621" w:rsidRDefault="007C7746" w:rsidP="007C7746">
      <w:pPr>
        <w:spacing w:after="0"/>
        <w:jc w:val="both"/>
        <w:rPr>
          <w:rFonts w:cs="Calibri Light"/>
        </w:rPr>
      </w:pPr>
    </w:p>
    <w:p w:rsidR="007C7746" w:rsidRPr="00752621" w:rsidRDefault="007C7746" w:rsidP="007C7746">
      <w:pPr>
        <w:spacing w:after="0"/>
        <w:jc w:val="both"/>
        <w:rPr>
          <w:rFonts w:cs="Calibri Light"/>
          <w:b/>
          <w:bCs/>
        </w:rPr>
      </w:pPr>
      <w:r w:rsidRPr="00752621">
        <w:rPr>
          <w:rFonts w:cs="Calibri Light"/>
          <w:b/>
          <w:bCs/>
        </w:rPr>
        <w:t xml:space="preserve">Summary of Gender </w:t>
      </w:r>
      <w:r w:rsidR="00F763DD">
        <w:rPr>
          <w:rFonts w:cs="Calibri Light"/>
          <w:b/>
          <w:bCs/>
        </w:rPr>
        <w:t>and Social Inclusion</w:t>
      </w:r>
      <w:r w:rsidRPr="00752621">
        <w:rPr>
          <w:rFonts w:cs="Calibri Light"/>
          <w:b/>
          <w:bCs/>
        </w:rPr>
        <w:t xml:space="preserve"> Development Findings</w:t>
      </w:r>
    </w:p>
    <w:p w:rsidR="007C7746" w:rsidRPr="00752621" w:rsidRDefault="007C7746" w:rsidP="007C7746">
      <w:pPr>
        <w:spacing w:after="0"/>
        <w:jc w:val="both"/>
        <w:rPr>
          <w:rFonts w:cs="Calibri Light"/>
        </w:rPr>
      </w:pPr>
      <w:r w:rsidRPr="00752621">
        <w:rPr>
          <w:rFonts w:cs="Calibri Light"/>
          <w:u w:val="single"/>
        </w:rPr>
        <w:t xml:space="preserve">Regional: </w:t>
      </w:r>
      <w:r w:rsidRPr="00752621">
        <w:rPr>
          <w:rFonts w:cs="Calibri Light"/>
        </w:rPr>
        <w:t xml:space="preserve">Climate change and disaster risk cannot be understood without recognising the gender and social dimensions of vulnerability and capacity. However, across the Pacific climate change and disaster projects and </w:t>
      </w:r>
      <w:r w:rsidR="00253797">
        <w:rPr>
          <w:rFonts w:cs="Calibri Light"/>
        </w:rPr>
        <w:t>project</w:t>
      </w:r>
      <w:r w:rsidRPr="00752621">
        <w:rPr>
          <w:rFonts w:cs="Calibri Light"/>
        </w:rPr>
        <w:t xml:space="preserve">s are often undertaken with a strong emphasis on the risks presented by natural hazards, but little to no consideration given to the differential impacts these hazards might have on different people. Similarly, when planners are making development decisions from within sectors, gender </w:t>
      </w:r>
      <w:r w:rsidR="00F763DD">
        <w:rPr>
          <w:rFonts w:cs="Calibri Light"/>
        </w:rPr>
        <w:t>and social inclusion</w:t>
      </w:r>
      <w:r w:rsidRPr="00752621">
        <w:rPr>
          <w:rFonts w:cs="Calibri Light"/>
        </w:rPr>
        <w:t xml:space="preserve"> considerations, as well as climate change and disaster risks, are for the most part absent. At the regional level the formation of a country-led knowledge network on </w:t>
      </w:r>
      <w:proofErr w:type="spellStart"/>
      <w:r w:rsidRPr="00752621">
        <w:rPr>
          <w:rFonts w:cs="Calibri Light"/>
        </w:rPr>
        <w:t>GSi</w:t>
      </w:r>
      <w:proofErr w:type="spellEnd"/>
      <w:r w:rsidRPr="00752621">
        <w:rPr>
          <w:rFonts w:cs="Calibri Light"/>
        </w:rPr>
        <w:t xml:space="preserve"> issues in relation to climate change and disasters, ‘Protection in the Pacific’ (</w:t>
      </w:r>
      <w:proofErr w:type="spellStart"/>
      <w:r w:rsidRPr="00752621">
        <w:rPr>
          <w:rFonts w:cs="Calibri Light"/>
        </w:rPr>
        <w:t>ProPa</w:t>
      </w:r>
      <w:proofErr w:type="spellEnd"/>
      <w:r w:rsidRPr="00752621">
        <w:rPr>
          <w:rFonts w:cs="Calibri Light"/>
        </w:rPr>
        <w:t xml:space="preserve">) network has been a positive step towards inclusion of these voices in dialogue and policy, such as the FRDP. There also appears to have been a shift more recently to a greater inclusion of civil society voices representing gender and social inclusion considerations. However, these examples are still ad hoc and not representative of a substantive change in the way regional CCDRM programming is undertaken. The </w:t>
      </w:r>
      <w:proofErr w:type="spellStart"/>
      <w:r w:rsidRPr="00752621">
        <w:rPr>
          <w:rFonts w:cs="Calibri Light"/>
        </w:rPr>
        <w:t>ProPa</w:t>
      </w:r>
      <w:proofErr w:type="spellEnd"/>
      <w:r w:rsidRPr="00752621">
        <w:rPr>
          <w:rFonts w:cs="Calibri Light"/>
        </w:rPr>
        <w:t xml:space="preserve"> network, whilst formidable, only represented a small number of countries and has been less active in recent years, and the country voice on </w:t>
      </w:r>
      <w:proofErr w:type="spellStart"/>
      <w:r w:rsidRPr="00752621">
        <w:rPr>
          <w:rFonts w:cs="Calibri Light"/>
        </w:rPr>
        <w:t>GSi</w:t>
      </w:r>
      <w:proofErr w:type="spellEnd"/>
      <w:r w:rsidRPr="00752621">
        <w:rPr>
          <w:rFonts w:cs="Calibri Light"/>
        </w:rPr>
        <w:t xml:space="preserve"> is often still noticeably absent.</w:t>
      </w:r>
    </w:p>
    <w:p w:rsidR="007C7746" w:rsidRPr="00752621" w:rsidRDefault="007C7746" w:rsidP="007C7746">
      <w:pPr>
        <w:spacing w:after="0"/>
        <w:jc w:val="both"/>
        <w:rPr>
          <w:rFonts w:cs="Calibri Light"/>
        </w:rPr>
      </w:pPr>
    </w:p>
    <w:p w:rsidR="007C7746" w:rsidRPr="00752621" w:rsidRDefault="007C7746" w:rsidP="007C7746">
      <w:pPr>
        <w:spacing w:after="0"/>
        <w:jc w:val="both"/>
        <w:rPr>
          <w:rFonts w:cs="Calibri Light"/>
        </w:rPr>
      </w:pPr>
      <w:r w:rsidRPr="00752621">
        <w:rPr>
          <w:rFonts w:cs="Calibri Light"/>
          <w:u w:val="single"/>
        </w:rPr>
        <w:t xml:space="preserve">National planning and budgeting: </w:t>
      </w:r>
      <w:r w:rsidRPr="00752621">
        <w:rPr>
          <w:rFonts w:cs="Calibri Light"/>
        </w:rPr>
        <w:t xml:space="preserve">Across most Pacific countries, there is a significant amount of activity in the gender and social inclusion space from </w:t>
      </w:r>
      <w:r w:rsidR="00FB5FAA">
        <w:rPr>
          <w:rFonts w:cs="Calibri Light"/>
        </w:rPr>
        <w:t>g</w:t>
      </w:r>
      <w:r w:rsidRPr="00752621">
        <w:rPr>
          <w:rFonts w:cs="Calibri Light"/>
        </w:rPr>
        <w:t xml:space="preserve">overnment </w:t>
      </w:r>
      <w:r w:rsidR="00FB5FAA">
        <w:rPr>
          <w:rFonts w:cs="Calibri Light"/>
        </w:rPr>
        <w:t>d</w:t>
      </w:r>
      <w:r w:rsidRPr="00752621">
        <w:rPr>
          <w:rFonts w:cs="Calibri Light"/>
        </w:rPr>
        <w:t xml:space="preserve">epartments responsible for gender and social welfare, civil society organisations and partners to advance equality, inclusion and representation. However, across all countries the vast majority of this work is undertaken independently from government’s core development activity and climate change and disaster risk activity. For instance, Department of Women and </w:t>
      </w:r>
      <w:proofErr w:type="spellStart"/>
      <w:r w:rsidRPr="00752621">
        <w:rPr>
          <w:rFonts w:cs="Calibri Light"/>
        </w:rPr>
        <w:t>GSi</w:t>
      </w:r>
      <w:proofErr w:type="spellEnd"/>
      <w:r w:rsidRPr="00752621">
        <w:rPr>
          <w:rFonts w:cs="Calibri Light"/>
        </w:rPr>
        <w:t xml:space="preserve"> CSOs are rarely consulted at the national level on substantive policy debates relating to climate change and disaster risks. In contrast, there has been notable progress in the influence of protection clusters, who in a number of countries now have a seat at the decision-making table in for immediate disaster response activities.</w:t>
      </w:r>
    </w:p>
    <w:p w:rsidR="007C7746" w:rsidRPr="00752621" w:rsidRDefault="007C7746" w:rsidP="007C7746">
      <w:pPr>
        <w:spacing w:after="0"/>
        <w:jc w:val="both"/>
        <w:rPr>
          <w:rFonts w:cs="Calibri Light"/>
        </w:rPr>
      </w:pPr>
    </w:p>
    <w:p w:rsidR="007C7746" w:rsidRPr="00752621" w:rsidRDefault="007C7746" w:rsidP="007C7746">
      <w:pPr>
        <w:spacing w:after="0"/>
        <w:jc w:val="both"/>
        <w:rPr>
          <w:rFonts w:cs="Calibri Light"/>
        </w:rPr>
      </w:pPr>
      <w:r w:rsidRPr="00752621">
        <w:rPr>
          <w:rFonts w:cs="Calibri Light"/>
          <w:u w:val="single"/>
        </w:rPr>
        <w:t xml:space="preserve">Oversight: </w:t>
      </w:r>
      <w:r w:rsidRPr="00752621">
        <w:rPr>
          <w:rFonts w:cs="Calibri Light"/>
        </w:rPr>
        <w:t xml:space="preserve">Across the Pacific there are global, regional, national and local civil society organisations undertaking a vast array of gender, disability, youth, elderly and LGBTIQ+ support activities, in many cases incorporating advocacy on climate change and disaster related considerations. There have been efforts made to coordinate these efforts across different stakeholders (for instance the Australian Humanitarian Partnership and the Framework for Resilient Development in the Pacific), however for the most part these activities tend to be quite fragmented with inconsistent messaging around the primary issues. Although very active and vocal, </w:t>
      </w:r>
      <w:proofErr w:type="spellStart"/>
      <w:r w:rsidRPr="00752621">
        <w:rPr>
          <w:rFonts w:cs="Calibri Light"/>
        </w:rPr>
        <w:t>GSi</w:t>
      </w:r>
      <w:proofErr w:type="spellEnd"/>
      <w:r w:rsidRPr="00752621">
        <w:rPr>
          <w:rFonts w:cs="Calibri Light"/>
        </w:rPr>
        <w:t xml:space="preserve"> CSOs in the Pacific appear to rarely have access </w:t>
      </w:r>
      <w:r w:rsidR="00762F69">
        <w:rPr>
          <w:rFonts w:cs="Calibri Light"/>
        </w:rPr>
        <w:t xml:space="preserve">to </w:t>
      </w:r>
      <w:r w:rsidRPr="00752621">
        <w:rPr>
          <w:rFonts w:cs="Calibri Light"/>
        </w:rPr>
        <w:t xml:space="preserve">government decision making, or directly influence the way governments undertake their development activities. For instance, </w:t>
      </w:r>
      <w:proofErr w:type="spellStart"/>
      <w:r w:rsidRPr="00752621">
        <w:rPr>
          <w:rFonts w:cs="Calibri Light"/>
        </w:rPr>
        <w:t>GSi</w:t>
      </w:r>
      <w:proofErr w:type="spellEnd"/>
      <w:r w:rsidRPr="00752621">
        <w:rPr>
          <w:rFonts w:cs="Calibri Light"/>
        </w:rPr>
        <w:t xml:space="preserve"> CSOs are not invited to participate in budget scrutiny in any substantive way, and rarely participate in monitoring or evaluation at the project or </w:t>
      </w:r>
      <w:r w:rsidR="00253797">
        <w:rPr>
          <w:rFonts w:cs="Calibri Light"/>
        </w:rPr>
        <w:t>project</w:t>
      </w:r>
      <w:r w:rsidRPr="00752621">
        <w:rPr>
          <w:rFonts w:cs="Calibri Light"/>
        </w:rPr>
        <w:t xml:space="preserve"> level.  Office of the Auditor General’s in some countries have started undertaking Performance Audits of country’s preparedness to Implement the Sustainable Development Goals, including SDG 5 on Gender Equality (early results have shown that preparedness to implement the 2030 Agenda was limited). Despite this progress, most countries do not yet undertake performance auditing of climate change, disaster or gender mainstreaming through development.</w:t>
      </w:r>
    </w:p>
    <w:p w:rsidR="007C7746" w:rsidRPr="00752621" w:rsidRDefault="007C7746" w:rsidP="007C7746">
      <w:pPr>
        <w:spacing w:after="0"/>
        <w:jc w:val="both"/>
        <w:rPr>
          <w:rFonts w:cs="Calibri Light"/>
        </w:rPr>
      </w:pPr>
    </w:p>
    <w:p w:rsidR="007C7746" w:rsidRPr="00752621" w:rsidRDefault="007C7746" w:rsidP="007C7746">
      <w:pPr>
        <w:spacing w:after="0"/>
        <w:jc w:val="both"/>
        <w:rPr>
          <w:rFonts w:cs="Calibri Light"/>
          <w:b/>
          <w:bCs/>
        </w:rPr>
      </w:pPr>
      <w:r w:rsidRPr="00752621">
        <w:rPr>
          <w:rFonts w:cs="Calibri Light"/>
          <w:b/>
          <w:bCs/>
        </w:rPr>
        <w:t xml:space="preserve">Country Specific Baselines  </w:t>
      </w:r>
    </w:p>
    <w:p w:rsidR="007C7746" w:rsidRDefault="007C7746" w:rsidP="007C7746">
      <w:pPr>
        <w:spacing w:after="0"/>
        <w:jc w:val="both"/>
        <w:rPr>
          <w:rFonts w:cs="Calibri Light"/>
        </w:rPr>
      </w:pPr>
      <w:r w:rsidRPr="00752621">
        <w:rPr>
          <w:rFonts w:cs="Calibri Light"/>
        </w:rPr>
        <w:t>The following is a sample of country specific baseline findings from Tuvalu, Tonga</w:t>
      </w:r>
      <w:r w:rsidR="00762F69">
        <w:rPr>
          <w:rFonts w:cs="Calibri Light"/>
        </w:rPr>
        <w:t xml:space="preserve">, </w:t>
      </w:r>
      <w:r w:rsidR="00C31FD2">
        <w:rPr>
          <w:rFonts w:cs="Calibri Light"/>
        </w:rPr>
        <w:t xml:space="preserve">Solomon Islands, </w:t>
      </w:r>
      <w:r w:rsidR="00762F69">
        <w:rPr>
          <w:rFonts w:cs="Calibri Light"/>
        </w:rPr>
        <w:t>Fiji</w:t>
      </w:r>
      <w:r w:rsidR="00C31FD2">
        <w:rPr>
          <w:rFonts w:cs="Calibri Light"/>
        </w:rPr>
        <w:t xml:space="preserve"> and </w:t>
      </w:r>
      <w:r w:rsidR="00762F69">
        <w:rPr>
          <w:rFonts w:cs="Calibri Light"/>
        </w:rPr>
        <w:t>Vanuatu</w:t>
      </w:r>
      <w:r w:rsidRPr="00752621">
        <w:rPr>
          <w:rFonts w:cs="Calibri Light"/>
        </w:rPr>
        <w:t xml:space="preserve">. These are illustrative of regional trends reflected in the sections above. The graph below shows the design baseline data that has been collected for a range of indicators. </w:t>
      </w:r>
    </w:p>
    <w:p w:rsidR="00667E83" w:rsidRPr="00752621" w:rsidRDefault="00667E83" w:rsidP="007C7746">
      <w:pPr>
        <w:spacing w:after="0"/>
        <w:jc w:val="both"/>
        <w:rPr>
          <w:rFonts w:cs="Calibri Light"/>
        </w:rPr>
      </w:pPr>
    </w:p>
    <w:p w:rsidR="007C7746" w:rsidRPr="00752621" w:rsidRDefault="00667E83" w:rsidP="007C7746">
      <w:pPr>
        <w:spacing w:after="0"/>
        <w:jc w:val="center"/>
        <w:rPr>
          <w:rFonts w:cs="Calibri Light"/>
        </w:rPr>
      </w:pPr>
      <w:r>
        <w:rPr>
          <w:rFonts w:cs="Calibri Light"/>
          <w:noProof/>
        </w:rPr>
        <w:drawing>
          <wp:inline distT="0" distB="0" distL="0" distR="0" wp14:anchorId="1E631693" wp14:editId="16142F8D">
            <wp:extent cx="6097270" cy="3850005"/>
            <wp:effectExtent l="0" t="0" r="0" b="0"/>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parative Spiders.png"/>
                    <pic:cNvPicPr/>
                  </pic:nvPicPr>
                  <pic:blipFill>
                    <a:blip r:embed="rId31">
                      <a:extLst>
                        <a:ext uri="{28A0092B-C50C-407E-A947-70E740481C1C}">
                          <a14:useLocalDpi xmlns:a14="http://schemas.microsoft.com/office/drawing/2010/main" val="0"/>
                        </a:ext>
                      </a:extLst>
                    </a:blip>
                    <a:stretch>
                      <a:fillRect/>
                    </a:stretch>
                  </pic:blipFill>
                  <pic:spPr>
                    <a:xfrm>
                      <a:off x="0" y="0"/>
                      <a:ext cx="6097270" cy="3850005"/>
                    </a:xfrm>
                    <a:prstGeom prst="rect">
                      <a:avLst/>
                    </a:prstGeom>
                  </pic:spPr>
                </pic:pic>
              </a:graphicData>
            </a:graphic>
          </wp:inline>
        </w:drawing>
      </w:r>
    </w:p>
    <w:p w:rsidR="007C7746" w:rsidRPr="00752621" w:rsidRDefault="007C7746" w:rsidP="007C7746">
      <w:pPr>
        <w:spacing w:after="0"/>
        <w:jc w:val="both"/>
        <w:rPr>
          <w:rFonts w:cs="Calibri Light"/>
          <w:u w:val="single"/>
        </w:rPr>
      </w:pPr>
    </w:p>
    <w:p w:rsidR="007C7746" w:rsidRPr="00752621" w:rsidRDefault="007C7746" w:rsidP="007C7746">
      <w:pPr>
        <w:spacing w:after="0"/>
        <w:jc w:val="both"/>
        <w:rPr>
          <w:rFonts w:cs="Calibri Light"/>
        </w:rPr>
      </w:pPr>
      <w:r w:rsidRPr="00752621">
        <w:rPr>
          <w:rFonts w:cs="Calibri Light"/>
          <w:u w:val="single"/>
        </w:rPr>
        <w:t xml:space="preserve">Fiji: </w:t>
      </w:r>
      <w:r w:rsidRPr="00752621">
        <w:rPr>
          <w:rFonts w:cs="Calibri Light"/>
        </w:rPr>
        <w:t xml:space="preserve">The Ministry of Women, Children and Poverty Alleviation (MWCPA) has been a strong driver ensuring that climate change and disaster risk management, and risk informed development in Fiji adopt a “human centred” approach. This agenda has been driven by the leadership (both the Minister and the Permanent Secretary) and has been supported by a new internal climate change and disaster risk management position which since 2018 has been fully government funded. This position is responsible for leading on gender </w:t>
      </w:r>
      <w:r w:rsidR="00F763DD">
        <w:rPr>
          <w:rFonts w:cs="Calibri Light"/>
        </w:rPr>
        <w:t xml:space="preserve">and social inclusion </w:t>
      </w:r>
      <w:r w:rsidRPr="00752621">
        <w:rPr>
          <w:rFonts w:cs="Calibri Light"/>
        </w:rPr>
        <w:t xml:space="preserve">considerations in disaster response through the Protection Cluster, as well as supporting the risk </w:t>
      </w:r>
      <w:r w:rsidR="00762F69">
        <w:rPr>
          <w:rFonts w:cs="Calibri Light"/>
        </w:rPr>
        <w:t>informed</w:t>
      </w:r>
      <w:r w:rsidR="00762F69" w:rsidRPr="00752621">
        <w:rPr>
          <w:rFonts w:cs="Calibri Light"/>
        </w:rPr>
        <w:t xml:space="preserve"> </w:t>
      </w:r>
      <w:r w:rsidRPr="00752621">
        <w:rPr>
          <w:rFonts w:cs="Calibri Light"/>
        </w:rPr>
        <w:t>development agenda. On the latter, the Ministry has worked with Divisional Commissioners to develop a risk screening toolkit which has specific gender and social inclusion criteria, that was endorsed for use across all four divisions in Fiji in 2018. The CCDRM position has also been active in working with the Commissioner’s Office to ensure that the gender and social inclusion lens is considered on specific local government projects. Notwithstanding, there is a significant amount of ongoing work undertaken by the Ministry which, whilst irrefutably positive, is largely disconnected from the development sphere. At the regional level, MWCPA has been an active participant of the Protection in the Pacific (</w:t>
      </w:r>
      <w:proofErr w:type="spellStart"/>
      <w:r w:rsidRPr="00752621">
        <w:rPr>
          <w:rFonts w:cs="Calibri Light"/>
        </w:rPr>
        <w:t>ProPa</w:t>
      </w:r>
      <w:proofErr w:type="spellEnd"/>
      <w:r w:rsidRPr="00752621">
        <w:rPr>
          <w:rFonts w:cs="Calibri Light"/>
        </w:rPr>
        <w:t xml:space="preserve">) Network, however this network hasn’t met since 2018. </w:t>
      </w:r>
    </w:p>
    <w:p w:rsidR="007C7746" w:rsidRPr="00752621" w:rsidRDefault="007C7746" w:rsidP="007C7746">
      <w:pPr>
        <w:spacing w:after="0"/>
        <w:jc w:val="both"/>
        <w:rPr>
          <w:rFonts w:cs="Calibri Light"/>
        </w:rPr>
      </w:pPr>
    </w:p>
    <w:p w:rsidR="007C7746" w:rsidRPr="00752621" w:rsidRDefault="007C7746" w:rsidP="007C7746">
      <w:pPr>
        <w:spacing w:after="0"/>
        <w:jc w:val="both"/>
        <w:rPr>
          <w:rFonts w:cs="Calibri Light"/>
        </w:rPr>
      </w:pPr>
      <w:r w:rsidRPr="00752621">
        <w:rPr>
          <w:rFonts w:cs="Calibri Light"/>
          <w:u w:val="single"/>
        </w:rPr>
        <w:t xml:space="preserve">Tuvalu: </w:t>
      </w:r>
      <w:r w:rsidRPr="00752621">
        <w:rPr>
          <w:rFonts w:cs="Calibri Light"/>
        </w:rPr>
        <w:t xml:space="preserve">There is a significant amount of work being undertaken through the Department of Gender Affairs in Tuvalu (nationally and donor funded) and a number of non-government organisations to advance equality, inclusion and representation for all genders, youth, elderly, sexualities and people with disabilities. However very little of this activity is influencing the climate change and disaster risk informed development space. For instance, there is a National Gender Policy in place, but the implementation of this has not been linked to or </w:t>
      </w:r>
      <w:r w:rsidR="00762F69">
        <w:rPr>
          <w:rFonts w:cs="Calibri Light"/>
        </w:rPr>
        <w:t>informed</w:t>
      </w:r>
      <w:r w:rsidR="00762F69" w:rsidRPr="00752621">
        <w:rPr>
          <w:rFonts w:cs="Calibri Light"/>
        </w:rPr>
        <w:t xml:space="preserve"> </w:t>
      </w:r>
      <w:r w:rsidRPr="00752621">
        <w:rPr>
          <w:rFonts w:cs="Calibri Light"/>
        </w:rPr>
        <w:t xml:space="preserve">the climate change and disaster risk management activities, development implementation through sectors or activities of the central agencies. Similarly, a portion of climate change and/or development projects funded by donors require </w:t>
      </w:r>
      <w:proofErr w:type="spellStart"/>
      <w:r w:rsidRPr="00752621">
        <w:rPr>
          <w:rFonts w:cs="Calibri Light"/>
        </w:rPr>
        <w:t>GSi</w:t>
      </w:r>
      <w:proofErr w:type="spellEnd"/>
      <w:r w:rsidRPr="00752621">
        <w:rPr>
          <w:rFonts w:cs="Calibri Light"/>
        </w:rPr>
        <w:t xml:space="preserve"> to be considered, however there is no ongoing involvement from specialist actors such as the Department of Gender Affairs in development activities implemented through central agencies.</w:t>
      </w:r>
    </w:p>
    <w:p w:rsidR="007C7746" w:rsidRPr="00752621" w:rsidRDefault="007C7746" w:rsidP="007C7746">
      <w:pPr>
        <w:spacing w:after="0"/>
        <w:jc w:val="both"/>
        <w:rPr>
          <w:rFonts w:cs="Calibri Light"/>
        </w:rPr>
      </w:pPr>
    </w:p>
    <w:p w:rsidR="007C7746" w:rsidRPr="00752621" w:rsidRDefault="007C7746" w:rsidP="007C7746">
      <w:pPr>
        <w:spacing w:after="0"/>
        <w:jc w:val="both"/>
        <w:rPr>
          <w:rFonts w:cs="Calibri Light"/>
        </w:rPr>
      </w:pPr>
      <w:r w:rsidRPr="00752621">
        <w:rPr>
          <w:rFonts w:cs="Calibri Light"/>
          <w:u w:val="single"/>
        </w:rPr>
        <w:t xml:space="preserve">Tonga: </w:t>
      </w:r>
      <w:r w:rsidRPr="00752621">
        <w:rPr>
          <w:rFonts w:cs="Calibri Light"/>
        </w:rPr>
        <w:t xml:space="preserve">The consideration of gender and social inclusion when risk informing development in Tonga is in its early stages. </w:t>
      </w:r>
      <w:proofErr w:type="spellStart"/>
      <w:r w:rsidRPr="00752621">
        <w:rPr>
          <w:rFonts w:cs="Calibri Light"/>
        </w:rPr>
        <w:t>GSi</w:t>
      </w:r>
      <w:proofErr w:type="spellEnd"/>
      <w:r w:rsidRPr="00752621">
        <w:rPr>
          <w:rFonts w:cs="Calibri Light"/>
        </w:rPr>
        <w:t xml:space="preserve"> criteria has been included in the MFNP Risk Screening Toolkit, and there is a clear acknowledgement of the need for </w:t>
      </w:r>
      <w:proofErr w:type="spellStart"/>
      <w:r w:rsidRPr="00752621">
        <w:rPr>
          <w:rFonts w:cs="Calibri Light"/>
        </w:rPr>
        <w:t>GSi</w:t>
      </w:r>
      <w:proofErr w:type="spellEnd"/>
      <w:r w:rsidRPr="00752621">
        <w:rPr>
          <w:rFonts w:cs="Calibri Light"/>
        </w:rPr>
        <w:t xml:space="preserve"> considerations, however the systemic link between planning, budgeting and gender machinery is very limited. There is a significant amount of work being undertaken through the Women’s Affairs Division (nationally and donor funded) and a number of non-government organisations to advance equality, inclusion and representation of all genders in Tonga. However very little of this activity is influencing the climate change and disaster risk informed development space.</w:t>
      </w:r>
    </w:p>
    <w:p w:rsidR="007C7746" w:rsidRPr="00752621" w:rsidRDefault="007C7746" w:rsidP="007C7746">
      <w:pPr>
        <w:spacing w:after="0"/>
        <w:jc w:val="both"/>
        <w:rPr>
          <w:rFonts w:cs="Calibri Light"/>
        </w:rPr>
      </w:pPr>
    </w:p>
    <w:p w:rsidR="007C7746" w:rsidRPr="00752621" w:rsidRDefault="007C7746" w:rsidP="007C7746">
      <w:pPr>
        <w:spacing w:after="0"/>
        <w:jc w:val="both"/>
        <w:rPr>
          <w:rFonts w:cs="Calibri Light"/>
        </w:rPr>
      </w:pPr>
      <w:r w:rsidRPr="00752621">
        <w:rPr>
          <w:rFonts w:cs="Calibri Light"/>
          <w:u w:val="single"/>
        </w:rPr>
        <w:t xml:space="preserve">Solomon Islands: </w:t>
      </w:r>
      <w:r w:rsidRPr="00752621">
        <w:rPr>
          <w:rFonts w:cs="Calibri Light"/>
        </w:rPr>
        <w:t xml:space="preserve">There is a significant amount of work being undertaken through the Ministry of Women, Youth, Children and Family Affairs (MWYCFA) and a number of non-government organisations to advance equality, inclusion and representation of all genders in the Solomon Islands. At present, very little of this activity is influencing the climate change and disaster risk informed development space. However, the influence of the MWYCFA on the day to day activities of line ministries is increasing through the establishment of gender focal points across all sectors. The remit of these focal points is initially to focus on fairness and equality of international operations (human resources), but in time is intended to expand to influencing sectoral and central agency development activities to ensure that they are cognisant of the differing needs of men, women, youth and children when making development decisions.  The risk screening template developed by the MNPDC explicitly recognises peoples differing needs, however (as discussed previously) this template is not currently being used by line ministries to inform decision making. </w:t>
      </w:r>
    </w:p>
    <w:p w:rsidR="007C7746" w:rsidRPr="00752621" w:rsidRDefault="007C7746" w:rsidP="007C7746">
      <w:pPr>
        <w:spacing w:after="0"/>
        <w:jc w:val="both"/>
        <w:rPr>
          <w:rFonts w:cs="Calibri Light"/>
        </w:rPr>
      </w:pPr>
    </w:p>
    <w:p w:rsidR="007C7746" w:rsidRPr="00752621" w:rsidRDefault="007C7746" w:rsidP="007C7746">
      <w:pPr>
        <w:spacing w:after="0"/>
        <w:jc w:val="both"/>
        <w:rPr>
          <w:rFonts w:cs="Calibri Light"/>
        </w:rPr>
      </w:pPr>
      <w:r w:rsidRPr="00752621">
        <w:rPr>
          <w:rFonts w:cs="Calibri Light"/>
          <w:u w:val="single"/>
        </w:rPr>
        <w:t xml:space="preserve">Vanuatu: </w:t>
      </w:r>
      <w:r w:rsidRPr="00752621">
        <w:rPr>
          <w:rFonts w:cs="Calibri Light"/>
        </w:rPr>
        <w:t xml:space="preserve">The Vanuatu Department of Women’s Affairs (DWA), which is situated in the Ministry of Justice and Community Service, has strong leadership supporting the risk informed development agenda. The Department has a full-time climate change and disaster risk management focal point whose position has been fully government funded since 2018. This position was designed to be a focal point for the Protection Cluster as well as responsible for risk informing development, however when the design baseline assessment was undertaken the post was focused entirely on cluster work. There are also a number of non-government organisations who are actively working to advance equality, inclusion and representation of all genders, youth, elderly, sexualities and people with disabilities. It appears, however, that very little of this activity, from the </w:t>
      </w:r>
      <w:r w:rsidR="00FB5FAA">
        <w:rPr>
          <w:rFonts w:cs="Calibri Light"/>
        </w:rPr>
        <w:t>government</w:t>
      </w:r>
      <w:r w:rsidRPr="00752621">
        <w:rPr>
          <w:rFonts w:cs="Calibri Light"/>
        </w:rPr>
        <w:t xml:space="preserve"> </w:t>
      </w:r>
      <w:r w:rsidR="00762F69">
        <w:rPr>
          <w:rFonts w:cs="Calibri Light"/>
        </w:rPr>
        <w:t>or</w:t>
      </w:r>
      <w:r w:rsidR="00762F69" w:rsidRPr="00752621">
        <w:rPr>
          <w:rFonts w:cs="Calibri Light"/>
        </w:rPr>
        <w:t xml:space="preserve"> </w:t>
      </w:r>
      <w:r w:rsidRPr="00752621">
        <w:rPr>
          <w:rFonts w:cs="Calibri Light"/>
        </w:rPr>
        <w:t xml:space="preserve">NGOs, is influencing the climate change and disaster risk informed development space. For instance, the National Gender Equality Policy (2015-2019), has not been linked to or </w:t>
      </w:r>
      <w:r w:rsidR="00762F69">
        <w:rPr>
          <w:rFonts w:cs="Calibri Light"/>
        </w:rPr>
        <w:t>informed</w:t>
      </w:r>
      <w:r w:rsidR="00762F69" w:rsidRPr="00752621">
        <w:rPr>
          <w:rFonts w:cs="Calibri Light"/>
        </w:rPr>
        <w:t xml:space="preserve"> </w:t>
      </w:r>
      <w:r w:rsidRPr="00752621">
        <w:rPr>
          <w:rFonts w:cs="Calibri Light"/>
        </w:rPr>
        <w:t>the climate change and disaster risk management activities, development implementation through sectors or activities of the central agencies. The team understand a new Gender Policy will be launched in 2019, however it is unclear whether this link will be made.</w:t>
      </w:r>
    </w:p>
    <w:p w:rsidR="00A853D6" w:rsidRPr="00135431" w:rsidRDefault="006413B9" w:rsidP="001930B8">
      <w:pPr>
        <w:pStyle w:val="Heading2"/>
        <w:jc w:val="left"/>
      </w:pPr>
      <w:r w:rsidRPr="00135431">
        <w:br w:type="page"/>
      </w:r>
      <w:bookmarkStart w:id="116" w:name="_Toc22745690"/>
      <w:bookmarkStart w:id="117" w:name="_Toc25739982"/>
      <w:bookmarkStart w:id="118" w:name="_Toc25740091"/>
      <w:r w:rsidR="00A853D6" w:rsidRPr="00135431">
        <w:t xml:space="preserve">ANNEX </w:t>
      </w:r>
      <w:r w:rsidR="00B435B8">
        <w:t>V</w:t>
      </w:r>
      <w:r w:rsidR="00CD50C8">
        <w:t>II</w:t>
      </w:r>
      <w:r w:rsidR="00A853D6" w:rsidRPr="00135431">
        <w:t>.</w:t>
      </w:r>
      <w:r w:rsidR="00963BB2">
        <w:tab/>
      </w:r>
      <w:bookmarkEnd w:id="116"/>
      <w:r w:rsidR="008251B7" w:rsidRPr="00327060">
        <w:t>PRRP</w:t>
      </w:r>
      <w:r w:rsidR="00C10602">
        <w:t xml:space="preserve"> </w:t>
      </w:r>
      <w:r w:rsidR="00163E60">
        <w:t>Lessons Learned</w:t>
      </w:r>
      <w:bookmarkEnd w:id="117"/>
      <w:bookmarkEnd w:id="118"/>
    </w:p>
    <w:p w:rsidR="00B435B8" w:rsidRPr="00AD17EF" w:rsidRDefault="00B435B8" w:rsidP="00B435B8">
      <w:pPr>
        <w:spacing w:after="0" w:line="240" w:lineRule="auto"/>
        <w:jc w:val="both"/>
        <w:textAlignment w:val="center"/>
        <w:rPr>
          <w:rFonts w:cs="Calibri Light"/>
          <w:b/>
        </w:rPr>
      </w:pPr>
      <w:r w:rsidRPr="00AD17EF">
        <w:rPr>
          <w:rFonts w:cs="Calibri Light"/>
          <w:b/>
        </w:rPr>
        <w:t>Risk-Informed Development</w:t>
      </w:r>
    </w:p>
    <w:p w:rsidR="00F81D90" w:rsidRPr="00AD17EF" w:rsidRDefault="00F81D90" w:rsidP="009D6B25">
      <w:pPr>
        <w:numPr>
          <w:ilvl w:val="0"/>
          <w:numId w:val="13"/>
        </w:numPr>
        <w:spacing w:before="60" w:after="0" w:line="240" w:lineRule="auto"/>
        <w:ind w:left="284" w:hanging="284"/>
        <w:jc w:val="both"/>
        <w:textAlignment w:val="center"/>
        <w:rPr>
          <w:rFonts w:cs="Calibri Light"/>
        </w:rPr>
      </w:pPr>
      <w:r w:rsidRPr="00AD17EF">
        <w:rPr>
          <w:rFonts w:cs="Calibri Light"/>
        </w:rPr>
        <w:t xml:space="preserve">‘Development-first’ approach to managing risks: climate change adaptation and disaster management initiatives alone will not help to reduce fundamental drivers of risk. </w:t>
      </w:r>
    </w:p>
    <w:p w:rsidR="00F81D90" w:rsidRPr="00AD17EF" w:rsidRDefault="00F81D90" w:rsidP="009D6B25">
      <w:pPr>
        <w:numPr>
          <w:ilvl w:val="0"/>
          <w:numId w:val="13"/>
        </w:numPr>
        <w:spacing w:before="60" w:after="0" w:line="240" w:lineRule="auto"/>
        <w:ind w:left="284" w:hanging="284"/>
        <w:jc w:val="both"/>
        <w:textAlignment w:val="center"/>
        <w:rPr>
          <w:rFonts w:cs="Calibri Light"/>
        </w:rPr>
      </w:pPr>
      <w:r w:rsidRPr="00AD17EF">
        <w:rPr>
          <w:rFonts w:cs="Calibri Light"/>
        </w:rPr>
        <w:t>Gender and social inclusion: mainstreaming of gender is more effective when considered as a fundamental part of mainstreaming climate and disaster risk, and not as a separate initiative.</w:t>
      </w:r>
    </w:p>
    <w:p w:rsidR="00F81D90" w:rsidRPr="00AD17EF" w:rsidRDefault="00F81D90" w:rsidP="009D6B25">
      <w:pPr>
        <w:numPr>
          <w:ilvl w:val="0"/>
          <w:numId w:val="13"/>
        </w:numPr>
        <w:spacing w:before="60" w:after="0" w:line="240" w:lineRule="auto"/>
        <w:ind w:left="284" w:hanging="284"/>
        <w:jc w:val="both"/>
        <w:textAlignment w:val="center"/>
        <w:rPr>
          <w:rFonts w:cs="Calibri Light"/>
        </w:rPr>
      </w:pPr>
      <w:r w:rsidRPr="00AD17EF">
        <w:rPr>
          <w:rFonts w:cs="Calibri Light"/>
        </w:rPr>
        <w:t xml:space="preserve">Private sector engagement: creating the right governance mechanisms for private sector to engage with government and other partners is proving to be an effective vehicle for nurturing more durable partnerships e.g. the Fiji Business Disaster Resilience Council (FBDRC) is spearheading initiatives to help business be more prepared for future disasters events and also to act as more relevant partners within the humanitarian cluster system </w:t>
      </w:r>
    </w:p>
    <w:p w:rsidR="00F81D90" w:rsidRPr="00AD17EF" w:rsidRDefault="00F81D90" w:rsidP="009D6B25">
      <w:pPr>
        <w:numPr>
          <w:ilvl w:val="0"/>
          <w:numId w:val="13"/>
        </w:numPr>
        <w:spacing w:before="60" w:after="0" w:line="240" w:lineRule="auto"/>
        <w:ind w:left="284" w:hanging="284"/>
        <w:jc w:val="both"/>
        <w:textAlignment w:val="center"/>
        <w:rPr>
          <w:rFonts w:cs="Calibri Light"/>
        </w:rPr>
      </w:pPr>
      <w:r w:rsidRPr="00AD17EF">
        <w:rPr>
          <w:rFonts w:cs="Calibri Light"/>
        </w:rPr>
        <w:t xml:space="preserve">Budget process is key: approaches to risk-informing development are being replicated but need to be taken to scale across all sectors and levels at country level. The budget process provides a good opportunity for all development work to be risk-informed. </w:t>
      </w:r>
    </w:p>
    <w:p w:rsidR="00B435B8" w:rsidRPr="00B435B8" w:rsidRDefault="00B435B8" w:rsidP="00B435B8">
      <w:pPr>
        <w:spacing w:after="0"/>
      </w:pPr>
    </w:p>
    <w:p w:rsidR="00B435B8" w:rsidRPr="00B435B8" w:rsidRDefault="00B435B8" w:rsidP="00B435B8">
      <w:pPr>
        <w:spacing w:after="0"/>
        <w:rPr>
          <w:b/>
        </w:rPr>
      </w:pPr>
      <w:r w:rsidRPr="00B435B8">
        <w:rPr>
          <w:b/>
        </w:rPr>
        <w:t>Approaches to Programming</w:t>
      </w:r>
      <w:r>
        <w:rPr>
          <w:b/>
        </w:rPr>
        <w:t xml:space="preserve"> risk-informed development</w:t>
      </w:r>
    </w:p>
    <w:p w:rsidR="00F81D90" w:rsidRPr="00AD17EF" w:rsidRDefault="00F81D90" w:rsidP="009D6B25">
      <w:pPr>
        <w:numPr>
          <w:ilvl w:val="0"/>
          <w:numId w:val="13"/>
        </w:numPr>
        <w:spacing w:before="60" w:after="0" w:line="240" w:lineRule="auto"/>
        <w:ind w:left="284" w:hanging="284"/>
        <w:jc w:val="both"/>
        <w:textAlignment w:val="center"/>
        <w:rPr>
          <w:rFonts w:cs="Calibri Light"/>
        </w:rPr>
      </w:pPr>
      <w:r w:rsidRPr="005A338D">
        <w:rPr>
          <w:rFonts w:cs="Calibri Light"/>
          <w:i/>
          <w:iCs/>
        </w:rPr>
        <w:t>Mainstreaming through pathways</w:t>
      </w:r>
      <w:r w:rsidR="00312CBA">
        <w:rPr>
          <w:rFonts w:cs="Calibri Light"/>
        </w:rPr>
        <w:t>:</w:t>
      </w:r>
      <w:r w:rsidRPr="00AD17EF">
        <w:rPr>
          <w:rFonts w:cs="Calibri Light"/>
        </w:rPr>
        <w:t xml:space="preserve"> </w:t>
      </w:r>
      <w:r w:rsidR="008251B7">
        <w:rPr>
          <w:rFonts w:cs="Calibri Light"/>
        </w:rPr>
        <w:t>PRRP</w:t>
      </w:r>
      <w:r w:rsidRPr="00AD17EF">
        <w:rPr>
          <w:rFonts w:cs="Calibri Light"/>
        </w:rPr>
        <w:t xml:space="preserve"> has found that in order to risk-inform development it is necessary to risk- through multiple development pathways. The rationale for working within a particular pathway is to ensure that the multiple stakeholders (government, private sector, development actors) work collectively towards a common goal of risk informing development. These pathways include: Horizontal (all of government linking central with sector planners across all sectors); Vertical (national through to subnational planning to community levels); and Diagonal (linking actors in specific sectors from national to subnational to community levels). </w:t>
      </w:r>
    </w:p>
    <w:p w:rsidR="00F81D90" w:rsidRPr="00AD17EF" w:rsidRDefault="00F81D90" w:rsidP="009D6B25">
      <w:pPr>
        <w:numPr>
          <w:ilvl w:val="0"/>
          <w:numId w:val="13"/>
        </w:numPr>
        <w:spacing w:before="60" w:after="0" w:line="240" w:lineRule="auto"/>
        <w:ind w:left="284" w:hanging="284"/>
        <w:jc w:val="both"/>
        <w:textAlignment w:val="center"/>
        <w:rPr>
          <w:rFonts w:cs="Calibri Light"/>
        </w:rPr>
      </w:pPr>
      <w:r w:rsidRPr="005A338D">
        <w:rPr>
          <w:rFonts w:cs="Calibri Light"/>
          <w:i/>
          <w:iCs/>
        </w:rPr>
        <w:t>Don’t let the perfect be the enemy of the good</w:t>
      </w:r>
      <w:r w:rsidR="00312CBA">
        <w:rPr>
          <w:rFonts w:cs="Calibri Light"/>
          <w:i/>
          <w:iCs/>
        </w:rPr>
        <w:t>:</w:t>
      </w:r>
      <w:r w:rsidRPr="00AD17EF">
        <w:rPr>
          <w:rFonts w:cs="Calibri Light"/>
        </w:rPr>
        <w:t xml:space="preserve"> Integration of risk is a process, and </w:t>
      </w:r>
      <w:r w:rsidR="00B435B8" w:rsidRPr="00AD17EF">
        <w:rPr>
          <w:rFonts w:cs="Calibri Light"/>
        </w:rPr>
        <w:t>it’s</w:t>
      </w:r>
      <w:r w:rsidRPr="00AD17EF">
        <w:rPr>
          <w:rFonts w:cs="Calibri Light"/>
        </w:rPr>
        <w:t xml:space="preserve"> better that the process of risk informing is locally owned, as opposed to an individual risk assessment being technically robust. There is a need in the region to ensure that risk integration is meaningful to communities in their day to day lives. This can be achieved by starting with development needs and identifying how risks can impact these and identifying risk management measures that are relative to the development invest. Rather than treating CCDRM as a separate entity. For example, as local leaders will inevitably play a key role in ensuring the sustainability of products and processes developed for risk integration, it is critical that these same local leaders are responsible for determination of the process and development of the tools for which they will be responsible.  </w:t>
      </w:r>
    </w:p>
    <w:p w:rsidR="00F81D90" w:rsidRPr="00AD17EF" w:rsidRDefault="00F81D90" w:rsidP="009D6B25">
      <w:pPr>
        <w:numPr>
          <w:ilvl w:val="0"/>
          <w:numId w:val="13"/>
        </w:numPr>
        <w:spacing w:before="60" w:after="0" w:line="240" w:lineRule="auto"/>
        <w:ind w:left="284" w:hanging="284"/>
        <w:jc w:val="both"/>
        <w:textAlignment w:val="center"/>
        <w:rPr>
          <w:rFonts w:cs="Calibri Light"/>
        </w:rPr>
      </w:pPr>
      <w:r w:rsidRPr="005A338D">
        <w:rPr>
          <w:rFonts w:cs="Calibri Light"/>
          <w:i/>
          <w:iCs/>
        </w:rPr>
        <w:t>Capacity development</w:t>
      </w:r>
      <w:r w:rsidR="00312CBA">
        <w:rPr>
          <w:rFonts w:cs="Calibri Light"/>
          <w:i/>
          <w:iCs/>
        </w:rPr>
        <w:t>:</w:t>
      </w:r>
      <w:r w:rsidRPr="00AD17EF">
        <w:rPr>
          <w:rFonts w:cs="Calibri Light"/>
        </w:rPr>
        <w:t xml:space="preserve"> Human capacity to integrate resilience into development needs to be entrenched within institutions to support the many components of risk informing development. For the capacity development approach to be successful, identification of champions within government to visibly advocate for and implement risk informed development, particularly for support with financing for posts and endorsement of policies and processes, is critical. </w:t>
      </w:r>
      <w:r w:rsidR="008251B7">
        <w:rPr>
          <w:rFonts w:cs="Calibri Light"/>
        </w:rPr>
        <w:t>GRDP</w:t>
      </w:r>
      <w:r w:rsidRPr="00AD17EF">
        <w:rPr>
          <w:rFonts w:cs="Calibri Light"/>
        </w:rPr>
        <w:t xml:space="preserve"> has worked strongly behind the scenes to support governments to be the champions of the resilient development agenda. </w:t>
      </w:r>
    </w:p>
    <w:p w:rsidR="00F81D90" w:rsidRPr="00AD17EF" w:rsidRDefault="00F81D90" w:rsidP="009D6B25">
      <w:pPr>
        <w:numPr>
          <w:ilvl w:val="0"/>
          <w:numId w:val="13"/>
        </w:numPr>
        <w:spacing w:before="60" w:after="0" w:line="240" w:lineRule="auto"/>
        <w:ind w:left="284" w:hanging="284"/>
        <w:jc w:val="both"/>
        <w:textAlignment w:val="center"/>
        <w:rPr>
          <w:rFonts w:cs="Calibri Light"/>
        </w:rPr>
      </w:pPr>
      <w:r w:rsidRPr="005A338D">
        <w:rPr>
          <w:rFonts w:cs="Calibri Light"/>
          <w:i/>
          <w:iCs/>
        </w:rPr>
        <w:t>Diffusion and knowledge products</w:t>
      </w:r>
      <w:r w:rsidR="00312CBA" w:rsidRPr="005A338D">
        <w:rPr>
          <w:rFonts w:cs="Calibri Light"/>
          <w:i/>
          <w:iCs/>
        </w:rPr>
        <w:t>:</w:t>
      </w:r>
      <w:r w:rsidR="00662DA7" w:rsidRPr="00AD17EF">
        <w:rPr>
          <w:rFonts w:cs="Calibri Light"/>
        </w:rPr>
        <w:t xml:space="preserve"> E</w:t>
      </w:r>
      <w:r w:rsidRPr="00AD17EF">
        <w:rPr>
          <w:rFonts w:cs="Calibri Light"/>
        </w:rPr>
        <w:t xml:space="preserve">xperience through the </w:t>
      </w:r>
      <w:r w:rsidR="008251B7">
        <w:rPr>
          <w:rFonts w:cs="Calibri Light"/>
        </w:rPr>
        <w:t>PRRP</w:t>
      </w:r>
      <w:r w:rsidRPr="00AD17EF">
        <w:rPr>
          <w:rFonts w:cs="Calibri Light"/>
        </w:rPr>
        <w:t xml:space="preserve"> countries has shown that diffusion of learning from one pathway can be an effective advocacy tool for replicating approaches to risk-informed development in other pathways. This can take several forms including showcasing success stories in the media, site visits, lessons learning workshops, presentations or position papers shared by champions. For instance, in Vanuatu replication of a risk-informed subnational planning process was supported by the advocacy and leadership of the Department of Local Authorities (DLA). As a result, the risk-informed process, whilst initially piloted in one province is now being applied across Vanuatu. </w:t>
      </w:r>
    </w:p>
    <w:p w:rsidR="00A853D6" w:rsidRDefault="00F81D90" w:rsidP="009D6B25">
      <w:pPr>
        <w:numPr>
          <w:ilvl w:val="0"/>
          <w:numId w:val="13"/>
        </w:numPr>
        <w:spacing w:before="60" w:after="0" w:line="240" w:lineRule="auto"/>
        <w:ind w:left="284" w:hanging="284"/>
        <w:jc w:val="both"/>
        <w:textAlignment w:val="center"/>
        <w:rPr>
          <w:rFonts w:cs="Calibri Light"/>
        </w:rPr>
      </w:pPr>
      <w:r w:rsidRPr="005A338D">
        <w:rPr>
          <w:rFonts w:cs="Calibri Light"/>
          <w:i/>
          <w:iCs/>
        </w:rPr>
        <w:t>Innovation and agile development</w:t>
      </w:r>
      <w:r w:rsidR="00312CBA">
        <w:rPr>
          <w:rFonts w:cs="Calibri Light"/>
        </w:rPr>
        <w:t xml:space="preserve">: </w:t>
      </w:r>
      <w:r w:rsidRPr="00E24435">
        <w:rPr>
          <w:rFonts w:cs="Calibri Light"/>
        </w:rPr>
        <w:t xml:space="preserve">As development is not linear, it is critical that partners adopt an agile approach to risk informing development. The </w:t>
      </w:r>
      <w:r w:rsidR="008251B7">
        <w:rPr>
          <w:rFonts w:cs="Calibri Light"/>
        </w:rPr>
        <w:t>GRDP</w:t>
      </w:r>
      <w:r w:rsidRPr="00E24435">
        <w:rPr>
          <w:rFonts w:cs="Calibri Light"/>
        </w:rPr>
        <w:t>s ‘agile development’ approach to programming has allowed it to achieve results through a continual process of innovation – through building, measuring and learning from a series of experiments to risk inform development.</w:t>
      </w:r>
    </w:p>
    <w:p w:rsidR="00F87EAC" w:rsidRDefault="00F87EAC">
      <w:pPr>
        <w:spacing w:after="0" w:line="240" w:lineRule="auto"/>
        <w:rPr>
          <w:rFonts w:cs="Calibri Light"/>
        </w:rPr>
        <w:sectPr w:rsidR="00F87EAC" w:rsidSect="00EB0F83">
          <w:pgSz w:w="11906" w:h="16838" w:code="9"/>
          <w:pgMar w:top="864" w:right="1152" w:bottom="864" w:left="1152" w:header="720" w:footer="432" w:gutter="0"/>
          <w:cols w:space="708"/>
          <w:titlePg/>
          <w:docGrid w:linePitch="360"/>
        </w:sectPr>
      </w:pPr>
    </w:p>
    <w:p w:rsidR="001E2F4B" w:rsidRDefault="001E2F4B" w:rsidP="00F87EAC">
      <w:pPr>
        <w:pStyle w:val="Heading2"/>
        <w:jc w:val="left"/>
      </w:pPr>
      <w:bookmarkStart w:id="119" w:name="_Toc25739983"/>
      <w:bookmarkStart w:id="120" w:name="_Toc25740092"/>
      <w:r w:rsidRPr="001E2F4B">
        <w:t>ANNEX VI</w:t>
      </w:r>
      <w:r>
        <w:t>II</w:t>
      </w:r>
      <w:r w:rsidRPr="001E2F4B">
        <w:t>.</w:t>
      </w:r>
      <w:r w:rsidRPr="001E2F4B">
        <w:tab/>
      </w:r>
      <w:r>
        <w:t xml:space="preserve">Koica </w:t>
      </w:r>
      <w:r w:rsidR="00370C27">
        <w:t xml:space="preserve">Logical </w:t>
      </w:r>
      <w:r w:rsidR="00056517">
        <w:t>Framework</w:t>
      </w:r>
      <w:r w:rsidR="00370C27">
        <w:t xml:space="preserve"> and Work Plan</w:t>
      </w:r>
      <w:bookmarkEnd w:id="119"/>
      <w:bookmarkEnd w:id="120"/>
    </w:p>
    <w:p w:rsidR="00F87EAC" w:rsidRDefault="00E85985" w:rsidP="00F87EAC">
      <w:pPr>
        <w:pStyle w:val="Heading3"/>
        <w:jc w:val="left"/>
      </w:pPr>
      <w:bookmarkStart w:id="121" w:name="_Toc13216765"/>
      <w:r>
        <w:t xml:space="preserve">Logical </w:t>
      </w:r>
      <w:r w:rsidR="00F87EAC" w:rsidRPr="00F529E2">
        <w:t>Framework</w:t>
      </w:r>
      <w:r w:rsidR="00F87EAC" w:rsidRPr="00F529E2">
        <w:rPr>
          <w:rStyle w:val="FootnoteReference"/>
          <w:rFonts w:cs="Arial"/>
          <w:color w:val="2F5496"/>
        </w:rPr>
        <w:footnoteReference w:id="22"/>
      </w:r>
      <w:bookmarkEnd w:id="121"/>
    </w:p>
    <w:tbl>
      <w:tblPr>
        <w:tblW w:w="5130" w:type="pct"/>
        <w:tblLayout w:type="fixed"/>
        <w:tblCellMar>
          <w:left w:w="99" w:type="dxa"/>
          <w:right w:w="99" w:type="dxa"/>
        </w:tblCellMar>
        <w:tblLook w:val="04A0" w:firstRow="1" w:lastRow="0" w:firstColumn="1" w:lastColumn="0" w:noHBand="0" w:noVBand="1"/>
      </w:tblPr>
      <w:tblGrid>
        <w:gridCol w:w="1841"/>
        <w:gridCol w:w="2916"/>
        <w:gridCol w:w="1072"/>
        <w:gridCol w:w="1072"/>
        <w:gridCol w:w="1379"/>
        <w:gridCol w:w="1072"/>
        <w:gridCol w:w="923"/>
        <w:gridCol w:w="1841"/>
        <w:gridCol w:w="1227"/>
        <w:gridCol w:w="923"/>
        <w:gridCol w:w="1227"/>
      </w:tblGrid>
      <w:tr w:rsidR="00F87EAC" w:rsidRPr="009A421E" w:rsidTr="00E67D7C">
        <w:trPr>
          <w:trHeight w:val="175"/>
        </w:trPr>
        <w:tc>
          <w:tcPr>
            <w:tcW w:w="1535" w:type="pct"/>
            <w:gridSpan w:val="2"/>
            <w:tcBorders>
              <w:top w:val="single" w:sz="4" w:space="0" w:color="000000"/>
              <w:left w:val="single" w:sz="4" w:space="0" w:color="000000"/>
              <w:bottom w:val="single" w:sz="4" w:space="0" w:color="000000"/>
              <w:right w:val="single" w:sz="4" w:space="0" w:color="000000"/>
            </w:tcBorders>
            <w:shd w:val="clear" w:color="auto" w:fill="1F4E79"/>
            <w:noWrap/>
            <w:hideMark/>
          </w:tcPr>
          <w:p w:rsidR="00F87EAC" w:rsidRPr="009A421E" w:rsidRDefault="00F87EAC" w:rsidP="00E67D7C">
            <w:pPr>
              <w:spacing w:line="276" w:lineRule="auto"/>
              <w:rPr>
                <w:rFonts w:cs="Arial"/>
                <w:color w:val="FFFFFF"/>
                <w:sz w:val="18"/>
                <w:szCs w:val="18"/>
              </w:rPr>
            </w:pPr>
            <w:r w:rsidRPr="009A421E">
              <w:rPr>
                <w:rFonts w:cs="Arial"/>
                <w:color w:val="FFFFFF"/>
                <w:sz w:val="18"/>
                <w:szCs w:val="18"/>
              </w:rPr>
              <w:t>Project Name</w:t>
            </w:r>
          </w:p>
        </w:tc>
        <w:tc>
          <w:tcPr>
            <w:tcW w:w="3465" w:type="pct"/>
            <w:gridSpan w:val="9"/>
            <w:tcBorders>
              <w:top w:val="single" w:sz="4" w:space="0" w:color="000000"/>
              <w:left w:val="nil"/>
              <w:bottom w:val="single" w:sz="4" w:space="0" w:color="000000"/>
              <w:right w:val="single" w:sz="4" w:space="0" w:color="000000"/>
            </w:tcBorders>
            <w:shd w:val="clear" w:color="auto" w:fill="auto"/>
            <w:noWrap/>
            <w:vAlign w:val="bottom"/>
            <w:hideMark/>
          </w:tcPr>
          <w:p w:rsidR="00F87EAC" w:rsidRPr="00D44CB9" w:rsidRDefault="00F87EAC" w:rsidP="00E67D7C">
            <w:pPr>
              <w:spacing w:line="276" w:lineRule="auto"/>
              <w:rPr>
                <w:rFonts w:cs="Arial"/>
                <w:sz w:val="18"/>
                <w:szCs w:val="18"/>
              </w:rPr>
            </w:pPr>
            <w:r>
              <w:rPr>
                <w:rFonts w:cs="Arial"/>
                <w:sz w:val="18"/>
                <w:szCs w:val="18"/>
              </w:rPr>
              <w:t xml:space="preserve">Governance for Resilient Development in the Pacific </w:t>
            </w:r>
          </w:p>
        </w:tc>
      </w:tr>
      <w:tr w:rsidR="00F87EAC" w:rsidRPr="009A421E" w:rsidTr="00E67D7C">
        <w:trPr>
          <w:trHeight w:val="175"/>
        </w:trPr>
        <w:tc>
          <w:tcPr>
            <w:tcW w:w="1535" w:type="pct"/>
            <w:gridSpan w:val="2"/>
            <w:tcBorders>
              <w:top w:val="single" w:sz="4" w:space="0" w:color="000000"/>
              <w:left w:val="single" w:sz="4" w:space="0" w:color="000000"/>
              <w:bottom w:val="single" w:sz="4" w:space="0" w:color="auto"/>
              <w:right w:val="single" w:sz="4" w:space="0" w:color="000000"/>
            </w:tcBorders>
            <w:shd w:val="clear" w:color="auto" w:fill="1F4E79"/>
            <w:noWrap/>
            <w:hideMark/>
          </w:tcPr>
          <w:p w:rsidR="00F87EAC" w:rsidRPr="009A421E" w:rsidRDefault="00F87EAC" w:rsidP="00E67D7C">
            <w:pPr>
              <w:spacing w:line="276" w:lineRule="auto"/>
              <w:rPr>
                <w:rFonts w:cs="Arial"/>
                <w:color w:val="FFFFFF"/>
                <w:sz w:val="18"/>
                <w:szCs w:val="18"/>
              </w:rPr>
            </w:pPr>
            <w:r w:rsidRPr="009A421E">
              <w:rPr>
                <w:rFonts w:cs="Arial"/>
                <w:color w:val="FFFFFF"/>
                <w:sz w:val="18"/>
                <w:szCs w:val="18"/>
              </w:rPr>
              <w:t>Goal</w:t>
            </w:r>
          </w:p>
        </w:tc>
        <w:tc>
          <w:tcPr>
            <w:tcW w:w="3465" w:type="pct"/>
            <w:gridSpan w:val="9"/>
            <w:tcBorders>
              <w:top w:val="single" w:sz="4" w:space="0" w:color="000000"/>
              <w:left w:val="nil"/>
              <w:bottom w:val="single" w:sz="4" w:space="0" w:color="auto"/>
              <w:right w:val="single" w:sz="4" w:space="0" w:color="000000"/>
            </w:tcBorders>
            <w:shd w:val="clear" w:color="auto" w:fill="auto"/>
            <w:noWrap/>
            <w:vAlign w:val="center"/>
          </w:tcPr>
          <w:p w:rsidR="00F87EAC" w:rsidRPr="00D44CB9" w:rsidRDefault="00F87EAC" w:rsidP="00E67D7C">
            <w:pPr>
              <w:spacing w:line="276" w:lineRule="auto"/>
              <w:rPr>
                <w:rFonts w:cs="Arial"/>
                <w:sz w:val="18"/>
                <w:szCs w:val="18"/>
              </w:rPr>
            </w:pPr>
            <w:r w:rsidRPr="00D44CB9">
              <w:rPr>
                <w:rFonts w:cs="Arial"/>
                <w:sz w:val="18"/>
                <w:szCs w:val="18"/>
              </w:rPr>
              <w:t>Pacific People, especially women and marginalised groups are more resilient to the impacts of climate change and disasters</w:t>
            </w:r>
          </w:p>
        </w:tc>
      </w:tr>
      <w:tr w:rsidR="00F87EAC" w:rsidRPr="009A421E" w:rsidTr="00E67D7C">
        <w:trPr>
          <w:trHeight w:val="175"/>
        </w:trPr>
        <w:tc>
          <w:tcPr>
            <w:tcW w:w="1535" w:type="pct"/>
            <w:gridSpan w:val="2"/>
            <w:tcBorders>
              <w:top w:val="single" w:sz="4" w:space="0" w:color="000000"/>
              <w:left w:val="single" w:sz="4" w:space="0" w:color="000000"/>
              <w:bottom w:val="single" w:sz="4" w:space="0" w:color="auto"/>
              <w:right w:val="single" w:sz="4" w:space="0" w:color="000000"/>
            </w:tcBorders>
            <w:shd w:val="clear" w:color="auto" w:fill="1F4E79"/>
            <w:noWrap/>
          </w:tcPr>
          <w:p w:rsidR="00F87EAC" w:rsidRPr="009A421E" w:rsidRDefault="00F87EAC" w:rsidP="00E67D7C">
            <w:pPr>
              <w:spacing w:line="276" w:lineRule="auto"/>
              <w:rPr>
                <w:rFonts w:cs="Arial"/>
                <w:color w:val="FFFFFF"/>
                <w:sz w:val="18"/>
                <w:szCs w:val="18"/>
              </w:rPr>
            </w:pPr>
            <w:r>
              <w:rPr>
                <w:rFonts w:cs="Arial"/>
                <w:color w:val="FFFFFF"/>
                <w:sz w:val="18"/>
                <w:szCs w:val="18"/>
              </w:rPr>
              <w:t>Objective</w:t>
            </w:r>
          </w:p>
        </w:tc>
        <w:tc>
          <w:tcPr>
            <w:tcW w:w="3465" w:type="pct"/>
            <w:gridSpan w:val="9"/>
            <w:tcBorders>
              <w:top w:val="single" w:sz="4" w:space="0" w:color="000000"/>
              <w:left w:val="nil"/>
              <w:bottom w:val="single" w:sz="4" w:space="0" w:color="auto"/>
              <w:right w:val="single" w:sz="4" w:space="0" w:color="000000"/>
            </w:tcBorders>
            <w:shd w:val="clear" w:color="auto" w:fill="auto"/>
            <w:noWrap/>
            <w:vAlign w:val="center"/>
          </w:tcPr>
          <w:p w:rsidR="00F87EAC" w:rsidRPr="00D44CB9" w:rsidRDefault="00F87EAC" w:rsidP="00E67D7C">
            <w:pPr>
              <w:spacing w:line="276" w:lineRule="auto"/>
              <w:rPr>
                <w:rFonts w:cs="Arial"/>
                <w:sz w:val="18"/>
                <w:szCs w:val="18"/>
              </w:rPr>
            </w:pPr>
            <w:r w:rsidRPr="00D44CB9">
              <w:rPr>
                <w:rFonts w:cs="Arial"/>
                <w:sz w:val="18"/>
                <w:szCs w:val="18"/>
              </w:rPr>
              <w:t>Pacific countries adapt their decision-making and governance systems towards resilient development</w:t>
            </w:r>
          </w:p>
        </w:tc>
      </w:tr>
      <w:tr w:rsidR="00F87EAC" w:rsidRPr="009A421E" w:rsidTr="00E67D7C">
        <w:trPr>
          <w:trHeight w:val="175"/>
        </w:trPr>
        <w:tc>
          <w:tcPr>
            <w:tcW w:w="1535" w:type="pct"/>
            <w:gridSpan w:val="2"/>
            <w:vMerge w:val="restart"/>
            <w:tcBorders>
              <w:top w:val="single" w:sz="4" w:space="0" w:color="auto"/>
              <w:left w:val="single" w:sz="4" w:space="0" w:color="auto"/>
              <w:bottom w:val="single" w:sz="4" w:space="0" w:color="auto"/>
              <w:right w:val="single" w:sz="4" w:space="0" w:color="auto"/>
            </w:tcBorders>
            <w:shd w:val="clear" w:color="auto" w:fill="D9D9D9"/>
          </w:tcPr>
          <w:p w:rsidR="00F87EAC" w:rsidRPr="009A421E" w:rsidRDefault="00F87EAC" w:rsidP="00E67D7C">
            <w:pPr>
              <w:spacing w:line="276" w:lineRule="auto"/>
              <w:rPr>
                <w:rFonts w:cs="Arial"/>
                <w:sz w:val="18"/>
                <w:szCs w:val="18"/>
              </w:rPr>
            </w:pPr>
            <w:r>
              <w:rPr>
                <w:rFonts w:cs="Arial"/>
                <w:sz w:val="18"/>
                <w:szCs w:val="18"/>
              </w:rPr>
              <w:t>Outcomes</w:t>
            </w:r>
          </w:p>
        </w:tc>
        <w:tc>
          <w:tcPr>
            <w:tcW w:w="3465" w:type="pct"/>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F87EAC" w:rsidRPr="00D44CB9" w:rsidRDefault="00F87EAC" w:rsidP="009D6B25">
            <w:pPr>
              <w:pStyle w:val="ListParagraph"/>
              <w:numPr>
                <w:ilvl w:val="0"/>
                <w:numId w:val="26"/>
              </w:numPr>
              <w:spacing w:after="60" w:line="276" w:lineRule="auto"/>
              <w:jc w:val="both"/>
              <w:rPr>
                <w:rFonts w:cs="Arial"/>
                <w:sz w:val="18"/>
                <w:szCs w:val="18"/>
              </w:rPr>
            </w:pPr>
            <w:r w:rsidRPr="00D44CB9">
              <w:rPr>
                <w:rFonts w:cs="Arial"/>
                <w:sz w:val="18"/>
                <w:szCs w:val="18"/>
                <w:lang w:val="en-US"/>
              </w:rPr>
              <w:t xml:space="preserve">Government planning and financing systems enable gender </w:t>
            </w:r>
            <w:r w:rsidR="00F763DD">
              <w:rPr>
                <w:rFonts w:cs="Arial"/>
                <w:sz w:val="18"/>
                <w:szCs w:val="18"/>
                <w:lang w:val="en-US"/>
              </w:rPr>
              <w:t>and socially</w:t>
            </w:r>
            <w:r w:rsidRPr="00D44CB9">
              <w:rPr>
                <w:rFonts w:cs="Arial"/>
                <w:sz w:val="18"/>
                <w:szCs w:val="18"/>
                <w:lang w:val="en-US"/>
              </w:rPr>
              <w:t xml:space="preserve"> inclusive risk-informed development</w:t>
            </w:r>
          </w:p>
        </w:tc>
      </w:tr>
      <w:tr w:rsidR="00F87EAC" w:rsidRPr="009A421E" w:rsidTr="00E67D7C">
        <w:trPr>
          <w:trHeight w:val="175"/>
        </w:trPr>
        <w:tc>
          <w:tcPr>
            <w:tcW w:w="1535" w:type="pct"/>
            <w:gridSpan w:val="2"/>
            <w:vMerge/>
            <w:tcBorders>
              <w:top w:val="single" w:sz="4" w:space="0" w:color="auto"/>
              <w:left w:val="single" w:sz="4" w:space="0" w:color="auto"/>
              <w:bottom w:val="single" w:sz="4" w:space="0" w:color="auto"/>
              <w:right w:val="single" w:sz="4" w:space="0" w:color="auto"/>
            </w:tcBorders>
            <w:shd w:val="clear" w:color="auto" w:fill="D9D9D9"/>
            <w:vAlign w:val="center"/>
          </w:tcPr>
          <w:p w:rsidR="00F87EAC" w:rsidRPr="009A421E" w:rsidRDefault="00F87EAC" w:rsidP="00E67D7C">
            <w:pPr>
              <w:spacing w:line="276" w:lineRule="auto"/>
              <w:rPr>
                <w:rFonts w:cs="Arial"/>
                <w:sz w:val="18"/>
                <w:szCs w:val="18"/>
              </w:rPr>
            </w:pPr>
          </w:p>
        </w:tc>
        <w:tc>
          <w:tcPr>
            <w:tcW w:w="3465" w:type="pct"/>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F87EAC" w:rsidRPr="00D44CB9" w:rsidRDefault="00F87EAC" w:rsidP="009D6B25">
            <w:pPr>
              <w:pStyle w:val="ListParagraph"/>
              <w:numPr>
                <w:ilvl w:val="0"/>
                <w:numId w:val="26"/>
              </w:numPr>
              <w:spacing w:after="60" w:line="276" w:lineRule="auto"/>
              <w:jc w:val="both"/>
              <w:rPr>
                <w:rFonts w:cs="Arial"/>
                <w:sz w:val="18"/>
                <w:szCs w:val="18"/>
              </w:rPr>
            </w:pPr>
            <w:r w:rsidRPr="00D44CB9">
              <w:rPr>
                <w:rFonts w:cs="Arial"/>
                <w:sz w:val="18"/>
                <w:szCs w:val="18"/>
                <w:lang w:val="en-US"/>
              </w:rPr>
              <w:t xml:space="preserve">Country oversight and accountability systems require gender </w:t>
            </w:r>
            <w:r w:rsidR="00F763DD">
              <w:rPr>
                <w:rFonts w:cs="Arial"/>
                <w:sz w:val="18"/>
                <w:szCs w:val="18"/>
                <w:lang w:val="en-US"/>
              </w:rPr>
              <w:t>and socially</w:t>
            </w:r>
            <w:r w:rsidRPr="00D44CB9">
              <w:rPr>
                <w:rFonts w:cs="Arial"/>
                <w:sz w:val="18"/>
                <w:szCs w:val="18"/>
                <w:lang w:val="en-US"/>
              </w:rPr>
              <w:t xml:space="preserve"> inclusive risk-informed development</w:t>
            </w:r>
          </w:p>
        </w:tc>
      </w:tr>
      <w:tr w:rsidR="00F87EAC" w:rsidRPr="009A421E" w:rsidTr="00E67D7C">
        <w:trPr>
          <w:trHeight w:val="175"/>
        </w:trPr>
        <w:tc>
          <w:tcPr>
            <w:tcW w:w="1535" w:type="pct"/>
            <w:gridSpan w:val="2"/>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F87EAC" w:rsidRPr="009A421E" w:rsidRDefault="00F87EAC" w:rsidP="00E67D7C">
            <w:pPr>
              <w:spacing w:line="276" w:lineRule="auto"/>
              <w:rPr>
                <w:rFonts w:cs="Arial"/>
                <w:sz w:val="18"/>
                <w:szCs w:val="18"/>
              </w:rPr>
            </w:pPr>
          </w:p>
        </w:tc>
        <w:tc>
          <w:tcPr>
            <w:tcW w:w="3465" w:type="pct"/>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F87EAC" w:rsidRPr="00D44CB9" w:rsidRDefault="00F87EAC" w:rsidP="009D6B25">
            <w:pPr>
              <w:pStyle w:val="ListParagraph"/>
              <w:numPr>
                <w:ilvl w:val="0"/>
                <w:numId w:val="26"/>
              </w:numPr>
              <w:spacing w:after="60" w:line="276" w:lineRule="auto"/>
              <w:jc w:val="both"/>
              <w:rPr>
                <w:rFonts w:cs="Arial"/>
                <w:sz w:val="18"/>
                <w:szCs w:val="18"/>
              </w:rPr>
            </w:pPr>
            <w:r w:rsidRPr="00D44CB9">
              <w:rPr>
                <w:rFonts w:cs="Arial"/>
                <w:sz w:val="18"/>
                <w:szCs w:val="18"/>
                <w:lang w:val="en-US"/>
              </w:rPr>
              <w:t xml:space="preserve">Regional </w:t>
            </w:r>
            <w:proofErr w:type="spellStart"/>
            <w:r w:rsidRPr="00D44CB9">
              <w:rPr>
                <w:rFonts w:cs="Arial"/>
                <w:sz w:val="18"/>
                <w:szCs w:val="18"/>
                <w:lang w:val="en-US"/>
              </w:rPr>
              <w:t>organisations</w:t>
            </w:r>
            <w:proofErr w:type="spellEnd"/>
            <w:r w:rsidRPr="00D44CB9">
              <w:rPr>
                <w:rFonts w:cs="Arial"/>
                <w:sz w:val="18"/>
                <w:szCs w:val="18"/>
                <w:lang w:val="en-US"/>
              </w:rPr>
              <w:t xml:space="preserve">, policies and practices are actively supporting gender </w:t>
            </w:r>
            <w:r w:rsidR="00F763DD">
              <w:rPr>
                <w:rFonts w:cs="Arial"/>
                <w:sz w:val="18"/>
                <w:szCs w:val="18"/>
                <w:lang w:val="en-US"/>
              </w:rPr>
              <w:t>and socially inclusive</w:t>
            </w:r>
            <w:r w:rsidRPr="00D44CB9">
              <w:rPr>
                <w:rFonts w:cs="Arial"/>
                <w:sz w:val="18"/>
                <w:szCs w:val="18"/>
                <w:lang w:val="en-US"/>
              </w:rPr>
              <w:t xml:space="preserve"> risk-informed development</w:t>
            </w:r>
          </w:p>
        </w:tc>
      </w:tr>
      <w:tr w:rsidR="00F87EAC" w:rsidRPr="009A421E" w:rsidTr="00E67D7C">
        <w:trPr>
          <w:trHeight w:val="175"/>
        </w:trPr>
        <w:tc>
          <w:tcPr>
            <w:tcW w:w="1535"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87EAC" w:rsidRPr="009A421E" w:rsidRDefault="00F87EAC" w:rsidP="00E67D7C">
            <w:pPr>
              <w:spacing w:line="276" w:lineRule="auto"/>
              <w:rPr>
                <w:rFonts w:cs="Arial"/>
                <w:sz w:val="18"/>
                <w:szCs w:val="18"/>
              </w:rPr>
            </w:pPr>
            <w:r w:rsidRPr="009A421E">
              <w:rPr>
                <w:rFonts w:cs="Arial"/>
                <w:sz w:val="18"/>
                <w:szCs w:val="18"/>
              </w:rPr>
              <w:t>Applicable Output(s) from the UNDP Strategic Plan</w:t>
            </w:r>
          </w:p>
        </w:tc>
        <w:tc>
          <w:tcPr>
            <w:tcW w:w="3465" w:type="pct"/>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F87EAC" w:rsidRPr="00D44CB9" w:rsidRDefault="00F87EAC" w:rsidP="00E67D7C">
            <w:pPr>
              <w:spacing w:line="276" w:lineRule="auto"/>
              <w:rPr>
                <w:rFonts w:cs="Arial"/>
                <w:sz w:val="18"/>
                <w:szCs w:val="18"/>
              </w:rPr>
            </w:pPr>
            <w:r w:rsidRPr="005057AA">
              <w:rPr>
                <w:rFonts w:cs="Arial"/>
                <w:sz w:val="18"/>
                <w:szCs w:val="18"/>
              </w:rPr>
              <w:t xml:space="preserve">UNDP 2018-2021 </w:t>
            </w:r>
            <w:r w:rsidRPr="00D44CB9">
              <w:rPr>
                <w:rFonts w:cs="Arial"/>
                <w:sz w:val="18"/>
                <w:szCs w:val="18"/>
              </w:rPr>
              <w:t>Outcome 2: Accelerate structural transformations for sustainable development</w:t>
            </w:r>
          </w:p>
          <w:p w:rsidR="00F87EAC" w:rsidRPr="00D44CB9" w:rsidRDefault="00F87EAC" w:rsidP="00E67D7C">
            <w:pPr>
              <w:spacing w:line="276" w:lineRule="auto"/>
              <w:rPr>
                <w:sz w:val="18"/>
                <w:szCs w:val="18"/>
              </w:rPr>
            </w:pPr>
            <w:r w:rsidRPr="005057AA">
              <w:rPr>
                <w:rFonts w:cs="Arial"/>
                <w:sz w:val="18"/>
                <w:szCs w:val="18"/>
              </w:rPr>
              <w:t xml:space="preserve">UNDP SRPD </w:t>
            </w:r>
            <w:r w:rsidRPr="00D44CB9">
              <w:rPr>
                <w:rFonts w:cs="Arial"/>
                <w:sz w:val="18"/>
                <w:szCs w:val="18"/>
              </w:rPr>
              <w:t>Outcome 1: By 2022, people and ecosystems in the Pacific are more resilient to the impacts of climate change, climate variability and disasters; and environmental protection is strengthened</w:t>
            </w:r>
          </w:p>
        </w:tc>
      </w:tr>
      <w:tr w:rsidR="00F87EAC" w:rsidRPr="009A421E" w:rsidTr="00E67D7C">
        <w:trPr>
          <w:trHeight w:val="175"/>
        </w:trPr>
        <w:tc>
          <w:tcPr>
            <w:tcW w:w="1535"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87EAC" w:rsidRPr="009A421E" w:rsidRDefault="00F87EAC" w:rsidP="00E67D7C">
            <w:pPr>
              <w:spacing w:line="276" w:lineRule="auto"/>
              <w:rPr>
                <w:rFonts w:cs="Arial"/>
                <w:sz w:val="18"/>
                <w:szCs w:val="18"/>
              </w:rPr>
            </w:pPr>
            <w:r w:rsidRPr="009A421E">
              <w:rPr>
                <w:rFonts w:cs="Arial"/>
                <w:sz w:val="18"/>
                <w:szCs w:val="18"/>
              </w:rPr>
              <w:t>Project title and Atlas Project Number</w:t>
            </w:r>
          </w:p>
        </w:tc>
        <w:tc>
          <w:tcPr>
            <w:tcW w:w="3465"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F87EAC" w:rsidRPr="009A421E" w:rsidRDefault="00F87EAC" w:rsidP="00E67D7C">
            <w:pPr>
              <w:spacing w:line="276" w:lineRule="auto"/>
              <w:rPr>
                <w:rFonts w:cs="Arial"/>
                <w:b/>
                <w:sz w:val="50"/>
                <w:szCs w:val="50"/>
              </w:rPr>
            </w:pPr>
            <w:r>
              <w:rPr>
                <w:rFonts w:cs="Arial"/>
                <w:sz w:val="18"/>
                <w:szCs w:val="18"/>
              </w:rPr>
              <w:t xml:space="preserve">Governance for Resilient Development in the </w:t>
            </w:r>
            <w:r w:rsidRPr="006E2D9C">
              <w:rPr>
                <w:rFonts w:cs="Arial"/>
                <w:sz w:val="18"/>
                <w:szCs w:val="18"/>
              </w:rPr>
              <w:t>Pacific 00110741</w:t>
            </w:r>
          </w:p>
        </w:tc>
      </w:tr>
      <w:tr w:rsidR="00F87EAC" w:rsidRPr="009A421E" w:rsidTr="00E67D7C">
        <w:trPr>
          <w:gridAfter w:val="3"/>
          <w:wAfter w:w="1090" w:type="pct"/>
          <w:trHeight w:val="175"/>
        </w:trPr>
        <w:tc>
          <w:tcPr>
            <w:tcW w:w="594" w:type="pct"/>
            <w:tcBorders>
              <w:top w:val="single" w:sz="4" w:space="0" w:color="auto"/>
              <w:left w:val="nil"/>
              <w:bottom w:val="single" w:sz="4" w:space="0" w:color="000000"/>
              <w:right w:val="nil"/>
            </w:tcBorders>
            <w:shd w:val="clear" w:color="auto" w:fill="auto"/>
            <w:noWrap/>
            <w:vAlign w:val="bottom"/>
            <w:hideMark/>
          </w:tcPr>
          <w:p w:rsidR="00F87EAC" w:rsidRDefault="00F87EAC" w:rsidP="00E67D7C">
            <w:pPr>
              <w:spacing w:line="276" w:lineRule="auto"/>
              <w:rPr>
                <w:rFonts w:cs="Arial"/>
                <w:sz w:val="18"/>
                <w:szCs w:val="18"/>
              </w:rPr>
            </w:pPr>
          </w:p>
          <w:p w:rsidR="00F87EAC" w:rsidRPr="009A421E" w:rsidRDefault="00F87EAC" w:rsidP="00E67D7C">
            <w:pPr>
              <w:spacing w:line="276" w:lineRule="auto"/>
              <w:rPr>
                <w:rFonts w:cs="Arial"/>
                <w:sz w:val="18"/>
                <w:szCs w:val="18"/>
              </w:rPr>
            </w:pPr>
          </w:p>
        </w:tc>
        <w:tc>
          <w:tcPr>
            <w:tcW w:w="941" w:type="pct"/>
            <w:tcBorders>
              <w:top w:val="single" w:sz="4" w:space="0" w:color="auto"/>
              <w:left w:val="nil"/>
              <w:bottom w:val="single" w:sz="4" w:space="0" w:color="000000"/>
              <w:right w:val="nil"/>
            </w:tcBorders>
            <w:shd w:val="clear" w:color="auto" w:fill="auto"/>
            <w:noWrap/>
            <w:vAlign w:val="bottom"/>
            <w:hideMark/>
          </w:tcPr>
          <w:p w:rsidR="00F87EAC" w:rsidRPr="009A421E" w:rsidRDefault="00F87EAC" w:rsidP="00E67D7C">
            <w:pPr>
              <w:spacing w:line="276" w:lineRule="auto"/>
              <w:rPr>
                <w:rFonts w:cs="Arial"/>
                <w:sz w:val="18"/>
                <w:szCs w:val="18"/>
              </w:rPr>
            </w:pPr>
          </w:p>
        </w:tc>
        <w:tc>
          <w:tcPr>
            <w:tcW w:w="346" w:type="pct"/>
            <w:tcBorders>
              <w:top w:val="single" w:sz="4" w:space="0" w:color="auto"/>
              <w:left w:val="nil"/>
              <w:bottom w:val="single" w:sz="4" w:space="0" w:color="000000"/>
              <w:right w:val="nil"/>
            </w:tcBorders>
            <w:shd w:val="clear" w:color="auto" w:fill="auto"/>
            <w:noWrap/>
            <w:vAlign w:val="bottom"/>
            <w:hideMark/>
          </w:tcPr>
          <w:p w:rsidR="00F87EAC" w:rsidRPr="009A421E" w:rsidRDefault="00F87EAC" w:rsidP="00E67D7C">
            <w:pPr>
              <w:spacing w:line="276" w:lineRule="auto"/>
              <w:rPr>
                <w:rFonts w:cs="Arial"/>
                <w:sz w:val="18"/>
                <w:szCs w:val="18"/>
              </w:rPr>
            </w:pPr>
          </w:p>
        </w:tc>
        <w:tc>
          <w:tcPr>
            <w:tcW w:w="346" w:type="pct"/>
            <w:tcBorders>
              <w:top w:val="single" w:sz="4" w:space="0" w:color="auto"/>
              <w:left w:val="nil"/>
              <w:bottom w:val="single" w:sz="4" w:space="0" w:color="000000"/>
              <w:right w:val="nil"/>
            </w:tcBorders>
            <w:shd w:val="clear" w:color="auto" w:fill="auto"/>
            <w:noWrap/>
            <w:vAlign w:val="bottom"/>
            <w:hideMark/>
          </w:tcPr>
          <w:p w:rsidR="00F87EAC" w:rsidRPr="009A421E" w:rsidRDefault="00F87EAC" w:rsidP="00E67D7C">
            <w:pPr>
              <w:spacing w:line="276" w:lineRule="auto"/>
              <w:rPr>
                <w:rFonts w:cs="Arial"/>
                <w:sz w:val="18"/>
                <w:szCs w:val="18"/>
              </w:rPr>
            </w:pPr>
          </w:p>
        </w:tc>
        <w:tc>
          <w:tcPr>
            <w:tcW w:w="445" w:type="pct"/>
            <w:tcBorders>
              <w:top w:val="single" w:sz="4" w:space="0" w:color="auto"/>
              <w:left w:val="nil"/>
              <w:bottom w:val="single" w:sz="4" w:space="0" w:color="000000"/>
              <w:right w:val="nil"/>
            </w:tcBorders>
            <w:shd w:val="clear" w:color="auto" w:fill="auto"/>
            <w:noWrap/>
            <w:vAlign w:val="bottom"/>
            <w:hideMark/>
          </w:tcPr>
          <w:p w:rsidR="00F87EAC" w:rsidRPr="009A421E" w:rsidRDefault="00F87EAC" w:rsidP="00E67D7C">
            <w:pPr>
              <w:spacing w:line="276" w:lineRule="auto"/>
              <w:rPr>
                <w:rFonts w:cs="Arial"/>
                <w:sz w:val="18"/>
                <w:szCs w:val="18"/>
              </w:rPr>
            </w:pPr>
          </w:p>
        </w:tc>
        <w:tc>
          <w:tcPr>
            <w:tcW w:w="346" w:type="pct"/>
            <w:tcBorders>
              <w:top w:val="single" w:sz="4" w:space="0" w:color="auto"/>
              <w:left w:val="nil"/>
              <w:bottom w:val="single" w:sz="4" w:space="0" w:color="000000"/>
              <w:right w:val="nil"/>
            </w:tcBorders>
            <w:shd w:val="clear" w:color="auto" w:fill="auto"/>
            <w:noWrap/>
            <w:vAlign w:val="bottom"/>
            <w:hideMark/>
          </w:tcPr>
          <w:p w:rsidR="00F87EAC" w:rsidRPr="009A421E" w:rsidRDefault="00F87EAC" w:rsidP="00E67D7C">
            <w:pPr>
              <w:spacing w:line="276" w:lineRule="auto"/>
              <w:rPr>
                <w:rFonts w:cs="Arial"/>
                <w:sz w:val="18"/>
                <w:szCs w:val="18"/>
              </w:rPr>
            </w:pPr>
          </w:p>
        </w:tc>
        <w:tc>
          <w:tcPr>
            <w:tcW w:w="298" w:type="pct"/>
            <w:tcBorders>
              <w:top w:val="single" w:sz="4" w:space="0" w:color="auto"/>
              <w:left w:val="nil"/>
              <w:bottom w:val="single" w:sz="4" w:space="0" w:color="000000"/>
              <w:right w:val="nil"/>
            </w:tcBorders>
            <w:shd w:val="clear" w:color="auto" w:fill="auto"/>
            <w:noWrap/>
            <w:vAlign w:val="bottom"/>
            <w:hideMark/>
          </w:tcPr>
          <w:p w:rsidR="00F87EAC" w:rsidRPr="009A421E" w:rsidRDefault="00F87EAC" w:rsidP="00E67D7C">
            <w:pPr>
              <w:spacing w:line="276" w:lineRule="auto"/>
              <w:rPr>
                <w:rFonts w:cs="Arial"/>
                <w:sz w:val="18"/>
                <w:szCs w:val="18"/>
              </w:rPr>
            </w:pPr>
          </w:p>
        </w:tc>
        <w:tc>
          <w:tcPr>
            <w:tcW w:w="594" w:type="pct"/>
            <w:tcBorders>
              <w:top w:val="single" w:sz="4" w:space="0" w:color="auto"/>
              <w:left w:val="nil"/>
              <w:bottom w:val="single" w:sz="4" w:space="0" w:color="000000"/>
              <w:right w:val="nil"/>
            </w:tcBorders>
            <w:shd w:val="clear" w:color="auto" w:fill="auto"/>
            <w:noWrap/>
            <w:vAlign w:val="bottom"/>
            <w:hideMark/>
          </w:tcPr>
          <w:p w:rsidR="00F87EAC" w:rsidRPr="009A421E" w:rsidRDefault="00F87EAC" w:rsidP="00E67D7C">
            <w:pPr>
              <w:spacing w:line="276" w:lineRule="auto"/>
              <w:rPr>
                <w:rFonts w:cs="Arial"/>
                <w:sz w:val="18"/>
                <w:szCs w:val="18"/>
              </w:rPr>
            </w:pPr>
          </w:p>
        </w:tc>
      </w:tr>
      <w:tr w:rsidR="00F87EAC" w:rsidRPr="009A421E" w:rsidTr="00E67D7C">
        <w:trPr>
          <w:trHeight w:val="415"/>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1F4E79"/>
            <w:noWrap/>
            <w:vAlign w:val="center"/>
          </w:tcPr>
          <w:p w:rsidR="00F87EAC" w:rsidRPr="009A421E" w:rsidRDefault="00F87EAC" w:rsidP="00E67D7C">
            <w:pPr>
              <w:spacing w:line="276" w:lineRule="auto"/>
              <w:rPr>
                <w:rFonts w:cs="Arial"/>
                <w:color w:val="FFFFFF"/>
                <w:sz w:val="14"/>
                <w:szCs w:val="14"/>
              </w:rPr>
            </w:pPr>
            <w:r>
              <w:rPr>
                <w:rFonts w:cs="Arial"/>
                <w:color w:val="FFFFFF"/>
                <w:sz w:val="14"/>
                <w:szCs w:val="14"/>
              </w:rPr>
              <w:t xml:space="preserve">OUTCOME </w:t>
            </w:r>
            <w:r w:rsidRPr="009A421E">
              <w:rPr>
                <w:rFonts w:cs="Arial"/>
                <w:color w:val="FFFFFF"/>
                <w:sz w:val="14"/>
                <w:szCs w:val="14"/>
              </w:rPr>
              <w:t xml:space="preserve">1:  </w:t>
            </w:r>
            <w:r w:rsidRPr="00301339">
              <w:rPr>
                <w:rFonts w:cs="Arial"/>
                <w:color w:val="FFFFFF"/>
                <w:sz w:val="14"/>
                <w:szCs w:val="14"/>
              </w:rPr>
              <w:t xml:space="preserve">Government planning and financing systems enable gender </w:t>
            </w:r>
            <w:r w:rsidR="00F763DD">
              <w:rPr>
                <w:rFonts w:cs="Arial"/>
                <w:color w:val="FFFFFF"/>
                <w:sz w:val="14"/>
                <w:szCs w:val="14"/>
              </w:rPr>
              <w:t>and socially inclusive</w:t>
            </w:r>
            <w:r w:rsidRPr="00301339">
              <w:rPr>
                <w:rFonts w:cs="Arial"/>
                <w:color w:val="FFFFFF"/>
                <w:sz w:val="14"/>
                <w:szCs w:val="14"/>
              </w:rPr>
              <w:t xml:space="preserve"> risk-informed development</w:t>
            </w:r>
          </w:p>
        </w:tc>
      </w:tr>
      <w:tr w:rsidR="00F87EAC" w:rsidRPr="009A421E" w:rsidTr="00E67D7C">
        <w:trPr>
          <w:trHeight w:val="175"/>
        </w:trPr>
        <w:tc>
          <w:tcPr>
            <w:tcW w:w="594" w:type="pct"/>
            <w:tcBorders>
              <w:top w:val="single" w:sz="4" w:space="0" w:color="000000"/>
              <w:left w:val="single" w:sz="4" w:space="0" w:color="000000"/>
              <w:bottom w:val="single" w:sz="4" w:space="0" w:color="000000"/>
              <w:right w:val="single" w:sz="4" w:space="0" w:color="000000"/>
            </w:tcBorders>
            <w:shd w:val="clear" w:color="auto" w:fill="ED7D31"/>
            <w:noWrap/>
            <w:vAlign w:val="center"/>
          </w:tcPr>
          <w:p w:rsidR="00F87EAC" w:rsidRPr="009A421E" w:rsidRDefault="00F87EAC" w:rsidP="00E67D7C">
            <w:pPr>
              <w:spacing w:line="276" w:lineRule="auto"/>
              <w:rPr>
                <w:rFonts w:cs="Arial"/>
                <w:color w:val="FFFFFF"/>
                <w:sz w:val="14"/>
                <w:szCs w:val="14"/>
              </w:rPr>
            </w:pPr>
            <w:r w:rsidRPr="009A421E">
              <w:rPr>
                <w:rFonts w:cs="Arial"/>
                <w:color w:val="FFFFFF"/>
                <w:sz w:val="14"/>
                <w:szCs w:val="14"/>
              </w:rPr>
              <w:t>Outcome 1</w:t>
            </w:r>
          </w:p>
        </w:tc>
        <w:tc>
          <w:tcPr>
            <w:tcW w:w="941" w:type="pct"/>
            <w:tcBorders>
              <w:top w:val="single" w:sz="4" w:space="0" w:color="000000"/>
              <w:left w:val="nil"/>
              <w:bottom w:val="single" w:sz="4" w:space="0" w:color="000000"/>
              <w:right w:val="single" w:sz="4" w:space="0" w:color="000000"/>
            </w:tcBorders>
            <w:shd w:val="clear" w:color="auto" w:fill="ED7D31"/>
            <w:noWrap/>
            <w:vAlign w:val="center"/>
          </w:tcPr>
          <w:p w:rsidR="00F87EAC" w:rsidRPr="009A421E" w:rsidRDefault="00F87EAC" w:rsidP="00E67D7C">
            <w:pPr>
              <w:spacing w:line="276" w:lineRule="auto"/>
              <w:rPr>
                <w:rFonts w:cs="Arial"/>
                <w:color w:val="FFFFFF"/>
                <w:sz w:val="14"/>
                <w:szCs w:val="14"/>
              </w:rPr>
            </w:pPr>
            <w:r w:rsidRPr="009A421E">
              <w:rPr>
                <w:rFonts w:cs="Arial"/>
                <w:color w:val="FFFFFF"/>
                <w:sz w:val="14"/>
                <w:szCs w:val="14"/>
              </w:rPr>
              <w:t>Indicator 1.1</w:t>
            </w:r>
          </w:p>
        </w:tc>
        <w:tc>
          <w:tcPr>
            <w:tcW w:w="346" w:type="pct"/>
            <w:tcBorders>
              <w:top w:val="single" w:sz="4" w:space="0" w:color="000000"/>
              <w:left w:val="nil"/>
              <w:bottom w:val="single" w:sz="4" w:space="0" w:color="000000"/>
              <w:right w:val="single" w:sz="4" w:space="0" w:color="000000"/>
            </w:tcBorders>
            <w:shd w:val="clear" w:color="auto" w:fill="ED7D31"/>
            <w:noWrap/>
            <w:vAlign w:val="center"/>
          </w:tcPr>
          <w:p w:rsidR="00F87EAC" w:rsidRPr="009A421E" w:rsidRDefault="00F87EAC" w:rsidP="00E67D7C">
            <w:pPr>
              <w:spacing w:line="276" w:lineRule="auto"/>
              <w:rPr>
                <w:rFonts w:cs="Arial"/>
                <w:color w:val="FFFFFF"/>
                <w:sz w:val="14"/>
                <w:szCs w:val="14"/>
              </w:rPr>
            </w:pPr>
            <w:r w:rsidRPr="009A421E">
              <w:rPr>
                <w:rFonts w:cs="Arial"/>
                <w:color w:val="FFFFFF"/>
                <w:sz w:val="14"/>
                <w:szCs w:val="14"/>
              </w:rPr>
              <w:t>Baseline*</w:t>
            </w:r>
          </w:p>
        </w:tc>
        <w:tc>
          <w:tcPr>
            <w:tcW w:w="346" w:type="pct"/>
            <w:tcBorders>
              <w:top w:val="single" w:sz="4" w:space="0" w:color="000000"/>
              <w:left w:val="nil"/>
              <w:bottom w:val="single" w:sz="4" w:space="0" w:color="000000"/>
              <w:right w:val="single" w:sz="4" w:space="0" w:color="000000"/>
            </w:tcBorders>
            <w:shd w:val="clear" w:color="auto" w:fill="ED7D31"/>
            <w:noWrap/>
            <w:vAlign w:val="center"/>
          </w:tcPr>
          <w:p w:rsidR="00F87EAC" w:rsidRPr="009A421E" w:rsidRDefault="00F87EAC" w:rsidP="00E67D7C">
            <w:pPr>
              <w:spacing w:line="276" w:lineRule="auto"/>
              <w:rPr>
                <w:rFonts w:cs="Arial"/>
                <w:color w:val="FFFFFF"/>
                <w:sz w:val="14"/>
                <w:szCs w:val="14"/>
              </w:rPr>
            </w:pPr>
            <w:r w:rsidRPr="009A421E">
              <w:rPr>
                <w:rFonts w:cs="Arial"/>
                <w:color w:val="FFFFFF"/>
                <w:sz w:val="14"/>
                <w:szCs w:val="14"/>
              </w:rPr>
              <w:t>Target**</w:t>
            </w:r>
          </w:p>
        </w:tc>
        <w:tc>
          <w:tcPr>
            <w:tcW w:w="445" w:type="pct"/>
            <w:tcBorders>
              <w:top w:val="single" w:sz="4" w:space="0" w:color="000000"/>
              <w:left w:val="nil"/>
              <w:bottom w:val="single" w:sz="4" w:space="0" w:color="000000"/>
              <w:right w:val="single" w:sz="4" w:space="0" w:color="000000"/>
            </w:tcBorders>
            <w:shd w:val="clear" w:color="auto" w:fill="ED7D31"/>
            <w:noWrap/>
            <w:vAlign w:val="center"/>
          </w:tcPr>
          <w:p w:rsidR="00F87EAC" w:rsidRPr="009A421E" w:rsidRDefault="00F87EAC" w:rsidP="00E67D7C">
            <w:pPr>
              <w:spacing w:line="276" w:lineRule="auto"/>
              <w:rPr>
                <w:rFonts w:cs="Arial"/>
                <w:color w:val="FFFFFF"/>
                <w:sz w:val="14"/>
                <w:szCs w:val="14"/>
              </w:rPr>
            </w:pPr>
            <w:r>
              <w:rPr>
                <w:rFonts w:cs="Arial"/>
                <w:color w:val="FFFFFF"/>
                <w:sz w:val="14"/>
                <w:szCs w:val="14"/>
              </w:rPr>
              <w:t>Source of data</w:t>
            </w:r>
          </w:p>
        </w:tc>
        <w:tc>
          <w:tcPr>
            <w:tcW w:w="346" w:type="pct"/>
            <w:tcBorders>
              <w:top w:val="single" w:sz="4" w:space="0" w:color="000000"/>
              <w:left w:val="nil"/>
              <w:bottom w:val="single" w:sz="4" w:space="0" w:color="000000"/>
              <w:right w:val="single" w:sz="4" w:space="0" w:color="000000"/>
            </w:tcBorders>
            <w:shd w:val="clear" w:color="auto" w:fill="ED7D31"/>
            <w:noWrap/>
            <w:vAlign w:val="center"/>
          </w:tcPr>
          <w:p w:rsidR="00F87EAC" w:rsidRPr="009A421E" w:rsidRDefault="00F87EAC" w:rsidP="00E67D7C">
            <w:pPr>
              <w:spacing w:line="276" w:lineRule="auto"/>
              <w:rPr>
                <w:rFonts w:cs="Arial"/>
                <w:color w:val="FFFFFF"/>
                <w:sz w:val="14"/>
                <w:szCs w:val="14"/>
              </w:rPr>
            </w:pPr>
            <w:r w:rsidRPr="009A421E">
              <w:rPr>
                <w:rFonts w:cs="Arial"/>
                <w:color w:val="FFFFFF"/>
                <w:sz w:val="14"/>
                <w:szCs w:val="14"/>
              </w:rPr>
              <w:t>Means of Verification</w:t>
            </w:r>
          </w:p>
        </w:tc>
        <w:tc>
          <w:tcPr>
            <w:tcW w:w="298" w:type="pct"/>
            <w:tcBorders>
              <w:top w:val="single" w:sz="4" w:space="0" w:color="000000"/>
              <w:left w:val="nil"/>
              <w:bottom w:val="single" w:sz="4" w:space="0" w:color="000000"/>
              <w:right w:val="single" w:sz="4" w:space="0" w:color="000000"/>
            </w:tcBorders>
            <w:shd w:val="clear" w:color="auto" w:fill="ED7D31"/>
            <w:noWrap/>
            <w:vAlign w:val="center"/>
          </w:tcPr>
          <w:p w:rsidR="00F87EAC" w:rsidRPr="009A421E" w:rsidRDefault="00F87EAC" w:rsidP="00E67D7C">
            <w:pPr>
              <w:spacing w:line="276" w:lineRule="auto"/>
              <w:rPr>
                <w:rFonts w:cs="Arial"/>
                <w:color w:val="FFFFFF"/>
                <w:sz w:val="14"/>
                <w:szCs w:val="14"/>
              </w:rPr>
            </w:pPr>
            <w:r w:rsidRPr="009A421E">
              <w:rPr>
                <w:rFonts w:cs="Arial"/>
                <w:color w:val="FFFFFF"/>
                <w:sz w:val="14"/>
                <w:szCs w:val="14"/>
              </w:rPr>
              <w:t>Frequency of data collection</w:t>
            </w:r>
          </w:p>
        </w:tc>
        <w:tc>
          <w:tcPr>
            <w:tcW w:w="1684" w:type="pct"/>
            <w:gridSpan w:val="4"/>
            <w:vMerge w:val="restart"/>
            <w:tcBorders>
              <w:top w:val="single" w:sz="4" w:space="0" w:color="000000"/>
              <w:left w:val="single" w:sz="4" w:space="0" w:color="000000"/>
              <w:right w:val="single" w:sz="4" w:space="0" w:color="000000"/>
            </w:tcBorders>
            <w:shd w:val="clear" w:color="auto" w:fill="FFFFFF"/>
            <w:noWrap/>
            <w:vAlign w:val="center"/>
          </w:tcPr>
          <w:p w:rsidR="00F87EAC" w:rsidRPr="009A421E" w:rsidRDefault="00F87EAC" w:rsidP="00E67D7C">
            <w:pPr>
              <w:spacing w:line="276" w:lineRule="auto"/>
              <w:jc w:val="center"/>
              <w:rPr>
                <w:rFonts w:cs="Arial"/>
                <w:sz w:val="14"/>
                <w:szCs w:val="14"/>
              </w:rPr>
            </w:pPr>
            <w:r>
              <w:rPr>
                <w:rFonts w:cs="Arial"/>
                <w:sz w:val="14"/>
                <w:szCs w:val="14"/>
              </w:rPr>
              <w:t>Activities</w:t>
            </w:r>
          </w:p>
        </w:tc>
      </w:tr>
      <w:tr w:rsidR="00F87EAC" w:rsidRPr="009A421E" w:rsidTr="00E67D7C">
        <w:trPr>
          <w:trHeight w:val="175"/>
        </w:trPr>
        <w:tc>
          <w:tcPr>
            <w:tcW w:w="59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7EAC" w:rsidRPr="004F1073" w:rsidRDefault="00F87EAC" w:rsidP="00E67D7C">
            <w:pPr>
              <w:spacing w:line="276" w:lineRule="auto"/>
              <w:rPr>
                <w:rFonts w:cs="Calibri"/>
                <w:bCs/>
                <w:kern w:val="24"/>
                <w:sz w:val="14"/>
                <w:szCs w:val="14"/>
                <w:lang w:val="en-US"/>
              </w:rPr>
            </w:pPr>
            <w:r w:rsidRPr="004F1073">
              <w:rPr>
                <w:rFonts w:cs="Calibri"/>
                <w:bCs/>
                <w:kern w:val="24"/>
                <w:sz w:val="14"/>
                <w:szCs w:val="14"/>
                <w:lang w:val="en-US"/>
              </w:rPr>
              <w:t>Government planning and financing systems enable gender and</w:t>
            </w:r>
            <w:r w:rsidR="006E2D9C">
              <w:rPr>
                <w:rFonts w:cs="Calibri"/>
                <w:bCs/>
                <w:kern w:val="24"/>
                <w:sz w:val="14"/>
                <w:szCs w:val="14"/>
                <w:lang w:val="en-US"/>
              </w:rPr>
              <w:t xml:space="preserve"> socially</w:t>
            </w:r>
            <w:r w:rsidRPr="004F1073">
              <w:rPr>
                <w:rFonts w:cs="Calibri"/>
                <w:bCs/>
                <w:kern w:val="24"/>
                <w:sz w:val="14"/>
                <w:szCs w:val="14"/>
                <w:lang w:val="en-US"/>
              </w:rPr>
              <w:t xml:space="preserve"> inclusive risk-informed development</w:t>
            </w:r>
          </w:p>
        </w:tc>
        <w:tc>
          <w:tcPr>
            <w:tcW w:w="941" w:type="pct"/>
            <w:tcBorders>
              <w:top w:val="single" w:sz="4" w:space="0" w:color="000000"/>
              <w:left w:val="nil"/>
              <w:bottom w:val="single" w:sz="4" w:space="0" w:color="000000"/>
              <w:right w:val="single" w:sz="4" w:space="0" w:color="000000"/>
            </w:tcBorders>
            <w:shd w:val="clear" w:color="auto" w:fill="FFFFFF"/>
            <w:noWrap/>
            <w:vAlign w:val="center"/>
          </w:tcPr>
          <w:p w:rsidR="00F87EAC" w:rsidRPr="00EE69A2" w:rsidRDefault="00F87EAC" w:rsidP="00E67D7C">
            <w:pPr>
              <w:rPr>
                <w:rFonts w:cs="Calibri"/>
                <w:bCs/>
                <w:kern w:val="24"/>
                <w:sz w:val="14"/>
                <w:szCs w:val="14"/>
                <w:lang w:val="en-US"/>
              </w:rPr>
            </w:pPr>
            <w:r w:rsidRPr="00EE69A2">
              <w:rPr>
                <w:rFonts w:cs="Calibri"/>
                <w:bCs/>
                <w:kern w:val="24"/>
                <w:sz w:val="14"/>
                <w:szCs w:val="14"/>
                <w:lang w:val="en-US"/>
              </w:rPr>
              <w:t>Increase in (adapted) CCBII++ score</w:t>
            </w:r>
          </w:p>
          <w:p w:rsidR="00F87EAC" w:rsidRPr="00EE69A2" w:rsidRDefault="00F87EAC" w:rsidP="00E67D7C">
            <w:pPr>
              <w:rPr>
                <w:rFonts w:cs="Calibri"/>
                <w:bCs/>
                <w:kern w:val="24"/>
                <w:sz w:val="14"/>
                <w:szCs w:val="14"/>
                <w:lang w:val="en-US"/>
              </w:rPr>
            </w:pPr>
            <w:r w:rsidRPr="00EE69A2">
              <w:rPr>
                <w:rFonts w:cs="Calibri"/>
                <w:bCs/>
                <w:kern w:val="24"/>
                <w:sz w:val="14"/>
                <w:szCs w:val="14"/>
                <w:lang w:val="en-US"/>
              </w:rPr>
              <w:t xml:space="preserve">Progress towards sustained political economy change </w:t>
            </w:r>
          </w:p>
          <w:p w:rsidR="00F87EAC" w:rsidRPr="009A421E" w:rsidRDefault="00F87EAC" w:rsidP="00E67D7C">
            <w:pPr>
              <w:spacing w:line="276" w:lineRule="auto"/>
              <w:rPr>
                <w:rFonts w:cs="Arial"/>
                <w:sz w:val="14"/>
                <w:szCs w:val="14"/>
              </w:rPr>
            </w:pPr>
          </w:p>
        </w:tc>
        <w:tc>
          <w:tcPr>
            <w:tcW w:w="346"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Pr>
                <w:rFonts w:cs="Arial"/>
                <w:sz w:val="14"/>
                <w:szCs w:val="14"/>
              </w:rPr>
              <w:t>BASIC: government planning and financing systems consistently do not consider GSI RID</w:t>
            </w:r>
          </w:p>
        </w:tc>
        <w:tc>
          <w:tcPr>
            <w:tcW w:w="346"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Pr>
                <w:rFonts w:cs="Arial"/>
                <w:sz w:val="14"/>
                <w:szCs w:val="14"/>
              </w:rPr>
              <w:t xml:space="preserve">INTERMEDIATE: Increase in CCBII++ score </w:t>
            </w:r>
          </w:p>
        </w:tc>
        <w:tc>
          <w:tcPr>
            <w:tcW w:w="445" w:type="pct"/>
            <w:tcBorders>
              <w:top w:val="single" w:sz="4" w:space="0" w:color="000000"/>
              <w:left w:val="nil"/>
              <w:bottom w:val="single" w:sz="4" w:space="0" w:color="000000"/>
              <w:right w:val="single" w:sz="4" w:space="0" w:color="000000"/>
            </w:tcBorders>
            <w:shd w:val="clear" w:color="auto" w:fill="FFFFFF"/>
            <w:noWrap/>
            <w:vAlign w:val="center"/>
          </w:tcPr>
          <w:p w:rsidR="00F87EAC" w:rsidRPr="00EE69A2" w:rsidRDefault="00F87EAC" w:rsidP="00E67D7C">
            <w:pPr>
              <w:rPr>
                <w:rFonts w:cs="Calibri"/>
                <w:bCs/>
                <w:kern w:val="24"/>
                <w:sz w:val="14"/>
                <w:szCs w:val="14"/>
                <w:lang w:val="en-US"/>
              </w:rPr>
            </w:pPr>
            <w:r w:rsidRPr="00EE69A2">
              <w:rPr>
                <w:rFonts w:cs="Calibri"/>
                <w:bCs/>
                <w:kern w:val="24"/>
                <w:sz w:val="14"/>
                <w:szCs w:val="14"/>
                <w:lang w:val="en-US"/>
              </w:rPr>
              <w:t>CCBII index (as adapted to include gender and social inclusion)</w:t>
            </w:r>
          </w:p>
          <w:p w:rsidR="00F87EAC" w:rsidRPr="009A421E" w:rsidRDefault="00F87EAC" w:rsidP="00E67D7C">
            <w:pPr>
              <w:rPr>
                <w:rFonts w:cs="Arial"/>
                <w:sz w:val="14"/>
                <w:szCs w:val="14"/>
              </w:rPr>
            </w:pPr>
            <w:r w:rsidRPr="00EE69A2">
              <w:rPr>
                <w:rFonts w:cs="Calibri"/>
                <w:bCs/>
                <w:kern w:val="24"/>
                <w:sz w:val="14"/>
                <w:szCs w:val="14"/>
                <w:lang w:val="en-US"/>
              </w:rPr>
              <w:t>Program rubric representing anticipated stages of political economy progress</w:t>
            </w:r>
          </w:p>
        </w:tc>
        <w:tc>
          <w:tcPr>
            <w:tcW w:w="346" w:type="pct"/>
            <w:tcBorders>
              <w:top w:val="single" w:sz="4" w:space="0" w:color="000000"/>
              <w:left w:val="nil"/>
              <w:bottom w:val="single" w:sz="4" w:space="0" w:color="000000"/>
              <w:right w:val="single" w:sz="4" w:space="0" w:color="000000"/>
            </w:tcBorders>
            <w:shd w:val="clear" w:color="auto" w:fill="FFFFFF"/>
            <w:noWrap/>
            <w:vAlign w:val="center"/>
          </w:tcPr>
          <w:p w:rsidR="00F87EAC" w:rsidRPr="00EE69A2" w:rsidRDefault="00F87EAC" w:rsidP="00E67D7C">
            <w:pPr>
              <w:rPr>
                <w:rFonts w:cs="Calibri"/>
                <w:bCs/>
                <w:kern w:val="24"/>
                <w:sz w:val="14"/>
                <w:szCs w:val="14"/>
                <w:lang w:val="en-US"/>
              </w:rPr>
            </w:pPr>
            <w:r w:rsidRPr="00EE69A2">
              <w:rPr>
                <w:rFonts w:cs="Calibri"/>
                <w:bCs/>
                <w:kern w:val="24"/>
                <w:sz w:val="14"/>
                <w:szCs w:val="14"/>
                <w:lang w:val="en-US"/>
              </w:rPr>
              <w:t>baseline and annual assessments.</w:t>
            </w:r>
          </w:p>
          <w:p w:rsidR="00F87EAC" w:rsidRPr="00EE69A2" w:rsidRDefault="00F87EAC" w:rsidP="00E67D7C">
            <w:pPr>
              <w:rPr>
                <w:rFonts w:cs="Calibri"/>
                <w:bCs/>
                <w:kern w:val="24"/>
                <w:sz w:val="14"/>
                <w:szCs w:val="14"/>
                <w:lang w:val="en-US"/>
              </w:rPr>
            </w:pPr>
          </w:p>
          <w:p w:rsidR="00F87EAC" w:rsidRPr="00EE69A2" w:rsidRDefault="00F87EAC" w:rsidP="00E67D7C">
            <w:pPr>
              <w:rPr>
                <w:rFonts w:cs="Calibri"/>
                <w:bCs/>
                <w:kern w:val="24"/>
                <w:sz w:val="14"/>
                <w:szCs w:val="14"/>
                <w:lang w:val="en-US"/>
              </w:rPr>
            </w:pPr>
            <w:r w:rsidRPr="00EE69A2">
              <w:rPr>
                <w:rFonts w:cs="Calibri"/>
                <w:bCs/>
                <w:kern w:val="24"/>
                <w:sz w:val="14"/>
                <w:szCs w:val="14"/>
                <w:lang w:val="en-US"/>
              </w:rPr>
              <w:t xml:space="preserve">Rubric baseline and annual assessment </w:t>
            </w:r>
          </w:p>
          <w:p w:rsidR="00F87EAC" w:rsidRPr="00EE69A2" w:rsidRDefault="00F87EAC" w:rsidP="00E67D7C">
            <w:pPr>
              <w:rPr>
                <w:rFonts w:cs="Calibri"/>
                <w:bCs/>
                <w:kern w:val="24"/>
                <w:sz w:val="14"/>
                <w:szCs w:val="14"/>
                <w:lang w:val="en-US"/>
              </w:rPr>
            </w:pPr>
          </w:p>
          <w:p w:rsidR="00F87EAC" w:rsidRPr="009A421E" w:rsidRDefault="00F87EAC" w:rsidP="00E67D7C">
            <w:pPr>
              <w:spacing w:line="276" w:lineRule="auto"/>
              <w:rPr>
                <w:rFonts w:cs="Arial"/>
                <w:sz w:val="14"/>
                <w:szCs w:val="14"/>
              </w:rPr>
            </w:pPr>
            <w:r w:rsidRPr="00EE69A2">
              <w:rPr>
                <w:rFonts w:cs="Calibri"/>
                <w:bCs/>
                <w:kern w:val="24"/>
                <w:sz w:val="14"/>
                <w:szCs w:val="14"/>
                <w:lang w:val="en-US"/>
              </w:rPr>
              <w:t>Stakeholder interviews</w:t>
            </w:r>
          </w:p>
        </w:tc>
        <w:tc>
          <w:tcPr>
            <w:tcW w:w="298"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Pr>
                <w:rFonts w:cs="Arial"/>
                <w:sz w:val="14"/>
                <w:szCs w:val="14"/>
              </w:rPr>
              <w:t>Annually</w:t>
            </w:r>
          </w:p>
        </w:tc>
        <w:tc>
          <w:tcPr>
            <w:tcW w:w="1684" w:type="pct"/>
            <w:gridSpan w:val="4"/>
            <w:vMerge/>
            <w:tcBorders>
              <w:left w:val="single" w:sz="4" w:space="0" w:color="000000"/>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p>
        </w:tc>
      </w:tr>
      <w:tr w:rsidR="00F87EAC" w:rsidRPr="009A421E" w:rsidTr="00E67D7C">
        <w:trPr>
          <w:trHeight w:val="171"/>
        </w:trPr>
        <w:tc>
          <w:tcPr>
            <w:tcW w:w="594" w:type="pct"/>
            <w:tcBorders>
              <w:top w:val="single" w:sz="4" w:space="0" w:color="000000"/>
              <w:left w:val="single" w:sz="4" w:space="0" w:color="000000"/>
              <w:bottom w:val="single" w:sz="4" w:space="0" w:color="000000"/>
              <w:right w:val="single" w:sz="4" w:space="0" w:color="000000"/>
            </w:tcBorders>
            <w:shd w:val="clear" w:color="auto" w:fill="D9D9D9"/>
            <w:noWrap/>
            <w:vAlign w:val="center"/>
          </w:tcPr>
          <w:p w:rsidR="00F87EAC" w:rsidRPr="009A421E" w:rsidRDefault="00F87EAC" w:rsidP="00E67D7C">
            <w:pPr>
              <w:spacing w:line="276" w:lineRule="auto"/>
              <w:rPr>
                <w:rFonts w:cs="Arial"/>
                <w:sz w:val="14"/>
                <w:szCs w:val="14"/>
              </w:rPr>
            </w:pPr>
            <w:r w:rsidRPr="009A421E">
              <w:rPr>
                <w:rFonts w:cs="Arial"/>
                <w:sz w:val="14"/>
                <w:szCs w:val="14"/>
              </w:rPr>
              <w:t>Output 1.</w:t>
            </w:r>
            <w:r>
              <w:rPr>
                <w:rFonts w:cs="Arial"/>
                <w:sz w:val="14"/>
                <w:szCs w:val="14"/>
              </w:rPr>
              <w:t>1</w:t>
            </w:r>
          </w:p>
        </w:tc>
        <w:tc>
          <w:tcPr>
            <w:tcW w:w="941" w:type="pct"/>
            <w:tcBorders>
              <w:top w:val="single" w:sz="4" w:space="0" w:color="000000"/>
              <w:left w:val="nil"/>
              <w:bottom w:val="single" w:sz="4" w:space="0" w:color="000000"/>
              <w:right w:val="single" w:sz="4" w:space="0" w:color="000000"/>
            </w:tcBorders>
            <w:shd w:val="clear" w:color="auto" w:fill="D9D9D9"/>
            <w:noWrap/>
            <w:vAlign w:val="center"/>
          </w:tcPr>
          <w:p w:rsidR="00F87EAC" w:rsidRPr="009A421E" w:rsidRDefault="00F87EAC" w:rsidP="00E67D7C">
            <w:pPr>
              <w:spacing w:line="276" w:lineRule="auto"/>
              <w:rPr>
                <w:rFonts w:cs="Arial"/>
                <w:sz w:val="14"/>
                <w:szCs w:val="14"/>
              </w:rPr>
            </w:pPr>
            <w:r w:rsidRPr="009A421E">
              <w:rPr>
                <w:rFonts w:cs="Arial"/>
                <w:sz w:val="14"/>
                <w:szCs w:val="14"/>
              </w:rPr>
              <w:t xml:space="preserve">Indicator </w:t>
            </w:r>
            <w:r>
              <w:rPr>
                <w:rFonts w:cs="Arial"/>
                <w:sz w:val="14"/>
                <w:szCs w:val="14"/>
              </w:rPr>
              <w:t>1.1.1</w:t>
            </w:r>
          </w:p>
        </w:tc>
        <w:tc>
          <w:tcPr>
            <w:tcW w:w="346" w:type="pct"/>
            <w:tcBorders>
              <w:top w:val="single" w:sz="4" w:space="0" w:color="000000"/>
              <w:left w:val="nil"/>
              <w:bottom w:val="single" w:sz="4" w:space="0" w:color="000000"/>
              <w:right w:val="single" w:sz="4" w:space="0" w:color="000000"/>
            </w:tcBorders>
            <w:shd w:val="clear" w:color="auto" w:fill="D9D9D9"/>
            <w:noWrap/>
            <w:vAlign w:val="center"/>
          </w:tcPr>
          <w:p w:rsidR="00F87EAC" w:rsidRPr="009A421E" w:rsidRDefault="00F87EAC" w:rsidP="00E67D7C">
            <w:pPr>
              <w:spacing w:line="276" w:lineRule="auto"/>
              <w:rPr>
                <w:rFonts w:cs="Arial"/>
                <w:sz w:val="14"/>
                <w:szCs w:val="14"/>
              </w:rPr>
            </w:pPr>
            <w:r w:rsidRPr="009A421E">
              <w:rPr>
                <w:rFonts w:cs="Arial"/>
                <w:sz w:val="14"/>
                <w:szCs w:val="14"/>
              </w:rPr>
              <w:t>Baseline</w:t>
            </w:r>
            <w:r>
              <w:rPr>
                <w:rFonts w:cs="Arial"/>
                <w:sz w:val="14"/>
                <w:szCs w:val="14"/>
              </w:rPr>
              <w:t xml:space="preserve"> (=0)</w:t>
            </w:r>
          </w:p>
        </w:tc>
        <w:tc>
          <w:tcPr>
            <w:tcW w:w="346" w:type="pct"/>
            <w:tcBorders>
              <w:top w:val="single" w:sz="4" w:space="0" w:color="000000"/>
              <w:left w:val="nil"/>
              <w:bottom w:val="single" w:sz="4" w:space="0" w:color="000000"/>
              <w:right w:val="single" w:sz="4" w:space="0" w:color="000000"/>
            </w:tcBorders>
            <w:shd w:val="clear" w:color="auto" w:fill="D9D9D9"/>
            <w:noWrap/>
            <w:vAlign w:val="center"/>
          </w:tcPr>
          <w:p w:rsidR="00F87EAC" w:rsidRPr="009A421E" w:rsidRDefault="00F87EAC" w:rsidP="00E67D7C">
            <w:pPr>
              <w:spacing w:line="276" w:lineRule="auto"/>
              <w:rPr>
                <w:rFonts w:cs="Arial"/>
                <w:sz w:val="14"/>
                <w:szCs w:val="14"/>
              </w:rPr>
            </w:pPr>
            <w:r w:rsidRPr="009A421E">
              <w:rPr>
                <w:rFonts w:cs="Arial"/>
                <w:sz w:val="14"/>
                <w:szCs w:val="14"/>
              </w:rPr>
              <w:t>Target</w:t>
            </w:r>
          </w:p>
        </w:tc>
        <w:tc>
          <w:tcPr>
            <w:tcW w:w="445" w:type="pct"/>
            <w:tcBorders>
              <w:top w:val="single" w:sz="4" w:space="0" w:color="000000"/>
              <w:left w:val="nil"/>
              <w:bottom w:val="single" w:sz="4" w:space="0" w:color="000000"/>
              <w:right w:val="single" w:sz="4" w:space="0" w:color="000000"/>
            </w:tcBorders>
            <w:shd w:val="clear" w:color="auto" w:fill="D9D9D9"/>
            <w:noWrap/>
            <w:vAlign w:val="center"/>
          </w:tcPr>
          <w:p w:rsidR="00F87EAC" w:rsidRPr="009A421E" w:rsidRDefault="00F87EAC" w:rsidP="00E67D7C">
            <w:pPr>
              <w:spacing w:line="276" w:lineRule="auto"/>
              <w:rPr>
                <w:rFonts w:cs="Arial"/>
                <w:sz w:val="14"/>
                <w:szCs w:val="14"/>
              </w:rPr>
            </w:pPr>
            <w:r>
              <w:rPr>
                <w:rFonts w:cs="Arial"/>
                <w:sz w:val="14"/>
                <w:szCs w:val="14"/>
              </w:rPr>
              <w:t>Source of data</w:t>
            </w:r>
          </w:p>
        </w:tc>
        <w:tc>
          <w:tcPr>
            <w:tcW w:w="346" w:type="pct"/>
            <w:tcBorders>
              <w:top w:val="single" w:sz="4" w:space="0" w:color="000000"/>
              <w:left w:val="nil"/>
              <w:bottom w:val="single" w:sz="4" w:space="0" w:color="000000"/>
              <w:right w:val="single" w:sz="4" w:space="0" w:color="000000"/>
            </w:tcBorders>
            <w:shd w:val="clear" w:color="auto" w:fill="D9D9D9"/>
            <w:noWrap/>
            <w:vAlign w:val="center"/>
          </w:tcPr>
          <w:p w:rsidR="00F87EAC" w:rsidRPr="009A421E" w:rsidRDefault="00F87EAC" w:rsidP="00E67D7C">
            <w:pPr>
              <w:spacing w:line="276" w:lineRule="auto"/>
              <w:rPr>
                <w:rFonts w:cs="Arial"/>
                <w:sz w:val="14"/>
                <w:szCs w:val="14"/>
              </w:rPr>
            </w:pPr>
            <w:r w:rsidRPr="009A421E">
              <w:rPr>
                <w:rFonts w:cs="Arial"/>
                <w:sz w:val="14"/>
                <w:szCs w:val="14"/>
              </w:rPr>
              <w:t>Means of Verification</w:t>
            </w:r>
          </w:p>
        </w:tc>
        <w:tc>
          <w:tcPr>
            <w:tcW w:w="298" w:type="pct"/>
            <w:tcBorders>
              <w:top w:val="single" w:sz="4" w:space="0" w:color="000000"/>
              <w:left w:val="nil"/>
              <w:bottom w:val="single" w:sz="4" w:space="0" w:color="000000"/>
              <w:right w:val="single" w:sz="4" w:space="0" w:color="000000"/>
            </w:tcBorders>
            <w:shd w:val="clear" w:color="auto" w:fill="D9D9D9"/>
            <w:noWrap/>
            <w:vAlign w:val="center"/>
          </w:tcPr>
          <w:p w:rsidR="00F87EAC" w:rsidRPr="009A421E" w:rsidRDefault="00F87EAC" w:rsidP="00E67D7C">
            <w:pPr>
              <w:spacing w:line="276" w:lineRule="auto"/>
              <w:rPr>
                <w:rFonts w:cs="Arial"/>
                <w:sz w:val="14"/>
                <w:szCs w:val="14"/>
              </w:rPr>
            </w:pPr>
            <w:r w:rsidRPr="009A421E">
              <w:rPr>
                <w:rFonts w:cs="Arial"/>
                <w:sz w:val="14"/>
                <w:szCs w:val="14"/>
              </w:rPr>
              <w:t>Frequency of data collection</w:t>
            </w:r>
          </w:p>
        </w:tc>
        <w:tc>
          <w:tcPr>
            <w:tcW w:w="594" w:type="pct"/>
            <w:tcBorders>
              <w:top w:val="single" w:sz="4" w:space="0" w:color="000000"/>
              <w:left w:val="single" w:sz="4" w:space="0" w:color="000000"/>
              <w:bottom w:val="single" w:sz="4" w:space="0" w:color="000000"/>
              <w:right w:val="single" w:sz="4" w:space="0" w:color="000000"/>
            </w:tcBorders>
            <w:shd w:val="clear" w:color="auto" w:fill="D9D9D9"/>
            <w:noWrap/>
            <w:vAlign w:val="center"/>
          </w:tcPr>
          <w:p w:rsidR="00F87EAC" w:rsidRPr="009A421E" w:rsidRDefault="00F87EAC" w:rsidP="00E67D7C">
            <w:pPr>
              <w:spacing w:line="276" w:lineRule="auto"/>
              <w:rPr>
                <w:rFonts w:cs="Arial"/>
                <w:sz w:val="14"/>
                <w:szCs w:val="14"/>
              </w:rPr>
            </w:pPr>
            <w:r w:rsidRPr="009A421E">
              <w:rPr>
                <w:rFonts w:cs="Arial"/>
                <w:sz w:val="14"/>
                <w:szCs w:val="14"/>
              </w:rPr>
              <w:t>Activity 1.</w:t>
            </w:r>
            <w:r>
              <w:rPr>
                <w:rFonts w:cs="Arial"/>
                <w:sz w:val="14"/>
                <w:szCs w:val="14"/>
              </w:rPr>
              <w:t>1.1</w:t>
            </w:r>
          </w:p>
        </w:tc>
        <w:tc>
          <w:tcPr>
            <w:tcW w:w="396"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F87EAC" w:rsidRPr="009A421E" w:rsidRDefault="00F87EAC" w:rsidP="00E67D7C">
            <w:pPr>
              <w:spacing w:line="276" w:lineRule="auto"/>
              <w:rPr>
                <w:rFonts w:cs="Arial"/>
                <w:sz w:val="14"/>
                <w:szCs w:val="14"/>
              </w:rPr>
            </w:pPr>
            <w:r w:rsidRPr="009A421E">
              <w:rPr>
                <w:rFonts w:cs="Arial"/>
                <w:sz w:val="14"/>
                <w:szCs w:val="14"/>
              </w:rPr>
              <w:t>Responsible Party</w:t>
            </w:r>
          </w:p>
        </w:tc>
        <w:tc>
          <w:tcPr>
            <w:tcW w:w="298"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F87EAC" w:rsidRPr="009A421E" w:rsidRDefault="00F87EAC" w:rsidP="00E67D7C">
            <w:pPr>
              <w:spacing w:line="276" w:lineRule="auto"/>
              <w:rPr>
                <w:rFonts w:cs="Arial"/>
                <w:sz w:val="14"/>
                <w:szCs w:val="14"/>
              </w:rPr>
            </w:pPr>
            <w:r w:rsidRPr="009A421E">
              <w:rPr>
                <w:rFonts w:cs="Arial"/>
                <w:sz w:val="14"/>
                <w:szCs w:val="14"/>
              </w:rPr>
              <w:t>Planned Target (20</w:t>
            </w:r>
            <w:r>
              <w:rPr>
                <w:rFonts w:cs="Arial"/>
                <w:sz w:val="14"/>
                <w:szCs w:val="14"/>
              </w:rPr>
              <w:t>20</w:t>
            </w:r>
            <w:r w:rsidRPr="009A421E">
              <w:rPr>
                <w:rFonts w:cs="Arial"/>
                <w:sz w:val="14"/>
                <w:szCs w:val="14"/>
              </w:rPr>
              <w:t>)</w:t>
            </w:r>
          </w:p>
        </w:tc>
        <w:tc>
          <w:tcPr>
            <w:tcW w:w="396"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F87EAC" w:rsidRPr="009A421E" w:rsidRDefault="00F87EAC" w:rsidP="00E67D7C">
            <w:pPr>
              <w:spacing w:line="276" w:lineRule="auto"/>
              <w:rPr>
                <w:rFonts w:cs="Arial"/>
                <w:sz w:val="14"/>
                <w:szCs w:val="14"/>
              </w:rPr>
            </w:pPr>
            <w:r>
              <w:rPr>
                <w:rFonts w:cs="Arial"/>
                <w:sz w:val="14"/>
                <w:szCs w:val="14"/>
              </w:rPr>
              <w:t>Assumption</w:t>
            </w:r>
          </w:p>
        </w:tc>
      </w:tr>
      <w:tr w:rsidR="00F87EAC" w:rsidRPr="009A421E" w:rsidTr="00E67D7C">
        <w:trPr>
          <w:trHeight w:val="175"/>
        </w:trPr>
        <w:tc>
          <w:tcPr>
            <w:tcW w:w="594" w:type="pct"/>
            <w:vMerge w:val="restart"/>
            <w:tcBorders>
              <w:top w:val="single" w:sz="4" w:space="0" w:color="000000"/>
              <w:left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sidRPr="005057AA">
              <w:rPr>
                <w:rFonts w:cs="Calibri"/>
                <w:bCs/>
                <w:kern w:val="24"/>
                <w:sz w:val="14"/>
                <w:szCs w:val="14"/>
                <w:lang w:val="en-US"/>
              </w:rPr>
              <w:t xml:space="preserve">GS&amp;I RID is integrated into </w:t>
            </w:r>
            <w:r>
              <w:rPr>
                <w:rFonts w:cs="Calibri"/>
                <w:bCs/>
                <w:kern w:val="24"/>
                <w:sz w:val="14"/>
                <w:szCs w:val="14"/>
                <w:lang w:val="en-US"/>
              </w:rPr>
              <w:t>government</w:t>
            </w:r>
            <w:r w:rsidRPr="005057AA">
              <w:rPr>
                <w:rFonts w:cs="Calibri"/>
                <w:bCs/>
                <w:kern w:val="24"/>
                <w:sz w:val="14"/>
                <w:szCs w:val="14"/>
                <w:lang w:val="en-US"/>
              </w:rPr>
              <w:t xml:space="preserve"> systems of policy, planning, budgeting and M&amp;E</w:t>
            </w:r>
          </w:p>
        </w:tc>
        <w:tc>
          <w:tcPr>
            <w:tcW w:w="941"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sidRPr="005057AA">
              <w:rPr>
                <w:rFonts w:cs="Calibri"/>
                <w:bCs/>
                <w:sz w:val="14"/>
                <w:szCs w:val="14"/>
              </w:rPr>
              <w:t>Numbers of national</w:t>
            </w:r>
            <w:r>
              <w:rPr>
                <w:rFonts w:cs="Calibri"/>
                <w:bCs/>
                <w:sz w:val="14"/>
                <w:szCs w:val="14"/>
              </w:rPr>
              <w:t>ly endorsed tools, guidelines and checklists</w:t>
            </w:r>
            <w:r w:rsidRPr="005057AA">
              <w:rPr>
                <w:rFonts w:cs="Calibri"/>
                <w:bCs/>
                <w:sz w:val="14"/>
                <w:szCs w:val="14"/>
              </w:rPr>
              <w:t xml:space="preserve"> </w:t>
            </w:r>
            <w:r>
              <w:rPr>
                <w:rFonts w:cs="Calibri"/>
                <w:bCs/>
                <w:sz w:val="14"/>
                <w:szCs w:val="14"/>
              </w:rPr>
              <w:t>that</w:t>
            </w:r>
            <w:r w:rsidRPr="005057AA">
              <w:rPr>
                <w:rFonts w:cs="Calibri"/>
                <w:bCs/>
                <w:sz w:val="14"/>
                <w:szCs w:val="14"/>
              </w:rPr>
              <w:t xml:space="preserve"> integrat</w:t>
            </w:r>
            <w:r>
              <w:rPr>
                <w:rFonts w:cs="Calibri"/>
                <w:bCs/>
                <w:sz w:val="14"/>
                <w:szCs w:val="14"/>
              </w:rPr>
              <w:t>e or support</w:t>
            </w:r>
            <w:r w:rsidRPr="005057AA">
              <w:rPr>
                <w:rFonts w:cs="Calibri"/>
                <w:bCs/>
                <w:sz w:val="14"/>
                <w:szCs w:val="14"/>
              </w:rPr>
              <w:t xml:space="preserve"> GS&amp;I CC&amp;D risk</w:t>
            </w:r>
            <w:r>
              <w:rPr>
                <w:rFonts w:cs="Calibri"/>
                <w:bCs/>
                <w:sz w:val="14"/>
                <w:szCs w:val="14"/>
              </w:rPr>
              <w:t xml:space="preserve"> management</w:t>
            </w:r>
          </w:p>
        </w:tc>
        <w:tc>
          <w:tcPr>
            <w:tcW w:w="346"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before="80" w:after="80"/>
              <w:rPr>
                <w:rFonts w:cs="Arial"/>
                <w:sz w:val="14"/>
                <w:szCs w:val="14"/>
              </w:rPr>
            </w:pPr>
            <w:r>
              <w:rPr>
                <w:rFonts w:cs="Arial"/>
                <w:sz w:val="14"/>
                <w:szCs w:val="14"/>
              </w:rPr>
              <w:t>P</w:t>
            </w:r>
            <w:r w:rsidRPr="005057AA">
              <w:rPr>
                <w:rFonts w:cs="Arial"/>
                <w:sz w:val="14"/>
                <w:szCs w:val="14"/>
              </w:rPr>
              <w:t xml:space="preserve">lanning tools and guidelines at all levels </w:t>
            </w:r>
            <w:r>
              <w:rPr>
                <w:rFonts w:cs="Arial"/>
                <w:sz w:val="14"/>
                <w:szCs w:val="14"/>
              </w:rPr>
              <w:t>do not</w:t>
            </w:r>
            <w:r w:rsidRPr="005057AA">
              <w:rPr>
                <w:rFonts w:cs="Arial"/>
                <w:sz w:val="14"/>
                <w:szCs w:val="14"/>
              </w:rPr>
              <w:t xml:space="preserve"> consider RID</w:t>
            </w:r>
          </w:p>
        </w:tc>
        <w:tc>
          <w:tcPr>
            <w:tcW w:w="346" w:type="pct"/>
            <w:vMerge w:val="restart"/>
            <w:tcBorders>
              <w:top w:val="single" w:sz="4" w:space="0" w:color="000000"/>
              <w:left w:val="nil"/>
              <w:right w:val="single" w:sz="4" w:space="0" w:color="000000"/>
            </w:tcBorders>
            <w:shd w:val="clear" w:color="auto" w:fill="FFFFFF"/>
            <w:noWrap/>
            <w:vAlign w:val="center"/>
          </w:tcPr>
          <w:p w:rsidR="00F87EAC" w:rsidRPr="002A2313" w:rsidRDefault="00F87EAC" w:rsidP="00E67D7C">
            <w:pPr>
              <w:spacing w:before="80" w:after="80"/>
              <w:rPr>
                <w:rFonts w:cs="Arial"/>
                <w:sz w:val="14"/>
                <w:szCs w:val="14"/>
              </w:rPr>
            </w:pPr>
            <w:r w:rsidRPr="002A2313">
              <w:rPr>
                <w:rFonts w:cs="Arial"/>
                <w:sz w:val="14"/>
                <w:szCs w:val="14"/>
              </w:rPr>
              <w:t>Increase in adapted CCBII score for government planning and financing systems that enable gender and</w:t>
            </w:r>
            <w:r w:rsidR="006E2D9C">
              <w:rPr>
                <w:rFonts w:cs="Arial"/>
                <w:sz w:val="14"/>
                <w:szCs w:val="14"/>
              </w:rPr>
              <w:t xml:space="preserve"> socially</w:t>
            </w:r>
            <w:r w:rsidRPr="002A2313">
              <w:rPr>
                <w:rFonts w:cs="Arial"/>
                <w:sz w:val="14"/>
                <w:szCs w:val="14"/>
              </w:rPr>
              <w:t xml:space="preserve"> inclusive risk informed development </w:t>
            </w:r>
          </w:p>
          <w:p w:rsidR="00F87EAC" w:rsidRPr="009A421E" w:rsidRDefault="00F87EAC" w:rsidP="00E67D7C">
            <w:pPr>
              <w:spacing w:line="276" w:lineRule="auto"/>
              <w:rPr>
                <w:rFonts w:cs="Arial"/>
                <w:sz w:val="14"/>
                <w:szCs w:val="14"/>
              </w:rPr>
            </w:pPr>
            <w:r w:rsidRPr="002A2313">
              <w:rPr>
                <w:rFonts w:cs="Arial"/>
                <w:sz w:val="14"/>
                <w:szCs w:val="14"/>
              </w:rPr>
              <w:t>Progress towards sustained political economy change</w:t>
            </w:r>
          </w:p>
        </w:tc>
        <w:tc>
          <w:tcPr>
            <w:tcW w:w="445" w:type="pct"/>
            <w:vMerge w:val="restart"/>
            <w:tcBorders>
              <w:top w:val="single" w:sz="4" w:space="0" w:color="000000"/>
              <w:left w:val="nil"/>
              <w:right w:val="single" w:sz="4" w:space="0" w:color="000000"/>
            </w:tcBorders>
            <w:shd w:val="clear" w:color="auto" w:fill="FFFFFF"/>
            <w:noWrap/>
            <w:vAlign w:val="center"/>
          </w:tcPr>
          <w:p w:rsidR="00F87EAC" w:rsidRPr="005057AA" w:rsidRDefault="00F87EAC" w:rsidP="00E67D7C">
            <w:pPr>
              <w:spacing w:before="80" w:after="80"/>
              <w:rPr>
                <w:rFonts w:cs="Calibri"/>
                <w:bCs/>
                <w:sz w:val="14"/>
                <w:szCs w:val="14"/>
              </w:rPr>
            </w:pPr>
            <w:r w:rsidRPr="005057AA">
              <w:rPr>
                <w:rFonts w:cs="Calibri"/>
                <w:bCs/>
                <w:sz w:val="14"/>
                <w:szCs w:val="14"/>
              </w:rPr>
              <w:t>Country planning documents Country finance documents</w:t>
            </w:r>
          </w:p>
          <w:p w:rsidR="00F87EAC" w:rsidRPr="009A421E" w:rsidRDefault="00F87EAC" w:rsidP="00E67D7C">
            <w:pPr>
              <w:spacing w:line="276" w:lineRule="auto"/>
              <w:rPr>
                <w:rFonts w:cs="Arial"/>
                <w:sz w:val="14"/>
                <w:szCs w:val="14"/>
              </w:rPr>
            </w:pPr>
            <w:r w:rsidRPr="005057AA">
              <w:rPr>
                <w:rFonts w:cs="Calibri"/>
                <w:bCs/>
                <w:sz w:val="14"/>
                <w:szCs w:val="14"/>
              </w:rPr>
              <w:t>Country systems</w:t>
            </w:r>
            <w:r>
              <w:rPr>
                <w:rFonts w:cs="Calibri"/>
                <w:bCs/>
                <w:sz w:val="14"/>
                <w:szCs w:val="14"/>
              </w:rPr>
              <w:t>, tools and guidelines</w:t>
            </w:r>
            <w:r w:rsidRPr="005057AA">
              <w:rPr>
                <w:rFonts w:cs="Calibri"/>
                <w:bCs/>
                <w:sz w:val="14"/>
                <w:szCs w:val="14"/>
              </w:rPr>
              <w:t xml:space="preserve"> to assess development progress</w:t>
            </w:r>
          </w:p>
          <w:p w:rsidR="00F87EAC" w:rsidRPr="009A421E" w:rsidRDefault="00F87EAC" w:rsidP="00E67D7C">
            <w:pPr>
              <w:spacing w:line="276" w:lineRule="auto"/>
              <w:rPr>
                <w:rFonts w:cs="Arial"/>
                <w:sz w:val="14"/>
                <w:szCs w:val="14"/>
              </w:rPr>
            </w:pPr>
          </w:p>
        </w:tc>
        <w:tc>
          <w:tcPr>
            <w:tcW w:w="346" w:type="pct"/>
            <w:vMerge w:val="restart"/>
            <w:tcBorders>
              <w:top w:val="single" w:sz="4" w:space="0" w:color="000000"/>
              <w:left w:val="nil"/>
              <w:right w:val="single" w:sz="4" w:space="0" w:color="000000"/>
            </w:tcBorders>
            <w:shd w:val="clear" w:color="auto" w:fill="FFFFFF"/>
            <w:noWrap/>
            <w:vAlign w:val="center"/>
          </w:tcPr>
          <w:p w:rsidR="00F87EAC" w:rsidRPr="005057AA" w:rsidRDefault="00F87EAC" w:rsidP="00E67D7C">
            <w:pPr>
              <w:spacing w:before="80" w:after="80"/>
              <w:rPr>
                <w:rFonts w:cs="Calibri"/>
                <w:bCs/>
                <w:sz w:val="14"/>
                <w:szCs w:val="14"/>
              </w:rPr>
            </w:pPr>
            <w:r w:rsidRPr="005057AA">
              <w:rPr>
                <w:rFonts w:cs="Calibri"/>
                <w:bCs/>
                <w:sz w:val="14"/>
                <w:szCs w:val="14"/>
              </w:rPr>
              <w:t xml:space="preserve">Document analysis </w:t>
            </w:r>
          </w:p>
          <w:p w:rsidR="00F87EAC" w:rsidRPr="009A421E" w:rsidRDefault="00F87EAC" w:rsidP="00E67D7C">
            <w:pPr>
              <w:spacing w:line="276" w:lineRule="auto"/>
              <w:rPr>
                <w:rFonts w:cs="Arial"/>
                <w:sz w:val="14"/>
                <w:szCs w:val="14"/>
              </w:rPr>
            </w:pPr>
            <w:r w:rsidRPr="005057AA">
              <w:rPr>
                <w:rFonts w:cs="Calibri"/>
                <w:bCs/>
                <w:sz w:val="14"/>
                <w:szCs w:val="14"/>
              </w:rPr>
              <w:t>Stakeholder interview</w:t>
            </w:r>
            <w:r>
              <w:rPr>
                <w:rFonts w:cs="Calibri"/>
                <w:bCs/>
                <w:sz w:val="14"/>
                <w:szCs w:val="14"/>
              </w:rPr>
              <w:t>s</w:t>
            </w:r>
          </w:p>
        </w:tc>
        <w:tc>
          <w:tcPr>
            <w:tcW w:w="298"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Pr>
                <w:rFonts w:cs="Arial"/>
                <w:sz w:val="14"/>
                <w:szCs w:val="14"/>
              </w:rPr>
              <w:t xml:space="preserve">6 </w:t>
            </w:r>
            <w:proofErr w:type="gramStart"/>
            <w:r>
              <w:rPr>
                <w:rFonts w:cs="Arial"/>
                <w:sz w:val="14"/>
                <w:szCs w:val="14"/>
              </w:rPr>
              <w:t>monthly</w:t>
            </w:r>
            <w:proofErr w:type="gramEnd"/>
          </w:p>
        </w:tc>
        <w:tc>
          <w:tcPr>
            <w:tcW w:w="59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7EAC" w:rsidRPr="001266BD" w:rsidRDefault="00F87EAC" w:rsidP="00E67D7C">
            <w:pPr>
              <w:spacing w:line="276" w:lineRule="auto"/>
              <w:rPr>
                <w:rFonts w:cs="Calibri"/>
                <w:bCs/>
                <w:sz w:val="14"/>
                <w:szCs w:val="14"/>
              </w:rPr>
            </w:pPr>
            <w:r w:rsidRPr="001266BD">
              <w:rPr>
                <w:rFonts w:cs="Calibri"/>
                <w:bCs/>
                <w:sz w:val="14"/>
                <w:szCs w:val="14"/>
              </w:rPr>
              <w:t>Integration of RID into planning appraisal, monitoring &amp; evaluation processes. Provision of training for guidelines and tools developed. Integration of institutionalised capacity for planning directorate</w:t>
            </w:r>
          </w:p>
        </w:tc>
        <w:tc>
          <w:tcPr>
            <w:tcW w:w="3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7EAC" w:rsidRPr="009A421E" w:rsidRDefault="00F87EAC" w:rsidP="00E67D7C">
            <w:pPr>
              <w:spacing w:line="276" w:lineRule="auto"/>
              <w:rPr>
                <w:rFonts w:cs="Arial"/>
                <w:sz w:val="14"/>
                <w:szCs w:val="14"/>
              </w:rPr>
            </w:pPr>
            <w:r w:rsidRPr="009A421E">
              <w:rPr>
                <w:rFonts w:cs="Arial"/>
                <w:sz w:val="14"/>
                <w:szCs w:val="14"/>
              </w:rPr>
              <w:t xml:space="preserve">National and subnational resilient development posts, with support from country managers and technical </w:t>
            </w:r>
            <w:r>
              <w:rPr>
                <w:rFonts w:cs="Arial"/>
                <w:sz w:val="14"/>
                <w:szCs w:val="14"/>
              </w:rPr>
              <w:t>advisors</w:t>
            </w:r>
          </w:p>
        </w:tc>
        <w:tc>
          <w:tcPr>
            <w:tcW w:w="29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7EAC" w:rsidRPr="009A421E" w:rsidRDefault="00F87EAC" w:rsidP="00E67D7C">
            <w:pPr>
              <w:spacing w:line="276" w:lineRule="auto"/>
              <w:rPr>
                <w:rFonts w:cs="Arial"/>
                <w:sz w:val="14"/>
                <w:szCs w:val="14"/>
              </w:rPr>
            </w:pPr>
            <w:r>
              <w:rPr>
                <w:rFonts w:cs="Arial"/>
                <w:sz w:val="14"/>
                <w:szCs w:val="14"/>
              </w:rPr>
              <w:t>3</w:t>
            </w:r>
          </w:p>
        </w:tc>
        <w:tc>
          <w:tcPr>
            <w:tcW w:w="396" w:type="pct"/>
            <w:vMerge w:val="restart"/>
            <w:tcBorders>
              <w:top w:val="single" w:sz="4" w:space="0" w:color="000000"/>
              <w:left w:val="single" w:sz="4" w:space="0" w:color="000000"/>
              <w:right w:val="single" w:sz="4" w:space="0" w:color="000000"/>
            </w:tcBorders>
            <w:shd w:val="clear" w:color="auto" w:fill="FFFFFF"/>
            <w:vAlign w:val="center"/>
          </w:tcPr>
          <w:p w:rsidR="00F87EAC" w:rsidRPr="00921F96" w:rsidRDefault="00F87EAC" w:rsidP="00E67D7C">
            <w:pPr>
              <w:spacing w:line="276" w:lineRule="auto"/>
              <w:rPr>
                <w:rFonts w:cs="Calibri"/>
                <w:bCs/>
                <w:sz w:val="14"/>
                <w:szCs w:val="14"/>
              </w:rPr>
            </w:pPr>
            <w:r>
              <w:rPr>
                <w:rFonts w:cs="Calibri"/>
                <w:bCs/>
                <w:sz w:val="14"/>
                <w:szCs w:val="14"/>
              </w:rPr>
              <w:t>P</w:t>
            </w:r>
            <w:r w:rsidRPr="00921F96">
              <w:rPr>
                <w:rFonts w:cs="Calibri"/>
                <w:bCs/>
                <w:sz w:val="14"/>
                <w:szCs w:val="14"/>
              </w:rPr>
              <w:t xml:space="preserve">lanning policy, and financing systems have </w:t>
            </w:r>
            <w:r>
              <w:rPr>
                <w:rFonts w:cs="Calibri"/>
                <w:bCs/>
                <w:sz w:val="14"/>
                <w:szCs w:val="14"/>
              </w:rPr>
              <w:t xml:space="preserve">an impact </w:t>
            </w:r>
            <w:r w:rsidRPr="00921F96">
              <w:rPr>
                <w:rFonts w:cs="Calibri"/>
                <w:bCs/>
                <w:sz w:val="14"/>
                <w:szCs w:val="14"/>
              </w:rPr>
              <w:t xml:space="preserve">on development implementation and </w:t>
            </w:r>
            <w:r>
              <w:rPr>
                <w:rFonts w:cs="Calibri"/>
                <w:bCs/>
                <w:sz w:val="14"/>
                <w:szCs w:val="14"/>
              </w:rPr>
              <w:t xml:space="preserve">there </w:t>
            </w:r>
            <w:r w:rsidRPr="00921F96">
              <w:rPr>
                <w:rFonts w:cs="Calibri"/>
                <w:bCs/>
                <w:sz w:val="14"/>
                <w:szCs w:val="14"/>
              </w:rPr>
              <w:t>are implications for RID</w:t>
            </w:r>
            <w:r>
              <w:rPr>
                <w:rFonts w:cs="Calibri"/>
                <w:bCs/>
                <w:sz w:val="14"/>
                <w:szCs w:val="14"/>
              </w:rPr>
              <w:t xml:space="preserve">. </w:t>
            </w:r>
          </w:p>
          <w:p w:rsidR="00F87EAC" w:rsidRPr="00921F96" w:rsidRDefault="00F87EAC" w:rsidP="00E67D7C">
            <w:pPr>
              <w:spacing w:line="276" w:lineRule="auto"/>
              <w:rPr>
                <w:rFonts w:cstheme="minorHAnsi"/>
                <w:bCs/>
                <w:sz w:val="20"/>
                <w:szCs w:val="20"/>
              </w:rPr>
            </w:pPr>
            <w:r w:rsidRPr="00921F96">
              <w:rPr>
                <w:rFonts w:cs="Calibri"/>
                <w:bCs/>
                <w:sz w:val="14"/>
                <w:szCs w:val="14"/>
              </w:rPr>
              <w:t xml:space="preserve">M&amp;E systems have </w:t>
            </w:r>
            <w:r>
              <w:rPr>
                <w:rFonts w:cs="Calibri"/>
                <w:bCs/>
                <w:sz w:val="14"/>
                <w:szCs w:val="14"/>
              </w:rPr>
              <w:t xml:space="preserve">an impact </w:t>
            </w:r>
            <w:r w:rsidRPr="00921F96">
              <w:rPr>
                <w:rFonts w:cs="Calibri"/>
                <w:bCs/>
                <w:sz w:val="14"/>
                <w:szCs w:val="14"/>
              </w:rPr>
              <w:t xml:space="preserve">on development implementation </w:t>
            </w:r>
            <w:r>
              <w:rPr>
                <w:rFonts w:cs="Calibri"/>
                <w:bCs/>
                <w:sz w:val="14"/>
                <w:szCs w:val="14"/>
              </w:rPr>
              <w:t>there</w:t>
            </w:r>
            <w:r w:rsidRPr="00921F96">
              <w:rPr>
                <w:rFonts w:cs="Calibri"/>
                <w:bCs/>
                <w:sz w:val="14"/>
                <w:szCs w:val="14"/>
              </w:rPr>
              <w:t xml:space="preserve"> are implications for RID</w:t>
            </w:r>
            <w:r>
              <w:rPr>
                <w:rFonts w:cs="Calibri"/>
                <w:bCs/>
                <w:sz w:val="14"/>
                <w:szCs w:val="14"/>
              </w:rPr>
              <w:t xml:space="preserve">. </w:t>
            </w:r>
          </w:p>
        </w:tc>
      </w:tr>
      <w:tr w:rsidR="00F87EAC" w:rsidRPr="009A421E" w:rsidTr="00E67D7C">
        <w:trPr>
          <w:trHeight w:val="175"/>
        </w:trPr>
        <w:tc>
          <w:tcPr>
            <w:tcW w:w="594" w:type="pct"/>
            <w:vMerge/>
            <w:tcBorders>
              <w:left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p>
        </w:tc>
        <w:tc>
          <w:tcPr>
            <w:tcW w:w="941"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 xml:space="preserve">Indicator </w:t>
            </w:r>
            <w:r>
              <w:rPr>
                <w:rFonts w:cs="Arial"/>
                <w:sz w:val="14"/>
                <w:szCs w:val="14"/>
              </w:rPr>
              <w:t>1.1.2</w:t>
            </w:r>
          </w:p>
        </w:tc>
        <w:tc>
          <w:tcPr>
            <w:tcW w:w="346"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Baseline</w:t>
            </w:r>
            <w:r>
              <w:rPr>
                <w:rFonts w:cs="Arial"/>
                <w:sz w:val="14"/>
                <w:szCs w:val="14"/>
              </w:rPr>
              <w:t xml:space="preserve"> (=0)</w:t>
            </w:r>
          </w:p>
        </w:tc>
        <w:tc>
          <w:tcPr>
            <w:tcW w:w="346" w:type="pct"/>
            <w:vMerge/>
            <w:tcBorders>
              <w:left w:val="nil"/>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p>
        </w:tc>
        <w:tc>
          <w:tcPr>
            <w:tcW w:w="445" w:type="pct"/>
            <w:vMerge/>
            <w:tcBorders>
              <w:left w:val="nil"/>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p>
        </w:tc>
        <w:tc>
          <w:tcPr>
            <w:tcW w:w="346" w:type="pct"/>
            <w:vMerge/>
            <w:tcBorders>
              <w:left w:val="nil"/>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p>
        </w:tc>
        <w:tc>
          <w:tcPr>
            <w:tcW w:w="298"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Frequency of data collection</w:t>
            </w:r>
          </w:p>
        </w:tc>
        <w:tc>
          <w:tcPr>
            <w:tcW w:w="594"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Activity 1.</w:t>
            </w:r>
            <w:r>
              <w:rPr>
                <w:rFonts w:cs="Arial"/>
                <w:sz w:val="14"/>
                <w:szCs w:val="14"/>
              </w:rPr>
              <w:t>1.2</w:t>
            </w:r>
          </w:p>
        </w:tc>
        <w:tc>
          <w:tcPr>
            <w:tcW w:w="39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87EAC" w:rsidRPr="009A421E" w:rsidRDefault="00F87EAC" w:rsidP="00E67D7C">
            <w:pPr>
              <w:spacing w:line="276" w:lineRule="auto"/>
              <w:rPr>
                <w:rFonts w:cs="Arial"/>
                <w:sz w:val="14"/>
                <w:szCs w:val="14"/>
              </w:rPr>
            </w:pPr>
            <w:r w:rsidRPr="009A421E">
              <w:rPr>
                <w:rFonts w:cs="Arial"/>
                <w:sz w:val="14"/>
                <w:szCs w:val="14"/>
              </w:rPr>
              <w:t>Responsible Party</w:t>
            </w:r>
          </w:p>
        </w:tc>
        <w:tc>
          <w:tcPr>
            <w:tcW w:w="29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87EAC" w:rsidRPr="009A421E" w:rsidRDefault="00F87EAC" w:rsidP="00E67D7C">
            <w:pPr>
              <w:spacing w:line="276" w:lineRule="auto"/>
              <w:rPr>
                <w:rFonts w:cs="Arial"/>
                <w:sz w:val="14"/>
                <w:szCs w:val="14"/>
              </w:rPr>
            </w:pPr>
            <w:r w:rsidRPr="009A421E">
              <w:rPr>
                <w:rFonts w:cs="Arial"/>
                <w:sz w:val="14"/>
                <w:szCs w:val="14"/>
              </w:rPr>
              <w:t>Planned Target (20</w:t>
            </w:r>
            <w:r>
              <w:rPr>
                <w:rFonts w:cs="Arial"/>
                <w:sz w:val="14"/>
                <w:szCs w:val="14"/>
              </w:rPr>
              <w:t>20</w:t>
            </w:r>
            <w:r w:rsidRPr="009A421E">
              <w:rPr>
                <w:rFonts w:cs="Arial"/>
                <w:sz w:val="14"/>
                <w:szCs w:val="14"/>
              </w:rPr>
              <w:t>)</w:t>
            </w:r>
          </w:p>
        </w:tc>
        <w:tc>
          <w:tcPr>
            <w:tcW w:w="396" w:type="pct"/>
            <w:vMerge/>
            <w:tcBorders>
              <w:left w:val="single" w:sz="4" w:space="0" w:color="000000"/>
              <w:right w:val="single" w:sz="4" w:space="0" w:color="000000"/>
            </w:tcBorders>
            <w:shd w:val="clear" w:color="auto" w:fill="BFBFBF" w:themeFill="background1" w:themeFillShade="BF"/>
            <w:vAlign w:val="center"/>
          </w:tcPr>
          <w:p w:rsidR="00F87EAC" w:rsidRPr="009A421E" w:rsidRDefault="00F87EAC" w:rsidP="00E67D7C">
            <w:pPr>
              <w:spacing w:line="276" w:lineRule="auto"/>
              <w:rPr>
                <w:rFonts w:cs="Arial"/>
                <w:sz w:val="14"/>
                <w:szCs w:val="14"/>
              </w:rPr>
            </w:pPr>
          </w:p>
        </w:tc>
      </w:tr>
      <w:tr w:rsidR="00F87EAC" w:rsidRPr="009A421E" w:rsidTr="00E67D7C">
        <w:trPr>
          <w:trHeight w:val="175"/>
        </w:trPr>
        <w:tc>
          <w:tcPr>
            <w:tcW w:w="594" w:type="pct"/>
            <w:vMerge/>
            <w:tcBorders>
              <w:left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p>
        </w:tc>
        <w:tc>
          <w:tcPr>
            <w:tcW w:w="941"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sidRPr="00844030">
              <w:rPr>
                <w:bCs/>
                <w:iCs/>
                <w:sz w:val="14"/>
                <w:szCs w:val="14"/>
              </w:rPr>
              <w:t xml:space="preserve">Number of </w:t>
            </w:r>
            <w:r>
              <w:rPr>
                <w:bCs/>
                <w:iCs/>
                <w:sz w:val="14"/>
                <w:szCs w:val="14"/>
              </w:rPr>
              <w:t>i</w:t>
            </w:r>
            <w:r w:rsidRPr="005057AA">
              <w:rPr>
                <w:rFonts w:cs="Calibri"/>
                <w:bCs/>
                <w:sz w:val="14"/>
                <w:szCs w:val="14"/>
              </w:rPr>
              <w:t>nvestment appraisal guidelines and budget circulars</w:t>
            </w:r>
            <w:r>
              <w:rPr>
                <w:rFonts w:cs="Calibri"/>
                <w:bCs/>
                <w:sz w:val="14"/>
                <w:szCs w:val="14"/>
              </w:rPr>
              <w:t xml:space="preserve"> which</w:t>
            </w:r>
            <w:r w:rsidRPr="005057AA">
              <w:rPr>
                <w:rFonts w:cs="Calibri"/>
                <w:bCs/>
                <w:sz w:val="14"/>
                <w:szCs w:val="14"/>
              </w:rPr>
              <w:t xml:space="preserve"> include clear reference to GS&amp;I CC&amp;D risk</w:t>
            </w:r>
          </w:p>
        </w:tc>
        <w:tc>
          <w:tcPr>
            <w:tcW w:w="346"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before="80" w:after="80"/>
              <w:rPr>
                <w:rFonts w:cs="Arial"/>
                <w:sz w:val="14"/>
                <w:szCs w:val="14"/>
              </w:rPr>
            </w:pPr>
            <w:r>
              <w:rPr>
                <w:rFonts w:cs="Arial"/>
                <w:sz w:val="14"/>
                <w:szCs w:val="14"/>
              </w:rPr>
              <w:t>D</w:t>
            </w:r>
            <w:r w:rsidRPr="005057AA">
              <w:rPr>
                <w:rFonts w:cs="Arial"/>
                <w:sz w:val="14"/>
                <w:szCs w:val="14"/>
              </w:rPr>
              <w:t xml:space="preserve">evelopment budgets </w:t>
            </w:r>
            <w:r>
              <w:rPr>
                <w:rFonts w:cs="Arial"/>
                <w:sz w:val="14"/>
                <w:szCs w:val="14"/>
              </w:rPr>
              <w:t>do not</w:t>
            </w:r>
            <w:r w:rsidRPr="005057AA">
              <w:rPr>
                <w:rFonts w:cs="Arial"/>
                <w:sz w:val="14"/>
                <w:szCs w:val="14"/>
              </w:rPr>
              <w:t xml:space="preserve"> consider RID</w:t>
            </w:r>
          </w:p>
        </w:tc>
        <w:tc>
          <w:tcPr>
            <w:tcW w:w="346" w:type="pct"/>
            <w:vMerge/>
            <w:tcBorders>
              <w:left w:val="nil"/>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p>
        </w:tc>
        <w:tc>
          <w:tcPr>
            <w:tcW w:w="445" w:type="pct"/>
            <w:vMerge/>
            <w:tcBorders>
              <w:left w:val="nil"/>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p>
        </w:tc>
        <w:tc>
          <w:tcPr>
            <w:tcW w:w="346" w:type="pct"/>
            <w:vMerge/>
            <w:tcBorders>
              <w:left w:val="nil"/>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p>
        </w:tc>
        <w:tc>
          <w:tcPr>
            <w:tcW w:w="298"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Pr>
                <w:rFonts w:cs="Arial"/>
                <w:sz w:val="14"/>
                <w:szCs w:val="14"/>
              </w:rPr>
              <w:t>Annually</w:t>
            </w:r>
          </w:p>
        </w:tc>
        <w:tc>
          <w:tcPr>
            <w:tcW w:w="594" w:type="pct"/>
            <w:vMerge w:val="restart"/>
            <w:tcBorders>
              <w:top w:val="single" w:sz="4" w:space="0" w:color="000000"/>
              <w:left w:val="single" w:sz="4" w:space="0" w:color="000000"/>
              <w:right w:val="single" w:sz="4" w:space="0" w:color="000000"/>
            </w:tcBorders>
            <w:shd w:val="clear" w:color="auto" w:fill="FFFFFF"/>
            <w:noWrap/>
            <w:vAlign w:val="center"/>
          </w:tcPr>
          <w:p w:rsidR="00F87EAC" w:rsidRPr="001266BD" w:rsidRDefault="00F87EAC" w:rsidP="00E67D7C">
            <w:pPr>
              <w:spacing w:line="276" w:lineRule="auto"/>
              <w:rPr>
                <w:rFonts w:cs="Calibri"/>
                <w:bCs/>
                <w:sz w:val="14"/>
                <w:szCs w:val="14"/>
              </w:rPr>
            </w:pPr>
            <w:r w:rsidRPr="001266BD">
              <w:rPr>
                <w:rFonts w:cs="Calibri"/>
                <w:bCs/>
                <w:sz w:val="14"/>
                <w:szCs w:val="14"/>
              </w:rPr>
              <w:t>Integration of RID into budget circular, submissions, Financial Management Information Systems processes. Provision of training for guidelines, tools developed. Integration of institutionalised capacity for budget directorate</w:t>
            </w:r>
          </w:p>
        </w:tc>
        <w:tc>
          <w:tcPr>
            <w:tcW w:w="396" w:type="pct"/>
            <w:vMerge w:val="restart"/>
            <w:tcBorders>
              <w:top w:val="single" w:sz="4" w:space="0" w:color="000000"/>
              <w:left w:val="single" w:sz="4" w:space="0" w:color="000000"/>
              <w:right w:val="single" w:sz="4" w:space="0" w:color="000000"/>
            </w:tcBorders>
            <w:shd w:val="clear" w:color="auto" w:fill="FFFFFF"/>
            <w:vAlign w:val="center"/>
          </w:tcPr>
          <w:p w:rsidR="00F87EAC" w:rsidRPr="009A421E" w:rsidRDefault="00F87EAC" w:rsidP="00E67D7C">
            <w:pPr>
              <w:spacing w:line="276" w:lineRule="auto"/>
              <w:rPr>
                <w:rFonts w:cs="Arial"/>
                <w:sz w:val="14"/>
                <w:szCs w:val="14"/>
              </w:rPr>
            </w:pPr>
            <w:r w:rsidRPr="009A421E">
              <w:rPr>
                <w:rFonts w:cs="Arial"/>
                <w:sz w:val="14"/>
                <w:szCs w:val="14"/>
              </w:rPr>
              <w:t xml:space="preserve">National resilient development posts, with support from country managers and technical </w:t>
            </w:r>
            <w:r>
              <w:rPr>
                <w:rFonts w:cs="Arial"/>
                <w:sz w:val="14"/>
                <w:szCs w:val="14"/>
              </w:rPr>
              <w:t>advisors</w:t>
            </w:r>
          </w:p>
        </w:tc>
        <w:tc>
          <w:tcPr>
            <w:tcW w:w="29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7EAC" w:rsidRPr="009A421E" w:rsidRDefault="00F87EAC" w:rsidP="00E67D7C">
            <w:pPr>
              <w:spacing w:line="276" w:lineRule="auto"/>
              <w:rPr>
                <w:rFonts w:cs="Arial"/>
                <w:sz w:val="14"/>
                <w:szCs w:val="14"/>
              </w:rPr>
            </w:pPr>
            <w:r>
              <w:rPr>
                <w:rFonts w:cs="Arial"/>
                <w:sz w:val="14"/>
                <w:szCs w:val="14"/>
              </w:rPr>
              <w:t>3</w:t>
            </w:r>
          </w:p>
        </w:tc>
        <w:tc>
          <w:tcPr>
            <w:tcW w:w="396" w:type="pct"/>
            <w:vMerge/>
            <w:tcBorders>
              <w:left w:val="single" w:sz="4" w:space="0" w:color="000000"/>
              <w:right w:val="single" w:sz="4" w:space="0" w:color="000000"/>
            </w:tcBorders>
            <w:shd w:val="clear" w:color="auto" w:fill="FFFFFF"/>
            <w:vAlign w:val="center"/>
          </w:tcPr>
          <w:p w:rsidR="00F87EAC" w:rsidRPr="009A421E" w:rsidRDefault="00F87EAC" w:rsidP="00E67D7C">
            <w:pPr>
              <w:spacing w:line="276" w:lineRule="auto"/>
              <w:rPr>
                <w:rFonts w:cs="Arial"/>
                <w:sz w:val="14"/>
                <w:szCs w:val="14"/>
              </w:rPr>
            </w:pPr>
          </w:p>
        </w:tc>
      </w:tr>
      <w:tr w:rsidR="00F87EAC" w:rsidRPr="009A421E" w:rsidTr="00E67D7C">
        <w:trPr>
          <w:trHeight w:val="175"/>
        </w:trPr>
        <w:tc>
          <w:tcPr>
            <w:tcW w:w="594" w:type="pct"/>
            <w:vMerge/>
            <w:tcBorders>
              <w:left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p>
        </w:tc>
        <w:tc>
          <w:tcPr>
            <w:tcW w:w="941"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 xml:space="preserve">Indicator </w:t>
            </w:r>
            <w:r>
              <w:rPr>
                <w:rFonts w:cs="Arial"/>
                <w:sz w:val="14"/>
                <w:szCs w:val="14"/>
              </w:rPr>
              <w:t>1.1.3</w:t>
            </w:r>
          </w:p>
        </w:tc>
        <w:tc>
          <w:tcPr>
            <w:tcW w:w="346"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Baseline</w:t>
            </w:r>
            <w:r>
              <w:rPr>
                <w:rFonts w:cs="Arial"/>
                <w:sz w:val="14"/>
                <w:szCs w:val="14"/>
              </w:rPr>
              <w:t xml:space="preserve"> (=0)</w:t>
            </w:r>
          </w:p>
        </w:tc>
        <w:tc>
          <w:tcPr>
            <w:tcW w:w="346" w:type="pct"/>
            <w:vMerge/>
            <w:tcBorders>
              <w:left w:val="nil"/>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p>
        </w:tc>
        <w:tc>
          <w:tcPr>
            <w:tcW w:w="445" w:type="pct"/>
            <w:vMerge/>
            <w:tcBorders>
              <w:left w:val="nil"/>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p>
        </w:tc>
        <w:tc>
          <w:tcPr>
            <w:tcW w:w="346" w:type="pct"/>
            <w:vMerge/>
            <w:tcBorders>
              <w:left w:val="nil"/>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p>
        </w:tc>
        <w:tc>
          <w:tcPr>
            <w:tcW w:w="298"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Frequency of data collection</w:t>
            </w:r>
          </w:p>
        </w:tc>
        <w:tc>
          <w:tcPr>
            <w:tcW w:w="594" w:type="pct"/>
            <w:vMerge/>
            <w:tcBorders>
              <w:left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p>
        </w:tc>
        <w:tc>
          <w:tcPr>
            <w:tcW w:w="396" w:type="pct"/>
            <w:vMerge/>
            <w:tcBorders>
              <w:left w:val="single" w:sz="4" w:space="0" w:color="000000"/>
              <w:right w:val="single" w:sz="4" w:space="0" w:color="000000"/>
            </w:tcBorders>
            <w:shd w:val="clear" w:color="auto" w:fill="BFBFBF" w:themeFill="background1" w:themeFillShade="BF"/>
            <w:vAlign w:val="center"/>
          </w:tcPr>
          <w:p w:rsidR="00F87EAC" w:rsidRPr="009A421E" w:rsidRDefault="00F87EAC" w:rsidP="00E67D7C">
            <w:pPr>
              <w:spacing w:line="276" w:lineRule="auto"/>
              <w:rPr>
                <w:rFonts w:cs="Arial"/>
                <w:sz w:val="14"/>
                <w:szCs w:val="14"/>
              </w:rPr>
            </w:pPr>
          </w:p>
        </w:tc>
        <w:tc>
          <w:tcPr>
            <w:tcW w:w="29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87EAC" w:rsidRPr="009A421E" w:rsidRDefault="00F87EAC" w:rsidP="00E67D7C">
            <w:pPr>
              <w:spacing w:line="276" w:lineRule="auto"/>
              <w:rPr>
                <w:rFonts w:cs="Arial"/>
                <w:sz w:val="14"/>
                <w:szCs w:val="14"/>
              </w:rPr>
            </w:pPr>
            <w:r w:rsidRPr="009A421E">
              <w:rPr>
                <w:rFonts w:cs="Arial"/>
                <w:sz w:val="14"/>
                <w:szCs w:val="14"/>
              </w:rPr>
              <w:t>Planned Target (20</w:t>
            </w:r>
            <w:r>
              <w:rPr>
                <w:rFonts w:cs="Arial"/>
                <w:sz w:val="14"/>
                <w:szCs w:val="14"/>
              </w:rPr>
              <w:t>20</w:t>
            </w:r>
            <w:r w:rsidRPr="009A421E">
              <w:rPr>
                <w:rFonts w:cs="Arial"/>
                <w:sz w:val="14"/>
                <w:szCs w:val="14"/>
              </w:rPr>
              <w:t>)</w:t>
            </w:r>
          </w:p>
        </w:tc>
        <w:tc>
          <w:tcPr>
            <w:tcW w:w="396" w:type="pct"/>
            <w:vMerge/>
            <w:tcBorders>
              <w:left w:val="single" w:sz="4" w:space="0" w:color="000000"/>
              <w:right w:val="single" w:sz="4" w:space="0" w:color="000000"/>
            </w:tcBorders>
            <w:shd w:val="clear" w:color="auto" w:fill="BFBFBF" w:themeFill="background1" w:themeFillShade="BF"/>
            <w:vAlign w:val="center"/>
          </w:tcPr>
          <w:p w:rsidR="00F87EAC" w:rsidRPr="009A421E" w:rsidRDefault="00F87EAC" w:rsidP="00E67D7C">
            <w:pPr>
              <w:spacing w:line="276" w:lineRule="auto"/>
              <w:rPr>
                <w:rFonts w:cs="Arial"/>
                <w:sz w:val="14"/>
                <w:szCs w:val="14"/>
              </w:rPr>
            </w:pPr>
          </w:p>
        </w:tc>
      </w:tr>
      <w:tr w:rsidR="00F87EAC" w:rsidRPr="009A421E" w:rsidTr="00E67D7C">
        <w:trPr>
          <w:trHeight w:val="175"/>
        </w:trPr>
        <w:tc>
          <w:tcPr>
            <w:tcW w:w="594" w:type="pct"/>
            <w:vMerge/>
            <w:tcBorders>
              <w:left w:val="single" w:sz="4" w:space="0" w:color="000000"/>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p>
        </w:tc>
        <w:tc>
          <w:tcPr>
            <w:tcW w:w="941" w:type="pct"/>
            <w:tcBorders>
              <w:top w:val="single" w:sz="4" w:space="0" w:color="000000"/>
              <w:left w:val="nil"/>
              <w:bottom w:val="single" w:sz="4" w:space="0" w:color="000000"/>
              <w:right w:val="single" w:sz="4" w:space="0" w:color="000000"/>
            </w:tcBorders>
            <w:shd w:val="clear" w:color="auto" w:fill="FFFFFF"/>
            <w:noWrap/>
            <w:vAlign w:val="center"/>
          </w:tcPr>
          <w:p w:rsidR="00F87EAC" w:rsidRPr="000370F4" w:rsidRDefault="00F87EAC" w:rsidP="00E67D7C">
            <w:pPr>
              <w:spacing w:line="276" w:lineRule="auto"/>
              <w:rPr>
                <w:rFonts w:cs="Calibri"/>
                <w:bCs/>
                <w:sz w:val="14"/>
                <w:szCs w:val="14"/>
              </w:rPr>
            </w:pPr>
            <w:r w:rsidRPr="000370F4">
              <w:rPr>
                <w:rFonts w:cs="Calibri"/>
                <w:bCs/>
                <w:sz w:val="14"/>
                <w:szCs w:val="14"/>
              </w:rPr>
              <w:t xml:space="preserve">Number of </w:t>
            </w:r>
            <w:r>
              <w:rPr>
                <w:rFonts w:cs="Calibri"/>
                <w:bCs/>
                <w:sz w:val="14"/>
                <w:szCs w:val="14"/>
              </w:rPr>
              <w:t>n</w:t>
            </w:r>
            <w:r w:rsidRPr="005057AA">
              <w:rPr>
                <w:rFonts w:cs="Calibri"/>
                <w:bCs/>
                <w:sz w:val="14"/>
                <w:szCs w:val="14"/>
              </w:rPr>
              <w:t xml:space="preserve">ational level </w:t>
            </w:r>
            <w:r>
              <w:rPr>
                <w:rFonts w:cs="Calibri"/>
                <w:bCs/>
                <w:sz w:val="14"/>
                <w:szCs w:val="14"/>
              </w:rPr>
              <w:t xml:space="preserve">M&amp;E </w:t>
            </w:r>
            <w:r w:rsidRPr="005057AA">
              <w:rPr>
                <w:rFonts w:cs="Calibri"/>
                <w:bCs/>
                <w:sz w:val="14"/>
                <w:szCs w:val="14"/>
              </w:rPr>
              <w:t>assessments</w:t>
            </w:r>
            <w:r>
              <w:rPr>
                <w:rFonts w:cs="Calibri"/>
                <w:bCs/>
                <w:sz w:val="14"/>
                <w:szCs w:val="14"/>
              </w:rPr>
              <w:t>, tools and guidelines</w:t>
            </w:r>
            <w:r w:rsidRPr="005057AA">
              <w:rPr>
                <w:rFonts w:cs="Calibri"/>
                <w:bCs/>
                <w:sz w:val="14"/>
                <w:szCs w:val="14"/>
              </w:rPr>
              <w:t xml:space="preserve"> </w:t>
            </w:r>
            <w:r>
              <w:rPr>
                <w:rFonts w:cs="Calibri"/>
                <w:bCs/>
                <w:sz w:val="14"/>
                <w:szCs w:val="14"/>
              </w:rPr>
              <w:t xml:space="preserve">which </w:t>
            </w:r>
            <w:r w:rsidRPr="005057AA">
              <w:rPr>
                <w:rFonts w:cs="Calibri"/>
                <w:bCs/>
                <w:sz w:val="14"/>
                <w:szCs w:val="14"/>
              </w:rPr>
              <w:t>include attention to GS&amp;I CC&amp;D risk</w:t>
            </w:r>
          </w:p>
        </w:tc>
        <w:tc>
          <w:tcPr>
            <w:tcW w:w="346" w:type="pct"/>
            <w:tcBorders>
              <w:top w:val="single" w:sz="4" w:space="0" w:color="000000"/>
              <w:left w:val="nil"/>
              <w:bottom w:val="single" w:sz="4" w:space="0" w:color="000000"/>
              <w:right w:val="single" w:sz="4" w:space="0" w:color="000000"/>
            </w:tcBorders>
            <w:shd w:val="clear" w:color="auto" w:fill="FFFFFF"/>
            <w:noWrap/>
            <w:vAlign w:val="center"/>
          </w:tcPr>
          <w:p w:rsidR="00F87EAC" w:rsidRPr="000370F4" w:rsidRDefault="00F87EAC" w:rsidP="00E67D7C">
            <w:pPr>
              <w:pStyle w:val="Header"/>
              <w:spacing w:before="80" w:after="80" w:line="240" w:lineRule="auto"/>
              <w:rPr>
                <w:rFonts w:ascii="Arial" w:eastAsia="Malgun Gothic" w:hAnsi="Arial" w:cs="Calibri"/>
                <w:bCs/>
                <w:sz w:val="14"/>
                <w:szCs w:val="14"/>
                <w:lang w:val="en-GB" w:eastAsia="en-US"/>
              </w:rPr>
            </w:pPr>
            <w:r w:rsidRPr="000370F4">
              <w:rPr>
                <w:rFonts w:ascii="Arial" w:eastAsia="Malgun Gothic" w:hAnsi="Arial" w:cs="Calibri"/>
                <w:bCs/>
                <w:sz w:val="14"/>
                <w:szCs w:val="14"/>
                <w:lang w:val="en-GB" w:eastAsia="en-US"/>
              </w:rPr>
              <w:t>M&amp;E assessments do not consider RID</w:t>
            </w:r>
          </w:p>
        </w:tc>
        <w:tc>
          <w:tcPr>
            <w:tcW w:w="346" w:type="pct"/>
            <w:vMerge/>
            <w:tcBorders>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p>
        </w:tc>
        <w:tc>
          <w:tcPr>
            <w:tcW w:w="445" w:type="pct"/>
            <w:vMerge/>
            <w:tcBorders>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p>
        </w:tc>
        <w:tc>
          <w:tcPr>
            <w:tcW w:w="346" w:type="pct"/>
            <w:vMerge/>
            <w:tcBorders>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p>
        </w:tc>
        <w:tc>
          <w:tcPr>
            <w:tcW w:w="298"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Pr>
                <w:rFonts w:cs="Arial"/>
                <w:sz w:val="14"/>
                <w:szCs w:val="14"/>
              </w:rPr>
              <w:t xml:space="preserve">6 </w:t>
            </w:r>
            <w:proofErr w:type="gramStart"/>
            <w:r>
              <w:rPr>
                <w:rFonts w:cs="Arial"/>
                <w:sz w:val="14"/>
                <w:szCs w:val="14"/>
              </w:rPr>
              <w:t>monthly</w:t>
            </w:r>
            <w:proofErr w:type="gramEnd"/>
          </w:p>
        </w:tc>
        <w:tc>
          <w:tcPr>
            <w:tcW w:w="594" w:type="pct"/>
            <w:vMerge/>
            <w:tcBorders>
              <w:left w:val="single" w:sz="4" w:space="0" w:color="000000"/>
              <w:bottom w:val="single" w:sz="4" w:space="0" w:color="000000"/>
              <w:right w:val="single" w:sz="4" w:space="0" w:color="000000"/>
            </w:tcBorders>
            <w:shd w:val="clear" w:color="auto" w:fill="FFFFFF"/>
            <w:noWrap/>
            <w:vAlign w:val="center"/>
          </w:tcPr>
          <w:p w:rsidR="00F87EAC" w:rsidRPr="009A421E" w:rsidRDefault="00F87EAC" w:rsidP="00E67D7C">
            <w:pPr>
              <w:pStyle w:val="MediumGrid1-Accent21"/>
              <w:spacing w:line="276" w:lineRule="auto"/>
              <w:ind w:left="0"/>
              <w:rPr>
                <w:rFonts w:ascii="Arial" w:hAnsi="Arial" w:cs="Arial"/>
                <w:sz w:val="14"/>
                <w:szCs w:val="14"/>
              </w:rPr>
            </w:pPr>
          </w:p>
        </w:tc>
        <w:tc>
          <w:tcPr>
            <w:tcW w:w="396" w:type="pct"/>
            <w:vMerge/>
            <w:tcBorders>
              <w:left w:val="single" w:sz="4" w:space="0" w:color="000000"/>
              <w:bottom w:val="single" w:sz="4" w:space="0" w:color="000000"/>
              <w:right w:val="single" w:sz="4" w:space="0" w:color="000000"/>
            </w:tcBorders>
            <w:shd w:val="clear" w:color="auto" w:fill="FFFFFF"/>
            <w:vAlign w:val="center"/>
          </w:tcPr>
          <w:p w:rsidR="00F87EAC" w:rsidRPr="009A421E" w:rsidRDefault="00F87EAC" w:rsidP="00E67D7C">
            <w:pPr>
              <w:spacing w:line="276" w:lineRule="auto"/>
              <w:rPr>
                <w:rFonts w:cs="Arial"/>
                <w:sz w:val="14"/>
                <w:szCs w:val="14"/>
              </w:rPr>
            </w:pPr>
          </w:p>
        </w:tc>
        <w:tc>
          <w:tcPr>
            <w:tcW w:w="29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7EAC" w:rsidRPr="009A421E" w:rsidRDefault="00F87EAC" w:rsidP="00E67D7C">
            <w:pPr>
              <w:spacing w:line="276" w:lineRule="auto"/>
              <w:rPr>
                <w:rFonts w:cs="Arial"/>
                <w:sz w:val="14"/>
                <w:szCs w:val="14"/>
              </w:rPr>
            </w:pPr>
            <w:r>
              <w:rPr>
                <w:rFonts w:cs="Arial"/>
                <w:sz w:val="14"/>
                <w:szCs w:val="14"/>
              </w:rPr>
              <w:t>3</w:t>
            </w:r>
          </w:p>
        </w:tc>
        <w:tc>
          <w:tcPr>
            <w:tcW w:w="396" w:type="pct"/>
            <w:vMerge/>
            <w:tcBorders>
              <w:left w:val="single" w:sz="4" w:space="0" w:color="000000"/>
              <w:bottom w:val="single" w:sz="4" w:space="0" w:color="000000"/>
              <w:right w:val="single" w:sz="4" w:space="0" w:color="000000"/>
            </w:tcBorders>
            <w:shd w:val="clear" w:color="auto" w:fill="FFFFFF"/>
            <w:vAlign w:val="center"/>
          </w:tcPr>
          <w:p w:rsidR="00F87EAC" w:rsidRPr="009A421E" w:rsidRDefault="00F87EAC" w:rsidP="00E67D7C">
            <w:pPr>
              <w:spacing w:line="276" w:lineRule="auto"/>
              <w:rPr>
                <w:rFonts w:cs="Arial"/>
                <w:sz w:val="14"/>
                <w:szCs w:val="14"/>
              </w:rPr>
            </w:pPr>
          </w:p>
        </w:tc>
      </w:tr>
      <w:tr w:rsidR="00F87EAC" w:rsidRPr="009A421E" w:rsidTr="00E67D7C">
        <w:trPr>
          <w:trHeight w:val="175"/>
        </w:trPr>
        <w:tc>
          <w:tcPr>
            <w:tcW w:w="594"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Output 1.</w:t>
            </w:r>
            <w:r>
              <w:rPr>
                <w:rFonts w:cs="Arial"/>
                <w:sz w:val="14"/>
                <w:szCs w:val="14"/>
              </w:rPr>
              <w:t>2</w:t>
            </w:r>
          </w:p>
        </w:tc>
        <w:tc>
          <w:tcPr>
            <w:tcW w:w="941"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 xml:space="preserve">Indicator </w:t>
            </w:r>
            <w:r>
              <w:rPr>
                <w:rFonts w:cs="Arial"/>
                <w:sz w:val="14"/>
                <w:szCs w:val="14"/>
              </w:rPr>
              <w:t>1.2.1</w:t>
            </w:r>
          </w:p>
        </w:tc>
        <w:tc>
          <w:tcPr>
            <w:tcW w:w="346"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Baseline</w:t>
            </w:r>
            <w:r>
              <w:rPr>
                <w:rFonts w:cs="Arial"/>
                <w:sz w:val="14"/>
                <w:szCs w:val="14"/>
              </w:rPr>
              <w:t xml:space="preserve"> (=0)</w:t>
            </w:r>
          </w:p>
        </w:tc>
        <w:tc>
          <w:tcPr>
            <w:tcW w:w="346"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Target</w:t>
            </w:r>
          </w:p>
        </w:tc>
        <w:tc>
          <w:tcPr>
            <w:tcW w:w="445"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Pr>
                <w:rFonts w:cs="Arial"/>
                <w:sz w:val="14"/>
                <w:szCs w:val="14"/>
              </w:rPr>
              <w:t>Source of data</w:t>
            </w:r>
          </w:p>
        </w:tc>
        <w:tc>
          <w:tcPr>
            <w:tcW w:w="346"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Means of Verification</w:t>
            </w:r>
          </w:p>
        </w:tc>
        <w:tc>
          <w:tcPr>
            <w:tcW w:w="298"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Frequency of data collection</w:t>
            </w:r>
          </w:p>
        </w:tc>
        <w:tc>
          <w:tcPr>
            <w:tcW w:w="594"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Activity 1.2.1</w:t>
            </w:r>
          </w:p>
        </w:tc>
        <w:tc>
          <w:tcPr>
            <w:tcW w:w="39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87EAC" w:rsidRPr="009A421E" w:rsidRDefault="00F87EAC" w:rsidP="00E67D7C">
            <w:pPr>
              <w:spacing w:line="276" w:lineRule="auto"/>
              <w:rPr>
                <w:rFonts w:cs="Arial"/>
                <w:sz w:val="14"/>
                <w:szCs w:val="14"/>
              </w:rPr>
            </w:pPr>
            <w:r w:rsidRPr="009A421E">
              <w:rPr>
                <w:rFonts w:cs="Arial"/>
                <w:sz w:val="14"/>
                <w:szCs w:val="14"/>
              </w:rPr>
              <w:t>Responsible Party</w:t>
            </w:r>
          </w:p>
        </w:tc>
        <w:tc>
          <w:tcPr>
            <w:tcW w:w="29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87EAC" w:rsidRPr="009A421E" w:rsidRDefault="00F87EAC" w:rsidP="00E67D7C">
            <w:pPr>
              <w:spacing w:line="276" w:lineRule="auto"/>
              <w:rPr>
                <w:rFonts w:cs="Arial"/>
                <w:sz w:val="14"/>
                <w:szCs w:val="14"/>
              </w:rPr>
            </w:pPr>
            <w:r w:rsidRPr="009A421E">
              <w:rPr>
                <w:rFonts w:cs="Arial"/>
                <w:sz w:val="14"/>
                <w:szCs w:val="14"/>
              </w:rPr>
              <w:t>Planned Target (20</w:t>
            </w:r>
            <w:r>
              <w:rPr>
                <w:rFonts w:cs="Arial"/>
                <w:sz w:val="14"/>
                <w:szCs w:val="14"/>
              </w:rPr>
              <w:t>20</w:t>
            </w:r>
            <w:r w:rsidRPr="009A421E">
              <w:rPr>
                <w:rFonts w:cs="Arial"/>
                <w:sz w:val="14"/>
                <w:szCs w:val="14"/>
              </w:rPr>
              <w:t>)</w:t>
            </w:r>
          </w:p>
        </w:tc>
        <w:tc>
          <w:tcPr>
            <w:tcW w:w="39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87EAC" w:rsidRPr="009A421E" w:rsidRDefault="00F87EAC" w:rsidP="00E67D7C">
            <w:pPr>
              <w:spacing w:line="276" w:lineRule="auto"/>
              <w:rPr>
                <w:rFonts w:cs="Arial"/>
                <w:sz w:val="14"/>
                <w:szCs w:val="14"/>
              </w:rPr>
            </w:pPr>
            <w:r>
              <w:rPr>
                <w:rFonts w:cs="Arial"/>
                <w:sz w:val="14"/>
                <w:szCs w:val="14"/>
              </w:rPr>
              <w:t>Assumption</w:t>
            </w:r>
          </w:p>
        </w:tc>
      </w:tr>
      <w:tr w:rsidR="00F87EAC" w:rsidRPr="009A421E" w:rsidTr="00E67D7C">
        <w:trPr>
          <w:trHeight w:val="175"/>
        </w:trPr>
        <w:tc>
          <w:tcPr>
            <w:tcW w:w="594" w:type="pct"/>
            <w:vMerge w:val="restart"/>
            <w:tcBorders>
              <w:left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sidRPr="005057AA">
              <w:rPr>
                <w:rFonts w:cs="Calibri"/>
                <w:bCs/>
                <w:color w:val="000000"/>
                <w:kern w:val="24"/>
                <w:sz w:val="14"/>
                <w:szCs w:val="14"/>
                <w:lang w:val="en-US"/>
              </w:rPr>
              <w:t>GS&amp;I RID is embedded into community and sector development in a way that will influence national government systems.</w:t>
            </w:r>
          </w:p>
        </w:tc>
        <w:tc>
          <w:tcPr>
            <w:tcW w:w="941"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Pr>
                <w:rFonts w:cs="Calibri"/>
                <w:bCs/>
                <w:sz w:val="14"/>
                <w:szCs w:val="14"/>
              </w:rPr>
              <w:t>Number</w:t>
            </w:r>
            <w:r w:rsidRPr="005057AA">
              <w:rPr>
                <w:rFonts w:cs="Calibri"/>
                <w:bCs/>
                <w:sz w:val="14"/>
                <w:szCs w:val="14"/>
              </w:rPr>
              <w:t xml:space="preserve"> of budget submissions which have explicit </w:t>
            </w:r>
            <w:r>
              <w:rPr>
                <w:rFonts w:cs="Calibri"/>
                <w:bCs/>
                <w:sz w:val="14"/>
                <w:szCs w:val="14"/>
              </w:rPr>
              <w:t xml:space="preserve">reference to </w:t>
            </w:r>
            <w:r w:rsidRPr="005057AA">
              <w:rPr>
                <w:rFonts w:cs="Calibri"/>
                <w:bCs/>
                <w:sz w:val="14"/>
                <w:szCs w:val="14"/>
              </w:rPr>
              <w:t>GS&amp;I CC&amp;D risk</w:t>
            </w:r>
          </w:p>
        </w:tc>
        <w:tc>
          <w:tcPr>
            <w:tcW w:w="346"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before="80" w:after="80"/>
              <w:rPr>
                <w:rFonts w:cs="Arial"/>
                <w:sz w:val="14"/>
                <w:szCs w:val="14"/>
              </w:rPr>
            </w:pPr>
            <w:r>
              <w:rPr>
                <w:rFonts w:cs="Arial"/>
                <w:sz w:val="14"/>
                <w:szCs w:val="14"/>
              </w:rPr>
              <w:t>D</w:t>
            </w:r>
            <w:r w:rsidRPr="005057AA">
              <w:rPr>
                <w:rFonts w:cs="Arial"/>
                <w:sz w:val="14"/>
                <w:szCs w:val="14"/>
              </w:rPr>
              <w:t xml:space="preserve">evelopment budgets submissions </w:t>
            </w:r>
            <w:r>
              <w:rPr>
                <w:rFonts w:cs="Arial"/>
                <w:sz w:val="14"/>
                <w:szCs w:val="14"/>
              </w:rPr>
              <w:t xml:space="preserve">do not </w:t>
            </w:r>
            <w:r w:rsidRPr="005057AA">
              <w:rPr>
                <w:rFonts w:cs="Arial"/>
                <w:sz w:val="14"/>
                <w:szCs w:val="14"/>
              </w:rPr>
              <w:t>consider RID</w:t>
            </w:r>
          </w:p>
        </w:tc>
        <w:tc>
          <w:tcPr>
            <w:tcW w:w="346" w:type="pct"/>
            <w:vMerge w:val="restart"/>
            <w:tcBorders>
              <w:top w:val="single" w:sz="4" w:space="0" w:color="000000"/>
              <w:left w:val="nil"/>
              <w:right w:val="single" w:sz="4" w:space="0" w:color="000000"/>
            </w:tcBorders>
            <w:shd w:val="clear" w:color="auto" w:fill="FFFFFF"/>
            <w:noWrap/>
            <w:vAlign w:val="center"/>
          </w:tcPr>
          <w:p w:rsidR="00F87EAC" w:rsidRPr="002A2313" w:rsidRDefault="00F87EAC" w:rsidP="00E67D7C">
            <w:pPr>
              <w:spacing w:line="276" w:lineRule="auto"/>
              <w:rPr>
                <w:rFonts w:cs="Calibri"/>
                <w:bCs/>
                <w:sz w:val="14"/>
                <w:szCs w:val="14"/>
              </w:rPr>
            </w:pPr>
            <w:r w:rsidRPr="002A2313">
              <w:rPr>
                <w:rFonts w:cs="Calibri"/>
                <w:bCs/>
                <w:sz w:val="14"/>
                <w:szCs w:val="14"/>
              </w:rPr>
              <w:t xml:space="preserve">Increase in adapted CCBII score for government planning and financing systems that enable gender sensitive and inclusive risk informed development </w:t>
            </w:r>
          </w:p>
          <w:p w:rsidR="00F87EAC" w:rsidRPr="009A421E" w:rsidRDefault="00F87EAC" w:rsidP="00E67D7C">
            <w:pPr>
              <w:spacing w:line="276" w:lineRule="auto"/>
              <w:rPr>
                <w:rFonts w:cs="Arial"/>
                <w:sz w:val="14"/>
                <w:szCs w:val="14"/>
              </w:rPr>
            </w:pPr>
            <w:r w:rsidRPr="002A2313">
              <w:rPr>
                <w:rFonts w:cs="Calibri"/>
                <w:bCs/>
                <w:sz w:val="14"/>
                <w:szCs w:val="14"/>
              </w:rPr>
              <w:t>Progress towards sustained political economy change</w:t>
            </w:r>
          </w:p>
        </w:tc>
        <w:tc>
          <w:tcPr>
            <w:tcW w:w="445" w:type="pct"/>
            <w:vMerge w:val="restart"/>
            <w:tcBorders>
              <w:top w:val="single" w:sz="4" w:space="0" w:color="000000"/>
              <w:left w:val="nil"/>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sidRPr="005057AA">
              <w:rPr>
                <w:rFonts w:cs="Calibri"/>
                <w:bCs/>
                <w:sz w:val="14"/>
                <w:szCs w:val="14"/>
              </w:rPr>
              <w:t>Sector submissions Project documentation</w:t>
            </w:r>
          </w:p>
        </w:tc>
        <w:tc>
          <w:tcPr>
            <w:tcW w:w="346" w:type="pct"/>
            <w:vMerge w:val="restart"/>
            <w:tcBorders>
              <w:top w:val="single" w:sz="4" w:space="0" w:color="000000"/>
              <w:left w:val="nil"/>
              <w:right w:val="single" w:sz="4" w:space="0" w:color="000000"/>
            </w:tcBorders>
            <w:shd w:val="clear" w:color="auto" w:fill="FFFFFF"/>
            <w:noWrap/>
            <w:vAlign w:val="center"/>
          </w:tcPr>
          <w:p w:rsidR="00F87EAC" w:rsidRPr="005057AA" w:rsidRDefault="00F87EAC" w:rsidP="00E67D7C">
            <w:pPr>
              <w:spacing w:before="80" w:after="80"/>
              <w:rPr>
                <w:rFonts w:cs="Calibri"/>
                <w:bCs/>
                <w:sz w:val="14"/>
                <w:szCs w:val="14"/>
              </w:rPr>
            </w:pPr>
            <w:r w:rsidRPr="005057AA">
              <w:rPr>
                <w:rFonts w:cs="Calibri"/>
                <w:bCs/>
                <w:sz w:val="14"/>
                <w:szCs w:val="14"/>
              </w:rPr>
              <w:t xml:space="preserve">Document analysis </w:t>
            </w:r>
          </w:p>
          <w:p w:rsidR="00F87EAC" w:rsidRPr="009A421E" w:rsidRDefault="00F87EAC" w:rsidP="00E67D7C">
            <w:pPr>
              <w:spacing w:line="276" w:lineRule="auto"/>
              <w:rPr>
                <w:rFonts w:cs="Arial"/>
                <w:sz w:val="14"/>
                <w:szCs w:val="14"/>
              </w:rPr>
            </w:pPr>
            <w:r w:rsidRPr="005057AA">
              <w:rPr>
                <w:rFonts w:cs="Calibri"/>
                <w:bCs/>
                <w:sz w:val="14"/>
                <w:szCs w:val="14"/>
              </w:rPr>
              <w:t>Stakeholder interviews</w:t>
            </w:r>
          </w:p>
        </w:tc>
        <w:tc>
          <w:tcPr>
            <w:tcW w:w="298"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Pr>
                <w:rFonts w:cs="Arial"/>
                <w:sz w:val="14"/>
                <w:szCs w:val="14"/>
              </w:rPr>
              <w:t xml:space="preserve">Quarterly </w:t>
            </w:r>
          </w:p>
        </w:tc>
        <w:tc>
          <w:tcPr>
            <w:tcW w:w="594" w:type="pct"/>
            <w:vMerge w:val="restart"/>
            <w:tcBorders>
              <w:top w:val="single" w:sz="4" w:space="0" w:color="000000"/>
              <w:left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sidRPr="001266BD">
              <w:rPr>
                <w:rFonts w:cs="Calibri"/>
                <w:bCs/>
                <w:sz w:val="14"/>
                <w:szCs w:val="14"/>
              </w:rPr>
              <w:t>Integration of RID into community and sector planning appraisal processes. Provision of training for guidelines and tools developed. Integration of institutionalised capacity for planning and finance at community and sector level</w:t>
            </w:r>
          </w:p>
        </w:tc>
        <w:tc>
          <w:tcPr>
            <w:tcW w:w="3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7EAC" w:rsidRPr="009A421E" w:rsidRDefault="00F87EAC" w:rsidP="00E67D7C">
            <w:pPr>
              <w:spacing w:line="276" w:lineRule="auto"/>
              <w:rPr>
                <w:rFonts w:cs="Arial"/>
                <w:sz w:val="14"/>
                <w:szCs w:val="14"/>
              </w:rPr>
            </w:pPr>
            <w:r w:rsidRPr="009A421E">
              <w:rPr>
                <w:rFonts w:cs="Arial"/>
                <w:sz w:val="14"/>
                <w:szCs w:val="14"/>
              </w:rPr>
              <w:t xml:space="preserve">National and subnational resilient development posts, with support from technical </w:t>
            </w:r>
            <w:r>
              <w:rPr>
                <w:rFonts w:cs="Arial"/>
                <w:sz w:val="14"/>
                <w:szCs w:val="14"/>
              </w:rPr>
              <w:t>advisors</w:t>
            </w:r>
          </w:p>
        </w:tc>
        <w:tc>
          <w:tcPr>
            <w:tcW w:w="29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7EAC" w:rsidRPr="009A421E" w:rsidRDefault="00F87EAC" w:rsidP="00E67D7C">
            <w:pPr>
              <w:spacing w:line="276" w:lineRule="auto"/>
              <w:rPr>
                <w:rFonts w:cs="Arial"/>
                <w:sz w:val="14"/>
                <w:szCs w:val="14"/>
              </w:rPr>
            </w:pPr>
            <w:r>
              <w:rPr>
                <w:rFonts w:cs="Arial"/>
                <w:sz w:val="14"/>
                <w:szCs w:val="14"/>
              </w:rPr>
              <w:t>10</w:t>
            </w:r>
          </w:p>
        </w:tc>
        <w:tc>
          <w:tcPr>
            <w:tcW w:w="396" w:type="pct"/>
            <w:vMerge w:val="restart"/>
            <w:tcBorders>
              <w:top w:val="single" w:sz="4" w:space="0" w:color="000000"/>
              <w:left w:val="single" w:sz="4" w:space="0" w:color="000000"/>
              <w:right w:val="single" w:sz="4" w:space="0" w:color="000000"/>
            </w:tcBorders>
            <w:shd w:val="clear" w:color="auto" w:fill="FFFFFF"/>
            <w:vAlign w:val="center"/>
          </w:tcPr>
          <w:p w:rsidR="00F87EAC" w:rsidRPr="00921F96" w:rsidRDefault="00F87EAC" w:rsidP="00E67D7C">
            <w:pPr>
              <w:spacing w:line="276" w:lineRule="auto"/>
              <w:rPr>
                <w:rFonts w:cs="Calibri"/>
                <w:bCs/>
                <w:sz w:val="14"/>
                <w:szCs w:val="14"/>
              </w:rPr>
            </w:pPr>
            <w:r>
              <w:rPr>
                <w:rFonts w:cs="Calibri"/>
                <w:bCs/>
                <w:sz w:val="14"/>
                <w:szCs w:val="14"/>
              </w:rPr>
              <w:t>D</w:t>
            </w:r>
            <w:r w:rsidRPr="00921F96">
              <w:rPr>
                <w:rFonts w:cs="Calibri"/>
                <w:bCs/>
                <w:sz w:val="14"/>
                <w:szCs w:val="14"/>
              </w:rPr>
              <w:t xml:space="preserve">ecision-makers </w:t>
            </w:r>
            <w:r>
              <w:rPr>
                <w:rFonts w:cs="Calibri"/>
                <w:bCs/>
                <w:sz w:val="14"/>
                <w:szCs w:val="14"/>
              </w:rPr>
              <w:t xml:space="preserve">are </w:t>
            </w:r>
            <w:r w:rsidRPr="00921F96">
              <w:rPr>
                <w:rFonts w:cs="Calibri"/>
                <w:bCs/>
                <w:sz w:val="14"/>
                <w:szCs w:val="14"/>
              </w:rPr>
              <w:t>influenced by demonstrated GS&amp;I RID</w:t>
            </w:r>
          </w:p>
          <w:p w:rsidR="00F87EAC" w:rsidRPr="00921F96" w:rsidRDefault="00F87EAC" w:rsidP="00E67D7C">
            <w:pPr>
              <w:spacing w:line="276" w:lineRule="auto"/>
              <w:rPr>
                <w:rFonts w:cs="Calibri"/>
                <w:bCs/>
                <w:sz w:val="14"/>
                <w:szCs w:val="14"/>
              </w:rPr>
            </w:pPr>
          </w:p>
        </w:tc>
      </w:tr>
      <w:tr w:rsidR="00F87EAC" w:rsidRPr="009A421E" w:rsidTr="00E67D7C">
        <w:trPr>
          <w:trHeight w:val="175"/>
        </w:trPr>
        <w:tc>
          <w:tcPr>
            <w:tcW w:w="594" w:type="pct"/>
            <w:vMerge/>
            <w:tcBorders>
              <w:left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p>
        </w:tc>
        <w:tc>
          <w:tcPr>
            <w:tcW w:w="941"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 xml:space="preserve">Indicator </w:t>
            </w:r>
            <w:r>
              <w:rPr>
                <w:rFonts w:cs="Arial"/>
                <w:sz w:val="14"/>
                <w:szCs w:val="14"/>
              </w:rPr>
              <w:t>1.2.2</w:t>
            </w:r>
          </w:p>
        </w:tc>
        <w:tc>
          <w:tcPr>
            <w:tcW w:w="346"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Baseline</w:t>
            </w:r>
            <w:r>
              <w:rPr>
                <w:rFonts w:cs="Arial"/>
                <w:sz w:val="14"/>
                <w:szCs w:val="14"/>
              </w:rPr>
              <w:t xml:space="preserve"> (=0)</w:t>
            </w:r>
          </w:p>
        </w:tc>
        <w:tc>
          <w:tcPr>
            <w:tcW w:w="346" w:type="pct"/>
            <w:vMerge/>
            <w:tcBorders>
              <w:left w:val="nil"/>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p>
        </w:tc>
        <w:tc>
          <w:tcPr>
            <w:tcW w:w="445" w:type="pct"/>
            <w:vMerge/>
            <w:tcBorders>
              <w:left w:val="nil"/>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p>
        </w:tc>
        <w:tc>
          <w:tcPr>
            <w:tcW w:w="346" w:type="pct"/>
            <w:vMerge/>
            <w:tcBorders>
              <w:left w:val="nil"/>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p>
        </w:tc>
        <w:tc>
          <w:tcPr>
            <w:tcW w:w="298"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Frequency of data collection</w:t>
            </w:r>
          </w:p>
        </w:tc>
        <w:tc>
          <w:tcPr>
            <w:tcW w:w="594" w:type="pct"/>
            <w:vMerge/>
            <w:tcBorders>
              <w:left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p>
        </w:tc>
        <w:tc>
          <w:tcPr>
            <w:tcW w:w="39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87EAC" w:rsidRPr="009A421E" w:rsidRDefault="00F87EAC" w:rsidP="00E67D7C">
            <w:pPr>
              <w:spacing w:line="276" w:lineRule="auto"/>
              <w:rPr>
                <w:rFonts w:cs="Arial"/>
                <w:sz w:val="14"/>
                <w:szCs w:val="14"/>
              </w:rPr>
            </w:pPr>
            <w:r w:rsidRPr="009A421E">
              <w:rPr>
                <w:rFonts w:cs="Arial"/>
                <w:sz w:val="14"/>
                <w:szCs w:val="14"/>
              </w:rPr>
              <w:t>Responsible Party</w:t>
            </w:r>
          </w:p>
        </w:tc>
        <w:tc>
          <w:tcPr>
            <w:tcW w:w="29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87EAC" w:rsidRPr="009A421E" w:rsidRDefault="00F87EAC" w:rsidP="00E67D7C">
            <w:pPr>
              <w:spacing w:line="276" w:lineRule="auto"/>
              <w:rPr>
                <w:rFonts w:cs="Arial"/>
                <w:sz w:val="14"/>
                <w:szCs w:val="14"/>
              </w:rPr>
            </w:pPr>
            <w:r w:rsidRPr="009A421E">
              <w:rPr>
                <w:rFonts w:cs="Arial"/>
                <w:sz w:val="14"/>
                <w:szCs w:val="14"/>
              </w:rPr>
              <w:t>Planned Target (20</w:t>
            </w:r>
            <w:r>
              <w:rPr>
                <w:rFonts w:cs="Arial"/>
                <w:sz w:val="14"/>
                <w:szCs w:val="14"/>
              </w:rPr>
              <w:t>20</w:t>
            </w:r>
            <w:r w:rsidRPr="009A421E">
              <w:rPr>
                <w:rFonts w:cs="Arial"/>
                <w:sz w:val="14"/>
                <w:szCs w:val="14"/>
              </w:rPr>
              <w:t>)</w:t>
            </w:r>
          </w:p>
        </w:tc>
        <w:tc>
          <w:tcPr>
            <w:tcW w:w="396" w:type="pct"/>
            <w:vMerge/>
            <w:tcBorders>
              <w:left w:val="single" w:sz="4" w:space="0" w:color="000000"/>
              <w:right w:val="single" w:sz="4" w:space="0" w:color="000000"/>
            </w:tcBorders>
            <w:shd w:val="clear" w:color="auto" w:fill="BFBFBF" w:themeFill="background1" w:themeFillShade="BF"/>
            <w:vAlign w:val="center"/>
          </w:tcPr>
          <w:p w:rsidR="00F87EAC" w:rsidRPr="009A421E" w:rsidRDefault="00F87EAC" w:rsidP="00E67D7C">
            <w:pPr>
              <w:spacing w:line="276" w:lineRule="auto"/>
              <w:rPr>
                <w:rFonts w:cs="Arial"/>
                <w:sz w:val="14"/>
                <w:szCs w:val="14"/>
              </w:rPr>
            </w:pPr>
          </w:p>
        </w:tc>
      </w:tr>
      <w:tr w:rsidR="00F87EAC" w:rsidRPr="009A421E" w:rsidTr="00E67D7C">
        <w:trPr>
          <w:trHeight w:val="175"/>
        </w:trPr>
        <w:tc>
          <w:tcPr>
            <w:tcW w:w="594" w:type="pct"/>
            <w:vMerge/>
            <w:tcBorders>
              <w:left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p>
        </w:tc>
        <w:tc>
          <w:tcPr>
            <w:tcW w:w="941"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Pr>
                <w:rFonts w:cs="Calibri"/>
                <w:bCs/>
                <w:sz w:val="14"/>
                <w:szCs w:val="14"/>
              </w:rPr>
              <w:t>Number</w:t>
            </w:r>
            <w:r w:rsidRPr="005057AA">
              <w:rPr>
                <w:rFonts w:cs="Calibri"/>
                <w:bCs/>
                <w:sz w:val="14"/>
                <w:szCs w:val="14"/>
              </w:rPr>
              <w:t xml:space="preserve"> of sector measures which reference GS&amp;I CC&amp;D risk</w:t>
            </w:r>
          </w:p>
        </w:tc>
        <w:tc>
          <w:tcPr>
            <w:tcW w:w="346"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sidRPr="00066DA7">
              <w:rPr>
                <w:rFonts w:cs="Calibri"/>
                <w:bCs/>
                <w:sz w:val="14"/>
                <w:szCs w:val="14"/>
              </w:rPr>
              <w:t>Sector measures do not consider RID</w:t>
            </w:r>
          </w:p>
        </w:tc>
        <w:tc>
          <w:tcPr>
            <w:tcW w:w="346" w:type="pct"/>
            <w:vMerge/>
            <w:tcBorders>
              <w:left w:val="nil"/>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p>
        </w:tc>
        <w:tc>
          <w:tcPr>
            <w:tcW w:w="445" w:type="pct"/>
            <w:vMerge/>
            <w:tcBorders>
              <w:left w:val="nil"/>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p>
        </w:tc>
        <w:tc>
          <w:tcPr>
            <w:tcW w:w="346" w:type="pct"/>
            <w:vMerge/>
            <w:tcBorders>
              <w:left w:val="nil"/>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p>
        </w:tc>
        <w:tc>
          <w:tcPr>
            <w:tcW w:w="298"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Pr>
                <w:rFonts w:cs="Arial"/>
                <w:sz w:val="14"/>
                <w:szCs w:val="14"/>
              </w:rPr>
              <w:t xml:space="preserve">Quarterly </w:t>
            </w:r>
          </w:p>
        </w:tc>
        <w:tc>
          <w:tcPr>
            <w:tcW w:w="594" w:type="pct"/>
            <w:vMerge/>
            <w:tcBorders>
              <w:left w:val="single" w:sz="4" w:space="0" w:color="000000"/>
              <w:bottom w:val="single" w:sz="4" w:space="0" w:color="000000"/>
              <w:right w:val="single" w:sz="4" w:space="0" w:color="000000"/>
            </w:tcBorders>
            <w:shd w:val="clear" w:color="auto" w:fill="FFFFFF"/>
            <w:noWrap/>
            <w:vAlign w:val="center"/>
          </w:tcPr>
          <w:p w:rsidR="00F87EAC" w:rsidRPr="009A421E" w:rsidRDefault="00F87EAC" w:rsidP="00E67D7C">
            <w:pPr>
              <w:pStyle w:val="MediumGrid1-Accent21"/>
              <w:spacing w:line="276" w:lineRule="auto"/>
              <w:ind w:left="0"/>
              <w:rPr>
                <w:rFonts w:ascii="Arial" w:hAnsi="Arial" w:cs="Arial"/>
                <w:sz w:val="14"/>
                <w:szCs w:val="14"/>
              </w:rPr>
            </w:pPr>
          </w:p>
        </w:tc>
        <w:tc>
          <w:tcPr>
            <w:tcW w:w="3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7EAC" w:rsidRPr="009A421E" w:rsidRDefault="00F87EAC" w:rsidP="00E67D7C">
            <w:pPr>
              <w:spacing w:line="276" w:lineRule="auto"/>
              <w:rPr>
                <w:rFonts w:cs="Arial"/>
                <w:sz w:val="14"/>
                <w:szCs w:val="14"/>
              </w:rPr>
            </w:pPr>
            <w:r w:rsidRPr="009A421E">
              <w:rPr>
                <w:rFonts w:cs="Arial"/>
                <w:sz w:val="14"/>
                <w:szCs w:val="14"/>
              </w:rPr>
              <w:t xml:space="preserve">Resilient development posts in </w:t>
            </w:r>
            <w:r>
              <w:rPr>
                <w:rFonts w:cs="Arial"/>
                <w:sz w:val="14"/>
                <w:szCs w:val="14"/>
              </w:rPr>
              <w:t xml:space="preserve">sectoral and GSI </w:t>
            </w:r>
            <w:r w:rsidRPr="009A421E">
              <w:rPr>
                <w:rFonts w:cs="Arial"/>
                <w:sz w:val="14"/>
                <w:szCs w:val="14"/>
              </w:rPr>
              <w:t>ministries</w:t>
            </w:r>
          </w:p>
        </w:tc>
        <w:tc>
          <w:tcPr>
            <w:tcW w:w="29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7EAC" w:rsidRPr="009A421E" w:rsidRDefault="00F87EAC" w:rsidP="00E67D7C">
            <w:pPr>
              <w:spacing w:line="276" w:lineRule="auto"/>
              <w:rPr>
                <w:rFonts w:cs="Arial"/>
                <w:sz w:val="14"/>
                <w:szCs w:val="14"/>
              </w:rPr>
            </w:pPr>
            <w:r>
              <w:rPr>
                <w:rFonts w:cs="Arial"/>
                <w:sz w:val="14"/>
                <w:szCs w:val="14"/>
              </w:rPr>
              <w:t>2</w:t>
            </w:r>
          </w:p>
        </w:tc>
        <w:tc>
          <w:tcPr>
            <w:tcW w:w="396" w:type="pct"/>
            <w:vMerge/>
            <w:tcBorders>
              <w:left w:val="single" w:sz="4" w:space="0" w:color="000000"/>
              <w:right w:val="single" w:sz="4" w:space="0" w:color="000000"/>
            </w:tcBorders>
            <w:shd w:val="clear" w:color="auto" w:fill="FFFFFF"/>
            <w:vAlign w:val="center"/>
          </w:tcPr>
          <w:p w:rsidR="00F87EAC" w:rsidRPr="009A421E" w:rsidRDefault="00F87EAC" w:rsidP="00E67D7C">
            <w:pPr>
              <w:spacing w:line="276" w:lineRule="auto"/>
              <w:rPr>
                <w:rFonts w:cs="Arial"/>
                <w:sz w:val="14"/>
                <w:szCs w:val="14"/>
              </w:rPr>
            </w:pPr>
          </w:p>
        </w:tc>
      </w:tr>
      <w:tr w:rsidR="00F87EAC" w:rsidRPr="009A421E" w:rsidTr="00E67D7C">
        <w:trPr>
          <w:trHeight w:val="175"/>
        </w:trPr>
        <w:tc>
          <w:tcPr>
            <w:tcW w:w="594" w:type="pct"/>
            <w:vMerge/>
            <w:tcBorders>
              <w:left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p>
        </w:tc>
        <w:tc>
          <w:tcPr>
            <w:tcW w:w="941"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 xml:space="preserve">Indicator </w:t>
            </w:r>
            <w:r>
              <w:rPr>
                <w:rFonts w:cs="Arial"/>
                <w:sz w:val="14"/>
                <w:szCs w:val="14"/>
              </w:rPr>
              <w:t>1.2.3</w:t>
            </w:r>
          </w:p>
        </w:tc>
        <w:tc>
          <w:tcPr>
            <w:tcW w:w="346"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Baseline</w:t>
            </w:r>
            <w:r>
              <w:rPr>
                <w:rFonts w:cs="Arial"/>
                <w:sz w:val="14"/>
                <w:szCs w:val="14"/>
              </w:rPr>
              <w:t xml:space="preserve"> (=0)</w:t>
            </w:r>
          </w:p>
        </w:tc>
        <w:tc>
          <w:tcPr>
            <w:tcW w:w="346" w:type="pct"/>
            <w:vMerge/>
            <w:tcBorders>
              <w:left w:val="nil"/>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p>
        </w:tc>
        <w:tc>
          <w:tcPr>
            <w:tcW w:w="445" w:type="pct"/>
            <w:vMerge/>
            <w:tcBorders>
              <w:left w:val="nil"/>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p>
        </w:tc>
        <w:tc>
          <w:tcPr>
            <w:tcW w:w="346" w:type="pct"/>
            <w:vMerge/>
            <w:tcBorders>
              <w:left w:val="nil"/>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p>
        </w:tc>
        <w:tc>
          <w:tcPr>
            <w:tcW w:w="298"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Frequency of data collection</w:t>
            </w:r>
          </w:p>
        </w:tc>
        <w:tc>
          <w:tcPr>
            <w:tcW w:w="594"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Activity 1.2.1</w:t>
            </w:r>
          </w:p>
        </w:tc>
        <w:tc>
          <w:tcPr>
            <w:tcW w:w="39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87EAC" w:rsidRPr="009A421E" w:rsidRDefault="00F87EAC" w:rsidP="00E67D7C">
            <w:pPr>
              <w:spacing w:line="276" w:lineRule="auto"/>
              <w:rPr>
                <w:rFonts w:cs="Arial"/>
                <w:sz w:val="14"/>
                <w:szCs w:val="14"/>
              </w:rPr>
            </w:pPr>
            <w:r w:rsidRPr="009A421E">
              <w:rPr>
                <w:rFonts w:cs="Arial"/>
                <w:sz w:val="14"/>
                <w:szCs w:val="14"/>
              </w:rPr>
              <w:t>Responsible Party</w:t>
            </w:r>
          </w:p>
        </w:tc>
        <w:tc>
          <w:tcPr>
            <w:tcW w:w="29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87EAC" w:rsidRPr="009A421E" w:rsidRDefault="00F87EAC" w:rsidP="00E67D7C">
            <w:pPr>
              <w:spacing w:line="276" w:lineRule="auto"/>
              <w:rPr>
                <w:rFonts w:cs="Arial"/>
                <w:sz w:val="14"/>
                <w:szCs w:val="14"/>
              </w:rPr>
            </w:pPr>
            <w:r w:rsidRPr="009A421E">
              <w:rPr>
                <w:rFonts w:cs="Arial"/>
                <w:sz w:val="14"/>
                <w:szCs w:val="14"/>
              </w:rPr>
              <w:t>Planned Target (20</w:t>
            </w:r>
            <w:r>
              <w:rPr>
                <w:rFonts w:cs="Arial"/>
                <w:sz w:val="14"/>
                <w:szCs w:val="14"/>
              </w:rPr>
              <w:t>20</w:t>
            </w:r>
            <w:r w:rsidRPr="009A421E">
              <w:rPr>
                <w:rFonts w:cs="Arial"/>
                <w:sz w:val="14"/>
                <w:szCs w:val="14"/>
              </w:rPr>
              <w:t>)</w:t>
            </w:r>
          </w:p>
        </w:tc>
        <w:tc>
          <w:tcPr>
            <w:tcW w:w="396" w:type="pct"/>
            <w:vMerge/>
            <w:tcBorders>
              <w:left w:val="single" w:sz="4" w:space="0" w:color="000000"/>
              <w:right w:val="single" w:sz="4" w:space="0" w:color="000000"/>
            </w:tcBorders>
            <w:shd w:val="clear" w:color="auto" w:fill="BFBFBF" w:themeFill="background1" w:themeFillShade="BF"/>
            <w:vAlign w:val="center"/>
          </w:tcPr>
          <w:p w:rsidR="00F87EAC" w:rsidRPr="009A421E" w:rsidRDefault="00F87EAC" w:rsidP="00E67D7C">
            <w:pPr>
              <w:spacing w:line="276" w:lineRule="auto"/>
              <w:rPr>
                <w:rFonts w:cs="Arial"/>
                <w:sz w:val="14"/>
                <w:szCs w:val="14"/>
              </w:rPr>
            </w:pPr>
          </w:p>
        </w:tc>
      </w:tr>
      <w:tr w:rsidR="00F87EAC" w:rsidRPr="009A421E" w:rsidTr="00E67D7C">
        <w:trPr>
          <w:trHeight w:val="175"/>
        </w:trPr>
        <w:tc>
          <w:tcPr>
            <w:tcW w:w="594" w:type="pct"/>
            <w:vMerge/>
            <w:tcBorders>
              <w:left w:val="single" w:sz="4" w:space="0" w:color="000000"/>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p>
        </w:tc>
        <w:tc>
          <w:tcPr>
            <w:tcW w:w="941" w:type="pct"/>
            <w:tcBorders>
              <w:top w:val="single" w:sz="4" w:space="0" w:color="000000"/>
              <w:left w:val="nil"/>
              <w:bottom w:val="single" w:sz="4" w:space="0" w:color="000000"/>
              <w:right w:val="single" w:sz="4" w:space="0" w:color="000000"/>
            </w:tcBorders>
            <w:shd w:val="clear" w:color="auto" w:fill="FFFFFF"/>
            <w:noWrap/>
            <w:vAlign w:val="center"/>
          </w:tcPr>
          <w:p w:rsidR="00F87EAC" w:rsidRPr="005057AA" w:rsidRDefault="00F87EAC" w:rsidP="00E67D7C">
            <w:pPr>
              <w:spacing w:before="80" w:after="80"/>
              <w:rPr>
                <w:rFonts w:cs="Calibri"/>
                <w:bCs/>
                <w:sz w:val="14"/>
                <w:szCs w:val="14"/>
              </w:rPr>
            </w:pPr>
            <w:r>
              <w:rPr>
                <w:rFonts w:cs="Calibri"/>
                <w:bCs/>
                <w:sz w:val="14"/>
                <w:szCs w:val="14"/>
              </w:rPr>
              <w:t>Number</w:t>
            </w:r>
            <w:r w:rsidRPr="005057AA">
              <w:rPr>
                <w:rFonts w:cs="Calibri"/>
                <w:bCs/>
                <w:sz w:val="14"/>
                <w:szCs w:val="14"/>
              </w:rPr>
              <w:t xml:space="preserve"> of targeted implementation projects able to demonstrate:</w:t>
            </w:r>
          </w:p>
          <w:p w:rsidR="00F87EAC" w:rsidRPr="005057AA" w:rsidRDefault="00F87EAC" w:rsidP="009D6B25">
            <w:pPr>
              <w:numPr>
                <w:ilvl w:val="0"/>
                <w:numId w:val="5"/>
              </w:numPr>
              <w:tabs>
                <w:tab w:val="clear" w:pos="360"/>
                <w:tab w:val="num" w:pos="168"/>
              </w:tabs>
              <w:spacing w:before="80" w:after="80" w:line="240" w:lineRule="auto"/>
              <w:ind w:left="170" w:hanging="170"/>
              <w:rPr>
                <w:rFonts w:cs="Calibri"/>
                <w:bCs/>
                <w:sz w:val="14"/>
                <w:szCs w:val="14"/>
              </w:rPr>
            </w:pPr>
            <w:r w:rsidRPr="005057AA">
              <w:rPr>
                <w:rFonts w:cs="Calibri"/>
                <w:bCs/>
                <w:sz w:val="14"/>
                <w:szCs w:val="14"/>
              </w:rPr>
              <w:t xml:space="preserve">increased cost efficiencies and savings, </w:t>
            </w:r>
          </w:p>
          <w:p w:rsidR="00F87EAC" w:rsidRPr="005057AA" w:rsidRDefault="00F87EAC" w:rsidP="009D6B25">
            <w:pPr>
              <w:numPr>
                <w:ilvl w:val="0"/>
                <w:numId w:val="5"/>
              </w:numPr>
              <w:tabs>
                <w:tab w:val="clear" w:pos="360"/>
                <w:tab w:val="num" w:pos="168"/>
              </w:tabs>
              <w:spacing w:before="80" w:after="80" w:line="240" w:lineRule="auto"/>
              <w:ind w:left="170" w:hanging="170"/>
              <w:rPr>
                <w:rFonts w:cs="Calibri"/>
                <w:bCs/>
                <w:sz w:val="14"/>
                <w:szCs w:val="14"/>
              </w:rPr>
            </w:pPr>
            <w:r w:rsidRPr="005057AA">
              <w:rPr>
                <w:rFonts w:cs="Calibri"/>
                <w:bCs/>
                <w:sz w:val="14"/>
                <w:szCs w:val="14"/>
              </w:rPr>
              <w:t>leveraging of additional resources,</w:t>
            </w:r>
          </w:p>
          <w:p w:rsidR="00F87EAC" w:rsidRPr="009A421E" w:rsidRDefault="00F87EAC" w:rsidP="00E67D7C">
            <w:pPr>
              <w:spacing w:line="276" w:lineRule="auto"/>
              <w:rPr>
                <w:rFonts w:cs="Arial"/>
                <w:sz w:val="14"/>
                <w:szCs w:val="14"/>
              </w:rPr>
            </w:pPr>
            <w:r w:rsidRPr="005057AA">
              <w:rPr>
                <w:rFonts w:cs="Calibri"/>
                <w:bCs/>
                <w:sz w:val="14"/>
                <w:szCs w:val="14"/>
              </w:rPr>
              <w:t>increased wellbeing for people</w:t>
            </w:r>
            <w:r>
              <w:rPr>
                <w:rFonts w:cs="Calibri"/>
                <w:bCs/>
                <w:sz w:val="14"/>
                <w:szCs w:val="14"/>
              </w:rPr>
              <w:t>.</w:t>
            </w:r>
          </w:p>
        </w:tc>
        <w:tc>
          <w:tcPr>
            <w:tcW w:w="346"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sidRPr="00066DA7">
              <w:rPr>
                <w:rFonts w:cs="Calibri"/>
                <w:bCs/>
                <w:sz w:val="14"/>
                <w:szCs w:val="14"/>
              </w:rPr>
              <w:t>Projects being delivered do not consider RID</w:t>
            </w:r>
          </w:p>
        </w:tc>
        <w:tc>
          <w:tcPr>
            <w:tcW w:w="346" w:type="pct"/>
            <w:vMerge/>
            <w:tcBorders>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p>
        </w:tc>
        <w:tc>
          <w:tcPr>
            <w:tcW w:w="445" w:type="pct"/>
            <w:vMerge/>
            <w:tcBorders>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p>
        </w:tc>
        <w:tc>
          <w:tcPr>
            <w:tcW w:w="346" w:type="pct"/>
            <w:vMerge/>
            <w:tcBorders>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p>
        </w:tc>
        <w:tc>
          <w:tcPr>
            <w:tcW w:w="298"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Pr>
                <w:rFonts w:cs="Arial"/>
                <w:sz w:val="14"/>
                <w:szCs w:val="14"/>
              </w:rPr>
              <w:t xml:space="preserve">Quarterly </w:t>
            </w:r>
          </w:p>
        </w:tc>
        <w:tc>
          <w:tcPr>
            <w:tcW w:w="59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sidRPr="001266BD">
              <w:rPr>
                <w:rFonts w:cs="Calibri"/>
                <w:bCs/>
                <w:sz w:val="14"/>
                <w:szCs w:val="14"/>
              </w:rPr>
              <w:t>Targeted implementation of RID project at community and sector level</w:t>
            </w:r>
          </w:p>
        </w:tc>
        <w:tc>
          <w:tcPr>
            <w:tcW w:w="3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7EAC" w:rsidRPr="009A421E" w:rsidRDefault="00F87EAC" w:rsidP="00E67D7C">
            <w:pPr>
              <w:spacing w:line="276" w:lineRule="auto"/>
              <w:rPr>
                <w:rFonts w:cs="Arial"/>
                <w:sz w:val="14"/>
                <w:szCs w:val="14"/>
              </w:rPr>
            </w:pPr>
            <w:r w:rsidRPr="009A421E">
              <w:rPr>
                <w:rFonts w:cs="Arial"/>
                <w:sz w:val="14"/>
                <w:szCs w:val="14"/>
              </w:rPr>
              <w:t xml:space="preserve">Resilient development posts in </w:t>
            </w:r>
            <w:r>
              <w:rPr>
                <w:rFonts w:cs="Arial"/>
                <w:sz w:val="14"/>
                <w:szCs w:val="14"/>
              </w:rPr>
              <w:t xml:space="preserve">sectoral and GSI </w:t>
            </w:r>
            <w:r w:rsidRPr="009A421E">
              <w:rPr>
                <w:rFonts w:cs="Arial"/>
                <w:sz w:val="14"/>
                <w:szCs w:val="14"/>
              </w:rPr>
              <w:t>ministries</w:t>
            </w:r>
            <w:r>
              <w:rPr>
                <w:rFonts w:cs="Arial"/>
                <w:sz w:val="14"/>
                <w:szCs w:val="14"/>
              </w:rPr>
              <w:t xml:space="preserve"> and technical advisors</w:t>
            </w:r>
          </w:p>
        </w:tc>
        <w:tc>
          <w:tcPr>
            <w:tcW w:w="29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7EAC" w:rsidRPr="009A421E" w:rsidRDefault="00F87EAC" w:rsidP="00E67D7C">
            <w:pPr>
              <w:spacing w:line="276" w:lineRule="auto"/>
              <w:rPr>
                <w:rFonts w:cs="Arial"/>
                <w:sz w:val="14"/>
                <w:szCs w:val="14"/>
              </w:rPr>
            </w:pPr>
            <w:r>
              <w:rPr>
                <w:rFonts w:cs="Arial"/>
                <w:sz w:val="14"/>
                <w:szCs w:val="14"/>
              </w:rPr>
              <w:t>3</w:t>
            </w:r>
          </w:p>
        </w:tc>
        <w:tc>
          <w:tcPr>
            <w:tcW w:w="396" w:type="pct"/>
            <w:vMerge/>
            <w:tcBorders>
              <w:left w:val="single" w:sz="4" w:space="0" w:color="000000"/>
              <w:bottom w:val="single" w:sz="4" w:space="0" w:color="000000"/>
              <w:right w:val="single" w:sz="4" w:space="0" w:color="000000"/>
            </w:tcBorders>
            <w:shd w:val="clear" w:color="auto" w:fill="FFFFFF"/>
            <w:vAlign w:val="center"/>
          </w:tcPr>
          <w:p w:rsidR="00F87EAC" w:rsidRPr="009A421E" w:rsidRDefault="00F87EAC" w:rsidP="00E67D7C">
            <w:pPr>
              <w:spacing w:line="276" w:lineRule="auto"/>
              <w:rPr>
                <w:rFonts w:cs="Arial"/>
                <w:sz w:val="14"/>
                <w:szCs w:val="14"/>
              </w:rPr>
            </w:pPr>
          </w:p>
        </w:tc>
      </w:tr>
      <w:tr w:rsidR="00F87EAC" w:rsidRPr="009A421E" w:rsidTr="00E67D7C">
        <w:trPr>
          <w:trHeight w:val="175"/>
        </w:trPr>
        <w:tc>
          <w:tcPr>
            <w:tcW w:w="594"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Output 1.</w:t>
            </w:r>
            <w:r>
              <w:rPr>
                <w:rFonts w:cs="Arial"/>
                <w:sz w:val="14"/>
                <w:szCs w:val="14"/>
              </w:rPr>
              <w:t>3</w:t>
            </w:r>
          </w:p>
        </w:tc>
        <w:tc>
          <w:tcPr>
            <w:tcW w:w="941"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 xml:space="preserve">Indicator </w:t>
            </w:r>
            <w:r>
              <w:rPr>
                <w:rFonts w:cs="Arial"/>
                <w:sz w:val="14"/>
                <w:szCs w:val="14"/>
              </w:rPr>
              <w:t>1.3.1</w:t>
            </w:r>
          </w:p>
        </w:tc>
        <w:tc>
          <w:tcPr>
            <w:tcW w:w="346"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Baseline</w:t>
            </w:r>
            <w:r>
              <w:rPr>
                <w:rFonts w:cs="Arial"/>
                <w:sz w:val="14"/>
                <w:szCs w:val="14"/>
              </w:rPr>
              <w:t xml:space="preserve"> (=0)</w:t>
            </w:r>
          </w:p>
        </w:tc>
        <w:tc>
          <w:tcPr>
            <w:tcW w:w="346"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Target</w:t>
            </w:r>
          </w:p>
        </w:tc>
        <w:tc>
          <w:tcPr>
            <w:tcW w:w="445"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Pr>
                <w:rFonts w:cs="Arial"/>
                <w:sz w:val="14"/>
                <w:szCs w:val="14"/>
              </w:rPr>
              <w:t>Source of data</w:t>
            </w:r>
          </w:p>
        </w:tc>
        <w:tc>
          <w:tcPr>
            <w:tcW w:w="346"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Means of Verification</w:t>
            </w:r>
          </w:p>
        </w:tc>
        <w:tc>
          <w:tcPr>
            <w:tcW w:w="298"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Frequency of data collection</w:t>
            </w:r>
          </w:p>
        </w:tc>
        <w:tc>
          <w:tcPr>
            <w:tcW w:w="594"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vAlign w:val="center"/>
          </w:tcPr>
          <w:p w:rsidR="00F87EAC" w:rsidRPr="00666FA7" w:rsidRDefault="00F87EAC" w:rsidP="00E67D7C">
            <w:pPr>
              <w:pStyle w:val="MediumGrid1-Accent21"/>
              <w:spacing w:line="276" w:lineRule="auto"/>
              <w:ind w:left="0"/>
              <w:rPr>
                <w:rFonts w:ascii="Arial" w:eastAsia="Malgun Gothic" w:hAnsi="Arial" w:cs="Arial"/>
                <w:sz w:val="14"/>
                <w:szCs w:val="14"/>
                <w:lang w:val="en-GB"/>
              </w:rPr>
            </w:pPr>
            <w:r w:rsidRPr="00666FA7">
              <w:rPr>
                <w:rFonts w:ascii="Arial" w:eastAsia="Malgun Gothic" w:hAnsi="Arial" w:cs="Arial"/>
                <w:sz w:val="14"/>
                <w:szCs w:val="14"/>
                <w:lang w:val="en-GB"/>
              </w:rPr>
              <w:t>Activity 1.</w:t>
            </w:r>
            <w:r>
              <w:rPr>
                <w:rFonts w:ascii="Arial" w:eastAsia="Malgun Gothic" w:hAnsi="Arial" w:cs="Arial"/>
                <w:sz w:val="14"/>
                <w:szCs w:val="14"/>
                <w:lang w:val="en-GB"/>
              </w:rPr>
              <w:t>3.1</w:t>
            </w:r>
          </w:p>
        </w:tc>
        <w:tc>
          <w:tcPr>
            <w:tcW w:w="39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87EAC" w:rsidRPr="009A421E" w:rsidRDefault="00F87EAC" w:rsidP="00E67D7C">
            <w:pPr>
              <w:spacing w:line="276" w:lineRule="auto"/>
              <w:rPr>
                <w:rFonts w:cs="Arial"/>
                <w:sz w:val="14"/>
                <w:szCs w:val="14"/>
              </w:rPr>
            </w:pPr>
            <w:r w:rsidRPr="009A421E">
              <w:rPr>
                <w:rFonts w:cs="Arial"/>
                <w:sz w:val="14"/>
                <w:szCs w:val="14"/>
              </w:rPr>
              <w:t>Responsible Party</w:t>
            </w:r>
          </w:p>
        </w:tc>
        <w:tc>
          <w:tcPr>
            <w:tcW w:w="29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87EAC" w:rsidRPr="009A421E" w:rsidRDefault="00F87EAC" w:rsidP="00E67D7C">
            <w:pPr>
              <w:spacing w:line="276" w:lineRule="auto"/>
              <w:rPr>
                <w:rFonts w:cs="Arial"/>
                <w:sz w:val="14"/>
                <w:szCs w:val="14"/>
              </w:rPr>
            </w:pPr>
            <w:r w:rsidRPr="009A421E">
              <w:rPr>
                <w:rFonts w:cs="Arial"/>
                <w:sz w:val="14"/>
                <w:szCs w:val="14"/>
              </w:rPr>
              <w:t>Planned Target (20</w:t>
            </w:r>
            <w:r>
              <w:rPr>
                <w:rFonts w:cs="Arial"/>
                <w:sz w:val="14"/>
                <w:szCs w:val="14"/>
              </w:rPr>
              <w:t>20</w:t>
            </w:r>
            <w:r w:rsidRPr="009A421E">
              <w:rPr>
                <w:rFonts w:cs="Arial"/>
                <w:sz w:val="14"/>
                <w:szCs w:val="14"/>
              </w:rPr>
              <w:t>)</w:t>
            </w:r>
          </w:p>
        </w:tc>
        <w:tc>
          <w:tcPr>
            <w:tcW w:w="39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87EAC" w:rsidRPr="009A421E" w:rsidRDefault="00F87EAC" w:rsidP="00E67D7C">
            <w:pPr>
              <w:spacing w:line="276" w:lineRule="auto"/>
              <w:rPr>
                <w:rFonts w:cs="Arial"/>
                <w:sz w:val="14"/>
                <w:szCs w:val="14"/>
              </w:rPr>
            </w:pPr>
            <w:r>
              <w:rPr>
                <w:rFonts w:cs="Arial"/>
                <w:sz w:val="14"/>
                <w:szCs w:val="14"/>
              </w:rPr>
              <w:t>Assumption</w:t>
            </w:r>
          </w:p>
        </w:tc>
      </w:tr>
      <w:tr w:rsidR="00F87EAC" w:rsidRPr="00921F96" w:rsidTr="00E67D7C">
        <w:trPr>
          <w:trHeight w:val="175"/>
        </w:trPr>
        <w:tc>
          <w:tcPr>
            <w:tcW w:w="594" w:type="pct"/>
            <w:vMerge w:val="restart"/>
            <w:tcBorders>
              <w:left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sidRPr="005057AA">
              <w:rPr>
                <w:rFonts w:cs="Calibri"/>
                <w:bCs/>
                <w:sz w:val="14"/>
                <w:szCs w:val="14"/>
                <w:lang w:val="en-US"/>
              </w:rPr>
              <w:t>Gender and social inclusion representatives actively participating in shaping RID for government systems</w:t>
            </w:r>
          </w:p>
        </w:tc>
        <w:tc>
          <w:tcPr>
            <w:tcW w:w="941"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Pr>
                <w:rFonts w:cs="Calibri"/>
                <w:bCs/>
                <w:sz w:val="14"/>
                <w:szCs w:val="14"/>
              </w:rPr>
              <w:t>Number of national Ministries responsible for gender who participate in assessment and appraisal of planning and budget submissions</w:t>
            </w:r>
          </w:p>
        </w:tc>
        <w:tc>
          <w:tcPr>
            <w:tcW w:w="346" w:type="pct"/>
            <w:tcBorders>
              <w:top w:val="single" w:sz="4" w:space="0" w:color="000000"/>
              <w:left w:val="nil"/>
              <w:bottom w:val="single" w:sz="4" w:space="0" w:color="000000"/>
              <w:right w:val="single" w:sz="4" w:space="0" w:color="000000"/>
            </w:tcBorders>
            <w:shd w:val="clear" w:color="auto" w:fill="FFFFFF"/>
            <w:noWrap/>
            <w:vAlign w:val="center"/>
          </w:tcPr>
          <w:p w:rsidR="00F87EAC" w:rsidRPr="00066DA7" w:rsidRDefault="00F87EAC" w:rsidP="00E67D7C">
            <w:pPr>
              <w:spacing w:line="276" w:lineRule="auto"/>
              <w:rPr>
                <w:rFonts w:cs="Calibri"/>
                <w:bCs/>
                <w:sz w:val="14"/>
                <w:szCs w:val="14"/>
              </w:rPr>
            </w:pPr>
            <w:r w:rsidRPr="00066DA7">
              <w:rPr>
                <w:rFonts w:cs="Calibri"/>
                <w:bCs/>
                <w:sz w:val="14"/>
                <w:szCs w:val="14"/>
              </w:rPr>
              <w:t>Min of planning and finance do not consider input from Min responsible for gender in budget appraisal</w:t>
            </w:r>
          </w:p>
        </w:tc>
        <w:tc>
          <w:tcPr>
            <w:tcW w:w="346" w:type="pct"/>
            <w:vMerge w:val="restart"/>
            <w:tcBorders>
              <w:top w:val="single" w:sz="4" w:space="0" w:color="000000"/>
              <w:left w:val="nil"/>
              <w:right w:val="single" w:sz="4" w:space="0" w:color="000000"/>
            </w:tcBorders>
            <w:shd w:val="clear" w:color="auto" w:fill="FFFFFF"/>
            <w:noWrap/>
            <w:vAlign w:val="center"/>
          </w:tcPr>
          <w:p w:rsidR="00F87EAC" w:rsidRPr="002A2313" w:rsidRDefault="00F87EAC" w:rsidP="00E67D7C">
            <w:pPr>
              <w:spacing w:line="276" w:lineRule="auto"/>
              <w:rPr>
                <w:rFonts w:cs="Calibri"/>
                <w:bCs/>
                <w:sz w:val="14"/>
                <w:szCs w:val="14"/>
              </w:rPr>
            </w:pPr>
            <w:r w:rsidRPr="002A2313">
              <w:rPr>
                <w:rFonts w:cs="Calibri"/>
                <w:bCs/>
                <w:sz w:val="14"/>
                <w:szCs w:val="14"/>
              </w:rPr>
              <w:t>Increase in adapted CCBII score for government planning and financing systems that enable gender and</w:t>
            </w:r>
            <w:r w:rsidR="006E2D9C">
              <w:rPr>
                <w:rFonts w:cs="Calibri"/>
                <w:bCs/>
                <w:sz w:val="14"/>
                <w:szCs w:val="14"/>
              </w:rPr>
              <w:t xml:space="preserve"> socially</w:t>
            </w:r>
            <w:r w:rsidRPr="002A2313">
              <w:rPr>
                <w:rFonts w:cs="Calibri"/>
                <w:bCs/>
                <w:sz w:val="14"/>
                <w:szCs w:val="14"/>
              </w:rPr>
              <w:t xml:space="preserve"> inclusive risk informed development </w:t>
            </w:r>
          </w:p>
          <w:p w:rsidR="00F87EAC" w:rsidRPr="009A421E" w:rsidRDefault="00F87EAC" w:rsidP="00E67D7C">
            <w:pPr>
              <w:spacing w:line="276" w:lineRule="auto"/>
              <w:rPr>
                <w:rFonts w:cs="Arial"/>
                <w:sz w:val="14"/>
                <w:szCs w:val="14"/>
              </w:rPr>
            </w:pPr>
            <w:r w:rsidRPr="002A2313">
              <w:rPr>
                <w:rFonts w:cs="Calibri"/>
                <w:bCs/>
                <w:sz w:val="14"/>
                <w:szCs w:val="14"/>
              </w:rPr>
              <w:t>Progress towards sustained political economy change</w:t>
            </w:r>
          </w:p>
        </w:tc>
        <w:tc>
          <w:tcPr>
            <w:tcW w:w="445" w:type="pct"/>
            <w:vMerge w:val="restart"/>
            <w:tcBorders>
              <w:top w:val="single" w:sz="4" w:space="0" w:color="000000"/>
              <w:left w:val="nil"/>
              <w:right w:val="single" w:sz="4" w:space="0" w:color="000000"/>
            </w:tcBorders>
            <w:shd w:val="clear" w:color="auto" w:fill="FFFFFF"/>
            <w:noWrap/>
          </w:tcPr>
          <w:p w:rsidR="00F87EAC" w:rsidRPr="005057AA" w:rsidRDefault="00F87EAC" w:rsidP="00E67D7C">
            <w:pPr>
              <w:spacing w:before="80" w:after="80"/>
              <w:rPr>
                <w:rFonts w:cs="Calibri"/>
                <w:bCs/>
                <w:sz w:val="14"/>
                <w:szCs w:val="14"/>
              </w:rPr>
            </w:pPr>
            <w:r w:rsidRPr="005057AA">
              <w:rPr>
                <w:rFonts w:cs="Calibri"/>
                <w:bCs/>
                <w:sz w:val="14"/>
                <w:szCs w:val="14"/>
              </w:rPr>
              <w:t>Meeting minutes</w:t>
            </w:r>
          </w:p>
          <w:p w:rsidR="00F87EAC" w:rsidRPr="009A421E" w:rsidRDefault="00F87EAC" w:rsidP="00E67D7C">
            <w:pPr>
              <w:spacing w:line="276" w:lineRule="auto"/>
              <w:rPr>
                <w:rFonts w:cs="Arial"/>
                <w:sz w:val="14"/>
                <w:szCs w:val="14"/>
              </w:rPr>
            </w:pPr>
            <w:r w:rsidRPr="005057AA">
              <w:rPr>
                <w:rFonts w:cs="Calibri"/>
                <w:bCs/>
                <w:sz w:val="14"/>
                <w:szCs w:val="14"/>
              </w:rPr>
              <w:t>Reports from Ministries</w:t>
            </w:r>
          </w:p>
        </w:tc>
        <w:tc>
          <w:tcPr>
            <w:tcW w:w="346" w:type="pct"/>
            <w:vMerge w:val="restart"/>
            <w:tcBorders>
              <w:top w:val="single" w:sz="4" w:space="0" w:color="000000"/>
              <w:left w:val="nil"/>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sidRPr="005057AA">
              <w:rPr>
                <w:rFonts w:cs="Calibri"/>
                <w:bCs/>
                <w:sz w:val="14"/>
                <w:szCs w:val="14"/>
              </w:rPr>
              <w:t>Stakeholder interviews</w:t>
            </w:r>
          </w:p>
        </w:tc>
        <w:tc>
          <w:tcPr>
            <w:tcW w:w="298"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Pr>
                <w:rFonts w:cs="Arial"/>
                <w:sz w:val="14"/>
                <w:szCs w:val="14"/>
              </w:rPr>
              <w:t>Annually</w:t>
            </w:r>
          </w:p>
        </w:tc>
        <w:tc>
          <w:tcPr>
            <w:tcW w:w="594" w:type="pct"/>
            <w:vMerge w:val="restart"/>
            <w:tcBorders>
              <w:top w:val="single" w:sz="4" w:space="0" w:color="000000"/>
              <w:left w:val="single" w:sz="4" w:space="0" w:color="000000"/>
              <w:right w:val="single" w:sz="4" w:space="0" w:color="000000"/>
            </w:tcBorders>
            <w:shd w:val="clear" w:color="auto" w:fill="FFFFFF"/>
            <w:noWrap/>
            <w:vAlign w:val="center"/>
          </w:tcPr>
          <w:p w:rsidR="00F87EAC" w:rsidRPr="003E1AEB" w:rsidRDefault="00F87EAC" w:rsidP="00E67D7C">
            <w:pPr>
              <w:spacing w:line="276" w:lineRule="auto"/>
              <w:rPr>
                <w:rFonts w:cs="Calibri"/>
                <w:bCs/>
                <w:sz w:val="14"/>
                <w:szCs w:val="14"/>
              </w:rPr>
            </w:pPr>
            <w:r w:rsidRPr="003E1AEB">
              <w:rPr>
                <w:rFonts w:cs="Calibri"/>
                <w:bCs/>
                <w:sz w:val="14"/>
                <w:szCs w:val="14"/>
              </w:rPr>
              <w:t>Integration of GSI informed toolkits into planning and financing processes at central, sector and community level. Provision of training on integration of guidelines and tools. Integration of institutionalised capacity at community and sector level. Participation of Protection in the Pacific (</w:t>
            </w:r>
            <w:proofErr w:type="spellStart"/>
            <w:r w:rsidRPr="003E1AEB">
              <w:rPr>
                <w:rFonts w:cs="Calibri"/>
                <w:bCs/>
                <w:sz w:val="14"/>
                <w:szCs w:val="14"/>
              </w:rPr>
              <w:t>ProPa</w:t>
            </w:r>
            <w:proofErr w:type="spellEnd"/>
            <w:r w:rsidRPr="003E1AEB">
              <w:rPr>
                <w:rFonts w:cs="Calibri"/>
                <w:bCs/>
                <w:sz w:val="14"/>
                <w:szCs w:val="14"/>
              </w:rPr>
              <w:t>) network with integration of RID</w:t>
            </w:r>
          </w:p>
        </w:tc>
        <w:tc>
          <w:tcPr>
            <w:tcW w:w="3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7EAC" w:rsidRPr="009A421E" w:rsidRDefault="00F87EAC" w:rsidP="00E67D7C">
            <w:pPr>
              <w:spacing w:line="276" w:lineRule="auto"/>
              <w:rPr>
                <w:rFonts w:cs="Arial"/>
                <w:sz w:val="14"/>
                <w:szCs w:val="14"/>
              </w:rPr>
            </w:pPr>
            <w:r w:rsidRPr="009A421E">
              <w:rPr>
                <w:rFonts w:cs="Arial"/>
                <w:sz w:val="14"/>
                <w:szCs w:val="14"/>
              </w:rPr>
              <w:t xml:space="preserve">Resilient development posts in </w:t>
            </w:r>
            <w:r>
              <w:rPr>
                <w:rFonts w:cs="Arial"/>
                <w:sz w:val="14"/>
                <w:szCs w:val="14"/>
              </w:rPr>
              <w:t xml:space="preserve">GSI and sector </w:t>
            </w:r>
            <w:r w:rsidRPr="009A421E">
              <w:rPr>
                <w:rFonts w:cs="Arial"/>
                <w:sz w:val="14"/>
                <w:szCs w:val="14"/>
              </w:rPr>
              <w:t>ministries</w:t>
            </w:r>
            <w:r>
              <w:rPr>
                <w:rFonts w:cs="Arial"/>
                <w:sz w:val="14"/>
                <w:szCs w:val="14"/>
              </w:rPr>
              <w:t xml:space="preserve"> and GSI technical advisor</w:t>
            </w:r>
          </w:p>
        </w:tc>
        <w:tc>
          <w:tcPr>
            <w:tcW w:w="29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7EAC" w:rsidRPr="009A421E" w:rsidRDefault="00F87EAC" w:rsidP="00E67D7C">
            <w:pPr>
              <w:spacing w:line="276" w:lineRule="auto"/>
              <w:rPr>
                <w:rFonts w:cs="Arial"/>
                <w:sz w:val="14"/>
                <w:szCs w:val="14"/>
              </w:rPr>
            </w:pPr>
            <w:r>
              <w:rPr>
                <w:rFonts w:cs="Arial"/>
                <w:sz w:val="14"/>
                <w:szCs w:val="14"/>
              </w:rPr>
              <w:t>2</w:t>
            </w:r>
          </w:p>
        </w:tc>
        <w:tc>
          <w:tcPr>
            <w:tcW w:w="396" w:type="pct"/>
            <w:vMerge w:val="restart"/>
            <w:tcBorders>
              <w:top w:val="single" w:sz="4" w:space="0" w:color="000000"/>
              <w:left w:val="single" w:sz="4" w:space="0" w:color="000000"/>
              <w:right w:val="single" w:sz="4" w:space="0" w:color="000000"/>
            </w:tcBorders>
            <w:shd w:val="clear" w:color="auto" w:fill="FFFFFF"/>
            <w:vAlign w:val="center"/>
          </w:tcPr>
          <w:p w:rsidR="00F87EAC" w:rsidRPr="00921F96" w:rsidRDefault="00F87EAC" w:rsidP="00E67D7C">
            <w:pPr>
              <w:spacing w:line="276" w:lineRule="auto"/>
              <w:rPr>
                <w:rFonts w:cs="Calibri"/>
                <w:bCs/>
                <w:sz w:val="14"/>
                <w:szCs w:val="14"/>
              </w:rPr>
            </w:pPr>
            <w:r>
              <w:rPr>
                <w:rFonts w:cs="Calibri"/>
                <w:bCs/>
                <w:sz w:val="14"/>
                <w:szCs w:val="14"/>
              </w:rPr>
              <w:t>G</w:t>
            </w:r>
            <w:r w:rsidRPr="00921F96">
              <w:rPr>
                <w:rFonts w:cs="Calibri"/>
                <w:bCs/>
                <w:sz w:val="14"/>
                <w:szCs w:val="14"/>
              </w:rPr>
              <w:t xml:space="preserve">overnment departments </w:t>
            </w:r>
            <w:r>
              <w:rPr>
                <w:rFonts w:cs="Calibri"/>
                <w:bCs/>
                <w:sz w:val="14"/>
                <w:szCs w:val="14"/>
              </w:rPr>
              <w:t xml:space="preserve">are </w:t>
            </w:r>
            <w:r w:rsidRPr="00921F96">
              <w:rPr>
                <w:rFonts w:cs="Calibri"/>
                <w:bCs/>
                <w:sz w:val="14"/>
                <w:szCs w:val="14"/>
              </w:rPr>
              <w:t xml:space="preserve">responsible for women and marginalised groups </w:t>
            </w:r>
            <w:r>
              <w:rPr>
                <w:rFonts w:cs="Calibri"/>
                <w:bCs/>
                <w:sz w:val="14"/>
                <w:szCs w:val="14"/>
              </w:rPr>
              <w:t xml:space="preserve">and are </w:t>
            </w:r>
            <w:r w:rsidRPr="00921F96">
              <w:rPr>
                <w:rFonts w:cs="Calibri"/>
                <w:bCs/>
                <w:sz w:val="14"/>
                <w:szCs w:val="14"/>
              </w:rPr>
              <w:t>able to shape the attention to CC&amp;D risk in development</w:t>
            </w:r>
          </w:p>
        </w:tc>
      </w:tr>
      <w:tr w:rsidR="00F87EAC" w:rsidRPr="00921F96" w:rsidTr="00E67D7C">
        <w:trPr>
          <w:trHeight w:val="175"/>
        </w:trPr>
        <w:tc>
          <w:tcPr>
            <w:tcW w:w="594" w:type="pct"/>
            <w:vMerge/>
            <w:tcBorders>
              <w:left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p>
        </w:tc>
        <w:tc>
          <w:tcPr>
            <w:tcW w:w="941"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 xml:space="preserve">Indicator </w:t>
            </w:r>
            <w:r>
              <w:rPr>
                <w:rFonts w:cs="Arial"/>
                <w:sz w:val="14"/>
                <w:szCs w:val="14"/>
              </w:rPr>
              <w:t>1.3.2</w:t>
            </w:r>
          </w:p>
        </w:tc>
        <w:tc>
          <w:tcPr>
            <w:tcW w:w="346"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Baseline</w:t>
            </w:r>
            <w:r>
              <w:rPr>
                <w:rFonts w:cs="Arial"/>
                <w:sz w:val="14"/>
                <w:szCs w:val="14"/>
              </w:rPr>
              <w:t xml:space="preserve"> (=0)</w:t>
            </w:r>
          </w:p>
        </w:tc>
        <w:tc>
          <w:tcPr>
            <w:tcW w:w="346" w:type="pct"/>
            <w:vMerge/>
            <w:tcBorders>
              <w:left w:val="nil"/>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p>
        </w:tc>
        <w:tc>
          <w:tcPr>
            <w:tcW w:w="445" w:type="pct"/>
            <w:vMerge/>
            <w:tcBorders>
              <w:left w:val="nil"/>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p>
        </w:tc>
        <w:tc>
          <w:tcPr>
            <w:tcW w:w="346" w:type="pct"/>
            <w:vMerge/>
            <w:tcBorders>
              <w:left w:val="nil"/>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p>
        </w:tc>
        <w:tc>
          <w:tcPr>
            <w:tcW w:w="298"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Frequency of data collection</w:t>
            </w:r>
          </w:p>
        </w:tc>
        <w:tc>
          <w:tcPr>
            <w:tcW w:w="594" w:type="pct"/>
            <w:vMerge/>
            <w:tcBorders>
              <w:left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pStyle w:val="MediumGrid1-Accent21"/>
              <w:spacing w:line="276" w:lineRule="auto"/>
              <w:ind w:left="0"/>
              <w:rPr>
                <w:rFonts w:ascii="Arial" w:hAnsi="Arial" w:cs="Arial"/>
                <w:sz w:val="14"/>
                <w:szCs w:val="14"/>
              </w:rPr>
            </w:pPr>
          </w:p>
        </w:tc>
        <w:tc>
          <w:tcPr>
            <w:tcW w:w="39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87EAC" w:rsidRPr="009A421E" w:rsidRDefault="00F87EAC" w:rsidP="00E67D7C">
            <w:pPr>
              <w:spacing w:line="276" w:lineRule="auto"/>
              <w:rPr>
                <w:rFonts w:cs="Arial"/>
                <w:sz w:val="14"/>
                <w:szCs w:val="14"/>
              </w:rPr>
            </w:pPr>
            <w:r w:rsidRPr="009A421E">
              <w:rPr>
                <w:rFonts w:cs="Arial"/>
                <w:sz w:val="14"/>
                <w:szCs w:val="14"/>
              </w:rPr>
              <w:t>Responsible Party</w:t>
            </w:r>
          </w:p>
        </w:tc>
        <w:tc>
          <w:tcPr>
            <w:tcW w:w="29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87EAC" w:rsidRPr="009A421E" w:rsidRDefault="00F87EAC" w:rsidP="00E67D7C">
            <w:pPr>
              <w:spacing w:line="276" w:lineRule="auto"/>
              <w:rPr>
                <w:rFonts w:cs="Arial"/>
                <w:sz w:val="14"/>
                <w:szCs w:val="14"/>
              </w:rPr>
            </w:pPr>
            <w:r w:rsidRPr="009A421E">
              <w:rPr>
                <w:rFonts w:cs="Arial"/>
                <w:sz w:val="14"/>
                <w:szCs w:val="14"/>
              </w:rPr>
              <w:t>Planned Target (20</w:t>
            </w:r>
            <w:r>
              <w:rPr>
                <w:rFonts w:cs="Arial"/>
                <w:sz w:val="14"/>
                <w:szCs w:val="14"/>
              </w:rPr>
              <w:t>20</w:t>
            </w:r>
            <w:r w:rsidRPr="009A421E">
              <w:rPr>
                <w:rFonts w:cs="Arial"/>
                <w:sz w:val="14"/>
                <w:szCs w:val="14"/>
              </w:rPr>
              <w:t>)</w:t>
            </w:r>
          </w:p>
        </w:tc>
        <w:tc>
          <w:tcPr>
            <w:tcW w:w="396" w:type="pct"/>
            <w:vMerge/>
            <w:tcBorders>
              <w:left w:val="single" w:sz="4" w:space="0" w:color="000000"/>
              <w:right w:val="single" w:sz="4" w:space="0" w:color="000000"/>
            </w:tcBorders>
            <w:shd w:val="clear" w:color="auto" w:fill="BFBFBF" w:themeFill="background1" w:themeFillShade="BF"/>
            <w:vAlign w:val="center"/>
          </w:tcPr>
          <w:p w:rsidR="00F87EAC" w:rsidRPr="00921F96" w:rsidRDefault="00F87EAC" w:rsidP="00E67D7C">
            <w:pPr>
              <w:spacing w:line="276" w:lineRule="auto"/>
              <w:rPr>
                <w:rFonts w:cs="Calibri"/>
                <w:bCs/>
                <w:sz w:val="14"/>
                <w:szCs w:val="14"/>
              </w:rPr>
            </w:pPr>
          </w:p>
        </w:tc>
      </w:tr>
      <w:tr w:rsidR="00F87EAC" w:rsidRPr="00921F96" w:rsidTr="00E67D7C">
        <w:trPr>
          <w:trHeight w:val="175"/>
        </w:trPr>
        <w:tc>
          <w:tcPr>
            <w:tcW w:w="594" w:type="pct"/>
            <w:vMerge/>
            <w:tcBorders>
              <w:left w:val="single" w:sz="4" w:space="0" w:color="000000"/>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p>
        </w:tc>
        <w:tc>
          <w:tcPr>
            <w:tcW w:w="941"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Pr>
                <w:rFonts w:cs="Calibri"/>
                <w:bCs/>
                <w:sz w:val="14"/>
                <w:szCs w:val="14"/>
              </w:rPr>
              <w:t xml:space="preserve">Number of sectors in which a national </w:t>
            </w:r>
            <w:r w:rsidRPr="005057AA">
              <w:rPr>
                <w:rFonts w:cs="Calibri"/>
                <w:bCs/>
                <w:sz w:val="14"/>
                <w:szCs w:val="14"/>
              </w:rPr>
              <w:t xml:space="preserve">Ministry </w:t>
            </w:r>
            <w:r>
              <w:rPr>
                <w:rFonts w:cs="Calibri"/>
                <w:bCs/>
                <w:sz w:val="14"/>
                <w:szCs w:val="14"/>
              </w:rPr>
              <w:t>responsible for gender</w:t>
            </w:r>
            <w:r w:rsidRPr="005057AA">
              <w:rPr>
                <w:rFonts w:cs="Calibri"/>
                <w:bCs/>
                <w:sz w:val="14"/>
                <w:szCs w:val="14"/>
              </w:rPr>
              <w:t xml:space="preserve"> </w:t>
            </w:r>
            <w:r>
              <w:rPr>
                <w:rFonts w:cs="Calibri"/>
                <w:bCs/>
                <w:sz w:val="14"/>
                <w:szCs w:val="14"/>
              </w:rPr>
              <w:t>supports to develop planning and budget submissions</w:t>
            </w:r>
          </w:p>
        </w:tc>
        <w:tc>
          <w:tcPr>
            <w:tcW w:w="346"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Pr>
                <w:rFonts w:cs="Arial"/>
                <w:sz w:val="14"/>
                <w:szCs w:val="14"/>
              </w:rPr>
              <w:t>Sector</w:t>
            </w:r>
            <w:r w:rsidRPr="005057AA">
              <w:rPr>
                <w:rFonts w:cs="Arial"/>
                <w:sz w:val="14"/>
                <w:szCs w:val="14"/>
              </w:rPr>
              <w:t xml:space="preserve"> </w:t>
            </w:r>
            <w:r>
              <w:rPr>
                <w:rFonts w:cs="Arial"/>
                <w:sz w:val="14"/>
                <w:szCs w:val="14"/>
              </w:rPr>
              <w:t>do not</w:t>
            </w:r>
            <w:r w:rsidRPr="005057AA">
              <w:rPr>
                <w:rFonts w:cs="Arial"/>
                <w:sz w:val="14"/>
                <w:szCs w:val="14"/>
              </w:rPr>
              <w:t xml:space="preserve"> consider </w:t>
            </w:r>
            <w:r>
              <w:rPr>
                <w:rFonts w:cs="Arial"/>
                <w:sz w:val="14"/>
                <w:szCs w:val="14"/>
              </w:rPr>
              <w:t>input from Gender min during development of</w:t>
            </w:r>
            <w:r w:rsidRPr="005057AA">
              <w:rPr>
                <w:rFonts w:cs="Arial"/>
                <w:sz w:val="14"/>
                <w:szCs w:val="14"/>
              </w:rPr>
              <w:t xml:space="preserve"> budget</w:t>
            </w:r>
          </w:p>
        </w:tc>
        <w:tc>
          <w:tcPr>
            <w:tcW w:w="346" w:type="pct"/>
            <w:vMerge/>
            <w:tcBorders>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p>
        </w:tc>
        <w:tc>
          <w:tcPr>
            <w:tcW w:w="445" w:type="pct"/>
            <w:vMerge/>
            <w:tcBorders>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p>
        </w:tc>
        <w:tc>
          <w:tcPr>
            <w:tcW w:w="346" w:type="pct"/>
            <w:vMerge/>
            <w:tcBorders>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p>
        </w:tc>
        <w:tc>
          <w:tcPr>
            <w:tcW w:w="298"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Pr>
                <w:rFonts w:cs="Arial"/>
                <w:sz w:val="14"/>
                <w:szCs w:val="14"/>
              </w:rPr>
              <w:t xml:space="preserve">Annually </w:t>
            </w:r>
          </w:p>
        </w:tc>
        <w:tc>
          <w:tcPr>
            <w:tcW w:w="594" w:type="pct"/>
            <w:vMerge/>
            <w:tcBorders>
              <w:left w:val="single" w:sz="4" w:space="0" w:color="000000"/>
              <w:bottom w:val="single" w:sz="4" w:space="0" w:color="000000"/>
              <w:right w:val="single" w:sz="4" w:space="0" w:color="000000"/>
            </w:tcBorders>
            <w:shd w:val="clear" w:color="auto" w:fill="FFFFFF"/>
            <w:noWrap/>
            <w:vAlign w:val="center"/>
          </w:tcPr>
          <w:p w:rsidR="00F87EAC" w:rsidRPr="009A421E" w:rsidRDefault="00F87EAC" w:rsidP="00E67D7C">
            <w:pPr>
              <w:pStyle w:val="MediumGrid1-Accent21"/>
              <w:spacing w:line="276" w:lineRule="auto"/>
              <w:ind w:left="0"/>
              <w:rPr>
                <w:rFonts w:ascii="Arial" w:hAnsi="Arial" w:cs="Arial"/>
                <w:sz w:val="14"/>
                <w:szCs w:val="14"/>
              </w:rPr>
            </w:pPr>
          </w:p>
        </w:tc>
        <w:tc>
          <w:tcPr>
            <w:tcW w:w="3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7EAC" w:rsidRPr="009A421E" w:rsidRDefault="00F87EAC" w:rsidP="00E67D7C">
            <w:pPr>
              <w:spacing w:line="276" w:lineRule="auto"/>
              <w:rPr>
                <w:rFonts w:cs="Arial"/>
                <w:sz w:val="14"/>
                <w:szCs w:val="14"/>
              </w:rPr>
            </w:pPr>
            <w:r w:rsidRPr="009A421E">
              <w:rPr>
                <w:rFonts w:cs="Arial"/>
                <w:sz w:val="14"/>
                <w:szCs w:val="14"/>
              </w:rPr>
              <w:t xml:space="preserve">Resilient development posts in </w:t>
            </w:r>
            <w:r>
              <w:rPr>
                <w:rFonts w:cs="Arial"/>
                <w:sz w:val="14"/>
                <w:szCs w:val="14"/>
              </w:rPr>
              <w:t xml:space="preserve">GSI and sector </w:t>
            </w:r>
            <w:r w:rsidRPr="009A421E">
              <w:rPr>
                <w:rFonts w:cs="Arial"/>
                <w:sz w:val="14"/>
                <w:szCs w:val="14"/>
              </w:rPr>
              <w:t>ministries</w:t>
            </w:r>
            <w:r>
              <w:rPr>
                <w:rFonts w:cs="Arial"/>
                <w:sz w:val="14"/>
                <w:szCs w:val="14"/>
              </w:rPr>
              <w:t xml:space="preserve"> and GSI technical advisor</w:t>
            </w:r>
          </w:p>
        </w:tc>
        <w:tc>
          <w:tcPr>
            <w:tcW w:w="29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7EAC" w:rsidRPr="009A421E" w:rsidRDefault="00F87EAC" w:rsidP="00E67D7C">
            <w:pPr>
              <w:spacing w:line="276" w:lineRule="auto"/>
              <w:rPr>
                <w:rFonts w:cs="Arial"/>
                <w:sz w:val="14"/>
                <w:szCs w:val="14"/>
              </w:rPr>
            </w:pPr>
            <w:r>
              <w:rPr>
                <w:rFonts w:cs="Arial"/>
                <w:sz w:val="14"/>
                <w:szCs w:val="14"/>
              </w:rPr>
              <w:t>3</w:t>
            </w:r>
          </w:p>
        </w:tc>
        <w:tc>
          <w:tcPr>
            <w:tcW w:w="396" w:type="pct"/>
            <w:vMerge/>
            <w:tcBorders>
              <w:left w:val="single" w:sz="4" w:space="0" w:color="000000"/>
              <w:bottom w:val="single" w:sz="4" w:space="0" w:color="000000"/>
              <w:right w:val="single" w:sz="4" w:space="0" w:color="000000"/>
            </w:tcBorders>
            <w:shd w:val="clear" w:color="auto" w:fill="FFFFFF"/>
            <w:vAlign w:val="center"/>
          </w:tcPr>
          <w:p w:rsidR="00F87EAC" w:rsidRPr="00921F96" w:rsidRDefault="00F87EAC" w:rsidP="00E67D7C">
            <w:pPr>
              <w:spacing w:line="276" w:lineRule="auto"/>
              <w:rPr>
                <w:rFonts w:cs="Calibri"/>
                <w:bCs/>
                <w:sz w:val="14"/>
                <w:szCs w:val="14"/>
              </w:rPr>
            </w:pPr>
          </w:p>
        </w:tc>
      </w:tr>
      <w:tr w:rsidR="00F87EAC" w:rsidRPr="009A421E" w:rsidTr="00E67D7C">
        <w:trPr>
          <w:trHeight w:val="485"/>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1F3864" w:themeFill="accent1" w:themeFillShade="80"/>
            <w:noWrap/>
            <w:vAlign w:val="center"/>
          </w:tcPr>
          <w:p w:rsidR="00F87EAC" w:rsidRPr="009A421E" w:rsidRDefault="00F87EAC" w:rsidP="00E67D7C">
            <w:pPr>
              <w:spacing w:line="276" w:lineRule="auto"/>
              <w:rPr>
                <w:rFonts w:cs="Arial"/>
                <w:sz w:val="14"/>
                <w:szCs w:val="14"/>
              </w:rPr>
            </w:pPr>
            <w:r>
              <w:rPr>
                <w:rFonts w:cs="Arial"/>
                <w:color w:val="FFFFFF"/>
                <w:sz w:val="14"/>
                <w:szCs w:val="14"/>
              </w:rPr>
              <w:t>OUTCOME</w:t>
            </w:r>
            <w:r w:rsidRPr="009A421E">
              <w:rPr>
                <w:rFonts w:cs="Arial"/>
                <w:color w:val="FFFFFF"/>
                <w:sz w:val="14"/>
                <w:szCs w:val="14"/>
              </w:rPr>
              <w:t xml:space="preserve"> 2:  </w:t>
            </w:r>
            <w:r w:rsidRPr="00301339">
              <w:rPr>
                <w:rFonts w:cs="Arial"/>
                <w:color w:val="FFFFFF"/>
                <w:sz w:val="14"/>
                <w:szCs w:val="14"/>
              </w:rPr>
              <w:t>Country oversight and accountability systems require gender and</w:t>
            </w:r>
            <w:r w:rsidR="006E2D9C">
              <w:rPr>
                <w:rFonts w:cs="Arial"/>
                <w:color w:val="FFFFFF"/>
                <w:sz w:val="14"/>
                <w:szCs w:val="14"/>
              </w:rPr>
              <w:t xml:space="preserve"> socially</w:t>
            </w:r>
            <w:r w:rsidRPr="00301339">
              <w:rPr>
                <w:rFonts w:cs="Arial"/>
                <w:color w:val="FFFFFF"/>
                <w:sz w:val="14"/>
                <w:szCs w:val="14"/>
              </w:rPr>
              <w:t xml:space="preserve"> inclusive risk-informed development</w:t>
            </w:r>
          </w:p>
        </w:tc>
      </w:tr>
      <w:tr w:rsidR="00F87EAC" w:rsidRPr="009A421E" w:rsidTr="00E67D7C">
        <w:trPr>
          <w:trHeight w:val="175"/>
        </w:trPr>
        <w:tc>
          <w:tcPr>
            <w:tcW w:w="594" w:type="pct"/>
            <w:tcBorders>
              <w:top w:val="single" w:sz="4" w:space="0" w:color="000000"/>
              <w:left w:val="single" w:sz="4" w:space="0" w:color="000000"/>
              <w:bottom w:val="single" w:sz="4" w:space="0" w:color="000000"/>
              <w:right w:val="single" w:sz="4" w:space="0" w:color="000000"/>
            </w:tcBorders>
            <w:shd w:val="clear" w:color="auto" w:fill="ED7D31" w:themeFill="accent2"/>
            <w:noWrap/>
            <w:vAlign w:val="center"/>
          </w:tcPr>
          <w:p w:rsidR="00F87EAC" w:rsidRPr="000370F4" w:rsidRDefault="00F87EAC" w:rsidP="00E67D7C">
            <w:pPr>
              <w:spacing w:line="276" w:lineRule="auto"/>
              <w:rPr>
                <w:rFonts w:cs="Arial"/>
                <w:color w:val="FFFFFF"/>
                <w:sz w:val="14"/>
                <w:szCs w:val="14"/>
              </w:rPr>
            </w:pPr>
            <w:r w:rsidRPr="009A421E">
              <w:rPr>
                <w:rFonts w:cs="Arial"/>
                <w:color w:val="FFFFFF"/>
                <w:sz w:val="14"/>
                <w:szCs w:val="14"/>
              </w:rPr>
              <w:t>Outcome 2</w:t>
            </w:r>
          </w:p>
        </w:tc>
        <w:tc>
          <w:tcPr>
            <w:tcW w:w="941" w:type="pct"/>
            <w:tcBorders>
              <w:top w:val="single" w:sz="4" w:space="0" w:color="000000"/>
              <w:left w:val="nil"/>
              <w:bottom w:val="single" w:sz="4" w:space="0" w:color="000000"/>
              <w:right w:val="single" w:sz="4" w:space="0" w:color="000000"/>
            </w:tcBorders>
            <w:shd w:val="clear" w:color="auto" w:fill="ED7D31" w:themeFill="accent2"/>
            <w:noWrap/>
            <w:vAlign w:val="center"/>
          </w:tcPr>
          <w:p w:rsidR="00F87EAC" w:rsidRPr="009A421E" w:rsidRDefault="00F87EAC" w:rsidP="00E67D7C">
            <w:pPr>
              <w:spacing w:line="276" w:lineRule="auto"/>
              <w:rPr>
                <w:rFonts w:cs="Arial"/>
                <w:sz w:val="14"/>
                <w:szCs w:val="14"/>
              </w:rPr>
            </w:pPr>
            <w:r w:rsidRPr="009A421E">
              <w:rPr>
                <w:rFonts w:cs="Arial"/>
                <w:color w:val="FFFFFF"/>
                <w:sz w:val="14"/>
                <w:szCs w:val="14"/>
              </w:rPr>
              <w:t>Indicator 2.1</w:t>
            </w:r>
          </w:p>
        </w:tc>
        <w:tc>
          <w:tcPr>
            <w:tcW w:w="346" w:type="pct"/>
            <w:tcBorders>
              <w:top w:val="single" w:sz="4" w:space="0" w:color="000000"/>
              <w:left w:val="nil"/>
              <w:bottom w:val="single" w:sz="4" w:space="0" w:color="000000"/>
              <w:right w:val="single" w:sz="4" w:space="0" w:color="000000"/>
            </w:tcBorders>
            <w:shd w:val="clear" w:color="auto" w:fill="ED7D31" w:themeFill="accent2"/>
            <w:noWrap/>
            <w:vAlign w:val="center"/>
          </w:tcPr>
          <w:p w:rsidR="00F87EAC" w:rsidRPr="000370F4" w:rsidRDefault="00F87EAC" w:rsidP="00E67D7C">
            <w:pPr>
              <w:spacing w:line="276" w:lineRule="auto"/>
              <w:rPr>
                <w:rFonts w:cs="Arial"/>
                <w:color w:val="FFFFFF"/>
                <w:sz w:val="14"/>
                <w:szCs w:val="14"/>
              </w:rPr>
            </w:pPr>
            <w:r w:rsidRPr="009A421E">
              <w:rPr>
                <w:rFonts w:cs="Arial"/>
                <w:color w:val="FFFFFF"/>
                <w:sz w:val="14"/>
                <w:szCs w:val="14"/>
              </w:rPr>
              <w:t>Baseline*</w:t>
            </w:r>
          </w:p>
        </w:tc>
        <w:tc>
          <w:tcPr>
            <w:tcW w:w="346" w:type="pct"/>
            <w:tcBorders>
              <w:top w:val="single" w:sz="4" w:space="0" w:color="000000"/>
              <w:left w:val="nil"/>
              <w:bottom w:val="single" w:sz="4" w:space="0" w:color="000000"/>
              <w:right w:val="single" w:sz="4" w:space="0" w:color="000000"/>
            </w:tcBorders>
            <w:shd w:val="clear" w:color="auto" w:fill="ED7D31" w:themeFill="accent2"/>
            <w:noWrap/>
            <w:vAlign w:val="center"/>
          </w:tcPr>
          <w:p w:rsidR="00F87EAC" w:rsidRPr="000370F4" w:rsidRDefault="00F87EAC" w:rsidP="00E67D7C">
            <w:pPr>
              <w:spacing w:line="276" w:lineRule="auto"/>
              <w:rPr>
                <w:rFonts w:cs="Arial"/>
                <w:color w:val="FFFFFF"/>
                <w:sz w:val="14"/>
                <w:szCs w:val="14"/>
              </w:rPr>
            </w:pPr>
            <w:r w:rsidRPr="009A421E">
              <w:rPr>
                <w:rFonts w:cs="Arial"/>
                <w:color w:val="FFFFFF"/>
                <w:sz w:val="14"/>
                <w:szCs w:val="14"/>
              </w:rPr>
              <w:t>Target*</w:t>
            </w:r>
          </w:p>
        </w:tc>
        <w:tc>
          <w:tcPr>
            <w:tcW w:w="445" w:type="pct"/>
            <w:tcBorders>
              <w:top w:val="single" w:sz="4" w:space="0" w:color="000000"/>
              <w:left w:val="nil"/>
              <w:bottom w:val="single" w:sz="4" w:space="0" w:color="000000"/>
              <w:right w:val="single" w:sz="4" w:space="0" w:color="000000"/>
            </w:tcBorders>
            <w:shd w:val="clear" w:color="auto" w:fill="ED7D31" w:themeFill="accent2"/>
            <w:noWrap/>
            <w:vAlign w:val="center"/>
          </w:tcPr>
          <w:p w:rsidR="00F87EAC" w:rsidRPr="009A421E" w:rsidRDefault="00F87EAC" w:rsidP="00E67D7C">
            <w:pPr>
              <w:spacing w:line="276" w:lineRule="auto"/>
              <w:rPr>
                <w:rFonts w:cs="Arial"/>
                <w:sz w:val="14"/>
                <w:szCs w:val="14"/>
              </w:rPr>
            </w:pPr>
            <w:r>
              <w:rPr>
                <w:rFonts w:cs="Arial"/>
                <w:color w:val="FFFFFF"/>
                <w:sz w:val="14"/>
                <w:szCs w:val="14"/>
              </w:rPr>
              <w:t>Source of data</w:t>
            </w:r>
          </w:p>
        </w:tc>
        <w:tc>
          <w:tcPr>
            <w:tcW w:w="346" w:type="pct"/>
            <w:tcBorders>
              <w:top w:val="single" w:sz="4" w:space="0" w:color="000000"/>
              <w:left w:val="nil"/>
              <w:bottom w:val="single" w:sz="4" w:space="0" w:color="000000"/>
              <w:right w:val="single" w:sz="4" w:space="0" w:color="000000"/>
            </w:tcBorders>
            <w:shd w:val="clear" w:color="auto" w:fill="ED7D31" w:themeFill="accent2"/>
            <w:noWrap/>
            <w:vAlign w:val="center"/>
          </w:tcPr>
          <w:p w:rsidR="00F87EAC" w:rsidRPr="009A421E" w:rsidRDefault="00F87EAC" w:rsidP="00E67D7C">
            <w:pPr>
              <w:spacing w:line="276" w:lineRule="auto"/>
              <w:rPr>
                <w:rFonts w:cs="Arial"/>
                <w:sz w:val="14"/>
                <w:szCs w:val="14"/>
              </w:rPr>
            </w:pPr>
            <w:r>
              <w:rPr>
                <w:rFonts w:cs="Arial"/>
                <w:color w:val="FFFFFF"/>
                <w:sz w:val="14"/>
                <w:szCs w:val="14"/>
              </w:rPr>
              <w:t xml:space="preserve">Means of verification </w:t>
            </w:r>
          </w:p>
        </w:tc>
        <w:tc>
          <w:tcPr>
            <w:tcW w:w="298" w:type="pct"/>
            <w:tcBorders>
              <w:top w:val="single" w:sz="4" w:space="0" w:color="000000"/>
              <w:left w:val="nil"/>
              <w:bottom w:val="single" w:sz="4" w:space="0" w:color="000000"/>
              <w:right w:val="single" w:sz="4" w:space="0" w:color="000000"/>
            </w:tcBorders>
            <w:shd w:val="clear" w:color="auto" w:fill="ED7D31" w:themeFill="accent2"/>
            <w:noWrap/>
            <w:vAlign w:val="center"/>
          </w:tcPr>
          <w:p w:rsidR="00F87EAC" w:rsidRPr="009A421E" w:rsidRDefault="00F87EAC" w:rsidP="00E67D7C">
            <w:pPr>
              <w:spacing w:line="276" w:lineRule="auto"/>
              <w:rPr>
                <w:rFonts w:cs="Arial"/>
                <w:sz w:val="14"/>
                <w:szCs w:val="14"/>
              </w:rPr>
            </w:pPr>
            <w:r w:rsidRPr="009A421E">
              <w:rPr>
                <w:rFonts w:cs="Arial"/>
                <w:color w:val="FFFFFF"/>
                <w:sz w:val="14"/>
                <w:szCs w:val="14"/>
              </w:rPr>
              <w:t>Frequency of data collection</w:t>
            </w:r>
          </w:p>
        </w:tc>
        <w:tc>
          <w:tcPr>
            <w:tcW w:w="1684" w:type="pct"/>
            <w:gridSpan w:val="4"/>
            <w:vMerge w:val="restart"/>
            <w:tcBorders>
              <w:top w:val="single" w:sz="4" w:space="0" w:color="000000"/>
              <w:left w:val="single" w:sz="4" w:space="0" w:color="000000"/>
              <w:right w:val="single" w:sz="4" w:space="0" w:color="000000"/>
            </w:tcBorders>
            <w:shd w:val="clear" w:color="auto" w:fill="FFFFFF"/>
            <w:noWrap/>
            <w:vAlign w:val="center"/>
          </w:tcPr>
          <w:p w:rsidR="00F87EAC" w:rsidRPr="009A421E" w:rsidRDefault="00F87EAC" w:rsidP="00E67D7C">
            <w:pPr>
              <w:spacing w:line="276" w:lineRule="auto"/>
              <w:jc w:val="center"/>
              <w:rPr>
                <w:rFonts w:cs="Arial"/>
                <w:sz w:val="14"/>
                <w:szCs w:val="14"/>
              </w:rPr>
            </w:pPr>
            <w:r>
              <w:rPr>
                <w:rFonts w:cs="Arial"/>
                <w:sz w:val="14"/>
                <w:szCs w:val="14"/>
              </w:rPr>
              <w:t>Activities</w:t>
            </w:r>
          </w:p>
        </w:tc>
      </w:tr>
      <w:tr w:rsidR="00F87EAC" w:rsidRPr="009A421E" w:rsidTr="00E67D7C">
        <w:trPr>
          <w:trHeight w:val="175"/>
        </w:trPr>
        <w:tc>
          <w:tcPr>
            <w:tcW w:w="59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sidRPr="000D4C06">
              <w:rPr>
                <w:rFonts w:cs="Calibri"/>
                <w:bCs/>
                <w:sz w:val="14"/>
                <w:szCs w:val="14"/>
                <w:lang w:val="en-US"/>
              </w:rPr>
              <w:t>Country oversight and accountability systems require gender and</w:t>
            </w:r>
            <w:r w:rsidR="006E2D9C">
              <w:rPr>
                <w:rFonts w:cs="Calibri"/>
                <w:bCs/>
                <w:sz w:val="14"/>
                <w:szCs w:val="14"/>
                <w:lang w:val="en-US"/>
              </w:rPr>
              <w:t xml:space="preserve"> socially</w:t>
            </w:r>
            <w:r w:rsidRPr="000D4C06">
              <w:rPr>
                <w:rFonts w:cs="Calibri"/>
                <w:bCs/>
                <w:sz w:val="14"/>
                <w:szCs w:val="14"/>
                <w:lang w:val="en-US"/>
              </w:rPr>
              <w:t xml:space="preserve"> inclusive risk-informed development</w:t>
            </w:r>
          </w:p>
        </w:tc>
        <w:tc>
          <w:tcPr>
            <w:tcW w:w="941" w:type="pct"/>
            <w:tcBorders>
              <w:top w:val="single" w:sz="4" w:space="0" w:color="000000"/>
              <w:left w:val="nil"/>
              <w:bottom w:val="single" w:sz="4" w:space="0" w:color="000000"/>
              <w:right w:val="single" w:sz="4" w:space="0" w:color="000000"/>
            </w:tcBorders>
            <w:shd w:val="clear" w:color="auto" w:fill="FFFFFF"/>
            <w:noWrap/>
            <w:vAlign w:val="center"/>
          </w:tcPr>
          <w:p w:rsidR="00F87EAC" w:rsidRPr="00EE69A2" w:rsidRDefault="00F87EAC" w:rsidP="00E67D7C">
            <w:pPr>
              <w:rPr>
                <w:rFonts w:cs="Calibri"/>
                <w:bCs/>
                <w:kern w:val="24"/>
                <w:sz w:val="14"/>
                <w:szCs w:val="14"/>
                <w:lang w:val="en-US"/>
              </w:rPr>
            </w:pPr>
            <w:r w:rsidRPr="00EE69A2">
              <w:rPr>
                <w:rFonts w:cs="Calibri"/>
                <w:bCs/>
                <w:kern w:val="24"/>
                <w:sz w:val="14"/>
                <w:szCs w:val="14"/>
                <w:lang w:val="en-US"/>
              </w:rPr>
              <w:t>Increase in (adapted) CCBII++ score</w:t>
            </w:r>
          </w:p>
          <w:p w:rsidR="00F87EAC" w:rsidRPr="00EE69A2" w:rsidRDefault="00F87EAC" w:rsidP="00E67D7C">
            <w:pPr>
              <w:rPr>
                <w:rFonts w:cs="Calibri"/>
                <w:bCs/>
                <w:kern w:val="24"/>
                <w:sz w:val="14"/>
                <w:szCs w:val="14"/>
                <w:lang w:val="en-US"/>
              </w:rPr>
            </w:pPr>
            <w:r w:rsidRPr="00EE69A2">
              <w:rPr>
                <w:rFonts w:cs="Calibri"/>
                <w:bCs/>
                <w:kern w:val="24"/>
                <w:sz w:val="14"/>
                <w:szCs w:val="14"/>
                <w:lang w:val="en-US"/>
              </w:rPr>
              <w:t xml:space="preserve">Progress towards sustained political economy change </w:t>
            </w:r>
          </w:p>
          <w:p w:rsidR="00F87EAC" w:rsidRPr="009A421E" w:rsidRDefault="00F87EAC" w:rsidP="00E67D7C">
            <w:pPr>
              <w:spacing w:line="276" w:lineRule="auto"/>
              <w:rPr>
                <w:rFonts w:cs="Arial"/>
                <w:sz w:val="14"/>
                <w:szCs w:val="14"/>
              </w:rPr>
            </w:pPr>
          </w:p>
        </w:tc>
        <w:tc>
          <w:tcPr>
            <w:tcW w:w="346"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Pr>
                <w:rFonts w:cs="Arial"/>
                <w:sz w:val="14"/>
                <w:szCs w:val="14"/>
              </w:rPr>
              <w:t>BASIC: country oversight and accountability systems consistently do not require GSI RSD</w:t>
            </w:r>
          </w:p>
        </w:tc>
        <w:tc>
          <w:tcPr>
            <w:tcW w:w="346"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Pr>
                <w:rFonts w:cs="Arial"/>
                <w:sz w:val="14"/>
                <w:szCs w:val="14"/>
              </w:rPr>
              <w:t>INTERMEDIATE: Increase in CCBII++ score for accountability and oversight</w:t>
            </w:r>
          </w:p>
        </w:tc>
        <w:tc>
          <w:tcPr>
            <w:tcW w:w="445" w:type="pct"/>
            <w:tcBorders>
              <w:top w:val="single" w:sz="4" w:space="0" w:color="000000"/>
              <w:left w:val="nil"/>
              <w:bottom w:val="single" w:sz="4" w:space="0" w:color="000000"/>
              <w:right w:val="single" w:sz="4" w:space="0" w:color="000000"/>
            </w:tcBorders>
            <w:shd w:val="clear" w:color="auto" w:fill="FFFFFF"/>
            <w:noWrap/>
            <w:vAlign w:val="center"/>
          </w:tcPr>
          <w:p w:rsidR="00F87EAC" w:rsidRPr="00EE69A2" w:rsidRDefault="00F87EAC" w:rsidP="00E67D7C">
            <w:pPr>
              <w:rPr>
                <w:rFonts w:cs="Calibri"/>
                <w:bCs/>
                <w:kern w:val="24"/>
                <w:sz w:val="14"/>
                <w:szCs w:val="14"/>
                <w:lang w:val="en-US"/>
              </w:rPr>
            </w:pPr>
            <w:r w:rsidRPr="00EE69A2">
              <w:rPr>
                <w:rFonts w:cs="Calibri"/>
                <w:bCs/>
                <w:kern w:val="24"/>
                <w:sz w:val="14"/>
                <w:szCs w:val="14"/>
                <w:lang w:val="en-US"/>
              </w:rPr>
              <w:t>CCBII index (as adapted to include gender and social inclusion)</w:t>
            </w:r>
          </w:p>
          <w:p w:rsidR="00F87EAC" w:rsidRPr="009A421E" w:rsidRDefault="00F87EAC" w:rsidP="00E67D7C">
            <w:pPr>
              <w:spacing w:line="276" w:lineRule="auto"/>
              <w:rPr>
                <w:rFonts w:cs="Arial"/>
                <w:sz w:val="14"/>
                <w:szCs w:val="14"/>
              </w:rPr>
            </w:pPr>
            <w:r w:rsidRPr="00EE69A2">
              <w:rPr>
                <w:rFonts w:cs="Calibri"/>
                <w:bCs/>
                <w:kern w:val="24"/>
                <w:sz w:val="14"/>
                <w:szCs w:val="14"/>
                <w:lang w:val="en-US"/>
              </w:rPr>
              <w:t>Program rubric representing anticipated stages of political economy progress</w:t>
            </w:r>
          </w:p>
        </w:tc>
        <w:tc>
          <w:tcPr>
            <w:tcW w:w="346" w:type="pct"/>
            <w:tcBorders>
              <w:top w:val="single" w:sz="4" w:space="0" w:color="000000"/>
              <w:left w:val="nil"/>
              <w:bottom w:val="single" w:sz="4" w:space="0" w:color="000000"/>
              <w:right w:val="single" w:sz="4" w:space="0" w:color="000000"/>
            </w:tcBorders>
            <w:shd w:val="clear" w:color="auto" w:fill="FFFFFF"/>
            <w:noWrap/>
            <w:vAlign w:val="center"/>
          </w:tcPr>
          <w:p w:rsidR="00F87EAC" w:rsidRPr="00EE69A2" w:rsidRDefault="00F87EAC" w:rsidP="00E67D7C">
            <w:pPr>
              <w:rPr>
                <w:rFonts w:cs="Calibri"/>
                <w:bCs/>
                <w:kern w:val="24"/>
                <w:sz w:val="14"/>
                <w:szCs w:val="14"/>
                <w:lang w:val="en-US"/>
              </w:rPr>
            </w:pPr>
            <w:r w:rsidRPr="00EE69A2">
              <w:rPr>
                <w:rFonts w:cs="Calibri"/>
                <w:bCs/>
                <w:kern w:val="24"/>
                <w:sz w:val="14"/>
                <w:szCs w:val="14"/>
                <w:lang w:val="en-US"/>
              </w:rPr>
              <w:t>CCBI</w:t>
            </w:r>
            <w:r>
              <w:rPr>
                <w:rFonts w:cs="Calibri"/>
                <w:bCs/>
                <w:kern w:val="24"/>
                <w:sz w:val="14"/>
                <w:szCs w:val="14"/>
                <w:lang w:val="en-US"/>
              </w:rPr>
              <w:t xml:space="preserve">I </w:t>
            </w:r>
            <w:r w:rsidRPr="00EE69A2">
              <w:rPr>
                <w:rFonts w:cs="Calibri"/>
                <w:bCs/>
                <w:kern w:val="24"/>
                <w:sz w:val="14"/>
                <w:szCs w:val="14"/>
                <w:lang w:val="en-US"/>
              </w:rPr>
              <w:t>baseline and annual assessments.</w:t>
            </w:r>
          </w:p>
          <w:p w:rsidR="00F87EAC" w:rsidRPr="00EE69A2" w:rsidRDefault="00F87EAC" w:rsidP="00E67D7C">
            <w:pPr>
              <w:rPr>
                <w:rFonts w:cs="Calibri"/>
                <w:bCs/>
                <w:kern w:val="24"/>
                <w:sz w:val="14"/>
                <w:szCs w:val="14"/>
                <w:lang w:val="en-US"/>
              </w:rPr>
            </w:pPr>
          </w:p>
          <w:p w:rsidR="00F87EAC" w:rsidRPr="00EE69A2" w:rsidRDefault="00F87EAC" w:rsidP="00E67D7C">
            <w:pPr>
              <w:rPr>
                <w:rFonts w:cs="Calibri"/>
                <w:bCs/>
                <w:kern w:val="24"/>
                <w:sz w:val="14"/>
                <w:szCs w:val="14"/>
                <w:lang w:val="en-US"/>
              </w:rPr>
            </w:pPr>
            <w:r w:rsidRPr="00EE69A2">
              <w:rPr>
                <w:rFonts w:cs="Calibri"/>
                <w:bCs/>
                <w:kern w:val="24"/>
                <w:sz w:val="14"/>
                <w:szCs w:val="14"/>
                <w:lang w:val="en-US"/>
              </w:rPr>
              <w:t xml:space="preserve">Rubric baseline and annual assessment </w:t>
            </w:r>
          </w:p>
          <w:p w:rsidR="00F87EAC" w:rsidRPr="00EE69A2" w:rsidRDefault="00F87EAC" w:rsidP="00E67D7C">
            <w:pPr>
              <w:rPr>
                <w:rFonts w:cs="Calibri"/>
                <w:bCs/>
                <w:kern w:val="24"/>
                <w:sz w:val="14"/>
                <w:szCs w:val="14"/>
                <w:lang w:val="en-US"/>
              </w:rPr>
            </w:pPr>
          </w:p>
          <w:p w:rsidR="00F87EAC" w:rsidRPr="00EE69A2" w:rsidRDefault="00F87EAC" w:rsidP="00E67D7C">
            <w:pPr>
              <w:rPr>
                <w:rFonts w:cstheme="minorHAnsi"/>
                <w:sz w:val="20"/>
                <w:szCs w:val="20"/>
              </w:rPr>
            </w:pPr>
            <w:r w:rsidRPr="00EE69A2">
              <w:rPr>
                <w:rFonts w:cs="Calibri"/>
                <w:bCs/>
                <w:kern w:val="24"/>
                <w:sz w:val="14"/>
                <w:szCs w:val="14"/>
                <w:lang w:val="en-US"/>
              </w:rPr>
              <w:t>Stakeholder interviews</w:t>
            </w:r>
            <w:r w:rsidRPr="00D91AD5">
              <w:rPr>
                <w:rFonts w:cstheme="minorHAnsi"/>
                <w:sz w:val="20"/>
                <w:szCs w:val="20"/>
              </w:rPr>
              <w:t xml:space="preserve"> </w:t>
            </w:r>
          </w:p>
        </w:tc>
        <w:tc>
          <w:tcPr>
            <w:tcW w:w="298"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Pr>
                <w:rFonts w:cs="Arial"/>
                <w:sz w:val="14"/>
                <w:szCs w:val="14"/>
              </w:rPr>
              <w:t xml:space="preserve">Annually </w:t>
            </w:r>
          </w:p>
        </w:tc>
        <w:tc>
          <w:tcPr>
            <w:tcW w:w="1684" w:type="pct"/>
            <w:gridSpan w:val="4"/>
            <w:vMerge/>
            <w:tcBorders>
              <w:left w:val="single" w:sz="4" w:space="0" w:color="000000"/>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p>
        </w:tc>
      </w:tr>
      <w:tr w:rsidR="00F87EAC" w:rsidRPr="009A421E" w:rsidTr="00E67D7C">
        <w:trPr>
          <w:trHeight w:val="175"/>
        </w:trPr>
        <w:tc>
          <w:tcPr>
            <w:tcW w:w="594"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 xml:space="preserve">Output </w:t>
            </w:r>
            <w:r>
              <w:rPr>
                <w:rFonts w:cs="Arial"/>
                <w:sz w:val="14"/>
                <w:szCs w:val="14"/>
              </w:rPr>
              <w:t>2.1</w:t>
            </w:r>
          </w:p>
        </w:tc>
        <w:tc>
          <w:tcPr>
            <w:tcW w:w="941"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 xml:space="preserve">Indicator </w:t>
            </w:r>
            <w:r>
              <w:rPr>
                <w:rFonts w:cs="Arial"/>
                <w:sz w:val="14"/>
                <w:szCs w:val="14"/>
              </w:rPr>
              <w:t>2.1.1</w:t>
            </w:r>
          </w:p>
        </w:tc>
        <w:tc>
          <w:tcPr>
            <w:tcW w:w="346"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Baseline</w:t>
            </w:r>
            <w:r>
              <w:rPr>
                <w:rFonts w:cs="Arial"/>
                <w:sz w:val="14"/>
                <w:szCs w:val="14"/>
              </w:rPr>
              <w:t xml:space="preserve"> (=0)</w:t>
            </w:r>
          </w:p>
        </w:tc>
        <w:tc>
          <w:tcPr>
            <w:tcW w:w="346"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Target</w:t>
            </w:r>
          </w:p>
        </w:tc>
        <w:tc>
          <w:tcPr>
            <w:tcW w:w="445"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Pr>
                <w:rFonts w:cs="Arial"/>
                <w:sz w:val="14"/>
                <w:szCs w:val="14"/>
              </w:rPr>
              <w:t>Source of data</w:t>
            </w:r>
          </w:p>
        </w:tc>
        <w:tc>
          <w:tcPr>
            <w:tcW w:w="346"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Means of Verification</w:t>
            </w:r>
          </w:p>
        </w:tc>
        <w:tc>
          <w:tcPr>
            <w:tcW w:w="298"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Frequency of data collection</w:t>
            </w:r>
          </w:p>
        </w:tc>
        <w:tc>
          <w:tcPr>
            <w:tcW w:w="594"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pStyle w:val="MediumGrid1-Accent21"/>
              <w:spacing w:line="276" w:lineRule="auto"/>
              <w:ind w:left="0"/>
              <w:rPr>
                <w:rFonts w:ascii="Arial" w:hAnsi="Arial" w:cs="Arial"/>
                <w:sz w:val="14"/>
                <w:szCs w:val="14"/>
              </w:rPr>
            </w:pPr>
            <w:r w:rsidRPr="00666FA7">
              <w:rPr>
                <w:rFonts w:ascii="Arial" w:eastAsia="Malgun Gothic" w:hAnsi="Arial" w:cs="Arial"/>
                <w:sz w:val="14"/>
                <w:szCs w:val="14"/>
                <w:lang w:val="en-GB"/>
              </w:rPr>
              <w:t xml:space="preserve">Activity </w:t>
            </w:r>
            <w:r>
              <w:rPr>
                <w:rFonts w:ascii="Arial" w:eastAsia="Malgun Gothic" w:hAnsi="Arial" w:cs="Arial"/>
                <w:sz w:val="14"/>
                <w:szCs w:val="14"/>
                <w:lang w:val="en-GB"/>
              </w:rPr>
              <w:t>2.1.1</w:t>
            </w:r>
          </w:p>
        </w:tc>
        <w:tc>
          <w:tcPr>
            <w:tcW w:w="39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87EAC" w:rsidRPr="009A421E" w:rsidRDefault="00F87EAC" w:rsidP="00E67D7C">
            <w:pPr>
              <w:spacing w:line="276" w:lineRule="auto"/>
              <w:rPr>
                <w:rFonts w:cs="Arial"/>
                <w:sz w:val="14"/>
                <w:szCs w:val="14"/>
              </w:rPr>
            </w:pPr>
            <w:r w:rsidRPr="009A421E">
              <w:rPr>
                <w:rFonts w:cs="Arial"/>
                <w:sz w:val="14"/>
                <w:szCs w:val="14"/>
              </w:rPr>
              <w:t>Responsible Party</w:t>
            </w:r>
          </w:p>
        </w:tc>
        <w:tc>
          <w:tcPr>
            <w:tcW w:w="29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87EAC" w:rsidRPr="009A421E" w:rsidRDefault="00F87EAC" w:rsidP="00E67D7C">
            <w:pPr>
              <w:spacing w:line="276" w:lineRule="auto"/>
              <w:rPr>
                <w:rFonts w:cs="Arial"/>
                <w:sz w:val="14"/>
                <w:szCs w:val="14"/>
              </w:rPr>
            </w:pPr>
            <w:r w:rsidRPr="009A421E">
              <w:rPr>
                <w:rFonts w:cs="Arial"/>
                <w:sz w:val="14"/>
                <w:szCs w:val="14"/>
              </w:rPr>
              <w:t>Planned Target (20</w:t>
            </w:r>
            <w:r>
              <w:rPr>
                <w:rFonts w:cs="Arial"/>
                <w:sz w:val="14"/>
                <w:szCs w:val="14"/>
              </w:rPr>
              <w:t>20</w:t>
            </w:r>
            <w:r w:rsidRPr="009A421E">
              <w:rPr>
                <w:rFonts w:cs="Arial"/>
                <w:sz w:val="14"/>
                <w:szCs w:val="14"/>
              </w:rPr>
              <w:t>)</w:t>
            </w:r>
          </w:p>
        </w:tc>
        <w:tc>
          <w:tcPr>
            <w:tcW w:w="39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87EAC" w:rsidRPr="009A421E" w:rsidRDefault="00F87EAC" w:rsidP="00E67D7C">
            <w:pPr>
              <w:spacing w:line="276" w:lineRule="auto"/>
              <w:rPr>
                <w:rFonts w:cs="Arial"/>
                <w:sz w:val="14"/>
                <w:szCs w:val="14"/>
              </w:rPr>
            </w:pPr>
            <w:r>
              <w:rPr>
                <w:rFonts w:cs="Arial"/>
                <w:sz w:val="14"/>
                <w:szCs w:val="14"/>
              </w:rPr>
              <w:t>Assumption</w:t>
            </w:r>
          </w:p>
        </w:tc>
      </w:tr>
      <w:tr w:rsidR="00F87EAC" w:rsidRPr="009A421E" w:rsidTr="00E67D7C">
        <w:trPr>
          <w:trHeight w:val="175"/>
        </w:trPr>
        <w:tc>
          <w:tcPr>
            <w:tcW w:w="594" w:type="pct"/>
            <w:vMerge w:val="restart"/>
            <w:tcBorders>
              <w:left w:val="single" w:sz="4" w:space="0" w:color="000000"/>
              <w:right w:val="single" w:sz="4" w:space="0" w:color="000000"/>
            </w:tcBorders>
            <w:shd w:val="clear" w:color="auto" w:fill="FFFFFF"/>
            <w:noWrap/>
            <w:vAlign w:val="center"/>
          </w:tcPr>
          <w:p w:rsidR="00F87EAC" w:rsidRPr="005057AA" w:rsidRDefault="00F87EAC" w:rsidP="00E67D7C">
            <w:pPr>
              <w:spacing w:before="80" w:after="80"/>
              <w:rPr>
                <w:rFonts w:cs="Calibri"/>
                <w:bCs/>
                <w:sz w:val="14"/>
                <w:szCs w:val="14"/>
              </w:rPr>
            </w:pPr>
            <w:r w:rsidRPr="005057AA">
              <w:rPr>
                <w:rFonts w:cs="Calibri"/>
                <w:bCs/>
                <w:sz w:val="14"/>
                <w:szCs w:val="14"/>
                <w:lang w:val="en-US"/>
              </w:rPr>
              <w:t>There is risk informed, independent scrutiny of government</w:t>
            </w:r>
          </w:p>
          <w:p w:rsidR="00F87EAC" w:rsidRPr="009A421E" w:rsidRDefault="00F87EAC" w:rsidP="00E67D7C">
            <w:pPr>
              <w:spacing w:line="276" w:lineRule="auto"/>
              <w:rPr>
                <w:rFonts w:cs="Arial"/>
                <w:sz w:val="14"/>
                <w:szCs w:val="14"/>
              </w:rPr>
            </w:pPr>
          </w:p>
        </w:tc>
        <w:tc>
          <w:tcPr>
            <w:tcW w:w="941"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Pr>
                <w:rFonts w:cs="Calibri"/>
                <w:bCs/>
                <w:sz w:val="14"/>
                <w:szCs w:val="14"/>
              </w:rPr>
              <w:t xml:space="preserve">Number of </w:t>
            </w:r>
            <w:r w:rsidRPr="005057AA">
              <w:rPr>
                <w:rFonts w:cs="Calibri"/>
                <w:bCs/>
                <w:sz w:val="14"/>
                <w:szCs w:val="14"/>
              </w:rPr>
              <w:t>Audit</w:t>
            </w:r>
            <w:r>
              <w:rPr>
                <w:rFonts w:cs="Calibri"/>
                <w:bCs/>
                <w:sz w:val="14"/>
                <w:szCs w:val="14"/>
              </w:rPr>
              <w:t xml:space="preserve"> reports which</w:t>
            </w:r>
            <w:r w:rsidRPr="005057AA">
              <w:rPr>
                <w:rFonts w:cs="Calibri"/>
                <w:bCs/>
                <w:sz w:val="14"/>
                <w:szCs w:val="14"/>
              </w:rPr>
              <w:t xml:space="preserve"> give increased attention to GS&amp;I CC&amp;D risk</w:t>
            </w:r>
          </w:p>
        </w:tc>
        <w:tc>
          <w:tcPr>
            <w:tcW w:w="346"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sidRPr="00F13C6C">
              <w:rPr>
                <w:rFonts w:cs="Calibri"/>
                <w:bCs/>
                <w:sz w:val="14"/>
                <w:szCs w:val="14"/>
              </w:rPr>
              <w:t>Audit do not consider RID</w:t>
            </w:r>
          </w:p>
        </w:tc>
        <w:tc>
          <w:tcPr>
            <w:tcW w:w="346" w:type="pct"/>
            <w:vMerge w:val="restart"/>
            <w:tcBorders>
              <w:top w:val="single" w:sz="4" w:space="0" w:color="000000"/>
              <w:left w:val="nil"/>
              <w:right w:val="single" w:sz="4" w:space="0" w:color="000000"/>
            </w:tcBorders>
            <w:shd w:val="clear" w:color="auto" w:fill="FFFFFF"/>
            <w:noWrap/>
            <w:vAlign w:val="center"/>
          </w:tcPr>
          <w:p w:rsidR="00F87EAC" w:rsidRPr="005057AA" w:rsidRDefault="00F87EAC" w:rsidP="00E67D7C">
            <w:pPr>
              <w:spacing w:before="80" w:after="80"/>
              <w:rPr>
                <w:iCs/>
                <w:sz w:val="14"/>
                <w:szCs w:val="14"/>
              </w:rPr>
            </w:pPr>
            <w:r w:rsidRPr="005057AA">
              <w:rPr>
                <w:iCs/>
                <w:sz w:val="14"/>
                <w:szCs w:val="14"/>
              </w:rPr>
              <w:t xml:space="preserve">Increase in adapted CCBII scores for oversight and accountability systems requiring gender and </w:t>
            </w:r>
            <w:r w:rsidR="006E2D9C">
              <w:rPr>
                <w:iCs/>
                <w:sz w:val="14"/>
                <w:szCs w:val="14"/>
              </w:rPr>
              <w:t xml:space="preserve">socially </w:t>
            </w:r>
            <w:r w:rsidRPr="005057AA">
              <w:rPr>
                <w:iCs/>
                <w:sz w:val="14"/>
                <w:szCs w:val="14"/>
              </w:rPr>
              <w:t>inclusive risk informed development</w:t>
            </w:r>
          </w:p>
          <w:p w:rsidR="00F87EAC" w:rsidRPr="002A2313" w:rsidRDefault="00F87EAC" w:rsidP="00E67D7C">
            <w:pPr>
              <w:spacing w:before="80" w:after="80"/>
              <w:rPr>
                <w:rFonts w:cs="Calibri"/>
                <w:iCs/>
                <w:sz w:val="14"/>
                <w:szCs w:val="14"/>
              </w:rPr>
            </w:pPr>
            <w:r w:rsidRPr="005057AA">
              <w:rPr>
                <w:rFonts w:cs="Calibri"/>
                <w:iCs/>
                <w:sz w:val="14"/>
                <w:szCs w:val="14"/>
              </w:rPr>
              <w:t>Progress towards sustained political economy change</w:t>
            </w:r>
          </w:p>
        </w:tc>
        <w:tc>
          <w:tcPr>
            <w:tcW w:w="445"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sidRPr="005057AA">
              <w:rPr>
                <w:rFonts w:cs="Calibri"/>
                <w:bCs/>
                <w:sz w:val="14"/>
                <w:szCs w:val="14"/>
              </w:rPr>
              <w:t>Audit reports</w:t>
            </w:r>
          </w:p>
        </w:tc>
        <w:tc>
          <w:tcPr>
            <w:tcW w:w="346" w:type="pct"/>
            <w:vMerge w:val="restart"/>
            <w:tcBorders>
              <w:top w:val="single" w:sz="4" w:space="0" w:color="000000"/>
              <w:left w:val="nil"/>
              <w:right w:val="single" w:sz="4" w:space="0" w:color="000000"/>
            </w:tcBorders>
            <w:shd w:val="clear" w:color="auto" w:fill="FFFFFF"/>
            <w:noWrap/>
            <w:vAlign w:val="center"/>
          </w:tcPr>
          <w:p w:rsidR="00F87EAC" w:rsidRPr="005057AA" w:rsidRDefault="00F87EAC" w:rsidP="00E67D7C">
            <w:pPr>
              <w:spacing w:line="276" w:lineRule="auto"/>
              <w:rPr>
                <w:rFonts w:cs="Calibri"/>
                <w:bCs/>
                <w:sz w:val="14"/>
                <w:szCs w:val="14"/>
              </w:rPr>
            </w:pPr>
            <w:r w:rsidRPr="005057AA">
              <w:rPr>
                <w:rFonts w:cs="Calibri"/>
                <w:bCs/>
                <w:sz w:val="14"/>
                <w:szCs w:val="14"/>
              </w:rPr>
              <w:t>Analysis of reports</w:t>
            </w:r>
          </w:p>
          <w:p w:rsidR="00F87EAC" w:rsidRPr="009A421E" w:rsidRDefault="00F87EAC" w:rsidP="00E67D7C">
            <w:pPr>
              <w:spacing w:line="276" w:lineRule="auto"/>
              <w:rPr>
                <w:rFonts w:cs="Arial"/>
                <w:sz w:val="14"/>
                <w:szCs w:val="14"/>
              </w:rPr>
            </w:pPr>
            <w:r w:rsidRPr="005057AA">
              <w:rPr>
                <w:rFonts w:cs="Calibri"/>
                <w:bCs/>
                <w:sz w:val="14"/>
                <w:szCs w:val="14"/>
              </w:rPr>
              <w:t>PEA analysis</w:t>
            </w:r>
          </w:p>
        </w:tc>
        <w:tc>
          <w:tcPr>
            <w:tcW w:w="298"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Pr>
                <w:rFonts w:cs="Arial"/>
                <w:sz w:val="14"/>
                <w:szCs w:val="14"/>
              </w:rPr>
              <w:t>Annually</w:t>
            </w:r>
          </w:p>
        </w:tc>
        <w:tc>
          <w:tcPr>
            <w:tcW w:w="594" w:type="pct"/>
            <w:vMerge w:val="restart"/>
            <w:tcBorders>
              <w:top w:val="single" w:sz="4" w:space="0" w:color="000000"/>
              <w:left w:val="single" w:sz="4" w:space="0" w:color="000000"/>
              <w:right w:val="single" w:sz="4" w:space="0" w:color="000000"/>
            </w:tcBorders>
            <w:shd w:val="clear" w:color="auto" w:fill="FFFFFF"/>
            <w:noWrap/>
            <w:vAlign w:val="center"/>
          </w:tcPr>
          <w:p w:rsidR="00F87EAC" w:rsidRPr="009A421E" w:rsidRDefault="00F87EAC" w:rsidP="00E67D7C">
            <w:pPr>
              <w:spacing w:before="80" w:after="80"/>
              <w:rPr>
                <w:rFonts w:cs="Arial"/>
                <w:sz w:val="14"/>
                <w:szCs w:val="14"/>
              </w:rPr>
            </w:pPr>
            <w:r w:rsidRPr="003E1AEB">
              <w:rPr>
                <w:iCs/>
                <w:sz w:val="14"/>
                <w:szCs w:val="14"/>
              </w:rPr>
              <w:t>Integration of RID into Parliament, Legislative oversight functions, Public Account Committees and Audit functions. Provision of training on integration of guidelines and tools. Integration of institutionalised capacity for oversight functions</w:t>
            </w:r>
          </w:p>
        </w:tc>
        <w:tc>
          <w:tcPr>
            <w:tcW w:w="396" w:type="pct"/>
            <w:vMerge w:val="restart"/>
            <w:tcBorders>
              <w:top w:val="single" w:sz="4" w:space="0" w:color="000000"/>
              <w:left w:val="single" w:sz="4" w:space="0" w:color="000000"/>
              <w:right w:val="single" w:sz="4" w:space="0" w:color="000000"/>
            </w:tcBorders>
            <w:shd w:val="clear" w:color="auto" w:fill="FFFFFF"/>
            <w:vAlign w:val="center"/>
          </w:tcPr>
          <w:p w:rsidR="00F87EAC" w:rsidRPr="009A421E" w:rsidRDefault="00F87EAC" w:rsidP="00E67D7C">
            <w:pPr>
              <w:spacing w:line="276" w:lineRule="auto"/>
              <w:rPr>
                <w:rFonts w:cs="Arial"/>
                <w:sz w:val="14"/>
                <w:szCs w:val="14"/>
              </w:rPr>
            </w:pPr>
            <w:r>
              <w:rPr>
                <w:rFonts w:cs="Arial"/>
                <w:sz w:val="14"/>
                <w:szCs w:val="14"/>
              </w:rPr>
              <w:t>R</w:t>
            </w:r>
            <w:r w:rsidRPr="009A421E">
              <w:rPr>
                <w:rFonts w:cs="Arial"/>
                <w:sz w:val="14"/>
                <w:szCs w:val="14"/>
              </w:rPr>
              <w:t>esilient development posts</w:t>
            </w:r>
            <w:r>
              <w:rPr>
                <w:rFonts w:cs="Arial"/>
                <w:sz w:val="14"/>
                <w:szCs w:val="14"/>
              </w:rPr>
              <w:t xml:space="preserve"> in SAI’s and parliament</w:t>
            </w:r>
            <w:r w:rsidRPr="009A421E">
              <w:rPr>
                <w:rFonts w:cs="Arial"/>
                <w:sz w:val="14"/>
                <w:szCs w:val="14"/>
              </w:rPr>
              <w:t xml:space="preserve">, with support from technical </w:t>
            </w:r>
            <w:r>
              <w:rPr>
                <w:rFonts w:cs="Arial"/>
                <w:sz w:val="14"/>
                <w:szCs w:val="14"/>
              </w:rPr>
              <w:t>advisors</w:t>
            </w:r>
          </w:p>
        </w:tc>
        <w:tc>
          <w:tcPr>
            <w:tcW w:w="29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7EAC" w:rsidRPr="009A421E" w:rsidRDefault="00F87EAC" w:rsidP="00E67D7C">
            <w:pPr>
              <w:spacing w:line="276" w:lineRule="auto"/>
              <w:rPr>
                <w:rFonts w:cs="Arial"/>
                <w:sz w:val="14"/>
                <w:szCs w:val="14"/>
              </w:rPr>
            </w:pPr>
            <w:r>
              <w:rPr>
                <w:rFonts w:cs="Arial"/>
                <w:sz w:val="14"/>
                <w:szCs w:val="14"/>
              </w:rPr>
              <w:t>2</w:t>
            </w:r>
          </w:p>
        </w:tc>
        <w:tc>
          <w:tcPr>
            <w:tcW w:w="396" w:type="pct"/>
            <w:vMerge w:val="restart"/>
            <w:tcBorders>
              <w:top w:val="single" w:sz="4" w:space="0" w:color="000000"/>
              <w:left w:val="single" w:sz="4" w:space="0" w:color="000000"/>
              <w:right w:val="single" w:sz="4" w:space="0" w:color="000000"/>
            </w:tcBorders>
            <w:shd w:val="clear" w:color="auto" w:fill="FFFFFF"/>
            <w:vAlign w:val="center"/>
          </w:tcPr>
          <w:p w:rsidR="00F87EAC" w:rsidRPr="00921F96" w:rsidRDefault="00F87EAC" w:rsidP="00E67D7C">
            <w:pPr>
              <w:spacing w:line="276" w:lineRule="auto"/>
              <w:rPr>
                <w:rFonts w:cstheme="minorHAnsi"/>
                <w:bCs/>
                <w:sz w:val="20"/>
                <w:szCs w:val="20"/>
              </w:rPr>
            </w:pPr>
            <w:r>
              <w:rPr>
                <w:rFonts w:cs="Arial"/>
                <w:sz w:val="14"/>
                <w:szCs w:val="14"/>
              </w:rPr>
              <w:t>P</w:t>
            </w:r>
            <w:r w:rsidRPr="00921F96">
              <w:rPr>
                <w:rFonts w:cs="Arial"/>
                <w:sz w:val="14"/>
                <w:szCs w:val="14"/>
              </w:rPr>
              <w:t xml:space="preserve">arliamentarians and other formal leaders </w:t>
            </w:r>
            <w:r>
              <w:rPr>
                <w:rFonts w:cs="Arial"/>
                <w:sz w:val="14"/>
                <w:szCs w:val="14"/>
              </w:rPr>
              <w:t xml:space="preserve">are </w:t>
            </w:r>
            <w:r w:rsidRPr="00921F96">
              <w:rPr>
                <w:rFonts w:cs="Arial"/>
                <w:sz w:val="14"/>
                <w:szCs w:val="14"/>
              </w:rPr>
              <w:t>motivated to assess progress towards RID</w:t>
            </w:r>
          </w:p>
        </w:tc>
      </w:tr>
      <w:tr w:rsidR="00F87EAC" w:rsidRPr="009A421E" w:rsidTr="00E67D7C">
        <w:trPr>
          <w:trHeight w:val="175"/>
        </w:trPr>
        <w:tc>
          <w:tcPr>
            <w:tcW w:w="594" w:type="pct"/>
            <w:vMerge/>
            <w:tcBorders>
              <w:left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p>
        </w:tc>
        <w:tc>
          <w:tcPr>
            <w:tcW w:w="941"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 xml:space="preserve">Indicator </w:t>
            </w:r>
            <w:r>
              <w:rPr>
                <w:rFonts w:cs="Arial"/>
                <w:sz w:val="14"/>
                <w:szCs w:val="14"/>
              </w:rPr>
              <w:t>2.1.2</w:t>
            </w:r>
          </w:p>
        </w:tc>
        <w:tc>
          <w:tcPr>
            <w:tcW w:w="346"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Baseline</w:t>
            </w:r>
            <w:r>
              <w:rPr>
                <w:rFonts w:cs="Arial"/>
                <w:sz w:val="14"/>
                <w:szCs w:val="14"/>
              </w:rPr>
              <w:t xml:space="preserve"> (=0)</w:t>
            </w:r>
          </w:p>
        </w:tc>
        <w:tc>
          <w:tcPr>
            <w:tcW w:w="346" w:type="pct"/>
            <w:vMerge/>
            <w:tcBorders>
              <w:left w:val="nil"/>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p>
        </w:tc>
        <w:tc>
          <w:tcPr>
            <w:tcW w:w="445"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Pr>
                <w:rFonts w:cs="Arial"/>
                <w:sz w:val="14"/>
                <w:szCs w:val="14"/>
              </w:rPr>
              <w:t>Source of data</w:t>
            </w:r>
          </w:p>
        </w:tc>
        <w:tc>
          <w:tcPr>
            <w:tcW w:w="346" w:type="pct"/>
            <w:vMerge/>
            <w:tcBorders>
              <w:left w:val="nil"/>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p>
        </w:tc>
        <w:tc>
          <w:tcPr>
            <w:tcW w:w="298"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Frequency of data collection</w:t>
            </w:r>
          </w:p>
        </w:tc>
        <w:tc>
          <w:tcPr>
            <w:tcW w:w="594" w:type="pct"/>
            <w:vMerge/>
            <w:tcBorders>
              <w:left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pStyle w:val="MediumGrid1-Accent21"/>
              <w:spacing w:line="276" w:lineRule="auto"/>
              <w:ind w:left="0"/>
              <w:rPr>
                <w:rFonts w:ascii="Arial" w:hAnsi="Arial" w:cs="Arial"/>
                <w:sz w:val="14"/>
                <w:szCs w:val="14"/>
              </w:rPr>
            </w:pPr>
          </w:p>
        </w:tc>
        <w:tc>
          <w:tcPr>
            <w:tcW w:w="396" w:type="pct"/>
            <w:vMerge/>
            <w:tcBorders>
              <w:left w:val="single" w:sz="4" w:space="0" w:color="000000"/>
              <w:right w:val="single" w:sz="4" w:space="0" w:color="000000"/>
            </w:tcBorders>
            <w:shd w:val="clear" w:color="auto" w:fill="BFBFBF" w:themeFill="background1" w:themeFillShade="BF"/>
            <w:vAlign w:val="center"/>
          </w:tcPr>
          <w:p w:rsidR="00F87EAC" w:rsidRPr="009A421E" w:rsidRDefault="00F87EAC" w:rsidP="00E67D7C">
            <w:pPr>
              <w:spacing w:line="276" w:lineRule="auto"/>
              <w:rPr>
                <w:rFonts w:cs="Arial"/>
                <w:sz w:val="14"/>
                <w:szCs w:val="14"/>
              </w:rPr>
            </w:pPr>
          </w:p>
        </w:tc>
        <w:tc>
          <w:tcPr>
            <w:tcW w:w="29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87EAC" w:rsidRPr="009A421E" w:rsidRDefault="00F87EAC" w:rsidP="00E67D7C">
            <w:pPr>
              <w:spacing w:line="276" w:lineRule="auto"/>
              <w:rPr>
                <w:rFonts w:cs="Arial"/>
                <w:sz w:val="14"/>
                <w:szCs w:val="14"/>
              </w:rPr>
            </w:pPr>
            <w:r w:rsidRPr="009A421E">
              <w:rPr>
                <w:rFonts w:cs="Arial"/>
                <w:sz w:val="14"/>
                <w:szCs w:val="14"/>
              </w:rPr>
              <w:t>Planned Target (20</w:t>
            </w:r>
            <w:r>
              <w:rPr>
                <w:rFonts w:cs="Arial"/>
                <w:sz w:val="14"/>
                <w:szCs w:val="14"/>
              </w:rPr>
              <w:t>20</w:t>
            </w:r>
            <w:r w:rsidRPr="009A421E">
              <w:rPr>
                <w:rFonts w:cs="Arial"/>
                <w:sz w:val="14"/>
                <w:szCs w:val="14"/>
              </w:rPr>
              <w:t>)</w:t>
            </w:r>
          </w:p>
        </w:tc>
        <w:tc>
          <w:tcPr>
            <w:tcW w:w="396" w:type="pct"/>
            <w:vMerge/>
            <w:tcBorders>
              <w:left w:val="single" w:sz="4" w:space="0" w:color="000000"/>
              <w:right w:val="single" w:sz="4" w:space="0" w:color="000000"/>
            </w:tcBorders>
            <w:shd w:val="clear" w:color="auto" w:fill="BFBFBF" w:themeFill="background1" w:themeFillShade="BF"/>
            <w:vAlign w:val="center"/>
          </w:tcPr>
          <w:p w:rsidR="00F87EAC" w:rsidRPr="009A421E" w:rsidRDefault="00F87EAC" w:rsidP="00E67D7C">
            <w:pPr>
              <w:spacing w:line="276" w:lineRule="auto"/>
              <w:rPr>
                <w:rFonts w:cs="Arial"/>
                <w:sz w:val="14"/>
                <w:szCs w:val="14"/>
              </w:rPr>
            </w:pPr>
          </w:p>
        </w:tc>
      </w:tr>
      <w:tr w:rsidR="00F87EAC" w:rsidRPr="009A421E" w:rsidTr="00E67D7C">
        <w:trPr>
          <w:trHeight w:val="175"/>
        </w:trPr>
        <w:tc>
          <w:tcPr>
            <w:tcW w:w="594" w:type="pct"/>
            <w:vMerge/>
            <w:tcBorders>
              <w:left w:val="single" w:sz="4" w:space="0" w:color="000000"/>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p>
        </w:tc>
        <w:tc>
          <w:tcPr>
            <w:tcW w:w="941"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Pr>
                <w:rFonts w:cs="Calibri"/>
                <w:bCs/>
                <w:sz w:val="14"/>
                <w:szCs w:val="14"/>
              </w:rPr>
              <w:t>Number of b</w:t>
            </w:r>
            <w:r w:rsidRPr="005057AA">
              <w:rPr>
                <w:rFonts w:cs="Calibri"/>
                <w:bCs/>
                <w:sz w:val="14"/>
                <w:szCs w:val="14"/>
              </w:rPr>
              <w:t>udget analys</w:t>
            </w:r>
            <w:r>
              <w:rPr>
                <w:rFonts w:cs="Calibri"/>
                <w:bCs/>
                <w:sz w:val="14"/>
                <w:szCs w:val="14"/>
              </w:rPr>
              <w:t>e</w:t>
            </w:r>
            <w:r w:rsidRPr="005057AA">
              <w:rPr>
                <w:rFonts w:cs="Calibri"/>
                <w:bCs/>
                <w:sz w:val="14"/>
                <w:szCs w:val="14"/>
              </w:rPr>
              <w:t xml:space="preserve">s and briefs </w:t>
            </w:r>
            <w:r>
              <w:rPr>
                <w:rFonts w:cs="Calibri"/>
                <w:bCs/>
                <w:sz w:val="14"/>
                <w:szCs w:val="14"/>
              </w:rPr>
              <w:t xml:space="preserve">which </w:t>
            </w:r>
            <w:r w:rsidRPr="005057AA">
              <w:rPr>
                <w:rFonts w:cs="Calibri"/>
                <w:bCs/>
                <w:sz w:val="14"/>
                <w:szCs w:val="14"/>
              </w:rPr>
              <w:t>include mature analysis of GS&amp;I CC&amp;D risk</w:t>
            </w:r>
          </w:p>
        </w:tc>
        <w:tc>
          <w:tcPr>
            <w:tcW w:w="346" w:type="pct"/>
            <w:tcBorders>
              <w:top w:val="single" w:sz="4" w:space="0" w:color="000000"/>
              <w:left w:val="nil"/>
              <w:bottom w:val="single" w:sz="4" w:space="0" w:color="000000"/>
              <w:right w:val="single" w:sz="4" w:space="0" w:color="000000"/>
            </w:tcBorders>
            <w:shd w:val="clear" w:color="auto" w:fill="FFFFFF"/>
            <w:noWrap/>
            <w:vAlign w:val="center"/>
          </w:tcPr>
          <w:p w:rsidR="00F87EAC" w:rsidRPr="00F13C6C" w:rsidRDefault="00F87EAC" w:rsidP="00E67D7C">
            <w:pPr>
              <w:spacing w:line="276" w:lineRule="auto"/>
              <w:rPr>
                <w:rFonts w:cs="Calibri"/>
                <w:bCs/>
                <w:sz w:val="14"/>
                <w:szCs w:val="14"/>
              </w:rPr>
            </w:pPr>
            <w:r w:rsidRPr="00F13C6C">
              <w:rPr>
                <w:rFonts w:cs="Calibri"/>
                <w:bCs/>
                <w:sz w:val="14"/>
                <w:szCs w:val="14"/>
              </w:rPr>
              <w:t xml:space="preserve">Budget analysis parliament briefings do not consider RID </w:t>
            </w:r>
          </w:p>
        </w:tc>
        <w:tc>
          <w:tcPr>
            <w:tcW w:w="346" w:type="pct"/>
            <w:vMerge/>
            <w:tcBorders>
              <w:left w:val="nil"/>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p>
        </w:tc>
        <w:tc>
          <w:tcPr>
            <w:tcW w:w="445" w:type="pct"/>
            <w:tcBorders>
              <w:top w:val="single" w:sz="4" w:space="0" w:color="000000"/>
              <w:left w:val="nil"/>
              <w:bottom w:val="single" w:sz="4" w:space="0" w:color="000000"/>
              <w:right w:val="single" w:sz="4" w:space="0" w:color="000000"/>
            </w:tcBorders>
            <w:shd w:val="clear" w:color="auto" w:fill="FFFFFF"/>
            <w:noWrap/>
            <w:vAlign w:val="center"/>
          </w:tcPr>
          <w:p w:rsidR="00F87EAC" w:rsidRPr="005057AA" w:rsidRDefault="00F87EAC" w:rsidP="00E67D7C">
            <w:pPr>
              <w:spacing w:line="276" w:lineRule="auto"/>
              <w:rPr>
                <w:rFonts w:cs="Calibri"/>
                <w:bCs/>
                <w:sz w:val="14"/>
                <w:szCs w:val="14"/>
              </w:rPr>
            </w:pPr>
            <w:r w:rsidRPr="005057AA">
              <w:rPr>
                <w:rFonts w:cs="Calibri"/>
                <w:bCs/>
                <w:sz w:val="14"/>
                <w:szCs w:val="14"/>
              </w:rPr>
              <w:t>Budget reports</w:t>
            </w:r>
          </w:p>
          <w:p w:rsidR="00F87EAC" w:rsidRPr="009A421E" w:rsidRDefault="00F87EAC" w:rsidP="00E67D7C">
            <w:pPr>
              <w:spacing w:line="276" w:lineRule="auto"/>
              <w:rPr>
                <w:rFonts w:cs="Arial"/>
                <w:sz w:val="14"/>
                <w:szCs w:val="14"/>
              </w:rPr>
            </w:pPr>
            <w:r w:rsidRPr="00EB1130">
              <w:rPr>
                <w:rFonts w:cs="Calibri"/>
                <w:bCs/>
                <w:sz w:val="14"/>
                <w:szCs w:val="14"/>
              </w:rPr>
              <w:t>Parliament reports</w:t>
            </w:r>
          </w:p>
        </w:tc>
        <w:tc>
          <w:tcPr>
            <w:tcW w:w="346" w:type="pct"/>
            <w:vMerge/>
            <w:tcBorders>
              <w:left w:val="nil"/>
              <w:bottom w:val="single" w:sz="4" w:space="0" w:color="000000"/>
              <w:right w:val="single" w:sz="4" w:space="0" w:color="000000"/>
            </w:tcBorders>
            <w:shd w:val="clear" w:color="auto" w:fill="FFFFFF"/>
            <w:noWrap/>
            <w:vAlign w:val="center"/>
          </w:tcPr>
          <w:p w:rsidR="00F87EAC" w:rsidRPr="00690683" w:rsidRDefault="00F87EAC" w:rsidP="00E67D7C">
            <w:pPr>
              <w:spacing w:before="80" w:after="80"/>
              <w:rPr>
                <w:rFonts w:cs="Calibri"/>
                <w:bCs/>
                <w:sz w:val="14"/>
                <w:szCs w:val="14"/>
              </w:rPr>
            </w:pPr>
          </w:p>
        </w:tc>
        <w:tc>
          <w:tcPr>
            <w:tcW w:w="298"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Pr>
                <w:rFonts w:cs="Arial"/>
                <w:sz w:val="14"/>
                <w:szCs w:val="14"/>
              </w:rPr>
              <w:t>Annually</w:t>
            </w:r>
          </w:p>
        </w:tc>
        <w:tc>
          <w:tcPr>
            <w:tcW w:w="594" w:type="pct"/>
            <w:vMerge/>
            <w:tcBorders>
              <w:left w:val="single" w:sz="4" w:space="0" w:color="000000"/>
              <w:bottom w:val="single" w:sz="4" w:space="0" w:color="000000"/>
              <w:right w:val="single" w:sz="4" w:space="0" w:color="000000"/>
            </w:tcBorders>
            <w:shd w:val="clear" w:color="auto" w:fill="FFFFFF"/>
            <w:noWrap/>
            <w:vAlign w:val="center"/>
          </w:tcPr>
          <w:p w:rsidR="00F87EAC" w:rsidRPr="009A421E" w:rsidRDefault="00F87EAC" w:rsidP="00E67D7C">
            <w:pPr>
              <w:pStyle w:val="MediumGrid1-Accent21"/>
              <w:spacing w:line="276" w:lineRule="auto"/>
              <w:ind w:left="0"/>
              <w:rPr>
                <w:rFonts w:ascii="Arial" w:hAnsi="Arial" w:cs="Arial"/>
                <w:sz w:val="14"/>
                <w:szCs w:val="14"/>
              </w:rPr>
            </w:pPr>
          </w:p>
        </w:tc>
        <w:tc>
          <w:tcPr>
            <w:tcW w:w="396" w:type="pct"/>
            <w:vMerge/>
            <w:tcBorders>
              <w:left w:val="single" w:sz="4" w:space="0" w:color="000000"/>
              <w:bottom w:val="single" w:sz="4" w:space="0" w:color="000000"/>
              <w:right w:val="single" w:sz="4" w:space="0" w:color="000000"/>
            </w:tcBorders>
            <w:shd w:val="clear" w:color="auto" w:fill="FFFFFF"/>
            <w:vAlign w:val="center"/>
          </w:tcPr>
          <w:p w:rsidR="00F87EAC" w:rsidRPr="009A421E" w:rsidRDefault="00F87EAC" w:rsidP="00E67D7C">
            <w:pPr>
              <w:spacing w:line="276" w:lineRule="auto"/>
              <w:rPr>
                <w:rFonts w:cs="Arial"/>
                <w:sz w:val="14"/>
                <w:szCs w:val="14"/>
              </w:rPr>
            </w:pPr>
          </w:p>
        </w:tc>
        <w:tc>
          <w:tcPr>
            <w:tcW w:w="29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7EAC" w:rsidRPr="009A421E" w:rsidRDefault="00F87EAC" w:rsidP="00E67D7C">
            <w:pPr>
              <w:spacing w:line="276" w:lineRule="auto"/>
              <w:rPr>
                <w:rFonts w:cs="Arial"/>
                <w:sz w:val="14"/>
                <w:szCs w:val="14"/>
              </w:rPr>
            </w:pPr>
            <w:r>
              <w:rPr>
                <w:rFonts w:cs="Arial"/>
                <w:sz w:val="14"/>
                <w:szCs w:val="14"/>
              </w:rPr>
              <w:t>2</w:t>
            </w:r>
          </w:p>
        </w:tc>
        <w:tc>
          <w:tcPr>
            <w:tcW w:w="396" w:type="pct"/>
            <w:vMerge/>
            <w:tcBorders>
              <w:left w:val="single" w:sz="4" w:space="0" w:color="000000"/>
              <w:bottom w:val="single" w:sz="4" w:space="0" w:color="000000"/>
              <w:right w:val="single" w:sz="4" w:space="0" w:color="000000"/>
            </w:tcBorders>
            <w:shd w:val="clear" w:color="auto" w:fill="FFFFFF"/>
            <w:vAlign w:val="center"/>
          </w:tcPr>
          <w:p w:rsidR="00F87EAC" w:rsidRPr="009A421E" w:rsidRDefault="00F87EAC" w:rsidP="00E67D7C">
            <w:pPr>
              <w:spacing w:line="276" w:lineRule="auto"/>
              <w:rPr>
                <w:rFonts w:cs="Arial"/>
                <w:sz w:val="14"/>
                <w:szCs w:val="14"/>
              </w:rPr>
            </w:pPr>
          </w:p>
        </w:tc>
      </w:tr>
      <w:tr w:rsidR="00F87EAC" w:rsidRPr="009A421E" w:rsidTr="00E67D7C">
        <w:trPr>
          <w:trHeight w:val="175"/>
        </w:trPr>
        <w:tc>
          <w:tcPr>
            <w:tcW w:w="594"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 xml:space="preserve">Output </w:t>
            </w:r>
            <w:r>
              <w:rPr>
                <w:rFonts w:cs="Arial"/>
                <w:sz w:val="14"/>
                <w:szCs w:val="14"/>
              </w:rPr>
              <w:t>2.2</w:t>
            </w:r>
          </w:p>
        </w:tc>
        <w:tc>
          <w:tcPr>
            <w:tcW w:w="941"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 xml:space="preserve">Indicator </w:t>
            </w:r>
            <w:r>
              <w:rPr>
                <w:rFonts w:cs="Arial"/>
                <w:sz w:val="14"/>
                <w:szCs w:val="14"/>
              </w:rPr>
              <w:t>2.2.1</w:t>
            </w:r>
          </w:p>
        </w:tc>
        <w:tc>
          <w:tcPr>
            <w:tcW w:w="346"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Baseline</w:t>
            </w:r>
            <w:r>
              <w:rPr>
                <w:rFonts w:cs="Arial"/>
                <w:sz w:val="14"/>
                <w:szCs w:val="14"/>
              </w:rPr>
              <w:t xml:space="preserve"> (=0)</w:t>
            </w:r>
          </w:p>
        </w:tc>
        <w:tc>
          <w:tcPr>
            <w:tcW w:w="346" w:type="pct"/>
            <w:vMerge/>
            <w:tcBorders>
              <w:left w:val="nil"/>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p>
        </w:tc>
        <w:tc>
          <w:tcPr>
            <w:tcW w:w="445"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Pr>
                <w:rFonts w:cs="Arial"/>
                <w:sz w:val="14"/>
                <w:szCs w:val="14"/>
              </w:rPr>
              <w:t>Source of data</w:t>
            </w:r>
          </w:p>
        </w:tc>
        <w:tc>
          <w:tcPr>
            <w:tcW w:w="346"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Means of Verification</w:t>
            </w:r>
          </w:p>
        </w:tc>
        <w:tc>
          <w:tcPr>
            <w:tcW w:w="298"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Frequency of data collection</w:t>
            </w:r>
          </w:p>
        </w:tc>
        <w:tc>
          <w:tcPr>
            <w:tcW w:w="594"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pStyle w:val="MediumGrid1-Accent21"/>
              <w:spacing w:line="276" w:lineRule="auto"/>
              <w:ind w:left="0"/>
              <w:rPr>
                <w:rFonts w:ascii="Arial" w:hAnsi="Arial" w:cs="Arial"/>
                <w:sz w:val="14"/>
                <w:szCs w:val="14"/>
              </w:rPr>
            </w:pPr>
            <w:r w:rsidRPr="00666FA7">
              <w:rPr>
                <w:rFonts w:ascii="Arial" w:eastAsia="Malgun Gothic" w:hAnsi="Arial" w:cs="Arial"/>
                <w:sz w:val="14"/>
                <w:szCs w:val="14"/>
                <w:lang w:val="en-GB"/>
              </w:rPr>
              <w:t xml:space="preserve">Activity </w:t>
            </w:r>
            <w:r>
              <w:rPr>
                <w:rFonts w:ascii="Arial" w:eastAsia="Malgun Gothic" w:hAnsi="Arial" w:cs="Arial"/>
                <w:sz w:val="14"/>
                <w:szCs w:val="14"/>
                <w:lang w:val="en-GB"/>
              </w:rPr>
              <w:t>2.2</w:t>
            </w:r>
          </w:p>
        </w:tc>
        <w:tc>
          <w:tcPr>
            <w:tcW w:w="39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87EAC" w:rsidRPr="009A421E" w:rsidRDefault="00F87EAC" w:rsidP="00E67D7C">
            <w:pPr>
              <w:spacing w:line="276" w:lineRule="auto"/>
              <w:rPr>
                <w:rFonts w:cs="Arial"/>
                <w:sz w:val="14"/>
                <w:szCs w:val="14"/>
              </w:rPr>
            </w:pPr>
            <w:r w:rsidRPr="009A421E">
              <w:rPr>
                <w:rFonts w:cs="Arial"/>
                <w:sz w:val="14"/>
                <w:szCs w:val="14"/>
              </w:rPr>
              <w:t>Responsible Party</w:t>
            </w:r>
          </w:p>
        </w:tc>
        <w:tc>
          <w:tcPr>
            <w:tcW w:w="29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87EAC" w:rsidRPr="009A421E" w:rsidRDefault="00F87EAC" w:rsidP="00E67D7C">
            <w:pPr>
              <w:spacing w:line="276" w:lineRule="auto"/>
              <w:rPr>
                <w:rFonts w:cs="Arial"/>
                <w:sz w:val="14"/>
                <w:szCs w:val="14"/>
              </w:rPr>
            </w:pPr>
            <w:r w:rsidRPr="009A421E">
              <w:rPr>
                <w:rFonts w:cs="Arial"/>
                <w:sz w:val="14"/>
                <w:szCs w:val="14"/>
              </w:rPr>
              <w:t>Planned Target (20</w:t>
            </w:r>
            <w:r>
              <w:rPr>
                <w:rFonts w:cs="Arial"/>
                <w:sz w:val="14"/>
                <w:szCs w:val="14"/>
              </w:rPr>
              <w:t>20</w:t>
            </w:r>
            <w:r w:rsidRPr="009A421E">
              <w:rPr>
                <w:rFonts w:cs="Arial"/>
                <w:sz w:val="14"/>
                <w:szCs w:val="14"/>
              </w:rPr>
              <w:t>)</w:t>
            </w:r>
          </w:p>
        </w:tc>
        <w:tc>
          <w:tcPr>
            <w:tcW w:w="39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87EAC" w:rsidRPr="009A421E" w:rsidRDefault="00F87EAC" w:rsidP="00E67D7C">
            <w:pPr>
              <w:spacing w:line="276" w:lineRule="auto"/>
              <w:rPr>
                <w:rFonts w:cs="Arial"/>
                <w:sz w:val="14"/>
                <w:szCs w:val="14"/>
              </w:rPr>
            </w:pPr>
            <w:r>
              <w:rPr>
                <w:rFonts w:cs="Arial"/>
                <w:sz w:val="14"/>
                <w:szCs w:val="14"/>
              </w:rPr>
              <w:t>Assumption</w:t>
            </w:r>
          </w:p>
        </w:tc>
      </w:tr>
      <w:tr w:rsidR="00F87EAC" w:rsidRPr="009A421E" w:rsidTr="00E67D7C">
        <w:trPr>
          <w:trHeight w:val="175"/>
        </w:trPr>
        <w:tc>
          <w:tcPr>
            <w:tcW w:w="594" w:type="pct"/>
            <w:vMerge w:val="restart"/>
            <w:tcBorders>
              <w:left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sidRPr="005057AA">
              <w:rPr>
                <w:rFonts w:cs="Calibri"/>
                <w:bCs/>
                <w:sz w:val="14"/>
                <w:szCs w:val="14"/>
                <w:lang w:val="en-US"/>
              </w:rPr>
              <w:t>There is risk informed engagement and scrutiny by civil society</w:t>
            </w:r>
          </w:p>
        </w:tc>
        <w:tc>
          <w:tcPr>
            <w:tcW w:w="941"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Pr>
                <w:rFonts w:cs="Calibri"/>
                <w:bCs/>
                <w:sz w:val="14"/>
                <w:szCs w:val="14"/>
              </w:rPr>
              <w:t>N</w:t>
            </w:r>
            <w:r w:rsidRPr="005057AA">
              <w:rPr>
                <w:rFonts w:cs="Calibri"/>
                <w:bCs/>
                <w:sz w:val="14"/>
                <w:szCs w:val="14"/>
              </w:rPr>
              <w:t>umber of times there is public scrutiny of the GS&amp;I CC&amp;D risk inclusion in development investments</w:t>
            </w:r>
          </w:p>
        </w:tc>
        <w:tc>
          <w:tcPr>
            <w:tcW w:w="346"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sidRPr="00F13C6C">
              <w:rPr>
                <w:rFonts w:cs="Calibri"/>
                <w:bCs/>
                <w:sz w:val="14"/>
                <w:szCs w:val="14"/>
              </w:rPr>
              <w:t>No public scrutiny of RID in development investments</w:t>
            </w:r>
            <w:r w:rsidRPr="005057AA">
              <w:rPr>
                <w:rFonts w:cs="Arial"/>
                <w:sz w:val="14"/>
                <w:szCs w:val="14"/>
              </w:rPr>
              <w:t xml:space="preserve"> </w:t>
            </w:r>
          </w:p>
        </w:tc>
        <w:tc>
          <w:tcPr>
            <w:tcW w:w="346" w:type="pct"/>
            <w:vMerge/>
            <w:tcBorders>
              <w:left w:val="nil"/>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p>
        </w:tc>
        <w:tc>
          <w:tcPr>
            <w:tcW w:w="445" w:type="pct"/>
            <w:tcBorders>
              <w:top w:val="single" w:sz="4" w:space="0" w:color="000000"/>
              <w:left w:val="nil"/>
              <w:bottom w:val="single" w:sz="4" w:space="0" w:color="000000"/>
              <w:right w:val="single" w:sz="4" w:space="0" w:color="000000"/>
            </w:tcBorders>
            <w:shd w:val="clear" w:color="auto" w:fill="FFFFFF"/>
            <w:noWrap/>
            <w:vAlign w:val="center"/>
          </w:tcPr>
          <w:p w:rsidR="00F87EAC" w:rsidRPr="00A507AB" w:rsidRDefault="00F87EAC" w:rsidP="00E67D7C">
            <w:pPr>
              <w:spacing w:before="80" w:after="80"/>
              <w:rPr>
                <w:rFonts w:cs="Calibri"/>
                <w:bCs/>
                <w:sz w:val="14"/>
                <w:szCs w:val="14"/>
              </w:rPr>
            </w:pPr>
            <w:r w:rsidRPr="005057AA">
              <w:rPr>
                <w:rFonts w:cs="Calibri"/>
                <w:bCs/>
                <w:sz w:val="14"/>
                <w:szCs w:val="14"/>
              </w:rPr>
              <w:t>Media reports</w:t>
            </w:r>
          </w:p>
        </w:tc>
        <w:tc>
          <w:tcPr>
            <w:tcW w:w="346" w:type="pct"/>
            <w:vMerge w:val="restart"/>
            <w:tcBorders>
              <w:top w:val="single" w:sz="4" w:space="0" w:color="000000"/>
              <w:left w:val="nil"/>
              <w:right w:val="single" w:sz="4" w:space="0" w:color="000000"/>
            </w:tcBorders>
            <w:shd w:val="clear" w:color="auto" w:fill="FFFFFF"/>
            <w:noWrap/>
            <w:vAlign w:val="center"/>
          </w:tcPr>
          <w:p w:rsidR="00F87EAC" w:rsidRPr="005057AA" w:rsidRDefault="00F87EAC" w:rsidP="00E67D7C">
            <w:pPr>
              <w:spacing w:before="80" w:after="80"/>
              <w:rPr>
                <w:rFonts w:cs="Calibri"/>
                <w:bCs/>
                <w:sz w:val="14"/>
                <w:szCs w:val="14"/>
              </w:rPr>
            </w:pPr>
            <w:r w:rsidRPr="005057AA">
              <w:rPr>
                <w:rFonts w:cs="Calibri"/>
                <w:bCs/>
                <w:sz w:val="14"/>
                <w:szCs w:val="14"/>
              </w:rPr>
              <w:t>Media analysis</w:t>
            </w:r>
          </w:p>
          <w:p w:rsidR="00F87EAC" w:rsidRPr="009A421E" w:rsidRDefault="00F87EAC" w:rsidP="00E67D7C">
            <w:pPr>
              <w:spacing w:line="276" w:lineRule="auto"/>
              <w:rPr>
                <w:rFonts w:cs="Arial"/>
                <w:sz w:val="14"/>
                <w:szCs w:val="14"/>
              </w:rPr>
            </w:pPr>
            <w:r w:rsidRPr="005057AA">
              <w:rPr>
                <w:rFonts w:cs="Calibri"/>
                <w:bCs/>
                <w:sz w:val="14"/>
                <w:szCs w:val="14"/>
              </w:rPr>
              <w:t>Interviews with CSO</w:t>
            </w:r>
          </w:p>
        </w:tc>
        <w:tc>
          <w:tcPr>
            <w:tcW w:w="298"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Pr>
                <w:rFonts w:cs="Arial"/>
                <w:sz w:val="14"/>
                <w:szCs w:val="14"/>
              </w:rPr>
              <w:t xml:space="preserve">6 </w:t>
            </w:r>
            <w:proofErr w:type="gramStart"/>
            <w:r>
              <w:rPr>
                <w:rFonts w:cs="Arial"/>
                <w:sz w:val="14"/>
                <w:szCs w:val="14"/>
              </w:rPr>
              <w:t>monthly</w:t>
            </w:r>
            <w:proofErr w:type="gramEnd"/>
            <w:r>
              <w:rPr>
                <w:rFonts w:cs="Arial"/>
                <w:sz w:val="14"/>
                <w:szCs w:val="14"/>
              </w:rPr>
              <w:t xml:space="preserve"> </w:t>
            </w:r>
          </w:p>
        </w:tc>
        <w:tc>
          <w:tcPr>
            <w:tcW w:w="594" w:type="pct"/>
            <w:vMerge w:val="restart"/>
            <w:tcBorders>
              <w:top w:val="single" w:sz="4" w:space="0" w:color="000000"/>
              <w:left w:val="single" w:sz="4" w:space="0" w:color="000000"/>
              <w:right w:val="single" w:sz="4" w:space="0" w:color="000000"/>
            </w:tcBorders>
            <w:shd w:val="clear" w:color="auto" w:fill="FFFFFF"/>
            <w:noWrap/>
            <w:vAlign w:val="center"/>
          </w:tcPr>
          <w:p w:rsidR="00F87EAC" w:rsidRPr="009A421E" w:rsidRDefault="00F87EAC" w:rsidP="00E67D7C">
            <w:pPr>
              <w:spacing w:before="80" w:after="80"/>
              <w:rPr>
                <w:rFonts w:cs="Arial"/>
                <w:sz w:val="14"/>
                <w:szCs w:val="14"/>
              </w:rPr>
            </w:pPr>
            <w:r w:rsidRPr="003E1AEB">
              <w:rPr>
                <w:iCs/>
                <w:sz w:val="14"/>
                <w:szCs w:val="14"/>
              </w:rPr>
              <w:t>Facilitate dialogue with CSO to ensure voice of women, marginalized and youth are accounted. Provision of training on integration of guidelines and tools</w:t>
            </w:r>
          </w:p>
        </w:tc>
        <w:tc>
          <w:tcPr>
            <w:tcW w:w="396" w:type="pct"/>
            <w:vMerge w:val="restart"/>
            <w:tcBorders>
              <w:top w:val="single" w:sz="4" w:space="0" w:color="000000"/>
              <w:left w:val="single" w:sz="4" w:space="0" w:color="000000"/>
              <w:right w:val="single" w:sz="4" w:space="0" w:color="000000"/>
            </w:tcBorders>
            <w:shd w:val="clear" w:color="auto" w:fill="FFFFFF"/>
            <w:vAlign w:val="center"/>
          </w:tcPr>
          <w:p w:rsidR="00F87EAC" w:rsidRPr="009A421E" w:rsidRDefault="00F87EAC" w:rsidP="00E67D7C">
            <w:pPr>
              <w:spacing w:line="276" w:lineRule="auto"/>
              <w:rPr>
                <w:rFonts w:cs="Arial"/>
                <w:sz w:val="14"/>
                <w:szCs w:val="14"/>
              </w:rPr>
            </w:pPr>
            <w:r w:rsidRPr="009A421E">
              <w:rPr>
                <w:rFonts w:cs="Arial"/>
                <w:sz w:val="14"/>
                <w:szCs w:val="14"/>
              </w:rPr>
              <w:t>Country project manager</w:t>
            </w:r>
            <w:r>
              <w:rPr>
                <w:rFonts w:cs="Arial"/>
                <w:sz w:val="14"/>
                <w:szCs w:val="14"/>
              </w:rPr>
              <w:t xml:space="preserve"> and technical advisors, in partnership with CSOs</w:t>
            </w:r>
          </w:p>
        </w:tc>
        <w:tc>
          <w:tcPr>
            <w:tcW w:w="29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7EAC" w:rsidRPr="009A421E" w:rsidRDefault="00F87EAC" w:rsidP="00E67D7C">
            <w:pPr>
              <w:spacing w:line="276" w:lineRule="auto"/>
              <w:rPr>
                <w:rFonts w:cs="Arial"/>
                <w:sz w:val="14"/>
                <w:szCs w:val="14"/>
              </w:rPr>
            </w:pPr>
            <w:r>
              <w:rPr>
                <w:rFonts w:cs="Arial"/>
                <w:sz w:val="14"/>
                <w:szCs w:val="14"/>
              </w:rPr>
              <w:t>2</w:t>
            </w:r>
          </w:p>
        </w:tc>
        <w:tc>
          <w:tcPr>
            <w:tcW w:w="396" w:type="pct"/>
            <w:vMerge w:val="restart"/>
            <w:tcBorders>
              <w:top w:val="single" w:sz="4" w:space="0" w:color="000000"/>
              <w:left w:val="single" w:sz="4" w:space="0" w:color="000000"/>
              <w:right w:val="single" w:sz="4" w:space="0" w:color="000000"/>
            </w:tcBorders>
            <w:shd w:val="clear" w:color="auto" w:fill="FFFFFF"/>
            <w:vAlign w:val="center"/>
          </w:tcPr>
          <w:p w:rsidR="00F87EAC" w:rsidRPr="00921F96" w:rsidRDefault="00F87EAC" w:rsidP="00E67D7C">
            <w:pPr>
              <w:spacing w:line="276" w:lineRule="auto"/>
              <w:rPr>
                <w:rFonts w:cstheme="minorHAnsi"/>
                <w:bCs/>
                <w:sz w:val="20"/>
                <w:szCs w:val="20"/>
              </w:rPr>
            </w:pPr>
            <w:r>
              <w:rPr>
                <w:rFonts w:cs="Arial"/>
                <w:sz w:val="14"/>
                <w:szCs w:val="14"/>
              </w:rPr>
              <w:t>P</w:t>
            </w:r>
            <w:r w:rsidRPr="00921F96">
              <w:rPr>
                <w:rFonts w:cs="Arial"/>
                <w:sz w:val="14"/>
                <w:szCs w:val="14"/>
              </w:rPr>
              <w:t xml:space="preserve">ublic scrutiny </w:t>
            </w:r>
            <w:r>
              <w:rPr>
                <w:rFonts w:cs="Arial"/>
                <w:sz w:val="14"/>
                <w:szCs w:val="14"/>
              </w:rPr>
              <w:t xml:space="preserve">is a </w:t>
            </w:r>
            <w:r w:rsidRPr="00921F96">
              <w:rPr>
                <w:rFonts w:cs="Arial"/>
                <w:sz w:val="14"/>
                <w:szCs w:val="14"/>
              </w:rPr>
              <w:t>motivation for government and formal decision makers to change their behaviour, including increasing their attention to RID</w:t>
            </w:r>
          </w:p>
        </w:tc>
      </w:tr>
      <w:tr w:rsidR="00F87EAC" w:rsidRPr="009A421E" w:rsidTr="00E67D7C">
        <w:trPr>
          <w:trHeight w:val="175"/>
        </w:trPr>
        <w:tc>
          <w:tcPr>
            <w:tcW w:w="594" w:type="pct"/>
            <w:vMerge/>
            <w:tcBorders>
              <w:left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p>
        </w:tc>
        <w:tc>
          <w:tcPr>
            <w:tcW w:w="941"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 xml:space="preserve">Indicator </w:t>
            </w:r>
            <w:r>
              <w:rPr>
                <w:rFonts w:cs="Arial"/>
                <w:sz w:val="14"/>
                <w:szCs w:val="14"/>
              </w:rPr>
              <w:t>2.2.2</w:t>
            </w:r>
          </w:p>
        </w:tc>
        <w:tc>
          <w:tcPr>
            <w:tcW w:w="346"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Baseline</w:t>
            </w:r>
            <w:r>
              <w:rPr>
                <w:rFonts w:cs="Arial"/>
                <w:sz w:val="14"/>
                <w:szCs w:val="14"/>
              </w:rPr>
              <w:t xml:space="preserve"> (=0)</w:t>
            </w:r>
          </w:p>
        </w:tc>
        <w:tc>
          <w:tcPr>
            <w:tcW w:w="346" w:type="pct"/>
            <w:vMerge/>
            <w:tcBorders>
              <w:left w:val="nil"/>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p>
        </w:tc>
        <w:tc>
          <w:tcPr>
            <w:tcW w:w="445"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Pr>
                <w:rFonts w:cs="Arial"/>
                <w:sz w:val="14"/>
                <w:szCs w:val="14"/>
              </w:rPr>
              <w:t>Source of data</w:t>
            </w:r>
          </w:p>
        </w:tc>
        <w:tc>
          <w:tcPr>
            <w:tcW w:w="346" w:type="pct"/>
            <w:vMerge/>
            <w:tcBorders>
              <w:left w:val="nil"/>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p>
        </w:tc>
        <w:tc>
          <w:tcPr>
            <w:tcW w:w="298"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Frequency of data collection</w:t>
            </w:r>
          </w:p>
        </w:tc>
        <w:tc>
          <w:tcPr>
            <w:tcW w:w="594" w:type="pct"/>
            <w:vMerge/>
            <w:tcBorders>
              <w:left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pStyle w:val="MediumGrid1-Accent21"/>
              <w:spacing w:line="276" w:lineRule="auto"/>
              <w:ind w:left="0"/>
              <w:rPr>
                <w:rFonts w:ascii="Arial" w:hAnsi="Arial" w:cs="Arial"/>
                <w:sz w:val="14"/>
                <w:szCs w:val="14"/>
              </w:rPr>
            </w:pPr>
          </w:p>
        </w:tc>
        <w:tc>
          <w:tcPr>
            <w:tcW w:w="396" w:type="pct"/>
            <w:vMerge/>
            <w:tcBorders>
              <w:left w:val="single" w:sz="4" w:space="0" w:color="000000"/>
              <w:right w:val="single" w:sz="4" w:space="0" w:color="000000"/>
            </w:tcBorders>
            <w:shd w:val="clear" w:color="auto" w:fill="BFBFBF" w:themeFill="background1" w:themeFillShade="BF"/>
            <w:vAlign w:val="center"/>
          </w:tcPr>
          <w:p w:rsidR="00F87EAC" w:rsidRPr="009A421E" w:rsidRDefault="00F87EAC" w:rsidP="00E67D7C">
            <w:pPr>
              <w:spacing w:line="276" w:lineRule="auto"/>
              <w:rPr>
                <w:rFonts w:cs="Arial"/>
                <w:sz w:val="14"/>
                <w:szCs w:val="14"/>
              </w:rPr>
            </w:pPr>
          </w:p>
        </w:tc>
        <w:tc>
          <w:tcPr>
            <w:tcW w:w="29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87EAC" w:rsidRPr="009A421E" w:rsidRDefault="00F87EAC" w:rsidP="00E67D7C">
            <w:pPr>
              <w:spacing w:line="276" w:lineRule="auto"/>
              <w:rPr>
                <w:rFonts w:cs="Arial"/>
                <w:sz w:val="14"/>
                <w:szCs w:val="14"/>
              </w:rPr>
            </w:pPr>
            <w:r w:rsidRPr="009A421E">
              <w:rPr>
                <w:rFonts w:cs="Arial"/>
                <w:sz w:val="14"/>
                <w:szCs w:val="14"/>
              </w:rPr>
              <w:t>Planned Target (20</w:t>
            </w:r>
            <w:r>
              <w:rPr>
                <w:rFonts w:cs="Arial"/>
                <w:sz w:val="14"/>
                <w:szCs w:val="14"/>
              </w:rPr>
              <w:t>20</w:t>
            </w:r>
            <w:r w:rsidRPr="009A421E">
              <w:rPr>
                <w:rFonts w:cs="Arial"/>
                <w:sz w:val="14"/>
                <w:szCs w:val="14"/>
              </w:rPr>
              <w:t>)</w:t>
            </w:r>
          </w:p>
        </w:tc>
        <w:tc>
          <w:tcPr>
            <w:tcW w:w="396" w:type="pct"/>
            <w:vMerge/>
            <w:tcBorders>
              <w:left w:val="single" w:sz="4" w:space="0" w:color="000000"/>
              <w:right w:val="single" w:sz="4" w:space="0" w:color="000000"/>
            </w:tcBorders>
            <w:shd w:val="clear" w:color="auto" w:fill="BFBFBF" w:themeFill="background1" w:themeFillShade="BF"/>
            <w:vAlign w:val="center"/>
          </w:tcPr>
          <w:p w:rsidR="00F87EAC" w:rsidRPr="009A421E" w:rsidRDefault="00F87EAC" w:rsidP="00E67D7C">
            <w:pPr>
              <w:spacing w:line="276" w:lineRule="auto"/>
              <w:rPr>
                <w:rFonts w:cs="Arial"/>
                <w:sz w:val="14"/>
                <w:szCs w:val="14"/>
              </w:rPr>
            </w:pPr>
          </w:p>
        </w:tc>
      </w:tr>
      <w:tr w:rsidR="00F87EAC" w:rsidRPr="009A421E" w:rsidTr="00E67D7C">
        <w:trPr>
          <w:trHeight w:val="175"/>
        </w:trPr>
        <w:tc>
          <w:tcPr>
            <w:tcW w:w="594" w:type="pct"/>
            <w:vMerge/>
            <w:tcBorders>
              <w:left w:val="single" w:sz="4" w:space="0" w:color="000000"/>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p>
        </w:tc>
        <w:tc>
          <w:tcPr>
            <w:tcW w:w="941"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Pr>
                <w:rFonts w:cs="Calibri"/>
                <w:bCs/>
                <w:sz w:val="14"/>
                <w:szCs w:val="14"/>
              </w:rPr>
              <w:t>Number of times</w:t>
            </w:r>
            <w:r w:rsidRPr="005057AA">
              <w:rPr>
                <w:rFonts w:cs="Calibri"/>
                <w:bCs/>
                <w:sz w:val="14"/>
                <w:szCs w:val="14"/>
              </w:rPr>
              <w:t xml:space="preserve"> CSO</w:t>
            </w:r>
            <w:r>
              <w:rPr>
                <w:rFonts w:cs="Calibri"/>
                <w:bCs/>
                <w:sz w:val="14"/>
                <w:szCs w:val="14"/>
              </w:rPr>
              <w:t xml:space="preserve"> are engaged</w:t>
            </w:r>
            <w:r w:rsidRPr="005057AA">
              <w:rPr>
                <w:rFonts w:cs="Calibri"/>
                <w:bCs/>
                <w:sz w:val="14"/>
                <w:szCs w:val="14"/>
              </w:rPr>
              <w:t>, particularly women’s organisations, in scrutiny of development investments</w:t>
            </w:r>
          </w:p>
        </w:tc>
        <w:tc>
          <w:tcPr>
            <w:tcW w:w="346"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sidRPr="00F13C6C">
              <w:rPr>
                <w:rFonts w:cs="Calibri"/>
                <w:bCs/>
                <w:sz w:val="14"/>
                <w:szCs w:val="14"/>
              </w:rPr>
              <w:t>No engagement of civil society on RID</w:t>
            </w:r>
          </w:p>
        </w:tc>
        <w:tc>
          <w:tcPr>
            <w:tcW w:w="346" w:type="pct"/>
            <w:vMerge/>
            <w:tcBorders>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p>
        </w:tc>
        <w:tc>
          <w:tcPr>
            <w:tcW w:w="445"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sidRPr="005057AA">
              <w:rPr>
                <w:rFonts w:cs="Calibri"/>
                <w:bCs/>
                <w:sz w:val="14"/>
                <w:szCs w:val="14"/>
              </w:rPr>
              <w:t>CSO reporting</w:t>
            </w:r>
          </w:p>
        </w:tc>
        <w:tc>
          <w:tcPr>
            <w:tcW w:w="346" w:type="pct"/>
            <w:vMerge/>
            <w:tcBorders>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p>
        </w:tc>
        <w:tc>
          <w:tcPr>
            <w:tcW w:w="298"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Pr>
                <w:rFonts w:cs="Arial"/>
                <w:sz w:val="14"/>
                <w:szCs w:val="14"/>
              </w:rPr>
              <w:t xml:space="preserve">6 </w:t>
            </w:r>
            <w:proofErr w:type="gramStart"/>
            <w:r>
              <w:rPr>
                <w:rFonts w:cs="Arial"/>
                <w:sz w:val="14"/>
                <w:szCs w:val="14"/>
              </w:rPr>
              <w:t>monthly</w:t>
            </w:r>
            <w:proofErr w:type="gramEnd"/>
            <w:r>
              <w:rPr>
                <w:rFonts w:cs="Arial"/>
                <w:sz w:val="14"/>
                <w:szCs w:val="14"/>
              </w:rPr>
              <w:t xml:space="preserve"> </w:t>
            </w:r>
          </w:p>
        </w:tc>
        <w:tc>
          <w:tcPr>
            <w:tcW w:w="594" w:type="pct"/>
            <w:vMerge/>
            <w:tcBorders>
              <w:left w:val="single" w:sz="4" w:space="0" w:color="000000"/>
              <w:bottom w:val="single" w:sz="4" w:space="0" w:color="000000"/>
              <w:right w:val="single" w:sz="4" w:space="0" w:color="000000"/>
            </w:tcBorders>
            <w:shd w:val="clear" w:color="auto" w:fill="FFFFFF"/>
            <w:noWrap/>
            <w:vAlign w:val="center"/>
          </w:tcPr>
          <w:p w:rsidR="00F87EAC" w:rsidRPr="009A421E" w:rsidRDefault="00F87EAC" w:rsidP="00E67D7C">
            <w:pPr>
              <w:pStyle w:val="MediumGrid1-Accent21"/>
              <w:spacing w:line="276" w:lineRule="auto"/>
              <w:ind w:left="0"/>
              <w:rPr>
                <w:rFonts w:ascii="Arial" w:hAnsi="Arial" w:cs="Arial"/>
                <w:sz w:val="14"/>
                <w:szCs w:val="14"/>
              </w:rPr>
            </w:pPr>
          </w:p>
        </w:tc>
        <w:tc>
          <w:tcPr>
            <w:tcW w:w="396" w:type="pct"/>
            <w:vMerge/>
            <w:tcBorders>
              <w:left w:val="single" w:sz="4" w:space="0" w:color="000000"/>
              <w:bottom w:val="single" w:sz="4" w:space="0" w:color="000000"/>
              <w:right w:val="single" w:sz="4" w:space="0" w:color="000000"/>
            </w:tcBorders>
            <w:shd w:val="clear" w:color="auto" w:fill="FFFFFF"/>
            <w:vAlign w:val="center"/>
          </w:tcPr>
          <w:p w:rsidR="00F87EAC" w:rsidRPr="009A421E" w:rsidRDefault="00F87EAC" w:rsidP="00E67D7C">
            <w:pPr>
              <w:spacing w:line="276" w:lineRule="auto"/>
              <w:rPr>
                <w:rFonts w:cs="Arial"/>
                <w:sz w:val="14"/>
                <w:szCs w:val="14"/>
              </w:rPr>
            </w:pPr>
          </w:p>
        </w:tc>
        <w:tc>
          <w:tcPr>
            <w:tcW w:w="29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7EAC" w:rsidRPr="009A421E" w:rsidRDefault="00F87EAC" w:rsidP="00E67D7C">
            <w:pPr>
              <w:spacing w:line="276" w:lineRule="auto"/>
              <w:rPr>
                <w:rFonts w:cs="Arial"/>
                <w:sz w:val="14"/>
                <w:szCs w:val="14"/>
              </w:rPr>
            </w:pPr>
            <w:r>
              <w:rPr>
                <w:rFonts w:cs="Arial"/>
                <w:sz w:val="14"/>
                <w:szCs w:val="14"/>
              </w:rPr>
              <w:t>2</w:t>
            </w:r>
          </w:p>
        </w:tc>
        <w:tc>
          <w:tcPr>
            <w:tcW w:w="396" w:type="pct"/>
            <w:vMerge/>
            <w:tcBorders>
              <w:left w:val="single" w:sz="4" w:space="0" w:color="000000"/>
              <w:bottom w:val="single" w:sz="4" w:space="0" w:color="000000"/>
              <w:right w:val="single" w:sz="4" w:space="0" w:color="000000"/>
            </w:tcBorders>
            <w:shd w:val="clear" w:color="auto" w:fill="FFFFFF"/>
            <w:vAlign w:val="center"/>
          </w:tcPr>
          <w:p w:rsidR="00F87EAC" w:rsidRPr="009A421E" w:rsidRDefault="00F87EAC" w:rsidP="00E67D7C">
            <w:pPr>
              <w:spacing w:line="276" w:lineRule="auto"/>
              <w:rPr>
                <w:rFonts w:cs="Arial"/>
                <w:sz w:val="14"/>
                <w:szCs w:val="14"/>
              </w:rPr>
            </w:pPr>
          </w:p>
        </w:tc>
      </w:tr>
      <w:tr w:rsidR="00F87EAC" w:rsidRPr="009A421E" w:rsidTr="00E67D7C">
        <w:trPr>
          <w:trHeight w:val="609"/>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1F4E79"/>
            <w:noWrap/>
            <w:vAlign w:val="center"/>
          </w:tcPr>
          <w:p w:rsidR="00F87EAC" w:rsidRPr="009A421E" w:rsidRDefault="00F87EAC" w:rsidP="00E67D7C">
            <w:pPr>
              <w:spacing w:line="276" w:lineRule="auto"/>
              <w:rPr>
                <w:rFonts w:cs="Arial"/>
                <w:color w:val="FFFFFF"/>
                <w:sz w:val="14"/>
                <w:szCs w:val="14"/>
              </w:rPr>
            </w:pPr>
            <w:r>
              <w:rPr>
                <w:rFonts w:cs="Arial"/>
                <w:color w:val="FFFFFF"/>
                <w:sz w:val="14"/>
                <w:szCs w:val="14"/>
              </w:rPr>
              <w:t xml:space="preserve">OUTCOME </w:t>
            </w:r>
            <w:r w:rsidRPr="009A421E">
              <w:rPr>
                <w:rFonts w:cs="Arial"/>
                <w:color w:val="FFFFFF"/>
                <w:sz w:val="14"/>
                <w:szCs w:val="14"/>
              </w:rPr>
              <w:t xml:space="preserve">3:  </w:t>
            </w:r>
            <w:r w:rsidRPr="00301339">
              <w:rPr>
                <w:rFonts w:cs="Arial"/>
                <w:color w:val="FFFFFF"/>
                <w:sz w:val="14"/>
                <w:szCs w:val="14"/>
              </w:rPr>
              <w:t>Regional organisations, policies and practices are actively supporting gender and</w:t>
            </w:r>
            <w:r w:rsidR="006E2D9C">
              <w:rPr>
                <w:rFonts w:cs="Arial"/>
                <w:color w:val="FFFFFF"/>
                <w:sz w:val="14"/>
                <w:szCs w:val="14"/>
              </w:rPr>
              <w:t xml:space="preserve"> socially</w:t>
            </w:r>
            <w:r w:rsidRPr="00301339">
              <w:rPr>
                <w:rFonts w:cs="Arial"/>
                <w:color w:val="FFFFFF"/>
                <w:sz w:val="14"/>
                <w:szCs w:val="14"/>
              </w:rPr>
              <w:t xml:space="preserve"> inclusive risk-informed development</w:t>
            </w:r>
          </w:p>
        </w:tc>
      </w:tr>
      <w:tr w:rsidR="00F87EAC" w:rsidRPr="009A421E" w:rsidTr="00E67D7C">
        <w:trPr>
          <w:trHeight w:val="175"/>
        </w:trPr>
        <w:tc>
          <w:tcPr>
            <w:tcW w:w="594" w:type="pct"/>
            <w:tcBorders>
              <w:top w:val="single" w:sz="4" w:space="0" w:color="000000"/>
              <w:left w:val="single" w:sz="4" w:space="0" w:color="000000"/>
              <w:bottom w:val="single" w:sz="4" w:space="0" w:color="000000"/>
              <w:right w:val="single" w:sz="4" w:space="0" w:color="000000"/>
            </w:tcBorders>
            <w:shd w:val="clear" w:color="auto" w:fill="ED7D31" w:themeFill="accent2"/>
            <w:noWrap/>
            <w:vAlign w:val="center"/>
          </w:tcPr>
          <w:p w:rsidR="00F87EAC" w:rsidRPr="000370F4" w:rsidRDefault="00F87EAC" w:rsidP="00E67D7C">
            <w:pPr>
              <w:spacing w:line="276" w:lineRule="auto"/>
              <w:rPr>
                <w:rFonts w:cs="Arial"/>
                <w:color w:val="FFFFFF"/>
                <w:sz w:val="14"/>
                <w:szCs w:val="14"/>
              </w:rPr>
            </w:pPr>
            <w:r w:rsidRPr="009A421E">
              <w:rPr>
                <w:rFonts w:cs="Arial"/>
                <w:color w:val="FFFFFF"/>
                <w:sz w:val="14"/>
                <w:szCs w:val="14"/>
              </w:rPr>
              <w:t>Outcome 3</w:t>
            </w:r>
          </w:p>
        </w:tc>
        <w:tc>
          <w:tcPr>
            <w:tcW w:w="941" w:type="pct"/>
            <w:tcBorders>
              <w:top w:val="single" w:sz="4" w:space="0" w:color="000000"/>
              <w:left w:val="nil"/>
              <w:bottom w:val="single" w:sz="4" w:space="0" w:color="000000"/>
              <w:right w:val="single" w:sz="4" w:space="0" w:color="000000"/>
            </w:tcBorders>
            <w:shd w:val="clear" w:color="auto" w:fill="ED7D31" w:themeFill="accent2"/>
            <w:noWrap/>
            <w:vAlign w:val="center"/>
          </w:tcPr>
          <w:p w:rsidR="00F87EAC" w:rsidRPr="009A421E" w:rsidRDefault="00F87EAC" w:rsidP="00E67D7C">
            <w:pPr>
              <w:spacing w:line="276" w:lineRule="auto"/>
              <w:rPr>
                <w:rFonts w:cs="Arial"/>
                <w:sz w:val="14"/>
                <w:szCs w:val="14"/>
              </w:rPr>
            </w:pPr>
            <w:r w:rsidRPr="009A421E">
              <w:rPr>
                <w:rFonts w:cs="Arial"/>
                <w:color w:val="FFFFFF"/>
                <w:sz w:val="14"/>
                <w:szCs w:val="14"/>
              </w:rPr>
              <w:t>Indicator 3.1</w:t>
            </w:r>
          </w:p>
        </w:tc>
        <w:tc>
          <w:tcPr>
            <w:tcW w:w="346" w:type="pct"/>
            <w:tcBorders>
              <w:top w:val="single" w:sz="4" w:space="0" w:color="000000"/>
              <w:left w:val="nil"/>
              <w:bottom w:val="single" w:sz="4" w:space="0" w:color="000000"/>
              <w:right w:val="single" w:sz="4" w:space="0" w:color="000000"/>
            </w:tcBorders>
            <w:shd w:val="clear" w:color="auto" w:fill="ED7D31" w:themeFill="accent2"/>
            <w:noWrap/>
            <w:vAlign w:val="center"/>
          </w:tcPr>
          <w:p w:rsidR="00F87EAC" w:rsidRPr="000370F4" w:rsidRDefault="00F87EAC" w:rsidP="00E67D7C">
            <w:pPr>
              <w:spacing w:line="276" w:lineRule="auto"/>
              <w:rPr>
                <w:rFonts w:cs="Arial"/>
                <w:color w:val="FFFFFF"/>
                <w:sz w:val="14"/>
                <w:szCs w:val="14"/>
              </w:rPr>
            </w:pPr>
            <w:r w:rsidRPr="009A421E">
              <w:rPr>
                <w:rFonts w:cs="Arial"/>
                <w:color w:val="FFFFFF"/>
                <w:sz w:val="14"/>
                <w:szCs w:val="14"/>
              </w:rPr>
              <w:t>Baseline</w:t>
            </w:r>
          </w:p>
        </w:tc>
        <w:tc>
          <w:tcPr>
            <w:tcW w:w="346" w:type="pct"/>
            <w:tcBorders>
              <w:top w:val="single" w:sz="4" w:space="0" w:color="000000"/>
              <w:left w:val="nil"/>
              <w:bottom w:val="single" w:sz="4" w:space="0" w:color="000000"/>
              <w:right w:val="single" w:sz="4" w:space="0" w:color="000000"/>
            </w:tcBorders>
            <w:shd w:val="clear" w:color="auto" w:fill="ED7D31" w:themeFill="accent2"/>
            <w:noWrap/>
            <w:vAlign w:val="center"/>
          </w:tcPr>
          <w:p w:rsidR="00F87EAC" w:rsidRPr="000370F4" w:rsidRDefault="00F87EAC" w:rsidP="00E67D7C">
            <w:pPr>
              <w:spacing w:line="276" w:lineRule="auto"/>
              <w:rPr>
                <w:rFonts w:cs="Arial"/>
                <w:color w:val="FFFFFF"/>
                <w:sz w:val="14"/>
                <w:szCs w:val="14"/>
              </w:rPr>
            </w:pPr>
            <w:r w:rsidRPr="009A421E">
              <w:rPr>
                <w:rFonts w:cs="Arial"/>
                <w:color w:val="FFFFFF"/>
                <w:sz w:val="14"/>
                <w:szCs w:val="14"/>
              </w:rPr>
              <w:t>Target*</w:t>
            </w:r>
          </w:p>
        </w:tc>
        <w:tc>
          <w:tcPr>
            <w:tcW w:w="445" w:type="pct"/>
            <w:tcBorders>
              <w:top w:val="single" w:sz="4" w:space="0" w:color="000000"/>
              <w:left w:val="nil"/>
              <w:bottom w:val="single" w:sz="4" w:space="0" w:color="000000"/>
              <w:right w:val="single" w:sz="4" w:space="0" w:color="000000"/>
            </w:tcBorders>
            <w:shd w:val="clear" w:color="auto" w:fill="ED7D31" w:themeFill="accent2"/>
            <w:noWrap/>
            <w:vAlign w:val="center"/>
          </w:tcPr>
          <w:p w:rsidR="00F87EAC" w:rsidRPr="009A421E" w:rsidRDefault="00F87EAC" w:rsidP="00E67D7C">
            <w:pPr>
              <w:spacing w:line="276" w:lineRule="auto"/>
              <w:rPr>
                <w:rFonts w:cs="Arial"/>
                <w:sz w:val="14"/>
                <w:szCs w:val="14"/>
              </w:rPr>
            </w:pPr>
            <w:r>
              <w:rPr>
                <w:rFonts w:cs="Arial"/>
                <w:color w:val="FFFFFF"/>
                <w:sz w:val="14"/>
                <w:szCs w:val="14"/>
              </w:rPr>
              <w:t>Source of data</w:t>
            </w:r>
          </w:p>
        </w:tc>
        <w:tc>
          <w:tcPr>
            <w:tcW w:w="346" w:type="pct"/>
            <w:tcBorders>
              <w:top w:val="single" w:sz="4" w:space="0" w:color="000000"/>
              <w:left w:val="nil"/>
              <w:bottom w:val="single" w:sz="4" w:space="0" w:color="000000"/>
              <w:right w:val="single" w:sz="4" w:space="0" w:color="000000"/>
            </w:tcBorders>
            <w:shd w:val="clear" w:color="auto" w:fill="ED7D31" w:themeFill="accent2"/>
            <w:noWrap/>
            <w:vAlign w:val="center"/>
          </w:tcPr>
          <w:p w:rsidR="00F87EAC" w:rsidRPr="009A421E" w:rsidRDefault="00F87EAC" w:rsidP="00E67D7C">
            <w:pPr>
              <w:spacing w:line="276" w:lineRule="auto"/>
              <w:rPr>
                <w:rFonts w:cs="Arial"/>
                <w:sz w:val="14"/>
                <w:szCs w:val="14"/>
              </w:rPr>
            </w:pPr>
            <w:r>
              <w:rPr>
                <w:rFonts w:cs="Arial"/>
                <w:color w:val="FFFFFF"/>
                <w:sz w:val="14"/>
                <w:szCs w:val="14"/>
              </w:rPr>
              <w:t xml:space="preserve">Means of verification </w:t>
            </w:r>
          </w:p>
        </w:tc>
        <w:tc>
          <w:tcPr>
            <w:tcW w:w="298" w:type="pct"/>
            <w:tcBorders>
              <w:top w:val="single" w:sz="4" w:space="0" w:color="000000"/>
              <w:left w:val="nil"/>
              <w:bottom w:val="single" w:sz="4" w:space="0" w:color="000000"/>
              <w:right w:val="single" w:sz="4" w:space="0" w:color="000000"/>
            </w:tcBorders>
            <w:shd w:val="clear" w:color="auto" w:fill="ED7D31" w:themeFill="accent2"/>
            <w:noWrap/>
            <w:vAlign w:val="center"/>
          </w:tcPr>
          <w:p w:rsidR="00F87EAC" w:rsidRPr="009A421E" w:rsidRDefault="00F87EAC" w:rsidP="00E67D7C">
            <w:pPr>
              <w:spacing w:line="276" w:lineRule="auto"/>
              <w:rPr>
                <w:rFonts w:cs="Arial"/>
                <w:sz w:val="14"/>
                <w:szCs w:val="14"/>
              </w:rPr>
            </w:pPr>
            <w:r w:rsidRPr="009A421E">
              <w:rPr>
                <w:rFonts w:cs="Arial"/>
                <w:color w:val="FFFFFF"/>
                <w:sz w:val="14"/>
                <w:szCs w:val="14"/>
              </w:rPr>
              <w:t>Frequency of data collection</w:t>
            </w:r>
          </w:p>
        </w:tc>
        <w:tc>
          <w:tcPr>
            <w:tcW w:w="1684" w:type="pct"/>
            <w:gridSpan w:val="4"/>
            <w:vMerge w:val="restart"/>
            <w:tcBorders>
              <w:top w:val="single" w:sz="4" w:space="0" w:color="000000"/>
              <w:left w:val="single" w:sz="4" w:space="0" w:color="000000"/>
              <w:right w:val="single" w:sz="4" w:space="0" w:color="000000"/>
            </w:tcBorders>
            <w:shd w:val="clear" w:color="auto" w:fill="FFFFFF"/>
            <w:noWrap/>
            <w:vAlign w:val="center"/>
          </w:tcPr>
          <w:p w:rsidR="00F87EAC" w:rsidRPr="009A421E" w:rsidRDefault="00F87EAC" w:rsidP="00E67D7C">
            <w:pPr>
              <w:spacing w:line="276" w:lineRule="auto"/>
              <w:jc w:val="center"/>
              <w:rPr>
                <w:rFonts w:cs="Arial"/>
                <w:sz w:val="14"/>
                <w:szCs w:val="14"/>
              </w:rPr>
            </w:pPr>
            <w:r>
              <w:rPr>
                <w:rFonts w:cs="Arial"/>
                <w:sz w:val="14"/>
                <w:szCs w:val="14"/>
              </w:rPr>
              <w:t>Activities</w:t>
            </w:r>
          </w:p>
        </w:tc>
      </w:tr>
      <w:tr w:rsidR="00F87EAC" w:rsidRPr="009A421E" w:rsidTr="00E67D7C">
        <w:trPr>
          <w:trHeight w:val="175"/>
        </w:trPr>
        <w:tc>
          <w:tcPr>
            <w:tcW w:w="59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sidRPr="00D25827">
              <w:rPr>
                <w:rFonts w:cs="Arial"/>
                <w:color w:val="000000" w:themeColor="text1"/>
                <w:sz w:val="14"/>
                <w:szCs w:val="14"/>
              </w:rPr>
              <w:t>Regional organisations, policies and practices are actively supporting gender and</w:t>
            </w:r>
            <w:r w:rsidR="006E2D9C">
              <w:rPr>
                <w:rFonts w:cs="Arial"/>
                <w:color w:val="000000" w:themeColor="text1"/>
                <w:sz w:val="14"/>
                <w:szCs w:val="14"/>
              </w:rPr>
              <w:t xml:space="preserve"> socially</w:t>
            </w:r>
            <w:r w:rsidRPr="00D25827">
              <w:rPr>
                <w:rFonts w:cs="Arial"/>
                <w:color w:val="000000" w:themeColor="text1"/>
                <w:sz w:val="14"/>
                <w:szCs w:val="14"/>
              </w:rPr>
              <w:t xml:space="preserve"> inclusive risk-informed development</w:t>
            </w:r>
          </w:p>
        </w:tc>
        <w:tc>
          <w:tcPr>
            <w:tcW w:w="941" w:type="pct"/>
            <w:tcBorders>
              <w:top w:val="single" w:sz="4" w:space="0" w:color="000000"/>
              <w:left w:val="nil"/>
              <w:bottom w:val="single" w:sz="4" w:space="0" w:color="000000"/>
              <w:right w:val="single" w:sz="4" w:space="0" w:color="000000"/>
            </w:tcBorders>
            <w:shd w:val="clear" w:color="auto" w:fill="FFFFFF"/>
            <w:noWrap/>
            <w:vAlign w:val="center"/>
          </w:tcPr>
          <w:p w:rsidR="00F87EAC" w:rsidRPr="00EE69A2" w:rsidRDefault="00F87EAC" w:rsidP="00E67D7C">
            <w:pPr>
              <w:spacing w:line="276" w:lineRule="auto"/>
              <w:rPr>
                <w:rFonts w:cs="Arial"/>
                <w:color w:val="000000" w:themeColor="text1"/>
                <w:sz w:val="14"/>
                <w:szCs w:val="14"/>
              </w:rPr>
            </w:pPr>
            <w:r w:rsidRPr="00EE69A2">
              <w:rPr>
                <w:rFonts w:cs="Arial"/>
                <w:color w:val="000000" w:themeColor="text1"/>
                <w:sz w:val="14"/>
                <w:szCs w:val="14"/>
              </w:rPr>
              <w:t>The narrative between regional agents and PI countries reflects GS&amp;I RID</w:t>
            </w:r>
          </w:p>
          <w:p w:rsidR="00F87EAC" w:rsidRPr="00EE69A2" w:rsidRDefault="00F87EAC" w:rsidP="00E67D7C">
            <w:pPr>
              <w:spacing w:line="276" w:lineRule="auto"/>
              <w:rPr>
                <w:rFonts w:cs="Arial"/>
                <w:color w:val="000000" w:themeColor="text1"/>
                <w:sz w:val="14"/>
                <w:szCs w:val="14"/>
              </w:rPr>
            </w:pPr>
            <w:r w:rsidRPr="00EE69A2">
              <w:rPr>
                <w:rFonts w:cs="Arial"/>
                <w:color w:val="000000" w:themeColor="text1"/>
                <w:sz w:val="14"/>
                <w:szCs w:val="14"/>
              </w:rPr>
              <w:t>There is increased attention to RID in non-focus countries</w:t>
            </w:r>
          </w:p>
          <w:p w:rsidR="00F87EAC" w:rsidRPr="00EE69A2" w:rsidRDefault="00F87EAC" w:rsidP="00E67D7C">
            <w:pPr>
              <w:spacing w:line="276" w:lineRule="auto"/>
              <w:rPr>
                <w:rFonts w:cstheme="minorHAnsi"/>
                <w:bCs/>
                <w:sz w:val="20"/>
                <w:szCs w:val="20"/>
              </w:rPr>
            </w:pPr>
            <w:r w:rsidRPr="00EE69A2">
              <w:rPr>
                <w:rFonts w:cs="Arial"/>
                <w:color w:val="000000" w:themeColor="text1"/>
                <w:sz w:val="14"/>
                <w:szCs w:val="14"/>
              </w:rPr>
              <w:t>Climate and development financing increasingly support country led, RID</w:t>
            </w:r>
          </w:p>
        </w:tc>
        <w:tc>
          <w:tcPr>
            <w:tcW w:w="346"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Pr>
                <w:rFonts w:cs="Arial"/>
                <w:sz w:val="14"/>
                <w:szCs w:val="14"/>
              </w:rPr>
              <w:t>BASIC: regional mechanisms do not support GSI RID</w:t>
            </w:r>
          </w:p>
        </w:tc>
        <w:tc>
          <w:tcPr>
            <w:tcW w:w="346"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Pr>
                <w:rFonts w:cs="Arial"/>
                <w:sz w:val="14"/>
                <w:szCs w:val="14"/>
              </w:rPr>
              <w:t>INTERMEDIATE: countries who are not part of the programme are being supported by regional agencies/countries to give attention to GSI RID</w:t>
            </w:r>
          </w:p>
        </w:tc>
        <w:tc>
          <w:tcPr>
            <w:tcW w:w="445" w:type="pct"/>
            <w:tcBorders>
              <w:top w:val="single" w:sz="4" w:space="0" w:color="000000"/>
              <w:left w:val="nil"/>
              <w:bottom w:val="single" w:sz="4" w:space="0" w:color="000000"/>
              <w:right w:val="single" w:sz="4" w:space="0" w:color="000000"/>
            </w:tcBorders>
            <w:shd w:val="clear" w:color="auto" w:fill="FFFFFF"/>
            <w:noWrap/>
            <w:vAlign w:val="center"/>
          </w:tcPr>
          <w:p w:rsidR="00F87EAC" w:rsidRPr="00EE69A2" w:rsidRDefault="00F87EAC" w:rsidP="00E67D7C">
            <w:pPr>
              <w:spacing w:line="276" w:lineRule="auto"/>
              <w:rPr>
                <w:rFonts w:cs="Arial"/>
                <w:color w:val="000000" w:themeColor="text1"/>
                <w:sz w:val="14"/>
                <w:szCs w:val="14"/>
              </w:rPr>
            </w:pPr>
            <w:r w:rsidRPr="00EE69A2">
              <w:rPr>
                <w:rFonts w:cs="Arial"/>
                <w:color w:val="000000" w:themeColor="text1"/>
                <w:sz w:val="14"/>
                <w:szCs w:val="14"/>
              </w:rPr>
              <w:t>Regional policy documents and strategies</w:t>
            </w:r>
          </w:p>
          <w:p w:rsidR="00F87EAC" w:rsidRPr="00EE69A2" w:rsidRDefault="00F87EAC" w:rsidP="00E67D7C">
            <w:pPr>
              <w:spacing w:line="276" w:lineRule="auto"/>
              <w:rPr>
                <w:rFonts w:cs="Arial"/>
                <w:color w:val="000000" w:themeColor="text1"/>
                <w:sz w:val="14"/>
                <w:szCs w:val="14"/>
              </w:rPr>
            </w:pPr>
            <w:r w:rsidRPr="00EE69A2">
              <w:rPr>
                <w:rFonts w:cs="Arial"/>
                <w:color w:val="000000" w:themeColor="text1"/>
                <w:sz w:val="14"/>
                <w:szCs w:val="14"/>
              </w:rPr>
              <w:t>CCBII index (as adapted to include gender and social inclusion)</w:t>
            </w:r>
          </w:p>
          <w:p w:rsidR="00F87EAC" w:rsidRPr="009A421E" w:rsidRDefault="00F87EAC" w:rsidP="00E67D7C">
            <w:pPr>
              <w:spacing w:line="276" w:lineRule="auto"/>
              <w:rPr>
                <w:rFonts w:cs="Arial"/>
                <w:sz w:val="14"/>
                <w:szCs w:val="14"/>
              </w:rPr>
            </w:pPr>
            <w:r w:rsidRPr="00EE69A2">
              <w:rPr>
                <w:rFonts w:cs="Arial"/>
                <w:color w:val="000000" w:themeColor="text1"/>
                <w:sz w:val="14"/>
                <w:szCs w:val="14"/>
              </w:rPr>
              <w:t>Data available from Climate Finance network</w:t>
            </w:r>
          </w:p>
        </w:tc>
        <w:tc>
          <w:tcPr>
            <w:tcW w:w="346" w:type="pct"/>
            <w:tcBorders>
              <w:top w:val="single" w:sz="4" w:space="0" w:color="000000"/>
              <w:left w:val="nil"/>
              <w:bottom w:val="single" w:sz="4" w:space="0" w:color="000000"/>
              <w:right w:val="single" w:sz="4" w:space="0" w:color="000000"/>
            </w:tcBorders>
            <w:shd w:val="clear" w:color="auto" w:fill="FFFFFF"/>
            <w:noWrap/>
            <w:vAlign w:val="center"/>
          </w:tcPr>
          <w:p w:rsidR="00F87EAC" w:rsidRPr="00EE69A2" w:rsidRDefault="00F87EAC" w:rsidP="00E67D7C">
            <w:pPr>
              <w:spacing w:line="276" w:lineRule="auto"/>
              <w:rPr>
                <w:rFonts w:cs="Arial"/>
                <w:color w:val="000000" w:themeColor="text1"/>
                <w:sz w:val="14"/>
                <w:szCs w:val="14"/>
              </w:rPr>
            </w:pPr>
            <w:r w:rsidRPr="00EE69A2">
              <w:rPr>
                <w:rFonts w:cs="Arial"/>
                <w:color w:val="000000" w:themeColor="text1"/>
                <w:sz w:val="14"/>
                <w:szCs w:val="14"/>
              </w:rPr>
              <w:t>CCBII assessment</w:t>
            </w:r>
          </w:p>
          <w:p w:rsidR="00F87EAC" w:rsidRPr="00EE69A2" w:rsidRDefault="00F87EAC" w:rsidP="00E67D7C">
            <w:pPr>
              <w:spacing w:line="276" w:lineRule="auto"/>
              <w:rPr>
                <w:rFonts w:cs="Arial"/>
                <w:color w:val="000000" w:themeColor="text1"/>
                <w:sz w:val="14"/>
                <w:szCs w:val="14"/>
              </w:rPr>
            </w:pPr>
          </w:p>
          <w:p w:rsidR="00F87EAC" w:rsidRPr="00EE69A2" w:rsidRDefault="00F87EAC" w:rsidP="00E67D7C">
            <w:pPr>
              <w:spacing w:line="276" w:lineRule="auto"/>
              <w:rPr>
                <w:rFonts w:cs="Arial"/>
                <w:color w:val="000000" w:themeColor="text1"/>
                <w:sz w:val="14"/>
                <w:szCs w:val="14"/>
              </w:rPr>
            </w:pPr>
            <w:r w:rsidRPr="00EE69A2">
              <w:rPr>
                <w:rFonts w:cs="Arial"/>
                <w:color w:val="000000" w:themeColor="text1"/>
                <w:sz w:val="14"/>
                <w:szCs w:val="14"/>
              </w:rPr>
              <w:t xml:space="preserve">Data analysis </w:t>
            </w:r>
          </w:p>
          <w:p w:rsidR="00F87EAC" w:rsidRPr="00EE69A2" w:rsidRDefault="00F87EAC" w:rsidP="00E67D7C">
            <w:pPr>
              <w:spacing w:line="276" w:lineRule="auto"/>
              <w:rPr>
                <w:rFonts w:cs="Arial"/>
                <w:color w:val="000000" w:themeColor="text1"/>
                <w:sz w:val="14"/>
                <w:szCs w:val="14"/>
              </w:rPr>
            </w:pPr>
          </w:p>
          <w:p w:rsidR="00F87EAC" w:rsidRPr="009A421E" w:rsidRDefault="00F87EAC" w:rsidP="00E67D7C">
            <w:pPr>
              <w:spacing w:line="276" w:lineRule="auto"/>
              <w:rPr>
                <w:rFonts w:cs="Arial"/>
                <w:sz w:val="14"/>
                <w:szCs w:val="14"/>
              </w:rPr>
            </w:pPr>
            <w:r w:rsidRPr="00EE69A2">
              <w:rPr>
                <w:rFonts w:cs="Arial"/>
                <w:color w:val="000000" w:themeColor="text1"/>
                <w:sz w:val="14"/>
                <w:szCs w:val="14"/>
              </w:rPr>
              <w:t>Stakeholder interviews</w:t>
            </w:r>
          </w:p>
        </w:tc>
        <w:tc>
          <w:tcPr>
            <w:tcW w:w="298"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Pr>
                <w:rFonts w:cs="Arial"/>
                <w:sz w:val="14"/>
                <w:szCs w:val="14"/>
              </w:rPr>
              <w:t xml:space="preserve">Annually </w:t>
            </w:r>
          </w:p>
        </w:tc>
        <w:tc>
          <w:tcPr>
            <w:tcW w:w="1684" w:type="pct"/>
            <w:gridSpan w:val="4"/>
            <w:vMerge/>
            <w:tcBorders>
              <w:left w:val="single" w:sz="4" w:space="0" w:color="000000"/>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p>
        </w:tc>
      </w:tr>
      <w:tr w:rsidR="00F87EAC" w:rsidRPr="009A421E" w:rsidTr="00E67D7C">
        <w:trPr>
          <w:trHeight w:val="175"/>
        </w:trPr>
        <w:tc>
          <w:tcPr>
            <w:tcW w:w="594"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 xml:space="preserve">Output </w:t>
            </w:r>
            <w:r>
              <w:rPr>
                <w:rFonts w:cs="Arial"/>
                <w:sz w:val="14"/>
                <w:szCs w:val="14"/>
              </w:rPr>
              <w:t>3.1</w:t>
            </w:r>
          </w:p>
        </w:tc>
        <w:tc>
          <w:tcPr>
            <w:tcW w:w="941"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 xml:space="preserve">Indicator </w:t>
            </w:r>
            <w:r>
              <w:rPr>
                <w:rFonts w:cs="Arial"/>
                <w:sz w:val="14"/>
                <w:szCs w:val="14"/>
              </w:rPr>
              <w:t>3.1.1</w:t>
            </w:r>
          </w:p>
        </w:tc>
        <w:tc>
          <w:tcPr>
            <w:tcW w:w="346"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Baseline</w:t>
            </w:r>
            <w:r>
              <w:rPr>
                <w:rFonts w:cs="Arial"/>
                <w:sz w:val="14"/>
                <w:szCs w:val="14"/>
              </w:rPr>
              <w:t xml:space="preserve"> (=0)</w:t>
            </w:r>
          </w:p>
        </w:tc>
        <w:tc>
          <w:tcPr>
            <w:tcW w:w="346"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Target</w:t>
            </w:r>
          </w:p>
        </w:tc>
        <w:tc>
          <w:tcPr>
            <w:tcW w:w="445"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Pr>
                <w:rFonts w:cs="Arial"/>
                <w:sz w:val="14"/>
                <w:szCs w:val="14"/>
              </w:rPr>
              <w:t>Source of data</w:t>
            </w:r>
          </w:p>
        </w:tc>
        <w:tc>
          <w:tcPr>
            <w:tcW w:w="346"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Means of Verification</w:t>
            </w:r>
          </w:p>
        </w:tc>
        <w:tc>
          <w:tcPr>
            <w:tcW w:w="298"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Frequency of data collection</w:t>
            </w:r>
          </w:p>
        </w:tc>
        <w:tc>
          <w:tcPr>
            <w:tcW w:w="594"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pStyle w:val="MediumGrid1-Accent21"/>
              <w:spacing w:line="276" w:lineRule="auto"/>
              <w:ind w:left="0"/>
              <w:rPr>
                <w:rFonts w:ascii="Arial" w:hAnsi="Arial" w:cs="Arial"/>
                <w:sz w:val="14"/>
                <w:szCs w:val="14"/>
              </w:rPr>
            </w:pPr>
            <w:r w:rsidRPr="00666FA7">
              <w:rPr>
                <w:rFonts w:ascii="Arial" w:eastAsia="Malgun Gothic" w:hAnsi="Arial" w:cs="Arial"/>
                <w:sz w:val="14"/>
                <w:szCs w:val="14"/>
                <w:lang w:val="en-GB"/>
              </w:rPr>
              <w:t xml:space="preserve">Activity </w:t>
            </w:r>
            <w:r>
              <w:rPr>
                <w:rFonts w:ascii="Arial" w:eastAsia="Malgun Gothic" w:hAnsi="Arial" w:cs="Arial"/>
                <w:sz w:val="14"/>
                <w:szCs w:val="14"/>
                <w:lang w:val="en-GB"/>
              </w:rPr>
              <w:t>3.1.1</w:t>
            </w:r>
          </w:p>
        </w:tc>
        <w:tc>
          <w:tcPr>
            <w:tcW w:w="39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87EAC" w:rsidRPr="009A421E" w:rsidRDefault="00F87EAC" w:rsidP="00E67D7C">
            <w:pPr>
              <w:spacing w:line="276" w:lineRule="auto"/>
              <w:rPr>
                <w:rFonts w:cs="Arial"/>
                <w:sz w:val="14"/>
                <w:szCs w:val="14"/>
              </w:rPr>
            </w:pPr>
            <w:r w:rsidRPr="009A421E">
              <w:rPr>
                <w:rFonts w:cs="Arial"/>
                <w:sz w:val="14"/>
                <w:szCs w:val="14"/>
              </w:rPr>
              <w:t>Responsible Party</w:t>
            </w:r>
          </w:p>
        </w:tc>
        <w:tc>
          <w:tcPr>
            <w:tcW w:w="29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87EAC" w:rsidRPr="009A421E" w:rsidRDefault="00F87EAC" w:rsidP="00E67D7C">
            <w:pPr>
              <w:spacing w:line="276" w:lineRule="auto"/>
              <w:rPr>
                <w:rFonts w:cs="Arial"/>
                <w:sz w:val="14"/>
                <w:szCs w:val="14"/>
              </w:rPr>
            </w:pPr>
            <w:r w:rsidRPr="009A421E">
              <w:rPr>
                <w:rFonts w:cs="Arial"/>
                <w:sz w:val="14"/>
                <w:szCs w:val="14"/>
              </w:rPr>
              <w:t>Planned Target (20</w:t>
            </w:r>
            <w:r>
              <w:rPr>
                <w:rFonts w:cs="Arial"/>
                <w:sz w:val="14"/>
                <w:szCs w:val="14"/>
              </w:rPr>
              <w:t>20</w:t>
            </w:r>
            <w:r w:rsidRPr="009A421E">
              <w:rPr>
                <w:rFonts w:cs="Arial"/>
                <w:sz w:val="14"/>
                <w:szCs w:val="14"/>
              </w:rPr>
              <w:t>)</w:t>
            </w:r>
          </w:p>
        </w:tc>
        <w:tc>
          <w:tcPr>
            <w:tcW w:w="39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87EAC" w:rsidRPr="009A421E" w:rsidRDefault="00F87EAC" w:rsidP="00E67D7C">
            <w:pPr>
              <w:spacing w:line="276" w:lineRule="auto"/>
              <w:rPr>
                <w:rFonts w:cs="Arial"/>
                <w:sz w:val="14"/>
                <w:szCs w:val="14"/>
              </w:rPr>
            </w:pPr>
            <w:r>
              <w:rPr>
                <w:rFonts w:cs="Arial"/>
                <w:sz w:val="14"/>
                <w:szCs w:val="14"/>
              </w:rPr>
              <w:t>Assumption</w:t>
            </w:r>
          </w:p>
        </w:tc>
      </w:tr>
      <w:tr w:rsidR="00F87EAC" w:rsidRPr="009A421E" w:rsidTr="00E67D7C">
        <w:trPr>
          <w:trHeight w:val="175"/>
        </w:trPr>
        <w:tc>
          <w:tcPr>
            <w:tcW w:w="594" w:type="pct"/>
            <w:tcBorders>
              <w:left w:val="single" w:sz="4" w:space="0" w:color="000000"/>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sidRPr="005057AA">
              <w:rPr>
                <w:rFonts w:cs="Calibri"/>
                <w:bCs/>
                <w:sz w:val="14"/>
                <w:szCs w:val="14"/>
                <w:lang w:val="en-US"/>
              </w:rPr>
              <w:t>Countries are working collectively to influence other countries, regional actors and their own country systems and government</w:t>
            </w:r>
          </w:p>
        </w:tc>
        <w:tc>
          <w:tcPr>
            <w:tcW w:w="941"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Pr>
                <w:rFonts w:cs="Calibri"/>
                <w:bCs/>
                <w:sz w:val="14"/>
                <w:szCs w:val="14"/>
              </w:rPr>
              <w:t xml:space="preserve">Number </w:t>
            </w:r>
            <w:r w:rsidRPr="005057AA">
              <w:rPr>
                <w:rFonts w:cs="Calibri"/>
                <w:bCs/>
                <w:sz w:val="14"/>
                <w:szCs w:val="14"/>
              </w:rPr>
              <w:t>of actions and statements related to RID, not initiated by the programme, emerge from PI countries</w:t>
            </w:r>
          </w:p>
        </w:tc>
        <w:tc>
          <w:tcPr>
            <w:tcW w:w="346"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sidRPr="00F13C6C">
              <w:rPr>
                <w:rFonts w:cs="Calibri"/>
                <w:bCs/>
                <w:sz w:val="14"/>
                <w:szCs w:val="14"/>
              </w:rPr>
              <w:t>No actions or statements on RID</w:t>
            </w:r>
            <w:r w:rsidRPr="005057AA">
              <w:rPr>
                <w:rFonts w:cs="Arial"/>
                <w:sz w:val="14"/>
                <w:szCs w:val="14"/>
              </w:rPr>
              <w:t xml:space="preserve"> </w:t>
            </w:r>
          </w:p>
        </w:tc>
        <w:tc>
          <w:tcPr>
            <w:tcW w:w="346"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sidRPr="005057AA">
              <w:rPr>
                <w:rFonts w:cs="Calibri"/>
                <w:sz w:val="14"/>
                <w:szCs w:val="14"/>
              </w:rPr>
              <w:t>The narrative between regional agents and PI</w:t>
            </w:r>
            <w:r>
              <w:rPr>
                <w:rFonts w:cs="Calibri"/>
                <w:sz w:val="14"/>
                <w:szCs w:val="14"/>
              </w:rPr>
              <w:t xml:space="preserve">Cs </w:t>
            </w:r>
            <w:r w:rsidRPr="005057AA">
              <w:rPr>
                <w:rFonts w:cs="Calibri"/>
                <w:sz w:val="14"/>
                <w:szCs w:val="14"/>
              </w:rPr>
              <w:t>reflects GS&amp;I RID</w:t>
            </w:r>
          </w:p>
        </w:tc>
        <w:tc>
          <w:tcPr>
            <w:tcW w:w="445"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sidRPr="005057AA">
              <w:rPr>
                <w:rFonts w:cs="Calibri"/>
                <w:bCs/>
                <w:sz w:val="14"/>
                <w:szCs w:val="14"/>
              </w:rPr>
              <w:t>Country policy papers and statements</w:t>
            </w:r>
          </w:p>
        </w:tc>
        <w:tc>
          <w:tcPr>
            <w:tcW w:w="346" w:type="pct"/>
            <w:tcBorders>
              <w:top w:val="single" w:sz="4" w:space="0" w:color="000000"/>
              <w:left w:val="nil"/>
              <w:bottom w:val="single" w:sz="4" w:space="0" w:color="000000"/>
              <w:right w:val="single" w:sz="4" w:space="0" w:color="000000"/>
            </w:tcBorders>
            <w:shd w:val="clear" w:color="auto" w:fill="FFFFFF"/>
            <w:noWrap/>
            <w:vAlign w:val="center"/>
          </w:tcPr>
          <w:p w:rsidR="00F87EAC" w:rsidRPr="005057AA" w:rsidRDefault="00F87EAC" w:rsidP="00E67D7C">
            <w:pPr>
              <w:spacing w:before="80" w:after="80"/>
              <w:rPr>
                <w:rFonts w:cs="Calibri"/>
                <w:bCs/>
                <w:sz w:val="14"/>
                <w:szCs w:val="14"/>
              </w:rPr>
            </w:pPr>
            <w:r w:rsidRPr="005057AA">
              <w:rPr>
                <w:rFonts w:cs="Calibri"/>
                <w:bCs/>
                <w:sz w:val="14"/>
                <w:szCs w:val="14"/>
              </w:rPr>
              <w:t>Policy analysis</w:t>
            </w:r>
          </w:p>
          <w:p w:rsidR="00F87EAC" w:rsidRPr="009A421E" w:rsidRDefault="00F87EAC" w:rsidP="00E67D7C">
            <w:pPr>
              <w:spacing w:line="276" w:lineRule="auto"/>
              <w:rPr>
                <w:rFonts w:cs="Arial"/>
                <w:sz w:val="14"/>
                <w:szCs w:val="14"/>
              </w:rPr>
            </w:pPr>
            <w:r>
              <w:rPr>
                <w:rFonts w:cs="Calibri"/>
                <w:bCs/>
                <w:sz w:val="14"/>
                <w:szCs w:val="14"/>
              </w:rPr>
              <w:t>I</w:t>
            </w:r>
            <w:r w:rsidRPr="005057AA">
              <w:rPr>
                <w:rFonts w:cs="Calibri"/>
                <w:bCs/>
                <w:sz w:val="14"/>
                <w:szCs w:val="14"/>
              </w:rPr>
              <w:t>nterviews</w:t>
            </w:r>
          </w:p>
        </w:tc>
        <w:tc>
          <w:tcPr>
            <w:tcW w:w="298"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Pr>
                <w:rFonts w:cs="Arial"/>
                <w:sz w:val="14"/>
                <w:szCs w:val="14"/>
              </w:rPr>
              <w:t xml:space="preserve">6 </w:t>
            </w:r>
            <w:proofErr w:type="gramStart"/>
            <w:r>
              <w:rPr>
                <w:rFonts w:cs="Arial"/>
                <w:sz w:val="14"/>
                <w:szCs w:val="14"/>
              </w:rPr>
              <w:t>monthly</w:t>
            </w:r>
            <w:proofErr w:type="gramEnd"/>
            <w:r>
              <w:rPr>
                <w:rFonts w:cs="Arial"/>
                <w:sz w:val="14"/>
                <w:szCs w:val="14"/>
              </w:rPr>
              <w:t xml:space="preserve"> </w:t>
            </w:r>
          </w:p>
        </w:tc>
        <w:tc>
          <w:tcPr>
            <w:tcW w:w="59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sidRPr="00BB0D7C">
              <w:rPr>
                <w:rFonts w:cs="Calibri"/>
                <w:bCs/>
                <w:sz w:val="14"/>
                <w:szCs w:val="14"/>
              </w:rPr>
              <w:t>Facilitate dialogue across Pacific Island Countries on the impact of RID. Enable peer-to-peer learning across the Pacific Island countries. Leverage capacities and knowledge across the region</w:t>
            </w:r>
          </w:p>
        </w:tc>
        <w:tc>
          <w:tcPr>
            <w:tcW w:w="3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7EAC" w:rsidRPr="009A421E" w:rsidRDefault="00F87EAC" w:rsidP="00E67D7C">
            <w:pPr>
              <w:spacing w:line="276" w:lineRule="auto"/>
              <w:rPr>
                <w:rFonts w:cs="Arial"/>
                <w:sz w:val="14"/>
                <w:szCs w:val="14"/>
              </w:rPr>
            </w:pPr>
            <w:r w:rsidRPr="009A421E">
              <w:rPr>
                <w:rFonts w:cs="Arial"/>
                <w:sz w:val="14"/>
                <w:szCs w:val="14"/>
              </w:rPr>
              <w:t xml:space="preserve">Project technical advisors and </w:t>
            </w:r>
            <w:r>
              <w:rPr>
                <w:rFonts w:cs="Arial"/>
                <w:sz w:val="14"/>
                <w:szCs w:val="14"/>
              </w:rPr>
              <w:t xml:space="preserve">technical </w:t>
            </w:r>
            <w:r w:rsidRPr="009A421E">
              <w:rPr>
                <w:rFonts w:cs="Arial"/>
                <w:sz w:val="14"/>
                <w:szCs w:val="14"/>
              </w:rPr>
              <w:t>working group</w:t>
            </w:r>
            <w:r>
              <w:rPr>
                <w:rFonts w:cs="Arial"/>
                <w:sz w:val="14"/>
                <w:szCs w:val="14"/>
              </w:rPr>
              <w:t>s (e.g. climate finance, gender)</w:t>
            </w:r>
          </w:p>
        </w:tc>
        <w:tc>
          <w:tcPr>
            <w:tcW w:w="29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7EAC" w:rsidRPr="009A421E" w:rsidRDefault="00F87EAC" w:rsidP="00E67D7C">
            <w:pPr>
              <w:spacing w:line="276" w:lineRule="auto"/>
              <w:rPr>
                <w:rFonts w:cs="Arial"/>
                <w:sz w:val="14"/>
                <w:szCs w:val="14"/>
              </w:rPr>
            </w:pPr>
            <w:r>
              <w:rPr>
                <w:rFonts w:cs="Arial"/>
                <w:sz w:val="14"/>
                <w:szCs w:val="14"/>
              </w:rPr>
              <w:t>3</w:t>
            </w:r>
          </w:p>
        </w:tc>
        <w:tc>
          <w:tcPr>
            <w:tcW w:w="3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7EAC" w:rsidRPr="00921F96" w:rsidRDefault="00F87EAC" w:rsidP="00E67D7C">
            <w:pPr>
              <w:spacing w:line="276" w:lineRule="auto"/>
              <w:rPr>
                <w:rFonts w:cstheme="minorHAnsi"/>
                <w:bCs/>
                <w:sz w:val="20"/>
                <w:szCs w:val="20"/>
              </w:rPr>
            </w:pPr>
            <w:r>
              <w:rPr>
                <w:rFonts w:cs="Arial"/>
                <w:sz w:val="14"/>
                <w:szCs w:val="14"/>
              </w:rPr>
              <w:t>T</w:t>
            </w:r>
            <w:r w:rsidRPr="00921F96">
              <w:rPr>
                <w:rFonts w:cs="Arial"/>
                <w:sz w:val="14"/>
                <w:szCs w:val="14"/>
              </w:rPr>
              <w:t xml:space="preserve">he conditions </w:t>
            </w:r>
            <w:r>
              <w:rPr>
                <w:rFonts w:cs="Arial"/>
                <w:sz w:val="14"/>
                <w:szCs w:val="14"/>
              </w:rPr>
              <w:t xml:space="preserve">and </w:t>
            </w:r>
            <w:r w:rsidRPr="00921F96">
              <w:rPr>
                <w:rFonts w:cs="Arial"/>
                <w:sz w:val="14"/>
                <w:szCs w:val="14"/>
              </w:rPr>
              <w:t xml:space="preserve">strategies </w:t>
            </w:r>
            <w:r>
              <w:rPr>
                <w:rFonts w:cs="Arial"/>
                <w:sz w:val="14"/>
                <w:szCs w:val="14"/>
              </w:rPr>
              <w:t>are in place that ensure</w:t>
            </w:r>
            <w:r w:rsidRPr="00921F96">
              <w:rPr>
                <w:rFonts w:cs="Arial"/>
                <w:sz w:val="14"/>
                <w:szCs w:val="14"/>
              </w:rPr>
              <w:t xml:space="preserve"> countries collective advocacy is effective</w:t>
            </w:r>
          </w:p>
        </w:tc>
      </w:tr>
      <w:tr w:rsidR="00F87EAC" w:rsidRPr="009A421E" w:rsidTr="00E67D7C">
        <w:trPr>
          <w:trHeight w:val="175"/>
        </w:trPr>
        <w:tc>
          <w:tcPr>
            <w:tcW w:w="594"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 xml:space="preserve">Output </w:t>
            </w:r>
            <w:r>
              <w:rPr>
                <w:rFonts w:cs="Arial"/>
                <w:sz w:val="14"/>
                <w:szCs w:val="14"/>
              </w:rPr>
              <w:t>3.2</w:t>
            </w:r>
          </w:p>
        </w:tc>
        <w:tc>
          <w:tcPr>
            <w:tcW w:w="941"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 xml:space="preserve">Indicator </w:t>
            </w:r>
            <w:r>
              <w:rPr>
                <w:rFonts w:cs="Arial"/>
                <w:sz w:val="14"/>
                <w:szCs w:val="14"/>
              </w:rPr>
              <w:t>3.2.1</w:t>
            </w:r>
          </w:p>
        </w:tc>
        <w:tc>
          <w:tcPr>
            <w:tcW w:w="346"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Baseline</w:t>
            </w:r>
            <w:r>
              <w:rPr>
                <w:rFonts w:cs="Arial"/>
                <w:sz w:val="14"/>
                <w:szCs w:val="14"/>
              </w:rPr>
              <w:t xml:space="preserve"> (=0)</w:t>
            </w:r>
          </w:p>
        </w:tc>
        <w:tc>
          <w:tcPr>
            <w:tcW w:w="346"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Target</w:t>
            </w:r>
          </w:p>
        </w:tc>
        <w:tc>
          <w:tcPr>
            <w:tcW w:w="445"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Pr>
                <w:rFonts w:cs="Arial"/>
                <w:sz w:val="14"/>
                <w:szCs w:val="14"/>
              </w:rPr>
              <w:t>Source of data</w:t>
            </w:r>
          </w:p>
        </w:tc>
        <w:tc>
          <w:tcPr>
            <w:tcW w:w="346"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Means of Verification</w:t>
            </w:r>
          </w:p>
        </w:tc>
        <w:tc>
          <w:tcPr>
            <w:tcW w:w="298"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Frequency of data collection</w:t>
            </w:r>
          </w:p>
        </w:tc>
        <w:tc>
          <w:tcPr>
            <w:tcW w:w="594"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pStyle w:val="MediumGrid1-Accent21"/>
              <w:spacing w:line="276" w:lineRule="auto"/>
              <w:ind w:left="0"/>
              <w:rPr>
                <w:rFonts w:ascii="Arial" w:hAnsi="Arial" w:cs="Arial"/>
                <w:sz w:val="14"/>
                <w:szCs w:val="14"/>
              </w:rPr>
            </w:pPr>
            <w:r w:rsidRPr="00666FA7">
              <w:rPr>
                <w:rFonts w:ascii="Arial" w:eastAsia="Malgun Gothic" w:hAnsi="Arial" w:cs="Arial"/>
                <w:sz w:val="14"/>
                <w:szCs w:val="14"/>
                <w:lang w:val="en-GB"/>
              </w:rPr>
              <w:t xml:space="preserve">Activity </w:t>
            </w:r>
            <w:r>
              <w:rPr>
                <w:rFonts w:ascii="Arial" w:eastAsia="Malgun Gothic" w:hAnsi="Arial" w:cs="Arial"/>
                <w:sz w:val="14"/>
                <w:szCs w:val="14"/>
                <w:lang w:val="en-GB"/>
              </w:rPr>
              <w:t>3.2.1</w:t>
            </w:r>
          </w:p>
        </w:tc>
        <w:tc>
          <w:tcPr>
            <w:tcW w:w="39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87EAC" w:rsidRPr="009A421E" w:rsidRDefault="00F87EAC" w:rsidP="00E67D7C">
            <w:pPr>
              <w:spacing w:line="276" w:lineRule="auto"/>
              <w:rPr>
                <w:rFonts w:cs="Arial"/>
                <w:sz w:val="14"/>
                <w:szCs w:val="14"/>
              </w:rPr>
            </w:pPr>
            <w:r w:rsidRPr="009A421E">
              <w:rPr>
                <w:rFonts w:cs="Arial"/>
                <w:sz w:val="14"/>
                <w:szCs w:val="14"/>
              </w:rPr>
              <w:t>Responsible Party</w:t>
            </w:r>
          </w:p>
        </w:tc>
        <w:tc>
          <w:tcPr>
            <w:tcW w:w="29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87EAC" w:rsidRPr="009A421E" w:rsidRDefault="00F87EAC" w:rsidP="00E67D7C">
            <w:pPr>
              <w:spacing w:line="276" w:lineRule="auto"/>
              <w:rPr>
                <w:rFonts w:cs="Arial"/>
                <w:sz w:val="14"/>
                <w:szCs w:val="14"/>
              </w:rPr>
            </w:pPr>
            <w:r w:rsidRPr="009A421E">
              <w:rPr>
                <w:rFonts w:cs="Arial"/>
                <w:sz w:val="14"/>
                <w:szCs w:val="14"/>
              </w:rPr>
              <w:t>Planned Target (20</w:t>
            </w:r>
            <w:r>
              <w:rPr>
                <w:rFonts w:cs="Arial"/>
                <w:sz w:val="14"/>
                <w:szCs w:val="14"/>
              </w:rPr>
              <w:t>20</w:t>
            </w:r>
            <w:r w:rsidRPr="009A421E">
              <w:rPr>
                <w:rFonts w:cs="Arial"/>
                <w:sz w:val="14"/>
                <w:szCs w:val="14"/>
              </w:rPr>
              <w:t>)</w:t>
            </w:r>
          </w:p>
        </w:tc>
        <w:tc>
          <w:tcPr>
            <w:tcW w:w="39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87EAC" w:rsidRPr="009A421E" w:rsidRDefault="00F87EAC" w:rsidP="00E67D7C">
            <w:pPr>
              <w:spacing w:line="276" w:lineRule="auto"/>
              <w:rPr>
                <w:rFonts w:cs="Arial"/>
                <w:sz w:val="14"/>
                <w:szCs w:val="14"/>
              </w:rPr>
            </w:pPr>
            <w:r>
              <w:rPr>
                <w:rFonts w:cs="Arial"/>
                <w:sz w:val="14"/>
                <w:szCs w:val="14"/>
              </w:rPr>
              <w:t>Assumption</w:t>
            </w:r>
          </w:p>
        </w:tc>
      </w:tr>
      <w:tr w:rsidR="00F87EAC" w:rsidRPr="00921F96" w:rsidTr="00E67D7C">
        <w:trPr>
          <w:trHeight w:val="175"/>
        </w:trPr>
        <w:tc>
          <w:tcPr>
            <w:tcW w:w="594" w:type="pct"/>
            <w:vMerge w:val="restart"/>
            <w:tcBorders>
              <w:left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sidRPr="005057AA">
              <w:rPr>
                <w:rFonts w:cs="Calibri"/>
                <w:bCs/>
                <w:sz w:val="14"/>
                <w:szCs w:val="14"/>
              </w:rPr>
              <w:t>Regional agents (CROP, donors, regional programmes) are cognizant of, equipped to and in some situations are leading on GS&amp;I RID</w:t>
            </w:r>
          </w:p>
        </w:tc>
        <w:tc>
          <w:tcPr>
            <w:tcW w:w="941"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sidRPr="005057AA">
              <w:rPr>
                <w:rFonts w:cs="Calibri"/>
                <w:bCs/>
                <w:sz w:val="14"/>
                <w:szCs w:val="14"/>
              </w:rPr>
              <w:t>Regional agents report that they are promoting GS&amp;I RID</w:t>
            </w:r>
          </w:p>
        </w:tc>
        <w:tc>
          <w:tcPr>
            <w:tcW w:w="346"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sidRPr="00F13C6C">
              <w:rPr>
                <w:rFonts w:cs="Calibri"/>
                <w:bCs/>
                <w:sz w:val="14"/>
                <w:szCs w:val="14"/>
              </w:rPr>
              <w:t>Regional partners not promoting RID</w:t>
            </w:r>
          </w:p>
        </w:tc>
        <w:tc>
          <w:tcPr>
            <w:tcW w:w="346"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sidRPr="005057AA">
              <w:rPr>
                <w:rFonts w:cs="Calibri"/>
                <w:bCs/>
                <w:sz w:val="14"/>
                <w:szCs w:val="14"/>
              </w:rPr>
              <w:t>There is increased attention to RID in non-focus countries</w:t>
            </w:r>
          </w:p>
        </w:tc>
        <w:tc>
          <w:tcPr>
            <w:tcW w:w="445" w:type="pct"/>
            <w:vMerge w:val="restart"/>
            <w:tcBorders>
              <w:top w:val="single" w:sz="4" w:space="0" w:color="000000"/>
              <w:left w:val="nil"/>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sidRPr="005057AA">
              <w:rPr>
                <w:rFonts w:cs="Calibri"/>
                <w:bCs/>
                <w:sz w:val="14"/>
                <w:szCs w:val="14"/>
              </w:rPr>
              <w:t>Regional agent reports</w:t>
            </w:r>
            <w:r>
              <w:rPr>
                <w:rFonts w:cs="Calibri"/>
                <w:bCs/>
                <w:sz w:val="14"/>
                <w:szCs w:val="14"/>
              </w:rPr>
              <w:t xml:space="preserve"> and statements</w:t>
            </w:r>
          </w:p>
        </w:tc>
        <w:tc>
          <w:tcPr>
            <w:tcW w:w="346" w:type="pct"/>
            <w:vMerge w:val="restart"/>
            <w:tcBorders>
              <w:top w:val="single" w:sz="4" w:space="0" w:color="000000"/>
              <w:left w:val="nil"/>
              <w:right w:val="single" w:sz="4" w:space="0" w:color="000000"/>
            </w:tcBorders>
            <w:shd w:val="clear" w:color="auto" w:fill="FFFFFF"/>
            <w:noWrap/>
            <w:vAlign w:val="center"/>
          </w:tcPr>
          <w:p w:rsidR="00F87EAC" w:rsidRPr="005057AA" w:rsidRDefault="00F87EAC" w:rsidP="00E67D7C">
            <w:pPr>
              <w:spacing w:before="80" w:after="80"/>
              <w:rPr>
                <w:rFonts w:cs="Calibri"/>
                <w:bCs/>
                <w:sz w:val="14"/>
                <w:szCs w:val="14"/>
              </w:rPr>
            </w:pPr>
            <w:r w:rsidRPr="005057AA">
              <w:rPr>
                <w:rFonts w:cs="Calibri"/>
                <w:bCs/>
                <w:sz w:val="14"/>
                <w:szCs w:val="14"/>
              </w:rPr>
              <w:t>Policy analysis</w:t>
            </w:r>
          </w:p>
          <w:p w:rsidR="00F87EAC" w:rsidRPr="009A421E" w:rsidRDefault="00F87EAC" w:rsidP="00E67D7C">
            <w:pPr>
              <w:spacing w:line="276" w:lineRule="auto"/>
              <w:rPr>
                <w:rFonts w:cs="Arial"/>
                <w:sz w:val="14"/>
                <w:szCs w:val="14"/>
              </w:rPr>
            </w:pPr>
            <w:r w:rsidRPr="005057AA">
              <w:rPr>
                <w:rFonts w:cs="Calibri"/>
                <w:bCs/>
                <w:sz w:val="14"/>
                <w:szCs w:val="14"/>
              </w:rPr>
              <w:t>Stakeholder interviews</w:t>
            </w:r>
          </w:p>
        </w:tc>
        <w:tc>
          <w:tcPr>
            <w:tcW w:w="298"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Pr>
                <w:rFonts w:cs="Arial"/>
                <w:sz w:val="14"/>
                <w:szCs w:val="14"/>
              </w:rPr>
              <w:t xml:space="preserve">6 </w:t>
            </w:r>
            <w:proofErr w:type="gramStart"/>
            <w:r>
              <w:rPr>
                <w:rFonts w:cs="Arial"/>
                <w:sz w:val="14"/>
                <w:szCs w:val="14"/>
              </w:rPr>
              <w:t>monthly</w:t>
            </w:r>
            <w:proofErr w:type="gramEnd"/>
            <w:r>
              <w:rPr>
                <w:rFonts w:cs="Arial"/>
                <w:sz w:val="14"/>
                <w:szCs w:val="14"/>
              </w:rPr>
              <w:t xml:space="preserve"> </w:t>
            </w:r>
          </w:p>
        </w:tc>
        <w:tc>
          <w:tcPr>
            <w:tcW w:w="594" w:type="pct"/>
            <w:vMerge w:val="restart"/>
            <w:tcBorders>
              <w:top w:val="single" w:sz="4" w:space="0" w:color="000000"/>
              <w:left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sidRPr="00BB0D7C">
              <w:rPr>
                <w:rFonts w:cs="Calibri"/>
                <w:bCs/>
                <w:sz w:val="14"/>
                <w:szCs w:val="14"/>
              </w:rPr>
              <w:t>Conduct research on need for Risk Informed Development in the region. Lead regional dialogue on advocating for Risk Informed Development approach</w:t>
            </w:r>
          </w:p>
        </w:tc>
        <w:tc>
          <w:tcPr>
            <w:tcW w:w="3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7EAC" w:rsidRPr="009A421E" w:rsidRDefault="00F87EAC" w:rsidP="00E67D7C">
            <w:pPr>
              <w:spacing w:line="276" w:lineRule="auto"/>
              <w:rPr>
                <w:rFonts w:cs="Arial"/>
                <w:sz w:val="14"/>
                <w:szCs w:val="14"/>
              </w:rPr>
            </w:pPr>
            <w:r w:rsidRPr="009A421E">
              <w:rPr>
                <w:rFonts w:cs="Arial"/>
                <w:sz w:val="14"/>
                <w:szCs w:val="14"/>
              </w:rPr>
              <w:t>Project technical advisors</w:t>
            </w:r>
          </w:p>
        </w:tc>
        <w:tc>
          <w:tcPr>
            <w:tcW w:w="29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7EAC" w:rsidRPr="009A421E" w:rsidRDefault="00F87EAC" w:rsidP="00E67D7C">
            <w:pPr>
              <w:spacing w:line="276" w:lineRule="auto"/>
              <w:rPr>
                <w:rFonts w:cs="Arial"/>
                <w:sz w:val="14"/>
                <w:szCs w:val="14"/>
              </w:rPr>
            </w:pPr>
            <w:r>
              <w:rPr>
                <w:rFonts w:cs="Arial"/>
                <w:sz w:val="14"/>
                <w:szCs w:val="14"/>
              </w:rPr>
              <w:t>3</w:t>
            </w:r>
          </w:p>
        </w:tc>
        <w:tc>
          <w:tcPr>
            <w:tcW w:w="396" w:type="pct"/>
            <w:vMerge w:val="restart"/>
            <w:tcBorders>
              <w:top w:val="single" w:sz="4" w:space="0" w:color="000000"/>
              <w:left w:val="single" w:sz="4" w:space="0" w:color="000000"/>
              <w:right w:val="single" w:sz="4" w:space="0" w:color="000000"/>
            </w:tcBorders>
            <w:shd w:val="clear" w:color="auto" w:fill="FFFFFF"/>
            <w:vAlign w:val="center"/>
          </w:tcPr>
          <w:p w:rsidR="00F87EAC" w:rsidRPr="00921F96" w:rsidRDefault="00F87EAC" w:rsidP="00E67D7C">
            <w:pPr>
              <w:spacing w:line="276" w:lineRule="auto"/>
              <w:rPr>
                <w:rFonts w:cs="Arial"/>
                <w:sz w:val="14"/>
                <w:szCs w:val="14"/>
              </w:rPr>
            </w:pPr>
            <w:r>
              <w:rPr>
                <w:rFonts w:cs="Arial"/>
                <w:sz w:val="14"/>
                <w:szCs w:val="14"/>
              </w:rPr>
              <w:t>R</w:t>
            </w:r>
            <w:r w:rsidRPr="00921F96">
              <w:rPr>
                <w:rFonts w:cs="Arial"/>
                <w:sz w:val="14"/>
                <w:szCs w:val="14"/>
              </w:rPr>
              <w:t xml:space="preserve">egional agents </w:t>
            </w:r>
            <w:r>
              <w:rPr>
                <w:rFonts w:cs="Arial"/>
                <w:sz w:val="14"/>
                <w:szCs w:val="14"/>
              </w:rPr>
              <w:t xml:space="preserve">are motivated </w:t>
            </w:r>
            <w:r w:rsidRPr="00921F96">
              <w:rPr>
                <w:rFonts w:cs="Arial"/>
                <w:sz w:val="14"/>
                <w:szCs w:val="14"/>
              </w:rPr>
              <w:t>to shift the narrative and activity towards RID</w:t>
            </w:r>
            <w:r>
              <w:rPr>
                <w:rFonts w:cs="Arial"/>
                <w:sz w:val="14"/>
                <w:szCs w:val="14"/>
              </w:rPr>
              <w:t xml:space="preserve">. </w:t>
            </w:r>
          </w:p>
          <w:p w:rsidR="00F87EAC" w:rsidRPr="00921F96" w:rsidRDefault="00F87EAC" w:rsidP="00E67D7C">
            <w:pPr>
              <w:spacing w:line="276" w:lineRule="auto"/>
              <w:rPr>
                <w:rFonts w:cs="Arial"/>
                <w:sz w:val="14"/>
                <w:szCs w:val="14"/>
              </w:rPr>
            </w:pPr>
            <w:r>
              <w:rPr>
                <w:rFonts w:cs="Arial"/>
                <w:sz w:val="14"/>
                <w:szCs w:val="14"/>
              </w:rPr>
              <w:t xml:space="preserve">The project can partner with </w:t>
            </w:r>
            <w:r w:rsidRPr="00921F96">
              <w:rPr>
                <w:rFonts w:cs="Arial"/>
                <w:sz w:val="14"/>
                <w:szCs w:val="14"/>
              </w:rPr>
              <w:t xml:space="preserve">regional agents </w:t>
            </w:r>
            <w:r>
              <w:rPr>
                <w:rFonts w:cs="Arial"/>
                <w:sz w:val="14"/>
                <w:szCs w:val="14"/>
              </w:rPr>
              <w:t xml:space="preserve">which </w:t>
            </w:r>
            <w:r w:rsidRPr="00921F96">
              <w:rPr>
                <w:rFonts w:cs="Arial"/>
                <w:sz w:val="14"/>
                <w:szCs w:val="14"/>
              </w:rPr>
              <w:t xml:space="preserve">are likely to influence changes in practice in </w:t>
            </w:r>
            <w:r>
              <w:rPr>
                <w:rFonts w:cs="Arial"/>
                <w:sz w:val="14"/>
                <w:szCs w:val="14"/>
              </w:rPr>
              <w:t>PICs.</w:t>
            </w:r>
          </w:p>
        </w:tc>
      </w:tr>
      <w:tr w:rsidR="00F87EAC" w:rsidRPr="00921F96" w:rsidTr="00E67D7C">
        <w:trPr>
          <w:trHeight w:val="175"/>
        </w:trPr>
        <w:tc>
          <w:tcPr>
            <w:tcW w:w="594" w:type="pct"/>
            <w:vMerge/>
            <w:tcBorders>
              <w:left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p>
        </w:tc>
        <w:tc>
          <w:tcPr>
            <w:tcW w:w="941"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 xml:space="preserve">Indicator </w:t>
            </w:r>
            <w:r>
              <w:rPr>
                <w:rFonts w:cs="Arial"/>
                <w:sz w:val="14"/>
                <w:szCs w:val="14"/>
              </w:rPr>
              <w:t>3.2.2</w:t>
            </w:r>
          </w:p>
        </w:tc>
        <w:tc>
          <w:tcPr>
            <w:tcW w:w="346"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Baseline</w:t>
            </w:r>
            <w:r>
              <w:rPr>
                <w:rFonts w:cs="Arial"/>
                <w:sz w:val="14"/>
                <w:szCs w:val="14"/>
              </w:rPr>
              <w:t xml:space="preserve"> (=0)</w:t>
            </w:r>
          </w:p>
        </w:tc>
        <w:tc>
          <w:tcPr>
            <w:tcW w:w="346"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Target</w:t>
            </w:r>
          </w:p>
        </w:tc>
        <w:tc>
          <w:tcPr>
            <w:tcW w:w="445" w:type="pct"/>
            <w:vMerge/>
            <w:tcBorders>
              <w:left w:val="nil"/>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p>
        </w:tc>
        <w:tc>
          <w:tcPr>
            <w:tcW w:w="346" w:type="pct"/>
            <w:vMerge/>
            <w:tcBorders>
              <w:left w:val="nil"/>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p>
        </w:tc>
        <w:tc>
          <w:tcPr>
            <w:tcW w:w="298" w:type="pct"/>
            <w:tcBorders>
              <w:top w:val="single" w:sz="4" w:space="0" w:color="000000"/>
              <w:left w:val="nil"/>
              <w:bottom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spacing w:line="276" w:lineRule="auto"/>
              <w:rPr>
                <w:rFonts w:cs="Arial"/>
                <w:sz w:val="14"/>
                <w:szCs w:val="14"/>
              </w:rPr>
            </w:pPr>
            <w:r w:rsidRPr="009A421E">
              <w:rPr>
                <w:rFonts w:cs="Arial"/>
                <w:sz w:val="14"/>
                <w:szCs w:val="14"/>
              </w:rPr>
              <w:t>Frequency of data collection</w:t>
            </w:r>
          </w:p>
        </w:tc>
        <w:tc>
          <w:tcPr>
            <w:tcW w:w="594" w:type="pct"/>
            <w:vMerge/>
            <w:tcBorders>
              <w:left w:val="single" w:sz="4" w:space="0" w:color="000000"/>
              <w:right w:val="single" w:sz="4" w:space="0" w:color="000000"/>
            </w:tcBorders>
            <w:shd w:val="clear" w:color="auto" w:fill="BFBFBF" w:themeFill="background1" w:themeFillShade="BF"/>
            <w:noWrap/>
            <w:vAlign w:val="center"/>
          </w:tcPr>
          <w:p w:rsidR="00F87EAC" w:rsidRPr="009A421E" w:rsidRDefault="00F87EAC" w:rsidP="00E67D7C">
            <w:pPr>
              <w:pStyle w:val="MediumGrid1-Accent21"/>
              <w:spacing w:line="276" w:lineRule="auto"/>
              <w:ind w:left="0"/>
              <w:rPr>
                <w:rFonts w:ascii="Arial" w:hAnsi="Arial" w:cs="Arial"/>
                <w:sz w:val="14"/>
                <w:szCs w:val="14"/>
              </w:rPr>
            </w:pPr>
          </w:p>
        </w:tc>
        <w:tc>
          <w:tcPr>
            <w:tcW w:w="39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87EAC" w:rsidRPr="009A421E" w:rsidRDefault="00F87EAC" w:rsidP="00E67D7C">
            <w:pPr>
              <w:spacing w:line="276" w:lineRule="auto"/>
              <w:rPr>
                <w:rFonts w:cs="Arial"/>
                <w:sz w:val="14"/>
                <w:szCs w:val="14"/>
              </w:rPr>
            </w:pPr>
            <w:r w:rsidRPr="009A421E">
              <w:rPr>
                <w:rFonts w:cs="Arial"/>
                <w:sz w:val="14"/>
                <w:szCs w:val="14"/>
              </w:rPr>
              <w:t>Responsible Party</w:t>
            </w:r>
          </w:p>
        </w:tc>
        <w:tc>
          <w:tcPr>
            <w:tcW w:w="29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87EAC" w:rsidRPr="009A421E" w:rsidRDefault="00F87EAC" w:rsidP="00E67D7C">
            <w:pPr>
              <w:spacing w:line="276" w:lineRule="auto"/>
              <w:rPr>
                <w:rFonts w:cs="Arial"/>
                <w:sz w:val="14"/>
                <w:szCs w:val="14"/>
              </w:rPr>
            </w:pPr>
            <w:r w:rsidRPr="009A421E">
              <w:rPr>
                <w:rFonts w:cs="Arial"/>
                <w:sz w:val="14"/>
                <w:szCs w:val="14"/>
              </w:rPr>
              <w:t>Planned Target (20</w:t>
            </w:r>
            <w:r>
              <w:rPr>
                <w:rFonts w:cs="Arial"/>
                <w:sz w:val="14"/>
                <w:szCs w:val="14"/>
              </w:rPr>
              <w:t>20</w:t>
            </w:r>
            <w:r w:rsidRPr="009A421E">
              <w:rPr>
                <w:rFonts w:cs="Arial"/>
                <w:sz w:val="14"/>
                <w:szCs w:val="14"/>
              </w:rPr>
              <w:t>)</w:t>
            </w:r>
          </w:p>
        </w:tc>
        <w:tc>
          <w:tcPr>
            <w:tcW w:w="396" w:type="pct"/>
            <w:vMerge/>
            <w:tcBorders>
              <w:left w:val="single" w:sz="4" w:space="0" w:color="000000"/>
              <w:right w:val="single" w:sz="4" w:space="0" w:color="000000"/>
            </w:tcBorders>
            <w:shd w:val="clear" w:color="auto" w:fill="BFBFBF" w:themeFill="background1" w:themeFillShade="BF"/>
            <w:vAlign w:val="center"/>
          </w:tcPr>
          <w:p w:rsidR="00F87EAC" w:rsidRPr="009A421E" w:rsidRDefault="00F87EAC" w:rsidP="00E67D7C">
            <w:pPr>
              <w:spacing w:line="276" w:lineRule="auto"/>
              <w:rPr>
                <w:rFonts w:cs="Arial"/>
                <w:sz w:val="14"/>
                <w:szCs w:val="14"/>
              </w:rPr>
            </w:pPr>
          </w:p>
        </w:tc>
      </w:tr>
      <w:tr w:rsidR="00F87EAC" w:rsidRPr="00921F96" w:rsidTr="00E67D7C">
        <w:trPr>
          <w:trHeight w:val="175"/>
        </w:trPr>
        <w:tc>
          <w:tcPr>
            <w:tcW w:w="594" w:type="pct"/>
            <w:vMerge/>
            <w:tcBorders>
              <w:left w:val="single" w:sz="4" w:space="0" w:color="000000"/>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p>
        </w:tc>
        <w:tc>
          <w:tcPr>
            <w:tcW w:w="941"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Pr>
                <w:rFonts w:cs="Calibri"/>
                <w:bCs/>
                <w:sz w:val="14"/>
                <w:szCs w:val="14"/>
              </w:rPr>
              <w:t>N</w:t>
            </w:r>
            <w:r w:rsidRPr="005057AA">
              <w:rPr>
                <w:rFonts w:cs="Calibri"/>
                <w:bCs/>
                <w:sz w:val="14"/>
                <w:szCs w:val="14"/>
              </w:rPr>
              <w:t>umber of regional resilience initiatives and policies support</w:t>
            </w:r>
            <w:r>
              <w:rPr>
                <w:rFonts w:cs="Calibri"/>
                <w:bCs/>
                <w:sz w:val="14"/>
                <w:szCs w:val="14"/>
              </w:rPr>
              <w:t>ing</w:t>
            </w:r>
            <w:r w:rsidRPr="005057AA">
              <w:rPr>
                <w:rFonts w:cs="Calibri"/>
                <w:bCs/>
                <w:sz w:val="14"/>
                <w:szCs w:val="14"/>
              </w:rPr>
              <w:t xml:space="preserve"> country led GS&amp;I RID</w:t>
            </w:r>
          </w:p>
        </w:tc>
        <w:tc>
          <w:tcPr>
            <w:tcW w:w="346"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sidRPr="00F13C6C">
              <w:rPr>
                <w:rFonts w:cs="Calibri"/>
                <w:bCs/>
                <w:sz w:val="14"/>
                <w:szCs w:val="14"/>
              </w:rPr>
              <w:t>No regional resilience initiative on RID</w:t>
            </w:r>
          </w:p>
        </w:tc>
        <w:tc>
          <w:tcPr>
            <w:tcW w:w="346"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sidRPr="005057AA">
              <w:rPr>
                <w:rFonts w:cs="Calibri"/>
                <w:bCs/>
                <w:sz w:val="14"/>
                <w:szCs w:val="14"/>
              </w:rPr>
              <w:t>Climate and development financing increasingly support country led, RID</w:t>
            </w:r>
          </w:p>
        </w:tc>
        <w:tc>
          <w:tcPr>
            <w:tcW w:w="445" w:type="pct"/>
            <w:vMerge/>
            <w:tcBorders>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p>
        </w:tc>
        <w:tc>
          <w:tcPr>
            <w:tcW w:w="346" w:type="pct"/>
            <w:vMerge/>
            <w:tcBorders>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p>
        </w:tc>
        <w:tc>
          <w:tcPr>
            <w:tcW w:w="298" w:type="pct"/>
            <w:tcBorders>
              <w:top w:val="single" w:sz="4" w:space="0" w:color="000000"/>
              <w:left w:val="nil"/>
              <w:bottom w:val="single" w:sz="4" w:space="0" w:color="000000"/>
              <w:right w:val="single" w:sz="4" w:space="0" w:color="000000"/>
            </w:tcBorders>
            <w:shd w:val="clear" w:color="auto" w:fill="FFFFFF"/>
            <w:noWrap/>
            <w:vAlign w:val="center"/>
          </w:tcPr>
          <w:p w:rsidR="00F87EAC" w:rsidRPr="009A421E" w:rsidRDefault="00F87EAC" w:rsidP="00E67D7C">
            <w:pPr>
              <w:spacing w:line="276" w:lineRule="auto"/>
              <w:rPr>
                <w:rFonts w:cs="Arial"/>
                <w:sz w:val="14"/>
                <w:szCs w:val="14"/>
              </w:rPr>
            </w:pPr>
            <w:r>
              <w:rPr>
                <w:rFonts w:cs="Arial"/>
                <w:sz w:val="14"/>
                <w:szCs w:val="14"/>
              </w:rPr>
              <w:t xml:space="preserve">6 </w:t>
            </w:r>
            <w:proofErr w:type="gramStart"/>
            <w:r>
              <w:rPr>
                <w:rFonts w:cs="Arial"/>
                <w:sz w:val="14"/>
                <w:szCs w:val="14"/>
              </w:rPr>
              <w:t>monthly</w:t>
            </w:r>
            <w:proofErr w:type="gramEnd"/>
            <w:r>
              <w:rPr>
                <w:rFonts w:cs="Arial"/>
                <w:sz w:val="14"/>
                <w:szCs w:val="14"/>
              </w:rPr>
              <w:t xml:space="preserve"> </w:t>
            </w:r>
          </w:p>
        </w:tc>
        <w:tc>
          <w:tcPr>
            <w:tcW w:w="594" w:type="pct"/>
            <w:vMerge/>
            <w:tcBorders>
              <w:left w:val="single" w:sz="4" w:space="0" w:color="000000"/>
              <w:bottom w:val="single" w:sz="4" w:space="0" w:color="000000"/>
              <w:right w:val="single" w:sz="4" w:space="0" w:color="000000"/>
            </w:tcBorders>
            <w:shd w:val="clear" w:color="auto" w:fill="FFFFFF"/>
            <w:noWrap/>
            <w:vAlign w:val="center"/>
          </w:tcPr>
          <w:p w:rsidR="00F87EAC" w:rsidRPr="009A421E" w:rsidRDefault="00F87EAC" w:rsidP="00E67D7C">
            <w:pPr>
              <w:pStyle w:val="MediumGrid1-Accent21"/>
              <w:spacing w:line="276" w:lineRule="auto"/>
              <w:ind w:left="0"/>
              <w:rPr>
                <w:rFonts w:ascii="Arial" w:hAnsi="Arial" w:cs="Arial"/>
                <w:sz w:val="14"/>
                <w:szCs w:val="14"/>
              </w:rPr>
            </w:pPr>
          </w:p>
        </w:tc>
        <w:tc>
          <w:tcPr>
            <w:tcW w:w="3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7EAC" w:rsidRPr="009A421E" w:rsidRDefault="00F87EAC" w:rsidP="00E67D7C">
            <w:pPr>
              <w:spacing w:line="276" w:lineRule="auto"/>
              <w:rPr>
                <w:rFonts w:cs="Arial"/>
                <w:sz w:val="14"/>
                <w:szCs w:val="14"/>
              </w:rPr>
            </w:pPr>
            <w:r w:rsidRPr="009A421E">
              <w:rPr>
                <w:rFonts w:cs="Arial"/>
                <w:sz w:val="14"/>
                <w:szCs w:val="14"/>
              </w:rPr>
              <w:t>Project technical advisors</w:t>
            </w:r>
          </w:p>
        </w:tc>
        <w:tc>
          <w:tcPr>
            <w:tcW w:w="29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87EAC" w:rsidRPr="009A421E" w:rsidRDefault="00F87EAC" w:rsidP="00E67D7C">
            <w:pPr>
              <w:spacing w:line="276" w:lineRule="auto"/>
              <w:rPr>
                <w:rFonts w:cs="Arial"/>
                <w:sz w:val="14"/>
                <w:szCs w:val="14"/>
              </w:rPr>
            </w:pPr>
            <w:r>
              <w:rPr>
                <w:rFonts w:cs="Arial"/>
                <w:sz w:val="14"/>
                <w:szCs w:val="14"/>
              </w:rPr>
              <w:t>2</w:t>
            </w:r>
          </w:p>
        </w:tc>
        <w:tc>
          <w:tcPr>
            <w:tcW w:w="396" w:type="pct"/>
            <w:vMerge/>
            <w:tcBorders>
              <w:left w:val="single" w:sz="4" w:space="0" w:color="000000"/>
              <w:bottom w:val="single" w:sz="4" w:space="0" w:color="000000"/>
              <w:right w:val="single" w:sz="4" w:space="0" w:color="000000"/>
            </w:tcBorders>
            <w:shd w:val="clear" w:color="auto" w:fill="FFFFFF"/>
            <w:vAlign w:val="center"/>
          </w:tcPr>
          <w:p w:rsidR="00F87EAC" w:rsidRPr="009A421E" w:rsidRDefault="00F87EAC" w:rsidP="00E67D7C">
            <w:pPr>
              <w:spacing w:line="276" w:lineRule="auto"/>
              <w:rPr>
                <w:rFonts w:cs="Arial"/>
                <w:sz w:val="14"/>
                <w:szCs w:val="14"/>
              </w:rPr>
            </w:pPr>
          </w:p>
        </w:tc>
      </w:tr>
    </w:tbl>
    <w:p w:rsidR="00A045BF" w:rsidRDefault="00A045BF" w:rsidP="00F87EAC"/>
    <w:p w:rsidR="00A045BF" w:rsidRDefault="00A045BF">
      <w:pPr>
        <w:spacing w:after="0" w:line="240" w:lineRule="auto"/>
      </w:pPr>
      <w:r>
        <w:br w:type="page"/>
      </w:r>
    </w:p>
    <w:p w:rsidR="00A045BF" w:rsidRPr="0053203C" w:rsidRDefault="00A045BF" w:rsidP="00A045BF">
      <w:pPr>
        <w:pStyle w:val="Heading3"/>
        <w:jc w:val="left"/>
      </w:pPr>
      <w:r w:rsidRPr="0053203C">
        <w:t xml:space="preserve">Multi-Year Work Plan </w:t>
      </w:r>
      <w:r>
        <w:t>and Time-Table</w:t>
      </w:r>
    </w:p>
    <w:tbl>
      <w:tblPr>
        <w:tblW w:w="13806" w:type="dxa"/>
        <w:tblLook w:val="04A0" w:firstRow="1" w:lastRow="0" w:firstColumn="1" w:lastColumn="0" w:noHBand="0" w:noVBand="1"/>
      </w:tblPr>
      <w:tblGrid>
        <w:gridCol w:w="702"/>
        <w:gridCol w:w="1489"/>
        <w:gridCol w:w="993"/>
        <w:gridCol w:w="993"/>
        <w:gridCol w:w="1140"/>
        <w:gridCol w:w="1082"/>
        <w:gridCol w:w="1230"/>
        <w:gridCol w:w="1023"/>
        <w:gridCol w:w="1023"/>
        <w:gridCol w:w="1169"/>
        <w:gridCol w:w="906"/>
        <w:gridCol w:w="1023"/>
        <w:gridCol w:w="1023"/>
        <w:gridCol w:w="10"/>
      </w:tblGrid>
      <w:tr w:rsidR="00A045BF" w:rsidRPr="00B848C3" w:rsidTr="006F2B00">
        <w:trPr>
          <w:trHeight w:val="252"/>
        </w:trPr>
        <w:tc>
          <w:tcPr>
            <w:tcW w:w="13806" w:type="dxa"/>
            <w:gridSpan w:val="14"/>
            <w:tcBorders>
              <w:top w:val="single" w:sz="8" w:space="0" w:color="auto"/>
              <w:left w:val="single" w:sz="8" w:space="0" w:color="auto"/>
              <w:bottom w:val="single" w:sz="8" w:space="0" w:color="auto"/>
              <w:right w:val="single" w:sz="8" w:space="0" w:color="000000"/>
            </w:tcBorders>
            <w:shd w:val="clear" w:color="000000" w:fill="1F4E79"/>
            <w:noWrap/>
            <w:vAlign w:val="center"/>
            <w:hideMark/>
          </w:tcPr>
          <w:p w:rsidR="00A045BF" w:rsidRPr="00B848C3" w:rsidRDefault="00A045BF" w:rsidP="006F2B00">
            <w:pPr>
              <w:spacing w:after="0" w:line="240" w:lineRule="auto"/>
              <w:rPr>
                <w:rFonts w:asciiTheme="majorHAnsi" w:hAnsiTheme="majorHAnsi" w:cstheme="majorHAnsi"/>
                <w:b/>
                <w:bCs/>
                <w:color w:val="FFFFFF"/>
                <w:sz w:val="16"/>
                <w:szCs w:val="16"/>
              </w:rPr>
            </w:pPr>
            <w:r w:rsidRPr="00B848C3">
              <w:rPr>
                <w:rFonts w:asciiTheme="majorHAnsi" w:hAnsiTheme="majorHAnsi" w:cstheme="majorHAnsi"/>
                <w:b/>
                <w:bCs/>
                <w:color w:val="FFFFFF"/>
                <w:sz w:val="16"/>
                <w:szCs w:val="16"/>
              </w:rPr>
              <w:t xml:space="preserve">Work Plan and Time Table (as a </w:t>
            </w:r>
            <w:proofErr w:type="gramStart"/>
            <w:r w:rsidRPr="00B848C3">
              <w:rPr>
                <w:rFonts w:asciiTheme="majorHAnsi" w:hAnsiTheme="majorHAnsi" w:cstheme="majorHAnsi"/>
                <w:b/>
                <w:bCs/>
                <w:color w:val="FFFFFF"/>
                <w:sz w:val="16"/>
                <w:szCs w:val="16"/>
              </w:rPr>
              <w:t>whole)*</w:t>
            </w:r>
            <w:proofErr w:type="gramEnd"/>
          </w:p>
        </w:tc>
      </w:tr>
      <w:tr w:rsidR="00A045BF" w:rsidRPr="0053203C" w:rsidTr="006F2B00">
        <w:trPr>
          <w:gridAfter w:val="1"/>
          <w:wAfter w:w="10" w:type="dxa"/>
          <w:trHeight w:val="252"/>
        </w:trPr>
        <w:tc>
          <w:tcPr>
            <w:tcW w:w="702" w:type="dxa"/>
            <w:tcBorders>
              <w:top w:val="nil"/>
              <w:left w:val="single" w:sz="8" w:space="0" w:color="auto"/>
              <w:bottom w:val="single" w:sz="8" w:space="0" w:color="auto"/>
              <w:right w:val="single" w:sz="8" w:space="0" w:color="auto"/>
            </w:tcBorders>
            <w:shd w:val="clear" w:color="000000" w:fill="1F4E79"/>
            <w:noWrap/>
            <w:vAlign w:val="center"/>
            <w:hideMark/>
          </w:tcPr>
          <w:p w:rsidR="00A045BF" w:rsidRPr="00B848C3" w:rsidRDefault="00A045BF" w:rsidP="006F2B00">
            <w:pPr>
              <w:spacing w:after="0" w:line="240" w:lineRule="auto"/>
              <w:rPr>
                <w:rFonts w:asciiTheme="majorHAnsi" w:eastAsia="Malgun Gothic" w:hAnsiTheme="majorHAnsi" w:cstheme="majorHAnsi"/>
                <w:color w:val="FFFFFF"/>
                <w:sz w:val="16"/>
                <w:szCs w:val="16"/>
              </w:rPr>
            </w:pPr>
            <w:r w:rsidRPr="00B848C3">
              <w:rPr>
                <w:rFonts w:asciiTheme="majorHAnsi" w:eastAsia="Malgun Gothic" w:hAnsiTheme="majorHAnsi" w:cstheme="majorHAnsi"/>
                <w:color w:val="FFFFFF"/>
                <w:sz w:val="16"/>
                <w:szCs w:val="16"/>
              </w:rPr>
              <w:t> </w:t>
            </w:r>
          </w:p>
        </w:tc>
        <w:tc>
          <w:tcPr>
            <w:tcW w:w="1489" w:type="dxa"/>
            <w:tcBorders>
              <w:top w:val="nil"/>
              <w:left w:val="nil"/>
              <w:bottom w:val="single" w:sz="8" w:space="0" w:color="auto"/>
              <w:right w:val="single" w:sz="8" w:space="0" w:color="auto"/>
            </w:tcBorders>
            <w:shd w:val="clear" w:color="000000" w:fill="1F4E79"/>
            <w:noWrap/>
            <w:vAlign w:val="center"/>
            <w:hideMark/>
          </w:tcPr>
          <w:p w:rsidR="00A045BF" w:rsidRPr="00B848C3" w:rsidRDefault="00A045BF" w:rsidP="006F2B00">
            <w:pPr>
              <w:spacing w:after="0" w:line="240" w:lineRule="auto"/>
              <w:rPr>
                <w:rFonts w:asciiTheme="majorHAnsi" w:hAnsiTheme="majorHAnsi" w:cstheme="majorHAnsi"/>
                <w:color w:val="FFFFFF"/>
                <w:sz w:val="16"/>
                <w:szCs w:val="16"/>
              </w:rPr>
            </w:pPr>
            <w:r w:rsidRPr="00B848C3">
              <w:rPr>
                <w:rFonts w:asciiTheme="majorHAnsi" w:hAnsiTheme="majorHAnsi" w:cstheme="majorHAnsi"/>
                <w:color w:val="FFFFFF"/>
                <w:sz w:val="16"/>
                <w:szCs w:val="16"/>
              </w:rPr>
              <w:t>Jan</w:t>
            </w:r>
          </w:p>
        </w:tc>
        <w:tc>
          <w:tcPr>
            <w:tcW w:w="993" w:type="dxa"/>
            <w:tcBorders>
              <w:top w:val="single" w:sz="8" w:space="0" w:color="auto"/>
              <w:left w:val="nil"/>
              <w:bottom w:val="single" w:sz="8" w:space="0" w:color="auto"/>
              <w:right w:val="single" w:sz="8" w:space="0" w:color="000000"/>
            </w:tcBorders>
            <w:shd w:val="clear" w:color="000000" w:fill="1F4E79"/>
            <w:noWrap/>
            <w:vAlign w:val="center"/>
            <w:hideMark/>
          </w:tcPr>
          <w:p w:rsidR="00A045BF" w:rsidRPr="00B848C3" w:rsidRDefault="00A045BF" w:rsidP="006F2B00">
            <w:pPr>
              <w:spacing w:after="0" w:line="240" w:lineRule="auto"/>
              <w:rPr>
                <w:rFonts w:asciiTheme="majorHAnsi" w:hAnsiTheme="majorHAnsi" w:cstheme="majorHAnsi"/>
                <w:color w:val="FFFFFF"/>
                <w:sz w:val="16"/>
                <w:szCs w:val="16"/>
              </w:rPr>
            </w:pPr>
            <w:r w:rsidRPr="00B848C3">
              <w:rPr>
                <w:rFonts w:asciiTheme="majorHAnsi" w:hAnsiTheme="majorHAnsi" w:cstheme="majorHAnsi"/>
                <w:color w:val="FFFFFF"/>
                <w:sz w:val="16"/>
                <w:szCs w:val="16"/>
              </w:rPr>
              <w:t>Feb</w:t>
            </w:r>
          </w:p>
        </w:tc>
        <w:tc>
          <w:tcPr>
            <w:tcW w:w="993" w:type="dxa"/>
            <w:tcBorders>
              <w:top w:val="single" w:sz="8" w:space="0" w:color="auto"/>
              <w:left w:val="nil"/>
              <w:bottom w:val="single" w:sz="8" w:space="0" w:color="auto"/>
              <w:right w:val="single" w:sz="8" w:space="0" w:color="000000"/>
            </w:tcBorders>
            <w:shd w:val="clear" w:color="000000" w:fill="1F4E79"/>
            <w:noWrap/>
            <w:vAlign w:val="center"/>
            <w:hideMark/>
          </w:tcPr>
          <w:p w:rsidR="00A045BF" w:rsidRPr="00B848C3" w:rsidRDefault="00A045BF" w:rsidP="006F2B00">
            <w:pPr>
              <w:spacing w:after="0" w:line="240" w:lineRule="auto"/>
              <w:rPr>
                <w:rFonts w:asciiTheme="majorHAnsi" w:hAnsiTheme="majorHAnsi" w:cstheme="majorHAnsi"/>
                <w:color w:val="FFFFFF"/>
                <w:sz w:val="16"/>
                <w:szCs w:val="16"/>
              </w:rPr>
            </w:pPr>
            <w:r w:rsidRPr="00B848C3">
              <w:rPr>
                <w:rFonts w:asciiTheme="majorHAnsi" w:hAnsiTheme="majorHAnsi" w:cstheme="majorHAnsi"/>
                <w:color w:val="FFFFFF"/>
                <w:sz w:val="16"/>
                <w:szCs w:val="16"/>
              </w:rPr>
              <w:t>Mar</w:t>
            </w:r>
          </w:p>
        </w:tc>
        <w:tc>
          <w:tcPr>
            <w:tcW w:w="1140" w:type="dxa"/>
            <w:tcBorders>
              <w:top w:val="single" w:sz="8" w:space="0" w:color="auto"/>
              <w:left w:val="nil"/>
              <w:bottom w:val="single" w:sz="8" w:space="0" w:color="auto"/>
              <w:right w:val="single" w:sz="8" w:space="0" w:color="000000"/>
            </w:tcBorders>
            <w:shd w:val="clear" w:color="000000" w:fill="1F4E79"/>
            <w:noWrap/>
            <w:vAlign w:val="center"/>
            <w:hideMark/>
          </w:tcPr>
          <w:p w:rsidR="00A045BF" w:rsidRPr="00B848C3" w:rsidRDefault="00A045BF" w:rsidP="006F2B00">
            <w:pPr>
              <w:spacing w:after="0" w:line="240" w:lineRule="auto"/>
              <w:rPr>
                <w:rFonts w:asciiTheme="majorHAnsi" w:hAnsiTheme="majorHAnsi" w:cstheme="majorHAnsi"/>
                <w:color w:val="FFFFFF"/>
                <w:sz w:val="16"/>
                <w:szCs w:val="16"/>
              </w:rPr>
            </w:pPr>
            <w:r w:rsidRPr="00B848C3">
              <w:rPr>
                <w:rFonts w:asciiTheme="majorHAnsi" w:hAnsiTheme="majorHAnsi" w:cstheme="majorHAnsi"/>
                <w:color w:val="FFFFFF"/>
                <w:sz w:val="16"/>
                <w:szCs w:val="16"/>
              </w:rPr>
              <w:t>April</w:t>
            </w:r>
          </w:p>
        </w:tc>
        <w:tc>
          <w:tcPr>
            <w:tcW w:w="1082" w:type="dxa"/>
            <w:tcBorders>
              <w:top w:val="single" w:sz="8" w:space="0" w:color="auto"/>
              <w:left w:val="nil"/>
              <w:bottom w:val="single" w:sz="8" w:space="0" w:color="auto"/>
              <w:right w:val="single" w:sz="8" w:space="0" w:color="000000"/>
            </w:tcBorders>
            <w:shd w:val="clear" w:color="000000" w:fill="1F4E79"/>
            <w:noWrap/>
            <w:vAlign w:val="center"/>
            <w:hideMark/>
          </w:tcPr>
          <w:p w:rsidR="00A045BF" w:rsidRPr="00B848C3" w:rsidRDefault="00A045BF" w:rsidP="006F2B00">
            <w:pPr>
              <w:spacing w:after="0" w:line="240" w:lineRule="auto"/>
              <w:rPr>
                <w:rFonts w:asciiTheme="majorHAnsi" w:hAnsiTheme="majorHAnsi" w:cstheme="majorHAnsi"/>
                <w:color w:val="FFFFFF"/>
                <w:sz w:val="16"/>
                <w:szCs w:val="16"/>
              </w:rPr>
            </w:pPr>
            <w:r w:rsidRPr="00B848C3">
              <w:rPr>
                <w:rFonts w:asciiTheme="majorHAnsi" w:hAnsiTheme="majorHAnsi" w:cstheme="majorHAnsi"/>
                <w:color w:val="FFFFFF"/>
                <w:sz w:val="16"/>
                <w:szCs w:val="16"/>
              </w:rPr>
              <w:t>May</w:t>
            </w:r>
          </w:p>
        </w:tc>
        <w:tc>
          <w:tcPr>
            <w:tcW w:w="1230" w:type="dxa"/>
            <w:tcBorders>
              <w:top w:val="single" w:sz="8" w:space="0" w:color="auto"/>
              <w:left w:val="nil"/>
              <w:bottom w:val="single" w:sz="8" w:space="0" w:color="auto"/>
              <w:right w:val="single" w:sz="8" w:space="0" w:color="000000"/>
            </w:tcBorders>
            <w:shd w:val="clear" w:color="000000" w:fill="1F4E79"/>
            <w:noWrap/>
            <w:vAlign w:val="center"/>
            <w:hideMark/>
          </w:tcPr>
          <w:p w:rsidR="00A045BF" w:rsidRPr="00B848C3" w:rsidRDefault="00A045BF" w:rsidP="006F2B00">
            <w:pPr>
              <w:spacing w:after="0" w:line="240" w:lineRule="auto"/>
              <w:rPr>
                <w:rFonts w:asciiTheme="majorHAnsi" w:hAnsiTheme="majorHAnsi" w:cstheme="majorHAnsi"/>
                <w:color w:val="FFFFFF"/>
                <w:sz w:val="16"/>
                <w:szCs w:val="16"/>
              </w:rPr>
            </w:pPr>
            <w:r w:rsidRPr="00B848C3">
              <w:rPr>
                <w:rFonts w:asciiTheme="majorHAnsi" w:hAnsiTheme="majorHAnsi" w:cstheme="majorHAnsi"/>
                <w:color w:val="FFFFFF"/>
                <w:sz w:val="16"/>
                <w:szCs w:val="16"/>
              </w:rPr>
              <w:t>June</w:t>
            </w:r>
          </w:p>
        </w:tc>
        <w:tc>
          <w:tcPr>
            <w:tcW w:w="1023" w:type="dxa"/>
            <w:tcBorders>
              <w:top w:val="nil"/>
              <w:left w:val="nil"/>
              <w:bottom w:val="single" w:sz="8" w:space="0" w:color="auto"/>
              <w:right w:val="single" w:sz="8" w:space="0" w:color="auto"/>
            </w:tcBorders>
            <w:shd w:val="clear" w:color="000000" w:fill="1F4E79"/>
            <w:noWrap/>
            <w:vAlign w:val="center"/>
            <w:hideMark/>
          </w:tcPr>
          <w:p w:rsidR="00A045BF" w:rsidRPr="00B848C3" w:rsidRDefault="00A045BF" w:rsidP="006F2B00">
            <w:pPr>
              <w:spacing w:after="0" w:line="240" w:lineRule="auto"/>
              <w:rPr>
                <w:rFonts w:asciiTheme="majorHAnsi" w:hAnsiTheme="majorHAnsi" w:cstheme="majorHAnsi"/>
                <w:color w:val="FFFFFF"/>
                <w:sz w:val="16"/>
                <w:szCs w:val="16"/>
              </w:rPr>
            </w:pPr>
            <w:r w:rsidRPr="00B848C3">
              <w:rPr>
                <w:rFonts w:asciiTheme="majorHAnsi" w:hAnsiTheme="majorHAnsi" w:cstheme="majorHAnsi"/>
                <w:color w:val="FFFFFF"/>
                <w:sz w:val="16"/>
                <w:szCs w:val="16"/>
              </w:rPr>
              <w:t xml:space="preserve">July </w:t>
            </w:r>
          </w:p>
        </w:tc>
        <w:tc>
          <w:tcPr>
            <w:tcW w:w="1023" w:type="dxa"/>
            <w:tcBorders>
              <w:top w:val="single" w:sz="8" w:space="0" w:color="auto"/>
              <w:left w:val="nil"/>
              <w:bottom w:val="single" w:sz="8" w:space="0" w:color="auto"/>
              <w:right w:val="single" w:sz="8" w:space="0" w:color="000000"/>
            </w:tcBorders>
            <w:shd w:val="clear" w:color="000000" w:fill="1F4E79"/>
            <w:noWrap/>
            <w:vAlign w:val="center"/>
            <w:hideMark/>
          </w:tcPr>
          <w:p w:rsidR="00A045BF" w:rsidRPr="00B848C3" w:rsidRDefault="00A045BF" w:rsidP="006F2B00">
            <w:pPr>
              <w:spacing w:after="0" w:line="240" w:lineRule="auto"/>
              <w:rPr>
                <w:rFonts w:asciiTheme="majorHAnsi" w:hAnsiTheme="majorHAnsi" w:cstheme="majorHAnsi"/>
                <w:color w:val="FFFFFF"/>
                <w:sz w:val="16"/>
                <w:szCs w:val="16"/>
              </w:rPr>
            </w:pPr>
            <w:r w:rsidRPr="00B848C3">
              <w:rPr>
                <w:rFonts w:asciiTheme="majorHAnsi" w:hAnsiTheme="majorHAnsi" w:cstheme="majorHAnsi"/>
                <w:color w:val="FFFFFF"/>
                <w:sz w:val="16"/>
                <w:szCs w:val="16"/>
              </w:rPr>
              <w:t>Aug</w:t>
            </w:r>
          </w:p>
        </w:tc>
        <w:tc>
          <w:tcPr>
            <w:tcW w:w="1169" w:type="dxa"/>
            <w:tcBorders>
              <w:top w:val="single" w:sz="8" w:space="0" w:color="auto"/>
              <w:left w:val="nil"/>
              <w:bottom w:val="single" w:sz="8" w:space="0" w:color="auto"/>
              <w:right w:val="single" w:sz="8" w:space="0" w:color="000000"/>
            </w:tcBorders>
            <w:shd w:val="clear" w:color="000000" w:fill="1F4E79"/>
            <w:noWrap/>
            <w:vAlign w:val="center"/>
            <w:hideMark/>
          </w:tcPr>
          <w:p w:rsidR="00A045BF" w:rsidRPr="00B848C3" w:rsidRDefault="00A045BF" w:rsidP="006F2B00">
            <w:pPr>
              <w:spacing w:after="0" w:line="240" w:lineRule="auto"/>
              <w:rPr>
                <w:rFonts w:asciiTheme="majorHAnsi" w:hAnsiTheme="majorHAnsi" w:cstheme="majorHAnsi"/>
                <w:color w:val="FFFFFF"/>
                <w:sz w:val="16"/>
                <w:szCs w:val="16"/>
              </w:rPr>
            </w:pPr>
            <w:r w:rsidRPr="00B848C3">
              <w:rPr>
                <w:rFonts w:asciiTheme="majorHAnsi" w:hAnsiTheme="majorHAnsi" w:cstheme="majorHAnsi"/>
                <w:color w:val="FFFFFF"/>
                <w:sz w:val="16"/>
                <w:szCs w:val="16"/>
              </w:rPr>
              <w:t>Sept</w:t>
            </w:r>
          </w:p>
        </w:tc>
        <w:tc>
          <w:tcPr>
            <w:tcW w:w="906" w:type="dxa"/>
            <w:tcBorders>
              <w:top w:val="single" w:sz="8" w:space="0" w:color="auto"/>
              <w:left w:val="nil"/>
              <w:bottom w:val="single" w:sz="8" w:space="0" w:color="auto"/>
              <w:right w:val="single" w:sz="8" w:space="0" w:color="000000"/>
            </w:tcBorders>
            <w:shd w:val="clear" w:color="000000" w:fill="1F4E79"/>
            <w:noWrap/>
            <w:vAlign w:val="center"/>
            <w:hideMark/>
          </w:tcPr>
          <w:p w:rsidR="00A045BF" w:rsidRPr="00B848C3" w:rsidRDefault="00A045BF" w:rsidP="006F2B00">
            <w:pPr>
              <w:spacing w:after="0" w:line="240" w:lineRule="auto"/>
              <w:rPr>
                <w:rFonts w:asciiTheme="majorHAnsi" w:hAnsiTheme="majorHAnsi" w:cstheme="majorHAnsi"/>
                <w:color w:val="FFFFFF"/>
                <w:sz w:val="16"/>
                <w:szCs w:val="16"/>
              </w:rPr>
            </w:pPr>
            <w:r w:rsidRPr="00B848C3">
              <w:rPr>
                <w:rFonts w:asciiTheme="majorHAnsi" w:hAnsiTheme="majorHAnsi" w:cstheme="majorHAnsi"/>
                <w:color w:val="FFFFFF"/>
                <w:sz w:val="16"/>
                <w:szCs w:val="16"/>
              </w:rPr>
              <w:t>Oct</w:t>
            </w:r>
          </w:p>
        </w:tc>
        <w:tc>
          <w:tcPr>
            <w:tcW w:w="1023" w:type="dxa"/>
            <w:tcBorders>
              <w:top w:val="nil"/>
              <w:left w:val="nil"/>
              <w:bottom w:val="single" w:sz="8" w:space="0" w:color="auto"/>
              <w:right w:val="single" w:sz="8" w:space="0" w:color="auto"/>
            </w:tcBorders>
            <w:shd w:val="clear" w:color="000000" w:fill="1F4E79"/>
            <w:noWrap/>
            <w:vAlign w:val="center"/>
            <w:hideMark/>
          </w:tcPr>
          <w:p w:rsidR="00A045BF" w:rsidRPr="00B848C3" w:rsidRDefault="00A045BF" w:rsidP="006F2B00">
            <w:pPr>
              <w:spacing w:after="0" w:line="240" w:lineRule="auto"/>
              <w:rPr>
                <w:rFonts w:asciiTheme="majorHAnsi" w:hAnsiTheme="majorHAnsi" w:cstheme="majorHAnsi"/>
                <w:color w:val="FFFFFF"/>
                <w:sz w:val="16"/>
                <w:szCs w:val="16"/>
              </w:rPr>
            </w:pPr>
            <w:r w:rsidRPr="00B848C3">
              <w:rPr>
                <w:rFonts w:asciiTheme="majorHAnsi" w:hAnsiTheme="majorHAnsi" w:cstheme="majorHAnsi"/>
                <w:color w:val="FFFFFF"/>
                <w:sz w:val="16"/>
                <w:szCs w:val="16"/>
              </w:rPr>
              <w:t>Nov</w:t>
            </w:r>
          </w:p>
        </w:tc>
        <w:tc>
          <w:tcPr>
            <w:tcW w:w="1023" w:type="dxa"/>
            <w:tcBorders>
              <w:top w:val="single" w:sz="8" w:space="0" w:color="auto"/>
              <w:left w:val="nil"/>
              <w:bottom w:val="single" w:sz="8" w:space="0" w:color="auto"/>
              <w:right w:val="single" w:sz="8" w:space="0" w:color="000000"/>
            </w:tcBorders>
            <w:shd w:val="clear" w:color="000000" w:fill="1F4E79"/>
            <w:noWrap/>
            <w:vAlign w:val="center"/>
            <w:hideMark/>
          </w:tcPr>
          <w:p w:rsidR="00A045BF" w:rsidRPr="00B848C3" w:rsidRDefault="00A045BF" w:rsidP="006F2B00">
            <w:pPr>
              <w:spacing w:after="0" w:line="240" w:lineRule="auto"/>
              <w:rPr>
                <w:rFonts w:asciiTheme="majorHAnsi" w:hAnsiTheme="majorHAnsi" w:cstheme="majorHAnsi"/>
                <w:color w:val="FFFFFF"/>
                <w:sz w:val="16"/>
                <w:szCs w:val="16"/>
              </w:rPr>
            </w:pPr>
            <w:r w:rsidRPr="00B848C3">
              <w:rPr>
                <w:rFonts w:asciiTheme="majorHAnsi" w:hAnsiTheme="majorHAnsi" w:cstheme="majorHAnsi"/>
                <w:color w:val="FFFFFF"/>
                <w:sz w:val="16"/>
                <w:szCs w:val="16"/>
              </w:rPr>
              <w:t>Dec</w:t>
            </w:r>
          </w:p>
        </w:tc>
      </w:tr>
      <w:tr w:rsidR="00A045BF" w:rsidRPr="00B848C3" w:rsidTr="006F2B00">
        <w:trPr>
          <w:trHeight w:val="252"/>
        </w:trPr>
        <w:tc>
          <w:tcPr>
            <w:tcW w:w="702" w:type="dxa"/>
            <w:tcBorders>
              <w:top w:val="nil"/>
              <w:left w:val="single" w:sz="8" w:space="0" w:color="auto"/>
              <w:bottom w:val="single" w:sz="8" w:space="0" w:color="auto"/>
              <w:right w:val="single" w:sz="8" w:space="0" w:color="auto"/>
            </w:tcBorders>
            <w:shd w:val="clear" w:color="auto" w:fill="auto"/>
            <w:noWrap/>
            <w:vAlign w:val="center"/>
            <w:hideMark/>
          </w:tcPr>
          <w:p w:rsidR="00A045BF" w:rsidRPr="00B848C3" w:rsidRDefault="00A045BF" w:rsidP="006F2B00">
            <w:pPr>
              <w:spacing w:after="0" w:line="240" w:lineRule="auto"/>
              <w:jc w:val="center"/>
              <w:rPr>
                <w:rFonts w:asciiTheme="majorHAnsi" w:hAnsiTheme="majorHAnsi" w:cstheme="majorHAnsi"/>
                <w:b/>
                <w:bCs/>
                <w:color w:val="000000"/>
                <w:sz w:val="16"/>
                <w:szCs w:val="16"/>
              </w:rPr>
            </w:pPr>
            <w:r w:rsidRPr="00B848C3">
              <w:rPr>
                <w:rFonts w:asciiTheme="majorHAnsi" w:hAnsiTheme="majorHAnsi" w:cstheme="majorHAnsi"/>
                <w:b/>
                <w:bCs/>
                <w:color w:val="000000"/>
                <w:sz w:val="16"/>
                <w:szCs w:val="16"/>
              </w:rPr>
              <w:t>2019</w:t>
            </w:r>
          </w:p>
        </w:tc>
        <w:tc>
          <w:tcPr>
            <w:tcW w:w="6927" w:type="dxa"/>
            <w:gridSpan w:val="6"/>
            <w:tcBorders>
              <w:top w:val="single" w:sz="8" w:space="0" w:color="auto"/>
              <w:left w:val="nil"/>
              <w:bottom w:val="single" w:sz="8" w:space="0" w:color="auto"/>
              <w:right w:val="single" w:sz="8" w:space="0" w:color="000000"/>
            </w:tcBorders>
            <w:shd w:val="clear" w:color="auto" w:fill="auto"/>
            <w:noWrap/>
            <w:vAlign w:val="center"/>
            <w:hideMark/>
          </w:tcPr>
          <w:p w:rsidR="00A045BF" w:rsidRPr="00B848C3" w:rsidRDefault="00A045BF" w:rsidP="006F2B00">
            <w:pPr>
              <w:spacing w:after="0" w:line="240" w:lineRule="auto"/>
              <w:rPr>
                <w:rFonts w:asciiTheme="majorHAnsi" w:hAnsiTheme="majorHAnsi" w:cstheme="majorHAnsi"/>
                <w:color w:val="000000"/>
                <w:sz w:val="16"/>
                <w:szCs w:val="16"/>
              </w:rPr>
            </w:pPr>
            <w:r w:rsidRPr="00B848C3">
              <w:rPr>
                <w:rFonts w:asciiTheme="majorHAnsi" w:hAnsiTheme="majorHAnsi" w:cstheme="majorHAnsi"/>
                <w:color w:val="000000"/>
                <w:sz w:val="16"/>
                <w:szCs w:val="16"/>
              </w:rPr>
              <w:t> </w:t>
            </w:r>
          </w:p>
        </w:tc>
        <w:tc>
          <w:tcPr>
            <w:tcW w:w="6177" w:type="dxa"/>
            <w:gridSpan w:val="7"/>
            <w:tcBorders>
              <w:top w:val="single" w:sz="8" w:space="0" w:color="auto"/>
              <w:left w:val="nil"/>
              <w:bottom w:val="single" w:sz="8" w:space="0" w:color="auto"/>
              <w:right w:val="single" w:sz="8" w:space="0" w:color="000000"/>
            </w:tcBorders>
            <w:shd w:val="clear" w:color="000000" w:fill="D9D9D9"/>
            <w:vAlign w:val="center"/>
            <w:hideMark/>
          </w:tcPr>
          <w:p w:rsidR="00A045BF" w:rsidRPr="00B848C3" w:rsidRDefault="00A045BF" w:rsidP="006F2B00">
            <w:pPr>
              <w:spacing w:after="0" w:line="240" w:lineRule="auto"/>
              <w:jc w:val="center"/>
              <w:rPr>
                <w:rFonts w:asciiTheme="majorHAnsi" w:hAnsiTheme="majorHAnsi" w:cstheme="majorHAnsi"/>
                <w:color w:val="000000"/>
                <w:sz w:val="16"/>
                <w:szCs w:val="16"/>
              </w:rPr>
            </w:pPr>
            <w:r w:rsidRPr="00B848C3">
              <w:rPr>
                <w:rFonts w:asciiTheme="majorHAnsi" w:hAnsiTheme="majorHAnsi" w:cstheme="majorHAnsi"/>
                <w:color w:val="000000"/>
                <w:sz w:val="16"/>
                <w:szCs w:val="16"/>
              </w:rPr>
              <w:t>Initiation peri</w:t>
            </w:r>
            <w:r w:rsidRPr="0053203C">
              <w:rPr>
                <w:rFonts w:asciiTheme="majorHAnsi" w:hAnsiTheme="majorHAnsi" w:cstheme="majorHAnsi"/>
                <w:color w:val="000000"/>
                <w:sz w:val="16"/>
                <w:szCs w:val="16"/>
              </w:rPr>
              <w:t>o</w:t>
            </w:r>
            <w:r w:rsidRPr="00B848C3">
              <w:rPr>
                <w:rFonts w:asciiTheme="majorHAnsi" w:hAnsiTheme="majorHAnsi" w:cstheme="majorHAnsi"/>
                <w:color w:val="000000"/>
                <w:sz w:val="16"/>
                <w:szCs w:val="16"/>
              </w:rPr>
              <w:t xml:space="preserve">d </w:t>
            </w:r>
          </w:p>
        </w:tc>
      </w:tr>
      <w:tr w:rsidR="00A045BF" w:rsidRPr="00B848C3" w:rsidTr="006F2B00">
        <w:trPr>
          <w:trHeight w:val="252"/>
        </w:trPr>
        <w:tc>
          <w:tcPr>
            <w:tcW w:w="70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045BF" w:rsidRPr="00B848C3" w:rsidRDefault="00A045BF" w:rsidP="006F2B00">
            <w:pPr>
              <w:spacing w:after="0" w:line="240" w:lineRule="auto"/>
              <w:jc w:val="center"/>
              <w:rPr>
                <w:rFonts w:asciiTheme="majorHAnsi" w:hAnsiTheme="majorHAnsi" w:cstheme="majorHAnsi"/>
                <w:b/>
                <w:bCs/>
                <w:color w:val="000000"/>
                <w:sz w:val="16"/>
                <w:szCs w:val="16"/>
              </w:rPr>
            </w:pPr>
            <w:r w:rsidRPr="00B848C3">
              <w:rPr>
                <w:rFonts w:asciiTheme="majorHAnsi" w:hAnsiTheme="majorHAnsi" w:cstheme="majorHAnsi"/>
                <w:b/>
                <w:bCs/>
                <w:color w:val="000000"/>
                <w:sz w:val="16"/>
                <w:szCs w:val="16"/>
              </w:rPr>
              <w:t>2020</w:t>
            </w:r>
          </w:p>
        </w:tc>
        <w:tc>
          <w:tcPr>
            <w:tcW w:w="13104" w:type="dxa"/>
            <w:gridSpan w:val="13"/>
            <w:tcBorders>
              <w:top w:val="single" w:sz="8" w:space="0" w:color="auto"/>
              <w:left w:val="nil"/>
              <w:bottom w:val="single" w:sz="8" w:space="0" w:color="auto"/>
              <w:right w:val="single" w:sz="8" w:space="0" w:color="000000"/>
            </w:tcBorders>
            <w:shd w:val="clear" w:color="000000" w:fill="DEEAF6"/>
            <w:noWrap/>
            <w:vAlign w:val="center"/>
            <w:hideMark/>
          </w:tcPr>
          <w:p w:rsidR="00A045BF" w:rsidRPr="00B848C3" w:rsidRDefault="00A045BF" w:rsidP="006F2B00">
            <w:pPr>
              <w:spacing w:after="0" w:line="240" w:lineRule="auto"/>
              <w:jc w:val="both"/>
              <w:rPr>
                <w:rFonts w:asciiTheme="majorHAnsi" w:hAnsiTheme="majorHAnsi" w:cstheme="majorHAnsi"/>
                <w:color w:val="000000"/>
                <w:sz w:val="16"/>
                <w:szCs w:val="16"/>
              </w:rPr>
            </w:pPr>
            <w:r w:rsidRPr="00B848C3">
              <w:rPr>
                <w:rFonts w:asciiTheme="majorHAnsi" w:hAnsiTheme="majorHAnsi" w:cstheme="majorHAnsi"/>
                <w:color w:val="000000"/>
                <w:sz w:val="16"/>
                <w:szCs w:val="16"/>
              </w:rPr>
              <w:t>Activities 1.1.1, 1.2.1 &amp;1.3.1 (Integration of risk into budgeting, planning, implementation and GSI)</w:t>
            </w:r>
          </w:p>
        </w:tc>
      </w:tr>
      <w:tr w:rsidR="00A045BF" w:rsidRPr="00B848C3" w:rsidTr="006F2B00">
        <w:trPr>
          <w:trHeight w:val="252"/>
        </w:trPr>
        <w:tc>
          <w:tcPr>
            <w:tcW w:w="702" w:type="dxa"/>
            <w:vMerge/>
            <w:tcBorders>
              <w:top w:val="nil"/>
              <w:left w:val="single" w:sz="8" w:space="0" w:color="auto"/>
              <w:bottom w:val="single" w:sz="8" w:space="0" w:color="000000"/>
              <w:right w:val="single" w:sz="8" w:space="0" w:color="auto"/>
            </w:tcBorders>
            <w:vAlign w:val="center"/>
            <w:hideMark/>
          </w:tcPr>
          <w:p w:rsidR="00A045BF" w:rsidRPr="00B848C3" w:rsidRDefault="00A045BF" w:rsidP="006F2B00">
            <w:pPr>
              <w:spacing w:after="0" w:line="240" w:lineRule="auto"/>
              <w:rPr>
                <w:rFonts w:asciiTheme="majorHAnsi" w:hAnsiTheme="majorHAnsi" w:cstheme="majorHAnsi"/>
                <w:b/>
                <w:bCs/>
                <w:color w:val="000000"/>
                <w:sz w:val="16"/>
                <w:szCs w:val="16"/>
              </w:rPr>
            </w:pPr>
          </w:p>
        </w:tc>
        <w:tc>
          <w:tcPr>
            <w:tcW w:w="13104" w:type="dxa"/>
            <w:gridSpan w:val="13"/>
            <w:tcBorders>
              <w:top w:val="single" w:sz="8" w:space="0" w:color="auto"/>
              <w:left w:val="nil"/>
              <w:bottom w:val="single" w:sz="8" w:space="0" w:color="auto"/>
              <w:right w:val="single" w:sz="8" w:space="0" w:color="000000"/>
            </w:tcBorders>
            <w:shd w:val="clear" w:color="000000" w:fill="B4C6E7"/>
            <w:noWrap/>
            <w:vAlign w:val="center"/>
            <w:hideMark/>
          </w:tcPr>
          <w:p w:rsidR="00A045BF" w:rsidRPr="00B848C3" w:rsidRDefault="00A045BF" w:rsidP="006F2B00">
            <w:pPr>
              <w:spacing w:after="0" w:line="240" w:lineRule="auto"/>
              <w:jc w:val="both"/>
              <w:rPr>
                <w:rFonts w:asciiTheme="majorHAnsi" w:hAnsiTheme="majorHAnsi" w:cstheme="majorHAnsi"/>
                <w:color w:val="000000"/>
                <w:sz w:val="16"/>
                <w:szCs w:val="16"/>
              </w:rPr>
            </w:pPr>
            <w:r w:rsidRPr="00B848C3">
              <w:rPr>
                <w:rFonts w:asciiTheme="majorHAnsi" w:hAnsiTheme="majorHAnsi" w:cstheme="majorHAnsi"/>
                <w:color w:val="000000"/>
                <w:sz w:val="16"/>
                <w:szCs w:val="16"/>
              </w:rPr>
              <w:t>Activities 2.1.1, 2.1.2 &amp; 2.2.1 (Integration of risk into oversight functions)</w:t>
            </w:r>
          </w:p>
        </w:tc>
      </w:tr>
      <w:tr w:rsidR="00A045BF" w:rsidRPr="00B848C3" w:rsidTr="006F2B00">
        <w:trPr>
          <w:trHeight w:val="252"/>
        </w:trPr>
        <w:tc>
          <w:tcPr>
            <w:tcW w:w="702" w:type="dxa"/>
            <w:vMerge/>
            <w:tcBorders>
              <w:top w:val="nil"/>
              <w:left w:val="single" w:sz="8" w:space="0" w:color="auto"/>
              <w:bottom w:val="single" w:sz="8" w:space="0" w:color="000000"/>
              <w:right w:val="single" w:sz="8" w:space="0" w:color="auto"/>
            </w:tcBorders>
            <w:vAlign w:val="center"/>
            <w:hideMark/>
          </w:tcPr>
          <w:p w:rsidR="00A045BF" w:rsidRPr="00B848C3" w:rsidRDefault="00A045BF" w:rsidP="006F2B00">
            <w:pPr>
              <w:spacing w:after="0" w:line="240" w:lineRule="auto"/>
              <w:rPr>
                <w:rFonts w:asciiTheme="majorHAnsi" w:hAnsiTheme="majorHAnsi" w:cstheme="majorHAnsi"/>
                <w:b/>
                <w:bCs/>
                <w:color w:val="000000"/>
                <w:sz w:val="16"/>
                <w:szCs w:val="16"/>
              </w:rPr>
            </w:pPr>
          </w:p>
        </w:tc>
        <w:tc>
          <w:tcPr>
            <w:tcW w:w="13104" w:type="dxa"/>
            <w:gridSpan w:val="13"/>
            <w:tcBorders>
              <w:top w:val="single" w:sz="8" w:space="0" w:color="auto"/>
              <w:left w:val="nil"/>
              <w:bottom w:val="single" w:sz="8" w:space="0" w:color="auto"/>
              <w:right w:val="single" w:sz="8" w:space="0" w:color="000000"/>
            </w:tcBorders>
            <w:shd w:val="clear" w:color="000000" w:fill="8EA9DB"/>
            <w:noWrap/>
            <w:vAlign w:val="center"/>
            <w:hideMark/>
          </w:tcPr>
          <w:p w:rsidR="00A045BF" w:rsidRPr="00B848C3" w:rsidRDefault="00A045BF" w:rsidP="006F2B00">
            <w:pPr>
              <w:spacing w:after="0" w:line="240" w:lineRule="auto"/>
              <w:jc w:val="both"/>
              <w:rPr>
                <w:rFonts w:asciiTheme="majorHAnsi" w:hAnsiTheme="majorHAnsi" w:cstheme="majorHAnsi"/>
                <w:color w:val="000000"/>
                <w:sz w:val="16"/>
                <w:szCs w:val="16"/>
              </w:rPr>
            </w:pPr>
            <w:r w:rsidRPr="00B848C3">
              <w:rPr>
                <w:rFonts w:asciiTheme="majorHAnsi" w:hAnsiTheme="majorHAnsi" w:cstheme="majorHAnsi"/>
                <w:color w:val="000000"/>
                <w:sz w:val="16"/>
                <w:szCs w:val="16"/>
              </w:rPr>
              <w:t>Activities 3.1.1 &amp; 3.2.1 (Regional diffusion)</w:t>
            </w:r>
          </w:p>
        </w:tc>
      </w:tr>
      <w:tr w:rsidR="00A045BF" w:rsidRPr="00B848C3" w:rsidTr="006F2B00">
        <w:trPr>
          <w:trHeight w:val="252"/>
        </w:trPr>
        <w:tc>
          <w:tcPr>
            <w:tcW w:w="70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045BF" w:rsidRPr="00B848C3" w:rsidRDefault="00A045BF" w:rsidP="006F2B00">
            <w:pPr>
              <w:spacing w:after="0" w:line="240" w:lineRule="auto"/>
              <w:jc w:val="center"/>
              <w:rPr>
                <w:rFonts w:asciiTheme="majorHAnsi" w:hAnsiTheme="majorHAnsi" w:cstheme="majorHAnsi"/>
                <w:b/>
                <w:bCs/>
                <w:color w:val="000000"/>
                <w:sz w:val="16"/>
                <w:szCs w:val="16"/>
              </w:rPr>
            </w:pPr>
            <w:r w:rsidRPr="00B848C3">
              <w:rPr>
                <w:rFonts w:asciiTheme="majorHAnsi" w:hAnsiTheme="majorHAnsi" w:cstheme="majorHAnsi"/>
                <w:b/>
                <w:bCs/>
                <w:color w:val="000000"/>
                <w:sz w:val="16"/>
                <w:szCs w:val="16"/>
              </w:rPr>
              <w:t>2020</w:t>
            </w:r>
          </w:p>
        </w:tc>
        <w:tc>
          <w:tcPr>
            <w:tcW w:w="13104" w:type="dxa"/>
            <w:gridSpan w:val="13"/>
            <w:tcBorders>
              <w:top w:val="single" w:sz="8" w:space="0" w:color="auto"/>
              <w:left w:val="nil"/>
              <w:bottom w:val="single" w:sz="8" w:space="0" w:color="auto"/>
              <w:right w:val="single" w:sz="8" w:space="0" w:color="000000"/>
            </w:tcBorders>
            <w:shd w:val="clear" w:color="000000" w:fill="DEEAF6"/>
            <w:noWrap/>
            <w:vAlign w:val="center"/>
            <w:hideMark/>
          </w:tcPr>
          <w:p w:rsidR="00A045BF" w:rsidRPr="00B848C3" w:rsidRDefault="00A045BF" w:rsidP="006F2B00">
            <w:pPr>
              <w:spacing w:after="0" w:line="240" w:lineRule="auto"/>
              <w:jc w:val="both"/>
              <w:rPr>
                <w:rFonts w:asciiTheme="majorHAnsi" w:hAnsiTheme="majorHAnsi" w:cstheme="majorHAnsi"/>
                <w:color w:val="000000"/>
                <w:sz w:val="16"/>
                <w:szCs w:val="16"/>
              </w:rPr>
            </w:pPr>
            <w:r w:rsidRPr="00B848C3">
              <w:rPr>
                <w:rFonts w:asciiTheme="majorHAnsi" w:hAnsiTheme="majorHAnsi" w:cstheme="majorHAnsi"/>
                <w:color w:val="000000"/>
                <w:sz w:val="16"/>
                <w:szCs w:val="16"/>
              </w:rPr>
              <w:t>Activities 1.1.1, 1.2.1 &amp;1.3.1 (Integration of risk into budgeting, planning, implementation and GSI)</w:t>
            </w:r>
          </w:p>
        </w:tc>
      </w:tr>
      <w:tr w:rsidR="00A045BF" w:rsidRPr="00B848C3" w:rsidTr="006F2B00">
        <w:trPr>
          <w:trHeight w:val="252"/>
        </w:trPr>
        <w:tc>
          <w:tcPr>
            <w:tcW w:w="702" w:type="dxa"/>
            <w:vMerge/>
            <w:tcBorders>
              <w:top w:val="nil"/>
              <w:left w:val="single" w:sz="8" w:space="0" w:color="auto"/>
              <w:bottom w:val="single" w:sz="8" w:space="0" w:color="000000"/>
              <w:right w:val="single" w:sz="8" w:space="0" w:color="auto"/>
            </w:tcBorders>
            <w:vAlign w:val="center"/>
            <w:hideMark/>
          </w:tcPr>
          <w:p w:rsidR="00A045BF" w:rsidRPr="00B848C3" w:rsidRDefault="00A045BF" w:rsidP="006F2B00">
            <w:pPr>
              <w:spacing w:after="0" w:line="240" w:lineRule="auto"/>
              <w:rPr>
                <w:rFonts w:asciiTheme="majorHAnsi" w:hAnsiTheme="majorHAnsi" w:cstheme="majorHAnsi"/>
                <w:b/>
                <w:bCs/>
                <w:color w:val="000000"/>
                <w:sz w:val="16"/>
                <w:szCs w:val="16"/>
              </w:rPr>
            </w:pPr>
          </w:p>
        </w:tc>
        <w:tc>
          <w:tcPr>
            <w:tcW w:w="13104" w:type="dxa"/>
            <w:gridSpan w:val="13"/>
            <w:tcBorders>
              <w:top w:val="single" w:sz="8" w:space="0" w:color="auto"/>
              <w:left w:val="nil"/>
              <w:bottom w:val="single" w:sz="8" w:space="0" w:color="auto"/>
              <w:right w:val="single" w:sz="8" w:space="0" w:color="000000"/>
            </w:tcBorders>
            <w:shd w:val="clear" w:color="000000" w:fill="B4C6E7"/>
            <w:noWrap/>
            <w:vAlign w:val="center"/>
            <w:hideMark/>
          </w:tcPr>
          <w:p w:rsidR="00A045BF" w:rsidRPr="00B848C3" w:rsidRDefault="00A045BF" w:rsidP="006F2B00">
            <w:pPr>
              <w:spacing w:after="0" w:line="240" w:lineRule="auto"/>
              <w:jc w:val="both"/>
              <w:rPr>
                <w:rFonts w:asciiTheme="majorHAnsi" w:hAnsiTheme="majorHAnsi" w:cstheme="majorHAnsi"/>
                <w:color w:val="000000"/>
                <w:sz w:val="16"/>
                <w:szCs w:val="16"/>
              </w:rPr>
            </w:pPr>
            <w:r w:rsidRPr="00B848C3">
              <w:rPr>
                <w:rFonts w:asciiTheme="majorHAnsi" w:hAnsiTheme="majorHAnsi" w:cstheme="majorHAnsi"/>
                <w:color w:val="000000"/>
                <w:sz w:val="16"/>
                <w:szCs w:val="16"/>
              </w:rPr>
              <w:t>Activities 2.1.1, 2.1.2 &amp; 2.2.1 (Integration of risk into oversight functions)</w:t>
            </w:r>
          </w:p>
        </w:tc>
      </w:tr>
      <w:tr w:rsidR="00A045BF" w:rsidRPr="00B848C3" w:rsidTr="006F2B00">
        <w:trPr>
          <w:trHeight w:val="252"/>
        </w:trPr>
        <w:tc>
          <w:tcPr>
            <w:tcW w:w="702" w:type="dxa"/>
            <w:vMerge/>
            <w:tcBorders>
              <w:top w:val="nil"/>
              <w:left w:val="single" w:sz="8" w:space="0" w:color="auto"/>
              <w:bottom w:val="single" w:sz="8" w:space="0" w:color="000000"/>
              <w:right w:val="single" w:sz="8" w:space="0" w:color="auto"/>
            </w:tcBorders>
            <w:vAlign w:val="center"/>
            <w:hideMark/>
          </w:tcPr>
          <w:p w:rsidR="00A045BF" w:rsidRPr="00B848C3" w:rsidRDefault="00A045BF" w:rsidP="006F2B00">
            <w:pPr>
              <w:spacing w:after="0" w:line="240" w:lineRule="auto"/>
              <w:rPr>
                <w:rFonts w:asciiTheme="majorHAnsi" w:hAnsiTheme="majorHAnsi" w:cstheme="majorHAnsi"/>
                <w:b/>
                <w:bCs/>
                <w:color w:val="000000"/>
                <w:sz w:val="16"/>
                <w:szCs w:val="16"/>
              </w:rPr>
            </w:pPr>
          </w:p>
        </w:tc>
        <w:tc>
          <w:tcPr>
            <w:tcW w:w="13104" w:type="dxa"/>
            <w:gridSpan w:val="13"/>
            <w:tcBorders>
              <w:top w:val="single" w:sz="8" w:space="0" w:color="auto"/>
              <w:left w:val="nil"/>
              <w:bottom w:val="single" w:sz="8" w:space="0" w:color="auto"/>
              <w:right w:val="single" w:sz="8" w:space="0" w:color="000000"/>
            </w:tcBorders>
            <w:shd w:val="clear" w:color="000000" w:fill="8EA9DB"/>
            <w:noWrap/>
            <w:vAlign w:val="center"/>
            <w:hideMark/>
          </w:tcPr>
          <w:p w:rsidR="00A045BF" w:rsidRPr="00B848C3" w:rsidRDefault="00A045BF" w:rsidP="006F2B00">
            <w:pPr>
              <w:spacing w:after="0" w:line="240" w:lineRule="auto"/>
              <w:jc w:val="both"/>
              <w:rPr>
                <w:rFonts w:asciiTheme="majorHAnsi" w:hAnsiTheme="majorHAnsi" w:cstheme="majorHAnsi"/>
                <w:color w:val="000000"/>
                <w:sz w:val="16"/>
                <w:szCs w:val="16"/>
              </w:rPr>
            </w:pPr>
            <w:r w:rsidRPr="00B848C3">
              <w:rPr>
                <w:rFonts w:asciiTheme="majorHAnsi" w:hAnsiTheme="majorHAnsi" w:cstheme="majorHAnsi"/>
                <w:color w:val="000000"/>
                <w:sz w:val="16"/>
                <w:szCs w:val="16"/>
              </w:rPr>
              <w:t>Activities 3.1.1 &amp; 3.2.1 (Regional diffusion)</w:t>
            </w:r>
          </w:p>
        </w:tc>
      </w:tr>
      <w:tr w:rsidR="00A045BF" w:rsidRPr="00B848C3" w:rsidTr="006F2B00">
        <w:trPr>
          <w:trHeight w:val="252"/>
        </w:trPr>
        <w:tc>
          <w:tcPr>
            <w:tcW w:w="70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045BF" w:rsidRPr="00B848C3" w:rsidRDefault="00A045BF" w:rsidP="006F2B00">
            <w:pPr>
              <w:spacing w:after="0" w:line="240" w:lineRule="auto"/>
              <w:jc w:val="center"/>
              <w:rPr>
                <w:rFonts w:asciiTheme="majorHAnsi" w:hAnsiTheme="majorHAnsi" w:cstheme="majorHAnsi"/>
                <w:b/>
                <w:bCs/>
                <w:color w:val="000000"/>
                <w:sz w:val="16"/>
                <w:szCs w:val="16"/>
              </w:rPr>
            </w:pPr>
            <w:r w:rsidRPr="00B848C3">
              <w:rPr>
                <w:rFonts w:asciiTheme="majorHAnsi" w:hAnsiTheme="majorHAnsi" w:cstheme="majorHAnsi"/>
                <w:b/>
                <w:bCs/>
                <w:color w:val="000000"/>
                <w:sz w:val="16"/>
                <w:szCs w:val="16"/>
              </w:rPr>
              <w:t>2021</w:t>
            </w:r>
          </w:p>
        </w:tc>
        <w:tc>
          <w:tcPr>
            <w:tcW w:w="13104" w:type="dxa"/>
            <w:gridSpan w:val="13"/>
            <w:tcBorders>
              <w:top w:val="single" w:sz="8" w:space="0" w:color="auto"/>
              <w:left w:val="nil"/>
              <w:bottom w:val="single" w:sz="8" w:space="0" w:color="auto"/>
              <w:right w:val="single" w:sz="8" w:space="0" w:color="000000"/>
            </w:tcBorders>
            <w:shd w:val="clear" w:color="000000" w:fill="DEEAF6"/>
            <w:noWrap/>
            <w:vAlign w:val="center"/>
            <w:hideMark/>
          </w:tcPr>
          <w:p w:rsidR="00A045BF" w:rsidRPr="00B848C3" w:rsidRDefault="00A045BF" w:rsidP="006F2B00">
            <w:pPr>
              <w:spacing w:after="0" w:line="240" w:lineRule="auto"/>
              <w:jc w:val="both"/>
              <w:rPr>
                <w:rFonts w:asciiTheme="majorHAnsi" w:hAnsiTheme="majorHAnsi" w:cstheme="majorHAnsi"/>
                <w:color w:val="000000"/>
                <w:sz w:val="16"/>
                <w:szCs w:val="16"/>
              </w:rPr>
            </w:pPr>
            <w:r w:rsidRPr="00B848C3">
              <w:rPr>
                <w:rFonts w:asciiTheme="majorHAnsi" w:hAnsiTheme="majorHAnsi" w:cstheme="majorHAnsi"/>
                <w:color w:val="000000"/>
                <w:sz w:val="16"/>
                <w:szCs w:val="16"/>
              </w:rPr>
              <w:t>Activities 1.1.1, 1.2.1 &amp;1.3.1 (Integration of risk into budgeting, planning, implementation and GSI)</w:t>
            </w:r>
          </w:p>
        </w:tc>
      </w:tr>
      <w:tr w:rsidR="00A045BF" w:rsidRPr="00B848C3" w:rsidTr="006F2B00">
        <w:trPr>
          <w:trHeight w:val="252"/>
        </w:trPr>
        <w:tc>
          <w:tcPr>
            <w:tcW w:w="702" w:type="dxa"/>
            <w:vMerge/>
            <w:tcBorders>
              <w:top w:val="nil"/>
              <w:left w:val="single" w:sz="8" w:space="0" w:color="auto"/>
              <w:bottom w:val="single" w:sz="8" w:space="0" w:color="000000"/>
              <w:right w:val="single" w:sz="8" w:space="0" w:color="auto"/>
            </w:tcBorders>
            <w:vAlign w:val="center"/>
            <w:hideMark/>
          </w:tcPr>
          <w:p w:rsidR="00A045BF" w:rsidRPr="00B848C3" w:rsidRDefault="00A045BF" w:rsidP="006F2B00">
            <w:pPr>
              <w:spacing w:after="0" w:line="240" w:lineRule="auto"/>
              <w:rPr>
                <w:rFonts w:asciiTheme="majorHAnsi" w:hAnsiTheme="majorHAnsi" w:cstheme="majorHAnsi"/>
                <w:b/>
                <w:bCs/>
                <w:color w:val="000000"/>
                <w:sz w:val="16"/>
                <w:szCs w:val="16"/>
              </w:rPr>
            </w:pPr>
          </w:p>
        </w:tc>
        <w:tc>
          <w:tcPr>
            <w:tcW w:w="13104" w:type="dxa"/>
            <w:gridSpan w:val="13"/>
            <w:tcBorders>
              <w:top w:val="single" w:sz="8" w:space="0" w:color="auto"/>
              <w:left w:val="nil"/>
              <w:bottom w:val="single" w:sz="8" w:space="0" w:color="auto"/>
              <w:right w:val="single" w:sz="8" w:space="0" w:color="000000"/>
            </w:tcBorders>
            <w:shd w:val="clear" w:color="000000" w:fill="B4C6E7"/>
            <w:noWrap/>
            <w:vAlign w:val="center"/>
            <w:hideMark/>
          </w:tcPr>
          <w:p w:rsidR="00A045BF" w:rsidRPr="00B848C3" w:rsidRDefault="00A045BF" w:rsidP="006F2B00">
            <w:pPr>
              <w:spacing w:after="0" w:line="240" w:lineRule="auto"/>
              <w:jc w:val="both"/>
              <w:rPr>
                <w:rFonts w:asciiTheme="majorHAnsi" w:hAnsiTheme="majorHAnsi" w:cstheme="majorHAnsi"/>
                <w:color w:val="000000"/>
                <w:sz w:val="16"/>
                <w:szCs w:val="16"/>
              </w:rPr>
            </w:pPr>
            <w:r w:rsidRPr="00B848C3">
              <w:rPr>
                <w:rFonts w:asciiTheme="majorHAnsi" w:hAnsiTheme="majorHAnsi" w:cstheme="majorHAnsi"/>
                <w:color w:val="000000"/>
                <w:sz w:val="16"/>
                <w:szCs w:val="16"/>
              </w:rPr>
              <w:t>Activities 2.1.1, 2.1.2 &amp; 2.2.1 (Integration of risk into oversight functions)</w:t>
            </w:r>
          </w:p>
        </w:tc>
      </w:tr>
      <w:tr w:rsidR="00A045BF" w:rsidRPr="00B848C3" w:rsidTr="006F2B00">
        <w:trPr>
          <w:trHeight w:val="252"/>
        </w:trPr>
        <w:tc>
          <w:tcPr>
            <w:tcW w:w="702" w:type="dxa"/>
            <w:vMerge/>
            <w:tcBorders>
              <w:top w:val="nil"/>
              <w:left w:val="single" w:sz="8" w:space="0" w:color="auto"/>
              <w:bottom w:val="single" w:sz="8" w:space="0" w:color="000000"/>
              <w:right w:val="single" w:sz="8" w:space="0" w:color="auto"/>
            </w:tcBorders>
            <w:vAlign w:val="center"/>
            <w:hideMark/>
          </w:tcPr>
          <w:p w:rsidR="00A045BF" w:rsidRPr="00B848C3" w:rsidRDefault="00A045BF" w:rsidP="006F2B00">
            <w:pPr>
              <w:spacing w:after="0" w:line="240" w:lineRule="auto"/>
              <w:rPr>
                <w:rFonts w:asciiTheme="majorHAnsi" w:hAnsiTheme="majorHAnsi" w:cstheme="majorHAnsi"/>
                <w:b/>
                <w:bCs/>
                <w:color w:val="000000"/>
                <w:sz w:val="16"/>
                <w:szCs w:val="16"/>
              </w:rPr>
            </w:pPr>
          </w:p>
        </w:tc>
        <w:tc>
          <w:tcPr>
            <w:tcW w:w="13104" w:type="dxa"/>
            <w:gridSpan w:val="13"/>
            <w:tcBorders>
              <w:top w:val="single" w:sz="8" w:space="0" w:color="auto"/>
              <w:left w:val="nil"/>
              <w:bottom w:val="single" w:sz="8" w:space="0" w:color="auto"/>
              <w:right w:val="single" w:sz="8" w:space="0" w:color="000000"/>
            </w:tcBorders>
            <w:shd w:val="clear" w:color="000000" w:fill="8EA9DB"/>
            <w:noWrap/>
            <w:vAlign w:val="center"/>
            <w:hideMark/>
          </w:tcPr>
          <w:p w:rsidR="00A045BF" w:rsidRPr="00B848C3" w:rsidRDefault="00A045BF" w:rsidP="006F2B00">
            <w:pPr>
              <w:spacing w:after="0" w:line="240" w:lineRule="auto"/>
              <w:jc w:val="both"/>
              <w:rPr>
                <w:rFonts w:asciiTheme="majorHAnsi" w:hAnsiTheme="majorHAnsi" w:cstheme="majorHAnsi"/>
                <w:color w:val="000000"/>
                <w:sz w:val="16"/>
                <w:szCs w:val="16"/>
              </w:rPr>
            </w:pPr>
            <w:r w:rsidRPr="00B848C3">
              <w:rPr>
                <w:rFonts w:asciiTheme="majorHAnsi" w:hAnsiTheme="majorHAnsi" w:cstheme="majorHAnsi"/>
                <w:color w:val="000000"/>
                <w:sz w:val="16"/>
                <w:szCs w:val="16"/>
              </w:rPr>
              <w:t>Activities 3.1.1 &amp; 3.2.1 (Regional diffusion)</w:t>
            </w:r>
          </w:p>
        </w:tc>
      </w:tr>
      <w:tr w:rsidR="00A045BF" w:rsidRPr="00B848C3" w:rsidTr="006F2B00">
        <w:trPr>
          <w:trHeight w:val="252"/>
        </w:trPr>
        <w:tc>
          <w:tcPr>
            <w:tcW w:w="70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045BF" w:rsidRPr="00B848C3" w:rsidRDefault="00A045BF" w:rsidP="006F2B00">
            <w:pPr>
              <w:spacing w:after="0" w:line="240" w:lineRule="auto"/>
              <w:jc w:val="center"/>
              <w:rPr>
                <w:rFonts w:asciiTheme="majorHAnsi" w:hAnsiTheme="majorHAnsi" w:cstheme="majorHAnsi"/>
                <w:b/>
                <w:bCs/>
                <w:color w:val="000000"/>
                <w:sz w:val="16"/>
                <w:szCs w:val="16"/>
              </w:rPr>
            </w:pPr>
            <w:r w:rsidRPr="00B848C3">
              <w:rPr>
                <w:rFonts w:asciiTheme="majorHAnsi" w:hAnsiTheme="majorHAnsi" w:cstheme="majorHAnsi"/>
                <w:b/>
                <w:bCs/>
                <w:color w:val="000000"/>
                <w:sz w:val="16"/>
                <w:szCs w:val="16"/>
              </w:rPr>
              <w:t>2022</w:t>
            </w:r>
          </w:p>
        </w:tc>
        <w:tc>
          <w:tcPr>
            <w:tcW w:w="13104" w:type="dxa"/>
            <w:gridSpan w:val="13"/>
            <w:tcBorders>
              <w:top w:val="single" w:sz="8" w:space="0" w:color="auto"/>
              <w:left w:val="nil"/>
              <w:bottom w:val="single" w:sz="8" w:space="0" w:color="auto"/>
              <w:right w:val="single" w:sz="8" w:space="0" w:color="000000"/>
            </w:tcBorders>
            <w:shd w:val="clear" w:color="000000" w:fill="DEEAF6"/>
            <w:noWrap/>
            <w:vAlign w:val="center"/>
            <w:hideMark/>
          </w:tcPr>
          <w:p w:rsidR="00A045BF" w:rsidRPr="00B848C3" w:rsidRDefault="00A045BF" w:rsidP="006F2B00">
            <w:pPr>
              <w:spacing w:after="0" w:line="240" w:lineRule="auto"/>
              <w:jc w:val="both"/>
              <w:rPr>
                <w:rFonts w:asciiTheme="majorHAnsi" w:hAnsiTheme="majorHAnsi" w:cstheme="majorHAnsi"/>
                <w:color w:val="000000"/>
                <w:sz w:val="16"/>
                <w:szCs w:val="16"/>
              </w:rPr>
            </w:pPr>
            <w:r w:rsidRPr="00B848C3">
              <w:rPr>
                <w:rFonts w:asciiTheme="majorHAnsi" w:hAnsiTheme="majorHAnsi" w:cstheme="majorHAnsi"/>
                <w:color w:val="000000"/>
                <w:sz w:val="16"/>
                <w:szCs w:val="16"/>
              </w:rPr>
              <w:t>Activities 1.1.1, 1.2.1 &amp;1.3.1 (Integration of risk into budgeting, planning, implementation and GSI)</w:t>
            </w:r>
          </w:p>
        </w:tc>
      </w:tr>
      <w:tr w:rsidR="00A045BF" w:rsidRPr="00B848C3" w:rsidTr="006F2B00">
        <w:trPr>
          <w:trHeight w:val="252"/>
        </w:trPr>
        <w:tc>
          <w:tcPr>
            <w:tcW w:w="702" w:type="dxa"/>
            <w:vMerge/>
            <w:tcBorders>
              <w:top w:val="nil"/>
              <w:left w:val="single" w:sz="8" w:space="0" w:color="auto"/>
              <w:bottom w:val="single" w:sz="8" w:space="0" w:color="000000"/>
              <w:right w:val="single" w:sz="8" w:space="0" w:color="auto"/>
            </w:tcBorders>
            <w:vAlign w:val="center"/>
            <w:hideMark/>
          </w:tcPr>
          <w:p w:rsidR="00A045BF" w:rsidRPr="00B848C3" w:rsidRDefault="00A045BF" w:rsidP="006F2B00">
            <w:pPr>
              <w:spacing w:after="0" w:line="240" w:lineRule="auto"/>
              <w:rPr>
                <w:rFonts w:asciiTheme="majorHAnsi" w:hAnsiTheme="majorHAnsi" w:cstheme="majorHAnsi"/>
                <w:b/>
                <w:bCs/>
                <w:color w:val="000000"/>
                <w:sz w:val="16"/>
                <w:szCs w:val="16"/>
              </w:rPr>
            </w:pPr>
          </w:p>
        </w:tc>
        <w:tc>
          <w:tcPr>
            <w:tcW w:w="13104" w:type="dxa"/>
            <w:gridSpan w:val="13"/>
            <w:tcBorders>
              <w:top w:val="single" w:sz="8" w:space="0" w:color="auto"/>
              <w:left w:val="nil"/>
              <w:bottom w:val="single" w:sz="8" w:space="0" w:color="auto"/>
              <w:right w:val="single" w:sz="8" w:space="0" w:color="000000"/>
            </w:tcBorders>
            <w:shd w:val="clear" w:color="000000" w:fill="B4C6E7"/>
            <w:noWrap/>
            <w:vAlign w:val="center"/>
            <w:hideMark/>
          </w:tcPr>
          <w:p w:rsidR="00A045BF" w:rsidRPr="00B848C3" w:rsidRDefault="00A045BF" w:rsidP="006F2B00">
            <w:pPr>
              <w:spacing w:after="0" w:line="240" w:lineRule="auto"/>
              <w:jc w:val="both"/>
              <w:rPr>
                <w:rFonts w:asciiTheme="majorHAnsi" w:hAnsiTheme="majorHAnsi" w:cstheme="majorHAnsi"/>
                <w:color w:val="000000"/>
                <w:sz w:val="16"/>
                <w:szCs w:val="16"/>
              </w:rPr>
            </w:pPr>
            <w:r w:rsidRPr="00B848C3">
              <w:rPr>
                <w:rFonts w:asciiTheme="majorHAnsi" w:hAnsiTheme="majorHAnsi" w:cstheme="majorHAnsi"/>
                <w:color w:val="000000"/>
                <w:sz w:val="16"/>
                <w:szCs w:val="16"/>
              </w:rPr>
              <w:t>Activities 2.1.1, 2.1.2 &amp; 2.2.1 (Integration of risk into oversight functions)</w:t>
            </w:r>
          </w:p>
        </w:tc>
      </w:tr>
      <w:tr w:rsidR="00A045BF" w:rsidRPr="00B848C3" w:rsidTr="006F2B00">
        <w:trPr>
          <w:trHeight w:val="252"/>
        </w:trPr>
        <w:tc>
          <w:tcPr>
            <w:tcW w:w="702" w:type="dxa"/>
            <w:vMerge/>
            <w:tcBorders>
              <w:top w:val="nil"/>
              <w:left w:val="single" w:sz="8" w:space="0" w:color="auto"/>
              <w:bottom w:val="single" w:sz="8" w:space="0" w:color="000000"/>
              <w:right w:val="single" w:sz="8" w:space="0" w:color="auto"/>
            </w:tcBorders>
            <w:vAlign w:val="center"/>
            <w:hideMark/>
          </w:tcPr>
          <w:p w:rsidR="00A045BF" w:rsidRPr="00B848C3" w:rsidRDefault="00A045BF" w:rsidP="006F2B00">
            <w:pPr>
              <w:spacing w:after="0" w:line="240" w:lineRule="auto"/>
              <w:rPr>
                <w:rFonts w:asciiTheme="majorHAnsi" w:hAnsiTheme="majorHAnsi" w:cstheme="majorHAnsi"/>
                <w:b/>
                <w:bCs/>
                <w:color w:val="000000"/>
                <w:sz w:val="16"/>
                <w:szCs w:val="16"/>
              </w:rPr>
            </w:pPr>
          </w:p>
        </w:tc>
        <w:tc>
          <w:tcPr>
            <w:tcW w:w="13104" w:type="dxa"/>
            <w:gridSpan w:val="13"/>
            <w:tcBorders>
              <w:top w:val="single" w:sz="8" w:space="0" w:color="auto"/>
              <w:left w:val="nil"/>
              <w:bottom w:val="single" w:sz="8" w:space="0" w:color="auto"/>
              <w:right w:val="single" w:sz="8" w:space="0" w:color="000000"/>
            </w:tcBorders>
            <w:shd w:val="clear" w:color="000000" w:fill="8EA9DB"/>
            <w:noWrap/>
            <w:vAlign w:val="center"/>
            <w:hideMark/>
          </w:tcPr>
          <w:p w:rsidR="00A045BF" w:rsidRPr="00B848C3" w:rsidRDefault="00A045BF" w:rsidP="006F2B00">
            <w:pPr>
              <w:spacing w:after="0" w:line="240" w:lineRule="auto"/>
              <w:jc w:val="both"/>
              <w:rPr>
                <w:rFonts w:asciiTheme="majorHAnsi" w:hAnsiTheme="majorHAnsi" w:cstheme="majorHAnsi"/>
                <w:color w:val="000000"/>
                <w:sz w:val="16"/>
                <w:szCs w:val="16"/>
              </w:rPr>
            </w:pPr>
            <w:r w:rsidRPr="00B848C3">
              <w:rPr>
                <w:rFonts w:asciiTheme="majorHAnsi" w:hAnsiTheme="majorHAnsi" w:cstheme="majorHAnsi"/>
                <w:color w:val="000000"/>
                <w:sz w:val="16"/>
                <w:szCs w:val="16"/>
              </w:rPr>
              <w:t>Activities 3.1.1 &amp; 3.2.1 (Regional diffusion)</w:t>
            </w:r>
          </w:p>
        </w:tc>
      </w:tr>
      <w:tr w:rsidR="00A045BF" w:rsidRPr="00B848C3" w:rsidTr="006F2B00">
        <w:trPr>
          <w:trHeight w:val="252"/>
        </w:trPr>
        <w:tc>
          <w:tcPr>
            <w:tcW w:w="70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045BF" w:rsidRPr="00B848C3" w:rsidRDefault="00A045BF" w:rsidP="006F2B00">
            <w:pPr>
              <w:spacing w:after="0" w:line="240" w:lineRule="auto"/>
              <w:jc w:val="center"/>
              <w:rPr>
                <w:rFonts w:asciiTheme="majorHAnsi" w:hAnsiTheme="majorHAnsi" w:cstheme="majorHAnsi"/>
                <w:b/>
                <w:bCs/>
                <w:color w:val="000000"/>
                <w:sz w:val="16"/>
                <w:szCs w:val="16"/>
              </w:rPr>
            </w:pPr>
            <w:r w:rsidRPr="00B848C3">
              <w:rPr>
                <w:rFonts w:asciiTheme="majorHAnsi" w:hAnsiTheme="majorHAnsi" w:cstheme="majorHAnsi"/>
                <w:b/>
                <w:bCs/>
                <w:color w:val="000000"/>
                <w:sz w:val="16"/>
                <w:szCs w:val="16"/>
              </w:rPr>
              <w:t>2023</w:t>
            </w:r>
          </w:p>
        </w:tc>
        <w:tc>
          <w:tcPr>
            <w:tcW w:w="13104" w:type="dxa"/>
            <w:gridSpan w:val="13"/>
            <w:tcBorders>
              <w:top w:val="single" w:sz="8" w:space="0" w:color="auto"/>
              <w:left w:val="nil"/>
              <w:bottom w:val="single" w:sz="8" w:space="0" w:color="auto"/>
              <w:right w:val="single" w:sz="8" w:space="0" w:color="000000"/>
            </w:tcBorders>
            <w:shd w:val="clear" w:color="000000" w:fill="DEEAF6"/>
            <w:noWrap/>
            <w:vAlign w:val="center"/>
            <w:hideMark/>
          </w:tcPr>
          <w:p w:rsidR="00A045BF" w:rsidRPr="00B848C3" w:rsidRDefault="00A045BF" w:rsidP="006F2B00">
            <w:pPr>
              <w:spacing w:after="0" w:line="240" w:lineRule="auto"/>
              <w:jc w:val="both"/>
              <w:rPr>
                <w:rFonts w:asciiTheme="majorHAnsi" w:hAnsiTheme="majorHAnsi" w:cstheme="majorHAnsi"/>
                <w:color w:val="000000"/>
                <w:sz w:val="16"/>
                <w:szCs w:val="16"/>
              </w:rPr>
            </w:pPr>
            <w:r w:rsidRPr="00B848C3">
              <w:rPr>
                <w:rFonts w:asciiTheme="majorHAnsi" w:hAnsiTheme="majorHAnsi" w:cstheme="majorHAnsi"/>
                <w:color w:val="000000"/>
                <w:sz w:val="16"/>
                <w:szCs w:val="16"/>
              </w:rPr>
              <w:t>Activities 1.1.1, 1.2.1 &amp;1.3.1 (Integration of risk into budgeting, planning, implementation and GSI)</w:t>
            </w:r>
          </w:p>
        </w:tc>
      </w:tr>
      <w:tr w:rsidR="00A045BF" w:rsidRPr="00B848C3" w:rsidTr="006F2B00">
        <w:trPr>
          <w:trHeight w:val="252"/>
        </w:trPr>
        <w:tc>
          <w:tcPr>
            <w:tcW w:w="702" w:type="dxa"/>
            <w:vMerge/>
            <w:tcBorders>
              <w:top w:val="nil"/>
              <w:left w:val="single" w:sz="8" w:space="0" w:color="auto"/>
              <w:bottom w:val="single" w:sz="8" w:space="0" w:color="000000"/>
              <w:right w:val="single" w:sz="8" w:space="0" w:color="auto"/>
            </w:tcBorders>
            <w:vAlign w:val="center"/>
            <w:hideMark/>
          </w:tcPr>
          <w:p w:rsidR="00A045BF" w:rsidRPr="00B848C3" w:rsidRDefault="00A045BF" w:rsidP="006F2B00">
            <w:pPr>
              <w:spacing w:after="0" w:line="240" w:lineRule="auto"/>
              <w:rPr>
                <w:rFonts w:asciiTheme="majorHAnsi" w:hAnsiTheme="majorHAnsi" w:cstheme="majorHAnsi"/>
                <w:b/>
                <w:bCs/>
                <w:color w:val="000000"/>
                <w:sz w:val="16"/>
                <w:szCs w:val="16"/>
              </w:rPr>
            </w:pPr>
          </w:p>
        </w:tc>
        <w:tc>
          <w:tcPr>
            <w:tcW w:w="13104" w:type="dxa"/>
            <w:gridSpan w:val="13"/>
            <w:tcBorders>
              <w:top w:val="single" w:sz="8" w:space="0" w:color="auto"/>
              <w:left w:val="nil"/>
              <w:bottom w:val="single" w:sz="8" w:space="0" w:color="auto"/>
              <w:right w:val="single" w:sz="8" w:space="0" w:color="000000"/>
            </w:tcBorders>
            <w:shd w:val="clear" w:color="000000" w:fill="B4C6E7"/>
            <w:noWrap/>
            <w:vAlign w:val="center"/>
            <w:hideMark/>
          </w:tcPr>
          <w:p w:rsidR="00A045BF" w:rsidRPr="00B848C3" w:rsidRDefault="00A045BF" w:rsidP="006F2B00">
            <w:pPr>
              <w:spacing w:after="0" w:line="240" w:lineRule="auto"/>
              <w:jc w:val="both"/>
              <w:rPr>
                <w:rFonts w:asciiTheme="majorHAnsi" w:hAnsiTheme="majorHAnsi" w:cstheme="majorHAnsi"/>
                <w:color w:val="000000"/>
                <w:sz w:val="16"/>
                <w:szCs w:val="16"/>
              </w:rPr>
            </w:pPr>
            <w:r w:rsidRPr="00B848C3">
              <w:rPr>
                <w:rFonts w:asciiTheme="majorHAnsi" w:hAnsiTheme="majorHAnsi" w:cstheme="majorHAnsi"/>
                <w:color w:val="000000"/>
                <w:sz w:val="16"/>
                <w:szCs w:val="16"/>
              </w:rPr>
              <w:t>Activities 2.1.1, 2.1.2 &amp; 2.2.1 (Integration of risk into oversight functions)</w:t>
            </w:r>
          </w:p>
        </w:tc>
      </w:tr>
      <w:tr w:rsidR="00A045BF" w:rsidRPr="00B848C3" w:rsidTr="006F2B00">
        <w:trPr>
          <w:trHeight w:val="252"/>
        </w:trPr>
        <w:tc>
          <w:tcPr>
            <w:tcW w:w="702" w:type="dxa"/>
            <w:vMerge/>
            <w:tcBorders>
              <w:top w:val="nil"/>
              <w:left w:val="single" w:sz="8" w:space="0" w:color="auto"/>
              <w:bottom w:val="single" w:sz="8" w:space="0" w:color="000000"/>
              <w:right w:val="single" w:sz="8" w:space="0" w:color="auto"/>
            </w:tcBorders>
            <w:vAlign w:val="center"/>
            <w:hideMark/>
          </w:tcPr>
          <w:p w:rsidR="00A045BF" w:rsidRPr="00B848C3" w:rsidRDefault="00A045BF" w:rsidP="006F2B00">
            <w:pPr>
              <w:spacing w:after="0" w:line="240" w:lineRule="auto"/>
              <w:rPr>
                <w:rFonts w:asciiTheme="majorHAnsi" w:hAnsiTheme="majorHAnsi" w:cstheme="majorHAnsi"/>
                <w:b/>
                <w:bCs/>
                <w:color w:val="000000"/>
                <w:sz w:val="16"/>
                <w:szCs w:val="16"/>
              </w:rPr>
            </w:pPr>
          </w:p>
        </w:tc>
        <w:tc>
          <w:tcPr>
            <w:tcW w:w="13104" w:type="dxa"/>
            <w:gridSpan w:val="13"/>
            <w:tcBorders>
              <w:top w:val="single" w:sz="8" w:space="0" w:color="auto"/>
              <w:left w:val="nil"/>
              <w:bottom w:val="single" w:sz="8" w:space="0" w:color="auto"/>
              <w:right w:val="single" w:sz="8" w:space="0" w:color="000000"/>
            </w:tcBorders>
            <w:shd w:val="clear" w:color="000000" w:fill="8EA9DB"/>
            <w:noWrap/>
            <w:vAlign w:val="center"/>
            <w:hideMark/>
          </w:tcPr>
          <w:p w:rsidR="00A045BF" w:rsidRPr="00B848C3" w:rsidRDefault="00A045BF" w:rsidP="006F2B00">
            <w:pPr>
              <w:spacing w:after="0" w:line="240" w:lineRule="auto"/>
              <w:jc w:val="both"/>
              <w:rPr>
                <w:rFonts w:asciiTheme="majorHAnsi" w:hAnsiTheme="majorHAnsi" w:cstheme="majorHAnsi"/>
                <w:color w:val="000000"/>
                <w:sz w:val="16"/>
                <w:szCs w:val="16"/>
              </w:rPr>
            </w:pPr>
            <w:r w:rsidRPr="00B848C3">
              <w:rPr>
                <w:rFonts w:asciiTheme="majorHAnsi" w:hAnsiTheme="majorHAnsi" w:cstheme="majorHAnsi"/>
                <w:color w:val="000000"/>
                <w:sz w:val="16"/>
                <w:szCs w:val="16"/>
              </w:rPr>
              <w:t>Activities 3.1.1 &amp; 3.2.1 (Regional diffusion)</w:t>
            </w:r>
          </w:p>
        </w:tc>
      </w:tr>
      <w:tr w:rsidR="00A045BF" w:rsidRPr="00B848C3" w:rsidTr="006F2B00">
        <w:trPr>
          <w:trHeight w:val="252"/>
        </w:trPr>
        <w:tc>
          <w:tcPr>
            <w:tcW w:w="702" w:type="dxa"/>
            <w:tcBorders>
              <w:top w:val="nil"/>
              <w:left w:val="single" w:sz="8" w:space="0" w:color="auto"/>
              <w:bottom w:val="nil"/>
              <w:right w:val="single" w:sz="8" w:space="0" w:color="auto"/>
            </w:tcBorders>
            <w:shd w:val="clear" w:color="auto" w:fill="auto"/>
            <w:noWrap/>
            <w:vAlign w:val="center"/>
            <w:hideMark/>
          </w:tcPr>
          <w:p w:rsidR="00A045BF" w:rsidRPr="00B848C3" w:rsidRDefault="00A045BF" w:rsidP="006F2B00">
            <w:pPr>
              <w:spacing w:after="0" w:line="240" w:lineRule="auto"/>
              <w:jc w:val="center"/>
              <w:rPr>
                <w:rFonts w:asciiTheme="majorHAnsi" w:hAnsiTheme="majorHAnsi" w:cstheme="majorHAnsi"/>
                <w:b/>
                <w:bCs/>
                <w:color w:val="000000"/>
                <w:sz w:val="16"/>
                <w:szCs w:val="16"/>
              </w:rPr>
            </w:pPr>
            <w:r w:rsidRPr="00B848C3">
              <w:rPr>
                <w:rFonts w:asciiTheme="majorHAnsi" w:hAnsiTheme="majorHAnsi" w:cstheme="majorHAnsi"/>
                <w:b/>
                <w:bCs/>
                <w:color w:val="000000"/>
                <w:sz w:val="16"/>
                <w:szCs w:val="16"/>
              </w:rPr>
              <w:t> </w:t>
            </w:r>
          </w:p>
        </w:tc>
        <w:tc>
          <w:tcPr>
            <w:tcW w:w="6927" w:type="dxa"/>
            <w:gridSpan w:val="6"/>
            <w:tcBorders>
              <w:top w:val="single" w:sz="8" w:space="0" w:color="auto"/>
              <w:left w:val="nil"/>
              <w:bottom w:val="single" w:sz="8" w:space="0" w:color="auto"/>
              <w:right w:val="single" w:sz="8" w:space="0" w:color="000000"/>
            </w:tcBorders>
            <w:shd w:val="clear" w:color="000000" w:fill="DEEAF6"/>
            <w:noWrap/>
            <w:vAlign w:val="center"/>
            <w:hideMark/>
          </w:tcPr>
          <w:p w:rsidR="00A045BF" w:rsidRPr="00B848C3" w:rsidRDefault="00A045BF" w:rsidP="006F2B00">
            <w:pPr>
              <w:spacing w:after="0" w:line="240" w:lineRule="auto"/>
              <w:rPr>
                <w:rFonts w:asciiTheme="majorHAnsi" w:hAnsiTheme="majorHAnsi" w:cstheme="majorHAnsi"/>
                <w:color w:val="000000"/>
                <w:sz w:val="16"/>
                <w:szCs w:val="16"/>
              </w:rPr>
            </w:pPr>
            <w:r w:rsidRPr="00B848C3">
              <w:rPr>
                <w:rFonts w:asciiTheme="majorHAnsi" w:hAnsiTheme="majorHAnsi" w:cstheme="majorHAnsi"/>
                <w:color w:val="000000"/>
                <w:sz w:val="16"/>
                <w:szCs w:val="16"/>
              </w:rPr>
              <w:t>Activities 1.1.1, 1.2.1 &amp;1.3.1 (Integration of risk into budgeting, planning, implementation and GSI)</w:t>
            </w:r>
          </w:p>
        </w:tc>
        <w:tc>
          <w:tcPr>
            <w:tcW w:w="6177" w:type="dxa"/>
            <w:gridSpan w:val="7"/>
            <w:tcBorders>
              <w:top w:val="single" w:sz="8" w:space="0" w:color="auto"/>
              <w:left w:val="nil"/>
              <w:bottom w:val="single" w:sz="8" w:space="0" w:color="auto"/>
              <w:right w:val="single" w:sz="8" w:space="0" w:color="000000"/>
            </w:tcBorders>
            <w:shd w:val="clear" w:color="auto" w:fill="auto"/>
            <w:noWrap/>
            <w:vAlign w:val="center"/>
            <w:hideMark/>
          </w:tcPr>
          <w:p w:rsidR="00A045BF" w:rsidRPr="00B848C3" w:rsidRDefault="00A045BF" w:rsidP="006F2B00">
            <w:pPr>
              <w:spacing w:after="0" w:line="240" w:lineRule="auto"/>
              <w:jc w:val="center"/>
              <w:rPr>
                <w:rFonts w:asciiTheme="majorHAnsi" w:hAnsiTheme="majorHAnsi" w:cstheme="majorHAnsi"/>
                <w:color w:val="000000"/>
                <w:sz w:val="16"/>
                <w:szCs w:val="16"/>
              </w:rPr>
            </w:pPr>
            <w:r w:rsidRPr="00B848C3">
              <w:rPr>
                <w:rFonts w:asciiTheme="majorHAnsi" w:hAnsiTheme="majorHAnsi" w:cstheme="majorHAnsi"/>
                <w:color w:val="000000"/>
                <w:sz w:val="16"/>
                <w:szCs w:val="16"/>
              </w:rPr>
              <w:t> </w:t>
            </w:r>
          </w:p>
        </w:tc>
      </w:tr>
      <w:tr w:rsidR="00A045BF" w:rsidRPr="00B848C3" w:rsidTr="006F2B00">
        <w:trPr>
          <w:trHeight w:val="252"/>
        </w:trPr>
        <w:tc>
          <w:tcPr>
            <w:tcW w:w="702" w:type="dxa"/>
            <w:tcBorders>
              <w:top w:val="nil"/>
              <w:left w:val="single" w:sz="8" w:space="0" w:color="auto"/>
              <w:bottom w:val="nil"/>
              <w:right w:val="single" w:sz="8" w:space="0" w:color="auto"/>
            </w:tcBorders>
            <w:shd w:val="clear" w:color="auto" w:fill="auto"/>
            <w:noWrap/>
            <w:vAlign w:val="center"/>
            <w:hideMark/>
          </w:tcPr>
          <w:p w:rsidR="00A045BF" w:rsidRPr="00B848C3" w:rsidRDefault="00A045BF" w:rsidP="006F2B00">
            <w:pPr>
              <w:spacing w:after="0" w:line="240" w:lineRule="auto"/>
              <w:jc w:val="center"/>
              <w:rPr>
                <w:rFonts w:asciiTheme="majorHAnsi" w:hAnsiTheme="majorHAnsi" w:cstheme="majorHAnsi"/>
                <w:b/>
                <w:bCs/>
                <w:color w:val="000000"/>
                <w:sz w:val="16"/>
                <w:szCs w:val="16"/>
              </w:rPr>
            </w:pPr>
            <w:r w:rsidRPr="00B848C3">
              <w:rPr>
                <w:rFonts w:asciiTheme="majorHAnsi" w:hAnsiTheme="majorHAnsi" w:cstheme="majorHAnsi"/>
                <w:b/>
                <w:bCs/>
                <w:color w:val="000000"/>
                <w:sz w:val="16"/>
                <w:szCs w:val="16"/>
              </w:rPr>
              <w:t>2024</w:t>
            </w:r>
          </w:p>
        </w:tc>
        <w:tc>
          <w:tcPr>
            <w:tcW w:w="6927" w:type="dxa"/>
            <w:gridSpan w:val="6"/>
            <w:tcBorders>
              <w:top w:val="single" w:sz="8" w:space="0" w:color="auto"/>
              <w:left w:val="nil"/>
              <w:bottom w:val="single" w:sz="8" w:space="0" w:color="auto"/>
              <w:right w:val="single" w:sz="8" w:space="0" w:color="000000"/>
            </w:tcBorders>
            <w:shd w:val="clear" w:color="000000" w:fill="B4C6E7"/>
            <w:noWrap/>
            <w:vAlign w:val="center"/>
            <w:hideMark/>
          </w:tcPr>
          <w:p w:rsidR="00A045BF" w:rsidRPr="00B848C3" w:rsidRDefault="00A045BF" w:rsidP="006F2B00">
            <w:pPr>
              <w:spacing w:after="0" w:line="240" w:lineRule="auto"/>
              <w:rPr>
                <w:rFonts w:asciiTheme="majorHAnsi" w:hAnsiTheme="majorHAnsi" w:cstheme="majorHAnsi"/>
                <w:color w:val="000000"/>
                <w:sz w:val="16"/>
                <w:szCs w:val="16"/>
              </w:rPr>
            </w:pPr>
            <w:r w:rsidRPr="00B848C3">
              <w:rPr>
                <w:rFonts w:asciiTheme="majorHAnsi" w:hAnsiTheme="majorHAnsi" w:cstheme="majorHAnsi"/>
                <w:color w:val="000000"/>
                <w:sz w:val="16"/>
                <w:szCs w:val="16"/>
              </w:rPr>
              <w:t>Activities 2.1.1, 2.1.2 &amp; 2.2.1 (Integration of risk into oversight functions)</w:t>
            </w:r>
          </w:p>
        </w:tc>
        <w:tc>
          <w:tcPr>
            <w:tcW w:w="6177" w:type="dxa"/>
            <w:gridSpan w:val="7"/>
            <w:tcBorders>
              <w:top w:val="single" w:sz="8" w:space="0" w:color="auto"/>
              <w:left w:val="nil"/>
              <w:bottom w:val="single" w:sz="8" w:space="0" w:color="auto"/>
              <w:right w:val="single" w:sz="8" w:space="0" w:color="000000"/>
            </w:tcBorders>
            <w:shd w:val="clear" w:color="auto" w:fill="auto"/>
            <w:noWrap/>
            <w:vAlign w:val="center"/>
            <w:hideMark/>
          </w:tcPr>
          <w:p w:rsidR="00A045BF" w:rsidRPr="00B848C3" w:rsidRDefault="00A045BF" w:rsidP="006F2B00">
            <w:pPr>
              <w:spacing w:after="0" w:line="240" w:lineRule="auto"/>
              <w:jc w:val="center"/>
              <w:rPr>
                <w:rFonts w:asciiTheme="majorHAnsi" w:hAnsiTheme="majorHAnsi" w:cstheme="majorHAnsi"/>
                <w:color w:val="000000"/>
                <w:sz w:val="16"/>
                <w:szCs w:val="16"/>
              </w:rPr>
            </w:pPr>
            <w:r w:rsidRPr="00B848C3">
              <w:rPr>
                <w:rFonts w:asciiTheme="majorHAnsi" w:hAnsiTheme="majorHAnsi" w:cstheme="majorHAnsi"/>
                <w:color w:val="000000"/>
                <w:sz w:val="16"/>
                <w:szCs w:val="16"/>
              </w:rPr>
              <w:t> </w:t>
            </w:r>
          </w:p>
        </w:tc>
      </w:tr>
      <w:tr w:rsidR="00A045BF" w:rsidRPr="00B848C3" w:rsidTr="006F2B00">
        <w:trPr>
          <w:trHeight w:val="252"/>
        </w:trPr>
        <w:tc>
          <w:tcPr>
            <w:tcW w:w="702" w:type="dxa"/>
            <w:tcBorders>
              <w:top w:val="nil"/>
              <w:left w:val="single" w:sz="8" w:space="0" w:color="auto"/>
              <w:bottom w:val="single" w:sz="8" w:space="0" w:color="auto"/>
              <w:right w:val="single" w:sz="8" w:space="0" w:color="auto"/>
            </w:tcBorders>
            <w:shd w:val="clear" w:color="auto" w:fill="auto"/>
            <w:noWrap/>
            <w:vAlign w:val="center"/>
            <w:hideMark/>
          </w:tcPr>
          <w:p w:rsidR="00A045BF" w:rsidRPr="00B848C3" w:rsidRDefault="00A045BF" w:rsidP="006F2B00">
            <w:pPr>
              <w:spacing w:after="0" w:line="240" w:lineRule="auto"/>
              <w:jc w:val="center"/>
              <w:rPr>
                <w:rFonts w:asciiTheme="majorHAnsi" w:hAnsiTheme="majorHAnsi" w:cstheme="majorHAnsi"/>
                <w:b/>
                <w:bCs/>
                <w:color w:val="000000"/>
                <w:sz w:val="16"/>
                <w:szCs w:val="16"/>
              </w:rPr>
            </w:pPr>
            <w:r w:rsidRPr="00B848C3">
              <w:rPr>
                <w:rFonts w:asciiTheme="majorHAnsi" w:hAnsiTheme="majorHAnsi" w:cstheme="majorHAnsi"/>
                <w:b/>
                <w:bCs/>
                <w:color w:val="000000"/>
                <w:sz w:val="16"/>
                <w:szCs w:val="16"/>
              </w:rPr>
              <w:t> </w:t>
            </w:r>
          </w:p>
        </w:tc>
        <w:tc>
          <w:tcPr>
            <w:tcW w:w="6927" w:type="dxa"/>
            <w:gridSpan w:val="6"/>
            <w:tcBorders>
              <w:top w:val="single" w:sz="8" w:space="0" w:color="auto"/>
              <w:left w:val="nil"/>
              <w:bottom w:val="single" w:sz="8" w:space="0" w:color="auto"/>
              <w:right w:val="single" w:sz="8" w:space="0" w:color="000000"/>
            </w:tcBorders>
            <w:shd w:val="clear" w:color="000000" w:fill="8EA9DB"/>
            <w:noWrap/>
            <w:vAlign w:val="center"/>
            <w:hideMark/>
          </w:tcPr>
          <w:p w:rsidR="00A045BF" w:rsidRPr="00B848C3" w:rsidRDefault="00A045BF" w:rsidP="006F2B00">
            <w:pPr>
              <w:spacing w:after="0" w:line="240" w:lineRule="auto"/>
              <w:rPr>
                <w:rFonts w:asciiTheme="majorHAnsi" w:hAnsiTheme="majorHAnsi" w:cstheme="majorHAnsi"/>
                <w:color w:val="000000"/>
                <w:sz w:val="16"/>
                <w:szCs w:val="16"/>
              </w:rPr>
            </w:pPr>
            <w:r w:rsidRPr="00B848C3">
              <w:rPr>
                <w:rFonts w:asciiTheme="majorHAnsi" w:hAnsiTheme="majorHAnsi" w:cstheme="majorHAnsi"/>
                <w:color w:val="000000"/>
                <w:sz w:val="16"/>
                <w:szCs w:val="16"/>
              </w:rPr>
              <w:t>Activities 3.1.1 &amp; 3.2.1 (Regional diffusion)</w:t>
            </w:r>
          </w:p>
        </w:tc>
        <w:tc>
          <w:tcPr>
            <w:tcW w:w="6177" w:type="dxa"/>
            <w:gridSpan w:val="7"/>
            <w:tcBorders>
              <w:top w:val="single" w:sz="8" w:space="0" w:color="auto"/>
              <w:left w:val="nil"/>
              <w:bottom w:val="single" w:sz="8" w:space="0" w:color="auto"/>
              <w:right w:val="single" w:sz="8" w:space="0" w:color="000000"/>
            </w:tcBorders>
            <w:shd w:val="clear" w:color="auto" w:fill="auto"/>
            <w:noWrap/>
            <w:vAlign w:val="center"/>
            <w:hideMark/>
          </w:tcPr>
          <w:p w:rsidR="00A045BF" w:rsidRPr="00B848C3" w:rsidRDefault="00A045BF" w:rsidP="006F2B00">
            <w:pPr>
              <w:spacing w:after="0" w:line="240" w:lineRule="auto"/>
              <w:jc w:val="center"/>
              <w:rPr>
                <w:rFonts w:asciiTheme="majorHAnsi" w:hAnsiTheme="majorHAnsi" w:cstheme="majorHAnsi"/>
                <w:color w:val="000000"/>
                <w:sz w:val="16"/>
                <w:szCs w:val="16"/>
              </w:rPr>
            </w:pPr>
            <w:r w:rsidRPr="00B848C3">
              <w:rPr>
                <w:rFonts w:asciiTheme="majorHAnsi" w:hAnsiTheme="majorHAnsi" w:cstheme="majorHAnsi"/>
                <w:color w:val="000000"/>
                <w:sz w:val="16"/>
                <w:szCs w:val="16"/>
              </w:rPr>
              <w:t> </w:t>
            </w:r>
          </w:p>
        </w:tc>
      </w:tr>
    </w:tbl>
    <w:p w:rsidR="00A045BF" w:rsidRDefault="00A045BF" w:rsidP="00A045BF"/>
    <w:p w:rsidR="00A045BF" w:rsidRDefault="00A045BF" w:rsidP="00A045BF">
      <w:pPr>
        <w:spacing w:line="276" w:lineRule="auto"/>
        <w:rPr>
          <w:rFonts w:cs="Arial"/>
          <w:sz w:val="20"/>
        </w:rPr>
      </w:pPr>
      <w:r>
        <w:rPr>
          <w:rFonts w:cs="Arial"/>
          <w:b/>
          <w:sz w:val="20"/>
        </w:rPr>
        <w:t>*Please note:</w:t>
      </w:r>
      <w:r>
        <w:rPr>
          <w:rFonts w:cs="Arial"/>
          <w:sz w:val="20"/>
        </w:rPr>
        <w:t xml:space="preserve"> All activities will be conducted simultaneously throughout the Project however the work plan above demonstrates when peaks in activity will occur</w:t>
      </w:r>
      <w:r>
        <w:rPr>
          <w:rFonts w:cs="Arial"/>
          <w:sz w:val="20"/>
        </w:rPr>
        <w:br w:type="page"/>
      </w:r>
    </w:p>
    <w:tbl>
      <w:tblPr>
        <w:tblStyle w:val="TableGrid"/>
        <w:tblW w:w="14596" w:type="dxa"/>
        <w:tblLook w:val="04A0" w:firstRow="1" w:lastRow="0" w:firstColumn="1" w:lastColumn="0" w:noHBand="0" w:noVBand="1"/>
      </w:tblPr>
      <w:tblGrid>
        <w:gridCol w:w="279"/>
        <w:gridCol w:w="4111"/>
        <w:gridCol w:w="4187"/>
        <w:gridCol w:w="1483"/>
        <w:gridCol w:w="3260"/>
        <w:gridCol w:w="1276"/>
      </w:tblGrid>
      <w:tr w:rsidR="00A045BF" w:rsidRPr="00B848C3" w:rsidTr="001D1A6E">
        <w:trPr>
          <w:trHeight w:val="315"/>
          <w:tblHeader/>
        </w:trPr>
        <w:tc>
          <w:tcPr>
            <w:tcW w:w="4390" w:type="dxa"/>
            <w:gridSpan w:val="2"/>
            <w:shd w:val="clear" w:color="auto" w:fill="2F5496" w:themeFill="accent1" w:themeFillShade="BF"/>
            <w:noWrap/>
            <w:vAlign w:val="center"/>
            <w:hideMark/>
          </w:tcPr>
          <w:p w:rsidR="00A045BF" w:rsidRPr="00B848C3" w:rsidRDefault="00A045BF" w:rsidP="00F15D6A">
            <w:pPr>
              <w:rPr>
                <w:rFonts w:asciiTheme="majorHAnsi" w:hAnsiTheme="majorHAnsi" w:cstheme="majorHAnsi"/>
                <w:b/>
                <w:bCs/>
                <w:color w:val="FFFFFF" w:themeColor="background1"/>
                <w:sz w:val="16"/>
                <w:szCs w:val="16"/>
              </w:rPr>
            </w:pPr>
            <w:r w:rsidRPr="00B848C3">
              <w:rPr>
                <w:rFonts w:asciiTheme="majorHAnsi" w:hAnsiTheme="majorHAnsi" w:cstheme="majorHAnsi"/>
                <w:b/>
                <w:bCs/>
                <w:color w:val="FFFFFF" w:themeColor="background1"/>
                <w:sz w:val="16"/>
                <w:szCs w:val="16"/>
              </w:rPr>
              <w:t>Outputs/Activities</w:t>
            </w:r>
          </w:p>
        </w:tc>
        <w:tc>
          <w:tcPr>
            <w:tcW w:w="4187" w:type="dxa"/>
            <w:shd w:val="clear" w:color="auto" w:fill="2F5496" w:themeFill="accent1" w:themeFillShade="BF"/>
            <w:vAlign w:val="center"/>
            <w:hideMark/>
          </w:tcPr>
          <w:p w:rsidR="00A045BF" w:rsidRPr="00B848C3" w:rsidRDefault="00A045BF" w:rsidP="00F15D6A">
            <w:pPr>
              <w:rPr>
                <w:rFonts w:asciiTheme="majorHAnsi" w:hAnsiTheme="majorHAnsi" w:cstheme="majorHAnsi"/>
                <w:b/>
                <w:bCs/>
                <w:color w:val="FFFFFF" w:themeColor="background1"/>
                <w:sz w:val="16"/>
                <w:szCs w:val="16"/>
              </w:rPr>
            </w:pPr>
            <w:r w:rsidRPr="00B848C3">
              <w:rPr>
                <w:rFonts w:asciiTheme="majorHAnsi" w:hAnsiTheme="majorHAnsi" w:cstheme="majorHAnsi"/>
                <w:b/>
                <w:bCs/>
                <w:color w:val="FFFFFF" w:themeColor="background1"/>
                <w:sz w:val="16"/>
                <w:szCs w:val="16"/>
              </w:rPr>
              <w:t xml:space="preserve"> Quality/Type </w:t>
            </w:r>
          </w:p>
        </w:tc>
        <w:tc>
          <w:tcPr>
            <w:tcW w:w="1483" w:type="dxa"/>
            <w:shd w:val="clear" w:color="auto" w:fill="2F5496" w:themeFill="accent1" w:themeFillShade="BF"/>
            <w:noWrap/>
            <w:vAlign w:val="center"/>
            <w:hideMark/>
          </w:tcPr>
          <w:p w:rsidR="00A045BF" w:rsidRPr="00B848C3" w:rsidRDefault="00A045BF" w:rsidP="00F15D6A">
            <w:pPr>
              <w:rPr>
                <w:rFonts w:asciiTheme="majorHAnsi" w:hAnsiTheme="majorHAnsi" w:cstheme="majorHAnsi"/>
                <w:b/>
                <w:bCs/>
                <w:color w:val="FFFFFF" w:themeColor="background1"/>
                <w:sz w:val="16"/>
                <w:szCs w:val="16"/>
              </w:rPr>
            </w:pPr>
            <w:r w:rsidRPr="00B848C3">
              <w:rPr>
                <w:rFonts w:asciiTheme="majorHAnsi" w:hAnsiTheme="majorHAnsi" w:cstheme="majorHAnsi"/>
                <w:b/>
                <w:bCs/>
                <w:color w:val="FFFFFF" w:themeColor="background1"/>
                <w:sz w:val="16"/>
                <w:szCs w:val="16"/>
              </w:rPr>
              <w:t>Participants</w:t>
            </w:r>
          </w:p>
        </w:tc>
        <w:tc>
          <w:tcPr>
            <w:tcW w:w="3260" w:type="dxa"/>
            <w:shd w:val="clear" w:color="auto" w:fill="2F5496" w:themeFill="accent1" w:themeFillShade="BF"/>
            <w:noWrap/>
            <w:vAlign w:val="center"/>
            <w:hideMark/>
          </w:tcPr>
          <w:p w:rsidR="00A045BF" w:rsidRPr="00B848C3" w:rsidRDefault="00A045BF" w:rsidP="00F15D6A">
            <w:pPr>
              <w:rPr>
                <w:rFonts w:asciiTheme="majorHAnsi" w:hAnsiTheme="majorHAnsi" w:cstheme="majorHAnsi"/>
                <w:b/>
                <w:bCs/>
                <w:color w:val="FFFFFF" w:themeColor="background1"/>
                <w:sz w:val="16"/>
                <w:szCs w:val="16"/>
              </w:rPr>
            </w:pPr>
            <w:r w:rsidRPr="00B848C3">
              <w:rPr>
                <w:rFonts w:asciiTheme="majorHAnsi" w:hAnsiTheme="majorHAnsi" w:cstheme="majorHAnsi"/>
                <w:b/>
                <w:bCs/>
                <w:color w:val="FFFFFF" w:themeColor="background1"/>
                <w:sz w:val="16"/>
                <w:szCs w:val="16"/>
              </w:rPr>
              <w:t>Beneficiaries</w:t>
            </w:r>
          </w:p>
        </w:tc>
        <w:tc>
          <w:tcPr>
            <w:tcW w:w="1276" w:type="dxa"/>
            <w:shd w:val="clear" w:color="auto" w:fill="2F5496" w:themeFill="accent1" w:themeFillShade="BF"/>
            <w:noWrap/>
            <w:vAlign w:val="center"/>
            <w:hideMark/>
          </w:tcPr>
          <w:p w:rsidR="00A045BF" w:rsidRPr="00B848C3" w:rsidRDefault="00A045BF" w:rsidP="00F15D6A">
            <w:pPr>
              <w:rPr>
                <w:rFonts w:asciiTheme="majorHAnsi" w:hAnsiTheme="majorHAnsi" w:cstheme="majorHAnsi"/>
                <w:b/>
                <w:bCs/>
                <w:color w:val="FFFFFF" w:themeColor="background1"/>
                <w:sz w:val="16"/>
                <w:szCs w:val="16"/>
              </w:rPr>
            </w:pPr>
            <w:r w:rsidRPr="00B848C3">
              <w:rPr>
                <w:rFonts w:asciiTheme="majorHAnsi" w:hAnsiTheme="majorHAnsi" w:cstheme="majorHAnsi"/>
                <w:b/>
                <w:bCs/>
                <w:color w:val="FFFFFF" w:themeColor="background1"/>
                <w:sz w:val="16"/>
                <w:szCs w:val="16"/>
              </w:rPr>
              <w:t>Budget (USD)</w:t>
            </w:r>
          </w:p>
        </w:tc>
      </w:tr>
      <w:tr w:rsidR="00A045BF" w:rsidRPr="00B848C3" w:rsidTr="001D1A6E">
        <w:trPr>
          <w:trHeight w:val="255"/>
        </w:trPr>
        <w:tc>
          <w:tcPr>
            <w:tcW w:w="14596" w:type="dxa"/>
            <w:gridSpan w:val="6"/>
            <w:shd w:val="clear" w:color="auto" w:fill="F2F2F2" w:themeFill="background1" w:themeFillShade="F2"/>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xml:space="preserve">Output 1.1 Integration of risk into national planning and financing </w:t>
            </w:r>
          </w:p>
        </w:tc>
      </w:tr>
      <w:tr w:rsidR="00A045BF" w:rsidRPr="00B848C3" w:rsidTr="001D1A6E">
        <w:trPr>
          <w:trHeight w:val="840"/>
        </w:trPr>
        <w:tc>
          <w:tcPr>
            <w:tcW w:w="279" w:type="dxa"/>
            <w:tcBorders>
              <w:bottom w:val="single" w:sz="4" w:space="0" w:color="auto"/>
              <w:right w:val="nil"/>
            </w:tcBorders>
            <w:noWrap/>
            <w:vAlign w:val="center"/>
            <w:hideMark/>
          </w:tcPr>
          <w:p w:rsidR="00A045BF" w:rsidRPr="00B848C3" w:rsidRDefault="00A045BF" w:rsidP="00F15D6A">
            <w:pPr>
              <w:rPr>
                <w:rFonts w:asciiTheme="majorHAnsi" w:hAnsiTheme="majorHAnsi" w:cstheme="majorHAnsi"/>
                <w:sz w:val="16"/>
                <w:szCs w:val="16"/>
              </w:rPr>
            </w:pPr>
          </w:p>
        </w:tc>
        <w:tc>
          <w:tcPr>
            <w:tcW w:w="4111" w:type="dxa"/>
            <w:tcBorders>
              <w:left w:val="nil"/>
              <w:bottom w:val="single" w:sz="4" w:space="0" w:color="auto"/>
            </w:tcBorders>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xml:space="preserve">Activity 1.1.1 Integration of RID into planning appraisal, monitoring &amp; evaluation processes. Provision of training for guidelines and tools developed. Integration of institutionalised capacity for planning </w:t>
            </w:r>
            <w:r w:rsidR="003F7A9A" w:rsidRPr="00B848C3">
              <w:rPr>
                <w:rFonts w:asciiTheme="majorHAnsi" w:hAnsiTheme="majorHAnsi" w:cstheme="majorHAnsi"/>
                <w:sz w:val="16"/>
                <w:szCs w:val="16"/>
              </w:rPr>
              <w:t>directorate</w:t>
            </w:r>
            <w:r w:rsidRPr="00B848C3">
              <w:rPr>
                <w:rFonts w:asciiTheme="majorHAnsi" w:hAnsiTheme="majorHAnsi" w:cstheme="majorHAnsi"/>
                <w:sz w:val="16"/>
                <w:szCs w:val="16"/>
              </w:rPr>
              <w:t xml:space="preserve"> </w:t>
            </w:r>
          </w:p>
        </w:tc>
        <w:tc>
          <w:tcPr>
            <w:tcW w:w="4187" w:type="dxa"/>
            <w:vMerge w:val="restart"/>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i/>
                <w:iCs/>
                <w:sz w:val="16"/>
                <w:szCs w:val="16"/>
              </w:rPr>
              <w:t xml:space="preserve">Quality: </w:t>
            </w:r>
            <w:r w:rsidRPr="00B848C3">
              <w:rPr>
                <w:rFonts w:asciiTheme="majorHAnsi" w:hAnsiTheme="majorHAnsi" w:cstheme="majorHAnsi"/>
                <w:sz w:val="16"/>
                <w:szCs w:val="16"/>
              </w:rPr>
              <w:t xml:space="preserve">Increase in adapted CCBII score for government planning and financing systems that enable gender and </w:t>
            </w:r>
            <w:r w:rsidR="006E2D9C">
              <w:rPr>
                <w:rFonts w:asciiTheme="majorHAnsi" w:hAnsiTheme="majorHAnsi" w:cstheme="majorHAnsi"/>
                <w:sz w:val="16"/>
                <w:szCs w:val="16"/>
              </w:rPr>
              <w:t xml:space="preserve">socially </w:t>
            </w:r>
            <w:r w:rsidRPr="00B848C3">
              <w:rPr>
                <w:rFonts w:asciiTheme="majorHAnsi" w:hAnsiTheme="majorHAnsi" w:cstheme="majorHAnsi"/>
                <w:sz w:val="16"/>
                <w:szCs w:val="16"/>
              </w:rPr>
              <w:t>inclusive risk informed development. Progress towards sustained political economy change</w:t>
            </w:r>
            <w:r w:rsidRPr="00B848C3">
              <w:rPr>
                <w:rFonts w:asciiTheme="majorHAnsi" w:hAnsiTheme="majorHAnsi" w:cstheme="majorHAnsi"/>
                <w:sz w:val="16"/>
                <w:szCs w:val="16"/>
              </w:rPr>
              <w:br/>
            </w:r>
            <w:r w:rsidRPr="00B848C3">
              <w:rPr>
                <w:rFonts w:asciiTheme="majorHAnsi" w:hAnsiTheme="majorHAnsi" w:cstheme="majorHAnsi"/>
                <w:i/>
                <w:iCs/>
                <w:sz w:val="16"/>
                <w:szCs w:val="16"/>
              </w:rPr>
              <w:t xml:space="preserve">Type: </w:t>
            </w:r>
            <w:r w:rsidRPr="00B848C3">
              <w:rPr>
                <w:rFonts w:asciiTheme="majorHAnsi" w:hAnsiTheme="majorHAnsi" w:cstheme="majorHAnsi"/>
                <w:sz w:val="16"/>
                <w:szCs w:val="16"/>
              </w:rPr>
              <w:t>Revision of templates &amp; guideline development. Capacity building and technical advisory (for Min of Finance, Planning &amp; Sectors). Training and workshops. Seed funding for implementation</w:t>
            </w:r>
          </w:p>
        </w:tc>
        <w:tc>
          <w:tcPr>
            <w:tcW w:w="1483" w:type="dxa"/>
            <w:vMerge w:val="restart"/>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National resilient development posts in planning and finance with support from technical advisors</w:t>
            </w:r>
          </w:p>
        </w:tc>
        <w:tc>
          <w:tcPr>
            <w:tcW w:w="3260" w:type="dxa"/>
            <w:vMerge w:val="restart"/>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xml:space="preserve">Ministries of Planning. Ministries of Finance. </w:t>
            </w:r>
          </w:p>
        </w:tc>
        <w:tc>
          <w:tcPr>
            <w:tcW w:w="1276" w:type="dxa"/>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xml:space="preserve">751,643 </w:t>
            </w:r>
          </w:p>
        </w:tc>
      </w:tr>
      <w:tr w:rsidR="00A045BF" w:rsidRPr="00B848C3" w:rsidTr="001D1A6E">
        <w:trPr>
          <w:trHeight w:val="967"/>
        </w:trPr>
        <w:tc>
          <w:tcPr>
            <w:tcW w:w="279" w:type="dxa"/>
            <w:tcBorders>
              <w:right w:val="nil"/>
            </w:tcBorders>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w:t>
            </w:r>
          </w:p>
        </w:tc>
        <w:tc>
          <w:tcPr>
            <w:tcW w:w="4111" w:type="dxa"/>
            <w:tcBorders>
              <w:left w:val="nil"/>
            </w:tcBorders>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xml:space="preserve">Activity 1.1.2 Integration of RID into budget circular, submissions, Financial Management Information Systems processes. Provision of training for guidelines, tools developed. Integration of institutionalised capacity for budget </w:t>
            </w:r>
            <w:r w:rsidR="003F7A9A" w:rsidRPr="00B848C3">
              <w:rPr>
                <w:rFonts w:asciiTheme="majorHAnsi" w:hAnsiTheme="majorHAnsi" w:cstheme="majorHAnsi"/>
                <w:sz w:val="16"/>
                <w:szCs w:val="16"/>
              </w:rPr>
              <w:t>directorate</w:t>
            </w:r>
            <w:r w:rsidRPr="00B848C3">
              <w:rPr>
                <w:rFonts w:asciiTheme="majorHAnsi" w:hAnsiTheme="majorHAnsi" w:cstheme="majorHAnsi"/>
                <w:sz w:val="16"/>
                <w:szCs w:val="16"/>
              </w:rPr>
              <w:t xml:space="preserve">. </w:t>
            </w:r>
          </w:p>
        </w:tc>
        <w:tc>
          <w:tcPr>
            <w:tcW w:w="4187" w:type="dxa"/>
            <w:vMerge/>
            <w:vAlign w:val="center"/>
            <w:hideMark/>
          </w:tcPr>
          <w:p w:rsidR="00A045BF" w:rsidRPr="00B848C3" w:rsidRDefault="00A045BF" w:rsidP="00F15D6A">
            <w:pPr>
              <w:rPr>
                <w:rFonts w:asciiTheme="majorHAnsi" w:hAnsiTheme="majorHAnsi" w:cstheme="majorHAnsi"/>
                <w:sz w:val="16"/>
                <w:szCs w:val="16"/>
              </w:rPr>
            </w:pPr>
          </w:p>
        </w:tc>
        <w:tc>
          <w:tcPr>
            <w:tcW w:w="1483" w:type="dxa"/>
            <w:vMerge/>
            <w:vAlign w:val="center"/>
            <w:hideMark/>
          </w:tcPr>
          <w:p w:rsidR="00A045BF" w:rsidRPr="00B848C3" w:rsidRDefault="00A045BF" w:rsidP="00F15D6A">
            <w:pPr>
              <w:rPr>
                <w:rFonts w:asciiTheme="majorHAnsi" w:hAnsiTheme="majorHAnsi" w:cstheme="majorHAnsi"/>
                <w:sz w:val="16"/>
                <w:szCs w:val="16"/>
              </w:rPr>
            </w:pPr>
          </w:p>
        </w:tc>
        <w:tc>
          <w:tcPr>
            <w:tcW w:w="3260" w:type="dxa"/>
            <w:vMerge/>
            <w:vAlign w:val="center"/>
            <w:hideMark/>
          </w:tcPr>
          <w:p w:rsidR="00A045BF" w:rsidRPr="00B848C3" w:rsidRDefault="00A045BF" w:rsidP="00F15D6A">
            <w:pPr>
              <w:rPr>
                <w:rFonts w:asciiTheme="majorHAnsi" w:hAnsiTheme="majorHAnsi" w:cstheme="majorHAnsi"/>
                <w:sz w:val="16"/>
                <w:szCs w:val="16"/>
              </w:rPr>
            </w:pPr>
          </w:p>
        </w:tc>
        <w:tc>
          <w:tcPr>
            <w:tcW w:w="1276" w:type="dxa"/>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xml:space="preserve">819,974 </w:t>
            </w:r>
          </w:p>
        </w:tc>
      </w:tr>
      <w:tr w:rsidR="00A045BF" w:rsidRPr="00B848C3" w:rsidTr="001D1A6E">
        <w:trPr>
          <w:trHeight w:val="255"/>
        </w:trPr>
        <w:tc>
          <w:tcPr>
            <w:tcW w:w="14596" w:type="dxa"/>
            <w:gridSpan w:val="6"/>
            <w:shd w:val="clear" w:color="auto" w:fill="F2F2F2" w:themeFill="background1" w:themeFillShade="F2"/>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Output 1.2 Integration of risk into community and sectoral development  </w:t>
            </w:r>
          </w:p>
        </w:tc>
      </w:tr>
      <w:tr w:rsidR="00A045BF" w:rsidRPr="00B848C3" w:rsidTr="001D1A6E">
        <w:trPr>
          <w:trHeight w:val="795"/>
        </w:trPr>
        <w:tc>
          <w:tcPr>
            <w:tcW w:w="279" w:type="dxa"/>
            <w:tcBorders>
              <w:right w:val="nil"/>
            </w:tcBorders>
            <w:noWrap/>
            <w:vAlign w:val="center"/>
            <w:hideMark/>
          </w:tcPr>
          <w:p w:rsidR="00A045BF" w:rsidRPr="00B848C3" w:rsidRDefault="00A045BF" w:rsidP="00F15D6A">
            <w:pPr>
              <w:rPr>
                <w:rFonts w:asciiTheme="majorHAnsi" w:hAnsiTheme="majorHAnsi" w:cstheme="majorHAnsi"/>
                <w:sz w:val="16"/>
                <w:szCs w:val="16"/>
              </w:rPr>
            </w:pPr>
          </w:p>
        </w:tc>
        <w:tc>
          <w:tcPr>
            <w:tcW w:w="4111" w:type="dxa"/>
            <w:tcBorders>
              <w:left w:val="nil"/>
            </w:tcBorders>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xml:space="preserve">Activity 1.2.1 Integration of RID into community and sector planning appraisal processes. Provision of training for guidelines and tools developed. Integration of institutionalised capacity for planning and finance at community and sector level. </w:t>
            </w:r>
          </w:p>
        </w:tc>
        <w:tc>
          <w:tcPr>
            <w:tcW w:w="4187" w:type="dxa"/>
            <w:vMerge w:val="restart"/>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i/>
                <w:iCs/>
                <w:sz w:val="16"/>
                <w:szCs w:val="16"/>
              </w:rPr>
              <w:t xml:space="preserve">Quality: </w:t>
            </w:r>
            <w:r w:rsidRPr="00B848C3">
              <w:rPr>
                <w:rFonts w:asciiTheme="majorHAnsi" w:hAnsiTheme="majorHAnsi" w:cstheme="majorHAnsi"/>
                <w:sz w:val="16"/>
                <w:szCs w:val="16"/>
              </w:rPr>
              <w:t xml:space="preserve">Increase in adapted CCBII score for government planning and financing systems that enable gender and </w:t>
            </w:r>
            <w:r w:rsidR="006E2D9C">
              <w:rPr>
                <w:rFonts w:asciiTheme="majorHAnsi" w:hAnsiTheme="majorHAnsi" w:cstheme="majorHAnsi"/>
                <w:sz w:val="16"/>
                <w:szCs w:val="16"/>
              </w:rPr>
              <w:t xml:space="preserve">socially </w:t>
            </w:r>
            <w:r w:rsidRPr="00B848C3">
              <w:rPr>
                <w:rFonts w:asciiTheme="majorHAnsi" w:hAnsiTheme="majorHAnsi" w:cstheme="majorHAnsi"/>
                <w:sz w:val="16"/>
                <w:szCs w:val="16"/>
              </w:rPr>
              <w:t>inclusive risk informed development. Progress towards sustained political economy change</w:t>
            </w:r>
            <w:r w:rsidRPr="00B848C3">
              <w:rPr>
                <w:rFonts w:asciiTheme="majorHAnsi" w:hAnsiTheme="majorHAnsi" w:cstheme="majorHAnsi"/>
                <w:sz w:val="16"/>
                <w:szCs w:val="16"/>
              </w:rPr>
              <w:br/>
            </w:r>
            <w:r w:rsidRPr="00B848C3">
              <w:rPr>
                <w:rFonts w:asciiTheme="majorHAnsi" w:hAnsiTheme="majorHAnsi" w:cstheme="majorHAnsi"/>
                <w:i/>
                <w:iCs/>
                <w:sz w:val="16"/>
                <w:szCs w:val="16"/>
              </w:rPr>
              <w:t xml:space="preserve">Type: </w:t>
            </w:r>
            <w:r w:rsidRPr="00B848C3">
              <w:rPr>
                <w:rFonts w:asciiTheme="majorHAnsi" w:hAnsiTheme="majorHAnsi" w:cstheme="majorHAnsi"/>
                <w:sz w:val="16"/>
                <w:szCs w:val="16"/>
              </w:rPr>
              <w:t>Revision of templates &amp; guideline development. Capacity building and technical advisory (for Min of Finance, Planning &amp; Sectors). Training and workshops. Seed funding for implementation</w:t>
            </w:r>
          </w:p>
        </w:tc>
        <w:tc>
          <w:tcPr>
            <w:tcW w:w="1483" w:type="dxa"/>
            <w:vMerge w:val="restart"/>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National and subnational resilient development posts in sectors, with support from technical advisors</w:t>
            </w:r>
          </w:p>
        </w:tc>
        <w:tc>
          <w:tcPr>
            <w:tcW w:w="3260" w:type="dxa"/>
            <w:vMerge w:val="restart"/>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Ministries responsible for Subnational Government Coordination. Subnational Governments (Island/Provincial/Divisional administration). Pilot sectors e.g. National Infrastructure, Agriculture, Education. Subnational Governments (Island/Provincial/Divisional administration)</w:t>
            </w:r>
          </w:p>
        </w:tc>
        <w:tc>
          <w:tcPr>
            <w:tcW w:w="1276" w:type="dxa"/>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xml:space="preserve">1,434,955 </w:t>
            </w:r>
          </w:p>
        </w:tc>
      </w:tr>
      <w:tr w:rsidR="00A045BF" w:rsidRPr="00B848C3" w:rsidTr="001D1A6E">
        <w:trPr>
          <w:trHeight w:val="688"/>
        </w:trPr>
        <w:tc>
          <w:tcPr>
            <w:tcW w:w="279" w:type="dxa"/>
            <w:tcBorders>
              <w:right w:val="nil"/>
            </w:tcBorders>
            <w:noWrap/>
            <w:vAlign w:val="center"/>
            <w:hideMark/>
          </w:tcPr>
          <w:p w:rsidR="00A045BF" w:rsidRPr="00B848C3" w:rsidRDefault="00A045BF" w:rsidP="00F15D6A">
            <w:pPr>
              <w:rPr>
                <w:rFonts w:asciiTheme="majorHAnsi" w:hAnsiTheme="majorHAnsi" w:cstheme="majorHAnsi"/>
                <w:sz w:val="16"/>
                <w:szCs w:val="16"/>
              </w:rPr>
            </w:pPr>
          </w:p>
        </w:tc>
        <w:tc>
          <w:tcPr>
            <w:tcW w:w="4111" w:type="dxa"/>
            <w:tcBorders>
              <w:left w:val="nil"/>
            </w:tcBorders>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xml:space="preserve">Activity 1.2.2 Targeted </w:t>
            </w:r>
            <w:r w:rsidR="003F7A9A" w:rsidRPr="00B848C3">
              <w:rPr>
                <w:rFonts w:asciiTheme="majorHAnsi" w:hAnsiTheme="majorHAnsi" w:cstheme="majorHAnsi"/>
                <w:sz w:val="16"/>
                <w:szCs w:val="16"/>
              </w:rPr>
              <w:t>implementation</w:t>
            </w:r>
            <w:r w:rsidRPr="00B848C3">
              <w:rPr>
                <w:rFonts w:asciiTheme="majorHAnsi" w:hAnsiTheme="majorHAnsi" w:cstheme="majorHAnsi"/>
                <w:sz w:val="16"/>
                <w:szCs w:val="16"/>
              </w:rPr>
              <w:t xml:space="preserve"> of RID project at community and sector level </w:t>
            </w:r>
          </w:p>
        </w:tc>
        <w:tc>
          <w:tcPr>
            <w:tcW w:w="4187" w:type="dxa"/>
            <w:vMerge/>
            <w:vAlign w:val="center"/>
            <w:hideMark/>
          </w:tcPr>
          <w:p w:rsidR="00A045BF" w:rsidRPr="00B848C3" w:rsidRDefault="00A045BF" w:rsidP="00F15D6A">
            <w:pPr>
              <w:rPr>
                <w:rFonts w:asciiTheme="majorHAnsi" w:hAnsiTheme="majorHAnsi" w:cstheme="majorHAnsi"/>
                <w:sz w:val="16"/>
                <w:szCs w:val="16"/>
              </w:rPr>
            </w:pPr>
          </w:p>
        </w:tc>
        <w:tc>
          <w:tcPr>
            <w:tcW w:w="1483" w:type="dxa"/>
            <w:vMerge/>
            <w:vAlign w:val="center"/>
            <w:hideMark/>
          </w:tcPr>
          <w:p w:rsidR="00A045BF" w:rsidRPr="00B848C3" w:rsidRDefault="00A045BF" w:rsidP="00F15D6A">
            <w:pPr>
              <w:rPr>
                <w:rFonts w:asciiTheme="majorHAnsi" w:hAnsiTheme="majorHAnsi" w:cstheme="majorHAnsi"/>
                <w:sz w:val="16"/>
                <w:szCs w:val="16"/>
              </w:rPr>
            </w:pPr>
          </w:p>
        </w:tc>
        <w:tc>
          <w:tcPr>
            <w:tcW w:w="3260" w:type="dxa"/>
            <w:vMerge/>
            <w:vAlign w:val="center"/>
            <w:hideMark/>
          </w:tcPr>
          <w:p w:rsidR="00A045BF" w:rsidRPr="00B848C3" w:rsidRDefault="00A045BF" w:rsidP="00F15D6A">
            <w:pPr>
              <w:rPr>
                <w:rFonts w:asciiTheme="majorHAnsi" w:hAnsiTheme="majorHAnsi" w:cstheme="majorHAnsi"/>
                <w:sz w:val="16"/>
                <w:szCs w:val="16"/>
              </w:rPr>
            </w:pPr>
          </w:p>
        </w:tc>
        <w:tc>
          <w:tcPr>
            <w:tcW w:w="1276" w:type="dxa"/>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xml:space="preserve">1,298,293 </w:t>
            </w:r>
          </w:p>
        </w:tc>
      </w:tr>
      <w:tr w:rsidR="00A045BF" w:rsidRPr="00B848C3" w:rsidTr="001D1A6E">
        <w:trPr>
          <w:trHeight w:val="255"/>
        </w:trPr>
        <w:tc>
          <w:tcPr>
            <w:tcW w:w="14596" w:type="dxa"/>
            <w:gridSpan w:val="6"/>
            <w:shd w:val="clear" w:color="auto" w:fill="F2F2F2" w:themeFill="background1" w:themeFillShade="F2"/>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xml:space="preserve">Output 1.3 Gender and </w:t>
            </w:r>
            <w:r w:rsidR="006E2D9C">
              <w:rPr>
                <w:rFonts w:asciiTheme="majorHAnsi" w:hAnsiTheme="majorHAnsi" w:cstheme="majorHAnsi"/>
                <w:sz w:val="16"/>
                <w:szCs w:val="16"/>
              </w:rPr>
              <w:t xml:space="preserve">social </w:t>
            </w:r>
            <w:r w:rsidRPr="00B848C3">
              <w:rPr>
                <w:rFonts w:asciiTheme="majorHAnsi" w:hAnsiTheme="majorHAnsi" w:cstheme="majorHAnsi"/>
                <w:sz w:val="16"/>
                <w:szCs w:val="16"/>
              </w:rPr>
              <w:t>inclusi</w:t>
            </w:r>
            <w:r w:rsidR="006E2D9C">
              <w:rPr>
                <w:rFonts w:asciiTheme="majorHAnsi" w:hAnsiTheme="majorHAnsi" w:cstheme="majorHAnsi"/>
                <w:sz w:val="16"/>
                <w:szCs w:val="16"/>
              </w:rPr>
              <w:t>on</w:t>
            </w:r>
            <w:r w:rsidRPr="00B848C3">
              <w:rPr>
                <w:rFonts w:asciiTheme="majorHAnsi" w:hAnsiTheme="majorHAnsi" w:cstheme="majorHAnsi"/>
                <w:sz w:val="16"/>
                <w:szCs w:val="16"/>
              </w:rPr>
              <w:t xml:space="preserve"> experts actively participating in shaping RID for government systems  </w:t>
            </w:r>
          </w:p>
        </w:tc>
      </w:tr>
      <w:tr w:rsidR="00A045BF" w:rsidRPr="00B848C3" w:rsidTr="001D1A6E">
        <w:trPr>
          <w:trHeight w:val="1331"/>
        </w:trPr>
        <w:tc>
          <w:tcPr>
            <w:tcW w:w="279" w:type="dxa"/>
            <w:tcBorders>
              <w:right w:val="nil"/>
            </w:tcBorders>
            <w:noWrap/>
            <w:vAlign w:val="center"/>
            <w:hideMark/>
          </w:tcPr>
          <w:p w:rsidR="00A045BF" w:rsidRPr="00B848C3" w:rsidRDefault="00A045BF" w:rsidP="00F15D6A">
            <w:pPr>
              <w:rPr>
                <w:rFonts w:asciiTheme="majorHAnsi" w:hAnsiTheme="majorHAnsi" w:cstheme="majorHAnsi"/>
                <w:sz w:val="16"/>
                <w:szCs w:val="16"/>
              </w:rPr>
            </w:pPr>
          </w:p>
        </w:tc>
        <w:tc>
          <w:tcPr>
            <w:tcW w:w="4111" w:type="dxa"/>
            <w:tcBorders>
              <w:left w:val="nil"/>
            </w:tcBorders>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Activity 1.3.1 Integration of GSI informed toolkits into planning and financing processes at central, sector and community level. Provision of training on integration of guidelines and tools. Integration of institutionalised capacity at community and sector level. Participation of Protection in the Pacific (</w:t>
            </w:r>
            <w:proofErr w:type="spellStart"/>
            <w:r w:rsidRPr="00B848C3">
              <w:rPr>
                <w:rFonts w:asciiTheme="majorHAnsi" w:hAnsiTheme="majorHAnsi" w:cstheme="majorHAnsi"/>
                <w:sz w:val="16"/>
                <w:szCs w:val="16"/>
              </w:rPr>
              <w:t>ProPa</w:t>
            </w:r>
            <w:proofErr w:type="spellEnd"/>
            <w:r w:rsidRPr="00B848C3">
              <w:rPr>
                <w:rFonts w:asciiTheme="majorHAnsi" w:hAnsiTheme="majorHAnsi" w:cstheme="majorHAnsi"/>
                <w:sz w:val="16"/>
                <w:szCs w:val="16"/>
              </w:rPr>
              <w:t xml:space="preserve">) network with integration of RID. </w:t>
            </w:r>
          </w:p>
        </w:tc>
        <w:tc>
          <w:tcPr>
            <w:tcW w:w="4187" w:type="dxa"/>
            <w:vAlign w:val="center"/>
            <w:hideMark/>
          </w:tcPr>
          <w:p w:rsidR="00A045BF" w:rsidRPr="00B848C3" w:rsidRDefault="00A045BF" w:rsidP="00F15D6A">
            <w:pPr>
              <w:rPr>
                <w:rFonts w:asciiTheme="majorHAnsi" w:hAnsiTheme="majorHAnsi" w:cstheme="majorHAnsi"/>
                <w:sz w:val="16"/>
                <w:szCs w:val="16"/>
              </w:rPr>
            </w:pPr>
            <w:r w:rsidRPr="00735437">
              <w:rPr>
                <w:rFonts w:asciiTheme="majorHAnsi" w:hAnsiTheme="majorHAnsi" w:cstheme="majorHAnsi"/>
                <w:i/>
                <w:iCs/>
                <w:sz w:val="16"/>
                <w:szCs w:val="16"/>
              </w:rPr>
              <w:t>Quality</w:t>
            </w:r>
            <w:r w:rsidRPr="00B848C3">
              <w:rPr>
                <w:rFonts w:asciiTheme="majorHAnsi" w:hAnsiTheme="majorHAnsi" w:cstheme="majorHAnsi"/>
                <w:sz w:val="16"/>
                <w:szCs w:val="16"/>
              </w:rPr>
              <w:t xml:space="preserve">: Increase in adapted CCBII score for government planning and financing systems that enable gender and </w:t>
            </w:r>
            <w:r w:rsidR="006E2D9C">
              <w:rPr>
                <w:rFonts w:asciiTheme="majorHAnsi" w:hAnsiTheme="majorHAnsi" w:cstheme="majorHAnsi"/>
                <w:sz w:val="16"/>
                <w:szCs w:val="16"/>
              </w:rPr>
              <w:t xml:space="preserve">socially </w:t>
            </w:r>
            <w:r w:rsidRPr="00B848C3">
              <w:rPr>
                <w:rFonts w:asciiTheme="majorHAnsi" w:hAnsiTheme="majorHAnsi" w:cstheme="majorHAnsi"/>
                <w:sz w:val="16"/>
                <w:szCs w:val="16"/>
              </w:rPr>
              <w:t>inclusive risk informed development. Progress towards sustained political economy change</w:t>
            </w:r>
            <w:r w:rsidRPr="00B848C3">
              <w:rPr>
                <w:rFonts w:asciiTheme="majorHAnsi" w:hAnsiTheme="majorHAnsi" w:cstheme="majorHAnsi"/>
                <w:sz w:val="16"/>
                <w:szCs w:val="16"/>
              </w:rPr>
              <w:br/>
              <w:t>Type: TA input into all project activities. Capacity building and technical advisory. Training and workshops</w:t>
            </w:r>
          </w:p>
        </w:tc>
        <w:tc>
          <w:tcPr>
            <w:tcW w:w="1483" w:type="dxa"/>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xml:space="preserve"> National GSI resilient development posts, with support from technical advisors </w:t>
            </w:r>
          </w:p>
        </w:tc>
        <w:tc>
          <w:tcPr>
            <w:tcW w:w="3260" w:type="dxa"/>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Ministries Gender, Youth, Family Planning.</w:t>
            </w:r>
          </w:p>
        </w:tc>
        <w:tc>
          <w:tcPr>
            <w:tcW w:w="1276" w:type="dxa"/>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xml:space="preserve">204,994 </w:t>
            </w:r>
          </w:p>
        </w:tc>
      </w:tr>
      <w:tr w:rsidR="00A045BF" w:rsidRPr="00B848C3" w:rsidTr="001D1A6E">
        <w:trPr>
          <w:trHeight w:val="279"/>
        </w:trPr>
        <w:tc>
          <w:tcPr>
            <w:tcW w:w="4390" w:type="dxa"/>
            <w:gridSpan w:val="2"/>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xml:space="preserve"> Monitoring costs </w:t>
            </w:r>
          </w:p>
        </w:tc>
        <w:tc>
          <w:tcPr>
            <w:tcW w:w="4187" w:type="dxa"/>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w:t>
            </w:r>
          </w:p>
        </w:tc>
        <w:tc>
          <w:tcPr>
            <w:tcW w:w="1483" w:type="dxa"/>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w:t>
            </w:r>
          </w:p>
        </w:tc>
        <w:tc>
          <w:tcPr>
            <w:tcW w:w="3260" w:type="dxa"/>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w:t>
            </w:r>
          </w:p>
        </w:tc>
        <w:tc>
          <w:tcPr>
            <w:tcW w:w="1276" w:type="dxa"/>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xml:space="preserve">165,336 </w:t>
            </w:r>
          </w:p>
        </w:tc>
      </w:tr>
      <w:tr w:rsidR="00A045BF" w:rsidRPr="00B848C3" w:rsidTr="001D1A6E">
        <w:trPr>
          <w:trHeight w:val="255"/>
        </w:trPr>
        <w:tc>
          <w:tcPr>
            <w:tcW w:w="4390" w:type="dxa"/>
            <w:gridSpan w:val="2"/>
            <w:shd w:val="clear" w:color="auto" w:fill="F2F2F2" w:themeFill="background1" w:themeFillShade="F2"/>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xml:space="preserve"> Sub-Total for Output 1 </w:t>
            </w:r>
          </w:p>
        </w:tc>
        <w:tc>
          <w:tcPr>
            <w:tcW w:w="4187" w:type="dxa"/>
            <w:shd w:val="clear" w:color="auto" w:fill="F2F2F2" w:themeFill="background1" w:themeFillShade="F2"/>
            <w:vAlign w:val="center"/>
            <w:hideMark/>
          </w:tcPr>
          <w:p w:rsidR="00A045BF" w:rsidRPr="00B848C3" w:rsidRDefault="00A045BF" w:rsidP="00F15D6A">
            <w:pPr>
              <w:rPr>
                <w:rFonts w:asciiTheme="majorHAnsi" w:hAnsiTheme="majorHAnsi" w:cstheme="majorHAnsi"/>
                <w:b/>
                <w:bCs/>
                <w:sz w:val="16"/>
                <w:szCs w:val="16"/>
              </w:rPr>
            </w:pPr>
            <w:r w:rsidRPr="00B848C3">
              <w:rPr>
                <w:rFonts w:asciiTheme="majorHAnsi" w:hAnsiTheme="majorHAnsi" w:cstheme="majorHAnsi"/>
                <w:b/>
                <w:bCs/>
                <w:sz w:val="16"/>
                <w:szCs w:val="16"/>
              </w:rPr>
              <w:t> </w:t>
            </w:r>
          </w:p>
        </w:tc>
        <w:tc>
          <w:tcPr>
            <w:tcW w:w="1483" w:type="dxa"/>
            <w:shd w:val="clear" w:color="auto" w:fill="F2F2F2" w:themeFill="background1" w:themeFillShade="F2"/>
            <w:noWrap/>
            <w:vAlign w:val="center"/>
            <w:hideMark/>
          </w:tcPr>
          <w:p w:rsidR="00A045BF" w:rsidRPr="00B848C3" w:rsidRDefault="00A045BF" w:rsidP="00F15D6A">
            <w:pPr>
              <w:rPr>
                <w:rFonts w:asciiTheme="majorHAnsi" w:hAnsiTheme="majorHAnsi" w:cstheme="majorHAnsi"/>
                <w:b/>
                <w:bCs/>
                <w:sz w:val="16"/>
                <w:szCs w:val="16"/>
              </w:rPr>
            </w:pPr>
            <w:r w:rsidRPr="00B848C3">
              <w:rPr>
                <w:rFonts w:asciiTheme="majorHAnsi" w:hAnsiTheme="majorHAnsi" w:cstheme="majorHAnsi"/>
                <w:b/>
                <w:bCs/>
                <w:sz w:val="16"/>
                <w:szCs w:val="16"/>
              </w:rPr>
              <w:t> </w:t>
            </w:r>
          </w:p>
        </w:tc>
        <w:tc>
          <w:tcPr>
            <w:tcW w:w="3260" w:type="dxa"/>
            <w:shd w:val="clear" w:color="auto" w:fill="F2F2F2" w:themeFill="background1" w:themeFillShade="F2"/>
            <w:noWrap/>
            <w:vAlign w:val="center"/>
            <w:hideMark/>
          </w:tcPr>
          <w:p w:rsidR="00A045BF" w:rsidRPr="00B848C3" w:rsidRDefault="00A045BF" w:rsidP="00F15D6A">
            <w:pPr>
              <w:rPr>
                <w:rFonts w:asciiTheme="majorHAnsi" w:hAnsiTheme="majorHAnsi" w:cstheme="majorHAnsi"/>
                <w:b/>
                <w:bCs/>
                <w:sz w:val="16"/>
                <w:szCs w:val="16"/>
              </w:rPr>
            </w:pPr>
            <w:r w:rsidRPr="00B848C3">
              <w:rPr>
                <w:rFonts w:asciiTheme="majorHAnsi" w:hAnsiTheme="majorHAnsi" w:cstheme="majorHAnsi"/>
                <w:b/>
                <w:bCs/>
                <w:sz w:val="16"/>
                <w:szCs w:val="16"/>
              </w:rPr>
              <w:t> </w:t>
            </w:r>
          </w:p>
        </w:tc>
        <w:tc>
          <w:tcPr>
            <w:tcW w:w="1276" w:type="dxa"/>
            <w:shd w:val="clear" w:color="auto" w:fill="F2F2F2" w:themeFill="background1" w:themeFillShade="F2"/>
            <w:noWrap/>
            <w:vAlign w:val="center"/>
            <w:hideMark/>
          </w:tcPr>
          <w:p w:rsidR="00A045BF" w:rsidRPr="00B848C3" w:rsidRDefault="00A045BF" w:rsidP="00F15D6A">
            <w:pPr>
              <w:rPr>
                <w:rFonts w:asciiTheme="majorHAnsi" w:hAnsiTheme="majorHAnsi" w:cstheme="majorHAnsi"/>
                <w:b/>
                <w:bCs/>
                <w:sz w:val="16"/>
                <w:szCs w:val="16"/>
              </w:rPr>
            </w:pPr>
            <w:r w:rsidRPr="00B848C3">
              <w:rPr>
                <w:rFonts w:asciiTheme="majorHAnsi" w:hAnsiTheme="majorHAnsi" w:cstheme="majorHAnsi"/>
                <w:b/>
                <w:bCs/>
                <w:sz w:val="16"/>
                <w:szCs w:val="16"/>
              </w:rPr>
              <w:t xml:space="preserve">4,675,195 </w:t>
            </w:r>
          </w:p>
        </w:tc>
      </w:tr>
      <w:tr w:rsidR="00A045BF" w:rsidRPr="00B848C3" w:rsidTr="001D1A6E">
        <w:trPr>
          <w:trHeight w:val="300"/>
        </w:trPr>
        <w:tc>
          <w:tcPr>
            <w:tcW w:w="14596" w:type="dxa"/>
            <w:gridSpan w:val="6"/>
            <w:shd w:val="clear" w:color="auto" w:fill="F2F2F2" w:themeFill="background1" w:themeFillShade="F2"/>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Output 2.1 Accountability: there is risk informed, independent scrutiny of government  </w:t>
            </w:r>
          </w:p>
        </w:tc>
      </w:tr>
      <w:tr w:rsidR="00A045BF" w:rsidRPr="00B848C3" w:rsidTr="001D1A6E">
        <w:trPr>
          <w:trHeight w:val="1275"/>
        </w:trPr>
        <w:tc>
          <w:tcPr>
            <w:tcW w:w="279" w:type="dxa"/>
            <w:tcBorders>
              <w:right w:val="nil"/>
            </w:tcBorders>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w:t>
            </w:r>
          </w:p>
        </w:tc>
        <w:tc>
          <w:tcPr>
            <w:tcW w:w="4111" w:type="dxa"/>
            <w:tcBorders>
              <w:left w:val="nil"/>
            </w:tcBorders>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Activity 2.1.1 Integration of RID into Parliament, Legislative oversight functions, Public Account Committees and Audit functions. Provision of training on integration of guidelines and tools. Integration of institutionalised capacity for oversight functions</w:t>
            </w:r>
          </w:p>
        </w:tc>
        <w:tc>
          <w:tcPr>
            <w:tcW w:w="4187" w:type="dxa"/>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xml:space="preserve">Quality: Increase in adapted CCBII scores for oversight and accountability systems requiring gender and </w:t>
            </w:r>
            <w:r w:rsidR="006E2D9C">
              <w:rPr>
                <w:rFonts w:asciiTheme="majorHAnsi" w:hAnsiTheme="majorHAnsi" w:cstheme="majorHAnsi"/>
                <w:sz w:val="16"/>
                <w:szCs w:val="16"/>
              </w:rPr>
              <w:t xml:space="preserve">socially </w:t>
            </w:r>
            <w:r w:rsidRPr="00B848C3">
              <w:rPr>
                <w:rFonts w:asciiTheme="majorHAnsi" w:hAnsiTheme="majorHAnsi" w:cstheme="majorHAnsi"/>
                <w:sz w:val="16"/>
                <w:szCs w:val="16"/>
              </w:rPr>
              <w:t xml:space="preserve">inclusive risk informed development. Progress towards sustained political economy change </w:t>
            </w:r>
            <w:r w:rsidR="00CB58C0">
              <w:rPr>
                <w:rFonts w:asciiTheme="majorHAnsi" w:hAnsiTheme="majorHAnsi" w:cstheme="majorHAnsi"/>
                <w:sz w:val="16"/>
                <w:szCs w:val="16"/>
              </w:rPr>
              <w:br/>
            </w:r>
            <w:r w:rsidRPr="00B848C3">
              <w:rPr>
                <w:rFonts w:asciiTheme="majorHAnsi" w:hAnsiTheme="majorHAnsi" w:cstheme="majorHAnsi"/>
                <w:sz w:val="16"/>
                <w:szCs w:val="16"/>
              </w:rPr>
              <w:t>Type: Capacity building and technical advisory (for MPs and auditors). Training and workshops. Guidelines and templates for budget scrutiny. Research and development of knowledge products</w:t>
            </w:r>
          </w:p>
        </w:tc>
        <w:tc>
          <w:tcPr>
            <w:tcW w:w="1483" w:type="dxa"/>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xml:space="preserve"> National resilient development posts in oversight functions, with support from technical advisors </w:t>
            </w:r>
          </w:p>
        </w:tc>
        <w:tc>
          <w:tcPr>
            <w:tcW w:w="3260" w:type="dxa"/>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Parliamentary Staff</w:t>
            </w:r>
            <w:r w:rsidRPr="00B848C3">
              <w:rPr>
                <w:rFonts w:asciiTheme="majorHAnsi" w:hAnsiTheme="majorHAnsi" w:cstheme="majorHAnsi"/>
                <w:sz w:val="16"/>
                <w:szCs w:val="16"/>
              </w:rPr>
              <w:br/>
              <w:t xml:space="preserve">Supreme Audit Institutions </w:t>
            </w:r>
          </w:p>
        </w:tc>
        <w:tc>
          <w:tcPr>
            <w:tcW w:w="1276" w:type="dxa"/>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xml:space="preserve">714,193 </w:t>
            </w:r>
          </w:p>
        </w:tc>
      </w:tr>
      <w:tr w:rsidR="00A045BF" w:rsidRPr="00B848C3" w:rsidTr="001D1A6E">
        <w:trPr>
          <w:trHeight w:val="255"/>
        </w:trPr>
        <w:tc>
          <w:tcPr>
            <w:tcW w:w="14596" w:type="dxa"/>
            <w:gridSpan w:val="6"/>
            <w:shd w:val="clear" w:color="auto" w:fill="F2F2F2" w:themeFill="background1" w:themeFillShade="F2"/>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xml:space="preserve">Output 2.2 Voice of society: there is risk informed engagement and scrutiny by civil society                                               </w:t>
            </w:r>
          </w:p>
        </w:tc>
      </w:tr>
      <w:tr w:rsidR="00A045BF" w:rsidRPr="00B848C3" w:rsidTr="001D1A6E">
        <w:trPr>
          <w:trHeight w:val="1275"/>
        </w:trPr>
        <w:tc>
          <w:tcPr>
            <w:tcW w:w="279" w:type="dxa"/>
            <w:tcBorders>
              <w:right w:val="nil"/>
            </w:tcBorders>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w:t>
            </w:r>
          </w:p>
        </w:tc>
        <w:tc>
          <w:tcPr>
            <w:tcW w:w="4111" w:type="dxa"/>
            <w:tcBorders>
              <w:left w:val="nil"/>
            </w:tcBorders>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xml:space="preserve">Activity 2.2.1 Facilitate dialogue with CSO to ensure voice of women, marginalized and youth are accounted. Provision of training on integration of guidelines and tools.  </w:t>
            </w:r>
          </w:p>
        </w:tc>
        <w:tc>
          <w:tcPr>
            <w:tcW w:w="4187" w:type="dxa"/>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Quality: Increase in adapted CCBII scores for oversight and accountability systems requiring gender and</w:t>
            </w:r>
            <w:r w:rsidR="006E2D9C">
              <w:rPr>
                <w:rFonts w:asciiTheme="majorHAnsi" w:hAnsiTheme="majorHAnsi" w:cstheme="majorHAnsi"/>
                <w:sz w:val="16"/>
                <w:szCs w:val="16"/>
              </w:rPr>
              <w:t xml:space="preserve"> socially</w:t>
            </w:r>
            <w:r w:rsidRPr="00B848C3">
              <w:rPr>
                <w:rFonts w:asciiTheme="majorHAnsi" w:hAnsiTheme="majorHAnsi" w:cstheme="majorHAnsi"/>
                <w:sz w:val="16"/>
                <w:szCs w:val="16"/>
              </w:rPr>
              <w:t xml:space="preserve"> inclusive risk informed development. Progress towards sustained political economy change </w:t>
            </w:r>
            <w:r w:rsidR="00CB58C0">
              <w:rPr>
                <w:rFonts w:asciiTheme="majorHAnsi" w:hAnsiTheme="majorHAnsi" w:cstheme="majorHAnsi"/>
                <w:sz w:val="16"/>
                <w:szCs w:val="16"/>
              </w:rPr>
              <w:br/>
            </w:r>
            <w:r w:rsidRPr="00B848C3">
              <w:rPr>
                <w:rFonts w:asciiTheme="majorHAnsi" w:hAnsiTheme="majorHAnsi" w:cstheme="majorHAnsi"/>
                <w:sz w:val="16"/>
                <w:szCs w:val="16"/>
              </w:rPr>
              <w:t>Type: Capacity building and technical advisory (for advocacy networks). Training and workshops. Guidelines and templates for budget scrutiny. Research and development of knowledge products</w:t>
            </w:r>
          </w:p>
        </w:tc>
        <w:tc>
          <w:tcPr>
            <w:tcW w:w="1483" w:type="dxa"/>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xml:space="preserve"> National resilient development posts in CSO functions, with support from technical advisors </w:t>
            </w:r>
          </w:p>
        </w:tc>
        <w:tc>
          <w:tcPr>
            <w:tcW w:w="3260" w:type="dxa"/>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Advocacy groups: women’s groups, DPOs, youth groups</w:t>
            </w:r>
            <w:r w:rsidRPr="00B848C3">
              <w:rPr>
                <w:rFonts w:asciiTheme="majorHAnsi" w:hAnsiTheme="majorHAnsi" w:cstheme="majorHAnsi"/>
                <w:sz w:val="16"/>
                <w:szCs w:val="16"/>
              </w:rPr>
              <w:br/>
              <w:t xml:space="preserve">National Private Sector Organisations and Local Chambers of Commerce </w:t>
            </w:r>
          </w:p>
        </w:tc>
        <w:tc>
          <w:tcPr>
            <w:tcW w:w="1276" w:type="dxa"/>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xml:space="preserve"> 476,129 </w:t>
            </w:r>
          </w:p>
        </w:tc>
      </w:tr>
      <w:tr w:rsidR="00A045BF" w:rsidRPr="00B848C3" w:rsidTr="001D1A6E">
        <w:trPr>
          <w:trHeight w:val="255"/>
        </w:trPr>
        <w:tc>
          <w:tcPr>
            <w:tcW w:w="4390" w:type="dxa"/>
            <w:gridSpan w:val="2"/>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xml:space="preserve"> Monitoring costs </w:t>
            </w:r>
          </w:p>
        </w:tc>
        <w:tc>
          <w:tcPr>
            <w:tcW w:w="4187" w:type="dxa"/>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w:t>
            </w:r>
          </w:p>
        </w:tc>
        <w:tc>
          <w:tcPr>
            <w:tcW w:w="1483" w:type="dxa"/>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w:t>
            </w:r>
          </w:p>
        </w:tc>
        <w:tc>
          <w:tcPr>
            <w:tcW w:w="3260" w:type="dxa"/>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w:t>
            </w:r>
          </w:p>
        </w:tc>
        <w:tc>
          <w:tcPr>
            <w:tcW w:w="1276" w:type="dxa"/>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xml:space="preserve">77,224 </w:t>
            </w:r>
          </w:p>
        </w:tc>
      </w:tr>
      <w:tr w:rsidR="00A045BF" w:rsidRPr="00B848C3" w:rsidTr="001D1A6E">
        <w:trPr>
          <w:trHeight w:val="255"/>
        </w:trPr>
        <w:tc>
          <w:tcPr>
            <w:tcW w:w="4390" w:type="dxa"/>
            <w:gridSpan w:val="2"/>
            <w:shd w:val="clear" w:color="auto" w:fill="F2F2F2" w:themeFill="background1" w:themeFillShade="F2"/>
            <w:noWrap/>
            <w:vAlign w:val="center"/>
            <w:hideMark/>
          </w:tcPr>
          <w:p w:rsidR="00A045BF" w:rsidRPr="00F15D6A"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xml:space="preserve"> Sub-Total for Output 2</w:t>
            </w:r>
          </w:p>
        </w:tc>
        <w:tc>
          <w:tcPr>
            <w:tcW w:w="4187" w:type="dxa"/>
            <w:shd w:val="clear" w:color="auto" w:fill="F2F2F2" w:themeFill="background1" w:themeFillShade="F2"/>
            <w:vAlign w:val="center"/>
            <w:hideMark/>
          </w:tcPr>
          <w:p w:rsidR="00A045BF" w:rsidRPr="00B848C3" w:rsidRDefault="00A045BF" w:rsidP="00F15D6A">
            <w:pPr>
              <w:rPr>
                <w:rFonts w:asciiTheme="majorHAnsi" w:hAnsiTheme="majorHAnsi" w:cstheme="majorHAnsi"/>
                <w:b/>
                <w:bCs/>
                <w:sz w:val="16"/>
                <w:szCs w:val="16"/>
              </w:rPr>
            </w:pPr>
            <w:r w:rsidRPr="00B848C3">
              <w:rPr>
                <w:rFonts w:asciiTheme="majorHAnsi" w:hAnsiTheme="majorHAnsi" w:cstheme="majorHAnsi"/>
                <w:b/>
                <w:bCs/>
                <w:sz w:val="16"/>
                <w:szCs w:val="16"/>
              </w:rPr>
              <w:t> </w:t>
            </w:r>
          </w:p>
        </w:tc>
        <w:tc>
          <w:tcPr>
            <w:tcW w:w="1483" w:type="dxa"/>
            <w:shd w:val="clear" w:color="auto" w:fill="F2F2F2" w:themeFill="background1" w:themeFillShade="F2"/>
            <w:noWrap/>
            <w:vAlign w:val="center"/>
            <w:hideMark/>
          </w:tcPr>
          <w:p w:rsidR="00A045BF" w:rsidRPr="00B848C3" w:rsidRDefault="00A045BF" w:rsidP="00F15D6A">
            <w:pPr>
              <w:rPr>
                <w:rFonts w:asciiTheme="majorHAnsi" w:hAnsiTheme="majorHAnsi" w:cstheme="majorHAnsi"/>
                <w:b/>
                <w:bCs/>
                <w:sz w:val="16"/>
                <w:szCs w:val="16"/>
              </w:rPr>
            </w:pPr>
            <w:r w:rsidRPr="00B848C3">
              <w:rPr>
                <w:rFonts w:asciiTheme="majorHAnsi" w:hAnsiTheme="majorHAnsi" w:cstheme="majorHAnsi"/>
                <w:b/>
                <w:bCs/>
                <w:sz w:val="16"/>
                <w:szCs w:val="16"/>
              </w:rPr>
              <w:t> </w:t>
            </w:r>
          </w:p>
        </w:tc>
        <w:tc>
          <w:tcPr>
            <w:tcW w:w="3260" w:type="dxa"/>
            <w:shd w:val="clear" w:color="auto" w:fill="F2F2F2" w:themeFill="background1" w:themeFillShade="F2"/>
            <w:noWrap/>
            <w:vAlign w:val="center"/>
            <w:hideMark/>
          </w:tcPr>
          <w:p w:rsidR="00A045BF" w:rsidRPr="00B848C3" w:rsidRDefault="00A045BF" w:rsidP="00F15D6A">
            <w:pPr>
              <w:rPr>
                <w:rFonts w:asciiTheme="majorHAnsi" w:hAnsiTheme="majorHAnsi" w:cstheme="majorHAnsi"/>
                <w:b/>
                <w:bCs/>
                <w:sz w:val="16"/>
                <w:szCs w:val="16"/>
              </w:rPr>
            </w:pPr>
            <w:r w:rsidRPr="00B848C3">
              <w:rPr>
                <w:rFonts w:asciiTheme="majorHAnsi" w:hAnsiTheme="majorHAnsi" w:cstheme="majorHAnsi"/>
                <w:b/>
                <w:bCs/>
                <w:sz w:val="16"/>
                <w:szCs w:val="16"/>
              </w:rPr>
              <w:t> </w:t>
            </w:r>
          </w:p>
        </w:tc>
        <w:tc>
          <w:tcPr>
            <w:tcW w:w="1276" w:type="dxa"/>
            <w:shd w:val="clear" w:color="auto" w:fill="F2F2F2" w:themeFill="background1" w:themeFillShade="F2"/>
            <w:noWrap/>
            <w:vAlign w:val="center"/>
            <w:hideMark/>
          </w:tcPr>
          <w:p w:rsidR="00A045BF" w:rsidRPr="00B848C3" w:rsidRDefault="00A045BF" w:rsidP="00F15D6A">
            <w:pPr>
              <w:rPr>
                <w:rFonts w:asciiTheme="majorHAnsi" w:hAnsiTheme="majorHAnsi" w:cstheme="majorHAnsi"/>
                <w:b/>
                <w:bCs/>
                <w:sz w:val="16"/>
                <w:szCs w:val="16"/>
              </w:rPr>
            </w:pPr>
            <w:r w:rsidRPr="00B848C3">
              <w:rPr>
                <w:rFonts w:asciiTheme="majorHAnsi" w:hAnsiTheme="majorHAnsi" w:cstheme="majorHAnsi"/>
                <w:b/>
                <w:bCs/>
                <w:sz w:val="16"/>
                <w:szCs w:val="16"/>
              </w:rPr>
              <w:t xml:space="preserve">1,267,546 </w:t>
            </w:r>
          </w:p>
        </w:tc>
      </w:tr>
      <w:tr w:rsidR="00A045BF" w:rsidRPr="00B848C3" w:rsidTr="001D1A6E">
        <w:trPr>
          <w:trHeight w:val="255"/>
        </w:trPr>
        <w:tc>
          <w:tcPr>
            <w:tcW w:w="14596" w:type="dxa"/>
            <w:gridSpan w:val="6"/>
            <w:shd w:val="clear" w:color="auto" w:fill="F2F2F2" w:themeFill="background1" w:themeFillShade="F2"/>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Output 3.1 Countries are working collectively to influence other countries, regional actors and their own country systems and government </w:t>
            </w:r>
          </w:p>
        </w:tc>
      </w:tr>
      <w:tr w:rsidR="00A045BF" w:rsidRPr="00B848C3" w:rsidTr="001D1A6E">
        <w:trPr>
          <w:trHeight w:val="966"/>
        </w:trPr>
        <w:tc>
          <w:tcPr>
            <w:tcW w:w="279" w:type="dxa"/>
            <w:tcBorders>
              <w:right w:val="nil"/>
            </w:tcBorders>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w:t>
            </w:r>
          </w:p>
        </w:tc>
        <w:tc>
          <w:tcPr>
            <w:tcW w:w="4111" w:type="dxa"/>
            <w:tcBorders>
              <w:left w:val="nil"/>
            </w:tcBorders>
            <w:vAlign w:val="center"/>
            <w:hideMark/>
          </w:tcPr>
          <w:p w:rsidR="00A045BF" w:rsidRPr="00B848C3" w:rsidRDefault="00A045BF" w:rsidP="00F15D6A">
            <w:pPr>
              <w:rPr>
                <w:rFonts w:asciiTheme="majorHAnsi" w:hAnsiTheme="majorHAnsi" w:cstheme="majorHAnsi"/>
                <w:sz w:val="16"/>
                <w:szCs w:val="16"/>
              </w:rPr>
            </w:pPr>
            <w:r>
              <w:rPr>
                <w:rFonts w:asciiTheme="majorHAnsi" w:hAnsiTheme="majorHAnsi" w:cstheme="majorHAnsi"/>
                <w:sz w:val="16"/>
                <w:szCs w:val="16"/>
              </w:rPr>
              <w:t xml:space="preserve">Activity </w:t>
            </w:r>
            <w:r w:rsidRPr="00B848C3">
              <w:rPr>
                <w:rFonts w:asciiTheme="majorHAnsi" w:hAnsiTheme="majorHAnsi" w:cstheme="majorHAnsi"/>
                <w:sz w:val="16"/>
                <w:szCs w:val="16"/>
              </w:rPr>
              <w:t xml:space="preserve">3.1.1 Facilitate dialogue across Pacific Island Countries on the impact of RID. Enable peer-to-peer learning across the Pacific Island countries. Leverage capacities and knowledge across the region </w:t>
            </w:r>
          </w:p>
        </w:tc>
        <w:tc>
          <w:tcPr>
            <w:tcW w:w="4187" w:type="dxa"/>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Quality: The narrative between regional agents and PI countries reflects GS&amp;I RID</w:t>
            </w:r>
            <w:r w:rsidRPr="00B848C3">
              <w:rPr>
                <w:rFonts w:asciiTheme="majorHAnsi" w:hAnsiTheme="majorHAnsi" w:cstheme="majorHAnsi"/>
                <w:sz w:val="16"/>
                <w:szCs w:val="16"/>
              </w:rPr>
              <w:br/>
              <w:t>Type: Facilitation of networks. Capacity building and technical advisory (for government CCDRM representatives &amp; RID networks). Training and workshops</w:t>
            </w:r>
          </w:p>
        </w:tc>
        <w:tc>
          <w:tcPr>
            <w:tcW w:w="1483" w:type="dxa"/>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w:t>
            </w:r>
          </w:p>
        </w:tc>
        <w:tc>
          <w:tcPr>
            <w:tcW w:w="3260" w:type="dxa"/>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Country government representatives (for networks). Regional Agencies and Working Groups (e.g. PIFS, PASAI, PFTAC, PIPSO, PRP Technical Working Groups).</w:t>
            </w:r>
          </w:p>
        </w:tc>
        <w:tc>
          <w:tcPr>
            <w:tcW w:w="1276" w:type="dxa"/>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xml:space="preserve">402,918 </w:t>
            </w:r>
          </w:p>
        </w:tc>
      </w:tr>
      <w:tr w:rsidR="00A045BF" w:rsidRPr="00B848C3" w:rsidTr="001D1A6E">
        <w:trPr>
          <w:trHeight w:val="255"/>
        </w:trPr>
        <w:tc>
          <w:tcPr>
            <w:tcW w:w="14596" w:type="dxa"/>
            <w:gridSpan w:val="6"/>
            <w:shd w:val="clear" w:color="auto" w:fill="F2F2F2" w:themeFill="background1" w:themeFillShade="F2"/>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Output 3.2 Regional agents (CROP, donors, regional programmes) are cognizant of, equipped to and in some situations are leading on GS&amp;I RID  </w:t>
            </w:r>
          </w:p>
        </w:tc>
      </w:tr>
      <w:tr w:rsidR="00A045BF" w:rsidRPr="00B848C3" w:rsidTr="001D1A6E">
        <w:trPr>
          <w:trHeight w:val="960"/>
        </w:trPr>
        <w:tc>
          <w:tcPr>
            <w:tcW w:w="279" w:type="dxa"/>
            <w:tcBorders>
              <w:right w:val="nil"/>
            </w:tcBorders>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w:t>
            </w:r>
          </w:p>
        </w:tc>
        <w:tc>
          <w:tcPr>
            <w:tcW w:w="4111" w:type="dxa"/>
            <w:tcBorders>
              <w:left w:val="nil"/>
            </w:tcBorders>
            <w:vAlign w:val="center"/>
            <w:hideMark/>
          </w:tcPr>
          <w:p w:rsidR="00A045BF" w:rsidRPr="00B848C3" w:rsidRDefault="00A045BF" w:rsidP="00F15D6A">
            <w:pPr>
              <w:rPr>
                <w:rFonts w:asciiTheme="majorHAnsi" w:hAnsiTheme="majorHAnsi" w:cstheme="majorHAnsi"/>
                <w:sz w:val="16"/>
                <w:szCs w:val="16"/>
              </w:rPr>
            </w:pPr>
            <w:r>
              <w:rPr>
                <w:rFonts w:asciiTheme="majorHAnsi" w:hAnsiTheme="majorHAnsi" w:cstheme="majorHAnsi"/>
                <w:sz w:val="16"/>
                <w:szCs w:val="16"/>
              </w:rPr>
              <w:t xml:space="preserve">Activity </w:t>
            </w:r>
            <w:r w:rsidRPr="00B848C3">
              <w:rPr>
                <w:rFonts w:asciiTheme="majorHAnsi" w:hAnsiTheme="majorHAnsi" w:cstheme="majorHAnsi"/>
                <w:sz w:val="16"/>
                <w:szCs w:val="16"/>
              </w:rPr>
              <w:t xml:space="preserve">3.2.1 Conduct research on need for Risk Informed Development in the region. Lead regional dialogue on advocating for Risk Informed Development approach  </w:t>
            </w:r>
          </w:p>
        </w:tc>
        <w:tc>
          <w:tcPr>
            <w:tcW w:w="4187" w:type="dxa"/>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Quality: There is increased attention to RID in non-focus countries. Climate and development financing increasingly support country led, RID</w:t>
            </w:r>
            <w:r w:rsidRPr="00B848C3">
              <w:rPr>
                <w:rFonts w:asciiTheme="majorHAnsi" w:hAnsiTheme="majorHAnsi" w:cstheme="majorHAnsi"/>
                <w:sz w:val="16"/>
                <w:szCs w:val="16"/>
              </w:rPr>
              <w:br/>
              <w:t>Type: Research and development of knowledge products. Technical Advisory.</w:t>
            </w:r>
          </w:p>
        </w:tc>
        <w:tc>
          <w:tcPr>
            <w:tcW w:w="1483" w:type="dxa"/>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w:t>
            </w:r>
          </w:p>
        </w:tc>
        <w:tc>
          <w:tcPr>
            <w:tcW w:w="3260" w:type="dxa"/>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Multilateral Organisations (e.g. ADB, WB and IFC, UN agencies). Donor coordination forums (e.g. PIFS Climate Change Finance Donor Roundtable, Development Partners for Climate Change network)</w:t>
            </w:r>
          </w:p>
        </w:tc>
        <w:tc>
          <w:tcPr>
            <w:tcW w:w="1276" w:type="dxa"/>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xml:space="preserve">402,918 </w:t>
            </w:r>
          </w:p>
        </w:tc>
      </w:tr>
      <w:tr w:rsidR="00A045BF" w:rsidRPr="00B848C3" w:rsidTr="001D1A6E">
        <w:trPr>
          <w:trHeight w:val="255"/>
        </w:trPr>
        <w:tc>
          <w:tcPr>
            <w:tcW w:w="4390" w:type="dxa"/>
            <w:gridSpan w:val="2"/>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xml:space="preserve"> Monitoring costs </w:t>
            </w:r>
          </w:p>
        </w:tc>
        <w:tc>
          <w:tcPr>
            <w:tcW w:w="4187" w:type="dxa"/>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w:t>
            </w:r>
          </w:p>
        </w:tc>
        <w:tc>
          <w:tcPr>
            <w:tcW w:w="1483" w:type="dxa"/>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w:t>
            </w:r>
          </w:p>
        </w:tc>
        <w:tc>
          <w:tcPr>
            <w:tcW w:w="3260" w:type="dxa"/>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w:t>
            </w:r>
          </w:p>
        </w:tc>
        <w:tc>
          <w:tcPr>
            <w:tcW w:w="1276" w:type="dxa"/>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xml:space="preserve">92,011 </w:t>
            </w:r>
          </w:p>
        </w:tc>
      </w:tr>
      <w:tr w:rsidR="00A045BF" w:rsidRPr="00B848C3" w:rsidTr="001D1A6E">
        <w:trPr>
          <w:trHeight w:val="255"/>
        </w:trPr>
        <w:tc>
          <w:tcPr>
            <w:tcW w:w="4390" w:type="dxa"/>
            <w:gridSpan w:val="2"/>
            <w:shd w:val="clear" w:color="auto" w:fill="F2F2F2" w:themeFill="background1" w:themeFillShade="F2"/>
            <w:noWrap/>
            <w:vAlign w:val="center"/>
            <w:hideMark/>
          </w:tcPr>
          <w:p w:rsidR="00A045BF" w:rsidRPr="00F15D6A"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xml:space="preserve"> Sub-Total for Output 3</w:t>
            </w:r>
          </w:p>
        </w:tc>
        <w:tc>
          <w:tcPr>
            <w:tcW w:w="4187" w:type="dxa"/>
            <w:shd w:val="clear" w:color="auto" w:fill="F2F2F2" w:themeFill="background1" w:themeFillShade="F2"/>
            <w:vAlign w:val="center"/>
            <w:hideMark/>
          </w:tcPr>
          <w:p w:rsidR="00A045BF" w:rsidRPr="00B848C3" w:rsidRDefault="00A045BF" w:rsidP="00F15D6A">
            <w:pPr>
              <w:rPr>
                <w:rFonts w:asciiTheme="majorHAnsi" w:hAnsiTheme="majorHAnsi" w:cstheme="majorHAnsi"/>
                <w:b/>
                <w:bCs/>
                <w:sz w:val="16"/>
                <w:szCs w:val="16"/>
              </w:rPr>
            </w:pPr>
            <w:r w:rsidRPr="00B848C3">
              <w:rPr>
                <w:rFonts w:asciiTheme="majorHAnsi" w:hAnsiTheme="majorHAnsi" w:cstheme="majorHAnsi"/>
                <w:b/>
                <w:bCs/>
                <w:sz w:val="16"/>
                <w:szCs w:val="16"/>
              </w:rPr>
              <w:t> </w:t>
            </w:r>
          </w:p>
        </w:tc>
        <w:tc>
          <w:tcPr>
            <w:tcW w:w="1483" w:type="dxa"/>
            <w:shd w:val="clear" w:color="auto" w:fill="F2F2F2" w:themeFill="background1" w:themeFillShade="F2"/>
            <w:noWrap/>
            <w:vAlign w:val="center"/>
            <w:hideMark/>
          </w:tcPr>
          <w:p w:rsidR="00A045BF" w:rsidRPr="00B848C3" w:rsidRDefault="00A045BF" w:rsidP="00F15D6A">
            <w:pPr>
              <w:rPr>
                <w:rFonts w:asciiTheme="majorHAnsi" w:hAnsiTheme="majorHAnsi" w:cstheme="majorHAnsi"/>
                <w:b/>
                <w:bCs/>
                <w:sz w:val="16"/>
                <w:szCs w:val="16"/>
              </w:rPr>
            </w:pPr>
            <w:r w:rsidRPr="00B848C3">
              <w:rPr>
                <w:rFonts w:asciiTheme="majorHAnsi" w:hAnsiTheme="majorHAnsi" w:cstheme="majorHAnsi"/>
                <w:b/>
                <w:bCs/>
                <w:sz w:val="16"/>
                <w:szCs w:val="16"/>
              </w:rPr>
              <w:t> </w:t>
            </w:r>
          </w:p>
        </w:tc>
        <w:tc>
          <w:tcPr>
            <w:tcW w:w="3260" w:type="dxa"/>
            <w:shd w:val="clear" w:color="auto" w:fill="F2F2F2" w:themeFill="background1" w:themeFillShade="F2"/>
            <w:noWrap/>
            <w:vAlign w:val="center"/>
            <w:hideMark/>
          </w:tcPr>
          <w:p w:rsidR="00A045BF" w:rsidRPr="00B848C3" w:rsidRDefault="00A045BF" w:rsidP="00F15D6A">
            <w:pPr>
              <w:rPr>
                <w:rFonts w:asciiTheme="majorHAnsi" w:hAnsiTheme="majorHAnsi" w:cstheme="majorHAnsi"/>
                <w:b/>
                <w:bCs/>
                <w:sz w:val="16"/>
                <w:szCs w:val="16"/>
              </w:rPr>
            </w:pPr>
            <w:r w:rsidRPr="00B848C3">
              <w:rPr>
                <w:rFonts w:asciiTheme="majorHAnsi" w:hAnsiTheme="majorHAnsi" w:cstheme="majorHAnsi"/>
                <w:b/>
                <w:bCs/>
                <w:sz w:val="16"/>
                <w:szCs w:val="16"/>
              </w:rPr>
              <w:t> </w:t>
            </w:r>
          </w:p>
        </w:tc>
        <w:tc>
          <w:tcPr>
            <w:tcW w:w="1276" w:type="dxa"/>
            <w:shd w:val="clear" w:color="auto" w:fill="F2F2F2" w:themeFill="background1" w:themeFillShade="F2"/>
            <w:noWrap/>
            <w:vAlign w:val="center"/>
            <w:hideMark/>
          </w:tcPr>
          <w:p w:rsidR="00A045BF" w:rsidRPr="00B848C3" w:rsidRDefault="00A045BF" w:rsidP="00F15D6A">
            <w:pPr>
              <w:rPr>
                <w:rFonts w:asciiTheme="majorHAnsi" w:hAnsiTheme="majorHAnsi" w:cstheme="majorHAnsi"/>
                <w:b/>
                <w:bCs/>
                <w:sz w:val="16"/>
                <w:szCs w:val="16"/>
              </w:rPr>
            </w:pPr>
            <w:r w:rsidRPr="00B848C3">
              <w:rPr>
                <w:rFonts w:asciiTheme="majorHAnsi" w:hAnsiTheme="majorHAnsi" w:cstheme="majorHAnsi"/>
                <w:b/>
                <w:bCs/>
                <w:sz w:val="16"/>
                <w:szCs w:val="16"/>
              </w:rPr>
              <w:t xml:space="preserve">897,847 </w:t>
            </w:r>
          </w:p>
        </w:tc>
      </w:tr>
      <w:tr w:rsidR="00A045BF" w:rsidRPr="00B848C3" w:rsidTr="001D1A6E">
        <w:trPr>
          <w:trHeight w:val="255"/>
        </w:trPr>
        <w:tc>
          <w:tcPr>
            <w:tcW w:w="4390" w:type="dxa"/>
            <w:gridSpan w:val="2"/>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xml:space="preserve"> Total programme costs </w:t>
            </w:r>
          </w:p>
        </w:tc>
        <w:tc>
          <w:tcPr>
            <w:tcW w:w="4187" w:type="dxa"/>
            <w:vAlign w:val="center"/>
            <w:hideMark/>
          </w:tcPr>
          <w:p w:rsidR="00A045BF" w:rsidRPr="00B848C3" w:rsidRDefault="00A045BF" w:rsidP="00F15D6A">
            <w:pPr>
              <w:rPr>
                <w:rFonts w:asciiTheme="majorHAnsi" w:hAnsiTheme="majorHAnsi" w:cstheme="majorHAnsi"/>
                <w:b/>
                <w:bCs/>
                <w:sz w:val="16"/>
                <w:szCs w:val="16"/>
              </w:rPr>
            </w:pPr>
            <w:r w:rsidRPr="00B848C3">
              <w:rPr>
                <w:rFonts w:asciiTheme="majorHAnsi" w:hAnsiTheme="majorHAnsi" w:cstheme="majorHAnsi"/>
                <w:b/>
                <w:bCs/>
                <w:sz w:val="16"/>
                <w:szCs w:val="16"/>
              </w:rPr>
              <w:t> </w:t>
            </w:r>
          </w:p>
        </w:tc>
        <w:tc>
          <w:tcPr>
            <w:tcW w:w="1483" w:type="dxa"/>
            <w:noWrap/>
            <w:vAlign w:val="center"/>
            <w:hideMark/>
          </w:tcPr>
          <w:p w:rsidR="00A045BF" w:rsidRPr="00B848C3" w:rsidRDefault="00A045BF" w:rsidP="00F15D6A">
            <w:pPr>
              <w:rPr>
                <w:rFonts w:asciiTheme="majorHAnsi" w:hAnsiTheme="majorHAnsi" w:cstheme="majorHAnsi"/>
                <w:b/>
                <w:bCs/>
                <w:sz w:val="16"/>
                <w:szCs w:val="16"/>
              </w:rPr>
            </w:pPr>
            <w:r w:rsidRPr="00B848C3">
              <w:rPr>
                <w:rFonts w:asciiTheme="majorHAnsi" w:hAnsiTheme="majorHAnsi" w:cstheme="majorHAnsi"/>
                <w:b/>
                <w:bCs/>
                <w:sz w:val="16"/>
                <w:szCs w:val="16"/>
              </w:rPr>
              <w:t> </w:t>
            </w:r>
          </w:p>
        </w:tc>
        <w:tc>
          <w:tcPr>
            <w:tcW w:w="3260" w:type="dxa"/>
            <w:noWrap/>
            <w:vAlign w:val="center"/>
            <w:hideMark/>
          </w:tcPr>
          <w:p w:rsidR="00A045BF" w:rsidRPr="00B848C3" w:rsidRDefault="00A045BF" w:rsidP="00F15D6A">
            <w:pPr>
              <w:rPr>
                <w:rFonts w:asciiTheme="majorHAnsi" w:hAnsiTheme="majorHAnsi" w:cstheme="majorHAnsi"/>
                <w:b/>
                <w:bCs/>
                <w:sz w:val="16"/>
                <w:szCs w:val="16"/>
              </w:rPr>
            </w:pPr>
            <w:r w:rsidRPr="00B848C3">
              <w:rPr>
                <w:rFonts w:asciiTheme="majorHAnsi" w:hAnsiTheme="majorHAnsi" w:cstheme="majorHAnsi"/>
                <w:b/>
                <w:bCs/>
                <w:sz w:val="16"/>
                <w:szCs w:val="16"/>
              </w:rPr>
              <w:t> </w:t>
            </w:r>
          </w:p>
        </w:tc>
        <w:tc>
          <w:tcPr>
            <w:tcW w:w="1276" w:type="dxa"/>
            <w:noWrap/>
            <w:vAlign w:val="center"/>
            <w:hideMark/>
          </w:tcPr>
          <w:p w:rsidR="00A045BF" w:rsidRPr="00B848C3" w:rsidRDefault="00A045BF" w:rsidP="00F15D6A">
            <w:pPr>
              <w:rPr>
                <w:rFonts w:asciiTheme="majorHAnsi" w:hAnsiTheme="majorHAnsi" w:cstheme="majorHAnsi"/>
                <w:b/>
                <w:bCs/>
                <w:sz w:val="16"/>
                <w:szCs w:val="16"/>
              </w:rPr>
            </w:pPr>
            <w:r w:rsidRPr="00B848C3">
              <w:rPr>
                <w:rFonts w:asciiTheme="majorHAnsi" w:hAnsiTheme="majorHAnsi" w:cstheme="majorHAnsi"/>
                <w:b/>
                <w:bCs/>
                <w:sz w:val="16"/>
                <w:szCs w:val="16"/>
              </w:rPr>
              <w:t xml:space="preserve">6,840,588 </w:t>
            </w:r>
          </w:p>
        </w:tc>
      </w:tr>
      <w:tr w:rsidR="00A045BF" w:rsidRPr="00B848C3" w:rsidTr="001D1A6E">
        <w:trPr>
          <w:trHeight w:val="255"/>
        </w:trPr>
        <w:tc>
          <w:tcPr>
            <w:tcW w:w="4390" w:type="dxa"/>
            <w:gridSpan w:val="2"/>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xml:space="preserve"> Evaluation</w:t>
            </w:r>
          </w:p>
        </w:tc>
        <w:tc>
          <w:tcPr>
            <w:tcW w:w="4187" w:type="dxa"/>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w:t>
            </w:r>
          </w:p>
        </w:tc>
        <w:tc>
          <w:tcPr>
            <w:tcW w:w="1483" w:type="dxa"/>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w:t>
            </w:r>
          </w:p>
        </w:tc>
        <w:tc>
          <w:tcPr>
            <w:tcW w:w="3260" w:type="dxa"/>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w:t>
            </w:r>
          </w:p>
        </w:tc>
        <w:tc>
          <w:tcPr>
            <w:tcW w:w="1276" w:type="dxa"/>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xml:space="preserve">35,100 </w:t>
            </w:r>
          </w:p>
        </w:tc>
      </w:tr>
      <w:tr w:rsidR="00A045BF" w:rsidRPr="00B848C3" w:rsidTr="001D1A6E">
        <w:trPr>
          <w:trHeight w:val="255"/>
        </w:trPr>
        <w:tc>
          <w:tcPr>
            <w:tcW w:w="4390" w:type="dxa"/>
            <w:gridSpan w:val="2"/>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xml:space="preserve">General Management Support </w:t>
            </w:r>
          </w:p>
        </w:tc>
        <w:tc>
          <w:tcPr>
            <w:tcW w:w="4187" w:type="dxa"/>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w:t>
            </w:r>
          </w:p>
        </w:tc>
        <w:tc>
          <w:tcPr>
            <w:tcW w:w="1483" w:type="dxa"/>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w:t>
            </w:r>
          </w:p>
        </w:tc>
        <w:tc>
          <w:tcPr>
            <w:tcW w:w="3260" w:type="dxa"/>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w:t>
            </w:r>
          </w:p>
        </w:tc>
        <w:tc>
          <w:tcPr>
            <w:tcW w:w="1276" w:type="dxa"/>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xml:space="preserve">550,055 </w:t>
            </w:r>
          </w:p>
        </w:tc>
      </w:tr>
      <w:tr w:rsidR="00A045BF" w:rsidRPr="00B848C3" w:rsidTr="001D1A6E">
        <w:trPr>
          <w:trHeight w:val="255"/>
        </w:trPr>
        <w:tc>
          <w:tcPr>
            <w:tcW w:w="4390" w:type="dxa"/>
            <w:gridSpan w:val="2"/>
            <w:shd w:val="clear" w:color="auto" w:fill="BFBFBF" w:themeFill="background1" w:themeFillShade="BF"/>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xml:space="preserve"> </w:t>
            </w:r>
            <w:r>
              <w:rPr>
                <w:rFonts w:asciiTheme="majorHAnsi" w:hAnsiTheme="majorHAnsi" w:cstheme="majorHAnsi"/>
                <w:sz w:val="16"/>
                <w:szCs w:val="16"/>
              </w:rPr>
              <w:t>Budget Grand Total</w:t>
            </w:r>
          </w:p>
        </w:tc>
        <w:tc>
          <w:tcPr>
            <w:tcW w:w="4187" w:type="dxa"/>
            <w:shd w:val="clear" w:color="auto" w:fill="BFBFBF" w:themeFill="background1" w:themeFillShade="BF"/>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w:t>
            </w:r>
          </w:p>
        </w:tc>
        <w:tc>
          <w:tcPr>
            <w:tcW w:w="1483" w:type="dxa"/>
            <w:shd w:val="clear" w:color="auto" w:fill="BFBFBF" w:themeFill="background1" w:themeFillShade="BF"/>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w:t>
            </w:r>
          </w:p>
        </w:tc>
        <w:tc>
          <w:tcPr>
            <w:tcW w:w="3260" w:type="dxa"/>
            <w:shd w:val="clear" w:color="auto" w:fill="BFBFBF" w:themeFill="background1" w:themeFillShade="BF"/>
            <w:noWrap/>
            <w:vAlign w:val="center"/>
            <w:hideMark/>
          </w:tcPr>
          <w:p w:rsidR="00A045BF" w:rsidRPr="00B848C3" w:rsidRDefault="00A045BF" w:rsidP="00F15D6A">
            <w:pPr>
              <w:rPr>
                <w:rFonts w:asciiTheme="majorHAnsi" w:hAnsiTheme="majorHAnsi" w:cstheme="majorHAnsi"/>
                <w:sz w:val="16"/>
                <w:szCs w:val="16"/>
              </w:rPr>
            </w:pPr>
            <w:r w:rsidRPr="00B848C3">
              <w:rPr>
                <w:rFonts w:asciiTheme="majorHAnsi" w:hAnsiTheme="majorHAnsi" w:cstheme="majorHAnsi"/>
                <w:sz w:val="16"/>
                <w:szCs w:val="16"/>
              </w:rPr>
              <w:t> </w:t>
            </w:r>
          </w:p>
        </w:tc>
        <w:tc>
          <w:tcPr>
            <w:tcW w:w="1276" w:type="dxa"/>
            <w:shd w:val="clear" w:color="auto" w:fill="BFBFBF" w:themeFill="background1" w:themeFillShade="BF"/>
            <w:noWrap/>
            <w:vAlign w:val="center"/>
            <w:hideMark/>
          </w:tcPr>
          <w:p w:rsidR="00A045BF" w:rsidRPr="00B848C3" w:rsidRDefault="00A045BF" w:rsidP="00F15D6A">
            <w:pPr>
              <w:rPr>
                <w:rFonts w:asciiTheme="majorHAnsi" w:hAnsiTheme="majorHAnsi" w:cstheme="majorHAnsi"/>
                <w:b/>
                <w:bCs/>
                <w:sz w:val="16"/>
                <w:szCs w:val="16"/>
              </w:rPr>
            </w:pPr>
            <w:r w:rsidRPr="00B848C3">
              <w:rPr>
                <w:rFonts w:asciiTheme="majorHAnsi" w:hAnsiTheme="majorHAnsi" w:cstheme="majorHAnsi"/>
                <w:b/>
                <w:bCs/>
                <w:sz w:val="16"/>
                <w:szCs w:val="16"/>
              </w:rPr>
              <w:t xml:space="preserve">7,425,743 </w:t>
            </w:r>
          </w:p>
        </w:tc>
      </w:tr>
    </w:tbl>
    <w:p w:rsidR="00F87EAC" w:rsidRDefault="00F87EAC" w:rsidP="00A045BF"/>
    <w:p w:rsidR="00045C9A" w:rsidRDefault="00BE1C68" w:rsidP="00181A53">
      <w:pPr>
        <w:pStyle w:val="Heading3"/>
        <w:jc w:val="left"/>
      </w:pPr>
      <w:r>
        <w:t xml:space="preserve">KOICA Budget by Year </w:t>
      </w:r>
    </w:p>
    <w:tbl>
      <w:tblPr>
        <w:tblStyle w:val="TableGrid"/>
        <w:tblW w:w="14907" w:type="dxa"/>
        <w:tblLook w:val="04A0" w:firstRow="1" w:lastRow="0" w:firstColumn="1" w:lastColumn="0" w:noHBand="0" w:noVBand="1"/>
      </w:tblPr>
      <w:tblGrid>
        <w:gridCol w:w="1563"/>
        <w:gridCol w:w="3953"/>
        <w:gridCol w:w="942"/>
        <w:gridCol w:w="942"/>
        <w:gridCol w:w="942"/>
        <w:gridCol w:w="1048"/>
        <w:gridCol w:w="831"/>
        <w:gridCol w:w="743"/>
        <w:gridCol w:w="988"/>
        <w:gridCol w:w="733"/>
        <w:gridCol w:w="1299"/>
        <w:gridCol w:w="923"/>
      </w:tblGrid>
      <w:tr w:rsidR="00045C9A" w:rsidRPr="00E823C2" w:rsidTr="00E36F87">
        <w:trPr>
          <w:trHeight w:val="315"/>
          <w:tblHeader/>
        </w:trPr>
        <w:tc>
          <w:tcPr>
            <w:tcW w:w="1563" w:type="dxa"/>
            <w:vMerge w:val="restart"/>
            <w:shd w:val="clear" w:color="auto" w:fill="2F5496" w:themeFill="accent1" w:themeFillShade="BF"/>
            <w:noWrap/>
            <w:vAlign w:val="center"/>
            <w:hideMark/>
          </w:tcPr>
          <w:p w:rsidR="00045C9A" w:rsidRPr="00E823C2" w:rsidRDefault="00045C9A" w:rsidP="00045C9A">
            <w:pPr>
              <w:jc w:val="center"/>
              <w:rPr>
                <w:rFonts w:asciiTheme="majorHAnsi" w:hAnsiTheme="majorHAnsi" w:cstheme="majorHAnsi"/>
                <w:b/>
                <w:bCs/>
                <w:color w:val="FFFFFF" w:themeColor="background1"/>
                <w:sz w:val="16"/>
                <w:szCs w:val="16"/>
              </w:rPr>
            </w:pPr>
            <w:r w:rsidRPr="00E823C2">
              <w:rPr>
                <w:rFonts w:asciiTheme="majorHAnsi" w:hAnsiTheme="majorHAnsi" w:cstheme="majorHAnsi"/>
                <w:b/>
                <w:bCs/>
                <w:color w:val="FFFFFF" w:themeColor="background1"/>
                <w:sz w:val="16"/>
                <w:szCs w:val="16"/>
              </w:rPr>
              <w:t>EXPECTED OUTPUTS</w:t>
            </w:r>
          </w:p>
        </w:tc>
        <w:tc>
          <w:tcPr>
            <w:tcW w:w="3953" w:type="dxa"/>
            <w:vMerge w:val="restart"/>
            <w:shd w:val="clear" w:color="auto" w:fill="2F5496" w:themeFill="accent1" w:themeFillShade="BF"/>
            <w:noWrap/>
            <w:vAlign w:val="center"/>
            <w:hideMark/>
          </w:tcPr>
          <w:p w:rsidR="00045C9A" w:rsidRPr="00E823C2" w:rsidRDefault="00045C9A" w:rsidP="00045C9A">
            <w:pPr>
              <w:jc w:val="center"/>
              <w:rPr>
                <w:rFonts w:asciiTheme="majorHAnsi" w:hAnsiTheme="majorHAnsi" w:cstheme="majorHAnsi"/>
                <w:b/>
                <w:bCs/>
                <w:color w:val="FFFFFF" w:themeColor="background1"/>
                <w:sz w:val="16"/>
                <w:szCs w:val="16"/>
              </w:rPr>
            </w:pPr>
            <w:r w:rsidRPr="00E823C2">
              <w:rPr>
                <w:rFonts w:asciiTheme="majorHAnsi" w:hAnsiTheme="majorHAnsi" w:cstheme="majorHAnsi"/>
                <w:b/>
                <w:bCs/>
                <w:color w:val="FFFFFF" w:themeColor="background1"/>
                <w:sz w:val="16"/>
                <w:szCs w:val="16"/>
              </w:rPr>
              <w:t>PLANNED ACTIVITIES</w:t>
            </w:r>
          </w:p>
        </w:tc>
        <w:tc>
          <w:tcPr>
            <w:tcW w:w="5448" w:type="dxa"/>
            <w:gridSpan w:val="6"/>
            <w:vMerge w:val="restart"/>
            <w:shd w:val="clear" w:color="auto" w:fill="2F5496" w:themeFill="accent1" w:themeFillShade="BF"/>
            <w:noWrap/>
            <w:vAlign w:val="center"/>
            <w:hideMark/>
          </w:tcPr>
          <w:p w:rsidR="00045C9A" w:rsidRPr="00E823C2" w:rsidRDefault="00045C9A" w:rsidP="00045C9A">
            <w:pPr>
              <w:jc w:val="center"/>
              <w:rPr>
                <w:rFonts w:asciiTheme="majorHAnsi" w:hAnsiTheme="majorHAnsi" w:cstheme="majorHAnsi"/>
                <w:b/>
                <w:bCs/>
                <w:color w:val="FFFFFF" w:themeColor="background1"/>
                <w:sz w:val="16"/>
                <w:szCs w:val="16"/>
              </w:rPr>
            </w:pPr>
            <w:r w:rsidRPr="00E823C2">
              <w:rPr>
                <w:rFonts w:asciiTheme="majorHAnsi" w:hAnsiTheme="majorHAnsi" w:cstheme="majorHAnsi"/>
                <w:b/>
                <w:bCs/>
                <w:color w:val="FFFFFF" w:themeColor="background1"/>
                <w:sz w:val="16"/>
                <w:szCs w:val="16"/>
              </w:rPr>
              <w:t>Planned Budget by Year</w:t>
            </w:r>
          </w:p>
        </w:tc>
        <w:tc>
          <w:tcPr>
            <w:tcW w:w="988" w:type="dxa"/>
            <w:vMerge w:val="restart"/>
            <w:shd w:val="clear" w:color="auto" w:fill="2F5496" w:themeFill="accent1" w:themeFillShade="BF"/>
            <w:noWrap/>
            <w:vAlign w:val="center"/>
            <w:hideMark/>
          </w:tcPr>
          <w:p w:rsidR="00045C9A" w:rsidRPr="00E823C2" w:rsidRDefault="00045C9A" w:rsidP="00045C9A">
            <w:pPr>
              <w:jc w:val="center"/>
              <w:rPr>
                <w:rFonts w:asciiTheme="majorHAnsi" w:hAnsiTheme="majorHAnsi" w:cstheme="majorHAnsi"/>
                <w:b/>
                <w:bCs/>
                <w:color w:val="FFFFFF" w:themeColor="background1"/>
                <w:sz w:val="16"/>
                <w:szCs w:val="16"/>
              </w:rPr>
            </w:pPr>
            <w:r w:rsidRPr="00E823C2">
              <w:rPr>
                <w:rFonts w:asciiTheme="majorHAnsi" w:hAnsiTheme="majorHAnsi" w:cstheme="majorHAnsi"/>
                <w:b/>
                <w:bCs/>
                <w:color w:val="FFFFFF" w:themeColor="background1"/>
                <w:sz w:val="16"/>
                <w:szCs w:val="16"/>
              </w:rPr>
              <w:t>Responsible Party</w:t>
            </w:r>
          </w:p>
        </w:tc>
        <w:tc>
          <w:tcPr>
            <w:tcW w:w="2955" w:type="dxa"/>
            <w:gridSpan w:val="3"/>
            <w:shd w:val="clear" w:color="auto" w:fill="2F5496" w:themeFill="accent1" w:themeFillShade="BF"/>
            <w:noWrap/>
            <w:vAlign w:val="center"/>
            <w:hideMark/>
          </w:tcPr>
          <w:p w:rsidR="00045C9A" w:rsidRPr="00E823C2" w:rsidRDefault="00045C9A" w:rsidP="00045C9A">
            <w:pPr>
              <w:jc w:val="center"/>
              <w:rPr>
                <w:rFonts w:asciiTheme="majorHAnsi" w:hAnsiTheme="majorHAnsi" w:cstheme="majorHAnsi"/>
                <w:b/>
                <w:bCs/>
                <w:color w:val="FFFFFF" w:themeColor="background1"/>
                <w:sz w:val="16"/>
                <w:szCs w:val="16"/>
              </w:rPr>
            </w:pPr>
            <w:r w:rsidRPr="00E823C2">
              <w:rPr>
                <w:rFonts w:asciiTheme="majorHAnsi" w:hAnsiTheme="majorHAnsi" w:cstheme="majorHAnsi"/>
                <w:b/>
                <w:bCs/>
                <w:color w:val="FFFFFF" w:themeColor="background1"/>
                <w:sz w:val="16"/>
                <w:szCs w:val="16"/>
              </w:rPr>
              <w:t>PLANNED BUDGET</w:t>
            </w:r>
          </w:p>
        </w:tc>
      </w:tr>
      <w:tr w:rsidR="00045C9A" w:rsidRPr="00E823C2" w:rsidTr="00E36F87">
        <w:trPr>
          <w:trHeight w:val="450"/>
          <w:tblHeader/>
        </w:trPr>
        <w:tc>
          <w:tcPr>
            <w:tcW w:w="1563" w:type="dxa"/>
            <w:vMerge/>
            <w:shd w:val="clear" w:color="auto" w:fill="2F5496" w:themeFill="accent1" w:themeFillShade="BF"/>
            <w:vAlign w:val="center"/>
            <w:hideMark/>
          </w:tcPr>
          <w:p w:rsidR="00045C9A" w:rsidRPr="00E823C2" w:rsidRDefault="00045C9A" w:rsidP="00045C9A">
            <w:pPr>
              <w:jc w:val="center"/>
              <w:rPr>
                <w:rFonts w:asciiTheme="majorHAnsi" w:hAnsiTheme="majorHAnsi" w:cstheme="majorHAnsi"/>
                <w:b/>
                <w:bCs/>
                <w:color w:val="FFFFFF" w:themeColor="background1"/>
                <w:sz w:val="16"/>
                <w:szCs w:val="16"/>
              </w:rPr>
            </w:pPr>
          </w:p>
        </w:tc>
        <w:tc>
          <w:tcPr>
            <w:tcW w:w="3953" w:type="dxa"/>
            <w:vMerge/>
            <w:shd w:val="clear" w:color="auto" w:fill="2F5496" w:themeFill="accent1" w:themeFillShade="BF"/>
            <w:vAlign w:val="center"/>
            <w:hideMark/>
          </w:tcPr>
          <w:p w:rsidR="00045C9A" w:rsidRPr="00E823C2" w:rsidRDefault="00045C9A" w:rsidP="00045C9A">
            <w:pPr>
              <w:jc w:val="center"/>
              <w:rPr>
                <w:rFonts w:asciiTheme="majorHAnsi" w:hAnsiTheme="majorHAnsi" w:cstheme="majorHAnsi"/>
                <w:b/>
                <w:bCs/>
                <w:color w:val="FFFFFF" w:themeColor="background1"/>
                <w:sz w:val="16"/>
                <w:szCs w:val="16"/>
              </w:rPr>
            </w:pPr>
          </w:p>
        </w:tc>
        <w:tc>
          <w:tcPr>
            <w:tcW w:w="5448" w:type="dxa"/>
            <w:gridSpan w:val="6"/>
            <w:vMerge/>
            <w:tcBorders>
              <w:bottom w:val="single" w:sz="4" w:space="0" w:color="auto"/>
            </w:tcBorders>
            <w:shd w:val="clear" w:color="auto" w:fill="2F5496" w:themeFill="accent1" w:themeFillShade="BF"/>
            <w:noWrap/>
            <w:vAlign w:val="center"/>
            <w:hideMark/>
          </w:tcPr>
          <w:p w:rsidR="00045C9A" w:rsidRPr="00E823C2" w:rsidRDefault="00045C9A" w:rsidP="00045C9A">
            <w:pPr>
              <w:jc w:val="center"/>
              <w:rPr>
                <w:rFonts w:asciiTheme="majorHAnsi" w:hAnsiTheme="majorHAnsi" w:cstheme="majorHAnsi"/>
                <w:b/>
                <w:bCs/>
                <w:color w:val="FFFFFF" w:themeColor="background1"/>
                <w:sz w:val="16"/>
                <w:szCs w:val="16"/>
              </w:rPr>
            </w:pPr>
          </w:p>
        </w:tc>
        <w:tc>
          <w:tcPr>
            <w:tcW w:w="988" w:type="dxa"/>
            <w:vMerge/>
            <w:shd w:val="clear" w:color="auto" w:fill="2F5496" w:themeFill="accent1" w:themeFillShade="BF"/>
            <w:vAlign w:val="center"/>
            <w:hideMark/>
          </w:tcPr>
          <w:p w:rsidR="00045C9A" w:rsidRPr="00E823C2" w:rsidRDefault="00045C9A" w:rsidP="00045C9A">
            <w:pPr>
              <w:jc w:val="center"/>
              <w:rPr>
                <w:rFonts w:asciiTheme="majorHAnsi" w:hAnsiTheme="majorHAnsi" w:cstheme="majorHAnsi"/>
                <w:b/>
                <w:bCs/>
                <w:color w:val="FFFFFF" w:themeColor="background1"/>
                <w:sz w:val="16"/>
                <w:szCs w:val="16"/>
              </w:rPr>
            </w:pPr>
          </w:p>
        </w:tc>
        <w:tc>
          <w:tcPr>
            <w:tcW w:w="733" w:type="dxa"/>
            <w:vMerge w:val="restart"/>
            <w:shd w:val="clear" w:color="auto" w:fill="2F5496" w:themeFill="accent1" w:themeFillShade="BF"/>
            <w:noWrap/>
            <w:vAlign w:val="center"/>
            <w:hideMark/>
          </w:tcPr>
          <w:p w:rsidR="00045C9A" w:rsidRPr="00E823C2" w:rsidRDefault="00045C9A" w:rsidP="00045C9A">
            <w:pPr>
              <w:jc w:val="center"/>
              <w:rPr>
                <w:rFonts w:asciiTheme="majorHAnsi" w:hAnsiTheme="majorHAnsi" w:cstheme="majorHAnsi"/>
                <w:b/>
                <w:bCs/>
                <w:color w:val="FFFFFF" w:themeColor="background1"/>
                <w:sz w:val="16"/>
                <w:szCs w:val="16"/>
              </w:rPr>
            </w:pPr>
            <w:r w:rsidRPr="00E823C2">
              <w:rPr>
                <w:rFonts w:asciiTheme="majorHAnsi" w:hAnsiTheme="majorHAnsi" w:cstheme="majorHAnsi"/>
                <w:b/>
                <w:bCs/>
                <w:color w:val="FFFFFF" w:themeColor="background1"/>
                <w:sz w:val="16"/>
                <w:szCs w:val="16"/>
              </w:rPr>
              <w:t>Funding Source</w:t>
            </w:r>
          </w:p>
        </w:tc>
        <w:tc>
          <w:tcPr>
            <w:tcW w:w="1299" w:type="dxa"/>
            <w:vMerge w:val="restart"/>
            <w:shd w:val="clear" w:color="auto" w:fill="2F5496" w:themeFill="accent1" w:themeFillShade="BF"/>
            <w:noWrap/>
            <w:vAlign w:val="center"/>
            <w:hideMark/>
          </w:tcPr>
          <w:p w:rsidR="00045C9A" w:rsidRPr="00E823C2" w:rsidRDefault="00045C9A" w:rsidP="00045C9A">
            <w:pPr>
              <w:jc w:val="center"/>
              <w:rPr>
                <w:rFonts w:asciiTheme="majorHAnsi" w:hAnsiTheme="majorHAnsi" w:cstheme="majorHAnsi"/>
                <w:b/>
                <w:bCs/>
                <w:color w:val="FFFFFF" w:themeColor="background1"/>
                <w:sz w:val="16"/>
                <w:szCs w:val="16"/>
              </w:rPr>
            </w:pPr>
            <w:r w:rsidRPr="00E823C2">
              <w:rPr>
                <w:rFonts w:asciiTheme="majorHAnsi" w:hAnsiTheme="majorHAnsi" w:cstheme="majorHAnsi"/>
                <w:b/>
                <w:bCs/>
                <w:color w:val="FFFFFF" w:themeColor="background1"/>
                <w:sz w:val="16"/>
                <w:szCs w:val="16"/>
              </w:rPr>
              <w:t>Budget Description</w:t>
            </w:r>
          </w:p>
        </w:tc>
        <w:tc>
          <w:tcPr>
            <w:tcW w:w="923" w:type="dxa"/>
            <w:vMerge w:val="restart"/>
            <w:shd w:val="clear" w:color="auto" w:fill="2F5496" w:themeFill="accent1" w:themeFillShade="BF"/>
            <w:noWrap/>
            <w:vAlign w:val="center"/>
            <w:hideMark/>
          </w:tcPr>
          <w:p w:rsidR="00045C9A" w:rsidRPr="00E823C2" w:rsidRDefault="00045C9A" w:rsidP="00045C9A">
            <w:pPr>
              <w:jc w:val="center"/>
              <w:rPr>
                <w:rFonts w:asciiTheme="majorHAnsi" w:hAnsiTheme="majorHAnsi" w:cstheme="majorHAnsi"/>
                <w:b/>
                <w:bCs/>
                <w:color w:val="FFFFFF" w:themeColor="background1"/>
                <w:sz w:val="16"/>
                <w:szCs w:val="16"/>
              </w:rPr>
            </w:pPr>
            <w:r w:rsidRPr="00E823C2">
              <w:rPr>
                <w:rFonts w:asciiTheme="majorHAnsi" w:hAnsiTheme="majorHAnsi" w:cstheme="majorHAnsi"/>
                <w:b/>
                <w:bCs/>
                <w:color w:val="FFFFFF" w:themeColor="background1"/>
                <w:sz w:val="16"/>
                <w:szCs w:val="16"/>
              </w:rPr>
              <w:t>Amount (USD)</w:t>
            </w:r>
          </w:p>
        </w:tc>
      </w:tr>
      <w:tr w:rsidR="00E823C2" w:rsidRPr="00E823C2" w:rsidTr="00E36F87">
        <w:trPr>
          <w:trHeight w:val="315"/>
          <w:tblHeader/>
        </w:trPr>
        <w:tc>
          <w:tcPr>
            <w:tcW w:w="1563" w:type="dxa"/>
            <w:vMerge/>
            <w:tcBorders>
              <w:bottom w:val="single" w:sz="4" w:space="0" w:color="auto"/>
            </w:tcBorders>
            <w:hideMark/>
          </w:tcPr>
          <w:p w:rsidR="00045C9A" w:rsidRPr="00E823C2" w:rsidRDefault="00045C9A" w:rsidP="00E823C2">
            <w:pPr>
              <w:rPr>
                <w:rFonts w:asciiTheme="majorHAnsi" w:hAnsiTheme="majorHAnsi" w:cstheme="majorHAnsi"/>
                <w:b/>
                <w:bCs/>
                <w:sz w:val="16"/>
                <w:szCs w:val="16"/>
              </w:rPr>
            </w:pPr>
          </w:p>
        </w:tc>
        <w:tc>
          <w:tcPr>
            <w:tcW w:w="3953" w:type="dxa"/>
            <w:vMerge/>
            <w:tcBorders>
              <w:bottom w:val="single" w:sz="4" w:space="0" w:color="auto"/>
            </w:tcBorders>
            <w:hideMark/>
          </w:tcPr>
          <w:p w:rsidR="00045C9A" w:rsidRPr="00E823C2" w:rsidRDefault="00045C9A" w:rsidP="00E823C2">
            <w:pPr>
              <w:rPr>
                <w:rFonts w:asciiTheme="majorHAnsi" w:hAnsiTheme="majorHAnsi" w:cstheme="majorHAnsi"/>
                <w:b/>
                <w:bCs/>
                <w:sz w:val="16"/>
                <w:szCs w:val="16"/>
              </w:rPr>
            </w:pPr>
          </w:p>
        </w:tc>
        <w:tc>
          <w:tcPr>
            <w:tcW w:w="942" w:type="dxa"/>
            <w:tcBorders>
              <w:bottom w:val="single" w:sz="4" w:space="0" w:color="auto"/>
            </w:tcBorders>
            <w:shd w:val="clear" w:color="auto" w:fill="2F5496" w:themeFill="accent1" w:themeFillShade="BF"/>
            <w:noWrap/>
            <w:hideMark/>
          </w:tcPr>
          <w:p w:rsidR="00045C9A" w:rsidRPr="00E823C2" w:rsidRDefault="00045C9A" w:rsidP="00E823C2">
            <w:pPr>
              <w:rPr>
                <w:rFonts w:asciiTheme="majorHAnsi" w:hAnsiTheme="majorHAnsi" w:cstheme="majorHAnsi"/>
                <w:b/>
                <w:bCs/>
                <w:color w:val="FFFFFF" w:themeColor="background1"/>
                <w:sz w:val="16"/>
                <w:szCs w:val="16"/>
              </w:rPr>
            </w:pPr>
            <w:r w:rsidRPr="00E823C2">
              <w:rPr>
                <w:rFonts w:asciiTheme="majorHAnsi" w:hAnsiTheme="majorHAnsi" w:cstheme="majorHAnsi"/>
                <w:b/>
                <w:bCs/>
                <w:color w:val="FFFFFF" w:themeColor="background1"/>
                <w:sz w:val="16"/>
                <w:szCs w:val="16"/>
              </w:rPr>
              <w:t>2019</w:t>
            </w:r>
          </w:p>
        </w:tc>
        <w:tc>
          <w:tcPr>
            <w:tcW w:w="942" w:type="dxa"/>
            <w:tcBorders>
              <w:bottom w:val="single" w:sz="4" w:space="0" w:color="auto"/>
            </w:tcBorders>
            <w:shd w:val="clear" w:color="auto" w:fill="2F5496" w:themeFill="accent1" w:themeFillShade="BF"/>
            <w:noWrap/>
            <w:hideMark/>
          </w:tcPr>
          <w:p w:rsidR="00045C9A" w:rsidRPr="00E823C2" w:rsidRDefault="00045C9A" w:rsidP="00E823C2">
            <w:pPr>
              <w:rPr>
                <w:rFonts w:asciiTheme="majorHAnsi" w:hAnsiTheme="majorHAnsi" w:cstheme="majorHAnsi"/>
                <w:b/>
                <w:bCs/>
                <w:color w:val="FFFFFF" w:themeColor="background1"/>
                <w:sz w:val="16"/>
                <w:szCs w:val="16"/>
              </w:rPr>
            </w:pPr>
            <w:r w:rsidRPr="00E823C2">
              <w:rPr>
                <w:rFonts w:asciiTheme="majorHAnsi" w:hAnsiTheme="majorHAnsi" w:cstheme="majorHAnsi"/>
                <w:b/>
                <w:bCs/>
                <w:color w:val="FFFFFF" w:themeColor="background1"/>
                <w:sz w:val="16"/>
                <w:szCs w:val="16"/>
              </w:rPr>
              <w:t>2020</w:t>
            </w:r>
          </w:p>
        </w:tc>
        <w:tc>
          <w:tcPr>
            <w:tcW w:w="942" w:type="dxa"/>
            <w:tcBorders>
              <w:bottom w:val="single" w:sz="4" w:space="0" w:color="auto"/>
            </w:tcBorders>
            <w:shd w:val="clear" w:color="auto" w:fill="2F5496" w:themeFill="accent1" w:themeFillShade="BF"/>
            <w:noWrap/>
            <w:hideMark/>
          </w:tcPr>
          <w:p w:rsidR="00045C9A" w:rsidRPr="00E823C2" w:rsidRDefault="00045C9A" w:rsidP="00E823C2">
            <w:pPr>
              <w:rPr>
                <w:rFonts w:asciiTheme="majorHAnsi" w:hAnsiTheme="majorHAnsi" w:cstheme="majorHAnsi"/>
                <w:b/>
                <w:bCs/>
                <w:color w:val="FFFFFF" w:themeColor="background1"/>
                <w:sz w:val="16"/>
                <w:szCs w:val="16"/>
              </w:rPr>
            </w:pPr>
            <w:r w:rsidRPr="00E823C2">
              <w:rPr>
                <w:rFonts w:asciiTheme="majorHAnsi" w:hAnsiTheme="majorHAnsi" w:cstheme="majorHAnsi"/>
                <w:b/>
                <w:bCs/>
                <w:color w:val="FFFFFF" w:themeColor="background1"/>
                <w:sz w:val="16"/>
                <w:szCs w:val="16"/>
              </w:rPr>
              <w:t>2021</w:t>
            </w:r>
          </w:p>
        </w:tc>
        <w:tc>
          <w:tcPr>
            <w:tcW w:w="1048" w:type="dxa"/>
            <w:tcBorders>
              <w:bottom w:val="single" w:sz="4" w:space="0" w:color="auto"/>
            </w:tcBorders>
            <w:shd w:val="clear" w:color="auto" w:fill="2F5496" w:themeFill="accent1" w:themeFillShade="BF"/>
            <w:noWrap/>
            <w:hideMark/>
          </w:tcPr>
          <w:p w:rsidR="00045C9A" w:rsidRPr="00E823C2" w:rsidRDefault="00045C9A" w:rsidP="00E823C2">
            <w:pPr>
              <w:rPr>
                <w:rFonts w:asciiTheme="majorHAnsi" w:hAnsiTheme="majorHAnsi" w:cstheme="majorHAnsi"/>
                <w:b/>
                <w:bCs/>
                <w:color w:val="FFFFFF" w:themeColor="background1"/>
                <w:sz w:val="16"/>
                <w:szCs w:val="16"/>
              </w:rPr>
            </w:pPr>
            <w:r w:rsidRPr="00E823C2">
              <w:rPr>
                <w:rFonts w:asciiTheme="majorHAnsi" w:hAnsiTheme="majorHAnsi" w:cstheme="majorHAnsi"/>
                <w:b/>
                <w:bCs/>
                <w:color w:val="FFFFFF" w:themeColor="background1"/>
                <w:sz w:val="16"/>
                <w:szCs w:val="16"/>
              </w:rPr>
              <w:t>2022</w:t>
            </w:r>
          </w:p>
        </w:tc>
        <w:tc>
          <w:tcPr>
            <w:tcW w:w="831" w:type="dxa"/>
            <w:tcBorders>
              <w:bottom w:val="single" w:sz="4" w:space="0" w:color="auto"/>
            </w:tcBorders>
            <w:shd w:val="clear" w:color="auto" w:fill="2F5496" w:themeFill="accent1" w:themeFillShade="BF"/>
            <w:noWrap/>
            <w:hideMark/>
          </w:tcPr>
          <w:p w:rsidR="00045C9A" w:rsidRPr="00E823C2" w:rsidRDefault="00045C9A" w:rsidP="00E823C2">
            <w:pPr>
              <w:rPr>
                <w:rFonts w:asciiTheme="majorHAnsi" w:hAnsiTheme="majorHAnsi" w:cstheme="majorHAnsi"/>
                <w:b/>
                <w:bCs/>
                <w:color w:val="FFFFFF" w:themeColor="background1"/>
                <w:sz w:val="16"/>
                <w:szCs w:val="16"/>
              </w:rPr>
            </w:pPr>
            <w:r w:rsidRPr="00E823C2">
              <w:rPr>
                <w:rFonts w:asciiTheme="majorHAnsi" w:hAnsiTheme="majorHAnsi" w:cstheme="majorHAnsi"/>
                <w:b/>
                <w:bCs/>
                <w:color w:val="FFFFFF" w:themeColor="background1"/>
                <w:sz w:val="16"/>
                <w:szCs w:val="16"/>
              </w:rPr>
              <w:t>2023</w:t>
            </w:r>
          </w:p>
        </w:tc>
        <w:tc>
          <w:tcPr>
            <w:tcW w:w="743" w:type="dxa"/>
            <w:tcBorders>
              <w:bottom w:val="single" w:sz="4" w:space="0" w:color="auto"/>
            </w:tcBorders>
            <w:shd w:val="clear" w:color="auto" w:fill="2F5496" w:themeFill="accent1" w:themeFillShade="BF"/>
            <w:noWrap/>
            <w:hideMark/>
          </w:tcPr>
          <w:p w:rsidR="00045C9A" w:rsidRPr="00E823C2" w:rsidRDefault="00045C9A" w:rsidP="00E823C2">
            <w:pPr>
              <w:rPr>
                <w:rFonts w:asciiTheme="majorHAnsi" w:hAnsiTheme="majorHAnsi" w:cstheme="majorHAnsi"/>
                <w:b/>
                <w:bCs/>
                <w:color w:val="FFFFFF" w:themeColor="background1"/>
                <w:sz w:val="16"/>
                <w:szCs w:val="16"/>
              </w:rPr>
            </w:pPr>
            <w:r w:rsidRPr="00E823C2">
              <w:rPr>
                <w:rFonts w:asciiTheme="majorHAnsi" w:hAnsiTheme="majorHAnsi" w:cstheme="majorHAnsi"/>
                <w:b/>
                <w:bCs/>
                <w:color w:val="FFFFFF" w:themeColor="background1"/>
                <w:sz w:val="16"/>
                <w:szCs w:val="16"/>
              </w:rPr>
              <w:t>2024</w:t>
            </w:r>
          </w:p>
        </w:tc>
        <w:tc>
          <w:tcPr>
            <w:tcW w:w="988" w:type="dxa"/>
            <w:vMerge/>
            <w:tcBorders>
              <w:bottom w:val="single" w:sz="4" w:space="0" w:color="auto"/>
            </w:tcBorders>
            <w:hideMark/>
          </w:tcPr>
          <w:p w:rsidR="00045C9A" w:rsidRPr="00E823C2" w:rsidRDefault="00045C9A" w:rsidP="00E823C2">
            <w:pPr>
              <w:rPr>
                <w:rFonts w:asciiTheme="majorHAnsi" w:hAnsiTheme="majorHAnsi" w:cstheme="majorHAnsi"/>
                <w:b/>
                <w:bCs/>
                <w:sz w:val="16"/>
                <w:szCs w:val="16"/>
              </w:rPr>
            </w:pPr>
          </w:p>
        </w:tc>
        <w:tc>
          <w:tcPr>
            <w:tcW w:w="733" w:type="dxa"/>
            <w:vMerge/>
            <w:tcBorders>
              <w:bottom w:val="single" w:sz="4" w:space="0" w:color="auto"/>
            </w:tcBorders>
            <w:hideMark/>
          </w:tcPr>
          <w:p w:rsidR="00045C9A" w:rsidRPr="00E823C2" w:rsidRDefault="00045C9A" w:rsidP="00E823C2">
            <w:pPr>
              <w:rPr>
                <w:rFonts w:asciiTheme="majorHAnsi" w:hAnsiTheme="majorHAnsi" w:cstheme="majorHAnsi"/>
                <w:sz w:val="16"/>
                <w:szCs w:val="16"/>
              </w:rPr>
            </w:pPr>
          </w:p>
        </w:tc>
        <w:tc>
          <w:tcPr>
            <w:tcW w:w="1299" w:type="dxa"/>
            <w:vMerge/>
            <w:tcBorders>
              <w:bottom w:val="single" w:sz="4" w:space="0" w:color="auto"/>
            </w:tcBorders>
            <w:hideMark/>
          </w:tcPr>
          <w:p w:rsidR="00045C9A" w:rsidRPr="00E823C2" w:rsidRDefault="00045C9A" w:rsidP="00E823C2">
            <w:pPr>
              <w:rPr>
                <w:rFonts w:asciiTheme="majorHAnsi" w:hAnsiTheme="majorHAnsi" w:cstheme="majorHAnsi"/>
                <w:sz w:val="16"/>
                <w:szCs w:val="16"/>
              </w:rPr>
            </w:pPr>
          </w:p>
        </w:tc>
        <w:tc>
          <w:tcPr>
            <w:tcW w:w="923" w:type="dxa"/>
            <w:vMerge/>
            <w:tcBorders>
              <w:bottom w:val="single" w:sz="4" w:space="0" w:color="auto"/>
            </w:tcBorders>
            <w:hideMark/>
          </w:tcPr>
          <w:p w:rsidR="00045C9A" w:rsidRPr="00E823C2" w:rsidRDefault="00045C9A" w:rsidP="00E823C2">
            <w:pPr>
              <w:rPr>
                <w:rFonts w:asciiTheme="majorHAnsi" w:hAnsiTheme="majorHAnsi" w:cstheme="majorHAnsi"/>
                <w:sz w:val="16"/>
                <w:szCs w:val="16"/>
              </w:rPr>
            </w:pPr>
          </w:p>
        </w:tc>
      </w:tr>
      <w:tr w:rsidR="00045C9A" w:rsidRPr="00E823C2" w:rsidTr="00E36F87">
        <w:trPr>
          <w:trHeight w:val="315"/>
        </w:trPr>
        <w:tc>
          <w:tcPr>
            <w:tcW w:w="14907" w:type="dxa"/>
            <w:gridSpan w:val="12"/>
            <w:shd w:val="clear" w:color="auto" w:fill="BFBFBF" w:themeFill="background1" w:themeFillShade="BF"/>
            <w:noWrap/>
            <w:hideMark/>
          </w:tcPr>
          <w:p w:rsidR="00045C9A" w:rsidRPr="00E823C2" w:rsidRDefault="00045C9A" w:rsidP="00E823C2">
            <w:pPr>
              <w:rPr>
                <w:rFonts w:asciiTheme="majorHAnsi" w:hAnsiTheme="majorHAnsi" w:cstheme="majorHAnsi"/>
                <w:b/>
                <w:bCs/>
                <w:sz w:val="16"/>
                <w:szCs w:val="16"/>
              </w:rPr>
            </w:pPr>
            <w:r w:rsidRPr="00E823C2">
              <w:rPr>
                <w:rFonts w:asciiTheme="majorHAnsi" w:hAnsiTheme="majorHAnsi" w:cstheme="majorHAnsi"/>
                <w:b/>
                <w:bCs/>
                <w:sz w:val="16"/>
                <w:szCs w:val="16"/>
              </w:rPr>
              <w:t xml:space="preserve"> Outcome 1: Government planning and financing systems enable gender sensitive and inclusive risk-informed development </w:t>
            </w:r>
          </w:p>
        </w:tc>
      </w:tr>
      <w:tr w:rsidR="00E36F87" w:rsidRPr="00E823C2" w:rsidTr="00B95C66">
        <w:trPr>
          <w:trHeight w:val="915"/>
        </w:trPr>
        <w:tc>
          <w:tcPr>
            <w:tcW w:w="1563" w:type="dxa"/>
            <w:vMerge w:val="restart"/>
            <w:hideMark/>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sz w:val="16"/>
                <w:szCs w:val="16"/>
              </w:rPr>
              <w:t xml:space="preserve"> Output 1.1 Integration of risk into national planning and financing  </w:t>
            </w:r>
          </w:p>
        </w:tc>
        <w:tc>
          <w:tcPr>
            <w:tcW w:w="3953" w:type="dxa"/>
            <w:hideMark/>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sz w:val="16"/>
                <w:szCs w:val="16"/>
              </w:rPr>
              <w:t xml:space="preserve"> Activity 1.1.1 Integration of RID into </w:t>
            </w:r>
            <w:proofErr w:type="gramStart"/>
            <w:r w:rsidRPr="00E823C2">
              <w:rPr>
                <w:rFonts w:asciiTheme="majorHAnsi" w:hAnsiTheme="majorHAnsi" w:cstheme="majorHAnsi"/>
                <w:sz w:val="16"/>
                <w:szCs w:val="16"/>
              </w:rPr>
              <w:t>planning  appraisal</w:t>
            </w:r>
            <w:proofErr w:type="gramEnd"/>
            <w:r w:rsidRPr="00E823C2">
              <w:rPr>
                <w:rFonts w:asciiTheme="majorHAnsi" w:hAnsiTheme="majorHAnsi" w:cstheme="majorHAnsi"/>
                <w:sz w:val="16"/>
                <w:szCs w:val="16"/>
              </w:rPr>
              <w:t xml:space="preserve">, monitoring &amp; evaluation processes. Provision of training for guidelines and tools developed. Integration of institutionalised capacity for planning </w:t>
            </w:r>
            <w:proofErr w:type="spellStart"/>
            <w:r w:rsidRPr="00E823C2">
              <w:rPr>
                <w:rFonts w:asciiTheme="majorHAnsi" w:hAnsiTheme="majorHAnsi" w:cstheme="majorHAnsi"/>
                <w:sz w:val="16"/>
                <w:szCs w:val="16"/>
              </w:rPr>
              <w:t>directoriate</w:t>
            </w:r>
            <w:proofErr w:type="spellEnd"/>
            <w:r w:rsidRPr="00E823C2">
              <w:rPr>
                <w:rFonts w:asciiTheme="majorHAnsi" w:hAnsiTheme="majorHAnsi" w:cstheme="majorHAnsi"/>
                <w:sz w:val="16"/>
                <w:szCs w:val="16"/>
              </w:rPr>
              <w:t xml:space="preserve"> </w:t>
            </w:r>
          </w:p>
        </w:tc>
        <w:tc>
          <w:tcPr>
            <w:tcW w:w="942"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100,219</w:t>
            </w:r>
          </w:p>
        </w:tc>
        <w:tc>
          <w:tcPr>
            <w:tcW w:w="942"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129,583</w:t>
            </w:r>
          </w:p>
        </w:tc>
        <w:tc>
          <w:tcPr>
            <w:tcW w:w="942"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265,380</w:t>
            </w:r>
          </w:p>
        </w:tc>
        <w:tc>
          <w:tcPr>
            <w:tcW w:w="1048"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191,519</w:t>
            </w:r>
          </w:p>
        </w:tc>
        <w:tc>
          <w:tcPr>
            <w:tcW w:w="831"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50,110</w:t>
            </w:r>
          </w:p>
        </w:tc>
        <w:tc>
          <w:tcPr>
            <w:tcW w:w="743"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14,832</w:t>
            </w:r>
          </w:p>
        </w:tc>
        <w:tc>
          <w:tcPr>
            <w:tcW w:w="988" w:type="dxa"/>
            <w:vMerge w:val="restart"/>
            <w:noWrap/>
            <w:vAlign w:val="center"/>
          </w:tcPr>
          <w:p w:rsidR="00E36F87" w:rsidRPr="00E823C2" w:rsidRDefault="00E36F87" w:rsidP="00E36F87">
            <w:pPr>
              <w:rPr>
                <w:rFonts w:asciiTheme="majorHAnsi" w:hAnsiTheme="majorHAnsi" w:cstheme="majorHAnsi"/>
                <w:sz w:val="16"/>
                <w:szCs w:val="16"/>
              </w:rPr>
            </w:pPr>
            <w:r>
              <w:rPr>
                <w:rFonts w:cs="Calibri Light"/>
                <w:color w:val="000000"/>
                <w:sz w:val="16"/>
                <w:szCs w:val="16"/>
              </w:rPr>
              <w:t xml:space="preserve"> UNDP </w:t>
            </w:r>
          </w:p>
          <w:p w:rsidR="00E36F87" w:rsidRPr="00E823C2" w:rsidRDefault="00E36F87" w:rsidP="00E36F87">
            <w:pPr>
              <w:rPr>
                <w:rFonts w:asciiTheme="majorHAnsi" w:hAnsiTheme="majorHAnsi" w:cstheme="majorHAnsi"/>
                <w:sz w:val="16"/>
                <w:szCs w:val="16"/>
              </w:rPr>
            </w:pPr>
            <w:r>
              <w:rPr>
                <w:rFonts w:cs="Calibri Light"/>
                <w:color w:val="000000"/>
                <w:sz w:val="16"/>
                <w:szCs w:val="16"/>
              </w:rPr>
              <w:t> </w:t>
            </w:r>
          </w:p>
        </w:tc>
        <w:tc>
          <w:tcPr>
            <w:tcW w:w="733" w:type="dxa"/>
            <w:vMerge w:val="restart"/>
            <w:vAlign w:val="center"/>
          </w:tcPr>
          <w:p w:rsidR="00E36F87" w:rsidRPr="00E823C2" w:rsidRDefault="00E36F87" w:rsidP="00E36F87">
            <w:pPr>
              <w:rPr>
                <w:rFonts w:asciiTheme="majorHAnsi" w:hAnsiTheme="majorHAnsi" w:cstheme="majorHAnsi"/>
                <w:sz w:val="16"/>
                <w:szCs w:val="16"/>
              </w:rPr>
            </w:pPr>
            <w:r>
              <w:rPr>
                <w:rFonts w:cs="Calibri Light"/>
                <w:color w:val="000000"/>
                <w:sz w:val="16"/>
                <w:szCs w:val="16"/>
              </w:rPr>
              <w:t xml:space="preserve"> KOICA </w:t>
            </w:r>
          </w:p>
          <w:p w:rsidR="00E36F87" w:rsidRPr="00E823C2" w:rsidRDefault="00E36F87" w:rsidP="00E36F87">
            <w:pPr>
              <w:rPr>
                <w:rFonts w:asciiTheme="majorHAnsi" w:hAnsiTheme="majorHAnsi" w:cstheme="majorHAnsi"/>
                <w:sz w:val="16"/>
                <w:szCs w:val="16"/>
              </w:rPr>
            </w:pPr>
            <w:r>
              <w:rPr>
                <w:rFonts w:cs="Calibri Light"/>
                <w:color w:val="000000"/>
                <w:sz w:val="16"/>
                <w:szCs w:val="16"/>
              </w:rPr>
              <w:t> </w:t>
            </w:r>
          </w:p>
        </w:tc>
        <w:tc>
          <w:tcPr>
            <w:tcW w:w="1299" w:type="dxa"/>
            <w:vMerge w:val="restart"/>
            <w:vAlign w:val="center"/>
          </w:tcPr>
          <w:p w:rsidR="00E36F87" w:rsidRPr="00E823C2" w:rsidRDefault="00E36F87" w:rsidP="00E36F87">
            <w:pPr>
              <w:rPr>
                <w:rFonts w:asciiTheme="majorHAnsi" w:hAnsiTheme="majorHAnsi" w:cstheme="majorHAnsi"/>
                <w:sz w:val="16"/>
                <w:szCs w:val="16"/>
              </w:rPr>
            </w:pPr>
            <w:r>
              <w:rPr>
                <w:rFonts w:cs="Calibri Light"/>
                <w:color w:val="000000"/>
                <w:sz w:val="16"/>
                <w:szCs w:val="16"/>
              </w:rPr>
              <w:t xml:space="preserve"> Knowledge Events; Diffusion Products; Knowledge tools &amp; Policies, Government Posts and Technical Assistance </w:t>
            </w:r>
          </w:p>
        </w:tc>
        <w:tc>
          <w:tcPr>
            <w:tcW w:w="923"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751,643</w:t>
            </w:r>
          </w:p>
        </w:tc>
      </w:tr>
      <w:tr w:rsidR="00E36F87" w:rsidRPr="00E823C2" w:rsidTr="00E36F87">
        <w:trPr>
          <w:trHeight w:val="1062"/>
        </w:trPr>
        <w:tc>
          <w:tcPr>
            <w:tcW w:w="1563" w:type="dxa"/>
            <w:vMerge/>
            <w:hideMark/>
          </w:tcPr>
          <w:p w:rsidR="00E36F87" w:rsidRPr="00E823C2" w:rsidRDefault="00E36F87" w:rsidP="00E36F87">
            <w:pPr>
              <w:rPr>
                <w:rFonts w:asciiTheme="majorHAnsi" w:hAnsiTheme="majorHAnsi" w:cstheme="majorHAnsi"/>
                <w:sz w:val="16"/>
                <w:szCs w:val="16"/>
              </w:rPr>
            </w:pPr>
          </w:p>
        </w:tc>
        <w:tc>
          <w:tcPr>
            <w:tcW w:w="3953" w:type="dxa"/>
            <w:hideMark/>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sz w:val="16"/>
                <w:szCs w:val="16"/>
              </w:rPr>
              <w:t xml:space="preserve"> Activity 1.1.2 Integration of </w:t>
            </w:r>
            <w:proofErr w:type="gramStart"/>
            <w:r w:rsidRPr="00E823C2">
              <w:rPr>
                <w:rFonts w:asciiTheme="majorHAnsi" w:hAnsiTheme="majorHAnsi" w:cstheme="majorHAnsi"/>
                <w:sz w:val="16"/>
                <w:szCs w:val="16"/>
              </w:rPr>
              <w:t>RID  into</w:t>
            </w:r>
            <w:proofErr w:type="gramEnd"/>
            <w:r w:rsidRPr="00E823C2">
              <w:rPr>
                <w:rFonts w:asciiTheme="majorHAnsi" w:hAnsiTheme="majorHAnsi" w:cstheme="majorHAnsi"/>
                <w:sz w:val="16"/>
                <w:szCs w:val="16"/>
              </w:rPr>
              <w:t xml:space="preserve"> budget circular, submissions, Financial Management Information Systems  processes. Provision of training for guidelines, tools developed. Integration of institutionalised capacity for budget </w:t>
            </w:r>
            <w:proofErr w:type="spellStart"/>
            <w:r w:rsidRPr="00E823C2">
              <w:rPr>
                <w:rFonts w:asciiTheme="majorHAnsi" w:hAnsiTheme="majorHAnsi" w:cstheme="majorHAnsi"/>
                <w:sz w:val="16"/>
                <w:szCs w:val="16"/>
              </w:rPr>
              <w:t>directoriate</w:t>
            </w:r>
            <w:proofErr w:type="spellEnd"/>
            <w:r w:rsidRPr="00E823C2">
              <w:rPr>
                <w:rFonts w:asciiTheme="majorHAnsi" w:hAnsiTheme="majorHAnsi" w:cstheme="majorHAnsi"/>
                <w:sz w:val="16"/>
                <w:szCs w:val="16"/>
              </w:rPr>
              <w:t xml:space="preserve">. </w:t>
            </w:r>
          </w:p>
        </w:tc>
        <w:tc>
          <w:tcPr>
            <w:tcW w:w="942"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109,330</w:t>
            </w:r>
          </w:p>
        </w:tc>
        <w:tc>
          <w:tcPr>
            <w:tcW w:w="942"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141,364</w:t>
            </w:r>
          </w:p>
        </w:tc>
        <w:tc>
          <w:tcPr>
            <w:tcW w:w="942"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289,505</w:t>
            </w:r>
          </w:p>
        </w:tc>
        <w:tc>
          <w:tcPr>
            <w:tcW w:w="1048"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208,929</w:t>
            </w:r>
          </w:p>
        </w:tc>
        <w:tc>
          <w:tcPr>
            <w:tcW w:w="831"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54,665</w:t>
            </w:r>
          </w:p>
        </w:tc>
        <w:tc>
          <w:tcPr>
            <w:tcW w:w="743"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16,181</w:t>
            </w:r>
          </w:p>
        </w:tc>
        <w:tc>
          <w:tcPr>
            <w:tcW w:w="988" w:type="dxa"/>
            <w:vMerge/>
            <w:vAlign w:val="center"/>
          </w:tcPr>
          <w:p w:rsidR="00E36F87" w:rsidRPr="00E823C2" w:rsidRDefault="00E36F87" w:rsidP="00E36F87">
            <w:pPr>
              <w:rPr>
                <w:rFonts w:asciiTheme="majorHAnsi" w:hAnsiTheme="majorHAnsi" w:cstheme="majorHAnsi"/>
                <w:sz w:val="16"/>
                <w:szCs w:val="16"/>
              </w:rPr>
            </w:pPr>
          </w:p>
        </w:tc>
        <w:tc>
          <w:tcPr>
            <w:tcW w:w="733" w:type="dxa"/>
            <w:vMerge/>
            <w:vAlign w:val="center"/>
          </w:tcPr>
          <w:p w:rsidR="00E36F87" w:rsidRPr="00E823C2" w:rsidRDefault="00E36F87" w:rsidP="00E36F87">
            <w:pPr>
              <w:rPr>
                <w:rFonts w:asciiTheme="majorHAnsi" w:hAnsiTheme="majorHAnsi" w:cstheme="majorHAnsi"/>
                <w:sz w:val="16"/>
                <w:szCs w:val="16"/>
              </w:rPr>
            </w:pPr>
          </w:p>
        </w:tc>
        <w:tc>
          <w:tcPr>
            <w:tcW w:w="1299" w:type="dxa"/>
            <w:vMerge/>
            <w:vAlign w:val="center"/>
          </w:tcPr>
          <w:p w:rsidR="00E36F87" w:rsidRPr="00E823C2" w:rsidRDefault="00E36F87" w:rsidP="00E36F87">
            <w:pPr>
              <w:rPr>
                <w:rFonts w:asciiTheme="majorHAnsi" w:hAnsiTheme="majorHAnsi" w:cstheme="majorHAnsi"/>
                <w:sz w:val="16"/>
                <w:szCs w:val="16"/>
              </w:rPr>
            </w:pPr>
          </w:p>
        </w:tc>
        <w:tc>
          <w:tcPr>
            <w:tcW w:w="923"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819,974</w:t>
            </w:r>
          </w:p>
        </w:tc>
      </w:tr>
      <w:tr w:rsidR="00E36F87" w:rsidRPr="00E823C2" w:rsidTr="00B95C66">
        <w:trPr>
          <w:trHeight w:val="915"/>
        </w:trPr>
        <w:tc>
          <w:tcPr>
            <w:tcW w:w="1563" w:type="dxa"/>
            <w:vMerge w:val="restart"/>
            <w:hideMark/>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sz w:val="16"/>
                <w:szCs w:val="16"/>
              </w:rPr>
              <w:t xml:space="preserve"> Output 1.2 Integration of risk into community and sectoral development </w:t>
            </w:r>
          </w:p>
        </w:tc>
        <w:tc>
          <w:tcPr>
            <w:tcW w:w="3953" w:type="dxa"/>
            <w:hideMark/>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sz w:val="16"/>
                <w:szCs w:val="16"/>
              </w:rPr>
              <w:t xml:space="preserve"> Activity 1.2.1 Integration of RID into community and sector </w:t>
            </w:r>
            <w:proofErr w:type="gramStart"/>
            <w:r w:rsidRPr="00E823C2">
              <w:rPr>
                <w:rFonts w:asciiTheme="majorHAnsi" w:hAnsiTheme="majorHAnsi" w:cstheme="majorHAnsi"/>
                <w:sz w:val="16"/>
                <w:szCs w:val="16"/>
              </w:rPr>
              <w:t>planning  appraisal</w:t>
            </w:r>
            <w:proofErr w:type="gramEnd"/>
            <w:r w:rsidRPr="00E823C2">
              <w:rPr>
                <w:rFonts w:asciiTheme="majorHAnsi" w:hAnsiTheme="majorHAnsi" w:cstheme="majorHAnsi"/>
                <w:sz w:val="16"/>
                <w:szCs w:val="16"/>
              </w:rPr>
              <w:t xml:space="preserve"> processes. Provision of training for guidelines and tools developed. Integration of institutionalised capacity for planning and finance at community and sector level. </w:t>
            </w:r>
          </w:p>
        </w:tc>
        <w:tc>
          <w:tcPr>
            <w:tcW w:w="942"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191,327</w:t>
            </w:r>
          </w:p>
        </w:tc>
        <w:tc>
          <w:tcPr>
            <w:tcW w:w="942"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247,386</w:t>
            </w:r>
          </w:p>
        </w:tc>
        <w:tc>
          <w:tcPr>
            <w:tcW w:w="942"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506,635</w:t>
            </w:r>
          </w:p>
        </w:tc>
        <w:tc>
          <w:tcPr>
            <w:tcW w:w="1048"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365,627</w:t>
            </w:r>
          </w:p>
        </w:tc>
        <w:tc>
          <w:tcPr>
            <w:tcW w:w="831"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95,664</w:t>
            </w:r>
          </w:p>
        </w:tc>
        <w:tc>
          <w:tcPr>
            <w:tcW w:w="743"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28,316</w:t>
            </w:r>
          </w:p>
        </w:tc>
        <w:tc>
          <w:tcPr>
            <w:tcW w:w="988" w:type="dxa"/>
            <w:vMerge w:val="restart"/>
            <w:noWrap/>
            <w:vAlign w:val="center"/>
          </w:tcPr>
          <w:p w:rsidR="00E36F87" w:rsidRPr="00E823C2" w:rsidRDefault="00E36F87" w:rsidP="00E36F87">
            <w:pPr>
              <w:rPr>
                <w:rFonts w:asciiTheme="majorHAnsi" w:hAnsiTheme="majorHAnsi" w:cstheme="majorHAnsi"/>
                <w:sz w:val="16"/>
                <w:szCs w:val="16"/>
              </w:rPr>
            </w:pPr>
            <w:r>
              <w:rPr>
                <w:rFonts w:cs="Calibri Light"/>
                <w:color w:val="000000"/>
                <w:sz w:val="16"/>
                <w:szCs w:val="16"/>
              </w:rPr>
              <w:t xml:space="preserve"> UNDP </w:t>
            </w:r>
          </w:p>
          <w:p w:rsidR="00E36F87" w:rsidRPr="00E823C2" w:rsidRDefault="00E36F87" w:rsidP="00E36F87">
            <w:pPr>
              <w:rPr>
                <w:rFonts w:asciiTheme="majorHAnsi" w:hAnsiTheme="majorHAnsi" w:cstheme="majorHAnsi"/>
                <w:sz w:val="16"/>
                <w:szCs w:val="16"/>
              </w:rPr>
            </w:pPr>
            <w:r>
              <w:rPr>
                <w:rFonts w:cs="Calibri Light"/>
                <w:color w:val="000000"/>
                <w:sz w:val="16"/>
                <w:szCs w:val="16"/>
              </w:rPr>
              <w:t> </w:t>
            </w:r>
          </w:p>
        </w:tc>
        <w:tc>
          <w:tcPr>
            <w:tcW w:w="733" w:type="dxa"/>
            <w:vMerge w:val="restart"/>
            <w:vAlign w:val="center"/>
          </w:tcPr>
          <w:p w:rsidR="00E36F87" w:rsidRPr="00E823C2" w:rsidRDefault="00E36F87" w:rsidP="00E36F87">
            <w:pPr>
              <w:rPr>
                <w:rFonts w:asciiTheme="majorHAnsi" w:hAnsiTheme="majorHAnsi" w:cstheme="majorHAnsi"/>
                <w:sz w:val="16"/>
                <w:szCs w:val="16"/>
              </w:rPr>
            </w:pPr>
            <w:r>
              <w:rPr>
                <w:rFonts w:cs="Calibri Light"/>
                <w:color w:val="000000"/>
                <w:sz w:val="16"/>
                <w:szCs w:val="16"/>
              </w:rPr>
              <w:t xml:space="preserve"> KOICA </w:t>
            </w:r>
          </w:p>
          <w:p w:rsidR="00E36F87" w:rsidRPr="00E823C2" w:rsidRDefault="00E36F87" w:rsidP="00E36F87">
            <w:pPr>
              <w:rPr>
                <w:rFonts w:asciiTheme="majorHAnsi" w:hAnsiTheme="majorHAnsi" w:cstheme="majorHAnsi"/>
                <w:sz w:val="16"/>
                <w:szCs w:val="16"/>
              </w:rPr>
            </w:pPr>
            <w:r>
              <w:rPr>
                <w:rFonts w:cs="Calibri Light"/>
                <w:color w:val="000000"/>
                <w:sz w:val="16"/>
                <w:szCs w:val="16"/>
              </w:rPr>
              <w:t> </w:t>
            </w:r>
          </w:p>
        </w:tc>
        <w:tc>
          <w:tcPr>
            <w:tcW w:w="1299" w:type="dxa"/>
            <w:vMerge w:val="restart"/>
            <w:vAlign w:val="center"/>
          </w:tcPr>
          <w:p w:rsidR="00E36F87" w:rsidRPr="00E823C2" w:rsidRDefault="00E36F87" w:rsidP="00E36F87">
            <w:pPr>
              <w:rPr>
                <w:rFonts w:asciiTheme="majorHAnsi" w:hAnsiTheme="majorHAnsi" w:cstheme="majorHAnsi"/>
                <w:sz w:val="16"/>
                <w:szCs w:val="16"/>
              </w:rPr>
            </w:pPr>
            <w:r>
              <w:rPr>
                <w:rFonts w:cs="Calibri Light"/>
                <w:color w:val="000000"/>
                <w:sz w:val="16"/>
                <w:szCs w:val="16"/>
              </w:rPr>
              <w:t xml:space="preserve"> Knowledge Events; Diffusion Products; Knowledge tools &amp; Policies, Government Posts, Technical Assistance and Grants (Targeted Implementation) </w:t>
            </w:r>
          </w:p>
        </w:tc>
        <w:tc>
          <w:tcPr>
            <w:tcW w:w="923"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1,434,955</w:t>
            </w:r>
          </w:p>
        </w:tc>
      </w:tr>
      <w:tr w:rsidR="00E36F87" w:rsidRPr="00E823C2" w:rsidTr="00B95C66">
        <w:trPr>
          <w:trHeight w:val="315"/>
        </w:trPr>
        <w:tc>
          <w:tcPr>
            <w:tcW w:w="1563" w:type="dxa"/>
            <w:vMerge/>
            <w:hideMark/>
          </w:tcPr>
          <w:p w:rsidR="00E36F87" w:rsidRPr="00E823C2" w:rsidRDefault="00E36F87" w:rsidP="00E36F87">
            <w:pPr>
              <w:rPr>
                <w:rFonts w:asciiTheme="majorHAnsi" w:hAnsiTheme="majorHAnsi" w:cstheme="majorHAnsi"/>
                <w:sz w:val="16"/>
                <w:szCs w:val="16"/>
              </w:rPr>
            </w:pPr>
          </w:p>
        </w:tc>
        <w:tc>
          <w:tcPr>
            <w:tcW w:w="3953" w:type="dxa"/>
            <w:hideMark/>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sz w:val="16"/>
                <w:szCs w:val="16"/>
              </w:rPr>
              <w:t xml:space="preserve"> Activity 1.2.2 Targeted </w:t>
            </w:r>
            <w:proofErr w:type="spellStart"/>
            <w:r w:rsidRPr="00E823C2">
              <w:rPr>
                <w:rFonts w:asciiTheme="majorHAnsi" w:hAnsiTheme="majorHAnsi" w:cstheme="majorHAnsi"/>
                <w:sz w:val="16"/>
                <w:szCs w:val="16"/>
              </w:rPr>
              <w:t>implemention</w:t>
            </w:r>
            <w:proofErr w:type="spellEnd"/>
            <w:r w:rsidRPr="00E823C2">
              <w:rPr>
                <w:rFonts w:asciiTheme="majorHAnsi" w:hAnsiTheme="majorHAnsi" w:cstheme="majorHAnsi"/>
                <w:sz w:val="16"/>
                <w:szCs w:val="16"/>
              </w:rPr>
              <w:t xml:space="preserve"> of RID project at community and sector level </w:t>
            </w:r>
          </w:p>
        </w:tc>
        <w:tc>
          <w:tcPr>
            <w:tcW w:w="942"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173,106</w:t>
            </w:r>
          </w:p>
        </w:tc>
        <w:tc>
          <w:tcPr>
            <w:tcW w:w="942"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223,826</w:t>
            </w:r>
          </w:p>
        </w:tc>
        <w:tc>
          <w:tcPr>
            <w:tcW w:w="942"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458,384</w:t>
            </w:r>
          </w:p>
        </w:tc>
        <w:tc>
          <w:tcPr>
            <w:tcW w:w="1048"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330,804</w:t>
            </w:r>
          </w:p>
        </w:tc>
        <w:tc>
          <w:tcPr>
            <w:tcW w:w="831"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86,553</w:t>
            </w:r>
          </w:p>
        </w:tc>
        <w:tc>
          <w:tcPr>
            <w:tcW w:w="743"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25,620</w:t>
            </w:r>
          </w:p>
        </w:tc>
        <w:tc>
          <w:tcPr>
            <w:tcW w:w="988" w:type="dxa"/>
            <w:vMerge/>
            <w:vAlign w:val="center"/>
          </w:tcPr>
          <w:p w:rsidR="00E36F87" w:rsidRPr="00E823C2" w:rsidRDefault="00E36F87" w:rsidP="00E36F87">
            <w:pPr>
              <w:rPr>
                <w:rFonts w:asciiTheme="majorHAnsi" w:hAnsiTheme="majorHAnsi" w:cstheme="majorHAnsi"/>
                <w:sz w:val="16"/>
                <w:szCs w:val="16"/>
              </w:rPr>
            </w:pPr>
          </w:p>
        </w:tc>
        <w:tc>
          <w:tcPr>
            <w:tcW w:w="733" w:type="dxa"/>
            <w:vMerge/>
            <w:vAlign w:val="center"/>
          </w:tcPr>
          <w:p w:rsidR="00E36F87" w:rsidRPr="00E823C2" w:rsidRDefault="00E36F87" w:rsidP="00E36F87">
            <w:pPr>
              <w:rPr>
                <w:rFonts w:asciiTheme="majorHAnsi" w:hAnsiTheme="majorHAnsi" w:cstheme="majorHAnsi"/>
                <w:sz w:val="16"/>
                <w:szCs w:val="16"/>
              </w:rPr>
            </w:pPr>
          </w:p>
        </w:tc>
        <w:tc>
          <w:tcPr>
            <w:tcW w:w="1299" w:type="dxa"/>
            <w:vMerge/>
            <w:vAlign w:val="center"/>
          </w:tcPr>
          <w:p w:rsidR="00E36F87" w:rsidRPr="00E823C2" w:rsidRDefault="00E36F87" w:rsidP="00E36F87">
            <w:pPr>
              <w:rPr>
                <w:rFonts w:asciiTheme="majorHAnsi" w:hAnsiTheme="majorHAnsi" w:cstheme="majorHAnsi"/>
                <w:sz w:val="16"/>
                <w:szCs w:val="16"/>
              </w:rPr>
            </w:pPr>
          </w:p>
        </w:tc>
        <w:tc>
          <w:tcPr>
            <w:tcW w:w="923"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1,298,293</w:t>
            </w:r>
          </w:p>
        </w:tc>
      </w:tr>
      <w:tr w:rsidR="00E36F87" w:rsidRPr="00E823C2" w:rsidTr="00B95C66">
        <w:trPr>
          <w:trHeight w:val="641"/>
        </w:trPr>
        <w:tc>
          <w:tcPr>
            <w:tcW w:w="1563" w:type="dxa"/>
            <w:hideMark/>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sz w:val="16"/>
                <w:szCs w:val="16"/>
              </w:rPr>
              <w:t xml:space="preserve"> Output 1.3 Gender sensitive and inclusive experts actively participating in shaping RID for government systems </w:t>
            </w:r>
          </w:p>
        </w:tc>
        <w:tc>
          <w:tcPr>
            <w:tcW w:w="3953" w:type="dxa"/>
            <w:hideMark/>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sz w:val="16"/>
                <w:szCs w:val="16"/>
              </w:rPr>
              <w:t>Activity 1.3.1 Integration of GSI informed toolkits into planning and financing processes at central, sector and community level. Provision of training on integration of guidelines and tools. Integration of institutionalised capacity at community and sector level. Participation of Protection in the Pacific (</w:t>
            </w:r>
            <w:proofErr w:type="spellStart"/>
            <w:r w:rsidRPr="00E823C2">
              <w:rPr>
                <w:rFonts w:asciiTheme="majorHAnsi" w:hAnsiTheme="majorHAnsi" w:cstheme="majorHAnsi"/>
                <w:sz w:val="16"/>
                <w:szCs w:val="16"/>
              </w:rPr>
              <w:t>ProPa</w:t>
            </w:r>
            <w:proofErr w:type="spellEnd"/>
            <w:r w:rsidRPr="00E823C2">
              <w:rPr>
                <w:rFonts w:asciiTheme="majorHAnsi" w:hAnsiTheme="majorHAnsi" w:cstheme="majorHAnsi"/>
                <w:sz w:val="16"/>
                <w:szCs w:val="16"/>
              </w:rPr>
              <w:t xml:space="preserve">) network with integration of RID. </w:t>
            </w:r>
          </w:p>
        </w:tc>
        <w:tc>
          <w:tcPr>
            <w:tcW w:w="942"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27,332</w:t>
            </w:r>
          </w:p>
        </w:tc>
        <w:tc>
          <w:tcPr>
            <w:tcW w:w="942"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35,341</w:t>
            </w:r>
          </w:p>
        </w:tc>
        <w:tc>
          <w:tcPr>
            <w:tcW w:w="942"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72,377</w:t>
            </w:r>
          </w:p>
        </w:tc>
        <w:tc>
          <w:tcPr>
            <w:tcW w:w="1048"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52,233</w:t>
            </w:r>
          </w:p>
        </w:tc>
        <w:tc>
          <w:tcPr>
            <w:tcW w:w="831"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13,666</w:t>
            </w:r>
          </w:p>
        </w:tc>
        <w:tc>
          <w:tcPr>
            <w:tcW w:w="743"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4,045</w:t>
            </w:r>
          </w:p>
        </w:tc>
        <w:tc>
          <w:tcPr>
            <w:tcW w:w="988" w:type="dxa"/>
            <w:noWrap/>
            <w:vAlign w:val="center"/>
          </w:tcPr>
          <w:p w:rsidR="00E36F87" w:rsidRPr="00E823C2" w:rsidRDefault="00E36F87" w:rsidP="00E36F87">
            <w:pPr>
              <w:rPr>
                <w:rFonts w:asciiTheme="majorHAnsi" w:hAnsiTheme="majorHAnsi" w:cstheme="majorHAnsi"/>
                <w:sz w:val="16"/>
                <w:szCs w:val="16"/>
              </w:rPr>
            </w:pPr>
            <w:r>
              <w:rPr>
                <w:rFonts w:cs="Calibri Light"/>
                <w:color w:val="000000"/>
                <w:sz w:val="16"/>
                <w:szCs w:val="16"/>
              </w:rPr>
              <w:t xml:space="preserve"> UNDP </w:t>
            </w:r>
          </w:p>
        </w:tc>
        <w:tc>
          <w:tcPr>
            <w:tcW w:w="733" w:type="dxa"/>
            <w:vAlign w:val="center"/>
          </w:tcPr>
          <w:p w:rsidR="00E36F87" w:rsidRPr="00E823C2" w:rsidRDefault="00E36F87" w:rsidP="00E36F87">
            <w:pPr>
              <w:rPr>
                <w:rFonts w:asciiTheme="majorHAnsi" w:hAnsiTheme="majorHAnsi" w:cstheme="majorHAnsi"/>
                <w:sz w:val="16"/>
                <w:szCs w:val="16"/>
              </w:rPr>
            </w:pPr>
            <w:r>
              <w:rPr>
                <w:rFonts w:cs="Calibri Light"/>
                <w:color w:val="000000"/>
                <w:sz w:val="16"/>
                <w:szCs w:val="16"/>
              </w:rPr>
              <w:t xml:space="preserve"> KOICA </w:t>
            </w:r>
          </w:p>
        </w:tc>
        <w:tc>
          <w:tcPr>
            <w:tcW w:w="1299" w:type="dxa"/>
            <w:vAlign w:val="center"/>
          </w:tcPr>
          <w:p w:rsidR="00E36F87" w:rsidRPr="00E823C2" w:rsidRDefault="00E36F87" w:rsidP="00E36F87">
            <w:pPr>
              <w:rPr>
                <w:rFonts w:asciiTheme="majorHAnsi" w:hAnsiTheme="majorHAnsi" w:cstheme="majorHAnsi"/>
                <w:sz w:val="16"/>
                <w:szCs w:val="16"/>
              </w:rPr>
            </w:pPr>
            <w:r>
              <w:rPr>
                <w:rFonts w:cs="Calibri Light"/>
                <w:color w:val="000000"/>
                <w:sz w:val="16"/>
                <w:szCs w:val="16"/>
              </w:rPr>
              <w:t xml:space="preserve"> Knowledge Events; Diffusion Products; Knowledge tools &amp; Policies, Government Posts and Technical Assistance </w:t>
            </w:r>
          </w:p>
        </w:tc>
        <w:tc>
          <w:tcPr>
            <w:tcW w:w="923"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204,994</w:t>
            </w:r>
          </w:p>
        </w:tc>
      </w:tr>
      <w:tr w:rsidR="00E36F87" w:rsidRPr="00E823C2" w:rsidTr="00AE7B4B">
        <w:trPr>
          <w:trHeight w:val="315"/>
        </w:trPr>
        <w:tc>
          <w:tcPr>
            <w:tcW w:w="5516" w:type="dxa"/>
            <w:gridSpan w:val="2"/>
            <w:tcBorders>
              <w:bottom w:val="single" w:sz="4" w:space="0" w:color="auto"/>
            </w:tcBorders>
            <w:noWrap/>
            <w:hideMark/>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sz w:val="16"/>
                <w:szCs w:val="16"/>
              </w:rPr>
              <w:t xml:space="preserve"> Monitoring costs </w:t>
            </w:r>
          </w:p>
        </w:tc>
        <w:tc>
          <w:tcPr>
            <w:tcW w:w="942" w:type="dxa"/>
            <w:tcBorders>
              <w:bottom w:val="single" w:sz="4" w:space="0" w:color="auto"/>
            </w:tcBorders>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24,357</w:t>
            </w:r>
          </w:p>
        </w:tc>
        <w:tc>
          <w:tcPr>
            <w:tcW w:w="942" w:type="dxa"/>
            <w:tcBorders>
              <w:bottom w:val="single" w:sz="4" w:space="0" w:color="auto"/>
            </w:tcBorders>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31,494</w:t>
            </w:r>
          </w:p>
        </w:tc>
        <w:tc>
          <w:tcPr>
            <w:tcW w:w="942" w:type="dxa"/>
            <w:tcBorders>
              <w:bottom w:val="single" w:sz="4" w:space="0" w:color="auto"/>
            </w:tcBorders>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47,153</w:t>
            </w:r>
          </w:p>
        </w:tc>
        <w:tc>
          <w:tcPr>
            <w:tcW w:w="1048" w:type="dxa"/>
            <w:tcBorders>
              <w:bottom w:val="single" w:sz="4" w:space="0" w:color="auto"/>
            </w:tcBorders>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46,548</w:t>
            </w:r>
          </w:p>
        </w:tc>
        <w:tc>
          <w:tcPr>
            <w:tcW w:w="831" w:type="dxa"/>
            <w:tcBorders>
              <w:bottom w:val="single" w:sz="4" w:space="0" w:color="auto"/>
            </w:tcBorders>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12,179</w:t>
            </w:r>
          </w:p>
        </w:tc>
        <w:tc>
          <w:tcPr>
            <w:tcW w:w="743" w:type="dxa"/>
            <w:tcBorders>
              <w:bottom w:val="single" w:sz="4" w:space="0" w:color="auto"/>
            </w:tcBorders>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3,605</w:t>
            </w:r>
          </w:p>
        </w:tc>
        <w:tc>
          <w:tcPr>
            <w:tcW w:w="988" w:type="dxa"/>
            <w:tcBorders>
              <w:bottom w:val="single" w:sz="4" w:space="0" w:color="auto"/>
            </w:tcBorders>
            <w:noWrap/>
            <w:vAlign w:val="center"/>
          </w:tcPr>
          <w:p w:rsidR="00E36F87" w:rsidRPr="00E823C2" w:rsidRDefault="00E36F87" w:rsidP="00E36F87">
            <w:pPr>
              <w:rPr>
                <w:rFonts w:asciiTheme="majorHAnsi" w:hAnsiTheme="majorHAnsi" w:cstheme="majorHAnsi"/>
                <w:sz w:val="16"/>
                <w:szCs w:val="16"/>
              </w:rPr>
            </w:pPr>
          </w:p>
        </w:tc>
        <w:tc>
          <w:tcPr>
            <w:tcW w:w="733" w:type="dxa"/>
            <w:tcBorders>
              <w:bottom w:val="single" w:sz="4" w:space="0" w:color="auto"/>
            </w:tcBorders>
            <w:noWrap/>
          </w:tcPr>
          <w:p w:rsidR="00E36F87" w:rsidRPr="00E823C2" w:rsidRDefault="00E36F87" w:rsidP="00E36F87">
            <w:pPr>
              <w:rPr>
                <w:rFonts w:asciiTheme="majorHAnsi" w:hAnsiTheme="majorHAnsi" w:cstheme="majorHAnsi"/>
                <w:sz w:val="16"/>
                <w:szCs w:val="16"/>
              </w:rPr>
            </w:pPr>
          </w:p>
        </w:tc>
        <w:tc>
          <w:tcPr>
            <w:tcW w:w="1299" w:type="dxa"/>
            <w:tcBorders>
              <w:bottom w:val="single" w:sz="4" w:space="0" w:color="auto"/>
            </w:tcBorders>
            <w:noWrap/>
          </w:tcPr>
          <w:p w:rsidR="00E36F87" w:rsidRPr="00E823C2" w:rsidRDefault="00E36F87" w:rsidP="00E36F87">
            <w:pPr>
              <w:rPr>
                <w:rFonts w:asciiTheme="majorHAnsi" w:hAnsiTheme="majorHAnsi" w:cstheme="majorHAnsi"/>
                <w:sz w:val="16"/>
                <w:szCs w:val="16"/>
              </w:rPr>
            </w:pPr>
          </w:p>
        </w:tc>
        <w:tc>
          <w:tcPr>
            <w:tcW w:w="923" w:type="dxa"/>
            <w:tcBorders>
              <w:bottom w:val="single" w:sz="4" w:space="0" w:color="auto"/>
            </w:tcBorders>
            <w:noWrap/>
          </w:tcPr>
          <w:p w:rsidR="00E36F87" w:rsidRPr="00E36F87" w:rsidRDefault="00E36F87" w:rsidP="00E36F87">
            <w:pPr>
              <w:spacing w:after="0" w:line="240" w:lineRule="auto"/>
              <w:jc w:val="right"/>
              <w:rPr>
                <w:rFonts w:cs="Calibri Light"/>
                <w:color w:val="000000"/>
                <w:sz w:val="16"/>
                <w:szCs w:val="16"/>
              </w:rPr>
            </w:pPr>
            <w:r>
              <w:rPr>
                <w:rFonts w:cs="Calibri Light"/>
                <w:color w:val="000000"/>
                <w:sz w:val="16"/>
                <w:szCs w:val="16"/>
              </w:rPr>
              <w:t>165,336</w:t>
            </w:r>
          </w:p>
        </w:tc>
      </w:tr>
      <w:tr w:rsidR="00E36F87" w:rsidRPr="00E823C2" w:rsidTr="00B95C66">
        <w:trPr>
          <w:trHeight w:val="315"/>
        </w:trPr>
        <w:tc>
          <w:tcPr>
            <w:tcW w:w="1563" w:type="dxa"/>
            <w:shd w:val="clear" w:color="auto" w:fill="BFBFBF" w:themeFill="background1" w:themeFillShade="BF"/>
            <w:noWrap/>
            <w:hideMark/>
          </w:tcPr>
          <w:p w:rsidR="00E36F87" w:rsidRPr="00E823C2" w:rsidRDefault="00E36F87" w:rsidP="00E36F87">
            <w:pPr>
              <w:rPr>
                <w:rFonts w:asciiTheme="majorHAnsi" w:hAnsiTheme="majorHAnsi" w:cstheme="majorHAnsi"/>
                <w:b/>
                <w:bCs/>
                <w:sz w:val="16"/>
                <w:szCs w:val="16"/>
              </w:rPr>
            </w:pPr>
            <w:r w:rsidRPr="00E823C2">
              <w:rPr>
                <w:rFonts w:asciiTheme="majorHAnsi" w:hAnsiTheme="majorHAnsi" w:cstheme="majorHAnsi"/>
                <w:b/>
                <w:bCs/>
                <w:sz w:val="16"/>
                <w:szCs w:val="16"/>
              </w:rPr>
              <w:t>Sub-Total for Output 1</w:t>
            </w:r>
          </w:p>
        </w:tc>
        <w:tc>
          <w:tcPr>
            <w:tcW w:w="3953" w:type="dxa"/>
            <w:shd w:val="clear" w:color="auto" w:fill="BFBFBF" w:themeFill="background1" w:themeFillShade="BF"/>
            <w:noWrap/>
            <w:hideMark/>
          </w:tcPr>
          <w:p w:rsidR="00E36F87" w:rsidRPr="00E823C2" w:rsidRDefault="00E36F87" w:rsidP="00E36F87">
            <w:pPr>
              <w:rPr>
                <w:rFonts w:asciiTheme="majorHAnsi" w:hAnsiTheme="majorHAnsi" w:cstheme="majorHAnsi"/>
                <w:b/>
                <w:bCs/>
                <w:sz w:val="16"/>
                <w:szCs w:val="16"/>
              </w:rPr>
            </w:pPr>
            <w:r w:rsidRPr="00E823C2">
              <w:rPr>
                <w:rFonts w:asciiTheme="majorHAnsi" w:hAnsiTheme="majorHAnsi" w:cstheme="majorHAnsi"/>
                <w:b/>
                <w:bCs/>
                <w:sz w:val="16"/>
                <w:szCs w:val="16"/>
              </w:rPr>
              <w:t> </w:t>
            </w:r>
          </w:p>
        </w:tc>
        <w:tc>
          <w:tcPr>
            <w:tcW w:w="942" w:type="dxa"/>
            <w:shd w:val="clear" w:color="auto" w:fill="BFBFBF" w:themeFill="background1" w:themeFillShade="BF"/>
            <w:noWrap/>
            <w:vAlign w:val="center"/>
          </w:tcPr>
          <w:p w:rsidR="00E36F87" w:rsidRPr="00E823C2" w:rsidRDefault="00E36F87" w:rsidP="00E36F87">
            <w:pPr>
              <w:jc w:val="right"/>
              <w:rPr>
                <w:rFonts w:asciiTheme="majorHAnsi" w:hAnsiTheme="majorHAnsi" w:cstheme="majorHAnsi"/>
                <w:b/>
                <w:bCs/>
                <w:sz w:val="16"/>
                <w:szCs w:val="16"/>
              </w:rPr>
            </w:pPr>
            <w:r>
              <w:rPr>
                <w:rFonts w:cs="Calibri Light"/>
                <w:color w:val="000000"/>
                <w:sz w:val="16"/>
                <w:szCs w:val="16"/>
              </w:rPr>
              <w:t>625,671</w:t>
            </w:r>
          </w:p>
        </w:tc>
        <w:tc>
          <w:tcPr>
            <w:tcW w:w="942" w:type="dxa"/>
            <w:shd w:val="clear" w:color="auto" w:fill="BFBFBF" w:themeFill="background1" w:themeFillShade="BF"/>
            <w:noWrap/>
            <w:vAlign w:val="center"/>
          </w:tcPr>
          <w:p w:rsidR="00E36F87" w:rsidRPr="00E823C2" w:rsidRDefault="00E36F87" w:rsidP="00E36F87">
            <w:pPr>
              <w:jc w:val="right"/>
              <w:rPr>
                <w:rFonts w:asciiTheme="majorHAnsi" w:hAnsiTheme="majorHAnsi" w:cstheme="majorHAnsi"/>
                <w:b/>
                <w:bCs/>
                <w:sz w:val="16"/>
                <w:szCs w:val="16"/>
              </w:rPr>
            </w:pPr>
            <w:r>
              <w:rPr>
                <w:rFonts w:cs="Calibri Light"/>
                <w:color w:val="000000"/>
                <w:sz w:val="16"/>
                <w:szCs w:val="16"/>
              </w:rPr>
              <w:t>808,994</w:t>
            </w:r>
          </w:p>
        </w:tc>
        <w:tc>
          <w:tcPr>
            <w:tcW w:w="942" w:type="dxa"/>
            <w:shd w:val="clear" w:color="auto" w:fill="BFBFBF" w:themeFill="background1" w:themeFillShade="BF"/>
            <w:noWrap/>
            <w:vAlign w:val="center"/>
          </w:tcPr>
          <w:p w:rsidR="00E36F87" w:rsidRPr="00E823C2" w:rsidRDefault="00E36F87" w:rsidP="00E36F87">
            <w:pPr>
              <w:jc w:val="right"/>
              <w:rPr>
                <w:rFonts w:asciiTheme="majorHAnsi" w:hAnsiTheme="majorHAnsi" w:cstheme="majorHAnsi"/>
                <w:b/>
                <w:bCs/>
                <w:sz w:val="16"/>
                <w:szCs w:val="16"/>
              </w:rPr>
            </w:pPr>
            <w:r>
              <w:rPr>
                <w:rFonts w:cs="Calibri Light"/>
                <w:color w:val="000000"/>
                <w:sz w:val="16"/>
                <w:szCs w:val="16"/>
              </w:rPr>
              <w:t>1,639,434</w:t>
            </w:r>
          </w:p>
        </w:tc>
        <w:tc>
          <w:tcPr>
            <w:tcW w:w="1048" w:type="dxa"/>
            <w:shd w:val="clear" w:color="auto" w:fill="BFBFBF" w:themeFill="background1" w:themeFillShade="BF"/>
            <w:noWrap/>
            <w:vAlign w:val="center"/>
          </w:tcPr>
          <w:p w:rsidR="00E36F87" w:rsidRPr="00E823C2" w:rsidRDefault="00E36F87" w:rsidP="00E36F87">
            <w:pPr>
              <w:jc w:val="right"/>
              <w:rPr>
                <w:rFonts w:asciiTheme="majorHAnsi" w:hAnsiTheme="majorHAnsi" w:cstheme="majorHAnsi"/>
                <w:b/>
                <w:bCs/>
                <w:sz w:val="16"/>
                <w:szCs w:val="16"/>
              </w:rPr>
            </w:pPr>
            <w:r>
              <w:rPr>
                <w:rFonts w:cs="Calibri Light"/>
                <w:color w:val="000000"/>
                <w:sz w:val="16"/>
                <w:szCs w:val="16"/>
              </w:rPr>
              <w:t>1,195,660</w:t>
            </w:r>
          </w:p>
        </w:tc>
        <w:tc>
          <w:tcPr>
            <w:tcW w:w="831" w:type="dxa"/>
            <w:shd w:val="clear" w:color="auto" w:fill="BFBFBF" w:themeFill="background1" w:themeFillShade="BF"/>
            <w:noWrap/>
            <w:vAlign w:val="center"/>
          </w:tcPr>
          <w:p w:rsidR="00E36F87" w:rsidRPr="00E823C2" w:rsidRDefault="00E36F87" w:rsidP="00E36F87">
            <w:pPr>
              <w:jc w:val="right"/>
              <w:rPr>
                <w:rFonts w:asciiTheme="majorHAnsi" w:hAnsiTheme="majorHAnsi" w:cstheme="majorHAnsi"/>
                <w:b/>
                <w:bCs/>
                <w:sz w:val="16"/>
                <w:szCs w:val="16"/>
              </w:rPr>
            </w:pPr>
            <w:r>
              <w:rPr>
                <w:rFonts w:cs="Calibri Light"/>
                <w:color w:val="000000"/>
                <w:sz w:val="16"/>
                <w:szCs w:val="16"/>
              </w:rPr>
              <w:t>312,837</w:t>
            </w:r>
          </w:p>
        </w:tc>
        <w:tc>
          <w:tcPr>
            <w:tcW w:w="743" w:type="dxa"/>
            <w:shd w:val="clear" w:color="auto" w:fill="BFBFBF" w:themeFill="background1" w:themeFillShade="BF"/>
            <w:noWrap/>
            <w:vAlign w:val="center"/>
          </w:tcPr>
          <w:p w:rsidR="00E36F87" w:rsidRPr="00E823C2" w:rsidRDefault="00E36F87" w:rsidP="00E36F87">
            <w:pPr>
              <w:jc w:val="right"/>
              <w:rPr>
                <w:rFonts w:asciiTheme="majorHAnsi" w:hAnsiTheme="majorHAnsi" w:cstheme="majorHAnsi"/>
                <w:b/>
                <w:bCs/>
                <w:sz w:val="16"/>
                <w:szCs w:val="16"/>
              </w:rPr>
            </w:pPr>
            <w:r>
              <w:rPr>
                <w:rFonts w:cs="Calibri Light"/>
                <w:color w:val="000000"/>
                <w:sz w:val="16"/>
                <w:szCs w:val="16"/>
              </w:rPr>
              <w:t>92,599</w:t>
            </w:r>
          </w:p>
        </w:tc>
        <w:tc>
          <w:tcPr>
            <w:tcW w:w="988" w:type="dxa"/>
            <w:shd w:val="clear" w:color="auto" w:fill="BFBFBF" w:themeFill="background1" w:themeFillShade="BF"/>
            <w:noWrap/>
          </w:tcPr>
          <w:p w:rsidR="00E36F87" w:rsidRPr="00E823C2" w:rsidRDefault="00E36F87" w:rsidP="00E36F87">
            <w:pPr>
              <w:rPr>
                <w:rFonts w:asciiTheme="majorHAnsi" w:hAnsiTheme="majorHAnsi" w:cstheme="majorHAnsi"/>
                <w:b/>
                <w:bCs/>
                <w:sz w:val="16"/>
                <w:szCs w:val="16"/>
              </w:rPr>
            </w:pPr>
          </w:p>
        </w:tc>
        <w:tc>
          <w:tcPr>
            <w:tcW w:w="733" w:type="dxa"/>
            <w:shd w:val="clear" w:color="auto" w:fill="BFBFBF" w:themeFill="background1" w:themeFillShade="BF"/>
            <w:noWrap/>
          </w:tcPr>
          <w:p w:rsidR="00E36F87" w:rsidRPr="00E823C2" w:rsidRDefault="00E36F87" w:rsidP="00E36F87">
            <w:pPr>
              <w:rPr>
                <w:rFonts w:asciiTheme="majorHAnsi" w:hAnsiTheme="majorHAnsi" w:cstheme="majorHAnsi"/>
                <w:b/>
                <w:bCs/>
                <w:sz w:val="16"/>
                <w:szCs w:val="16"/>
              </w:rPr>
            </w:pPr>
          </w:p>
        </w:tc>
        <w:tc>
          <w:tcPr>
            <w:tcW w:w="1299" w:type="dxa"/>
            <w:shd w:val="clear" w:color="auto" w:fill="BFBFBF" w:themeFill="background1" w:themeFillShade="BF"/>
            <w:noWrap/>
          </w:tcPr>
          <w:p w:rsidR="00E36F87" w:rsidRPr="00E823C2" w:rsidRDefault="00E36F87" w:rsidP="00E36F87">
            <w:pPr>
              <w:rPr>
                <w:rFonts w:asciiTheme="majorHAnsi" w:hAnsiTheme="majorHAnsi" w:cstheme="majorHAnsi"/>
                <w:b/>
                <w:bCs/>
                <w:sz w:val="16"/>
                <w:szCs w:val="16"/>
              </w:rPr>
            </w:pPr>
          </w:p>
        </w:tc>
        <w:tc>
          <w:tcPr>
            <w:tcW w:w="923" w:type="dxa"/>
            <w:shd w:val="clear" w:color="auto" w:fill="BFBFBF" w:themeFill="background1" w:themeFillShade="BF"/>
            <w:noWrap/>
            <w:vAlign w:val="center"/>
          </w:tcPr>
          <w:p w:rsidR="00E36F87" w:rsidRPr="00E823C2" w:rsidRDefault="00E36F87" w:rsidP="00E36F87">
            <w:pPr>
              <w:jc w:val="right"/>
              <w:rPr>
                <w:rFonts w:asciiTheme="majorHAnsi" w:hAnsiTheme="majorHAnsi" w:cstheme="majorHAnsi"/>
                <w:b/>
                <w:bCs/>
                <w:sz w:val="16"/>
                <w:szCs w:val="16"/>
              </w:rPr>
            </w:pPr>
            <w:r>
              <w:rPr>
                <w:rFonts w:cs="Calibri Light"/>
                <w:color w:val="000000"/>
                <w:sz w:val="16"/>
                <w:szCs w:val="16"/>
              </w:rPr>
              <w:t>4,675,195</w:t>
            </w:r>
          </w:p>
        </w:tc>
      </w:tr>
      <w:tr w:rsidR="00E36F87" w:rsidRPr="00E823C2" w:rsidTr="00E36F87">
        <w:trPr>
          <w:trHeight w:val="315"/>
        </w:trPr>
        <w:tc>
          <w:tcPr>
            <w:tcW w:w="14907" w:type="dxa"/>
            <w:gridSpan w:val="12"/>
            <w:shd w:val="clear" w:color="auto" w:fill="BFBFBF" w:themeFill="background1" w:themeFillShade="BF"/>
            <w:noWrap/>
            <w:hideMark/>
          </w:tcPr>
          <w:p w:rsidR="00E36F87" w:rsidRPr="00E823C2" w:rsidRDefault="00E36F87" w:rsidP="00E36F87">
            <w:pPr>
              <w:rPr>
                <w:rFonts w:asciiTheme="majorHAnsi" w:hAnsiTheme="majorHAnsi" w:cstheme="majorHAnsi"/>
                <w:b/>
                <w:bCs/>
                <w:sz w:val="16"/>
                <w:szCs w:val="16"/>
              </w:rPr>
            </w:pPr>
            <w:r w:rsidRPr="00E823C2">
              <w:rPr>
                <w:rFonts w:asciiTheme="majorHAnsi" w:hAnsiTheme="majorHAnsi" w:cstheme="majorHAnsi"/>
                <w:b/>
                <w:bCs/>
                <w:sz w:val="16"/>
                <w:szCs w:val="16"/>
              </w:rPr>
              <w:t xml:space="preserve"> Outcome 2: Country oversight and accountability systems require gender sensitive and inclusive risk-informed development </w:t>
            </w:r>
          </w:p>
        </w:tc>
      </w:tr>
      <w:tr w:rsidR="00E36F87" w:rsidRPr="00E823C2" w:rsidTr="00E36F87">
        <w:trPr>
          <w:trHeight w:val="1082"/>
        </w:trPr>
        <w:tc>
          <w:tcPr>
            <w:tcW w:w="1563" w:type="dxa"/>
            <w:hideMark/>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sz w:val="16"/>
                <w:szCs w:val="16"/>
              </w:rPr>
              <w:t xml:space="preserve"> Output 2.1 Accountability: there is risk informed, independent scrutiny of government  </w:t>
            </w:r>
          </w:p>
        </w:tc>
        <w:tc>
          <w:tcPr>
            <w:tcW w:w="3953" w:type="dxa"/>
            <w:hideMark/>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sz w:val="16"/>
                <w:szCs w:val="16"/>
              </w:rPr>
              <w:t>Activity 2.1.1 Integration of RID into Parliament, Legislative oversight functions, Public Account Committees and Audit functions. Provision of training on integration of guidelines and tools. Integration of institutionalised capacity for oversight functions</w:t>
            </w:r>
          </w:p>
        </w:tc>
        <w:tc>
          <w:tcPr>
            <w:tcW w:w="942"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 xml:space="preserve">                   95,226 </w:t>
            </w:r>
          </w:p>
        </w:tc>
        <w:tc>
          <w:tcPr>
            <w:tcW w:w="942"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 xml:space="preserve">                123,127 </w:t>
            </w:r>
          </w:p>
        </w:tc>
        <w:tc>
          <w:tcPr>
            <w:tcW w:w="942"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 xml:space="preserve">                252,158 </w:t>
            </w:r>
          </w:p>
        </w:tc>
        <w:tc>
          <w:tcPr>
            <w:tcW w:w="1048"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 xml:space="preserve">                181,976 </w:t>
            </w:r>
          </w:p>
        </w:tc>
        <w:tc>
          <w:tcPr>
            <w:tcW w:w="831"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 xml:space="preserve">                47,613 </w:t>
            </w:r>
          </w:p>
        </w:tc>
        <w:tc>
          <w:tcPr>
            <w:tcW w:w="743"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 xml:space="preserve">                14,093 </w:t>
            </w:r>
          </w:p>
        </w:tc>
        <w:tc>
          <w:tcPr>
            <w:tcW w:w="988" w:type="dxa"/>
            <w:noWrap/>
            <w:vAlign w:val="center"/>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color w:val="000000"/>
                <w:sz w:val="16"/>
                <w:szCs w:val="16"/>
              </w:rPr>
              <w:t xml:space="preserve"> UNDP </w:t>
            </w:r>
          </w:p>
        </w:tc>
        <w:tc>
          <w:tcPr>
            <w:tcW w:w="733" w:type="dxa"/>
            <w:vAlign w:val="center"/>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color w:val="000000"/>
                <w:sz w:val="16"/>
                <w:szCs w:val="16"/>
              </w:rPr>
              <w:t xml:space="preserve"> KOICA </w:t>
            </w:r>
          </w:p>
        </w:tc>
        <w:tc>
          <w:tcPr>
            <w:tcW w:w="1299" w:type="dxa"/>
            <w:vAlign w:val="center"/>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color w:val="000000"/>
                <w:sz w:val="16"/>
                <w:szCs w:val="16"/>
              </w:rPr>
              <w:t xml:space="preserve"> Knowledge Events; Diffusion Products; Knowledge tools &amp; Policies, Government Posts and Technical Assistance </w:t>
            </w:r>
          </w:p>
        </w:tc>
        <w:tc>
          <w:tcPr>
            <w:tcW w:w="923"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 xml:space="preserve">                      714,193 </w:t>
            </w:r>
          </w:p>
        </w:tc>
      </w:tr>
      <w:tr w:rsidR="00E36F87" w:rsidRPr="00E823C2" w:rsidTr="00E36F87">
        <w:trPr>
          <w:trHeight w:val="1208"/>
        </w:trPr>
        <w:tc>
          <w:tcPr>
            <w:tcW w:w="1563" w:type="dxa"/>
            <w:hideMark/>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sz w:val="16"/>
                <w:szCs w:val="16"/>
              </w:rPr>
              <w:t xml:space="preserve"> Output 2.2 Voice of society: there is risk informed engagement and scrutiny by civil society </w:t>
            </w:r>
          </w:p>
        </w:tc>
        <w:tc>
          <w:tcPr>
            <w:tcW w:w="3953" w:type="dxa"/>
            <w:hideMark/>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sz w:val="16"/>
                <w:szCs w:val="16"/>
              </w:rPr>
              <w:t xml:space="preserve"> Activity 2.2.1 Facilitate dialogue with CSO to ensure voice of women, marginalized and youth are accounted. Provision of training on integration of guidelines and tools.  </w:t>
            </w:r>
          </w:p>
        </w:tc>
        <w:tc>
          <w:tcPr>
            <w:tcW w:w="942"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 xml:space="preserve">                   63,484 </w:t>
            </w:r>
          </w:p>
        </w:tc>
        <w:tc>
          <w:tcPr>
            <w:tcW w:w="942"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 xml:space="preserve">                   82,085 </w:t>
            </w:r>
          </w:p>
        </w:tc>
        <w:tc>
          <w:tcPr>
            <w:tcW w:w="942"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 xml:space="preserve">                168,104 </w:t>
            </w:r>
          </w:p>
        </w:tc>
        <w:tc>
          <w:tcPr>
            <w:tcW w:w="1048"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 xml:space="preserve">                121,318 </w:t>
            </w:r>
          </w:p>
        </w:tc>
        <w:tc>
          <w:tcPr>
            <w:tcW w:w="831"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 xml:space="preserve">                31,742 </w:t>
            </w:r>
          </w:p>
        </w:tc>
        <w:tc>
          <w:tcPr>
            <w:tcW w:w="743"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 xml:space="preserve">                   9,396 </w:t>
            </w:r>
          </w:p>
        </w:tc>
        <w:tc>
          <w:tcPr>
            <w:tcW w:w="988" w:type="dxa"/>
            <w:noWrap/>
            <w:vAlign w:val="center"/>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color w:val="000000"/>
                <w:sz w:val="16"/>
                <w:szCs w:val="16"/>
              </w:rPr>
              <w:t xml:space="preserve"> UNDP </w:t>
            </w:r>
          </w:p>
        </w:tc>
        <w:tc>
          <w:tcPr>
            <w:tcW w:w="733" w:type="dxa"/>
            <w:vAlign w:val="center"/>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color w:val="000000"/>
                <w:sz w:val="16"/>
                <w:szCs w:val="16"/>
              </w:rPr>
              <w:t xml:space="preserve"> KOICA </w:t>
            </w:r>
          </w:p>
        </w:tc>
        <w:tc>
          <w:tcPr>
            <w:tcW w:w="1299" w:type="dxa"/>
            <w:vAlign w:val="center"/>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color w:val="000000"/>
                <w:sz w:val="16"/>
                <w:szCs w:val="16"/>
              </w:rPr>
              <w:t xml:space="preserve"> Knowledge Events; Diffusion Products; Knowledge tools &amp; Policies, Government Posts and Technical Assistance </w:t>
            </w:r>
          </w:p>
        </w:tc>
        <w:tc>
          <w:tcPr>
            <w:tcW w:w="923"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 xml:space="preserve">                      476,129 </w:t>
            </w:r>
          </w:p>
        </w:tc>
      </w:tr>
      <w:tr w:rsidR="00E36F87" w:rsidRPr="00E823C2" w:rsidTr="00E36F87">
        <w:trPr>
          <w:trHeight w:val="315"/>
        </w:trPr>
        <w:tc>
          <w:tcPr>
            <w:tcW w:w="5516" w:type="dxa"/>
            <w:gridSpan w:val="2"/>
            <w:tcBorders>
              <w:bottom w:val="single" w:sz="4" w:space="0" w:color="auto"/>
            </w:tcBorders>
            <w:hideMark/>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sz w:val="16"/>
                <w:szCs w:val="16"/>
              </w:rPr>
              <w:t xml:space="preserve"> Monitoring costs </w:t>
            </w:r>
          </w:p>
        </w:tc>
        <w:tc>
          <w:tcPr>
            <w:tcW w:w="942" w:type="dxa"/>
            <w:tcBorders>
              <w:bottom w:val="single" w:sz="4" w:space="0" w:color="auto"/>
            </w:tcBorders>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 xml:space="preserve">                   11,37</w:t>
            </w:r>
            <w:r w:rsidR="00B82A06">
              <w:rPr>
                <w:rFonts w:cs="Calibri Light"/>
                <w:color w:val="000000"/>
                <w:sz w:val="16"/>
                <w:szCs w:val="16"/>
              </w:rPr>
              <w:t>8</w:t>
            </w:r>
            <w:r>
              <w:rPr>
                <w:rFonts w:cs="Calibri Light"/>
                <w:color w:val="000000"/>
                <w:sz w:val="16"/>
                <w:szCs w:val="16"/>
              </w:rPr>
              <w:t xml:space="preserve"> </w:t>
            </w:r>
          </w:p>
        </w:tc>
        <w:tc>
          <w:tcPr>
            <w:tcW w:w="942" w:type="dxa"/>
            <w:tcBorders>
              <w:bottom w:val="single" w:sz="4" w:space="0" w:color="auto"/>
            </w:tcBorders>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 xml:space="preserve">                   14,710 </w:t>
            </w:r>
          </w:p>
        </w:tc>
        <w:tc>
          <w:tcPr>
            <w:tcW w:w="942" w:type="dxa"/>
            <w:tcBorders>
              <w:bottom w:val="single" w:sz="4" w:space="0" w:color="auto"/>
            </w:tcBorders>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 xml:space="preserve">                   22,02</w:t>
            </w:r>
            <w:r w:rsidR="00B82A06">
              <w:rPr>
                <w:rFonts w:cs="Calibri Light"/>
                <w:color w:val="000000"/>
                <w:sz w:val="16"/>
                <w:szCs w:val="16"/>
              </w:rPr>
              <w:t>2</w:t>
            </w:r>
            <w:r>
              <w:rPr>
                <w:rFonts w:cs="Calibri Light"/>
                <w:color w:val="000000"/>
                <w:sz w:val="16"/>
                <w:szCs w:val="16"/>
              </w:rPr>
              <w:t xml:space="preserve"> </w:t>
            </w:r>
          </w:p>
        </w:tc>
        <w:tc>
          <w:tcPr>
            <w:tcW w:w="1048" w:type="dxa"/>
            <w:tcBorders>
              <w:bottom w:val="single" w:sz="4" w:space="0" w:color="auto"/>
            </w:tcBorders>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 xml:space="preserve">                   21,741 </w:t>
            </w:r>
          </w:p>
        </w:tc>
        <w:tc>
          <w:tcPr>
            <w:tcW w:w="831" w:type="dxa"/>
            <w:tcBorders>
              <w:bottom w:val="single" w:sz="4" w:space="0" w:color="auto"/>
            </w:tcBorders>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 xml:space="preserve">                   5,688 </w:t>
            </w:r>
          </w:p>
        </w:tc>
        <w:tc>
          <w:tcPr>
            <w:tcW w:w="743" w:type="dxa"/>
            <w:tcBorders>
              <w:bottom w:val="single" w:sz="4" w:space="0" w:color="auto"/>
            </w:tcBorders>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 xml:space="preserve">                   1,68</w:t>
            </w:r>
            <w:r w:rsidR="00B82A06">
              <w:rPr>
                <w:rFonts w:cs="Calibri Light"/>
                <w:color w:val="000000"/>
                <w:sz w:val="16"/>
                <w:szCs w:val="16"/>
              </w:rPr>
              <w:t>5</w:t>
            </w:r>
            <w:r>
              <w:rPr>
                <w:rFonts w:cs="Calibri Light"/>
                <w:color w:val="000000"/>
                <w:sz w:val="16"/>
                <w:szCs w:val="16"/>
              </w:rPr>
              <w:t xml:space="preserve"> </w:t>
            </w:r>
          </w:p>
        </w:tc>
        <w:tc>
          <w:tcPr>
            <w:tcW w:w="988" w:type="dxa"/>
            <w:tcBorders>
              <w:bottom w:val="single" w:sz="4" w:space="0" w:color="auto"/>
            </w:tcBorders>
            <w:noWrap/>
            <w:vAlign w:val="center"/>
          </w:tcPr>
          <w:p w:rsidR="00E36F87" w:rsidRPr="00E823C2" w:rsidRDefault="00E36F87" w:rsidP="00E36F87">
            <w:pPr>
              <w:rPr>
                <w:rFonts w:asciiTheme="majorHAnsi" w:hAnsiTheme="majorHAnsi" w:cstheme="majorHAnsi"/>
                <w:sz w:val="16"/>
                <w:szCs w:val="16"/>
              </w:rPr>
            </w:pPr>
          </w:p>
        </w:tc>
        <w:tc>
          <w:tcPr>
            <w:tcW w:w="733" w:type="dxa"/>
            <w:tcBorders>
              <w:bottom w:val="single" w:sz="4" w:space="0" w:color="auto"/>
            </w:tcBorders>
            <w:noWrap/>
            <w:vAlign w:val="center"/>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color w:val="000000"/>
                <w:sz w:val="16"/>
                <w:szCs w:val="16"/>
              </w:rPr>
              <w:t> </w:t>
            </w:r>
          </w:p>
        </w:tc>
        <w:tc>
          <w:tcPr>
            <w:tcW w:w="1299" w:type="dxa"/>
            <w:tcBorders>
              <w:bottom w:val="single" w:sz="4" w:space="0" w:color="auto"/>
            </w:tcBorders>
            <w:noWrap/>
            <w:vAlign w:val="center"/>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color w:val="000000"/>
                <w:sz w:val="16"/>
                <w:szCs w:val="16"/>
              </w:rPr>
              <w:t> </w:t>
            </w:r>
          </w:p>
        </w:tc>
        <w:tc>
          <w:tcPr>
            <w:tcW w:w="923" w:type="dxa"/>
            <w:tcBorders>
              <w:bottom w:val="single" w:sz="4" w:space="0" w:color="auto"/>
            </w:tcBorders>
            <w:noWrap/>
            <w:vAlign w:val="center"/>
          </w:tcPr>
          <w:p w:rsidR="00E36F87" w:rsidRPr="00E823C2" w:rsidRDefault="00E36F87" w:rsidP="00E36F87">
            <w:pPr>
              <w:jc w:val="right"/>
              <w:rPr>
                <w:rFonts w:asciiTheme="majorHAnsi" w:hAnsiTheme="majorHAnsi" w:cstheme="majorHAnsi"/>
                <w:sz w:val="16"/>
                <w:szCs w:val="16"/>
              </w:rPr>
            </w:pPr>
            <w:r w:rsidRPr="00E823C2">
              <w:rPr>
                <w:rFonts w:asciiTheme="majorHAnsi" w:hAnsiTheme="majorHAnsi" w:cstheme="majorHAnsi"/>
                <w:color w:val="000000"/>
                <w:sz w:val="16"/>
                <w:szCs w:val="16"/>
              </w:rPr>
              <w:t>77,224 </w:t>
            </w:r>
          </w:p>
        </w:tc>
      </w:tr>
      <w:tr w:rsidR="00E36F87" w:rsidRPr="00E823C2" w:rsidTr="00E36F87">
        <w:trPr>
          <w:trHeight w:val="315"/>
        </w:trPr>
        <w:tc>
          <w:tcPr>
            <w:tcW w:w="1563" w:type="dxa"/>
            <w:shd w:val="clear" w:color="auto" w:fill="BFBFBF" w:themeFill="background1" w:themeFillShade="BF"/>
            <w:noWrap/>
            <w:hideMark/>
          </w:tcPr>
          <w:p w:rsidR="00E36F87" w:rsidRPr="00E823C2" w:rsidRDefault="00E36F87" w:rsidP="00E36F87">
            <w:pPr>
              <w:rPr>
                <w:rFonts w:asciiTheme="majorHAnsi" w:hAnsiTheme="majorHAnsi" w:cstheme="majorHAnsi"/>
                <w:b/>
                <w:bCs/>
                <w:sz w:val="16"/>
                <w:szCs w:val="16"/>
              </w:rPr>
            </w:pPr>
            <w:r w:rsidRPr="00E823C2">
              <w:rPr>
                <w:rFonts w:asciiTheme="majorHAnsi" w:hAnsiTheme="majorHAnsi" w:cstheme="majorHAnsi"/>
                <w:b/>
                <w:bCs/>
                <w:sz w:val="16"/>
                <w:szCs w:val="16"/>
              </w:rPr>
              <w:t>Sub-Total for Output 2</w:t>
            </w:r>
          </w:p>
        </w:tc>
        <w:tc>
          <w:tcPr>
            <w:tcW w:w="3953" w:type="dxa"/>
            <w:shd w:val="clear" w:color="auto" w:fill="BFBFBF" w:themeFill="background1" w:themeFillShade="BF"/>
            <w:noWrap/>
            <w:hideMark/>
          </w:tcPr>
          <w:p w:rsidR="00E36F87" w:rsidRPr="00E823C2" w:rsidRDefault="00E36F87" w:rsidP="00E36F87">
            <w:pPr>
              <w:rPr>
                <w:rFonts w:asciiTheme="majorHAnsi" w:hAnsiTheme="majorHAnsi" w:cstheme="majorHAnsi"/>
                <w:b/>
                <w:bCs/>
                <w:sz w:val="16"/>
                <w:szCs w:val="16"/>
              </w:rPr>
            </w:pPr>
            <w:r w:rsidRPr="00E823C2">
              <w:rPr>
                <w:rFonts w:asciiTheme="majorHAnsi" w:hAnsiTheme="majorHAnsi" w:cstheme="majorHAnsi"/>
                <w:b/>
                <w:bCs/>
                <w:sz w:val="16"/>
                <w:szCs w:val="16"/>
              </w:rPr>
              <w:t> </w:t>
            </w:r>
          </w:p>
        </w:tc>
        <w:tc>
          <w:tcPr>
            <w:tcW w:w="942" w:type="dxa"/>
            <w:shd w:val="clear" w:color="auto" w:fill="BFBFBF" w:themeFill="background1" w:themeFillShade="BF"/>
            <w:noWrap/>
            <w:vAlign w:val="center"/>
          </w:tcPr>
          <w:p w:rsidR="00E36F87" w:rsidRPr="00E823C2" w:rsidRDefault="00E36F87" w:rsidP="00E36F87">
            <w:pPr>
              <w:jc w:val="right"/>
              <w:rPr>
                <w:rFonts w:asciiTheme="majorHAnsi" w:hAnsiTheme="majorHAnsi" w:cstheme="majorHAnsi"/>
                <w:b/>
                <w:bCs/>
                <w:sz w:val="16"/>
                <w:szCs w:val="16"/>
              </w:rPr>
            </w:pPr>
            <w:r>
              <w:rPr>
                <w:rFonts w:cs="Calibri Light"/>
                <w:b/>
                <w:bCs/>
                <w:color w:val="000000"/>
                <w:sz w:val="16"/>
                <w:szCs w:val="16"/>
              </w:rPr>
              <w:t xml:space="preserve">        170,08</w:t>
            </w:r>
            <w:r w:rsidR="00B82A06">
              <w:rPr>
                <w:rFonts w:cs="Calibri Light"/>
                <w:b/>
                <w:bCs/>
                <w:color w:val="000000"/>
                <w:sz w:val="16"/>
                <w:szCs w:val="16"/>
              </w:rPr>
              <w:t>8</w:t>
            </w:r>
          </w:p>
        </w:tc>
        <w:tc>
          <w:tcPr>
            <w:tcW w:w="942" w:type="dxa"/>
            <w:shd w:val="clear" w:color="auto" w:fill="BFBFBF" w:themeFill="background1" w:themeFillShade="BF"/>
            <w:noWrap/>
            <w:vAlign w:val="center"/>
          </w:tcPr>
          <w:p w:rsidR="00E36F87" w:rsidRPr="00E823C2" w:rsidRDefault="00E36F87" w:rsidP="00E36F87">
            <w:pPr>
              <w:jc w:val="right"/>
              <w:rPr>
                <w:rFonts w:asciiTheme="majorHAnsi" w:hAnsiTheme="majorHAnsi" w:cstheme="majorHAnsi"/>
                <w:b/>
                <w:bCs/>
                <w:sz w:val="16"/>
                <w:szCs w:val="16"/>
              </w:rPr>
            </w:pPr>
            <w:r>
              <w:rPr>
                <w:rFonts w:cs="Calibri Light"/>
                <w:b/>
                <w:bCs/>
                <w:color w:val="000000"/>
                <w:sz w:val="16"/>
                <w:szCs w:val="16"/>
              </w:rPr>
              <w:t xml:space="preserve">        219,922 </w:t>
            </w:r>
          </w:p>
        </w:tc>
        <w:tc>
          <w:tcPr>
            <w:tcW w:w="942" w:type="dxa"/>
            <w:shd w:val="clear" w:color="auto" w:fill="BFBFBF" w:themeFill="background1" w:themeFillShade="BF"/>
            <w:noWrap/>
            <w:vAlign w:val="center"/>
          </w:tcPr>
          <w:p w:rsidR="00E36F87" w:rsidRPr="00E823C2" w:rsidRDefault="00E36F87" w:rsidP="00E36F87">
            <w:pPr>
              <w:jc w:val="right"/>
              <w:rPr>
                <w:rFonts w:asciiTheme="majorHAnsi" w:hAnsiTheme="majorHAnsi" w:cstheme="majorHAnsi"/>
                <w:b/>
                <w:bCs/>
                <w:sz w:val="16"/>
                <w:szCs w:val="16"/>
              </w:rPr>
            </w:pPr>
            <w:r>
              <w:rPr>
                <w:rFonts w:cs="Calibri Light"/>
                <w:b/>
                <w:bCs/>
                <w:color w:val="000000"/>
                <w:sz w:val="16"/>
                <w:szCs w:val="16"/>
              </w:rPr>
              <w:t xml:space="preserve">        442,28</w:t>
            </w:r>
            <w:r w:rsidR="00B82A06">
              <w:rPr>
                <w:rFonts w:cs="Calibri Light"/>
                <w:b/>
                <w:bCs/>
                <w:color w:val="000000"/>
                <w:sz w:val="16"/>
                <w:szCs w:val="16"/>
              </w:rPr>
              <w:t>4</w:t>
            </w:r>
          </w:p>
        </w:tc>
        <w:tc>
          <w:tcPr>
            <w:tcW w:w="1048" w:type="dxa"/>
            <w:shd w:val="clear" w:color="auto" w:fill="BFBFBF" w:themeFill="background1" w:themeFillShade="BF"/>
            <w:noWrap/>
            <w:vAlign w:val="center"/>
          </w:tcPr>
          <w:p w:rsidR="00E36F87" w:rsidRPr="00E823C2" w:rsidRDefault="00E36F87" w:rsidP="00E36F87">
            <w:pPr>
              <w:jc w:val="right"/>
              <w:rPr>
                <w:rFonts w:asciiTheme="majorHAnsi" w:hAnsiTheme="majorHAnsi" w:cstheme="majorHAnsi"/>
                <w:b/>
                <w:bCs/>
                <w:sz w:val="16"/>
                <w:szCs w:val="16"/>
              </w:rPr>
            </w:pPr>
            <w:r>
              <w:rPr>
                <w:rFonts w:cs="Calibri Light"/>
                <w:b/>
                <w:bCs/>
                <w:color w:val="000000"/>
                <w:sz w:val="16"/>
                <w:szCs w:val="16"/>
              </w:rPr>
              <w:t xml:space="preserve">        325,035 </w:t>
            </w:r>
          </w:p>
        </w:tc>
        <w:tc>
          <w:tcPr>
            <w:tcW w:w="831" w:type="dxa"/>
            <w:shd w:val="clear" w:color="auto" w:fill="BFBFBF" w:themeFill="background1" w:themeFillShade="BF"/>
            <w:noWrap/>
            <w:vAlign w:val="center"/>
          </w:tcPr>
          <w:p w:rsidR="00E36F87" w:rsidRPr="00E823C2" w:rsidRDefault="00E36F87" w:rsidP="00E36F87">
            <w:pPr>
              <w:jc w:val="right"/>
              <w:rPr>
                <w:rFonts w:asciiTheme="majorHAnsi" w:hAnsiTheme="majorHAnsi" w:cstheme="majorHAnsi"/>
                <w:b/>
                <w:bCs/>
                <w:sz w:val="16"/>
                <w:szCs w:val="16"/>
              </w:rPr>
            </w:pPr>
            <w:r>
              <w:rPr>
                <w:rFonts w:cs="Calibri Light"/>
                <w:b/>
                <w:bCs/>
                <w:color w:val="000000"/>
                <w:sz w:val="16"/>
                <w:szCs w:val="16"/>
              </w:rPr>
              <w:t xml:space="preserve">        85,043 </w:t>
            </w:r>
          </w:p>
        </w:tc>
        <w:tc>
          <w:tcPr>
            <w:tcW w:w="743" w:type="dxa"/>
            <w:shd w:val="clear" w:color="auto" w:fill="BFBFBF" w:themeFill="background1" w:themeFillShade="BF"/>
            <w:noWrap/>
            <w:vAlign w:val="center"/>
          </w:tcPr>
          <w:p w:rsidR="00E36F87" w:rsidRPr="00E823C2" w:rsidRDefault="00E36F87" w:rsidP="00E36F87">
            <w:pPr>
              <w:jc w:val="right"/>
              <w:rPr>
                <w:rFonts w:asciiTheme="majorHAnsi" w:hAnsiTheme="majorHAnsi" w:cstheme="majorHAnsi"/>
                <w:b/>
                <w:bCs/>
                <w:sz w:val="16"/>
                <w:szCs w:val="16"/>
              </w:rPr>
            </w:pPr>
            <w:r>
              <w:rPr>
                <w:rFonts w:cs="Calibri Light"/>
                <w:b/>
                <w:bCs/>
                <w:color w:val="000000"/>
                <w:sz w:val="16"/>
                <w:szCs w:val="16"/>
              </w:rPr>
              <w:t xml:space="preserve">        25,17</w:t>
            </w:r>
            <w:r w:rsidR="00B82A06">
              <w:rPr>
                <w:rFonts w:cs="Calibri Light"/>
                <w:b/>
                <w:bCs/>
                <w:color w:val="000000"/>
                <w:sz w:val="16"/>
                <w:szCs w:val="16"/>
              </w:rPr>
              <w:t>4</w:t>
            </w:r>
            <w:r>
              <w:rPr>
                <w:rFonts w:cs="Calibri Light"/>
                <w:b/>
                <w:bCs/>
                <w:color w:val="000000"/>
                <w:sz w:val="16"/>
                <w:szCs w:val="16"/>
              </w:rPr>
              <w:t xml:space="preserve"> </w:t>
            </w:r>
          </w:p>
        </w:tc>
        <w:tc>
          <w:tcPr>
            <w:tcW w:w="988" w:type="dxa"/>
            <w:shd w:val="clear" w:color="auto" w:fill="BFBFBF" w:themeFill="background1" w:themeFillShade="BF"/>
            <w:noWrap/>
            <w:vAlign w:val="center"/>
          </w:tcPr>
          <w:p w:rsidR="00E36F87" w:rsidRPr="00E823C2" w:rsidRDefault="00E36F87" w:rsidP="00E36F87">
            <w:pPr>
              <w:rPr>
                <w:rFonts w:asciiTheme="majorHAnsi" w:hAnsiTheme="majorHAnsi" w:cstheme="majorHAnsi"/>
                <w:b/>
                <w:bCs/>
                <w:sz w:val="16"/>
                <w:szCs w:val="16"/>
              </w:rPr>
            </w:pPr>
            <w:r w:rsidRPr="00E823C2">
              <w:rPr>
                <w:rFonts w:asciiTheme="majorHAnsi" w:hAnsiTheme="majorHAnsi" w:cstheme="majorHAnsi"/>
                <w:b/>
                <w:bCs/>
                <w:color w:val="000000"/>
                <w:sz w:val="16"/>
                <w:szCs w:val="16"/>
              </w:rPr>
              <w:t> </w:t>
            </w:r>
          </w:p>
        </w:tc>
        <w:tc>
          <w:tcPr>
            <w:tcW w:w="733" w:type="dxa"/>
            <w:shd w:val="clear" w:color="auto" w:fill="BFBFBF" w:themeFill="background1" w:themeFillShade="BF"/>
            <w:noWrap/>
            <w:vAlign w:val="center"/>
          </w:tcPr>
          <w:p w:rsidR="00E36F87" w:rsidRPr="00E823C2" w:rsidRDefault="00E36F87" w:rsidP="00E36F87">
            <w:pPr>
              <w:rPr>
                <w:rFonts w:asciiTheme="majorHAnsi" w:hAnsiTheme="majorHAnsi" w:cstheme="majorHAnsi"/>
                <w:b/>
                <w:bCs/>
                <w:sz w:val="16"/>
                <w:szCs w:val="16"/>
              </w:rPr>
            </w:pPr>
            <w:r w:rsidRPr="00E823C2">
              <w:rPr>
                <w:rFonts w:asciiTheme="majorHAnsi" w:hAnsiTheme="majorHAnsi" w:cstheme="majorHAnsi"/>
                <w:b/>
                <w:bCs/>
                <w:color w:val="000000"/>
                <w:sz w:val="16"/>
                <w:szCs w:val="16"/>
              </w:rPr>
              <w:t> </w:t>
            </w:r>
          </w:p>
        </w:tc>
        <w:tc>
          <w:tcPr>
            <w:tcW w:w="1299" w:type="dxa"/>
            <w:shd w:val="clear" w:color="auto" w:fill="BFBFBF" w:themeFill="background1" w:themeFillShade="BF"/>
            <w:noWrap/>
            <w:vAlign w:val="center"/>
          </w:tcPr>
          <w:p w:rsidR="00E36F87" w:rsidRPr="00E823C2" w:rsidRDefault="00E36F87" w:rsidP="00E36F87">
            <w:pPr>
              <w:rPr>
                <w:rFonts w:asciiTheme="majorHAnsi" w:hAnsiTheme="majorHAnsi" w:cstheme="majorHAnsi"/>
                <w:b/>
                <w:bCs/>
                <w:sz w:val="16"/>
                <w:szCs w:val="16"/>
              </w:rPr>
            </w:pPr>
            <w:r w:rsidRPr="00E823C2">
              <w:rPr>
                <w:rFonts w:asciiTheme="majorHAnsi" w:hAnsiTheme="majorHAnsi" w:cstheme="majorHAnsi"/>
                <w:b/>
                <w:bCs/>
                <w:color w:val="000000"/>
                <w:sz w:val="16"/>
                <w:szCs w:val="16"/>
              </w:rPr>
              <w:t> </w:t>
            </w:r>
          </w:p>
        </w:tc>
        <w:tc>
          <w:tcPr>
            <w:tcW w:w="923" w:type="dxa"/>
            <w:shd w:val="clear" w:color="auto" w:fill="BFBFBF" w:themeFill="background1" w:themeFillShade="BF"/>
            <w:noWrap/>
            <w:vAlign w:val="center"/>
          </w:tcPr>
          <w:p w:rsidR="00E36F87" w:rsidRPr="00E823C2" w:rsidRDefault="00E36F87" w:rsidP="00E36F87">
            <w:pPr>
              <w:jc w:val="right"/>
              <w:rPr>
                <w:rFonts w:asciiTheme="majorHAnsi" w:hAnsiTheme="majorHAnsi" w:cstheme="majorHAnsi"/>
                <w:b/>
                <w:bCs/>
                <w:sz w:val="16"/>
                <w:szCs w:val="16"/>
              </w:rPr>
            </w:pPr>
            <w:r>
              <w:rPr>
                <w:rFonts w:cs="Calibri Light"/>
                <w:b/>
                <w:bCs/>
                <w:color w:val="000000"/>
                <w:sz w:val="16"/>
                <w:szCs w:val="16"/>
              </w:rPr>
              <w:t xml:space="preserve">        1,267,546 </w:t>
            </w:r>
          </w:p>
        </w:tc>
      </w:tr>
      <w:tr w:rsidR="00E36F87" w:rsidRPr="00E823C2" w:rsidTr="00E36F87">
        <w:trPr>
          <w:trHeight w:val="315"/>
        </w:trPr>
        <w:tc>
          <w:tcPr>
            <w:tcW w:w="14907" w:type="dxa"/>
            <w:gridSpan w:val="12"/>
            <w:shd w:val="clear" w:color="auto" w:fill="BFBFBF" w:themeFill="background1" w:themeFillShade="BF"/>
            <w:noWrap/>
            <w:hideMark/>
          </w:tcPr>
          <w:p w:rsidR="00E36F87" w:rsidRPr="00E823C2" w:rsidRDefault="00E36F87" w:rsidP="00E36F87">
            <w:pPr>
              <w:rPr>
                <w:rFonts w:asciiTheme="majorHAnsi" w:hAnsiTheme="majorHAnsi" w:cstheme="majorHAnsi"/>
                <w:b/>
                <w:bCs/>
                <w:sz w:val="16"/>
                <w:szCs w:val="16"/>
              </w:rPr>
            </w:pPr>
            <w:r w:rsidRPr="00E823C2">
              <w:rPr>
                <w:rFonts w:asciiTheme="majorHAnsi" w:hAnsiTheme="majorHAnsi" w:cstheme="majorHAnsi"/>
                <w:b/>
                <w:bCs/>
                <w:sz w:val="16"/>
                <w:szCs w:val="16"/>
              </w:rPr>
              <w:t xml:space="preserve"> Outcome 3: Regional organisations, policies and practices are actively supporting gender sensitive and inclusive risk-informed development </w:t>
            </w:r>
          </w:p>
        </w:tc>
      </w:tr>
      <w:tr w:rsidR="00E36F87" w:rsidRPr="00E823C2" w:rsidTr="00E36F87">
        <w:trPr>
          <w:trHeight w:val="783"/>
        </w:trPr>
        <w:tc>
          <w:tcPr>
            <w:tcW w:w="1563" w:type="dxa"/>
            <w:hideMark/>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sz w:val="16"/>
                <w:szCs w:val="16"/>
              </w:rPr>
              <w:t xml:space="preserve"> Output 3.1 Countries are working collectively to influence other countries, regional actors and their own country systems and government </w:t>
            </w:r>
          </w:p>
        </w:tc>
        <w:tc>
          <w:tcPr>
            <w:tcW w:w="3953" w:type="dxa"/>
            <w:hideMark/>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sz w:val="16"/>
                <w:szCs w:val="16"/>
              </w:rPr>
              <w:t xml:space="preserve"> 3.1.1 Facilitate dialogue across Pacific Island Countries on the impact of RID. Enable peer-to-peer learning across the Pacific Island countries. Leverage capacities and knowledge across the region </w:t>
            </w:r>
          </w:p>
        </w:tc>
        <w:tc>
          <w:tcPr>
            <w:tcW w:w="942"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53,722</w:t>
            </w:r>
          </w:p>
        </w:tc>
        <w:tc>
          <w:tcPr>
            <w:tcW w:w="942"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69,463</w:t>
            </w:r>
          </w:p>
        </w:tc>
        <w:tc>
          <w:tcPr>
            <w:tcW w:w="942"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142,258</w:t>
            </w:r>
          </w:p>
        </w:tc>
        <w:tc>
          <w:tcPr>
            <w:tcW w:w="1048"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102,663</w:t>
            </w:r>
          </w:p>
        </w:tc>
        <w:tc>
          <w:tcPr>
            <w:tcW w:w="831"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26,861</w:t>
            </w:r>
          </w:p>
        </w:tc>
        <w:tc>
          <w:tcPr>
            <w:tcW w:w="743"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7,951</w:t>
            </w:r>
          </w:p>
        </w:tc>
        <w:tc>
          <w:tcPr>
            <w:tcW w:w="988" w:type="dxa"/>
            <w:noWrap/>
            <w:vAlign w:val="center"/>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color w:val="000000"/>
                <w:sz w:val="16"/>
                <w:szCs w:val="16"/>
              </w:rPr>
              <w:t xml:space="preserve"> UNDP </w:t>
            </w:r>
          </w:p>
        </w:tc>
        <w:tc>
          <w:tcPr>
            <w:tcW w:w="733" w:type="dxa"/>
            <w:vAlign w:val="center"/>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color w:val="000000"/>
                <w:sz w:val="16"/>
                <w:szCs w:val="16"/>
              </w:rPr>
              <w:t xml:space="preserve"> KOICA </w:t>
            </w:r>
          </w:p>
        </w:tc>
        <w:tc>
          <w:tcPr>
            <w:tcW w:w="1299" w:type="dxa"/>
            <w:vAlign w:val="center"/>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color w:val="000000"/>
                <w:sz w:val="16"/>
                <w:szCs w:val="16"/>
              </w:rPr>
              <w:t xml:space="preserve"> Knowledge Events; Diffusion Products; Knowledge tools &amp; Policies and Technical Assistance </w:t>
            </w:r>
          </w:p>
        </w:tc>
        <w:tc>
          <w:tcPr>
            <w:tcW w:w="923"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402,918</w:t>
            </w:r>
          </w:p>
        </w:tc>
      </w:tr>
      <w:tr w:rsidR="00E36F87" w:rsidRPr="00E823C2" w:rsidTr="00E36F87">
        <w:trPr>
          <w:trHeight w:val="1098"/>
        </w:trPr>
        <w:tc>
          <w:tcPr>
            <w:tcW w:w="1563" w:type="dxa"/>
            <w:hideMark/>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sz w:val="16"/>
                <w:szCs w:val="16"/>
              </w:rPr>
              <w:t xml:space="preserve"> Output 3.2 Regional agents (CROP, donors, regional programmes) are cognizant of, equipped to and in some situations are leading on GS&amp;I RID </w:t>
            </w:r>
          </w:p>
        </w:tc>
        <w:tc>
          <w:tcPr>
            <w:tcW w:w="3953" w:type="dxa"/>
            <w:hideMark/>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sz w:val="16"/>
                <w:szCs w:val="16"/>
              </w:rPr>
              <w:t xml:space="preserve"> 3.2.1 Conduct research on need for Risk Informed Development in the region. Lead regional dialogue on advocating for Risk Informed Development approach  </w:t>
            </w:r>
          </w:p>
        </w:tc>
        <w:tc>
          <w:tcPr>
            <w:tcW w:w="942"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53,722</w:t>
            </w:r>
          </w:p>
        </w:tc>
        <w:tc>
          <w:tcPr>
            <w:tcW w:w="942"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69,463</w:t>
            </w:r>
          </w:p>
        </w:tc>
        <w:tc>
          <w:tcPr>
            <w:tcW w:w="942"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142,258</w:t>
            </w:r>
          </w:p>
        </w:tc>
        <w:tc>
          <w:tcPr>
            <w:tcW w:w="1048"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102,663</w:t>
            </w:r>
          </w:p>
        </w:tc>
        <w:tc>
          <w:tcPr>
            <w:tcW w:w="831"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26,861</w:t>
            </w:r>
          </w:p>
        </w:tc>
        <w:tc>
          <w:tcPr>
            <w:tcW w:w="743"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7,951</w:t>
            </w:r>
          </w:p>
        </w:tc>
        <w:tc>
          <w:tcPr>
            <w:tcW w:w="988" w:type="dxa"/>
            <w:noWrap/>
            <w:vAlign w:val="center"/>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color w:val="000000"/>
                <w:sz w:val="16"/>
                <w:szCs w:val="16"/>
              </w:rPr>
              <w:t xml:space="preserve"> UNDP </w:t>
            </w:r>
          </w:p>
        </w:tc>
        <w:tc>
          <w:tcPr>
            <w:tcW w:w="733" w:type="dxa"/>
            <w:vAlign w:val="center"/>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color w:val="000000"/>
                <w:sz w:val="16"/>
                <w:szCs w:val="16"/>
              </w:rPr>
              <w:t xml:space="preserve"> KOICA </w:t>
            </w:r>
          </w:p>
        </w:tc>
        <w:tc>
          <w:tcPr>
            <w:tcW w:w="1299" w:type="dxa"/>
            <w:vAlign w:val="center"/>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color w:val="000000"/>
                <w:sz w:val="16"/>
                <w:szCs w:val="16"/>
              </w:rPr>
              <w:t xml:space="preserve"> Knowledge Events; Diffusion Products; Knowledge tools &amp; Policies and Technical Assistance </w:t>
            </w:r>
          </w:p>
        </w:tc>
        <w:tc>
          <w:tcPr>
            <w:tcW w:w="923"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402,918</w:t>
            </w:r>
          </w:p>
        </w:tc>
      </w:tr>
      <w:tr w:rsidR="00E36F87" w:rsidRPr="00E823C2" w:rsidTr="00E36F87">
        <w:trPr>
          <w:trHeight w:val="315"/>
        </w:trPr>
        <w:tc>
          <w:tcPr>
            <w:tcW w:w="1563" w:type="dxa"/>
            <w:tcBorders>
              <w:bottom w:val="single" w:sz="4" w:space="0" w:color="auto"/>
            </w:tcBorders>
            <w:hideMark/>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sz w:val="16"/>
                <w:szCs w:val="16"/>
              </w:rPr>
              <w:t xml:space="preserve"> Monitoring costs </w:t>
            </w:r>
          </w:p>
        </w:tc>
        <w:tc>
          <w:tcPr>
            <w:tcW w:w="3953" w:type="dxa"/>
            <w:tcBorders>
              <w:bottom w:val="single" w:sz="4" w:space="0" w:color="auto"/>
            </w:tcBorders>
            <w:hideMark/>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sz w:val="16"/>
                <w:szCs w:val="16"/>
              </w:rPr>
              <w:t> </w:t>
            </w:r>
          </w:p>
        </w:tc>
        <w:tc>
          <w:tcPr>
            <w:tcW w:w="942" w:type="dxa"/>
            <w:tcBorders>
              <w:bottom w:val="single" w:sz="4" w:space="0" w:color="auto"/>
            </w:tcBorders>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13,555</w:t>
            </w:r>
          </w:p>
        </w:tc>
        <w:tc>
          <w:tcPr>
            <w:tcW w:w="942" w:type="dxa"/>
            <w:tcBorders>
              <w:bottom w:val="single" w:sz="4" w:space="0" w:color="auto"/>
            </w:tcBorders>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17,527</w:t>
            </w:r>
          </w:p>
        </w:tc>
        <w:tc>
          <w:tcPr>
            <w:tcW w:w="942" w:type="dxa"/>
            <w:tcBorders>
              <w:bottom w:val="single" w:sz="4" w:space="0" w:color="auto"/>
            </w:tcBorders>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26,241</w:t>
            </w:r>
          </w:p>
        </w:tc>
        <w:tc>
          <w:tcPr>
            <w:tcW w:w="1048" w:type="dxa"/>
            <w:tcBorders>
              <w:bottom w:val="single" w:sz="4" w:space="0" w:color="auto"/>
            </w:tcBorders>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25,904</w:t>
            </w:r>
          </w:p>
        </w:tc>
        <w:tc>
          <w:tcPr>
            <w:tcW w:w="831" w:type="dxa"/>
            <w:tcBorders>
              <w:bottom w:val="single" w:sz="4" w:space="0" w:color="auto"/>
            </w:tcBorders>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6,778</w:t>
            </w:r>
          </w:p>
        </w:tc>
        <w:tc>
          <w:tcPr>
            <w:tcW w:w="743" w:type="dxa"/>
            <w:tcBorders>
              <w:bottom w:val="single" w:sz="4" w:space="0" w:color="auto"/>
            </w:tcBorders>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2,006</w:t>
            </w:r>
          </w:p>
        </w:tc>
        <w:tc>
          <w:tcPr>
            <w:tcW w:w="988" w:type="dxa"/>
            <w:tcBorders>
              <w:bottom w:val="single" w:sz="4" w:space="0" w:color="auto"/>
            </w:tcBorders>
            <w:noWrap/>
            <w:vAlign w:val="center"/>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color w:val="000000"/>
                <w:sz w:val="16"/>
                <w:szCs w:val="16"/>
              </w:rPr>
              <w:t> </w:t>
            </w:r>
          </w:p>
        </w:tc>
        <w:tc>
          <w:tcPr>
            <w:tcW w:w="733" w:type="dxa"/>
            <w:tcBorders>
              <w:bottom w:val="single" w:sz="4" w:space="0" w:color="auto"/>
            </w:tcBorders>
            <w:noWrap/>
            <w:vAlign w:val="center"/>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color w:val="000000"/>
                <w:sz w:val="16"/>
                <w:szCs w:val="16"/>
              </w:rPr>
              <w:t> </w:t>
            </w:r>
          </w:p>
        </w:tc>
        <w:tc>
          <w:tcPr>
            <w:tcW w:w="1299" w:type="dxa"/>
            <w:tcBorders>
              <w:bottom w:val="single" w:sz="4" w:space="0" w:color="auto"/>
            </w:tcBorders>
            <w:noWrap/>
            <w:vAlign w:val="center"/>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color w:val="000000"/>
                <w:sz w:val="16"/>
                <w:szCs w:val="16"/>
              </w:rPr>
              <w:t> </w:t>
            </w:r>
          </w:p>
        </w:tc>
        <w:tc>
          <w:tcPr>
            <w:tcW w:w="923" w:type="dxa"/>
            <w:tcBorders>
              <w:bottom w:val="single" w:sz="4" w:space="0" w:color="auto"/>
            </w:tcBorders>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92,011</w:t>
            </w:r>
          </w:p>
        </w:tc>
      </w:tr>
      <w:tr w:rsidR="00E36F87" w:rsidRPr="00E823C2" w:rsidTr="00E36F87">
        <w:trPr>
          <w:trHeight w:val="315"/>
        </w:trPr>
        <w:tc>
          <w:tcPr>
            <w:tcW w:w="1563" w:type="dxa"/>
            <w:shd w:val="clear" w:color="auto" w:fill="BFBFBF" w:themeFill="background1" w:themeFillShade="BF"/>
            <w:noWrap/>
            <w:hideMark/>
          </w:tcPr>
          <w:p w:rsidR="00E36F87" w:rsidRPr="00E823C2" w:rsidRDefault="00E36F87" w:rsidP="00E36F87">
            <w:pPr>
              <w:rPr>
                <w:rFonts w:asciiTheme="majorHAnsi" w:hAnsiTheme="majorHAnsi" w:cstheme="majorHAnsi"/>
                <w:b/>
                <w:bCs/>
                <w:sz w:val="16"/>
                <w:szCs w:val="16"/>
              </w:rPr>
            </w:pPr>
            <w:r w:rsidRPr="00E823C2">
              <w:rPr>
                <w:rFonts w:asciiTheme="majorHAnsi" w:hAnsiTheme="majorHAnsi" w:cstheme="majorHAnsi"/>
                <w:b/>
                <w:bCs/>
                <w:sz w:val="16"/>
                <w:szCs w:val="16"/>
              </w:rPr>
              <w:t>Sub-Total for Output 3</w:t>
            </w:r>
          </w:p>
        </w:tc>
        <w:tc>
          <w:tcPr>
            <w:tcW w:w="3953" w:type="dxa"/>
            <w:shd w:val="clear" w:color="auto" w:fill="BFBFBF" w:themeFill="background1" w:themeFillShade="BF"/>
            <w:noWrap/>
            <w:hideMark/>
          </w:tcPr>
          <w:p w:rsidR="00E36F87" w:rsidRPr="00E823C2" w:rsidRDefault="00E36F87" w:rsidP="00E36F87">
            <w:pPr>
              <w:rPr>
                <w:rFonts w:asciiTheme="majorHAnsi" w:hAnsiTheme="majorHAnsi" w:cstheme="majorHAnsi"/>
                <w:b/>
                <w:bCs/>
                <w:sz w:val="16"/>
                <w:szCs w:val="16"/>
              </w:rPr>
            </w:pPr>
            <w:r w:rsidRPr="00E823C2">
              <w:rPr>
                <w:rFonts w:asciiTheme="majorHAnsi" w:hAnsiTheme="majorHAnsi" w:cstheme="majorHAnsi"/>
                <w:b/>
                <w:bCs/>
                <w:sz w:val="16"/>
                <w:szCs w:val="16"/>
              </w:rPr>
              <w:t> </w:t>
            </w:r>
          </w:p>
        </w:tc>
        <w:tc>
          <w:tcPr>
            <w:tcW w:w="942" w:type="dxa"/>
            <w:shd w:val="clear" w:color="auto" w:fill="BFBFBF" w:themeFill="background1" w:themeFillShade="BF"/>
            <w:noWrap/>
            <w:vAlign w:val="center"/>
          </w:tcPr>
          <w:p w:rsidR="00E36F87" w:rsidRPr="00E823C2" w:rsidRDefault="00E36F87" w:rsidP="00E36F87">
            <w:pPr>
              <w:jc w:val="right"/>
              <w:rPr>
                <w:rFonts w:asciiTheme="majorHAnsi" w:hAnsiTheme="majorHAnsi" w:cstheme="majorHAnsi"/>
                <w:b/>
                <w:bCs/>
                <w:sz w:val="16"/>
                <w:szCs w:val="16"/>
              </w:rPr>
            </w:pPr>
            <w:r>
              <w:rPr>
                <w:rFonts w:cs="Calibri Light"/>
                <w:b/>
                <w:bCs/>
                <w:color w:val="000000"/>
                <w:sz w:val="16"/>
                <w:szCs w:val="16"/>
              </w:rPr>
              <w:t>120,999</w:t>
            </w:r>
          </w:p>
        </w:tc>
        <w:tc>
          <w:tcPr>
            <w:tcW w:w="942" w:type="dxa"/>
            <w:shd w:val="clear" w:color="auto" w:fill="BFBFBF" w:themeFill="background1" w:themeFillShade="BF"/>
            <w:noWrap/>
            <w:vAlign w:val="center"/>
          </w:tcPr>
          <w:p w:rsidR="00E36F87" w:rsidRPr="00E823C2" w:rsidRDefault="00E36F87" w:rsidP="00E36F87">
            <w:pPr>
              <w:jc w:val="right"/>
              <w:rPr>
                <w:rFonts w:asciiTheme="majorHAnsi" w:hAnsiTheme="majorHAnsi" w:cstheme="majorHAnsi"/>
                <w:b/>
                <w:bCs/>
                <w:sz w:val="16"/>
                <w:szCs w:val="16"/>
              </w:rPr>
            </w:pPr>
            <w:r>
              <w:rPr>
                <w:rFonts w:cs="Calibri Light"/>
                <w:b/>
                <w:bCs/>
                <w:color w:val="000000"/>
                <w:sz w:val="16"/>
                <w:szCs w:val="16"/>
              </w:rPr>
              <w:t>156,453</w:t>
            </w:r>
          </w:p>
        </w:tc>
        <w:tc>
          <w:tcPr>
            <w:tcW w:w="942" w:type="dxa"/>
            <w:shd w:val="clear" w:color="auto" w:fill="BFBFBF" w:themeFill="background1" w:themeFillShade="BF"/>
            <w:noWrap/>
            <w:vAlign w:val="center"/>
          </w:tcPr>
          <w:p w:rsidR="00E36F87" w:rsidRPr="00E823C2" w:rsidRDefault="00E36F87" w:rsidP="00E36F87">
            <w:pPr>
              <w:jc w:val="right"/>
              <w:rPr>
                <w:rFonts w:asciiTheme="majorHAnsi" w:hAnsiTheme="majorHAnsi" w:cstheme="majorHAnsi"/>
                <w:b/>
                <w:bCs/>
                <w:sz w:val="16"/>
                <w:szCs w:val="16"/>
              </w:rPr>
            </w:pPr>
            <w:r>
              <w:rPr>
                <w:rFonts w:cs="Calibri Light"/>
                <w:b/>
                <w:bCs/>
                <w:color w:val="000000"/>
                <w:sz w:val="16"/>
                <w:szCs w:val="16"/>
              </w:rPr>
              <w:t>310,757</w:t>
            </w:r>
          </w:p>
        </w:tc>
        <w:tc>
          <w:tcPr>
            <w:tcW w:w="1048" w:type="dxa"/>
            <w:shd w:val="clear" w:color="auto" w:fill="BFBFBF" w:themeFill="background1" w:themeFillShade="BF"/>
            <w:noWrap/>
            <w:vAlign w:val="center"/>
          </w:tcPr>
          <w:p w:rsidR="00E36F87" w:rsidRPr="00E823C2" w:rsidRDefault="00E36F87" w:rsidP="00E36F87">
            <w:pPr>
              <w:jc w:val="right"/>
              <w:rPr>
                <w:rFonts w:asciiTheme="majorHAnsi" w:hAnsiTheme="majorHAnsi" w:cstheme="majorHAnsi"/>
                <w:b/>
                <w:bCs/>
                <w:sz w:val="16"/>
                <w:szCs w:val="16"/>
              </w:rPr>
            </w:pPr>
            <w:r>
              <w:rPr>
                <w:rFonts w:cs="Calibri Light"/>
                <w:b/>
                <w:bCs/>
                <w:color w:val="000000"/>
                <w:sz w:val="16"/>
                <w:szCs w:val="16"/>
              </w:rPr>
              <w:t>231,230</w:t>
            </w:r>
          </w:p>
        </w:tc>
        <w:tc>
          <w:tcPr>
            <w:tcW w:w="831" w:type="dxa"/>
            <w:shd w:val="clear" w:color="auto" w:fill="BFBFBF" w:themeFill="background1" w:themeFillShade="BF"/>
            <w:noWrap/>
            <w:vAlign w:val="center"/>
          </w:tcPr>
          <w:p w:rsidR="00E36F87" w:rsidRPr="00E823C2" w:rsidRDefault="00E36F87" w:rsidP="00E36F87">
            <w:pPr>
              <w:jc w:val="right"/>
              <w:rPr>
                <w:rFonts w:asciiTheme="majorHAnsi" w:hAnsiTheme="majorHAnsi" w:cstheme="majorHAnsi"/>
                <w:b/>
                <w:bCs/>
                <w:sz w:val="16"/>
                <w:szCs w:val="16"/>
              </w:rPr>
            </w:pPr>
            <w:r>
              <w:rPr>
                <w:rFonts w:cs="Calibri Light"/>
                <w:b/>
                <w:bCs/>
                <w:color w:val="000000"/>
                <w:sz w:val="16"/>
                <w:szCs w:val="16"/>
              </w:rPr>
              <w:t>60,500</w:t>
            </w:r>
          </w:p>
        </w:tc>
        <w:tc>
          <w:tcPr>
            <w:tcW w:w="743" w:type="dxa"/>
            <w:shd w:val="clear" w:color="auto" w:fill="BFBFBF" w:themeFill="background1" w:themeFillShade="BF"/>
            <w:noWrap/>
            <w:vAlign w:val="center"/>
          </w:tcPr>
          <w:p w:rsidR="00E36F87" w:rsidRPr="00E823C2" w:rsidRDefault="00E36F87" w:rsidP="00E36F87">
            <w:pPr>
              <w:jc w:val="right"/>
              <w:rPr>
                <w:rFonts w:asciiTheme="majorHAnsi" w:hAnsiTheme="majorHAnsi" w:cstheme="majorHAnsi"/>
                <w:b/>
                <w:bCs/>
                <w:sz w:val="16"/>
                <w:szCs w:val="16"/>
              </w:rPr>
            </w:pPr>
            <w:r>
              <w:rPr>
                <w:rFonts w:cs="Calibri Light"/>
                <w:b/>
                <w:bCs/>
                <w:color w:val="000000"/>
                <w:sz w:val="16"/>
                <w:szCs w:val="16"/>
              </w:rPr>
              <w:t>17,908</w:t>
            </w:r>
          </w:p>
        </w:tc>
        <w:tc>
          <w:tcPr>
            <w:tcW w:w="988" w:type="dxa"/>
            <w:shd w:val="clear" w:color="auto" w:fill="BFBFBF" w:themeFill="background1" w:themeFillShade="BF"/>
            <w:noWrap/>
            <w:vAlign w:val="center"/>
          </w:tcPr>
          <w:p w:rsidR="00E36F87" w:rsidRPr="00E823C2" w:rsidRDefault="00E36F87" w:rsidP="00E36F87">
            <w:pPr>
              <w:rPr>
                <w:rFonts w:asciiTheme="majorHAnsi" w:hAnsiTheme="majorHAnsi" w:cstheme="majorHAnsi"/>
                <w:b/>
                <w:bCs/>
                <w:sz w:val="16"/>
                <w:szCs w:val="16"/>
              </w:rPr>
            </w:pPr>
            <w:r w:rsidRPr="00E823C2">
              <w:rPr>
                <w:rFonts w:asciiTheme="majorHAnsi" w:hAnsiTheme="majorHAnsi" w:cstheme="majorHAnsi"/>
                <w:b/>
                <w:bCs/>
                <w:color w:val="000000"/>
                <w:sz w:val="16"/>
                <w:szCs w:val="16"/>
              </w:rPr>
              <w:t> </w:t>
            </w:r>
          </w:p>
        </w:tc>
        <w:tc>
          <w:tcPr>
            <w:tcW w:w="733" w:type="dxa"/>
            <w:shd w:val="clear" w:color="auto" w:fill="BFBFBF" w:themeFill="background1" w:themeFillShade="BF"/>
            <w:noWrap/>
            <w:vAlign w:val="center"/>
          </w:tcPr>
          <w:p w:rsidR="00E36F87" w:rsidRPr="00E823C2" w:rsidRDefault="00E36F87" w:rsidP="00E36F87">
            <w:pPr>
              <w:rPr>
                <w:rFonts w:asciiTheme="majorHAnsi" w:hAnsiTheme="majorHAnsi" w:cstheme="majorHAnsi"/>
                <w:b/>
                <w:bCs/>
                <w:sz w:val="16"/>
                <w:szCs w:val="16"/>
              </w:rPr>
            </w:pPr>
            <w:r w:rsidRPr="00E823C2">
              <w:rPr>
                <w:rFonts w:asciiTheme="majorHAnsi" w:hAnsiTheme="majorHAnsi" w:cstheme="majorHAnsi"/>
                <w:b/>
                <w:bCs/>
                <w:color w:val="000000"/>
                <w:sz w:val="16"/>
                <w:szCs w:val="16"/>
              </w:rPr>
              <w:t> </w:t>
            </w:r>
          </w:p>
        </w:tc>
        <w:tc>
          <w:tcPr>
            <w:tcW w:w="1299" w:type="dxa"/>
            <w:shd w:val="clear" w:color="auto" w:fill="BFBFBF" w:themeFill="background1" w:themeFillShade="BF"/>
            <w:noWrap/>
            <w:vAlign w:val="center"/>
          </w:tcPr>
          <w:p w:rsidR="00E36F87" w:rsidRPr="00E823C2" w:rsidRDefault="00E36F87" w:rsidP="00E36F87">
            <w:pPr>
              <w:rPr>
                <w:rFonts w:asciiTheme="majorHAnsi" w:hAnsiTheme="majorHAnsi" w:cstheme="majorHAnsi"/>
                <w:b/>
                <w:bCs/>
                <w:sz w:val="16"/>
                <w:szCs w:val="16"/>
              </w:rPr>
            </w:pPr>
            <w:r w:rsidRPr="00E823C2">
              <w:rPr>
                <w:rFonts w:asciiTheme="majorHAnsi" w:hAnsiTheme="majorHAnsi" w:cstheme="majorHAnsi"/>
                <w:b/>
                <w:bCs/>
                <w:color w:val="000000"/>
                <w:sz w:val="16"/>
                <w:szCs w:val="16"/>
              </w:rPr>
              <w:t> </w:t>
            </w:r>
          </w:p>
        </w:tc>
        <w:tc>
          <w:tcPr>
            <w:tcW w:w="923" w:type="dxa"/>
            <w:shd w:val="clear" w:color="auto" w:fill="BFBFBF" w:themeFill="background1" w:themeFillShade="BF"/>
            <w:noWrap/>
            <w:vAlign w:val="center"/>
          </w:tcPr>
          <w:p w:rsidR="00E36F87" w:rsidRPr="00E823C2" w:rsidRDefault="00E36F87" w:rsidP="00E36F87">
            <w:pPr>
              <w:jc w:val="right"/>
              <w:rPr>
                <w:rFonts w:asciiTheme="majorHAnsi" w:hAnsiTheme="majorHAnsi" w:cstheme="majorHAnsi"/>
                <w:b/>
                <w:bCs/>
                <w:sz w:val="16"/>
                <w:szCs w:val="16"/>
              </w:rPr>
            </w:pPr>
            <w:r>
              <w:rPr>
                <w:rFonts w:cs="Calibri Light"/>
                <w:b/>
                <w:bCs/>
                <w:color w:val="000000"/>
                <w:sz w:val="16"/>
                <w:szCs w:val="16"/>
              </w:rPr>
              <w:t>897,847</w:t>
            </w:r>
          </w:p>
        </w:tc>
      </w:tr>
      <w:tr w:rsidR="00E36F87" w:rsidRPr="00E823C2" w:rsidTr="00E36F87">
        <w:trPr>
          <w:trHeight w:val="315"/>
        </w:trPr>
        <w:tc>
          <w:tcPr>
            <w:tcW w:w="1563" w:type="dxa"/>
            <w:shd w:val="clear" w:color="auto" w:fill="BFBFBF" w:themeFill="background1" w:themeFillShade="BF"/>
            <w:noWrap/>
            <w:hideMark/>
          </w:tcPr>
          <w:p w:rsidR="00E36F87" w:rsidRPr="00E823C2" w:rsidRDefault="00E36F87" w:rsidP="00E36F87">
            <w:pPr>
              <w:rPr>
                <w:rFonts w:asciiTheme="majorHAnsi" w:hAnsiTheme="majorHAnsi" w:cstheme="majorHAnsi"/>
                <w:b/>
                <w:bCs/>
                <w:sz w:val="16"/>
                <w:szCs w:val="16"/>
              </w:rPr>
            </w:pPr>
            <w:r w:rsidRPr="00E823C2">
              <w:rPr>
                <w:rFonts w:asciiTheme="majorHAnsi" w:hAnsiTheme="majorHAnsi" w:cstheme="majorHAnsi"/>
                <w:b/>
                <w:bCs/>
                <w:sz w:val="16"/>
                <w:szCs w:val="16"/>
              </w:rPr>
              <w:t>Total programme costs</w:t>
            </w:r>
          </w:p>
        </w:tc>
        <w:tc>
          <w:tcPr>
            <w:tcW w:w="3953" w:type="dxa"/>
            <w:shd w:val="clear" w:color="auto" w:fill="BFBFBF" w:themeFill="background1" w:themeFillShade="BF"/>
            <w:noWrap/>
            <w:hideMark/>
          </w:tcPr>
          <w:p w:rsidR="00E36F87" w:rsidRPr="00E823C2" w:rsidRDefault="00E36F87" w:rsidP="00E36F87">
            <w:pPr>
              <w:rPr>
                <w:rFonts w:asciiTheme="majorHAnsi" w:hAnsiTheme="majorHAnsi" w:cstheme="majorHAnsi"/>
                <w:b/>
                <w:bCs/>
                <w:sz w:val="16"/>
                <w:szCs w:val="16"/>
              </w:rPr>
            </w:pPr>
            <w:r w:rsidRPr="00E823C2">
              <w:rPr>
                <w:rFonts w:asciiTheme="majorHAnsi" w:hAnsiTheme="majorHAnsi" w:cstheme="majorHAnsi"/>
                <w:b/>
                <w:bCs/>
                <w:sz w:val="16"/>
                <w:szCs w:val="16"/>
              </w:rPr>
              <w:t> </w:t>
            </w:r>
          </w:p>
        </w:tc>
        <w:tc>
          <w:tcPr>
            <w:tcW w:w="942" w:type="dxa"/>
            <w:shd w:val="clear" w:color="auto" w:fill="BFBFBF" w:themeFill="background1" w:themeFillShade="BF"/>
            <w:noWrap/>
            <w:vAlign w:val="center"/>
          </w:tcPr>
          <w:p w:rsidR="00E36F87" w:rsidRPr="00E823C2" w:rsidRDefault="00E36F87" w:rsidP="00E36F87">
            <w:pPr>
              <w:jc w:val="right"/>
              <w:rPr>
                <w:rFonts w:asciiTheme="majorHAnsi" w:hAnsiTheme="majorHAnsi" w:cstheme="majorHAnsi"/>
                <w:b/>
                <w:bCs/>
                <w:sz w:val="16"/>
                <w:szCs w:val="16"/>
              </w:rPr>
            </w:pPr>
            <w:r>
              <w:rPr>
                <w:rFonts w:cs="Calibri Light"/>
                <w:b/>
                <w:bCs/>
                <w:color w:val="000000"/>
                <w:sz w:val="16"/>
                <w:szCs w:val="16"/>
              </w:rPr>
              <w:t>916,75</w:t>
            </w:r>
            <w:r w:rsidR="00B82A06">
              <w:rPr>
                <w:rFonts w:cs="Calibri Light"/>
                <w:b/>
                <w:bCs/>
                <w:color w:val="000000"/>
                <w:sz w:val="16"/>
                <w:szCs w:val="16"/>
              </w:rPr>
              <w:t>8</w:t>
            </w:r>
          </w:p>
        </w:tc>
        <w:tc>
          <w:tcPr>
            <w:tcW w:w="942" w:type="dxa"/>
            <w:shd w:val="clear" w:color="auto" w:fill="BFBFBF" w:themeFill="background1" w:themeFillShade="BF"/>
            <w:noWrap/>
            <w:vAlign w:val="center"/>
          </w:tcPr>
          <w:p w:rsidR="00E36F87" w:rsidRPr="00E823C2" w:rsidRDefault="00E36F87" w:rsidP="00E36F87">
            <w:pPr>
              <w:jc w:val="right"/>
              <w:rPr>
                <w:rFonts w:asciiTheme="majorHAnsi" w:hAnsiTheme="majorHAnsi" w:cstheme="majorHAnsi"/>
                <w:b/>
                <w:bCs/>
                <w:sz w:val="16"/>
                <w:szCs w:val="16"/>
              </w:rPr>
            </w:pPr>
            <w:r>
              <w:rPr>
                <w:rFonts w:cs="Calibri Light"/>
                <w:b/>
                <w:bCs/>
                <w:color w:val="000000"/>
                <w:sz w:val="16"/>
                <w:szCs w:val="16"/>
              </w:rPr>
              <w:t>1,185,369</w:t>
            </w:r>
          </w:p>
        </w:tc>
        <w:tc>
          <w:tcPr>
            <w:tcW w:w="942" w:type="dxa"/>
            <w:shd w:val="clear" w:color="auto" w:fill="BFBFBF" w:themeFill="background1" w:themeFillShade="BF"/>
            <w:noWrap/>
            <w:vAlign w:val="center"/>
          </w:tcPr>
          <w:p w:rsidR="00E36F87" w:rsidRPr="00E823C2" w:rsidRDefault="00E36F87" w:rsidP="00E36F87">
            <w:pPr>
              <w:jc w:val="right"/>
              <w:rPr>
                <w:rFonts w:asciiTheme="majorHAnsi" w:hAnsiTheme="majorHAnsi" w:cstheme="majorHAnsi"/>
                <w:b/>
                <w:bCs/>
                <w:sz w:val="16"/>
                <w:szCs w:val="16"/>
              </w:rPr>
            </w:pPr>
            <w:r>
              <w:rPr>
                <w:rFonts w:cs="Calibri Light"/>
                <w:b/>
                <w:bCs/>
                <w:color w:val="000000"/>
                <w:sz w:val="16"/>
                <w:szCs w:val="16"/>
              </w:rPr>
              <w:t>2,392,47</w:t>
            </w:r>
            <w:r w:rsidR="00B82A06">
              <w:rPr>
                <w:rFonts w:cs="Calibri Light"/>
                <w:b/>
                <w:bCs/>
                <w:color w:val="000000"/>
                <w:sz w:val="16"/>
                <w:szCs w:val="16"/>
              </w:rPr>
              <w:t>5</w:t>
            </w:r>
          </w:p>
        </w:tc>
        <w:tc>
          <w:tcPr>
            <w:tcW w:w="1048" w:type="dxa"/>
            <w:shd w:val="clear" w:color="auto" w:fill="BFBFBF" w:themeFill="background1" w:themeFillShade="BF"/>
            <w:noWrap/>
            <w:vAlign w:val="center"/>
          </w:tcPr>
          <w:p w:rsidR="00E36F87" w:rsidRPr="00E823C2" w:rsidRDefault="00E36F87" w:rsidP="00E36F87">
            <w:pPr>
              <w:jc w:val="right"/>
              <w:rPr>
                <w:rFonts w:asciiTheme="majorHAnsi" w:hAnsiTheme="majorHAnsi" w:cstheme="majorHAnsi"/>
                <w:b/>
                <w:bCs/>
                <w:sz w:val="16"/>
                <w:szCs w:val="16"/>
              </w:rPr>
            </w:pPr>
            <w:r>
              <w:rPr>
                <w:rFonts w:cs="Calibri Light"/>
                <w:b/>
                <w:bCs/>
                <w:color w:val="000000"/>
                <w:sz w:val="16"/>
                <w:szCs w:val="16"/>
              </w:rPr>
              <w:t>1,751,925</w:t>
            </w:r>
          </w:p>
        </w:tc>
        <w:tc>
          <w:tcPr>
            <w:tcW w:w="831" w:type="dxa"/>
            <w:shd w:val="clear" w:color="auto" w:fill="BFBFBF" w:themeFill="background1" w:themeFillShade="BF"/>
            <w:noWrap/>
            <w:vAlign w:val="center"/>
          </w:tcPr>
          <w:p w:rsidR="00E36F87" w:rsidRPr="00E823C2" w:rsidRDefault="00E36F87" w:rsidP="00E36F87">
            <w:pPr>
              <w:jc w:val="right"/>
              <w:rPr>
                <w:rFonts w:asciiTheme="majorHAnsi" w:hAnsiTheme="majorHAnsi" w:cstheme="majorHAnsi"/>
                <w:b/>
                <w:bCs/>
                <w:sz w:val="16"/>
                <w:szCs w:val="16"/>
              </w:rPr>
            </w:pPr>
            <w:r>
              <w:rPr>
                <w:rFonts w:cs="Calibri Light"/>
                <w:b/>
                <w:bCs/>
                <w:color w:val="000000"/>
                <w:sz w:val="16"/>
                <w:szCs w:val="16"/>
              </w:rPr>
              <w:t>458,380</w:t>
            </w:r>
          </w:p>
        </w:tc>
        <w:tc>
          <w:tcPr>
            <w:tcW w:w="743" w:type="dxa"/>
            <w:shd w:val="clear" w:color="auto" w:fill="BFBFBF" w:themeFill="background1" w:themeFillShade="BF"/>
            <w:noWrap/>
            <w:vAlign w:val="center"/>
          </w:tcPr>
          <w:p w:rsidR="00E36F87" w:rsidRPr="00E823C2" w:rsidRDefault="00E36F87" w:rsidP="00E36F87">
            <w:pPr>
              <w:jc w:val="right"/>
              <w:rPr>
                <w:rFonts w:asciiTheme="majorHAnsi" w:hAnsiTheme="majorHAnsi" w:cstheme="majorHAnsi"/>
                <w:b/>
                <w:bCs/>
                <w:sz w:val="16"/>
                <w:szCs w:val="16"/>
              </w:rPr>
            </w:pPr>
            <w:r>
              <w:rPr>
                <w:rFonts w:cs="Calibri Light"/>
                <w:b/>
                <w:bCs/>
                <w:color w:val="000000"/>
                <w:sz w:val="16"/>
                <w:szCs w:val="16"/>
              </w:rPr>
              <w:t>135,68</w:t>
            </w:r>
            <w:r w:rsidR="00B82A06">
              <w:rPr>
                <w:rFonts w:cs="Calibri Light"/>
                <w:b/>
                <w:bCs/>
                <w:color w:val="000000"/>
                <w:sz w:val="16"/>
                <w:szCs w:val="16"/>
              </w:rPr>
              <w:t>1</w:t>
            </w:r>
          </w:p>
        </w:tc>
        <w:tc>
          <w:tcPr>
            <w:tcW w:w="988" w:type="dxa"/>
            <w:shd w:val="clear" w:color="auto" w:fill="BFBFBF" w:themeFill="background1" w:themeFillShade="BF"/>
            <w:noWrap/>
            <w:vAlign w:val="center"/>
          </w:tcPr>
          <w:p w:rsidR="00E36F87" w:rsidRPr="00E823C2" w:rsidRDefault="00E36F87" w:rsidP="00E36F87">
            <w:pPr>
              <w:rPr>
                <w:rFonts w:asciiTheme="majorHAnsi" w:hAnsiTheme="majorHAnsi" w:cstheme="majorHAnsi"/>
                <w:b/>
                <w:bCs/>
                <w:sz w:val="16"/>
                <w:szCs w:val="16"/>
              </w:rPr>
            </w:pPr>
            <w:r w:rsidRPr="00E823C2">
              <w:rPr>
                <w:rFonts w:asciiTheme="majorHAnsi" w:hAnsiTheme="majorHAnsi" w:cstheme="majorHAnsi"/>
                <w:b/>
                <w:bCs/>
                <w:color w:val="000000"/>
                <w:sz w:val="16"/>
                <w:szCs w:val="16"/>
              </w:rPr>
              <w:t> </w:t>
            </w:r>
          </w:p>
        </w:tc>
        <w:tc>
          <w:tcPr>
            <w:tcW w:w="733" w:type="dxa"/>
            <w:shd w:val="clear" w:color="auto" w:fill="BFBFBF" w:themeFill="background1" w:themeFillShade="BF"/>
            <w:noWrap/>
            <w:vAlign w:val="center"/>
          </w:tcPr>
          <w:p w:rsidR="00E36F87" w:rsidRPr="00E823C2" w:rsidRDefault="00E36F87" w:rsidP="00E36F87">
            <w:pPr>
              <w:rPr>
                <w:rFonts w:asciiTheme="majorHAnsi" w:hAnsiTheme="majorHAnsi" w:cstheme="majorHAnsi"/>
                <w:b/>
                <w:bCs/>
                <w:sz w:val="16"/>
                <w:szCs w:val="16"/>
              </w:rPr>
            </w:pPr>
            <w:r w:rsidRPr="00E823C2">
              <w:rPr>
                <w:rFonts w:asciiTheme="majorHAnsi" w:hAnsiTheme="majorHAnsi" w:cstheme="majorHAnsi"/>
                <w:b/>
                <w:bCs/>
                <w:color w:val="000000"/>
                <w:sz w:val="16"/>
                <w:szCs w:val="16"/>
              </w:rPr>
              <w:t> </w:t>
            </w:r>
          </w:p>
        </w:tc>
        <w:tc>
          <w:tcPr>
            <w:tcW w:w="1299" w:type="dxa"/>
            <w:shd w:val="clear" w:color="auto" w:fill="BFBFBF" w:themeFill="background1" w:themeFillShade="BF"/>
            <w:noWrap/>
            <w:vAlign w:val="center"/>
          </w:tcPr>
          <w:p w:rsidR="00E36F87" w:rsidRPr="00E823C2" w:rsidRDefault="00E36F87" w:rsidP="00E36F87">
            <w:pPr>
              <w:rPr>
                <w:rFonts w:asciiTheme="majorHAnsi" w:hAnsiTheme="majorHAnsi" w:cstheme="majorHAnsi"/>
                <w:b/>
                <w:bCs/>
                <w:sz w:val="16"/>
                <w:szCs w:val="16"/>
              </w:rPr>
            </w:pPr>
            <w:r w:rsidRPr="00E823C2">
              <w:rPr>
                <w:rFonts w:asciiTheme="majorHAnsi" w:hAnsiTheme="majorHAnsi" w:cstheme="majorHAnsi"/>
                <w:b/>
                <w:bCs/>
                <w:color w:val="000000"/>
                <w:sz w:val="16"/>
                <w:szCs w:val="16"/>
              </w:rPr>
              <w:t> </w:t>
            </w:r>
          </w:p>
        </w:tc>
        <w:tc>
          <w:tcPr>
            <w:tcW w:w="923" w:type="dxa"/>
            <w:shd w:val="clear" w:color="auto" w:fill="BFBFBF" w:themeFill="background1" w:themeFillShade="BF"/>
            <w:noWrap/>
            <w:vAlign w:val="center"/>
          </w:tcPr>
          <w:p w:rsidR="00E36F87" w:rsidRPr="00E823C2" w:rsidRDefault="00E36F87" w:rsidP="00E36F87">
            <w:pPr>
              <w:jc w:val="right"/>
              <w:rPr>
                <w:rFonts w:asciiTheme="majorHAnsi" w:hAnsiTheme="majorHAnsi" w:cstheme="majorHAnsi"/>
                <w:b/>
                <w:bCs/>
                <w:sz w:val="16"/>
                <w:szCs w:val="16"/>
              </w:rPr>
            </w:pPr>
            <w:r>
              <w:rPr>
                <w:rFonts w:cs="Calibri Light"/>
                <w:b/>
                <w:bCs/>
                <w:color w:val="000000"/>
                <w:sz w:val="16"/>
                <w:szCs w:val="16"/>
              </w:rPr>
              <w:t>6,840,588</w:t>
            </w:r>
          </w:p>
        </w:tc>
      </w:tr>
      <w:tr w:rsidR="00E36F87" w:rsidRPr="00E823C2" w:rsidTr="00E36F87">
        <w:trPr>
          <w:trHeight w:val="300"/>
        </w:trPr>
        <w:tc>
          <w:tcPr>
            <w:tcW w:w="1563" w:type="dxa"/>
            <w:noWrap/>
            <w:hideMark/>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sz w:val="16"/>
                <w:szCs w:val="16"/>
              </w:rPr>
              <w:t xml:space="preserve">Evaluation </w:t>
            </w:r>
          </w:p>
        </w:tc>
        <w:tc>
          <w:tcPr>
            <w:tcW w:w="3953" w:type="dxa"/>
            <w:noWrap/>
            <w:hideMark/>
          </w:tcPr>
          <w:p w:rsidR="00E36F87" w:rsidRPr="00E823C2" w:rsidRDefault="00E36F87" w:rsidP="00E36F87">
            <w:pPr>
              <w:rPr>
                <w:rFonts w:asciiTheme="majorHAnsi" w:hAnsiTheme="majorHAnsi" w:cstheme="majorHAnsi"/>
                <w:sz w:val="16"/>
                <w:szCs w:val="16"/>
              </w:rPr>
            </w:pPr>
            <w:proofErr w:type="spellStart"/>
            <w:r w:rsidRPr="00E823C2">
              <w:rPr>
                <w:rFonts w:asciiTheme="majorHAnsi" w:hAnsiTheme="majorHAnsi" w:cstheme="majorHAnsi"/>
                <w:sz w:val="16"/>
                <w:szCs w:val="16"/>
              </w:rPr>
              <w:t>Mid term</w:t>
            </w:r>
            <w:proofErr w:type="spellEnd"/>
            <w:r w:rsidRPr="00E823C2">
              <w:rPr>
                <w:rFonts w:asciiTheme="majorHAnsi" w:hAnsiTheme="majorHAnsi" w:cstheme="majorHAnsi"/>
                <w:sz w:val="16"/>
                <w:szCs w:val="16"/>
              </w:rPr>
              <w:t xml:space="preserve"> Evaluation </w:t>
            </w:r>
            <w:proofErr w:type="gramStart"/>
            <w:r w:rsidRPr="00E823C2">
              <w:rPr>
                <w:rFonts w:asciiTheme="majorHAnsi" w:hAnsiTheme="majorHAnsi" w:cstheme="majorHAnsi"/>
                <w:sz w:val="16"/>
                <w:szCs w:val="16"/>
              </w:rPr>
              <w:t>and  Lessons</w:t>
            </w:r>
            <w:proofErr w:type="gramEnd"/>
            <w:r w:rsidRPr="00E823C2">
              <w:rPr>
                <w:rFonts w:asciiTheme="majorHAnsi" w:hAnsiTheme="majorHAnsi" w:cstheme="majorHAnsi"/>
                <w:sz w:val="16"/>
                <w:szCs w:val="16"/>
              </w:rPr>
              <w:t xml:space="preserve"> learn</w:t>
            </w:r>
          </w:p>
        </w:tc>
        <w:tc>
          <w:tcPr>
            <w:tcW w:w="942"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 xml:space="preserve">                           -   </w:t>
            </w:r>
          </w:p>
        </w:tc>
        <w:tc>
          <w:tcPr>
            <w:tcW w:w="942"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 xml:space="preserve">                           -   </w:t>
            </w:r>
          </w:p>
        </w:tc>
        <w:tc>
          <w:tcPr>
            <w:tcW w:w="942"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35,100</w:t>
            </w:r>
          </w:p>
        </w:tc>
        <w:tc>
          <w:tcPr>
            <w:tcW w:w="1048"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 xml:space="preserve">                           -   </w:t>
            </w:r>
          </w:p>
        </w:tc>
        <w:tc>
          <w:tcPr>
            <w:tcW w:w="831"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 xml:space="preserve">                           -   </w:t>
            </w:r>
          </w:p>
        </w:tc>
        <w:tc>
          <w:tcPr>
            <w:tcW w:w="743"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 xml:space="preserve">                     -   </w:t>
            </w:r>
          </w:p>
        </w:tc>
        <w:tc>
          <w:tcPr>
            <w:tcW w:w="988" w:type="dxa"/>
            <w:noWrap/>
            <w:vAlign w:val="center"/>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color w:val="000000"/>
                <w:sz w:val="16"/>
                <w:szCs w:val="16"/>
              </w:rPr>
              <w:t> </w:t>
            </w:r>
          </w:p>
        </w:tc>
        <w:tc>
          <w:tcPr>
            <w:tcW w:w="733" w:type="dxa"/>
            <w:noWrap/>
            <w:vAlign w:val="center"/>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color w:val="000000"/>
                <w:sz w:val="16"/>
                <w:szCs w:val="16"/>
              </w:rPr>
              <w:t> </w:t>
            </w:r>
          </w:p>
        </w:tc>
        <w:tc>
          <w:tcPr>
            <w:tcW w:w="1299" w:type="dxa"/>
            <w:noWrap/>
            <w:vAlign w:val="center"/>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color w:val="000000"/>
                <w:sz w:val="16"/>
                <w:szCs w:val="16"/>
              </w:rPr>
              <w:t> </w:t>
            </w:r>
          </w:p>
        </w:tc>
        <w:tc>
          <w:tcPr>
            <w:tcW w:w="923" w:type="dxa"/>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35,100</w:t>
            </w:r>
          </w:p>
        </w:tc>
      </w:tr>
      <w:tr w:rsidR="00E36F87" w:rsidRPr="00E823C2" w:rsidTr="00E36F87">
        <w:trPr>
          <w:trHeight w:val="315"/>
        </w:trPr>
        <w:tc>
          <w:tcPr>
            <w:tcW w:w="1563" w:type="dxa"/>
            <w:tcBorders>
              <w:bottom w:val="single" w:sz="4" w:space="0" w:color="auto"/>
            </w:tcBorders>
            <w:noWrap/>
            <w:hideMark/>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sz w:val="16"/>
                <w:szCs w:val="16"/>
              </w:rPr>
              <w:t>General Management Support</w:t>
            </w:r>
          </w:p>
        </w:tc>
        <w:tc>
          <w:tcPr>
            <w:tcW w:w="3953" w:type="dxa"/>
            <w:tcBorders>
              <w:bottom w:val="single" w:sz="4" w:space="0" w:color="auto"/>
            </w:tcBorders>
            <w:noWrap/>
            <w:hideMark/>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sz w:val="16"/>
                <w:szCs w:val="16"/>
              </w:rPr>
              <w:t>General Management Service (GMS) Fees 8%</w:t>
            </w:r>
          </w:p>
        </w:tc>
        <w:tc>
          <w:tcPr>
            <w:tcW w:w="942" w:type="dxa"/>
            <w:tcBorders>
              <w:bottom w:val="single" w:sz="4" w:space="0" w:color="auto"/>
            </w:tcBorders>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73,341</w:t>
            </w:r>
          </w:p>
        </w:tc>
        <w:tc>
          <w:tcPr>
            <w:tcW w:w="942" w:type="dxa"/>
            <w:tcBorders>
              <w:bottom w:val="single" w:sz="4" w:space="0" w:color="auto"/>
            </w:tcBorders>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94,829</w:t>
            </w:r>
          </w:p>
        </w:tc>
        <w:tc>
          <w:tcPr>
            <w:tcW w:w="942" w:type="dxa"/>
            <w:tcBorders>
              <w:bottom w:val="single" w:sz="4" w:space="0" w:color="auto"/>
            </w:tcBorders>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194,207</w:t>
            </w:r>
          </w:p>
        </w:tc>
        <w:tc>
          <w:tcPr>
            <w:tcW w:w="1048" w:type="dxa"/>
            <w:tcBorders>
              <w:bottom w:val="single" w:sz="4" w:space="0" w:color="auto"/>
            </w:tcBorders>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140,154</w:t>
            </w:r>
          </w:p>
        </w:tc>
        <w:tc>
          <w:tcPr>
            <w:tcW w:w="831" w:type="dxa"/>
            <w:tcBorders>
              <w:bottom w:val="single" w:sz="4" w:space="0" w:color="auto"/>
            </w:tcBorders>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36,670</w:t>
            </w:r>
          </w:p>
        </w:tc>
        <w:tc>
          <w:tcPr>
            <w:tcW w:w="743" w:type="dxa"/>
            <w:tcBorders>
              <w:bottom w:val="single" w:sz="4" w:space="0" w:color="auto"/>
            </w:tcBorders>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10,854</w:t>
            </w:r>
          </w:p>
        </w:tc>
        <w:tc>
          <w:tcPr>
            <w:tcW w:w="988" w:type="dxa"/>
            <w:tcBorders>
              <w:bottom w:val="single" w:sz="4" w:space="0" w:color="auto"/>
            </w:tcBorders>
            <w:noWrap/>
            <w:vAlign w:val="center"/>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color w:val="000000"/>
                <w:sz w:val="16"/>
                <w:szCs w:val="16"/>
              </w:rPr>
              <w:t> </w:t>
            </w:r>
          </w:p>
        </w:tc>
        <w:tc>
          <w:tcPr>
            <w:tcW w:w="733" w:type="dxa"/>
            <w:tcBorders>
              <w:bottom w:val="single" w:sz="4" w:space="0" w:color="auto"/>
            </w:tcBorders>
            <w:noWrap/>
            <w:vAlign w:val="center"/>
          </w:tcPr>
          <w:p w:rsidR="00E36F87" w:rsidRPr="00E823C2" w:rsidRDefault="00E36F87" w:rsidP="00E36F87">
            <w:pPr>
              <w:rPr>
                <w:rFonts w:asciiTheme="majorHAnsi" w:hAnsiTheme="majorHAnsi" w:cstheme="majorHAnsi"/>
                <w:sz w:val="16"/>
                <w:szCs w:val="16"/>
              </w:rPr>
            </w:pPr>
            <w:r w:rsidRPr="00E823C2">
              <w:rPr>
                <w:rFonts w:asciiTheme="majorHAnsi" w:hAnsiTheme="majorHAnsi" w:cstheme="majorHAnsi"/>
                <w:color w:val="000000"/>
                <w:sz w:val="16"/>
                <w:szCs w:val="16"/>
              </w:rPr>
              <w:t> </w:t>
            </w:r>
          </w:p>
        </w:tc>
        <w:tc>
          <w:tcPr>
            <w:tcW w:w="1299" w:type="dxa"/>
            <w:tcBorders>
              <w:bottom w:val="single" w:sz="4" w:space="0" w:color="auto"/>
            </w:tcBorders>
            <w:noWrap/>
            <w:vAlign w:val="center"/>
          </w:tcPr>
          <w:p w:rsidR="00E36F87" w:rsidRPr="00E823C2" w:rsidRDefault="00E36F87" w:rsidP="00E36F87">
            <w:pPr>
              <w:rPr>
                <w:rFonts w:asciiTheme="majorHAnsi" w:hAnsiTheme="majorHAnsi" w:cstheme="majorHAnsi"/>
                <w:sz w:val="16"/>
                <w:szCs w:val="16"/>
              </w:rPr>
            </w:pPr>
          </w:p>
        </w:tc>
        <w:tc>
          <w:tcPr>
            <w:tcW w:w="923" w:type="dxa"/>
            <w:tcBorders>
              <w:bottom w:val="single" w:sz="4" w:space="0" w:color="auto"/>
            </w:tcBorders>
            <w:noWrap/>
            <w:vAlign w:val="center"/>
          </w:tcPr>
          <w:p w:rsidR="00E36F87" w:rsidRPr="00E823C2" w:rsidRDefault="00E36F87" w:rsidP="00E36F87">
            <w:pPr>
              <w:jc w:val="right"/>
              <w:rPr>
                <w:rFonts w:asciiTheme="majorHAnsi" w:hAnsiTheme="majorHAnsi" w:cstheme="majorHAnsi"/>
                <w:sz w:val="16"/>
                <w:szCs w:val="16"/>
              </w:rPr>
            </w:pPr>
            <w:r>
              <w:rPr>
                <w:rFonts w:cs="Calibri Light"/>
                <w:color w:val="000000"/>
                <w:sz w:val="16"/>
                <w:szCs w:val="16"/>
              </w:rPr>
              <w:t>550,055</w:t>
            </w:r>
          </w:p>
        </w:tc>
      </w:tr>
      <w:tr w:rsidR="00E36F87" w:rsidRPr="00E823C2" w:rsidTr="00E36F87">
        <w:trPr>
          <w:trHeight w:val="315"/>
        </w:trPr>
        <w:tc>
          <w:tcPr>
            <w:tcW w:w="1563" w:type="dxa"/>
            <w:shd w:val="clear" w:color="auto" w:fill="BFBFBF" w:themeFill="background1" w:themeFillShade="BF"/>
            <w:noWrap/>
            <w:hideMark/>
          </w:tcPr>
          <w:p w:rsidR="00E36F87" w:rsidRPr="00E823C2" w:rsidRDefault="00E36F87" w:rsidP="00E36F87">
            <w:pPr>
              <w:rPr>
                <w:rFonts w:asciiTheme="majorHAnsi" w:hAnsiTheme="majorHAnsi" w:cstheme="majorHAnsi"/>
                <w:b/>
                <w:bCs/>
                <w:sz w:val="16"/>
                <w:szCs w:val="16"/>
              </w:rPr>
            </w:pPr>
            <w:r w:rsidRPr="00E823C2">
              <w:rPr>
                <w:rFonts w:asciiTheme="majorHAnsi" w:hAnsiTheme="majorHAnsi" w:cstheme="majorHAnsi"/>
                <w:b/>
                <w:bCs/>
                <w:sz w:val="16"/>
                <w:szCs w:val="16"/>
              </w:rPr>
              <w:t>TOTAL</w:t>
            </w:r>
          </w:p>
        </w:tc>
        <w:tc>
          <w:tcPr>
            <w:tcW w:w="3953" w:type="dxa"/>
            <w:shd w:val="clear" w:color="auto" w:fill="BFBFBF" w:themeFill="background1" w:themeFillShade="BF"/>
            <w:noWrap/>
            <w:hideMark/>
          </w:tcPr>
          <w:p w:rsidR="00E36F87" w:rsidRPr="00E823C2" w:rsidRDefault="00E36F87" w:rsidP="00E36F87">
            <w:pPr>
              <w:rPr>
                <w:rFonts w:asciiTheme="majorHAnsi" w:hAnsiTheme="majorHAnsi" w:cstheme="majorHAnsi"/>
                <w:b/>
                <w:bCs/>
                <w:sz w:val="16"/>
                <w:szCs w:val="16"/>
              </w:rPr>
            </w:pPr>
            <w:r w:rsidRPr="00E823C2">
              <w:rPr>
                <w:rFonts w:asciiTheme="majorHAnsi" w:hAnsiTheme="majorHAnsi" w:cstheme="majorHAnsi"/>
                <w:b/>
                <w:bCs/>
                <w:sz w:val="16"/>
                <w:szCs w:val="16"/>
              </w:rPr>
              <w:t> </w:t>
            </w:r>
          </w:p>
        </w:tc>
        <w:tc>
          <w:tcPr>
            <w:tcW w:w="942" w:type="dxa"/>
            <w:shd w:val="clear" w:color="auto" w:fill="BFBFBF" w:themeFill="background1" w:themeFillShade="BF"/>
            <w:noWrap/>
            <w:vAlign w:val="center"/>
          </w:tcPr>
          <w:p w:rsidR="00E36F87" w:rsidRPr="00E823C2" w:rsidRDefault="00E36F87" w:rsidP="00E36F87">
            <w:pPr>
              <w:jc w:val="right"/>
              <w:rPr>
                <w:rFonts w:asciiTheme="majorHAnsi" w:hAnsiTheme="majorHAnsi" w:cstheme="majorHAnsi"/>
                <w:b/>
                <w:bCs/>
                <w:sz w:val="16"/>
                <w:szCs w:val="16"/>
              </w:rPr>
            </w:pPr>
            <w:r>
              <w:rPr>
                <w:rFonts w:cs="Calibri Light"/>
                <w:b/>
                <w:bCs/>
                <w:color w:val="000000"/>
                <w:sz w:val="16"/>
                <w:szCs w:val="16"/>
              </w:rPr>
              <w:t>990,09</w:t>
            </w:r>
            <w:r w:rsidR="00B82A06">
              <w:rPr>
                <w:rFonts w:cs="Calibri Light"/>
                <w:b/>
                <w:bCs/>
                <w:color w:val="000000"/>
                <w:sz w:val="16"/>
                <w:szCs w:val="16"/>
              </w:rPr>
              <w:t>9</w:t>
            </w:r>
          </w:p>
        </w:tc>
        <w:tc>
          <w:tcPr>
            <w:tcW w:w="942" w:type="dxa"/>
            <w:shd w:val="clear" w:color="auto" w:fill="BFBFBF" w:themeFill="background1" w:themeFillShade="BF"/>
            <w:noWrap/>
            <w:vAlign w:val="center"/>
          </w:tcPr>
          <w:p w:rsidR="00E36F87" w:rsidRPr="00E823C2" w:rsidRDefault="00E36F87" w:rsidP="00E36F87">
            <w:pPr>
              <w:jc w:val="right"/>
              <w:rPr>
                <w:rFonts w:asciiTheme="majorHAnsi" w:hAnsiTheme="majorHAnsi" w:cstheme="majorHAnsi"/>
                <w:b/>
                <w:bCs/>
                <w:sz w:val="16"/>
                <w:szCs w:val="16"/>
              </w:rPr>
            </w:pPr>
            <w:r>
              <w:rPr>
                <w:rFonts w:cs="Calibri Light"/>
                <w:b/>
                <w:bCs/>
                <w:color w:val="000000"/>
                <w:sz w:val="16"/>
                <w:szCs w:val="16"/>
              </w:rPr>
              <w:t>1,280,198</w:t>
            </w:r>
          </w:p>
        </w:tc>
        <w:tc>
          <w:tcPr>
            <w:tcW w:w="942" w:type="dxa"/>
            <w:shd w:val="clear" w:color="auto" w:fill="BFBFBF" w:themeFill="background1" w:themeFillShade="BF"/>
            <w:noWrap/>
            <w:vAlign w:val="center"/>
          </w:tcPr>
          <w:p w:rsidR="00E36F87" w:rsidRPr="00E823C2" w:rsidRDefault="00E36F87" w:rsidP="00E36F87">
            <w:pPr>
              <w:jc w:val="right"/>
              <w:rPr>
                <w:rFonts w:asciiTheme="majorHAnsi" w:hAnsiTheme="majorHAnsi" w:cstheme="majorHAnsi"/>
                <w:b/>
                <w:bCs/>
                <w:sz w:val="16"/>
                <w:szCs w:val="16"/>
              </w:rPr>
            </w:pPr>
            <w:r>
              <w:rPr>
                <w:rFonts w:cs="Calibri Light"/>
                <w:b/>
                <w:bCs/>
                <w:color w:val="000000"/>
                <w:sz w:val="16"/>
                <w:szCs w:val="16"/>
              </w:rPr>
              <w:t>2,621,78</w:t>
            </w:r>
            <w:r w:rsidR="00B82A06">
              <w:rPr>
                <w:rFonts w:cs="Calibri Light"/>
                <w:b/>
                <w:bCs/>
                <w:color w:val="000000"/>
                <w:sz w:val="16"/>
                <w:szCs w:val="16"/>
              </w:rPr>
              <w:t>2</w:t>
            </w:r>
          </w:p>
        </w:tc>
        <w:tc>
          <w:tcPr>
            <w:tcW w:w="1048" w:type="dxa"/>
            <w:shd w:val="clear" w:color="auto" w:fill="BFBFBF" w:themeFill="background1" w:themeFillShade="BF"/>
            <w:noWrap/>
            <w:vAlign w:val="center"/>
          </w:tcPr>
          <w:p w:rsidR="00E36F87" w:rsidRPr="00E823C2" w:rsidRDefault="00E36F87" w:rsidP="00E36F87">
            <w:pPr>
              <w:jc w:val="right"/>
              <w:rPr>
                <w:rFonts w:asciiTheme="majorHAnsi" w:hAnsiTheme="majorHAnsi" w:cstheme="majorHAnsi"/>
                <w:b/>
                <w:bCs/>
                <w:sz w:val="16"/>
                <w:szCs w:val="16"/>
              </w:rPr>
            </w:pPr>
            <w:r>
              <w:rPr>
                <w:rFonts w:cs="Calibri Light"/>
                <w:b/>
                <w:bCs/>
                <w:color w:val="000000"/>
                <w:sz w:val="16"/>
                <w:szCs w:val="16"/>
              </w:rPr>
              <w:t>1,892,079</w:t>
            </w:r>
          </w:p>
        </w:tc>
        <w:tc>
          <w:tcPr>
            <w:tcW w:w="831" w:type="dxa"/>
            <w:shd w:val="clear" w:color="auto" w:fill="BFBFBF" w:themeFill="background1" w:themeFillShade="BF"/>
            <w:noWrap/>
            <w:vAlign w:val="center"/>
          </w:tcPr>
          <w:p w:rsidR="00E36F87" w:rsidRPr="00E823C2" w:rsidRDefault="00E36F87" w:rsidP="00E36F87">
            <w:pPr>
              <w:jc w:val="right"/>
              <w:rPr>
                <w:rFonts w:asciiTheme="majorHAnsi" w:hAnsiTheme="majorHAnsi" w:cstheme="majorHAnsi"/>
                <w:b/>
                <w:bCs/>
                <w:sz w:val="16"/>
                <w:szCs w:val="16"/>
              </w:rPr>
            </w:pPr>
            <w:r>
              <w:rPr>
                <w:rFonts w:cs="Calibri Light"/>
                <w:b/>
                <w:bCs/>
                <w:color w:val="000000"/>
                <w:sz w:val="16"/>
                <w:szCs w:val="16"/>
              </w:rPr>
              <w:t>495,050</w:t>
            </w:r>
          </w:p>
        </w:tc>
        <w:tc>
          <w:tcPr>
            <w:tcW w:w="743" w:type="dxa"/>
            <w:shd w:val="clear" w:color="auto" w:fill="BFBFBF" w:themeFill="background1" w:themeFillShade="BF"/>
            <w:noWrap/>
            <w:vAlign w:val="center"/>
          </w:tcPr>
          <w:p w:rsidR="00E36F87" w:rsidRPr="00E823C2" w:rsidRDefault="00E36F87" w:rsidP="00E36F87">
            <w:pPr>
              <w:jc w:val="right"/>
              <w:rPr>
                <w:rFonts w:asciiTheme="majorHAnsi" w:hAnsiTheme="majorHAnsi" w:cstheme="majorHAnsi"/>
                <w:b/>
                <w:bCs/>
                <w:sz w:val="16"/>
                <w:szCs w:val="16"/>
              </w:rPr>
            </w:pPr>
            <w:r>
              <w:rPr>
                <w:rFonts w:cs="Calibri Light"/>
                <w:b/>
                <w:bCs/>
                <w:color w:val="000000"/>
                <w:sz w:val="16"/>
                <w:szCs w:val="16"/>
              </w:rPr>
              <w:t>146,53</w:t>
            </w:r>
            <w:r w:rsidR="00B82A06">
              <w:rPr>
                <w:rFonts w:cs="Calibri Light"/>
                <w:b/>
                <w:bCs/>
                <w:color w:val="000000"/>
                <w:sz w:val="16"/>
                <w:szCs w:val="16"/>
              </w:rPr>
              <w:t>5</w:t>
            </w:r>
          </w:p>
        </w:tc>
        <w:tc>
          <w:tcPr>
            <w:tcW w:w="988" w:type="dxa"/>
            <w:shd w:val="clear" w:color="auto" w:fill="BFBFBF" w:themeFill="background1" w:themeFillShade="BF"/>
            <w:noWrap/>
            <w:vAlign w:val="center"/>
          </w:tcPr>
          <w:p w:rsidR="00E36F87" w:rsidRPr="00E823C2" w:rsidRDefault="00E36F87" w:rsidP="00E36F87">
            <w:pPr>
              <w:rPr>
                <w:rFonts w:asciiTheme="majorHAnsi" w:hAnsiTheme="majorHAnsi" w:cstheme="majorHAnsi"/>
                <w:b/>
                <w:bCs/>
                <w:sz w:val="16"/>
                <w:szCs w:val="16"/>
              </w:rPr>
            </w:pPr>
            <w:r w:rsidRPr="00E823C2">
              <w:rPr>
                <w:rFonts w:asciiTheme="majorHAnsi" w:hAnsiTheme="majorHAnsi" w:cstheme="majorHAnsi"/>
                <w:b/>
                <w:bCs/>
                <w:color w:val="000000"/>
                <w:sz w:val="16"/>
                <w:szCs w:val="16"/>
              </w:rPr>
              <w:t> </w:t>
            </w:r>
          </w:p>
        </w:tc>
        <w:tc>
          <w:tcPr>
            <w:tcW w:w="733" w:type="dxa"/>
            <w:shd w:val="clear" w:color="auto" w:fill="BFBFBF" w:themeFill="background1" w:themeFillShade="BF"/>
            <w:noWrap/>
            <w:vAlign w:val="center"/>
          </w:tcPr>
          <w:p w:rsidR="00E36F87" w:rsidRPr="00E823C2" w:rsidRDefault="00E36F87" w:rsidP="00E36F87">
            <w:pPr>
              <w:rPr>
                <w:rFonts w:asciiTheme="majorHAnsi" w:hAnsiTheme="majorHAnsi" w:cstheme="majorHAnsi"/>
                <w:b/>
                <w:bCs/>
                <w:sz w:val="16"/>
                <w:szCs w:val="16"/>
              </w:rPr>
            </w:pPr>
            <w:r w:rsidRPr="00E823C2">
              <w:rPr>
                <w:rFonts w:asciiTheme="majorHAnsi" w:hAnsiTheme="majorHAnsi" w:cstheme="majorHAnsi"/>
                <w:b/>
                <w:bCs/>
                <w:color w:val="000000"/>
                <w:sz w:val="16"/>
                <w:szCs w:val="16"/>
              </w:rPr>
              <w:t> </w:t>
            </w:r>
          </w:p>
        </w:tc>
        <w:tc>
          <w:tcPr>
            <w:tcW w:w="1299" w:type="dxa"/>
            <w:shd w:val="clear" w:color="auto" w:fill="BFBFBF" w:themeFill="background1" w:themeFillShade="BF"/>
            <w:noWrap/>
            <w:vAlign w:val="center"/>
          </w:tcPr>
          <w:p w:rsidR="00E36F87" w:rsidRPr="00E823C2" w:rsidRDefault="00E36F87" w:rsidP="00E36F87">
            <w:pPr>
              <w:rPr>
                <w:rFonts w:asciiTheme="majorHAnsi" w:hAnsiTheme="majorHAnsi" w:cstheme="majorHAnsi"/>
                <w:b/>
                <w:bCs/>
                <w:sz w:val="16"/>
                <w:szCs w:val="16"/>
              </w:rPr>
            </w:pPr>
            <w:r w:rsidRPr="00E823C2">
              <w:rPr>
                <w:rFonts w:asciiTheme="majorHAnsi" w:hAnsiTheme="majorHAnsi" w:cstheme="majorHAnsi"/>
                <w:b/>
                <w:bCs/>
                <w:color w:val="000000"/>
                <w:sz w:val="16"/>
                <w:szCs w:val="16"/>
              </w:rPr>
              <w:t> </w:t>
            </w:r>
          </w:p>
        </w:tc>
        <w:tc>
          <w:tcPr>
            <w:tcW w:w="923" w:type="dxa"/>
            <w:shd w:val="clear" w:color="auto" w:fill="BFBFBF" w:themeFill="background1" w:themeFillShade="BF"/>
            <w:noWrap/>
            <w:vAlign w:val="center"/>
          </w:tcPr>
          <w:p w:rsidR="00E36F87" w:rsidRPr="00E823C2" w:rsidRDefault="00E36F87" w:rsidP="00E36F87">
            <w:pPr>
              <w:jc w:val="right"/>
              <w:rPr>
                <w:rFonts w:asciiTheme="majorHAnsi" w:hAnsiTheme="majorHAnsi" w:cstheme="majorHAnsi"/>
                <w:b/>
                <w:bCs/>
                <w:sz w:val="16"/>
                <w:szCs w:val="16"/>
              </w:rPr>
            </w:pPr>
            <w:r>
              <w:rPr>
                <w:rFonts w:cs="Calibri Light"/>
                <w:b/>
                <w:bCs/>
                <w:color w:val="000000"/>
                <w:sz w:val="16"/>
                <w:szCs w:val="16"/>
              </w:rPr>
              <w:t>7,425,743</w:t>
            </w:r>
          </w:p>
        </w:tc>
      </w:tr>
    </w:tbl>
    <w:p w:rsidR="00045C9A" w:rsidRDefault="00045C9A" w:rsidP="00045C9A"/>
    <w:p w:rsidR="00045C9A" w:rsidRPr="00A045BF" w:rsidRDefault="00045C9A" w:rsidP="00A045BF"/>
    <w:sectPr w:rsidR="00045C9A" w:rsidRPr="00A045BF" w:rsidSect="00F87EAC">
      <w:pgSz w:w="16838" w:h="11906" w:orient="landscape" w:code="9"/>
      <w:pgMar w:top="1152" w:right="864" w:bottom="1152" w:left="864" w:header="720"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92FFB" w:rsidRDefault="00292FFB">
      <w:r>
        <w:separator/>
      </w:r>
    </w:p>
  </w:endnote>
  <w:endnote w:type="continuationSeparator" w:id="0">
    <w:p w:rsidR="00292FFB" w:rsidRDefault="00292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823C2" w:rsidRDefault="00E823C2" w:rsidP="00F358E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823C2" w:rsidRDefault="00E823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823C2" w:rsidRPr="00E7626A" w:rsidRDefault="00E823C2" w:rsidP="00E7626A">
    <w:pPr>
      <w:pStyle w:val="Footer"/>
      <w:jc w:val="center"/>
    </w:pPr>
    <w:r>
      <w:fldChar w:fldCharType="begin"/>
    </w:r>
    <w:r>
      <w:instrText xml:space="preserve"> PAGE   \* MERGEFORMAT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823C2" w:rsidRPr="00AD17EF" w:rsidRDefault="00E823C2" w:rsidP="00E7626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92FFB" w:rsidRDefault="00292FFB">
      <w:r>
        <w:separator/>
      </w:r>
    </w:p>
  </w:footnote>
  <w:footnote w:type="continuationSeparator" w:id="0">
    <w:p w:rsidR="00292FFB" w:rsidRDefault="00292FFB">
      <w:r>
        <w:continuationSeparator/>
      </w:r>
    </w:p>
  </w:footnote>
  <w:footnote w:id="1">
    <w:p w:rsidR="00E823C2" w:rsidRDefault="00E823C2" w:rsidP="009F744F">
      <w:pPr>
        <w:pStyle w:val="FootnoteText"/>
        <w:spacing w:after="0"/>
      </w:pPr>
      <w:r>
        <w:rPr>
          <w:rStyle w:val="FootnoteReference"/>
        </w:rPr>
        <w:footnoteRef/>
      </w:r>
      <w:r>
        <w:t xml:space="preserve"> </w:t>
      </w:r>
      <w:r w:rsidRPr="00A540CA">
        <w:rPr>
          <w:rFonts w:ascii="Calibri Light" w:hAnsi="Calibri Light" w:cs="Calibri Light"/>
          <w:sz w:val="18"/>
        </w:rPr>
        <w:t>Total resources allocated will fluctuate based on exchange rates between USD and AUD, SEK and NZD</w:t>
      </w:r>
    </w:p>
  </w:footnote>
  <w:footnote w:id="2">
    <w:p w:rsidR="00E823C2" w:rsidRPr="00F36FAD" w:rsidRDefault="00E823C2" w:rsidP="00DC3D64">
      <w:pPr>
        <w:pStyle w:val="FootnoteText"/>
        <w:spacing w:after="0"/>
        <w:rPr>
          <w:rFonts w:ascii="Calibri" w:hAnsi="Calibri" w:cs="Calibri"/>
          <w:sz w:val="18"/>
          <w:szCs w:val="18"/>
        </w:rPr>
      </w:pPr>
      <w:r w:rsidRPr="00F36FAD">
        <w:rPr>
          <w:rStyle w:val="FootnoteReference"/>
          <w:rFonts w:ascii="Calibri" w:hAnsi="Calibri" w:cs="Calibri"/>
          <w:szCs w:val="18"/>
        </w:rPr>
        <w:footnoteRef/>
      </w:r>
      <w:r w:rsidRPr="00F36FAD">
        <w:rPr>
          <w:rFonts w:ascii="Calibri" w:hAnsi="Calibri" w:cs="Calibri"/>
          <w:sz w:val="18"/>
          <w:szCs w:val="18"/>
        </w:rPr>
        <w:t xml:space="preserve">  See a summary of these in SPC, SPREP, PIFS, UNDP, UNISDR, USP (2016) ‘Framework for Resilient Development in the Pacific. An integrated approach to address climate change and disaster risk management. 2017- 2030’.</w:t>
      </w:r>
    </w:p>
  </w:footnote>
  <w:footnote w:id="3">
    <w:p w:rsidR="00E823C2" w:rsidRPr="00F36FAD" w:rsidRDefault="00E823C2" w:rsidP="00DC3D64">
      <w:pPr>
        <w:pStyle w:val="FootnoteText"/>
        <w:spacing w:after="0"/>
        <w:rPr>
          <w:rFonts w:ascii="Calibri" w:hAnsi="Calibri" w:cs="Calibri"/>
          <w:sz w:val="18"/>
          <w:szCs w:val="18"/>
        </w:rPr>
      </w:pPr>
      <w:r w:rsidRPr="00F36FAD">
        <w:rPr>
          <w:rStyle w:val="FootnoteReference"/>
          <w:rFonts w:ascii="Calibri" w:hAnsi="Calibri" w:cs="Calibri"/>
          <w:szCs w:val="18"/>
        </w:rPr>
        <w:footnoteRef/>
      </w:r>
      <w:r w:rsidRPr="00F36FAD">
        <w:rPr>
          <w:rFonts w:ascii="Calibri" w:hAnsi="Calibri" w:cs="Calibri"/>
          <w:sz w:val="18"/>
          <w:szCs w:val="18"/>
        </w:rPr>
        <w:t xml:space="preserve"> Department of Foreign Affairs and Trade (2017) ‘Australia Pacific Climate Change Action Program 2018-2022’, Design document.</w:t>
      </w:r>
    </w:p>
  </w:footnote>
  <w:footnote w:id="4">
    <w:p w:rsidR="00E823C2" w:rsidRPr="00DC3D64" w:rsidRDefault="00E823C2" w:rsidP="00DC3D64">
      <w:pPr>
        <w:pStyle w:val="FootnoteText"/>
        <w:spacing w:after="0"/>
        <w:rPr>
          <w:rStyle w:val="FootnoteReference"/>
          <w:rFonts w:ascii="Calibri" w:hAnsi="Calibri"/>
          <w:vertAlign w:val="baseline"/>
        </w:rPr>
      </w:pPr>
      <w:r w:rsidRPr="00DC3D64">
        <w:rPr>
          <w:rStyle w:val="FootnoteReference"/>
          <w:rFonts w:ascii="Calibri" w:hAnsi="Calibri" w:cs="Calibri"/>
          <w:szCs w:val="18"/>
        </w:rPr>
        <w:footnoteRef/>
      </w:r>
      <w:r w:rsidRPr="00DC3D64">
        <w:rPr>
          <w:rStyle w:val="FootnoteReference"/>
          <w:rFonts w:ascii="Calibri" w:hAnsi="Calibri" w:cs="Calibri"/>
          <w:szCs w:val="18"/>
        </w:rPr>
        <w:t xml:space="preserve"> </w:t>
      </w:r>
      <w:r w:rsidRPr="00DC3D64">
        <w:rPr>
          <w:rStyle w:val="FootnoteReference"/>
          <w:rFonts w:ascii="Calibri" w:hAnsi="Calibri"/>
          <w:vertAlign w:val="baseline"/>
        </w:rPr>
        <w:t>Hay et al (2016) ‘Climate Change and Disaster Risk Reduction: Research Synthesis Report’ submitted to New Zealand MFAT</w:t>
      </w:r>
    </w:p>
  </w:footnote>
  <w:footnote w:id="5">
    <w:p w:rsidR="00E823C2" w:rsidRPr="00DC3D64" w:rsidRDefault="00E823C2" w:rsidP="00DC3D64">
      <w:pPr>
        <w:pStyle w:val="FootnoteText"/>
        <w:spacing w:after="0"/>
        <w:rPr>
          <w:rStyle w:val="FootnoteReference"/>
          <w:rFonts w:ascii="Calibri" w:hAnsi="Calibri" w:cs="Calibri"/>
          <w:szCs w:val="18"/>
          <w:vertAlign w:val="baseline"/>
        </w:rPr>
      </w:pPr>
      <w:r w:rsidRPr="00DC3D64">
        <w:rPr>
          <w:rStyle w:val="FootnoteReference"/>
          <w:rFonts w:ascii="Calibri" w:hAnsi="Calibri" w:cs="Calibri"/>
          <w:szCs w:val="18"/>
        </w:rPr>
        <w:footnoteRef/>
      </w:r>
      <w:r w:rsidRPr="00DC3D64">
        <w:rPr>
          <w:rStyle w:val="FootnoteReference"/>
          <w:rFonts w:ascii="Calibri" w:hAnsi="Calibri" w:cs="Calibri"/>
          <w:szCs w:val="18"/>
        </w:rPr>
        <w:t xml:space="preserve"> </w:t>
      </w:r>
      <w:r w:rsidRPr="00DC3D64">
        <w:rPr>
          <w:rStyle w:val="FootnoteReference"/>
          <w:rFonts w:ascii="Calibri" w:hAnsi="Calibri"/>
          <w:vertAlign w:val="baseline"/>
        </w:rPr>
        <w:t>Hay et al (2016) ‘Climate Change and Disaster Risk Reduction: Research Synthesis Report’ submitted to New Zealand MFAT</w:t>
      </w:r>
    </w:p>
  </w:footnote>
  <w:footnote w:id="6">
    <w:p w:rsidR="00E823C2" w:rsidRPr="00F36FAD" w:rsidRDefault="00E823C2" w:rsidP="00DC3D64">
      <w:pPr>
        <w:pStyle w:val="FootnoteText"/>
        <w:spacing w:after="0"/>
        <w:rPr>
          <w:rFonts w:ascii="Calibri" w:hAnsi="Calibri" w:cs="Calibri"/>
          <w:sz w:val="18"/>
          <w:szCs w:val="18"/>
        </w:rPr>
      </w:pPr>
      <w:r w:rsidRPr="00F36FAD">
        <w:rPr>
          <w:rStyle w:val="FootnoteReference"/>
          <w:rFonts w:ascii="Calibri" w:hAnsi="Calibri" w:cs="Calibri"/>
          <w:szCs w:val="18"/>
        </w:rPr>
        <w:footnoteRef/>
      </w:r>
      <w:r w:rsidRPr="00F36FAD">
        <w:rPr>
          <w:rFonts w:ascii="Calibri" w:hAnsi="Calibri" w:cs="Calibri"/>
          <w:sz w:val="18"/>
          <w:szCs w:val="18"/>
        </w:rPr>
        <w:t xml:space="preserve"> Webb, J. (2017) ‘Gender and Climate Change in the Pacific: A Situational Analysis’, DFAT, February.</w:t>
      </w:r>
    </w:p>
  </w:footnote>
  <w:footnote w:id="7">
    <w:p w:rsidR="00E823C2" w:rsidRPr="00F36FAD" w:rsidRDefault="00E823C2" w:rsidP="00DC3D64">
      <w:pPr>
        <w:pStyle w:val="FootnoteText"/>
        <w:spacing w:after="0"/>
        <w:rPr>
          <w:rFonts w:ascii="Calibri" w:hAnsi="Calibri" w:cs="Calibri"/>
          <w:sz w:val="18"/>
          <w:szCs w:val="18"/>
        </w:rPr>
      </w:pPr>
      <w:r w:rsidRPr="00F36FAD">
        <w:rPr>
          <w:rStyle w:val="FootnoteReference"/>
          <w:rFonts w:ascii="Calibri" w:hAnsi="Calibri" w:cs="Calibri"/>
          <w:szCs w:val="18"/>
        </w:rPr>
        <w:footnoteRef/>
      </w:r>
      <w:r w:rsidRPr="00F36FAD">
        <w:rPr>
          <w:rFonts w:ascii="Calibri" w:hAnsi="Calibri" w:cs="Calibri"/>
          <w:sz w:val="18"/>
          <w:szCs w:val="18"/>
        </w:rPr>
        <w:t xml:space="preserve"> </w:t>
      </w:r>
      <w:r w:rsidRPr="00F36FAD">
        <w:rPr>
          <w:rFonts w:ascii="Calibri" w:hAnsi="Calibri" w:cs="Calibri"/>
          <w:sz w:val="18"/>
          <w:szCs w:val="18"/>
          <w:lang w:val="en-AU"/>
        </w:rPr>
        <w:t>FRDP (2016), first Guiding Principle, p.13</w:t>
      </w:r>
    </w:p>
  </w:footnote>
  <w:footnote w:id="8">
    <w:p w:rsidR="00E823C2" w:rsidRDefault="00E823C2" w:rsidP="00DC3D64">
      <w:pPr>
        <w:pStyle w:val="FootnoteText"/>
        <w:spacing w:after="0"/>
      </w:pPr>
      <w:r w:rsidRPr="00F36FAD">
        <w:rPr>
          <w:rStyle w:val="FootnoteReference"/>
          <w:rFonts w:ascii="Calibri" w:hAnsi="Calibri" w:cs="Calibri"/>
          <w:szCs w:val="18"/>
        </w:rPr>
        <w:footnoteRef/>
      </w:r>
      <w:r w:rsidRPr="00F36FAD">
        <w:rPr>
          <w:rFonts w:ascii="Calibri" w:hAnsi="Calibri" w:cs="Calibri"/>
          <w:sz w:val="18"/>
          <w:szCs w:val="18"/>
        </w:rPr>
        <w:t xml:space="preserve"> </w:t>
      </w:r>
      <w:r w:rsidRPr="00F36FAD">
        <w:rPr>
          <w:rFonts w:ascii="Calibri" w:hAnsi="Calibri" w:cs="Calibri"/>
          <w:sz w:val="18"/>
          <w:szCs w:val="18"/>
          <w:lang w:val="en-AU"/>
        </w:rPr>
        <w:t>FRDP (2016), third Guiding Principle, p.13</w:t>
      </w:r>
    </w:p>
  </w:footnote>
  <w:footnote w:id="9">
    <w:p w:rsidR="00E823C2" w:rsidRPr="00DC3D64" w:rsidRDefault="00E823C2" w:rsidP="00DC3D64">
      <w:pPr>
        <w:pStyle w:val="FootnoteText"/>
        <w:spacing w:after="0"/>
        <w:rPr>
          <w:rStyle w:val="FootnoteReference"/>
          <w:rFonts w:ascii="Calibri" w:hAnsi="Calibri"/>
          <w:sz w:val="14"/>
        </w:rPr>
      </w:pPr>
      <w:r w:rsidRPr="00DC3D64">
        <w:rPr>
          <w:rStyle w:val="FootnoteReference"/>
          <w:rFonts w:ascii="Calibri" w:hAnsi="Calibri" w:cs="Calibri"/>
          <w:szCs w:val="18"/>
        </w:rPr>
        <w:footnoteRef/>
      </w:r>
      <w:r w:rsidRPr="00DC3D64">
        <w:rPr>
          <w:rStyle w:val="FootnoteReference"/>
          <w:rFonts w:ascii="Calibri" w:hAnsi="Calibri" w:cs="Calibri"/>
          <w:szCs w:val="18"/>
        </w:rPr>
        <w:t xml:space="preserve"> </w:t>
      </w:r>
      <w:r w:rsidRPr="00BC46EE">
        <w:rPr>
          <w:rFonts w:ascii="Calibri" w:hAnsi="Calibri" w:cs="Calibri"/>
          <w:sz w:val="18"/>
          <w:szCs w:val="18"/>
          <w:lang w:val="en-AU"/>
        </w:rPr>
        <w:t xml:space="preserve">UNDP </w:t>
      </w:r>
      <w:r w:rsidRPr="00F06271">
        <w:rPr>
          <w:rFonts w:ascii="Calibri" w:hAnsi="Calibri" w:cs="Calibri"/>
          <w:sz w:val="18"/>
          <w:szCs w:val="18"/>
          <w:lang w:val="en-AU"/>
        </w:rPr>
        <w:t>2016</w:t>
      </w:r>
      <w:r w:rsidRPr="00F06271">
        <w:rPr>
          <w:rFonts w:ascii="Calibri" w:hAnsi="Calibri" w:cs="Calibri"/>
          <w:sz w:val="18"/>
          <w:szCs w:val="18"/>
        </w:rPr>
        <w:t xml:space="preserve"> Risk Governance Building Blocks for Resilient Development in the Pacific. Policy Brief</w:t>
      </w:r>
    </w:p>
  </w:footnote>
  <w:footnote w:id="10">
    <w:p w:rsidR="00E823C2" w:rsidRPr="00F36FAD" w:rsidRDefault="00E823C2" w:rsidP="00270183">
      <w:pPr>
        <w:pStyle w:val="FootnoteText"/>
        <w:spacing w:after="0"/>
        <w:rPr>
          <w:rFonts w:ascii="Calibri" w:hAnsi="Calibri" w:cs="Calibri"/>
          <w:sz w:val="18"/>
          <w:szCs w:val="18"/>
          <w:lang w:val="en-AU"/>
        </w:rPr>
      </w:pPr>
      <w:r w:rsidRPr="00F36FAD">
        <w:rPr>
          <w:rStyle w:val="FootnoteReference"/>
          <w:rFonts w:ascii="Calibri" w:hAnsi="Calibri" w:cs="Calibri"/>
          <w:szCs w:val="18"/>
        </w:rPr>
        <w:footnoteRef/>
      </w:r>
      <w:r w:rsidRPr="00F36FAD">
        <w:rPr>
          <w:rFonts w:ascii="Calibri" w:hAnsi="Calibri" w:cs="Calibri"/>
          <w:sz w:val="18"/>
          <w:szCs w:val="18"/>
        </w:rPr>
        <w:t xml:space="preserve"> </w:t>
      </w:r>
      <w:proofErr w:type="spellStart"/>
      <w:r w:rsidRPr="00F36FAD">
        <w:rPr>
          <w:rFonts w:ascii="Calibri" w:hAnsi="Calibri" w:cs="Calibri"/>
          <w:sz w:val="18"/>
          <w:szCs w:val="18"/>
        </w:rPr>
        <w:t>Atteridge</w:t>
      </w:r>
      <w:proofErr w:type="spellEnd"/>
      <w:r w:rsidRPr="00F36FAD">
        <w:rPr>
          <w:rFonts w:ascii="Calibri" w:hAnsi="Calibri" w:cs="Calibri"/>
          <w:sz w:val="18"/>
          <w:szCs w:val="18"/>
        </w:rPr>
        <w:t>, A. &amp; Canales, N.  (2017) ‘Climate Finance in the Pacific: an overview of flows to the region's Small Island Developing States’, Stockholm Environment Institute, Working Paper 2017-04</w:t>
      </w:r>
      <w:r>
        <w:rPr>
          <w:rFonts w:ascii="Calibri" w:hAnsi="Calibri" w:cs="Calibri"/>
          <w:sz w:val="18"/>
          <w:szCs w:val="18"/>
        </w:rPr>
        <w:t>)</w:t>
      </w:r>
      <w:r w:rsidRPr="00F36FAD">
        <w:rPr>
          <w:rFonts w:ascii="Calibri" w:hAnsi="Calibri" w:cs="Calibri"/>
          <w:sz w:val="18"/>
          <w:szCs w:val="18"/>
        </w:rPr>
        <w:t>.</w:t>
      </w:r>
    </w:p>
  </w:footnote>
  <w:footnote w:id="11">
    <w:p w:rsidR="00E823C2" w:rsidRDefault="00E823C2" w:rsidP="00270183">
      <w:pPr>
        <w:pStyle w:val="FootnoteText"/>
        <w:spacing w:after="0"/>
      </w:pPr>
      <w:r>
        <w:rPr>
          <w:rStyle w:val="FootnoteReference"/>
        </w:rPr>
        <w:footnoteRef/>
      </w:r>
      <w:r>
        <w:t xml:space="preserve"> </w:t>
      </w:r>
      <w:r w:rsidRPr="00AA2919">
        <w:rPr>
          <w:rFonts w:ascii="Calibri" w:hAnsi="Calibri" w:cs="Calibri"/>
          <w:iCs/>
          <w:sz w:val="18"/>
        </w:rPr>
        <w:t xml:space="preserve">PIFS </w:t>
      </w:r>
      <w:r>
        <w:rPr>
          <w:rFonts w:ascii="Calibri" w:hAnsi="Calibri" w:cs="Calibri"/>
          <w:iCs/>
          <w:sz w:val="18"/>
        </w:rPr>
        <w:t xml:space="preserve">&amp; PC </w:t>
      </w:r>
      <w:r w:rsidRPr="00AA2919">
        <w:rPr>
          <w:rFonts w:ascii="Calibri" w:hAnsi="Calibri" w:cs="Calibri"/>
          <w:iCs/>
          <w:sz w:val="18"/>
        </w:rPr>
        <w:t>(2019) Regional Synthesis Report of the Pacific Climate Change and Disaster Risk Finance Assessments</w:t>
      </w:r>
    </w:p>
  </w:footnote>
  <w:footnote w:id="12">
    <w:p w:rsidR="00E823C2" w:rsidRDefault="00E823C2" w:rsidP="00B6250C">
      <w:pPr>
        <w:pStyle w:val="FootnoteText"/>
        <w:spacing w:after="0"/>
      </w:pPr>
      <w:r>
        <w:rPr>
          <w:rStyle w:val="FootnoteReference"/>
        </w:rPr>
        <w:footnoteRef/>
      </w:r>
      <w:r>
        <w:t xml:space="preserve"> </w:t>
      </w:r>
      <w:r w:rsidRPr="00AA2919">
        <w:rPr>
          <w:rFonts w:ascii="Calibri" w:hAnsi="Calibri" w:cs="Calibri"/>
          <w:iCs/>
          <w:sz w:val="18"/>
        </w:rPr>
        <w:t xml:space="preserve">PIFS </w:t>
      </w:r>
      <w:r>
        <w:rPr>
          <w:rFonts w:ascii="Calibri" w:hAnsi="Calibri" w:cs="Calibri"/>
          <w:iCs/>
          <w:sz w:val="18"/>
        </w:rPr>
        <w:t xml:space="preserve">&amp; PC </w:t>
      </w:r>
      <w:r w:rsidRPr="00AA2919">
        <w:rPr>
          <w:rFonts w:ascii="Calibri" w:hAnsi="Calibri" w:cs="Calibri"/>
          <w:iCs/>
          <w:sz w:val="18"/>
        </w:rPr>
        <w:t>(2019) Regional Synthesis Report of the Pacific Climate Change and Disaster Risk Finance Assessments</w:t>
      </w:r>
    </w:p>
  </w:footnote>
  <w:footnote w:id="13">
    <w:p w:rsidR="00E823C2" w:rsidRDefault="00E823C2" w:rsidP="00B6250C">
      <w:pPr>
        <w:pStyle w:val="FootnoteText"/>
        <w:spacing w:after="0"/>
      </w:pPr>
      <w:r>
        <w:rPr>
          <w:rStyle w:val="FootnoteReference"/>
        </w:rPr>
        <w:footnoteRef/>
      </w:r>
      <w:r>
        <w:t xml:space="preserve"> </w:t>
      </w:r>
      <w:r w:rsidRPr="00AA2919">
        <w:rPr>
          <w:rFonts w:ascii="Calibri" w:hAnsi="Calibri" w:cs="Calibri"/>
          <w:iCs/>
          <w:sz w:val="18"/>
        </w:rPr>
        <w:t>USAID 2014, Hay &amp; Pratt 2013, UNDP 2016</w:t>
      </w:r>
    </w:p>
  </w:footnote>
  <w:footnote w:id="14">
    <w:p w:rsidR="00E823C2" w:rsidRPr="00F06271" w:rsidRDefault="00E823C2">
      <w:pPr>
        <w:pStyle w:val="FootnoteText"/>
        <w:rPr>
          <w:rFonts w:ascii="Calibri" w:hAnsi="Calibri" w:cs="Calibri"/>
          <w:sz w:val="18"/>
          <w:szCs w:val="18"/>
        </w:rPr>
      </w:pPr>
      <w:r>
        <w:rPr>
          <w:rStyle w:val="FootnoteReference"/>
        </w:rPr>
        <w:footnoteRef/>
      </w:r>
      <w:r>
        <w:t xml:space="preserve"> </w:t>
      </w:r>
      <w:r w:rsidRPr="00BC46EE">
        <w:rPr>
          <w:rFonts w:ascii="Calibri" w:hAnsi="Calibri" w:cs="Calibri"/>
          <w:sz w:val="18"/>
          <w:szCs w:val="18"/>
          <w:lang w:val="en-AU"/>
        </w:rPr>
        <w:t xml:space="preserve">UNDP </w:t>
      </w:r>
      <w:r w:rsidRPr="00F06271">
        <w:rPr>
          <w:rFonts w:ascii="Calibri" w:hAnsi="Calibri" w:cs="Calibri"/>
          <w:sz w:val="18"/>
          <w:szCs w:val="18"/>
          <w:lang w:val="en-AU"/>
        </w:rPr>
        <w:t>2016</w:t>
      </w:r>
      <w:r w:rsidRPr="00F06271">
        <w:rPr>
          <w:rFonts w:ascii="Calibri" w:hAnsi="Calibri" w:cs="Calibri"/>
          <w:sz w:val="18"/>
          <w:szCs w:val="18"/>
        </w:rPr>
        <w:t xml:space="preserve"> Risk Governance Building Blocks for Resilient Development in the Pacific. Policy Brief</w:t>
      </w:r>
    </w:p>
  </w:footnote>
  <w:footnote w:id="15">
    <w:p w:rsidR="00E823C2" w:rsidRPr="00E71C06" w:rsidRDefault="00E823C2" w:rsidP="008909CA">
      <w:pPr>
        <w:pStyle w:val="FootnoteText"/>
        <w:rPr>
          <w:rFonts w:ascii="Calibri" w:hAnsi="Calibri" w:cs="Calibri"/>
          <w:sz w:val="18"/>
          <w:szCs w:val="18"/>
        </w:rPr>
      </w:pPr>
      <w:r w:rsidRPr="00E71C06">
        <w:rPr>
          <w:rStyle w:val="FootnoteReference"/>
          <w:rFonts w:ascii="Calibri" w:hAnsi="Calibri" w:cs="Calibri"/>
          <w:szCs w:val="18"/>
        </w:rPr>
        <w:footnoteRef/>
      </w:r>
      <w:r w:rsidRPr="00E71C06">
        <w:rPr>
          <w:rFonts w:ascii="Calibri" w:hAnsi="Calibri" w:cs="Calibri"/>
          <w:sz w:val="18"/>
          <w:szCs w:val="18"/>
        </w:rPr>
        <w:t xml:space="preserve"> Subject to exchange rate fluctuations </w:t>
      </w:r>
    </w:p>
  </w:footnote>
  <w:footnote w:id="16">
    <w:p w:rsidR="00E823C2" w:rsidRDefault="00E823C2" w:rsidP="00AB35A6">
      <w:pPr>
        <w:pStyle w:val="FootnoteText"/>
      </w:pPr>
      <w:r w:rsidRPr="00F07BA2">
        <w:rPr>
          <w:rStyle w:val="FootnoteReference"/>
          <w:rFonts w:ascii="Calibri" w:hAnsi="Calibri" w:cs="Calibri"/>
        </w:rPr>
        <w:footnoteRef/>
      </w:r>
      <w:r w:rsidRPr="00F07BA2">
        <w:rPr>
          <w:rFonts w:ascii="Calibri" w:hAnsi="Calibri" w:cs="Calibri"/>
        </w:rPr>
        <w:t xml:space="preserve"> </w:t>
      </w:r>
      <w:hyperlink r:id="rId1" w:history="1">
        <w:r w:rsidRPr="00F07BA2">
          <w:rPr>
            <w:rStyle w:val="Hyperlink"/>
            <w:rFonts w:ascii="Calibri" w:hAnsi="Calibri" w:cs="Calibri"/>
          </w:rPr>
          <w:t>https://www.beehive.govt.nz/release/nz-boosts-support-climate-action-across-pacific</w:t>
        </w:r>
      </w:hyperlink>
      <w:r>
        <w:t xml:space="preserve"> </w:t>
      </w:r>
    </w:p>
  </w:footnote>
  <w:footnote w:id="17">
    <w:p w:rsidR="00E823C2" w:rsidRPr="00EE7066" w:rsidRDefault="00E823C2" w:rsidP="00E61E30">
      <w:pPr>
        <w:pStyle w:val="FootnoteText"/>
        <w:rPr>
          <w:rFonts w:ascii="Calibri" w:hAnsi="Calibri" w:cs="Calibri"/>
          <w:sz w:val="18"/>
          <w:szCs w:val="18"/>
        </w:rPr>
      </w:pPr>
      <w:r w:rsidRPr="00EE7066">
        <w:rPr>
          <w:rStyle w:val="FootnoteReference"/>
          <w:rFonts w:ascii="Calibri" w:hAnsi="Calibri" w:cs="Calibri"/>
          <w:szCs w:val="18"/>
        </w:rPr>
        <w:footnoteRef/>
      </w:r>
      <w:r w:rsidRPr="00EE7066">
        <w:rPr>
          <w:rFonts w:ascii="Calibri" w:hAnsi="Calibri" w:cs="Calibri"/>
          <w:sz w:val="18"/>
          <w:szCs w:val="18"/>
        </w:rPr>
        <w:t xml:space="preserve"> University of Technology (UTS</w:t>
      </w:r>
      <w:proofErr w:type="gramStart"/>
      <w:r w:rsidRPr="00EE7066">
        <w:rPr>
          <w:rFonts w:ascii="Calibri" w:hAnsi="Calibri" w:cs="Calibri"/>
          <w:sz w:val="18"/>
          <w:szCs w:val="18"/>
        </w:rPr>
        <w:t>)(</w:t>
      </w:r>
      <w:proofErr w:type="gramEnd"/>
      <w:r w:rsidRPr="00EE7066">
        <w:rPr>
          <w:rFonts w:ascii="Calibri" w:hAnsi="Calibri" w:cs="Calibri"/>
          <w:sz w:val="18"/>
          <w:szCs w:val="18"/>
        </w:rPr>
        <w:t>2016). Pacific Risk Resilience Programme (</w:t>
      </w:r>
      <w:r>
        <w:rPr>
          <w:rFonts w:ascii="Calibri" w:hAnsi="Calibri" w:cs="Calibri"/>
          <w:sz w:val="18"/>
          <w:szCs w:val="18"/>
        </w:rPr>
        <w:t>PRRP</w:t>
      </w:r>
      <w:r w:rsidRPr="00EE7066">
        <w:rPr>
          <w:rFonts w:ascii="Calibri" w:hAnsi="Calibri" w:cs="Calibri"/>
          <w:sz w:val="18"/>
          <w:szCs w:val="18"/>
        </w:rPr>
        <w:t xml:space="preserve">) Mid-Term Evaluation. </w:t>
      </w:r>
    </w:p>
  </w:footnote>
  <w:footnote w:id="18">
    <w:p w:rsidR="00E823C2" w:rsidRPr="00CD65D4" w:rsidRDefault="00E823C2" w:rsidP="00AF1856">
      <w:pPr>
        <w:pStyle w:val="FootnoteText"/>
        <w:rPr>
          <w:rFonts w:ascii="Arial" w:hAnsi="Arial" w:cs="Arial"/>
          <w:sz w:val="18"/>
          <w:szCs w:val="18"/>
        </w:rPr>
      </w:pPr>
      <w:r w:rsidRPr="00CD65D4">
        <w:rPr>
          <w:rStyle w:val="FootnoteReference"/>
          <w:rFonts w:cs="Arial"/>
          <w:szCs w:val="18"/>
        </w:rPr>
        <w:footnoteRef/>
      </w:r>
      <w:r w:rsidRPr="002402D6">
        <w:rPr>
          <w:rFonts w:ascii="Arial" w:hAnsi="Arial" w:cs="Arial"/>
          <w:sz w:val="18"/>
          <w:szCs w:val="18"/>
        </w:rPr>
        <w:t xml:space="preserve"> To be used where UNDP is the Implementing Partner</w:t>
      </w:r>
    </w:p>
  </w:footnote>
  <w:footnote w:id="19">
    <w:p w:rsidR="00E823C2" w:rsidRPr="00C10602" w:rsidRDefault="00E823C2" w:rsidP="00C10602">
      <w:pPr>
        <w:pStyle w:val="FootnoteText"/>
        <w:keepNext/>
        <w:keepLines/>
        <w:rPr>
          <w:rFonts w:ascii="Calibri" w:hAnsi="Calibri" w:cs="Calibri"/>
          <w:sz w:val="20"/>
        </w:rPr>
      </w:pPr>
      <w:r w:rsidRPr="00C10602">
        <w:rPr>
          <w:rStyle w:val="FootnoteReference"/>
          <w:rFonts w:ascii="Calibri" w:hAnsi="Calibri" w:cs="Calibri"/>
          <w:sz w:val="20"/>
        </w:rPr>
        <w:footnoteRef/>
      </w:r>
      <w:r w:rsidRPr="00C10602">
        <w:rPr>
          <w:rFonts w:ascii="Calibri" w:hAnsi="Calibri" w:cs="Calibri"/>
          <w:sz w:val="20"/>
        </w:rPr>
        <w:t xml:space="preserve"> Prohibited </w:t>
      </w:r>
      <w:r w:rsidRPr="00C10602">
        <w:rPr>
          <w:rFonts w:ascii="Calibri" w:hAnsi="Calibri" w:cs="Calibri"/>
          <w:sz w:val="20"/>
          <w:lang w:val="en-CA"/>
        </w:rPr>
        <w:t xml:space="preserve">grounds of discrimination include race, ethnicity, gender, age, language, disability, sexual orientation, religion, political or other opinion, national or social or geographical origin, property, birth or other status including as an indigenous person or as a member of a minority. </w:t>
      </w:r>
      <w:r w:rsidRPr="00C10602">
        <w:rPr>
          <w:rFonts w:ascii="Calibri" w:hAnsi="Calibri" w:cs="Calibri"/>
          <w:sz w:val="20"/>
        </w:rPr>
        <w:t>References to “women and men” or similar is understood to include women and men, boys and girls, and other groups discriminated against based on their gender identities, such as transgender people and transsexuals.</w:t>
      </w:r>
    </w:p>
  </w:footnote>
  <w:footnote w:id="20">
    <w:p w:rsidR="00E823C2" w:rsidRPr="00C10602" w:rsidRDefault="00E823C2" w:rsidP="00E652DC">
      <w:pPr>
        <w:spacing w:before="60"/>
        <w:rPr>
          <w:sz w:val="20"/>
          <w:szCs w:val="20"/>
        </w:rPr>
      </w:pPr>
      <w:r w:rsidRPr="00C10602">
        <w:rPr>
          <w:sz w:val="20"/>
          <w:szCs w:val="20"/>
          <w:vertAlign w:val="superscript"/>
        </w:rPr>
        <w:footnoteRef/>
      </w:r>
      <w:r w:rsidRPr="00C10602">
        <w:rPr>
          <w:sz w:val="20"/>
          <w:szCs w:val="20"/>
        </w:rPr>
        <w:t xml:space="preserve"> In regard to CO</w:t>
      </w:r>
      <w:r w:rsidRPr="00C10602">
        <w:rPr>
          <w:sz w:val="20"/>
          <w:szCs w:val="20"/>
          <w:vertAlign w:val="subscript"/>
        </w:rPr>
        <w:t>2,</w:t>
      </w:r>
      <w:r w:rsidRPr="00C10602">
        <w:rPr>
          <w:sz w:val="20"/>
          <w:szCs w:val="20"/>
        </w:rPr>
        <w:t xml:space="preserve"> ‘significant emissions’ corresponds generally to more than 25,000 tons per year (from both direct and indirect sources). [The Guidance Note on Climate Change Mitigation and Adaptation provides additional information on GHG emissions.]</w:t>
      </w:r>
    </w:p>
  </w:footnote>
  <w:footnote w:id="21">
    <w:p w:rsidR="00E823C2" w:rsidRPr="00E652DC" w:rsidRDefault="00E823C2" w:rsidP="00E652DC">
      <w:pPr>
        <w:pStyle w:val="FootnoteText"/>
        <w:rPr>
          <w:rFonts w:ascii="Calibri Light" w:hAnsi="Calibri Light" w:cs="Calibri Light"/>
          <w:sz w:val="20"/>
        </w:rPr>
      </w:pPr>
      <w:r w:rsidRPr="00E652DC">
        <w:rPr>
          <w:rStyle w:val="FootnoteReference"/>
          <w:rFonts w:ascii="Calibri Light" w:hAnsi="Calibri Light" w:cs="Calibri Light"/>
          <w:sz w:val="20"/>
        </w:rPr>
        <w:footnoteRef/>
      </w:r>
      <w:r w:rsidRPr="00E652DC">
        <w:rPr>
          <w:rFonts w:ascii="Calibri Light" w:hAnsi="Calibri Light" w:cs="Calibri Light"/>
          <w:sz w:val="20"/>
        </w:rPr>
        <w:t xml:space="preserve"> Forced evictions include acts and/or omissions involving the coerced or involuntary displacement of individuals, groups, or communities from homes and/or lands and common property resources that were occupied or depended upon, thus eliminating the ability of an individual, group, or community to reside or work in a particular dwelling, residence, or location without the provision of, and access to, appropriate forms of legal or other protections.</w:t>
      </w:r>
    </w:p>
  </w:footnote>
  <w:footnote w:id="22">
    <w:p w:rsidR="00E823C2" w:rsidRPr="00D57B97" w:rsidRDefault="00E823C2" w:rsidP="00F87EAC">
      <w:pPr>
        <w:pStyle w:val="FootnoteText"/>
        <w:rPr>
          <w:rFonts w:ascii="Arial" w:hAnsi="Arial" w:cs="Arial"/>
          <w:sz w:val="16"/>
          <w:szCs w:val="16"/>
        </w:rPr>
      </w:pPr>
      <w:r w:rsidRPr="00D57B97">
        <w:rPr>
          <w:rStyle w:val="FootnoteReference"/>
          <w:rFonts w:cs="Arial"/>
          <w:sz w:val="16"/>
          <w:szCs w:val="16"/>
        </w:rPr>
        <w:footnoteRef/>
      </w:r>
      <w:r w:rsidRPr="00D57B97">
        <w:rPr>
          <w:rFonts w:ascii="Arial" w:hAnsi="Arial" w:cs="Arial"/>
          <w:sz w:val="16"/>
          <w:szCs w:val="16"/>
        </w:rPr>
        <w:t xml:space="preserve"> UNDP publishes its project information (indicators, baselines, targets and results) to meet the International Aid Transparency Initiative (IATI) standards.  Make sure that indicators are S.M.A.R.T. (Specific, Measurable, Attainable, Relevant and Time-bound), provide accurate baselines and targets underpinned by reliable evidence and data, and avoid acronyms so that external audience clearly understand the results of the project.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823C2" w:rsidRPr="00F043F2" w:rsidRDefault="00E823C2" w:rsidP="000776E9">
    <w:pPr>
      <w:rPr>
        <w:rFonts w:cs="Arial"/>
        <w:color w:val="002060"/>
        <w:sz w:val="20"/>
        <w:szCs w:val="20"/>
      </w:rPr>
    </w:pPr>
    <w:r>
      <w:rPr>
        <w:noProof/>
      </w:rPr>
      <w:drawing>
        <wp:anchor distT="0" distB="0" distL="114300" distR="114300" simplePos="0" relativeHeight="251657728" behindDoc="0" locked="0" layoutInCell="1" allowOverlap="1" wp14:anchorId="0B33EC71" wp14:editId="62026C16">
          <wp:simplePos x="0" y="0"/>
          <wp:positionH relativeFrom="column">
            <wp:posOffset>5593080</wp:posOffset>
          </wp:positionH>
          <wp:positionV relativeFrom="paragraph">
            <wp:posOffset>0</wp:posOffset>
          </wp:positionV>
          <wp:extent cx="481965" cy="957580"/>
          <wp:effectExtent l="0" t="0" r="0" b="0"/>
          <wp:wrapSquare wrapText="bothSides"/>
          <wp:docPr id="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1965" cy="957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6E8B">
      <w:rPr>
        <w:rFonts w:cs="Arial"/>
        <w:color w:val="002060"/>
        <w:sz w:val="20"/>
        <w:szCs w:val="20"/>
      </w:rPr>
      <w:t>UNITED NATIONS DEVELOPMENT PROGRAMME</w:t>
    </w:r>
  </w:p>
  <w:p w:rsidR="00E823C2" w:rsidRPr="00BA18B5" w:rsidRDefault="00E823C2" w:rsidP="0022280D">
    <w:pPr>
      <w:spacing w:after="0"/>
      <w:jc w:val="center"/>
      <w:rPr>
        <w:rFonts w:cs="Arial"/>
        <w:b/>
        <w:color w:val="002060"/>
        <w:sz w:val="28"/>
        <w:szCs w:val="20"/>
      </w:rPr>
    </w:pPr>
    <w:r w:rsidRPr="00BA18B5">
      <w:rPr>
        <w:rFonts w:cs="Arial"/>
        <w:b/>
        <w:color w:val="002060"/>
        <w:sz w:val="28"/>
        <w:szCs w:val="20"/>
      </w:rPr>
      <w:t>PROJECT DOCUMENT</w:t>
    </w:r>
  </w:p>
  <w:p w:rsidR="00E823C2" w:rsidRPr="00F043F2" w:rsidRDefault="00E823C2" w:rsidP="00F043F2">
    <w:pPr>
      <w:jc w:val="center"/>
      <w:rPr>
        <w:rFonts w:cs="Arial"/>
        <w:color w:val="002060"/>
        <w:sz w:val="20"/>
        <w:szCs w:val="20"/>
      </w:rPr>
    </w:pPr>
    <w:r w:rsidRPr="00EA5FB1">
      <w:rPr>
        <w:rFonts w:cs="Arial"/>
        <w:color w:val="002060"/>
        <w:sz w:val="20"/>
        <w:szCs w:val="20"/>
      </w:rPr>
      <w:t>UNDP Pacific Office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823C2" w:rsidRDefault="00E823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823C2" w:rsidRPr="00786D38" w:rsidRDefault="00E823C2" w:rsidP="00786D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823C2" w:rsidRPr="00DE0875" w:rsidRDefault="00E823C2" w:rsidP="00DE087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823C2" w:rsidRDefault="00E823C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823C2" w:rsidRDefault="00E823C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823C2" w:rsidRPr="00496A45" w:rsidRDefault="00E823C2" w:rsidP="00496A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B81B0A"/>
    <w:multiLevelType w:val="hybridMultilevel"/>
    <w:tmpl w:val="452C1E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FB0066F"/>
    <w:multiLevelType w:val="hybridMultilevel"/>
    <w:tmpl w:val="12000354"/>
    <w:lvl w:ilvl="0" w:tplc="04090001">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2811B53"/>
    <w:multiLevelType w:val="multilevel"/>
    <w:tmpl w:val="9508DC0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820" w:hanging="4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3BB325D"/>
    <w:multiLevelType w:val="hybridMultilevel"/>
    <w:tmpl w:val="C84E0442"/>
    <w:lvl w:ilvl="0" w:tplc="20000001">
      <w:start w:val="1"/>
      <w:numFmt w:val="bullet"/>
      <w:lvlText w:val=""/>
      <w:lvlJc w:val="left"/>
      <w:pPr>
        <w:ind w:left="178" w:hanging="360"/>
      </w:pPr>
      <w:rPr>
        <w:rFonts w:ascii="Symbol" w:hAnsi="Symbol" w:hint="default"/>
      </w:rPr>
    </w:lvl>
    <w:lvl w:ilvl="1" w:tplc="20000003" w:tentative="1">
      <w:start w:val="1"/>
      <w:numFmt w:val="bullet"/>
      <w:lvlText w:val="o"/>
      <w:lvlJc w:val="left"/>
      <w:pPr>
        <w:ind w:left="898" w:hanging="360"/>
      </w:pPr>
      <w:rPr>
        <w:rFonts w:ascii="Courier New" w:hAnsi="Courier New" w:cs="Courier New" w:hint="default"/>
      </w:rPr>
    </w:lvl>
    <w:lvl w:ilvl="2" w:tplc="20000005" w:tentative="1">
      <w:start w:val="1"/>
      <w:numFmt w:val="bullet"/>
      <w:lvlText w:val=""/>
      <w:lvlJc w:val="left"/>
      <w:pPr>
        <w:ind w:left="1618" w:hanging="360"/>
      </w:pPr>
      <w:rPr>
        <w:rFonts w:ascii="Wingdings" w:hAnsi="Wingdings" w:hint="default"/>
      </w:rPr>
    </w:lvl>
    <w:lvl w:ilvl="3" w:tplc="20000001" w:tentative="1">
      <w:start w:val="1"/>
      <w:numFmt w:val="bullet"/>
      <w:lvlText w:val=""/>
      <w:lvlJc w:val="left"/>
      <w:pPr>
        <w:ind w:left="2338" w:hanging="360"/>
      </w:pPr>
      <w:rPr>
        <w:rFonts w:ascii="Symbol" w:hAnsi="Symbol" w:hint="default"/>
      </w:rPr>
    </w:lvl>
    <w:lvl w:ilvl="4" w:tplc="20000003" w:tentative="1">
      <w:start w:val="1"/>
      <w:numFmt w:val="bullet"/>
      <w:lvlText w:val="o"/>
      <w:lvlJc w:val="left"/>
      <w:pPr>
        <w:ind w:left="3058" w:hanging="360"/>
      </w:pPr>
      <w:rPr>
        <w:rFonts w:ascii="Courier New" w:hAnsi="Courier New" w:cs="Courier New" w:hint="default"/>
      </w:rPr>
    </w:lvl>
    <w:lvl w:ilvl="5" w:tplc="20000005" w:tentative="1">
      <w:start w:val="1"/>
      <w:numFmt w:val="bullet"/>
      <w:lvlText w:val=""/>
      <w:lvlJc w:val="left"/>
      <w:pPr>
        <w:ind w:left="3778" w:hanging="360"/>
      </w:pPr>
      <w:rPr>
        <w:rFonts w:ascii="Wingdings" w:hAnsi="Wingdings" w:hint="default"/>
      </w:rPr>
    </w:lvl>
    <w:lvl w:ilvl="6" w:tplc="20000001" w:tentative="1">
      <w:start w:val="1"/>
      <w:numFmt w:val="bullet"/>
      <w:lvlText w:val=""/>
      <w:lvlJc w:val="left"/>
      <w:pPr>
        <w:ind w:left="4498" w:hanging="360"/>
      </w:pPr>
      <w:rPr>
        <w:rFonts w:ascii="Symbol" w:hAnsi="Symbol" w:hint="default"/>
      </w:rPr>
    </w:lvl>
    <w:lvl w:ilvl="7" w:tplc="20000003" w:tentative="1">
      <w:start w:val="1"/>
      <w:numFmt w:val="bullet"/>
      <w:lvlText w:val="o"/>
      <w:lvlJc w:val="left"/>
      <w:pPr>
        <w:ind w:left="5218" w:hanging="360"/>
      </w:pPr>
      <w:rPr>
        <w:rFonts w:ascii="Courier New" w:hAnsi="Courier New" w:cs="Courier New" w:hint="default"/>
      </w:rPr>
    </w:lvl>
    <w:lvl w:ilvl="8" w:tplc="20000005" w:tentative="1">
      <w:start w:val="1"/>
      <w:numFmt w:val="bullet"/>
      <w:lvlText w:val=""/>
      <w:lvlJc w:val="left"/>
      <w:pPr>
        <w:ind w:left="5938" w:hanging="360"/>
      </w:pPr>
      <w:rPr>
        <w:rFonts w:ascii="Wingdings" w:hAnsi="Wingdings" w:hint="default"/>
      </w:rPr>
    </w:lvl>
  </w:abstractNum>
  <w:abstractNum w:abstractNumId="4" w15:restartNumberingAfterBreak="0">
    <w:nsid w:val="1D545028"/>
    <w:multiLevelType w:val="multilevel"/>
    <w:tmpl w:val="A7561C0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4533F77"/>
    <w:multiLevelType w:val="hybridMultilevel"/>
    <w:tmpl w:val="050CDC70"/>
    <w:lvl w:ilvl="0" w:tplc="2000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51832CA"/>
    <w:multiLevelType w:val="hybridMultilevel"/>
    <w:tmpl w:val="39FE49E4"/>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C5D1592"/>
    <w:multiLevelType w:val="hybridMultilevel"/>
    <w:tmpl w:val="9C3A0A0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D153215"/>
    <w:multiLevelType w:val="multilevel"/>
    <w:tmpl w:val="AF3AF53A"/>
    <w:lvl w:ilvl="0">
      <w:start w:val="1"/>
      <w:numFmt w:val="bullet"/>
      <w:lvlText w:val=""/>
      <w:lvlJc w:val="left"/>
      <w:pPr>
        <w:ind w:left="360" w:hanging="360"/>
      </w:pPr>
      <w:rPr>
        <w:rFonts w:ascii="Symbol" w:hAnsi="Symbol"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9" w15:restartNumberingAfterBreak="0">
    <w:nsid w:val="37550375"/>
    <w:multiLevelType w:val="hybridMultilevel"/>
    <w:tmpl w:val="9272886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0" w15:restartNumberingAfterBreak="0">
    <w:nsid w:val="3D354864"/>
    <w:multiLevelType w:val="multilevel"/>
    <w:tmpl w:val="E404F99C"/>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1" w15:restartNumberingAfterBreak="0">
    <w:nsid w:val="41495451"/>
    <w:multiLevelType w:val="hybridMultilevel"/>
    <w:tmpl w:val="B9D6B858"/>
    <w:lvl w:ilvl="0" w:tplc="20000005">
      <w:start w:val="1"/>
      <w:numFmt w:val="bullet"/>
      <w:lvlText w:val=""/>
      <w:lvlJc w:val="left"/>
      <w:pPr>
        <w:ind w:left="900" w:hanging="360"/>
      </w:pPr>
      <w:rPr>
        <w:rFonts w:ascii="Wingdings" w:hAnsi="Wingdings" w:hint="default"/>
      </w:rPr>
    </w:lvl>
    <w:lvl w:ilvl="1" w:tplc="20000003" w:tentative="1">
      <w:start w:val="1"/>
      <w:numFmt w:val="bullet"/>
      <w:lvlText w:val="o"/>
      <w:lvlJc w:val="left"/>
      <w:pPr>
        <w:ind w:left="1620" w:hanging="360"/>
      </w:pPr>
      <w:rPr>
        <w:rFonts w:ascii="Courier New" w:hAnsi="Courier New" w:cs="Courier New" w:hint="default"/>
      </w:rPr>
    </w:lvl>
    <w:lvl w:ilvl="2" w:tplc="20000005" w:tentative="1">
      <w:start w:val="1"/>
      <w:numFmt w:val="bullet"/>
      <w:lvlText w:val=""/>
      <w:lvlJc w:val="left"/>
      <w:pPr>
        <w:ind w:left="2340" w:hanging="360"/>
      </w:pPr>
      <w:rPr>
        <w:rFonts w:ascii="Wingdings" w:hAnsi="Wingdings" w:hint="default"/>
      </w:rPr>
    </w:lvl>
    <w:lvl w:ilvl="3" w:tplc="20000001" w:tentative="1">
      <w:start w:val="1"/>
      <w:numFmt w:val="bullet"/>
      <w:lvlText w:val=""/>
      <w:lvlJc w:val="left"/>
      <w:pPr>
        <w:ind w:left="3060" w:hanging="360"/>
      </w:pPr>
      <w:rPr>
        <w:rFonts w:ascii="Symbol" w:hAnsi="Symbol" w:hint="default"/>
      </w:rPr>
    </w:lvl>
    <w:lvl w:ilvl="4" w:tplc="20000003" w:tentative="1">
      <w:start w:val="1"/>
      <w:numFmt w:val="bullet"/>
      <w:lvlText w:val="o"/>
      <w:lvlJc w:val="left"/>
      <w:pPr>
        <w:ind w:left="3780" w:hanging="360"/>
      </w:pPr>
      <w:rPr>
        <w:rFonts w:ascii="Courier New" w:hAnsi="Courier New" w:cs="Courier New" w:hint="default"/>
      </w:rPr>
    </w:lvl>
    <w:lvl w:ilvl="5" w:tplc="20000005" w:tentative="1">
      <w:start w:val="1"/>
      <w:numFmt w:val="bullet"/>
      <w:lvlText w:val=""/>
      <w:lvlJc w:val="left"/>
      <w:pPr>
        <w:ind w:left="4500" w:hanging="360"/>
      </w:pPr>
      <w:rPr>
        <w:rFonts w:ascii="Wingdings" w:hAnsi="Wingdings" w:hint="default"/>
      </w:rPr>
    </w:lvl>
    <w:lvl w:ilvl="6" w:tplc="20000001" w:tentative="1">
      <w:start w:val="1"/>
      <w:numFmt w:val="bullet"/>
      <w:lvlText w:val=""/>
      <w:lvlJc w:val="left"/>
      <w:pPr>
        <w:ind w:left="5220" w:hanging="360"/>
      </w:pPr>
      <w:rPr>
        <w:rFonts w:ascii="Symbol" w:hAnsi="Symbol" w:hint="default"/>
      </w:rPr>
    </w:lvl>
    <w:lvl w:ilvl="7" w:tplc="20000003" w:tentative="1">
      <w:start w:val="1"/>
      <w:numFmt w:val="bullet"/>
      <w:lvlText w:val="o"/>
      <w:lvlJc w:val="left"/>
      <w:pPr>
        <w:ind w:left="5940" w:hanging="360"/>
      </w:pPr>
      <w:rPr>
        <w:rFonts w:ascii="Courier New" w:hAnsi="Courier New" w:cs="Courier New" w:hint="default"/>
      </w:rPr>
    </w:lvl>
    <w:lvl w:ilvl="8" w:tplc="20000005" w:tentative="1">
      <w:start w:val="1"/>
      <w:numFmt w:val="bullet"/>
      <w:lvlText w:val=""/>
      <w:lvlJc w:val="left"/>
      <w:pPr>
        <w:ind w:left="6660" w:hanging="360"/>
      </w:pPr>
      <w:rPr>
        <w:rFonts w:ascii="Wingdings" w:hAnsi="Wingdings" w:hint="default"/>
      </w:rPr>
    </w:lvl>
  </w:abstractNum>
  <w:abstractNum w:abstractNumId="12" w15:restartNumberingAfterBreak="0">
    <w:nsid w:val="42446345"/>
    <w:multiLevelType w:val="hybridMultilevel"/>
    <w:tmpl w:val="58669B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imes New Roman" w:hAnsi="Arial"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C23E39"/>
    <w:multiLevelType w:val="hybridMultilevel"/>
    <w:tmpl w:val="9950292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5" w15:restartNumberingAfterBreak="0">
    <w:nsid w:val="50911C00"/>
    <w:multiLevelType w:val="hybridMultilevel"/>
    <w:tmpl w:val="E78C853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 w15:restartNumberingAfterBreak="0">
    <w:nsid w:val="5F464803"/>
    <w:multiLevelType w:val="hybridMultilevel"/>
    <w:tmpl w:val="DE36599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7" w15:restartNumberingAfterBreak="0">
    <w:nsid w:val="5FB9082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4683E06"/>
    <w:multiLevelType w:val="hybridMultilevel"/>
    <w:tmpl w:val="3662C07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9" w15:restartNumberingAfterBreak="0">
    <w:nsid w:val="66D11BD9"/>
    <w:multiLevelType w:val="hybridMultilevel"/>
    <w:tmpl w:val="1B9A46C8"/>
    <w:lvl w:ilvl="0" w:tplc="EFB0C0EC">
      <w:start w:val="1"/>
      <w:numFmt w:val="bullet"/>
      <w:lvlText w:val="•"/>
      <w:lvlJc w:val="left"/>
      <w:pPr>
        <w:tabs>
          <w:tab w:val="num" w:pos="360"/>
        </w:tabs>
        <w:ind w:left="360" w:hanging="360"/>
      </w:pPr>
      <w:rPr>
        <w:rFonts w:ascii="Arial" w:hAnsi="Arial" w:hint="default"/>
      </w:rPr>
    </w:lvl>
    <w:lvl w:ilvl="1" w:tplc="D5E8AF14" w:tentative="1">
      <w:start w:val="1"/>
      <w:numFmt w:val="bullet"/>
      <w:lvlText w:val="•"/>
      <w:lvlJc w:val="left"/>
      <w:pPr>
        <w:tabs>
          <w:tab w:val="num" w:pos="1080"/>
        </w:tabs>
        <w:ind w:left="1080" w:hanging="360"/>
      </w:pPr>
      <w:rPr>
        <w:rFonts w:ascii="Arial" w:hAnsi="Arial" w:hint="default"/>
      </w:rPr>
    </w:lvl>
    <w:lvl w:ilvl="2" w:tplc="45B819AC" w:tentative="1">
      <w:start w:val="1"/>
      <w:numFmt w:val="bullet"/>
      <w:lvlText w:val="•"/>
      <w:lvlJc w:val="left"/>
      <w:pPr>
        <w:tabs>
          <w:tab w:val="num" w:pos="1800"/>
        </w:tabs>
        <w:ind w:left="1800" w:hanging="360"/>
      </w:pPr>
      <w:rPr>
        <w:rFonts w:ascii="Arial" w:hAnsi="Arial" w:hint="default"/>
      </w:rPr>
    </w:lvl>
    <w:lvl w:ilvl="3" w:tplc="64C67CD0" w:tentative="1">
      <w:start w:val="1"/>
      <w:numFmt w:val="bullet"/>
      <w:lvlText w:val="•"/>
      <w:lvlJc w:val="left"/>
      <w:pPr>
        <w:tabs>
          <w:tab w:val="num" w:pos="2520"/>
        </w:tabs>
        <w:ind w:left="2520" w:hanging="360"/>
      </w:pPr>
      <w:rPr>
        <w:rFonts w:ascii="Arial" w:hAnsi="Arial" w:hint="default"/>
      </w:rPr>
    </w:lvl>
    <w:lvl w:ilvl="4" w:tplc="B09610F8" w:tentative="1">
      <w:start w:val="1"/>
      <w:numFmt w:val="bullet"/>
      <w:lvlText w:val="•"/>
      <w:lvlJc w:val="left"/>
      <w:pPr>
        <w:tabs>
          <w:tab w:val="num" w:pos="3240"/>
        </w:tabs>
        <w:ind w:left="3240" w:hanging="360"/>
      </w:pPr>
      <w:rPr>
        <w:rFonts w:ascii="Arial" w:hAnsi="Arial" w:hint="default"/>
      </w:rPr>
    </w:lvl>
    <w:lvl w:ilvl="5" w:tplc="403A8034" w:tentative="1">
      <w:start w:val="1"/>
      <w:numFmt w:val="bullet"/>
      <w:lvlText w:val="•"/>
      <w:lvlJc w:val="left"/>
      <w:pPr>
        <w:tabs>
          <w:tab w:val="num" w:pos="3960"/>
        </w:tabs>
        <w:ind w:left="3960" w:hanging="360"/>
      </w:pPr>
      <w:rPr>
        <w:rFonts w:ascii="Arial" w:hAnsi="Arial" w:hint="default"/>
      </w:rPr>
    </w:lvl>
    <w:lvl w:ilvl="6" w:tplc="B05EADBE" w:tentative="1">
      <w:start w:val="1"/>
      <w:numFmt w:val="bullet"/>
      <w:lvlText w:val="•"/>
      <w:lvlJc w:val="left"/>
      <w:pPr>
        <w:tabs>
          <w:tab w:val="num" w:pos="4680"/>
        </w:tabs>
        <w:ind w:left="4680" w:hanging="360"/>
      </w:pPr>
      <w:rPr>
        <w:rFonts w:ascii="Arial" w:hAnsi="Arial" w:hint="default"/>
      </w:rPr>
    </w:lvl>
    <w:lvl w:ilvl="7" w:tplc="DE5C067E" w:tentative="1">
      <w:start w:val="1"/>
      <w:numFmt w:val="bullet"/>
      <w:lvlText w:val="•"/>
      <w:lvlJc w:val="left"/>
      <w:pPr>
        <w:tabs>
          <w:tab w:val="num" w:pos="5400"/>
        </w:tabs>
        <w:ind w:left="5400" w:hanging="360"/>
      </w:pPr>
      <w:rPr>
        <w:rFonts w:ascii="Arial" w:hAnsi="Arial" w:hint="default"/>
      </w:rPr>
    </w:lvl>
    <w:lvl w:ilvl="8" w:tplc="51024A9E"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6CD45445"/>
    <w:multiLevelType w:val="hybridMultilevel"/>
    <w:tmpl w:val="42B0B070"/>
    <w:lvl w:ilvl="0" w:tplc="20000019">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1" w15:restartNumberingAfterBreak="0">
    <w:nsid w:val="70B8238D"/>
    <w:multiLevelType w:val="hybridMultilevel"/>
    <w:tmpl w:val="30A22656"/>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2" w15:restartNumberingAfterBreak="0">
    <w:nsid w:val="732A717C"/>
    <w:multiLevelType w:val="hybridMultilevel"/>
    <w:tmpl w:val="E466DD6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7422141F"/>
    <w:multiLevelType w:val="hybridMultilevel"/>
    <w:tmpl w:val="51827C82"/>
    <w:lvl w:ilvl="0" w:tplc="6C9AB4F0">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E531A9"/>
    <w:multiLevelType w:val="hybridMultilevel"/>
    <w:tmpl w:val="D79C3178"/>
    <w:lvl w:ilvl="0" w:tplc="6C9AB4F0">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9E6532"/>
    <w:multiLevelType w:val="hybridMultilevel"/>
    <w:tmpl w:val="834C70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7"/>
  </w:num>
  <w:num w:numId="3">
    <w:abstractNumId w:val="23"/>
  </w:num>
  <w:num w:numId="4">
    <w:abstractNumId w:val="24"/>
  </w:num>
  <w:num w:numId="5">
    <w:abstractNumId w:val="19"/>
  </w:num>
  <w:num w:numId="6">
    <w:abstractNumId w:val="12"/>
  </w:num>
  <w:num w:numId="7">
    <w:abstractNumId w:val="0"/>
  </w:num>
  <w:num w:numId="8">
    <w:abstractNumId w:val="17"/>
  </w:num>
  <w:num w:numId="9">
    <w:abstractNumId w:val="10"/>
  </w:num>
  <w:num w:numId="10">
    <w:abstractNumId w:val="4"/>
  </w:num>
  <w:num w:numId="11">
    <w:abstractNumId w:val="21"/>
  </w:num>
  <w:num w:numId="12">
    <w:abstractNumId w:val="8"/>
  </w:num>
  <w:num w:numId="13">
    <w:abstractNumId w:val="3"/>
  </w:num>
  <w:num w:numId="14">
    <w:abstractNumId w:val="20"/>
  </w:num>
  <w:num w:numId="15">
    <w:abstractNumId w:val="22"/>
  </w:num>
  <w:num w:numId="16">
    <w:abstractNumId w:val="5"/>
  </w:num>
  <w:num w:numId="17">
    <w:abstractNumId w:val="14"/>
  </w:num>
  <w:num w:numId="18">
    <w:abstractNumId w:val="9"/>
  </w:num>
  <w:num w:numId="19">
    <w:abstractNumId w:val="16"/>
  </w:num>
  <w:num w:numId="20">
    <w:abstractNumId w:val="18"/>
  </w:num>
  <w:num w:numId="21">
    <w:abstractNumId w:val="15"/>
  </w:num>
  <w:num w:numId="22">
    <w:abstractNumId w:val="13"/>
  </w:num>
  <w:num w:numId="23">
    <w:abstractNumId w:val="2"/>
  </w:num>
  <w:num w:numId="24">
    <w:abstractNumId w:val="1"/>
  </w:num>
  <w:num w:numId="25">
    <w:abstractNumId w:val="6"/>
  </w:num>
  <w:num w:numId="26">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49" style="mso-position-vertical-relative:line" fill="f" fillcolor="white" strokecolor="none [2894]">
      <v:fill color="white" on="f"/>
      <v:stroke color="none [289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FF7"/>
    <w:rsid w:val="00000EB9"/>
    <w:rsid w:val="00002F88"/>
    <w:rsid w:val="0000357A"/>
    <w:rsid w:val="000049CA"/>
    <w:rsid w:val="000057AA"/>
    <w:rsid w:val="000063F6"/>
    <w:rsid w:val="000072CF"/>
    <w:rsid w:val="00010930"/>
    <w:rsid w:val="00011915"/>
    <w:rsid w:val="00011CD6"/>
    <w:rsid w:val="000156C6"/>
    <w:rsid w:val="00015C03"/>
    <w:rsid w:val="00015FF2"/>
    <w:rsid w:val="0001785A"/>
    <w:rsid w:val="00020D88"/>
    <w:rsid w:val="0002106A"/>
    <w:rsid w:val="00021880"/>
    <w:rsid w:val="0002227B"/>
    <w:rsid w:val="00022DE9"/>
    <w:rsid w:val="00023C6E"/>
    <w:rsid w:val="00025669"/>
    <w:rsid w:val="00025B5C"/>
    <w:rsid w:val="00026164"/>
    <w:rsid w:val="00027EE6"/>
    <w:rsid w:val="00030277"/>
    <w:rsid w:val="00030A48"/>
    <w:rsid w:val="00031E16"/>
    <w:rsid w:val="00031EB7"/>
    <w:rsid w:val="0003356C"/>
    <w:rsid w:val="00033F52"/>
    <w:rsid w:val="0003461C"/>
    <w:rsid w:val="0003782D"/>
    <w:rsid w:val="0004022D"/>
    <w:rsid w:val="00041F71"/>
    <w:rsid w:val="00044654"/>
    <w:rsid w:val="00044655"/>
    <w:rsid w:val="000453CA"/>
    <w:rsid w:val="00045877"/>
    <w:rsid w:val="00045C9A"/>
    <w:rsid w:val="000477F9"/>
    <w:rsid w:val="00050657"/>
    <w:rsid w:val="00050701"/>
    <w:rsid w:val="00051641"/>
    <w:rsid w:val="00051C87"/>
    <w:rsid w:val="00053313"/>
    <w:rsid w:val="00053998"/>
    <w:rsid w:val="00054468"/>
    <w:rsid w:val="0005468D"/>
    <w:rsid w:val="00054CA5"/>
    <w:rsid w:val="00054F20"/>
    <w:rsid w:val="000558DD"/>
    <w:rsid w:val="00055972"/>
    <w:rsid w:val="00056517"/>
    <w:rsid w:val="00056FEA"/>
    <w:rsid w:val="00060D67"/>
    <w:rsid w:val="000615B0"/>
    <w:rsid w:val="000618C4"/>
    <w:rsid w:val="00062A21"/>
    <w:rsid w:val="00062DD7"/>
    <w:rsid w:val="00062E78"/>
    <w:rsid w:val="000717D8"/>
    <w:rsid w:val="000729D5"/>
    <w:rsid w:val="00072F56"/>
    <w:rsid w:val="000734EF"/>
    <w:rsid w:val="00073B55"/>
    <w:rsid w:val="000748FE"/>
    <w:rsid w:val="000772C9"/>
    <w:rsid w:val="000776E9"/>
    <w:rsid w:val="000818F5"/>
    <w:rsid w:val="0008221B"/>
    <w:rsid w:val="0008309A"/>
    <w:rsid w:val="00084094"/>
    <w:rsid w:val="00084487"/>
    <w:rsid w:val="0008471F"/>
    <w:rsid w:val="00085FB3"/>
    <w:rsid w:val="0008615A"/>
    <w:rsid w:val="00087308"/>
    <w:rsid w:val="00087476"/>
    <w:rsid w:val="00087F09"/>
    <w:rsid w:val="00090175"/>
    <w:rsid w:val="00090431"/>
    <w:rsid w:val="00090983"/>
    <w:rsid w:val="00092A3C"/>
    <w:rsid w:val="00092A70"/>
    <w:rsid w:val="000939D5"/>
    <w:rsid w:val="00096A77"/>
    <w:rsid w:val="000A0830"/>
    <w:rsid w:val="000A2742"/>
    <w:rsid w:val="000A279D"/>
    <w:rsid w:val="000A5A14"/>
    <w:rsid w:val="000A60FE"/>
    <w:rsid w:val="000A7A5C"/>
    <w:rsid w:val="000A7F6A"/>
    <w:rsid w:val="000B063B"/>
    <w:rsid w:val="000B2F66"/>
    <w:rsid w:val="000B3A46"/>
    <w:rsid w:val="000B3D30"/>
    <w:rsid w:val="000B43B5"/>
    <w:rsid w:val="000B4494"/>
    <w:rsid w:val="000B48E2"/>
    <w:rsid w:val="000B4B2D"/>
    <w:rsid w:val="000B4CD8"/>
    <w:rsid w:val="000B660E"/>
    <w:rsid w:val="000B6775"/>
    <w:rsid w:val="000C418A"/>
    <w:rsid w:val="000C49F5"/>
    <w:rsid w:val="000C4DDD"/>
    <w:rsid w:val="000C54D3"/>
    <w:rsid w:val="000C67A4"/>
    <w:rsid w:val="000C74C1"/>
    <w:rsid w:val="000D025A"/>
    <w:rsid w:val="000D65BC"/>
    <w:rsid w:val="000E02AD"/>
    <w:rsid w:val="000E2455"/>
    <w:rsid w:val="000E29A8"/>
    <w:rsid w:val="000E3CEC"/>
    <w:rsid w:val="000E506E"/>
    <w:rsid w:val="000E7FB5"/>
    <w:rsid w:val="000F3362"/>
    <w:rsid w:val="000F4EE2"/>
    <w:rsid w:val="000F517F"/>
    <w:rsid w:val="0010275B"/>
    <w:rsid w:val="00104FDC"/>
    <w:rsid w:val="00106518"/>
    <w:rsid w:val="00106B2E"/>
    <w:rsid w:val="00107ECE"/>
    <w:rsid w:val="001116C2"/>
    <w:rsid w:val="00111A1F"/>
    <w:rsid w:val="001124F4"/>
    <w:rsid w:val="00113A56"/>
    <w:rsid w:val="001141FC"/>
    <w:rsid w:val="001151C2"/>
    <w:rsid w:val="00115EED"/>
    <w:rsid w:val="00116DF3"/>
    <w:rsid w:val="00116E97"/>
    <w:rsid w:val="0012040D"/>
    <w:rsid w:val="00123A7A"/>
    <w:rsid w:val="00124B13"/>
    <w:rsid w:val="00130AC0"/>
    <w:rsid w:val="00131DCD"/>
    <w:rsid w:val="00132089"/>
    <w:rsid w:val="00132B0C"/>
    <w:rsid w:val="00132DF1"/>
    <w:rsid w:val="00132EE7"/>
    <w:rsid w:val="00135431"/>
    <w:rsid w:val="00135649"/>
    <w:rsid w:val="00137EB2"/>
    <w:rsid w:val="00140058"/>
    <w:rsid w:val="00140B25"/>
    <w:rsid w:val="001411C6"/>
    <w:rsid w:val="001434C9"/>
    <w:rsid w:val="00143F5A"/>
    <w:rsid w:val="00143F97"/>
    <w:rsid w:val="001441EC"/>
    <w:rsid w:val="00144D89"/>
    <w:rsid w:val="00146350"/>
    <w:rsid w:val="00146DAE"/>
    <w:rsid w:val="00147411"/>
    <w:rsid w:val="001522D5"/>
    <w:rsid w:val="001535D9"/>
    <w:rsid w:val="001555BB"/>
    <w:rsid w:val="001556AB"/>
    <w:rsid w:val="00155DA1"/>
    <w:rsid w:val="00161CF4"/>
    <w:rsid w:val="00163E00"/>
    <w:rsid w:val="00163E60"/>
    <w:rsid w:val="00164612"/>
    <w:rsid w:val="0016464E"/>
    <w:rsid w:val="001646BA"/>
    <w:rsid w:val="00166B6B"/>
    <w:rsid w:val="00167101"/>
    <w:rsid w:val="00167302"/>
    <w:rsid w:val="00171649"/>
    <w:rsid w:val="00173FB7"/>
    <w:rsid w:val="00174DFE"/>
    <w:rsid w:val="00176B9D"/>
    <w:rsid w:val="00181491"/>
    <w:rsid w:val="001814E1"/>
    <w:rsid w:val="00181A53"/>
    <w:rsid w:val="00183C2F"/>
    <w:rsid w:val="00183D57"/>
    <w:rsid w:val="00184097"/>
    <w:rsid w:val="00184AA4"/>
    <w:rsid w:val="00185E47"/>
    <w:rsid w:val="001867F2"/>
    <w:rsid w:val="00187BD0"/>
    <w:rsid w:val="00190860"/>
    <w:rsid w:val="00191A8E"/>
    <w:rsid w:val="00192618"/>
    <w:rsid w:val="001930B8"/>
    <w:rsid w:val="00194BA9"/>
    <w:rsid w:val="00196A67"/>
    <w:rsid w:val="00197139"/>
    <w:rsid w:val="00197191"/>
    <w:rsid w:val="001A109E"/>
    <w:rsid w:val="001A1150"/>
    <w:rsid w:val="001A1864"/>
    <w:rsid w:val="001A295F"/>
    <w:rsid w:val="001A49AB"/>
    <w:rsid w:val="001A615C"/>
    <w:rsid w:val="001B05E7"/>
    <w:rsid w:val="001B1149"/>
    <w:rsid w:val="001B14E4"/>
    <w:rsid w:val="001B302D"/>
    <w:rsid w:val="001B30A4"/>
    <w:rsid w:val="001B33D4"/>
    <w:rsid w:val="001B5BE3"/>
    <w:rsid w:val="001B772D"/>
    <w:rsid w:val="001B77F7"/>
    <w:rsid w:val="001B782A"/>
    <w:rsid w:val="001B7B76"/>
    <w:rsid w:val="001B7BFD"/>
    <w:rsid w:val="001C0394"/>
    <w:rsid w:val="001C0955"/>
    <w:rsid w:val="001C0CF1"/>
    <w:rsid w:val="001C395F"/>
    <w:rsid w:val="001C481B"/>
    <w:rsid w:val="001C5460"/>
    <w:rsid w:val="001C60D2"/>
    <w:rsid w:val="001D0B24"/>
    <w:rsid w:val="001D0F8F"/>
    <w:rsid w:val="001D1221"/>
    <w:rsid w:val="001D1A6E"/>
    <w:rsid w:val="001D1CA5"/>
    <w:rsid w:val="001D288D"/>
    <w:rsid w:val="001D3D41"/>
    <w:rsid w:val="001D4454"/>
    <w:rsid w:val="001D4473"/>
    <w:rsid w:val="001D70AA"/>
    <w:rsid w:val="001E2F4B"/>
    <w:rsid w:val="001E4ADD"/>
    <w:rsid w:val="001F04C2"/>
    <w:rsid w:val="001F1500"/>
    <w:rsid w:val="001F1711"/>
    <w:rsid w:val="001F1717"/>
    <w:rsid w:val="001F343D"/>
    <w:rsid w:val="001F4B06"/>
    <w:rsid w:val="001F51F2"/>
    <w:rsid w:val="001F7DD5"/>
    <w:rsid w:val="00200CDF"/>
    <w:rsid w:val="0020246D"/>
    <w:rsid w:val="00204E38"/>
    <w:rsid w:val="002053AE"/>
    <w:rsid w:val="00205F43"/>
    <w:rsid w:val="002078C3"/>
    <w:rsid w:val="00207C3F"/>
    <w:rsid w:val="002110E8"/>
    <w:rsid w:val="00211FFF"/>
    <w:rsid w:val="00212AC1"/>
    <w:rsid w:val="00214FCC"/>
    <w:rsid w:val="0021630E"/>
    <w:rsid w:val="00216441"/>
    <w:rsid w:val="00216D12"/>
    <w:rsid w:val="002203FE"/>
    <w:rsid w:val="00221CCB"/>
    <w:rsid w:val="0022280D"/>
    <w:rsid w:val="00224433"/>
    <w:rsid w:val="00224B4E"/>
    <w:rsid w:val="002250C4"/>
    <w:rsid w:val="00226D1B"/>
    <w:rsid w:val="00230360"/>
    <w:rsid w:val="002317AF"/>
    <w:rsid w:val="00231DEA"/>
    <w:rsid w:val="00233370"/>
    <w:rsid w:val="00234C8A"/>
    <w:rsid w:val="00235641"/>
    <w:rsid w:val="00235F3D"/>
    <w:rsid w:val="002367F0"/>
    <w:rsid w:val="00236B9C"/>
    <w:rsid w:val="0023738C"/>
    <w:rsid w:val="00237B80"/>
    <w:rsid w:val="00240617"/>
    <w:rsid w:val="0024157E"/>
    <w:rsid w:val="0024180B"/>
    <w:rsid w:val="00241855"/>
    <w:rsid w:val="0024292C"/>
    <w:rsid w:val="00243019"/>
    <w:rsid w:val="0024437D"/>
    <w:rsid w:val="00246251"/>
    <w:rsid w:val="00246539"/>
    <w:rsid w:val="00246A04"/>
    <w:rsid w:val="00246BC6"/>
    <w:rsid w:val="00247233"/>
    <w:rsid w:val="00253797"/>
    <w:rsid w:val="00254259"/>
    <w:rsid w:val="00254F75"/>
    <w:rsid w:val="0025523F"/>
    <w:rsid w:val="0025565E"/>
    <w:rsid w:val="002560A7"/>
    <w:rsid w:val="00256FBF"/>
    <w:rsid w:val="00260D90"/>
    <w:rsid w:val="00261815"/>
    <w:rsid w:val="00261D5C"/>
    <w:rsid w:val="00263570"/>
    <w:rsid w:val="002649B7"/>
    <w:rsid w:val="00264CF7"/>
    <w:rsid w:val="002650C9"/>
    <w:rsid w:val="00266278"/>
    <w:rsid w:val="002678BD"/>
    <w:rsid w:val="0027005D"/>
    <w:rsid w:val="00270183"/>
    <w:rsid w:val="002736D5"/>
    <w:rsid w:val="00274AD6"/>
    <w:rsid w:val="00277329"/>
    <w:rsid w:val="00277FF0"/>
    <w:rsid w:val="00282FDF"/>
    <w:rsid w:val="0028427A"/>
    <w:rsid w:val="002853F5"/>
    <w:rsid w:val="00287241"/>
    <w:rsid w:val="002906AA"/>
    <w:rsid w:val="002919F3"/>
    <w:rsid w:val="00292FFB"/>
    <w:rsid w:val="00293104"/>
    <w:rsid w:val="002933B9"/>
    <w:rsid w:val="0029421D"/>
    <w:rsid w:val="00294912"/>
    <w:rsid w:val="00296F57"/>
    <w:rsid w:val="002A0800"/>
    <w:rsid w:val="002A0FB3"/>
    <w:rsid w:val="002A3EBE"/>
    <w:rsid w:val="002A5C87"/>
    <w:rsid w:val="002A5D28"/>
    <w:rsid w:val="002A6344"/>
    <w:rsid w:val="002A6D64"/>
    <w:rsid w:val="002A7441"/>
    <w:rsid w:val="002A7B7C"/>
    <w:rsid w:val="002B104C"/>
    <w:rsid w:val="002B1A4A"/>
    <w:rsid w:val="002B3F59"/>
    <w:rsid w:val="002B491A"/>
    <w:rsid w:val="002B60B1"/>
    <w:rsid w:val="002B60B4"/>
    <w:rsid w:val="002B6834"/>
    <w:rsid w:val="002B7BD9"/>
    <w:rsid w:val="002B7D87"/>
    <w:rsid w:val="002C0F93"/>
    <w:rsid w:val="002C133E"/>
    <w:rsid w:val="002C26FB"/>
    <w:rsid w:val="002C29A3"/>
    <w:rsid w:val="002C3155"/>
    <w:rsid w:val="002C4769"/>
    <w:rsid w:val="002C4A1D"/>
    <w:rsid w:val="002C5AB4"/>
    <w:rsid w:val="002C6DD5"/>
    <w:rsid w:val="002C6FA0"/>
    <w:rsid w:val="002C7759"/>
    <w:rsid w:val="002D0984"/>
    <w:rsid w:val="002D17F8"/>
    <w:rsid w:val="002D4549"/>
    <w:rsid w:val="002D49DD"/>
    <w:rsid w:val="002D4D04"/>
    <w:rsid w:val="002D561D"/>
    <w:rsid w:val="002D78BA"/>
    <w:rsid w:val="002D7ADF"/>
    <w:rsid w:val="002E304A"/>
    <w:rsid w:val="002E4231"/>
    <w:rsid w:val="002E598D"/>
    <w:rsid w:val="002E7232"/>
    <w:rsid w:val="002F14AB"/>
    <w:rsid w:val="002F17C9"/>
    <w:rsid w:val="002F3343"/>
    <w:rsid w:val="002F761F"/>
    <w:rsid w:val="00300C8B"/>
    <w:rsid w:val="00302288"/>
    <w:rsid w:val="003027DB"/>
    <w:rsid w:val="00302815"/>
    <w:rsid w:val="00303A27"/>
    <w:rsid w:val="00303B5D"/>
    <w:rsid w:val="00303D06"/>
    <w:rsid w:val="003041A3"/>
    <w:rsid w:val="003049B2"/>
    <w:rsid w:val="003065F1"/>
    <w:rsid w:val="003069DF"/>
    <w:rsid w:val="0030798F"/>
    <w:rsid w:val="00310F8D"/>
    <w:rsid w:val="003125E9"/>
    <w:rsid w:val="00312CBA"/>
    <w:rsid w:val="003146AB"/>
    <w:rsid w:val="00314B45"/>
    <w:rsid w:val="00314CAF"/>
    <w:rsid w:val="003152E2"/>
    <w:rsid w:val="003156E0"/>
    <w:rsid w:val="00315A18"/>
    <w:rsid w:val="00315ADA"/>
    <w:rsid w:val="00315F9D"/>
    <w:rsid w:val="00316445"/>
    <w:rsid w:val="00320666"/>
    <w:rsid w:val="00321193"/>
    <w:rsid w:val="00321457"/>
    <w:rsid w:val="0032302E"/>
    <w:rsid w:val="00323613"/>
    <w:rsid w:val="0032365E"/>
    <w:rsid w:val="00324350"/>
    <w:rsid w:val="003248C7"/>
    <w:rsid w:val="003249D4"/>
    <w:rsid w:val="003257DC"/>
    <w:rsid w:val="00325CE9"/>
    <w:rsid w:val="00326FD7"/>
    <w:rsid w:val="00327060"/>
    <w:rsid w:val="00327BE1"/>
    <w:rsid w:val="003315F6"/>
    <w:rsid w:val="00334F07"/>
    <w:rsid w:val="00335154"/>
    <w:rsid w:val="0033621C"/>
    <w:rsid w:val="00337A1D"/>
    <w:rsid w:val="00337B0B"/>
    <w:rsid w:val="00337B7F"/>
    <w:rsid w:val="00340E23"/>
    <w:rsid w:val="00343C7E"/>
    <w:rsid w:val="0034529B"/>
    <w:rsid w:val="003457B3"/>
    <w:rsid w:val="00345CFD"/>
    <w:rsid w:val="00346454"/>
    <w:rsid w:val="0034663D"/>
    <w:rsid w:val="003508AE"/>
    <w:rsid w:val="003517D0"/>
    <w:rsid w:val="003560FF"/>
    <w:rsid w:val="00357ED9"/>
    <w:rsid w:val="003634A7"/>
    <w:rsid w:val="0036368C"/>
    <w:rsid w:val="003650E3"/>
    <w:rsid w:val="00370C27"/>
    <w:rsid w:val="0037132E"/>
    <w:rsid w:val="003714D3"/>
    <w:rsid w:val="003731DF"/>
    <w:rsid w:val="003747AD"/>
    <w:rsid w:val="003758BF"/>
    <w:rsid w:val="00375CA3"/>
    <w:rsid w:val="00375FDA"/>
    <w:rsid w:val="003765D4"/>
    <w:rsid w:val="00381E69"/>
    <w:rsid w:val="003825CA"/>
    <w:rsid w:val="003830B6"/>
    <w:rsid w:val="00384A82"/>
    <w:rsid w:val="00384C25"/>
    <w:rsid w:val="00385251"/>
    <w:rsid w:val="0038628D"/>
    <w:rsid w:val="00386971"/>
    <w:rsid w:val="003871E1"/>
    <w:rsid w:val="00391FF9"/>
    <w:rsid w:val="00392E99"/>
    <w:rsid w:val="00394C21"/>
    <w:rsid w:val="00396601"/>
    <w:rsid w:val="00396EB2"/>
    <w:rsid w:val="00396F09"/>
    <w:rsid w:val="003A03E3"/>
    <w:rsid w:val="003A0E46"/>
    <w:rsid w:val="003A15D0"/>
    <w:rsid w:val="003A16E2"/>
    <w:rsid w:val="003A470B"/>
    <w:rsid w:val="003A5C6F"/>
    <w:rsid w:val="003A6046"/>
    <w:rsid w:val="003A6EEA"/>
    <w:rsid w:val="003B1B6B"/>
    <w:rsid w:val="003B2278"/>
    <w:rsid w:val="003B22E6"/>
    <w:rsid w:val="003B262D"/>
    <w:rsid w:val="003B2A5A"/>
    <w:rsid w:val="003B3FAE"/>
    <w:rsid w:val="003B6580"/>
    <w:rsid w:val="003B693A"/>
    <w:rsid w:val="003B6F39"/>
    <w:rsid w:val="003B7CA8"/>
    <w:rsid w:val="003C0FEB"/>
    <w:rsid w:val="003C15F5"/>
    <w:rsid w:val="003C1813"/>
    <w:rsid w:val="003C2320"/>
    <w:rsid w:val="003C4190"/>
    <w:rsid w:val="003C4481"/>
    <w:rsid w:val="003C4A07"/>
    <w:rsid w:val="003C6CAB"/>
    <w:rsid w:val="003C7251"/>
    <w:rsid w:val="003D0562"/>
    <w:rsid w:val="003D0A31"/>
    <w:rsid w:val="003D2B45"/>
    <w:rsid w:val="003D403B"/>
    <w:rsid w:val="003D413A"/>
    <w:rsid w:val="003D4608"/>
    <w:rsid w:val="003D5D48"/>
    <w:rsid w:val="003E2534"/>
    <w:rsid w:val="003E49D4"/>
    <w:rsid w:val="003E4FDF"/>
    <w:rsid w:val="003E6852"/>
    <w:rsid w:val="003F05FA"/>
    <w:rsid w:val="003F0B87"/>
    <w:rsid w:val="003F186C"/>
    <w:rsid w:val="003F192C"/>
    <w:rsid w:val="003F2166"/>
    <w:rsid w:val="003F2246"/>
    <w:rsid w:val="003F2425"/>
    <w:rsid w:val="003F25C1"/>
    <w:rsid w:val="003F3A82"/>
    <w:rsid w:val="003F6F61"/>
    <w:rsid w:val="003F7130"/>
    <w:rsid w:val="003F77BC"/>
    <w:rsid w:val="003F7A9A"/>
    <w:rsid w:val="003F7E7A"/>
    <w:rsid w:val="0040022F"/>
    <w:rsid w:val="00400A58"/>
    <w:rsid w:val="0040151B"/>
    <w:rsid w:val="00403AEE"/>
    <w:rsid w:val="004071AD"/>
    <w:rsid w:val="00407E99"/>
    <w:rsid w:val="00410091"/>
    <w:rsid w:val="004106A0"/>
    <w:rsid w:val="00414D95"/>
    <w:rsid w:val="004154AB"/>
    <w:rsid w:val="00420C4E"/>
    <w:rsid w:val="0042433E"/>
    <w:rsid w:val="00424483"/>
    <w:rsid w:val="004250F2"/>
    <w:rsid w:val="00425242"/>
    <w:rsid w:val="004260A6"/>
    <w:rsid w:val="00426296"/>
    <w:rsid w:val="00427FAC"/>
    <w:rsid w:val="00430E7A"/>
    <w:rsid w:val="0043121A"/>
    <w:rsid w:val="004315C4"/>
    <w:rsid w:val="0043211C"/>
    <w:rsid w:val="0043514A"/>
    <w:rsid w:val="004369F6"/>
    <w:rsid w:val="00440BB3"/>
    <w:rsid w:val="00440CE7"/>
    <w:rsid w:val="004426F5"/>
    <w:rsid w:val="00442B38"/>
    <w:rsid w:val="00442F00"/>
    <w:rsid w:val="00445633"/>
    <w:rsid w:val="00445FA5"/>
    <w:rsid w:val="004465DE"/>
    <w:rsid w:val="00446AC0"/>
    <w:rsid w:val="00447925"/>
    <w:rsid w:val="004501B9"/>
    <w:rsid w:val="00451245"/>
    <w:rsid w:val="0045198F"/>
    <w:rsid w:val="00451DB1"/>
    <w:rsid w:val="004520EC"/>
    <w:rsid w:val="00452F86"/>
    <w:rsid w:val="0045303A"/>
    <w:rsid w:val="0045321A"/>
    <w:rsid w:val="00453D4C"/>
    <w:rsid w:val="00453FF0"/>
    <w:rsid w:val="00454397"/>
    <w:rsid w:val="00454E28"/>
    <w:rsid w:val="00455ED8"/>
    <w:rsid w:val="00456B7A"/>
    <w:rsid w:val="00457107"/>
    <w:rsid w:val="004613BE"/>
    <w:rsid w:val="004618BE"/>
    <w:rsid w:val="004620AA"/>
    <w:rsid w:val="00462722"/>
    <w:rsid w:val="00463D63"/>
    <w:rsid w:val="004643D9"/>
    <w:rsid w:val="00464440"/>
    <w:rsid w:val="004652DC"/>
    <w:rsid w:val="00470A48"/>
    <w:rsid w:val="004713E4"/>
    <w:rsid w:val="00472917"/>
    <w:rsid w:val="004734C3"/>
    <w:rsid w:val="0047726B"/>
    <w:rsid w:val="00477767"/>
    <w:rsid w:val="00481250"/>
    <w:rsid w:val="00483964"/>
    <w:rsid w:val="00483A9E"/>
    <w:rsid w:val="004848D5"/>
    <w:rsid w:val="00486A0E"/>
    <w:rsid w:val="00493840"/>
    <w:rsid w:val="0049415E"/>
    <w:rsid w:val="00495469"/>
    <w:rsid w:val="00496A45"/>
    <w:rsid w:val="00496B04"/>
    <w:rsid w:val="004A0A33"/>
    <w:rsid w:val="004A2072"/>
    <w:rsid w:val="004A268D"/>
    <w:rsid w:val="004A2707"/>
    <w:rsid w:val="004A2F9C"/>
    <w:rsid w:val="004A417D"/>
    <w:rsid w:val="004A48C0"/>
    <w:rsid w:val="004A563D"/>
    <w:rsid w:val="004A76E6"/>
    <w:rsid w:val="004A7B64"/>
    <w:rsid w:val="004A7D2E"/>
    <w:rsid w:val="004B28EA"/>
    <w:rsid w:val="004B2D15"/>
    <w:rsid w:val="004B3C8E"/>
    <w:rsid w:val="004B4027"/>
    <w:rsid w:val="004B4E61"/>
    <w:rsid w:val="004B6EA2"/>
    <w:rsid w:val="004C0BEA"/>
    <w:rsid w:val="004C427B"/>
    <w:rsid w:val="004C56E6"/>
    <w:rsid w:val="004C67A8"/>
    <w:rsid w:val="004D0895"/>
    <w:rsid w:val="004D16E4"/>
    <w:rsid w:val="004D276E"/>
    <w:rsid w:val="004D316D"/>
    <w:rsid w:val="004D3AFA"/>
    <w:rsid w:val="004D4E35"/>
    <w:rsid w:val="004D6098"/>
    <w:rsid w:val="004E026D"/>
    <w:rsid w:val="004E0F29"/>
    <w:rsid w:val="004E3827"/>
    <w:rsid w:val="004E3AD0"/>
    <w:rsid w:val="004E4260"/>
    <w:rsid w:val="004E4B71"/>
    <w:rsid w:val="004E51CC"/>
    <w:rsid w:val="004E5828"/>
    <w:rsid w:val="004E58D8"/>
    <w:rsid w:val="004F00E0"/>
    <w:rsid w:val="004F1858"/>
    <w:rsid w:val="004F1DC2"/>
    <w:rsid w:val="004F2706"/>
    <w:rsid w:val="004F28ED"/>
    <w:rsid w:val="004F2A0D"/>
    <w:rsid w:val="004F4E41"/>
    <w:rsid w:val="004F5751"/>
    <w:rsid w:val="004F5B05"/>
    <w:rsid w:val="004F77EE"/>
    <w:rsid w:val="005057AA"/>
    <w:rsid w:val="0050593A"/>
    <w:rsid w:val="005068B2"/>
    <w:rsid w:val="00506A26"/>
    <w:rsid w:val="005106F3"/>
    <w:rsid w:val="00511A94"/>
    <w:rsid w:val="0051304B"/>
    <w:rsid w:val="00516224"/>
    <w:rsid w:val="00516408"/>
    <w:rsid w:val="00516495"/>
    <w:rsid w:val="00521051"/>
    <w:rsid w:val="00521699"/>
    <w:rsid w:val="00521D40"/>
    <w:rsid w:val="00521E34"/>
    <w:rsid w:val="00521FA0"/>
    <w:rsid w:val="005223C2"/>
    <w:rsid w:val="00522551"/>
    <w:rsid w:val="00523915"/>
    <w:rsid w:val="00524967"/>
    <w:rsid w:val="005256AC"/>
    <w:rsid w:val="00525831"/>
    <w:rsid w:val="0052716D"/>
    <w:rsid w:val="005279BA"/>
    <w:rsid w:val="0053030D"/>
    <w:rsid w:val="00531C8E"/>
    <w:rsid w:val="00531D8F"/>
    <w:rsid w:val="00532AAF"/>
    <w:rsid w:val="005343A8"/>
    <w:rsid w:val="00534621"/>
    <w:rsid w:val="005355A7"/>
    <w:rsid w:val="0053649B"/>
    <w:rsid w:val="00536C8C"/>
    <w:rsid w:val="00537304"/>
    <w:rsid w:val="00540303"/>
    <w:rsid w:val="00541C34"/>
    <w:rsid w:val="00542935"/>
    <w:rsid w:val="005447D0"/>
    <w:rsid w:val="00546103"/>
    <w:rsid w:val="005464FC"/>
    <w:rsid w:val="00551440"/>
    <w:rsid w:val="00551AD2"/>
    <w:rsid w:val="00552144"/>
    <w:rsid w:val="005521F5"/>
    <w:rsid w:val="005523F8"/>
    <w:rsid w:val="00555B66"/>
    <w:rsid w:val="00556A84"/>
    <w:rsid w:val="00560CE1"/>
    <w:rsid w:val="005616DD"/>
    <w:rsid w:val="00561C15"/>
    <w:rsid w:val="005620C3"/>
    <w:rsid w:val="00563B4C"/>
    <w:rsid w:val="00563F84"/>
    <w:rsid w:val="005704DE"/>
    <w:rsid w:val="00571D24"/>
    <w:rsid w:val="005722AF"/>
    <w:rsid w:val="005731FC"/>
    <w:rsid w:val="00573FB1"/>
    <w:rsid w:val="00575983"/>
    <w:rsid w:val="00575FC5"/>
    <w:rsid w:val="00576696"/>
    <w:rsid w:val="00576F79"/>
    <w:rsid w:val="0058020F"/>
    <w:rsid w:val="00581EBE"/>
    <w:rsid w:val="005827B8"/>
    <w:rsid w:val="005859CD"/>
    <w:rsid w:val="00586261"/>
    <w:rsid w:val="00586716"/>
    <w:rsid w:val="00586FE6"/>
    <w:rsid w:val="00590EC3"/>
    <w:rsid w:val="005917DA"/>
    <w:rsid w:val="00591989"/>
    <w:rsid w:val="00593103"/>
    <w:rsid w:val="005931DB"/>
    <w:rsid w:val="00593A6A"/>
    <w:rsid w:val="00594A50"/>
    <w:rsid w:val="00594A8A"/>
    <w:rsid w:val="00596B5D"/>
    <w:rsid w:val="00597EF5"/>
    <w:rsid w:val="005A2DB4"/>
    <w:rsid w:val="005A338D"/>
    <w:rsid w:val="005A3E87"/>
    <w:rsid w:val="005A4A5F"/>
    <w:rsid w:val="005A4AE0"/>
    <w:rsid w:val="005A6451"/>
    <w:rsid w:val="005A7714"/>
    <w:rsid w:val="005A79FF"/>
    <w:rsid w:val="005B07BB"/>
    <w:rsid w:val="005B10BD"/>
    <w:rsid w:val="005B2B2F"/>
    <w:rsid w:val="005B30A8"/>
    <w:rsid w:val="005B30DA"/>
    <w:rsid w:val="005C221E"/>
    <w:rsid w:val="005C2ED7"/>
    <w:rsid w:val="005C3FC7"/>
    <w:rsid w:val="005C413B"/>
    <w:rsid w:val="005C44F6"/>
    <w:rsid w:val="005C664C"/>
    <w:rsid w:val="005C7D9F"/>
    <w:rsid w:val="005D1668"/>
    <w:rsid w:val="005D1A85"/>
    <w:rsid w:val="005D3F0B"/>
    <w:rsid w:val="005D3FED"/>
    <w:rsid w:val="005D42C5"/>
    <w:rsid w:val="005D461E"/>
    <w:rsid w:val="005D5966"/>
    <w:rsid w:val="005D63BC"/>
    <w:rsid w:val="005D77E2"/>
    <w:rsid w:val="005D7B63"/>
    <w:rsid w:val="005E1D25"/>
    <w:rsid w:val="005E35E6"/>
    <w:rsid w:val="005E3E9D"/>
    <w:rsid w:val="005E692E"/>
    <w:rsid w:val="005E6EF0"/>
    <w:rsid w:val="005E763F"/>
    <w:rsid w:val="005F3B0D"/>
    <w:rsid w:val="005F41A2"/>
    <w:rsid w:val="005F5487"/>
    <w:rsid w:val="005F6557"/>
    <w:rsid w:val="00601173"/>
    <w:rsid w:val="00601694"/>
    <w:rsid w:val="00602A96"/>
    <w:rsid w:val="00603A45"/>
    <w:rsid w:val="00606833"/>
    <w:rsid w:val="00607ECF"/>
    <w:rsid w:val="00611ABC"/>
    <w:rsid w:val="0061447B"/>
    <w:rsid w:val="0061508D"/>
    <w:rsid w:val="00615FEA"/>
    <w:rsid w:val="00620D66"/>
    <w:rsid w:val="00625254"/>
    <w:rsid w:val="00626B6E"/>
    <w:rsid w:val="00626E3C"/>
    <w:rsid w:val="00632D9E"/>
    <w:rsid w:val="00632FCC"/>
    <w:rsid w:val="00633615"/>
    <w:rsid w:val="006342D6"/>
    <w:rsid w:val="00634C6E"/>
    <w:rsid w:val="00635B19"/>
    <w:rsid w:val="00635DC2"/>
    <w:rsid w:val="00640C52"/>
    <w:rsid w:val="00640FC6"/>
    <w:rsid w:val="0064123B"/>
    <w:rsid w:val="006413B9"/>
    <w:rsid w:val="00641E2D"/>
    <w:rsid w:val="00641F60"/>
    <w:rsid w:val="0064206F"/>
    <w:rsid w:val="006428D0"/>
    <w:rsid w:val="0064552C"/>
    <w:rsid w:val="0064590D"/>
    <w:rsid w:val="00646903"/>
    <w:rsid w:val="00650197"/>
    <w:rsid w:val="00650D00"/>
    <w:rsid w:val="00652696"/>
    <w:rsid w:val="00655670"/>
    <w:rsid w:val="00655DDD"/>
    <w:rsid w:val="006615C8"/>
    <w:rsid w:val="00661658"/>
    <w:rsid w:val="0066260A"/>
    <w:rsid w:val="006626EC"/>
    <w:rsid w:val="00662DA7"/>
    <w:rsid w:val="006647A8"/>
    <w:rsid w:val="00665FAC"/>
    <w:rsid w:val="00666B7D"/>
    <w:rsid w:val="00667218"/>
    <w:rsid w:val="00667E83"/>
    <w:rsid w:val="006703D0"/>
    <w:rsid w:val="00673B74"/>
    <w:rsid w:val="006754E9"/>
    <w:rsid w:val="006777F1"/>
    <w:rsid w:val="006814C9"/>
    <w:rsid w:val="00681937"/>
    <w:rsid w:val="00682E29"/>
    <w:rsid w:val="006844FD"/>
    <w:rsid w:val="00686D6C"/>
    <w:rsid w:val="00690C25"/>
    <w:rsid w:val="00691C19"/>
    <w:rsid w:val="00692D50"/>
    <w:rsid w:val="00694192"/>
    <w:rsid w:val="00695C5D"/>
    <w:rsid w:val="006971FA"/>
    <w:rsid w:val="006974AC"/>
    <w:rsid w:val="006A05E3"/>
    <w:rsid w:val="006A076B"/>
    <w:rsid w:val="006A1BEE"/>
    <w:rsid w:val="006A2636"/>
    <w:rsid w:val="006A2662"/>
    <w:rsid w:val="006A3DDF"/>
    <w:rsid w:val="006A41DE"/>
    <w:rsid w:val="006A4A6A"/>
    <w:rsid w:val="006B19A5"/>
    <w:rsid w:val="006B19CD"/>
    <w:rsid w:val="006B3189"/>
    <w:rsid w:val="006B3803"/>
    <w:rsid w:val="006B4A1F"/>
    <w:rsid w:val="006B4F27"/>
    <w:rsid w:val="006B515F"/>
    <w:rsid w:val="006B59BC"/>
    <w:rsid w:val="006C09AE"/>
    <w:rsid w:val="006C3698"/>
    <w:rsid w:val="006C4F42"/>
    <w:rsid w:val="006C65DF"/>
    <w:rsid w:val="006C6C79"/>
    <w:rsid w:val="006C75F5"/>
    <w:rsid w:val="006C7BC4"/>
    <w:rsid w:val="006D026E"/>
    <w:rsid w:val="006D1693"/>
    <w:rsid w:val="006D1B7A"/>
    <w:rsid w:val="006D2C73"/>
    <w:rsid w:val="006D2CBF"/>
    <w:rsid w:val="006D58B9"/>
    <w:rsid w:val="006D69F7"/>
    <w:rsid w:val="006E0992"/>
    <w:rsid w:val="006E0F36"/>
    <w:rsid w:val="006E0F66"/>
    <w:rsid w:val="006E1CF2"/>
    <w:rsid w:val="006E28CE"/>
    <w:rsid w:val="006E2D9C"/>
    <w:rsid w:val="006E3197"/>
    <w:rsid w:val="006E3BCB"/>
    <w:rsid w:val="006E3FD4"/>
    <w:rsid w:val="006E74D0"/>
    <w:rsid w:val="006E7AE0"/>
    <w:rsid w:val="006F1631"/>
    <w:rsid w:val="006F1D2F"/>
    <w:rsid w:val="006F2142"/>
    <w:rsid w:val="006F2144"/>
    <w:rsid w:val="006F2B00"/>
    <w:rsid w:val="006F39A0"/>
    <w:rsid w:val="006F3A05"/>
    <w:rsid w:val="006F47AD"/>
    <w:rsid w:val="006F48FE"/>
    <w:rsid w:val="006F50CB"/>
    <w:rsid w:val="006F71FA"/>
    <w:rsid w:val="006F7B24"/>
    <w:rsid w:val="007008FA"/>
    <w:rsid w:val="00700D7C"/>
    <w:rsid w:val="00701277"/>
    <w:rsid w:val="00703170"/>
    <w:rsid w:val="0070776A"/>
    <w:rsid w:val="0071378A"/>
    <w:rsid w:val="007143D5"/>
    <w:rsid w:val="007155AA"/>
    <w:rsid w:val="00715EDA"/>
    <w:rsid w:val="00717F4A"/>
    <w:rsid w:val="007229A8"/>
    <w:rsid w:val="00722FB5"/>
    <w:rsid w:val="0072320E"/>
    <w:rsid w:val="0072383C"/>
    <w:rsid w:val="00723A9E"/>
    <w:rsid w:val="007252DD"/>
    <w:rsid w:val="00726E1C"/>
    <w:rsid w:val="00726F4D"/>
    <w:rsid w:val="007314A4"/>
    <w:rsid w:val="00733273"/>
    <w:rsid w:val="00734532"/>
    <w:rsid w:val="00735437"/>
    <w:rsid w:val="00735894"/>
    <w:rsid w:val="00736477"/>
    <w:rsid w:val="007370B7"/>
    <w:rsid w:val="00740A30"/>
    <w:rsid w:val="00740E82"/>
    <w:rsid w:val="0074362A"/>
    <w:rsid w:val="0074365A"/>
    <w:rsid w:val="0074429C"/>
    <w:rsid w:val="007444F1"/>
    <w:rsid w:val="007461D4"/>
    <w:rsid w:val="00746E0E"/>
    <w:rsid w:val="00747375"/>
    <w:rsid w:val="007473E3"/>
    <w:rsid w:val="007478B1"/>
    <w:rsid w:val="00750BE8"/>
    <w:rsid w:val="00750FFC"/>
    <w:rsid w:val="00751976"/>
    <w:rsid w:val="00752621"/>
    <w:rsid w:val="0075341D"/>
    <w:rsid w:val="00753899"/>
    <w:rsid w:val="00753AF6"/>
    <w:rsid w:val="00753CC9"/>
    <w:rsid w:val="00755013"/>
    <w:rsid w:val="00760587"/>
    <w:rsid w:val="007622B3"/>
    <w:rsid w:val="00762F69"/>
    <w:rsid w:val="00766B89"/>
    <w:rsid w:val="00770C66"/>
    <w:rsid w:val="00770DC8"/>
    <w:rsid w:val="00773141"/>
    <w:rsid w:val="0077331E"/>
    <w:rsid w:val="00774B54"/>
    <w:rsid w:val="00775445"/>
    <w:rsid w:val="0077612C"/>
    <w:rsid w:val="007828BD"/>
    <w:rsid w:val="00782B2D"/>
    <w:rsid w:val="0078525E"/>
    <w:rsid w:val="00785AE1"/>
    <w:rsid w:val="00786926"/>
    <w:rsid w:val="00786D38"/>
    <w:rsid w:val="00787207"/>
    <w:rsid w:val="007877D6"/>
    <w:rsid w:val="007878A9"/>
    <w:rsid w:val="007938D0"/>
    <w:rsid w:val="007940FC"/>
    <w:rsid w:val="00794187"/>
    <w:rsid w:val="007976E6"/>
    <w:rsid w:val="007A0CCB"/>
    <w:rsid w:val="007A2368"/>
    <w:rsid w:val="007A2D91"/>
    <w:rsid w:val="007A31B6"/>
    <w:rsid w:val="007A63AC"/>
    <w:rsid w:val="007A70D8"/>
    <w:rsid w:val="007B1D5A"/>
    <w:rsid w:val="007B29E3"/>
    <w:rsid w:val="007B33D2"/>
    <w:rsid w:val="007B39B8"/>
    <w:rsid w:val="007B4AD6"/>
    <w:rsid w:val="007B5E0E"/>
    <w:rsid w:val="007B62FA"/>
    <w:rsid w:val="007C0B75"/>
    <w:rsid w:val="007C0C9A"/>
    <w:rsid w:val="007C3273"/>
    <w:rsid w:val="007C5423"/>
    <w:rsid w:val="007C59BE"/>
    <w:rsid w:val="007C6793"/>
    <w:rsid w:val="007C6CD2"/>
    <w:rsid w:val="007C7746"/>
    <w:rsid w:val="007D001B"/>
    <w:rsid w:val="007D05FC"/>
    <w:rsid w:val="007D1DA1"/>
    <w:rsid w:val="007D56D4"/>
    <w:rsid w:val="007D5D38"/>
    <w:rsid w:val="007D6D7F"/>
    <w:rsid w:val="007D70CE"/>
    <w:rsid w:val="007D727D"/>
    <w:rsid w:val="007D78AF"/>
    <w:rsid w:val="007D792E"/>
    <w:rsid w:val="007E007A"/>
    <w:rsid w:val="007E1EB5"/>
    <w:rsid w:val="007E25BE"/>
    <w:rsid w:val="007E2F6E"/>
    <w:rsid w:val="007E3DE6"/>
    <w:rsid w:val="007E63A6"/>
    <w:rsid w:val="007E68FF"/>
    <w:rsid w:val="007E7862"/>
    <w:rsid w:val="007E79C2"/>
    <w:rsid w:val="007F037D"/>
    <w:rsid w:val="007F1A4F"/>
    <w:rsid w:val="007F232A"/>
    <w:rsid w:val="007F27D0"/>
    <w:rsid w:val="007F2CC3"/>
    <w:rsid w:val="007F4384"/>
    <w:rsid w:val="007F7AB0"/>
    <w:rsid w:val="00802085"/>
    <w:rsid w:val="008030F2"/>
    <w:rsid w:val="00805F3C"/>
    <w:rsid w:val="00806548"/>
    <w:rsid w:val="0080775F"/>
    <w:rsid w:val="00807B7B"/>
    <w:rsid w:val="00807D7D"/>
    <w:rsid w:val="00810556"/>
    <w:rsid w:val="00811314"/>
    <w:rsid w:val="00811A08"/>
    <w:rsid w:val="00812B73"/>
    <w:rsid w:val="0081486B"/>
    <w:rsid w:val="0081513D"/>
    <w:rsid w:val="0081514A"/>
    <w:rsid w:val="00815892"/>
    <w:rsid w:val="00821E53"/>
    <w:rsid w:val="008224ED"/>
    <w:rsid w:val="008232AB"/>
    <w:rsid w:val="00823310"/>
    <w:rsid w:val="0082465C"/>
    <w:rsid w:val="008251B7"/>
    <w:rsid w:val="00826EA0"/>
    <w:rsid w:val="0082707E"/>
    <w:rsid w:val="008320BF"/>
    <w:rsid w:val="0083244A"/>
    <w:rsid w:val="00834334"/>
    <w:rsid w:val="008356A7"/>
    <w:rsid w:val="008374C7"/>
    <w:rsid w:val="00837CE0"/>
    <w:rsid w:val="008424BF"/>
    <w:rsid w:val="00844030"/>
    <w:rsid w:val="008443F5"/>
    <w:rsid w:val="00846274"/>
    <w:rsid w:val="0084663A"/>
    <w:rsid w:val="00847E37"/>
    <w:rsid w:val="00850601"/>
    <w:rsid w:val="00852060"/>
    <w:rsid w:val="0085353A"/>
    <w:rsid w:val="00854288"/>
    <w:rsid w:val="00854289"/>
    <w:rsid w:val="00856A2C"/>
    <w:rsid w:val="008605D1"/>
    <w:rsid w:val="008629AA"/>
    <w:rsid w:val="00863268"/>
    <w:rsid w:val="008632F7"/>
    <w:rsid w:val="0086371F"/>
    <w:rsid w:val="00864E66"/>
    <w:rsid w:val="008662D8"/>
    <w:rsid w:val="00867470"/>
    <w:rsid w:val="008675E1"/>
    <w:rsid w:val="00867E52"/>
    <w:rsid w:val="00870978"/>
    <w:rsid w:val="00870E11"/>
    <w:rsid w:val="0087109E"/>
    <w:rsid w:val="00871117"/>
    <w:rsid w:val="008723CC"/>
    <w:rsid w:val="00872465"/>
    <w:rsid w:val="008740A0"/>
    <w:rsid w:val="00875895"/>
    <w:rsid w:val="008767E4"/>
    <w:rsid w:val="00876EAF"/>
    <w:rsid w:val="0087703C"/>
    <w:rsid w:val="00877B86"/>
    <w:rsid w:val="0088148A"/>
    <w:rsid w:val="00882244"/>
    <w:rsid w:val="00885216"/>
    <w:rsid w:val="00886C14"/>
    <w:rsid w:val="008905F5"/>
    <w:rsid w:val="008909CA"/>
    <w:rsid w:val="008949B6"/>
    <w:rsid w:val="00894D47"/>
    <w:rsid w:val="00895613"/>
    <w:rsid w:val="00896266"/>
    <w:rsid w:val="00896300"/>
    <w:rsid w:val="00896AAF"/>
    <w:rsid w:val="008A19D5"/>
    <w:rsid w:val="008A2015"/>
    <w:rsid w:val="008A5693"/>
    <w:rsid w:val="008A59C5"/>
    <w:rsid w:val="008B0DE6"/>
    <w:rsid w:val="008B100F"/>
    <w:rsid w:val="008B2292"/>
    <w:rsid w:val="008B2E3A"/>
    <w:rsid w:val="008B31B0"/>
    <w:rsid w:val="008B34BF"/>
    <w:rsid w:val="008B5186"/>
    <w:rsid w:val="008B681D"/>
    <w:rsid w:val="008C02D7"/>
    <w:rsid w:val="008C0E2C"/>
    <w:rsid w:val="008C18D4"/>
    <w:rsid w:val="008C2EDC"/>
    <w:rsid w:val="008C56C1"/>
    <w:rsid w:val="008C6272"/>
    <w:rsid w:val="008D0B19"/>
    <w:rsid w:val="008D1171"/>
    <w:rsid w:val="008D1DE5"/>
    <w:rsid w:val="008D348B"/>
    <w:rsid w:val="008D486A"/>
    <w:rsid w:val="008D4CF7"/>
    <w:rsid w:val="008D552A"/>
    <w:rsid w:val="008D61D4"/>
    <w:rsid w:val="008D78A0"/>
    <w:rsid w:val="008E0151"/>
    <w:rsid w:val="008E2627"/>
    <w:rsid w:val="008E37FA"/>
    <w:rsid w:val="008E38A9"/>
    <w:rsid w:val="008E5E03"/>
    <w:rsid w:val="008E627A"/>
    <w:rsid w:val="008E6363"/>
    <w:rsid w:val="008E6A78"/>
    <w:rsid w:val="008E70A1"/>
    <w:rsid w:val="008E7428"/>
    <w:rsid w:val="008F1069"/>
    <w:rsid w:val="008F176C"/>
    <w:rsid w:val="008F2ED5"/>
    <w:rsid w:val="008F3162"/>
    <w:rsid w:val="008F5A05"/>
    <w:rsid w:val="008F6A20"/>
    <w:rsid w:val="008F6B1A"/>
    <w:rsid w:val="008F7576"/>
    <w:rsid w:val="008F7FCB"/>
    <w:rsid w:val="00900031"/>
    <w:rsid w:val="0090036C"/>
    <w:rsid w:val="00900BD0"/>
    <w:rsid w:val="00900EC3"/>
    <w:rsid w:val="00901C7D"/>
    <w:rsid w:val="00902E26"/>
    <w:rsid w:val="00904D59"/>
    <w:rsid w:val="00905928"/>
    <w:rsid w:val="00905FEF"/>
    <w:rsid w:val="00906A06"/>
    <w:rsid w:val="00906FB9"/>
    <w:rsid w:val="00910FF4"/>
    <w:rsid w:val="00911BDE"/>
    <w:rsid w:val="00912009"/>
    <w:rsid w:val="00912142"/>
    <w:rsid w:val="00914264"/>
    <w:rsid w:val="009144FB"/>
    <w:rsid w:val="00914854"/>
    <w:rsid w:val="0091517F"/>
    <w:rsid w:val="00915CD3"/>
    <w:rsid w:val="00917704"/>
    <w:rsid w:val="00926269"/>
    <w:rsid w:val="009277C9"/>
    <w:rsid w:val="00927974"/>
    <w:rsid w:val="00927AEC"/>
    <w:rsid w:val="00930401"/>
    <w:rsid w:val="009326DA"/>
    <w:rsid w:val="00932C4D"/>
    <w:rsid w:val="00932FCB"/>
    <w:rsid w:val="00933742"/>
    <w:rsid w:val="00934D21"/>
    <w:rsid w:val="0094068D"/>
    <w:rsid w:val="009413D8"/>
    <w:rsid w:val="00944EF4"/>
    <w:rsid w:val="00950B90"/>
    <w:rsid w:val="00951A88"/>
    <w:rsid w:val="00953E55"/>
    <w:rsid w:val="00953E9A"/>
    <w:rsid w:val="009551D3"/>
    <w:rsid w:val="00955924"/>
    <w:rsid w:val="00962E7C"/>
    <w:rsid w:val="00962FFA"/>
    <w:rsid w:val="00963812"/>
    <w:rsid w:val="00963BB2"/>
    <w:rsid w:val="00965DDF"/>
    <w:rsid w:val="00966F29"/>
    <w:rsid w:val="0096742D"/>
    <w:rsid w:val="0097069C"/>
    <w:rsid w:val="00971D10"/>
    <w:rsid w:val="00971F05"/>
    <w:rsid w:val="009775E4"/>
    <w:rsid w:val="0098058E"/>
    <w:rsid w:val="009823EA"/>
    <w:rsid w:val="00983566"/>
    <w:rsid w:val="00984739"/>
    <w:rsid w:val="00985B88"/>
    <w:rsid w:val="0098604D"/>
    <w:rsid w:val="00987CF6"/>
    <w:rsid w:val="009900ED"/>
    <w:rsid w:val="00990FEA"/>
    <w:rsid w:val="009914EE"/>
    <w:rsid w:val="00991FF7"/>
    <w:rsid w:val="00992529"/>
    <w:rsid w:val="00993875"/>
    <w:rsid w:val="009941E9"/>
    <w:rsid w:val="0099474D"/>
    <w:rsid w:val="009A07EC"/>
    <w:rsid w:val="009A1B61"/>
    <w:rsid w:val="009A38BA"/>
    <w:rsid w:val="009A39BE"/>
    <w:rsid w:val="009A6019"/>
    <w:rsid w:val="009A6261"/>
    <w:rsid w:val="009A66FA"/>
    <w:rsid w:val="009A6940"/>
    <w:rsid w:val="009B02FC"/>
    <w:rsid w:val="009B3301"/>
    <w:rsid w:val="009B63D7"/>
    <w:rsid w:val="009C12DD"/>
    <w:rsid w:val="009C2CAD"/>
    <w:rsid w:val="009C356D"/>
    <w:rsid w:val="009C438F"/>
    <w:rsid w:val="009C5406"/>
    <w:rsid w:val="009C602F"/>
    <w:rsid w:val="009C640C"/>
    <w:rsid w:val="009C6898"/>
    <w:rsid w:val="009C7A81"/>
    <w:rsid w:val="009D071B"/>
    <w:rsid w:val="009D0B59"/>
    <w:rsid w:val="009D1644"/>
    <w:rsid w:val="009D2663"/>
    <w:rsid w:val="009D39EC"/>
    <w:rsid w:val="009D40D0"/>
    <w:rsid w:val="009D4C0D"/>
    <w:rsid w:val="009D5485"/>
    <w:rsid w:val="009D60E6"/>
    <w:rsid w:val="009D6B25"/>
    <w:rsid w:val="009D7036"/>
    <w:rsid w:val="009D7E17"/>
    <w:rsid w:val="009E2DB9"/>
    <w:rsid w:val="009E4576"/>
    <w:rsid w:val="009E50D8"/>
    <w:rsid w:val="009E62CB"/>
    <w:rsid w:val="009E6E76"/>
    <w:rsid w:val="009F052C"/>
    <w:rsid w:val="009F0556"/>
    <w:rsid w:val="009F056E"/>
    <w:rsid w:val="009F0BA3"/>
    <w:rsid w:val="009F18E1"/>
    <w:rsid w:val="009F3825"/>
    <w:rsid w:val="009F4891"/>
    <w:rsid w:val="009F5081"/>
    <w:rsid w:val="009F549E"/>
    <w:rsid w:val="009F67AC"/>
    <w:rsid w:val="009F6AC1"/>
    <w:rsid w:val="009F719C"/>
    <w:rsid w:val="009F737F"/>
    <w:rsid w:val="009F744F"/>
    <w:rsid w:val="009F7604"/>
    <w:rsid w:val="00A0023D"/>
    <w:rsid w:val="00A02A67"/>
    <w:rsid w:val="00A02DE8"/>
    <w:rsid w:val="00A03492"/>
    <w:rsid w:val="00A045BF"/>
    <w:rsid w:val="00A04EB0"/>
    <w:rsid w:val="00A05485"/>
    <w:rsid w:val="00A075E2"/>
    <w:rsid w:val="00A10827"/>
    <w:rsid w:val="00A11CFC"/>
    <w:rsid w:val="00A12DD4"/>
    <w:rsid w:val="00A13CBA"/>
    <w:rsid w:val="00A16708"/>
    <w:rsid w:val="00A20930"/>
    <w:rsid w:val="00A224CB"/>
    <w:rsid w:val="00A22CE5"/>
    <w:rsid w:val="00A23B5D"/>
    <w:rsid w:val="00A242DE"/>
    <w:rsid w:val="00A25651"/>
    <w:rsid w:val="00A25EFF"/>
    <w:rsid w:val="00A274E5"/>
    <w:rsid w:val="00A3070D"/>
    <w:rsid w:val="00A3213F"/>
    <w:rsid w:val="00A32295"/>
    <w:rsid w:val="00A33171"/>
    <w:rsid w:val="00A349F2"/>
    <w:rsid w:val="00A35CB7"/>
    <w:rsid w:val="00A36071"/>
    <w:rsid w:val="00A378C4"/>
    <w:rsid w:val="00A37A79"/>
    <w:rsid w:val="00A40070"/>
    <w:rsid w:val="00A40935"/>
    <w:rsid w:val="00A40DE0"/>
    <w:rsid w:val="00A41AE1"/>
    <w:rsid w:val="00A41F5A"/>
    <w:rsid w:val="00A42184"/>
    <w:rsid w:val="00A433F8"/>
    <w:rsid w:val="00A43A9B"/>
    <w:rsid w:val="00A445EA"/>
    <w:rsid w:val="00A44EC7"/>
    <w:rsid w:val="00A45B78"/>
    <w:rsid w:val="00A45CEA"/>
    <w:rsid w:val="00A50AC9"/>
    <w:rsid w:val="00A52146"/>
    <w:rsid w:val="00A52437"/>
    <w:rsid w:val="00A54034"/>
    <w:rsid w:val="00A540CA"/>
    <w:rsid w:val="00A54FB3"/>
    <w:rsid w:val="00A551B7"/>
    <w:rsid w:val="00A55787"/>
    <w:rsid w:val="00A56DAE"/>
    <w:rsid w:val="00A60028"/>
    <w:rsid w:val="00A61DC1"/>
    <w:rsid w:val="00A6266E"/>
    <w:rsid w:val="00A649FD"/>
    <w:rsid w:val="00A64F0F"/>
    <w:rsid w:val="00A65407"/>
    <w:rsid w:val="00A664EA"/>
    <w:rsid w:val="00A6671C"/>
    <w:rsid w:val="00A67AA8"/>
    <w:rsid w:val="00A67E7A"/>
    <w:rsid w:val="00A73D56"/>
    <w:rsid w:val="00A7443B"/>
    <w:rsid w:val="00A76B39"/>
    <w:rsid w:val="00A80048"/>
    <w:rsid w:val="00A8094F"/>
    <w:rsid w:val="00A80D08"/>
    <w:rsid w:val="00A82C84"/>
    <w:rsid w:val="00A83A5B"/>
    <w:rsid w:val="00A84123"/>
    <w:rsid w:val="00A84DCD"/>
    <w:rsid w:val="00A853D6"/>
    <w:rsid w:val="00A85CFA"/>
    <w:rsid w:val="00A867D5"/>
    <w:rsid w:val="00A86DF5"/>
    <w:rsid w:val="00A8769D"/>
    <w:rsid w:val="00A90FC8"/>
    <w:rsid w:val="00A9182A"/>
    <w:rsid w:val="00A92CA3"/>
    <w:rsid w:val="00A959F7"/>
    <w:rsid w:val="00A9788A"/>
    <w:rsid w:val="00A97AD7"/>
    <w:rsid w:val="00AA02A1"/>
    <w:rsid w:val="00AA0710"/>
    <w:rsid w:val="00AA1163"/>
    <w:rsid w:val="00AA11DE"/>
    <w:rsid w:val="00AA219E"/>
    <w:rsid w:val="00AA290F"/>
    <w:rsid w:val="00AA2919"/>
    <w:rsid w:val="00AA2BCA"/>
    <w:rsid w:val="00AA2C25"/>
    <w:rsid w:val="00AA2D50"/>
    <w:rsid w:val="00AA3276"/>
    <w:rsid w:val="00AA3E27"/>
    <w:rsid w:val="00AA5363"/>
    <w:rsid w:val="00AA5742"/>
    <w:rsid w:val="00AA7BAE"/>
    <w:rsid w:val="00AB03A1"/>
    <w:rsid w:val="00AB19AC"/>
    <w:rsid w:val="00AB1F94"/>
    <w:rsid w:val="00AB3277"/>
    <w:rsid w:val="00AB35A6"/>
    <w:rsid w:val="00AB5BEA"/>
    <w:rsid w:val="00AB67DC"/>
    <w:rsid w:val="00AB6BBD"/>
    <w:rsid w:val="00AB7513"/>
    <w:rsid w:val="00AB7E42"/>
    <w:rsid w:val="00AC43E9"/>
    <w:rsid w:val="00AC5549"/>
    <w:rsid w:val="00AD0242"/>
    <w:rsid w:val="00AD17EF"/>
    <w:rsid w:val="00AD18BC"/>
    <w:rsid w:val="00AD4BAB"/>
    <w:rsid w:val="00AD58F8"/>
    <w:rsid w:val="00AD658B"/>
    <w:rsid w:val="00AD6966"/>
    <w:rsid w:val="00AD7530"/>
    <w:rsid w:val="00AD754F"/>
    <w:rsid w:val="00AD78F2"/>
    <w:rsid w:val="00AE15DB"/>
    <w:rsid w:val="00AE1661"/>
    <w:rsid w:val="00AE1859"/>
    <w:rsid w:val="00AE18C5"/>
    <w:rsid w:val="00AE2052"/>
    <w:rsid w:val="00AE24D7"/>
    <w:rsid w:val="00AE3A7E"/>
    <w:rsid w:val="00AE3E9A"/>
    <w:rsid w:val="00AE4CA7"/>
    <w:rsid w:val="00AE4DEA"/>
    <w:rsid w:val="00AE5A78"/>
    <w:rsid w:val="00AE6F0F"/>
    <w:rsid w:val="00AF1856"/>
    <w:rsid w:val="00AF281E"/>
    <w:rsid w:val="00AF2CB8"/>
    <w:rsid w:val="00AF4FB3"/>
    <w:rsid w:val="00AF5B68"/>
    <w:rsid w:val="00AF6D5D"/>
    <w:rsid w:val="00AF6E8B"/>
    <w:rsid w:val="00B00697"/>
    <w:rsid w:val="00B00E79"/>
    <w:rsid w:val="00B02388"/>
    <w:rsid w:val="00B02C3C"/>
    <w:rsid w:val="00B040BF"/>
    <w:rsid w:val="00B04FE3"/>
    <w:rsid w:val="00B07D0C"/>
    <w:rsid w:val="00B13319"/>
    <w:rsid w:val="00B14CB8"/>
    <w:rsid w:val="00B160FE"/>
    <w:rsid w:val="00B165E7"/>
    <w:rsid w:val="00B16668"/>
    <w:rsid w:val="00B1755C"/>
    <w:rsid w:val="00B175A4"/>
    <w:rsid w:val="00B22273"/>
    <w:rsid w:val="00B23D45"/>
    <w:rsid w:val="00B24857"/>
    <w:rsid w:val="00B24F82"/>
    <w:rsid w:val="00B252D6"/>
    <w:rsid w:val="00B258EA"/>
    <w:rsid w:val="00B2608F"/>
    <w:rsid w:val="00B26168"/>
    <w:rsid w:val="00B26ECA"/>
    <w:rsid w:val="00B30178"/>
    <w:rsid w:val="00B32CD7"/>
    <w:rsid w:val="00B32D29"/>
    <w:rsid w:val="00B350E1"/>
    <w:rsid w:val="00B3530F"/>
    <w:rsid w:val="00B355E2"/>
    <w:rsid w:val="00B3728F"/>
    <w:rsid w:val="00B40F98"/>
    <w:rsid w:val="00B413B8"/>
    <w:rsid w:val="00B41600"/>
    <w:rsid w:val="00B42D00"/>
    <w:rsid w:val="00B435B8"/>
    <w:rsid w:val="00B441E2"/>
    <w:rsid w:val="00B45654"/>
    <w:rsid w:val="00B53014"/>
    <w:rsid w:val="00B531B2"/>
    <w:rsid w:val="00B53DA1"/>
    <w:rsid w:val="00B53E30"/>
    <w:rsid w:val="00B54FB5"/>
    <w:rsid w:val="00B57196"/>
    <w:rsid w:val="00B60424"/>
    <w:rsid w:val="00B622F3"/>
    <w:rsid w:val="00B6250C"/>
    <w:rsid w:val="00B64BA4"/>
    <w:rsid w:val="00B65F09"/>
    <w:rsid w:val="00B70090"/>
    <w:rsid w:val="00B718A2"/>
    <w:rsid w:val="00B76602"/>
    <w:rsid w:val="00B76765"/>
    <w:rsid w:val="00B76F0E"/>
    <w:rsid w:val="00B76F31"/>
    <w:rsid w:val="00B82A06"/>
    <w:rsid w:val="00B82D5A"/>
    <w:rsid w:val="00B82E30"/>
    <w:rsid w:val="00B8497D"/>
    <w:rsid w:val="00B8531E"/>
    <w:rsid w:val="00B85423"/>
    <w:rsid w:val="00B90F29"/>
    <w:rsid w:val="00B93420"/>
    <w:rsid w:val="00B947F4"/>
    <w:rsid w:val="00B965CF"/>
    <w:rsid w:val="00B97CAE"/>
    <w:rsid w:val="00BA0616"/>
    <w:rsid w:val="00BA13EA"/>
    <w:rsid w:val="00BA18B5"/>
    <w:rsid w:val="00BA5415"/>
    <w:rsid w:val="00BA54AD"/>
    <w:rsid w:val="00BA5B69"/>
    <w:rsid w:val="00BA6484"/>
    <w:rsid w:val="00BA7CDA"/>
    <w:rsid w:val="00BB174B"/>
    <w:rsid w:val="00BB1A44"/>
    <w:rsid w:val="00BB2051"/>
    <w:rsid w:val="00BB2235"/>
    <w:rsid w:val="00BB3960"/>
    <w:rsid w:val="00BB4C36"/>
    <w:rsid w:val="00BB4D26"/>
    <w:rsid w:val="00BB519C"/>
    <w:rsid w:val="00BB5675"/>
    <w:rsid w:val="00BB5775"/>
    <w:rsid w:val="00BB5F0F"/>
    <w:rsid w:val="00BB609C"/>
    <w:rsid w:val="00BC0AB9"/>
    <w:rsid w:val="00BC0F88"/>
    <w:rsid w:val="00BC2BD1"/>
    <w:rsid w:val="00BC3596"/>
    <w:rsid w:val="00BC3768"/>
    <w:rsid w:val="00BC46EE"/>
    <w:rsid w:val="00BC7D7F"/>
    <w:rsid w:val="00BD24EA"/>
    <w:rsid w:val="00BD557E"/>
    <w:rsid w:val="00BD6BA6"/>
    <w:rsid w:val="00BD7C58"/>
    <w:rsid w:val="00BE000F"/>
    <w:rsid w:val="00BE0204"/>
    <w:rsid w:val="00BE1C28"/>
    <w:rsid w:val="00BE1C68"/>
    <w:rsid w:val="00BE2FB4"/>
    <w:rsid w:val="00BE36BD"/>
    <w:rsid w:val="00BE3E21"/>
    <w:rsid w:val="00BE7899"/>
    <w:rsid w:val="00BF312C"/>
    <w:rsid w:val="00BF3383"/>
    <w:rsid w:val="00BF44CC"/>
    <w:rsid w:val="00BF50E7"/>
    <w:rsid w:val="00BF5B0F"/>
    <w:rsid w:val="00BF706B"/>
    <w:rsid w:val="00C02D88"/>
    <w:rsid w:val="00C03DB5"/>
    <w:rsid w:val="00C04A23"/>
    <w:rsid w:val="00C063A2"/>
    <w:rsid w:val="00C06479"/>
    <w:rsid w:val="00C06C96"/>
    <w:rsid w:val="00C0739D"/>
    <w:rsid w:val="00C07555"/>
    <w:rsid w:val="00C10602"/>
    <w:rsid w:val="00C11777"/>
    <w:rsid w:val="00C11E53"/>
    <w:rsid w:val="00C12048"/>
    <w:rsid w:val="00C13BF4"/>
    <w:rsid w:val="00C15062"/>
    <w:rsid w:val="00C1589B"/>
    <w:rsid w:val="00C15A2D"/>
    <w:rsid w:val="00C1672F"/>
    <w:rsid w:val="00C16B43"/>
    <w:rsid w:val="00C201E9"/>
    <w:rsid w:val="00C2279E"/>
    <w:rsid w:val="00C23B6B"/>
    <w:rsid w:val="00C271EF"/>
    <w:rsid w:val="00C275A4"/>
    <w:rsid w:val="00C27B6F"/>
    <w:rsid w:val="00C301BF"/>
    <w:rsid w:val="00C303A3"/>
    <w:rsid w:val="00C3114E"/>
    <w:rsid w:val="00C318A5"/>
    <w:rsid w:val="00C31FD2"/>
    <w:rsid w:val="00C326EC"/>
    <w:rsid w:val="00C328A6"/>
    <w:rsid w:val="00C33825"/>
    <w:rsid w:val="00C3689D"/>
    <w:rsid w:val="00C36E2F"/>
    <w:rsid w:val="00C37970"/>
    <w:rsid w:val="00C4122F"/>
    <w:rsid w:val="00C41CF2"/>
    <w:rsid w:val="00C42307"/>
    <w:rsid w:val="00C424BD"/>
    <w:rsid w:val="00C44393"/>
    <w:rsid w:val="00C45487"/>
    <w:rsid w:val="00C46B2E"/>
    <w:rsid w:val="00C47161"/>
    <w:rsid w:val="00C50B11"/>
    <w:rsid w:val="00C512CA"/>
    <w:rsid w:val="00C51404"/>
    <w:rsid w:val="00C5370C"/>
    <w:rsid w:val="00C53A4D"/>
    <w:rsid w:val="00C53EFE"/>
    <w:rsid w:val="00C549DF"/>
    <w:rsid w:val="00C54E60"/>
    <w:rsid w:val="00C56E31"/>
    <w:rsid w:val="00C578B5"/>
    <w:rsid w:val="00C57A18"/>
    <w:rsid w:val="00C6100B"/>
    <w:rsid w:val="00C647AE"/>
    <w:rsid w:val="00C64CC0"/>
    <w:rsid w:val="00C673C6"/>
    <w:rsid w:val="00C67610"/>
    <w:rsid w:val="00C70610"/>
    <w:rsid w:val="00C721A1"/>
    <w:rsid w:val="00C72787"/>
    <w:rsid w:val="00C7391B"/>
    <w:rsid w:val="00C73993"/>
    <w:rsid w:val="00C73D2C"/>
    <w:rsid w:val="00C74210"/>
    <w:rsid w:val="00C744DA"/>
    <w:rsid w:val="00C76472"/>
    <w:rsid w:val="00C77560"/>
    <w:rsid w:val="00C808A5"/>
    <w:rsid w:val="00C83593"/>
    <w:rsid w:val="00C848D5"/>
    <w:rsid w:val="00C849A4"/>
    <w:rsid w:val="00C85975"/>
    <w:rsid w:val="00C865E5"/>
    <w:rsid w:val="00C86AE1"/>
    <w:rsid w:val="00C86CBB"/>
    <w:rsid w:val="00C907F0"/>
    <w:rsid w:val="00C92286"/>
    <w:rsid w:val="00C925CF"/>
    <w:rsid w:val="00C92A95"/>
    <w:rsid w:val="00C92C39"/>
    <w:rsid w:val="00C92F74"/>
    <w:rsid w:val="00C9328A"/>
    <w:rsid w:val="00C94183"/>
    <w:rsid w:val="00C942E2"/>
    <w:rsid w:val="00C94A12"/>
    <w:rsid w:val="00C94EFD"/>
    <w:rsid w:val="00C95281"/>
    <w:rsid w:val="00C95596"/>
    <w:rsid w:val="00C95F48"/>
    <w:rsid w:val="00C96997"/>
    <w:rsid w:val="00C96FC4"/>
    <w:rsid w:val="00C97E60"/>
    <w:rsid w:val="00CA13A9"/>
    <w:rsid w:val="00CA233B"/>
    <w:rsid w:val="00CA39BD"/>
    <w:rsid w:val="00CA4634"/>
    <w:rsid w:val="00CA4AEB"/>
    <w:rsid w:val="00CA755D"/>
    <w:rsid w:val="00CB0596"/>
    <w:rsid w:val="00CB4097"/>
    <w:rsid w:val="00CB4BE0"/>
    <w:rsid w:val="00CB4CA9"/>
    <w:rsid w:val="00CB58C0"/>
    <w:rsid w:val="00CB63A1"/>
    <w:rsid w:val="00CB720A"/>
    <w:rsid w:val="00CC165C"/>
    <w:rsid w:val="00CC1BC9"/>
    <w:rsid w:val="00CC382C"/>
    <w:rsid w:val="00CC40F1"/>
    <w:rsid w:val="00CC4810"/>
    <w:rsid w:val="00CC51B6"/>
    <w:rsid w:val="00CC64FB"/>
    <w:rsid w:val="00CD042C"/>
    <w:rsid w:val="00CD102D"/>
    <w:rsid w:val="00CD109C"/>
    <w:rsid w:val="00CD1866"/>
    <w:rsid w:val="00CD2158"/>
    <w:rsid w:val="00CD27D7"/>
    <w:rsid w:val="00CD2C29"/>
    <w:rsid w:val="00CD465E"/>
    <w:rsid w:val="00CD50C8"/>
    <w:rsid w:val="00CD5271"/>
    <w:rsid w:val="00CD685E"/>
    <w:rsid w:val="00CD7FD4"/>
    <w:rsid w:val="00CE2E8D"/>
    <w:rsid w:val="00CE3319"/>
    <w:rsid w:val="00CE68A7"/>
    <w:rsid w:val="00CE6DA7"/>
    <w:rsid w:val="00CE7A19"/>
    <w:rsid w:val="00CF0C43"/>
    <w:rsid w:val="00CF1830"/>
    <w:rsid w:val="00CF1E32"/>
    <w:rsid w:val="00CF1FC5"/>
    <w:rsid w:val="00CF5E19"/>
    <w:rsid w:val="00CF73E4"/>
    <w:rsid w:val="00CF7613"/>
    <w:rsid w:val="00D0125C"/>
    <w:rsid w:val="00D031FE"/>
    <w:rsid w:val="00D03C0C"/>
    <w:rsid w:val="00D03CEA"/>
    <w:rsid w:val="00D113E4"/>
    <w:rsid w:val="00D113FC"/>
    <w:rsid w:val="00D11558"/>
    <w:rsid w:val="00D134AB"/>
    <w:rsid w:val="00D14537"/>
    <w:rsid w:val="00D14770"/>
    <w:rsid w:val="00D15380"/>
    <w:rsid w:val="00D153D3"/>
    <w:rsid w:val="00D15C09"/>
    <w:rsid w:val="00D166DB"/>
    <w:rsid w:val="00D16717"/>
    <w:rsid w:val="00D167A5"/>
    <w:rsid w:val="00D22194"/>
    <w:rsid w:val="00D22CF1"/>
    <w:rsid w:val="00D24247"/>
    <w:rsid w:val="00D25CE0"/>
    <w:rsid w:val="00D2605B"/>
    <w:rsid w:val="00D260B0"/>
    <w:rsid w:val="00D266CF"/>
    <w:rsid w:val="00D30268"/>
    <w:rsid w:val="00D348ED"/>
    <w:rsid w:val="00D35AF5"/>
    <w:rsid w:val="00D37888"/>
    <w:rsid w:val="00D40DD0"/>
    <w:rsid w:val="00D42052"/>
    <w:rsid w:val="00D4282E"/>
    <w:rsid w:val="00D428F9"/>
    <w:rsid w:val="00D45B40"/>
    <w:rsid w:val="00D46000"/>
    <w:rsid w:val="00D47A94"/>
    <w:rsid w:val="00D507F9"/>
    <w:rsid w:val="00D52480"/>
    <w:rsid w:val="00D55326"/>
    <w:rsid w:val="00D5541D"/>
    <w:rsid w:val="00D5551B"/>
    <w:rsid w:val="00D55923"/>
    <w:rsid w:val="00D55D40"/>
    <w:rsid w:val="00D56C63"/>
    <w:rsid w:val="00D600B6"/>
    <w:rsid w:val="00D627FB"/>
    <w:rsid w:val="00D62AE7"/>
    <w:rsid w:val="00D62BF6"/>
    <w:rsid w:val="00D6309B"/>
    <w:rsid w:val="00D63525"/>
    <w:rsid w:val="00D6463E"/>
    <w:rsid w:val="00D70F6B"/>
    <w:rsid w:val="00D72157"/>
    <w:rsid w:val="00D74000"/>
    <w:rsid w:val="00D74D1C"/>
    <w:rsid w:val="00D7640E"/>
    <w:rsid w:val="00D766F3"/>
    <w:rsid w:val="00D81FEB"/>
    <w:rsid w:val="00D83B19"/>
    <w:rsid w:val="00D844FE"/>
    <w:rsid w:val="00D868E9"/>
    <w:rsid w:val="00D86F91"/>
    <w:rsid w:val="00D91305"/>
    <w:rsid w:val="00D91876"/>
    <w:rsid w:val="00D925DD"/>
    <w:rsid w:val="00D937FD"/>
    <w:rsid w:val="00D938C9"/>
    <w:rsid w:val="00D93FEA"/>
    <w:rsid w:val="00D94B33"/>
    <w:rsid w:val="00D977D8"/>
    <w:rsid w:val="00DA16B7"/>
    <w:rsid w:val="00DA19C1"/>
    <w:rsid w:val="00DA206D"/>
    <w:rsid w:val="00DA27DF"/>
    <w:rsid w:val="00DA39D0"/>
    <w:rsid w:val="00DA466B"/>
    <w:rsid w:val="00DA5901"/>
    <w:rsid w:val="00DA5D4E"/>
    <w:rsid w:val="00DA7561"/>
    <w:rsid w:val="00DB024E"/>
    <w:rsid w:val="00DB2D4A"/>
    <w:rsid w:val="00DB2EC8"/>
    <w:rsid w:val="00DB48B4"/>
    <w:rsid w:val="00DB520F"/>
    <w:rsid w:val="00DB5ABB"/>
    <w:rsid w:val="00DB5EE3"/>
    <w:rsid w:val="00DB7749"/>
    <w:rsid w:val="00DB7A4E"/>
    <w:rsid w:val="00DB7F61"/>
    <w:rsid w:val="00DC050C"/>
    <w:rsid w:val="00DC3D64"/>
    <w:rsid w:val="00DC3ED4"/>
    <w:rsid w:val="00DC5223"/>
    <w:rsid w:val="00DC600D"/>
    <w:rsid w:val="00DC605E"/>
    <w:rsid w:val="00DC6091"/>
    <w:rsid w:val="00DD25A4"/>
    <w:rsid w:val="00DD2826"/>
    <w:rsid w:val="00DD49E1"/>
    <w:rsid w:val="00DD5A72"/>
    <w:rsid w:val="00DD664C"/>
    <w:rsid w:val="00DE01C9"/>
    <w:rsid w:val="00DE0875"/>
    <w:rsid w:val="00DE0A18"/>
    <w:rsid w:val="00DE1227"/>
    <w:rsid w:val="00DE3407"/>
    <w:rsid w:val="00DE355F"/>
    <w:rsid w:val="00DE3684"/>
    <w:rsid w:val="00DE399D"/>
    <w:rsid w:val="00DE3C13"/>
    <w:rsid w:val="00DE3DBE"/>
    <w:rsid w:val="00DE412D"/>
    <w:rsid w:val="00DE42DB"/>
    <w:rsid w:val="00DE4B07"/>
    <w:rsid w:val="00DE66BC"/>
    <w:rsid w:val="00DE7893"/>
    <w:rsid w:val="00DF0309"/>
    <w:rsid w:val="00DF092F"/>
    <w:rsid w:val="00DF1E69"/>
    <w:rsid w:val="00DF45F1"/>
    <w:rsid w:val="00DF4616"/>
    <w:rsid w:val="00DF54E8"/>
    <w:rsid w:val="00DF56FB"/>
    <w:rsid w:val="00DF73C5"/>
    <w:rsid w:val="00E006ED"/>
    <w:rsid w:val="00E02BB3"/>
    <w:rsid w:val="00E05992"/>
    <w:rsid w:val="00E0643C"/>
    <w:rsid w:val="00E06AA2"/>
    <w:rsid w:val="00E0749D"/>
    <w:rsid w:val="00E07D69"/>
    <w:rsid w:val="00E07ED4"/>
    <w:rsid w:val="00E102E8"/>
    <w:rsid w:val="00E11E5F"/>
    <w:rsid w:val="00E11FF7"/>
    <w:rsid w:val="00E12C8A"/>
    <w:rsid w:val="00E137D4"/>
    <w:rsid w:val="00E13AA8"/>
    <w:rsid w:val="00E15052"/>
    <w:rsid w:val="00E168B8"/>
    <w:rsid w:val="00E1707D"/>
    <w:rsid w:val="00E17661"/>
    <w:rsid w:val="00E17698"/>
    <w:rsid w:val="00E20A7D"/>
    <w:rsid w:val="00E21222"/>
    <w:rsid w:val="00E22408"/>
    <w:rsid w:val="00E2250A"/>
    <w:rsid w:val="00E22C63"/>
    <w:rsid w:val="00E23D17"/>
    <w:rsid w:val="00E24435"/>
    <w:rsid w:val="00E25065"/>
    <w:rsid w:val="00E26B55"/>
    <w:rsid w:val="00E2707D"/>
    <w:rsid w:val="00E2713A"/>
    <w:rsid w:val="00E27964"/>
    <w:rsid w:val="00E27B84"/>
    <w:rsid w:val="00E30461"/>
    <w:rsid w:val="00E30BA5"/>
    <w:rsid w:val="00E33DCE"/>
    <w:rsid w:val="00E343BC"/>
    <w:rsid w:val="00E34669"/>
    <w:rsid w:val="00E34852"/>
    <w:rsid w:val="00E35527"/>
    <w:rsid w:val="00E36F87"/>
    <w:rsid w:val="00E375A2"/>
    <w:rsid w:val="00E411E5"/>
    <w:rsid w:val="00E47CFF"/>
    <w:rsid w:val="00E47E2C"/>
    <w:rsid w:val="00E50BD8"/>
    <w:rsid w:val="00E51AFA"/>
    <w:rsid w:val="00E5446F"/>
    <w:rsid w:val="00E615C1"/>
    <w:rsid w:val="00E61E30"/>
    <w:rsid w:val="00E632B9"/>
    <w:rsid w:val="00E63523"/>
    <w:rsid w:val="00E651A7"/>
    <w:rsid w:val="00E652DC"/>
    <w:rsid w:val="00E6576A"/>
    <w:rsid w:val="00E65D0D"/>
    <w:rsid w:val="00E65D43"/>
    <w:rsid w:val="00E663CF"/>
    <w:rsid w:val="00E6668D"/>
    <w:rsid w:val="00E66D4D"/>
    <w:rsid w:val="00E67D7C"/>
    <w:rsid w:val="00E704E3"/>
    <w:rsid w:val="00E709CF"/>
    <w:rsid w:val="00E71356"/>
    <w:rsid w:val="00E714F9"/>
    <w:rsid w:val="00E71A02"/>
    <w:rsid w:val="00E71C06"/>
    <w:rsid w:val="00E72B2C"/>
    <w:rsid w:val="00E7332C"/>
    <w:rsid w:val="00E7626A"/>
    <w:rsid w:val="00E771CE"/>
    <w:rsid w:val="00E80B36"/>
    <w:rsid w:val="00E823C2"/>
    <w:rsid w:val="00E82F94"/>
    <w:rsid w:val="00E850D2"/>
    <w:rsid w:val="00E85985"/>
    <w:rsid w:val="00E85E26"/>
    <w:rsid w:val="00E915B0"/>
    <w:rsid w:val="00E92876"/>
    <w:rsid w:val="00E92F3C"/>
    <w:rsid w:val="00E96E7B"/>
    <w:rsid w:val="00E97CB5"/>
    <w:rsid w:val="00EA2746"/>
    <w:rsid w:val="00EA2F1A"/>
    <w:rsid w:val="00EA3D57"/>
    <w:rsid w:val="00EA451B"/>
    <w:rsid w:val="00EA5FB1"/>
    <w:rsid w:val="00EA5FED"/>
    <w:rsid w:val="00EA63AB"/>
    <w:rsid w:val="00EB0F83"/>
    <w:rsid w:val="00EB0F86"/>
    <w:rsid w:val="00EB37A2"/>
    <w:rsid w:val="00EB4A39"/>
    <w:rsid w:val="00EB5C69"/>
    <w:rsid w:val="00EB7298"/>
    <w:rsid w:val="00EC2761"/>
    <w:rsid w:val="00EC3689"/>
    <w:rsid w:val="00EC3C8F"/>
    <w:rsid w:val="00EC4044"/>
    <w:rsid w:val="00EC4613"/>
    <w:rsid w:val="00EC5E20"/>
    <w:rsid w:val="00EC6A00"/>
    <w:rsid w:val="00EC74E3"/>
    <w:rsid w:val="00ED2913"/>
    <w:rsid w:val="00ED36E9"/>
    <w:rsid w:val="00ED3719"/>
    <w:rsid w:val="00ED3DA9"/>
    <w:rsid w:val="00ED481F"/>
    <w:rsid w:val="00ED4A5E"/>
    <w:rsid w:val="00ED57D5"/>
    <w:rsid w:val="00ED7742"/>
    <w:rsid w:val="00ED7D8E"/>
    <w:rsid w:val="00EE2933"/>
    <w:rsid w:val="00EE3FDC"/>
    <w:rsid w:val="00EE46B3"/>
    <w:rsid w:val="00EE498F"/>
    <w:rsid w:val="00EE5CB9"/>
    <w:rsid w:val="00EE7066"/>
    <w:rsid w:val="00EE715F"/>
    <w:rsid w:val="00EF03A4"/>
    <w:rsid w:val="00EF0E68"/>
    <w:rsid w:val="00EF33C2"/>
    <w:rsid w:val="00EF4314"/>
    <w:rsid w:val="00EF4E89"/>
    <w:rsid w:val="00EF5A40"/>
    <w:rsid w:val="00EF6275"/>
    <w:rsid w:val="00EF630B"/>
    <w:rsid w:val="00EF64E9"/>
    <w:rsid w:val="00EF6ADA"/>
    <w:rsid w:val="00EF7AF5"/>
    <w:rsid w:val="00F029F2"/>
    <w:rsid w:val="00F03063"/>
    <w:rsid w:val="00F03E36"/>
    <w:rsid w:val="00F043F2"/>
    <w:rsid w:val="00F06271"/>
    <w:rsid w:val="00F07BA2"/>
    <w:rsid w:val="00F12773"/>
    <w:rsid w:val="00F1337B"/>
    <w:rsid w:val="00F14D21"/>
    <w:rsid w:val="00F15D6A"/>
    <w:rsid w:val="00F200D5"/>
    <w:rsid w:val="00F206C3"/>
    <w:rsid w:val="00F220D8"/>
    <w:rsid w:val="00F231DB"/>
    <w:rsid w:val="00F249E8"/>
    <w:rsid w:val="00F25711"/>
    <w:rsid w:val="00F25ADE"/>
    <w:rsid w:val="00F269E2"/>
    <w:rsid w:val="00F27436"/>
    <w:rsid w:val="00F30150"/>
    <w:rsid w:val="00F33077"/>
    <w:rsid w:val="00F3459C"/>
    <w:rsid w:val="00F347B2"/>
    <w:rsid w:val="00F34DD9"/>
    <w:rsid w:val="00F358EA"/>
    <w:rsid w:val="00F35D83"/>
    <w:rsid w:val="00F365DD"/>
    <w:rsid w:val="00F36A48"/>
    <w:rsid w:val="00F36FAD"/>
    <w:rsid w:val="00F424E8"/>
    <w:rsid w:val="00F4468A"/>
    <w:rsid w:val="00F463BA"/>
    <w:rsid w:val="00F46409"/>
    <w:rsid w:val="00F47D75"/>
    <w:rsid w:val="00F50251"/>
    <w:rsid w:val="00F509FA"/>
    <w:rsid w:val="00F51018"/>
    <w:rsid w:val="00F56D65"/>
    <w:rsid w:val="00F60999"/>
    <w:rsid w:val="00F60E1A"/>
    <w:rsid w:val="00F61B5A"/>
    <w:rsid w:val="00F65FBD"/>
    <w:rsid w:val="00F66B8F"/>
    <w:rsid w:val="00F701F9"/>
    <w:rsid w:val="00F70BBF"/>
    <w:rsid w:val="00F726CB"/>
    <w:rsid w:val="00F7462A"/>
    <w:rsid w:val="00F763DD"/>
    <w:rsid w:val="00F77E8B"/>
    <w:rsid w:val="00F809F6"/>
    <w:rsid w:val="00F818DC"/>
    <w:rsid w:val="00F81D90"/>
    <w:rsid w:val="00F82BB6"/>
    <w:rsid w:val="00F84D2A"/>
    <w:rsid w:val="00F87EAC"/>
    <w:rsid w:val="00F91663"/>
    <w:rsid w:val="00F919D7"/>
    <w:rsid w:val="00F91ADD"/>
    <w:rsid w:val="00F92A0A"/>
    <w:rsid w:val="00F92ECD"/>
    <w:rsid w:val="00F9367B"/>
    <w:rsid w:val="00F93D83"/>
    <w:rsid w:val="00F95C2E"/>
    <w:rsid w:val="00F95F08"/>
    <w:rsid w:val="00F96F8C"/>
    <w:rsid w:val="00F97642"/>
    <w:rsid w:val="00FA2F79"/>
    <w:rsid w:val="00FA46D8"/>
    <w:rsid w:val="00FA47EB"/>
    <w:rsid w:val="00FA4BF8"/>
    <w:rsid w:val="00FA65FC"/>
    <w:rsid w:val="00FA7972"/>
    <w:rsid w:val="00FB0F96"/>
    <w:rsid w:val="00FB1776"/>
    <w:rsid w:val="00FB4A02"/>
    <w:rsid w:val="00FB4EF2"/>
    <w:rsid w:val="00FB5FAA"/>
    <w:rsid w:val="00FB60C9"/>
    <w:rsid w:val="00FC28B8"/>
    <w:rsid w:val="00FC2C90"/>
    <w:rsid w:val="00FC3D6D"/>
    <w:rsid w:val="00FC4299"/>
    <w:rsid w:val="00FC79B1"/>
    <w:rsid w:val="00FD0823"/>
    <w:rsid w:val="00FD0D8A"/>
    <w:rsid w:val="00FD10FA"/>
    <w:rsid w:val="00FD448D"/>
    <w:rsid w:val="00FD5D8A"/>
    <w:rsid w:val="00FD6216"/>
    <w:rsid w:val="00FE030E"/>
    <w:rsid w:val="00FE262D"/>
    <w:rsid w:val="00FE2706"/>
    <w:rsid w:val="00FE3517"/>
    <w:rsid w:val="00FE4394"/>
    <w:rsid w:val="00FE4B1C"/>
    <w:rsid w:val="00FE4D81"/>
    <w:rsid w:val="00FE69D4"/>
    <w:rsid w:val="00FF04A0"/>
    <w:rsid w:val="00FF1A98"/>
    <w:rsid w:val="00FF1C18"/>
    <w:rsid w:val="00FF2093"/>
    <w:rsid w:val="00FF2907"/>
    <w:rsid w:val="00FF2E68"/>
    <w:rsid w:val="00FF34C1"/>
    <w:rsid w:val="00FF36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color="none [2894]">
      <v:fill color="white" on="f"/>
      <v:stroke color="none [2894]"/>
    </o:shapedefaults>
    <o:shapelayout v:ext="edit">
      <o:idmap v:ext="edit" data="1"/>
    </o:shapelayout>
  </w:shapeDefaults>
  <w:decimalSymbol w:val="."/>
  <w:listSeparator w:val=","/>
  <w14:docId w14:val="51BD7049"/>
  <w15:chartTrackingRefBased/>
  <w15:docId w15:val="{DD9A24B2-15FE-0548-AA5B-D1A52364E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Light" w:eastAsia="Times New Roman" w:hAnsi="Calibri Light" w:cs="Times New Roman"/>
        <w:lang w:val="en-AU"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note text" w:uiPriority="99" w:qFormat="1"/>
    <w:lsdException w:name="annotation text" w:uiPriority="99"/>
    <w:lsdException w:name="header" w:uiPriority="99"/>
    <w:lsdException w:name="footer" w:uiPriority="99"/>
    <w:lsdException w:name="caption" w:semiHidden="1" w:uiPriority="35" w:unhideWhenUsed="1" w:qFormat="1"/>
    <w:lsdException w:name="footnote reference" w:uiPriority="99" w:qFormat="1"/>
    <w:lsdException w:name="annotation reference" w:uiPriority="99"/>
    <w:lsdException w:name="endnote reference" w:uiPriority="99"/>
    <w:lsdException w:name="endnote text"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Plain Text" w:uiPriority="99"/>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99"/>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70"/>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7B7B"/>
    <w:pPr>
      <w:spacing w:after="200" w:line="252" w:lineRule="auto"/>
    </w:pPr>
    <w:rPr>
      <w:sz w:val="22"/>
      <w:szCs w:val="22"/>
    </w:rPr>
  </w:style>
  <w:style w:type="paragraph" w:styleId="Heading1">
    <w:name w:val="heading 1"/>
    <w:basedOn w:val="Normal"/>
    <w:next w:val="Normal"/>
    <w:link w:val="Heading1Char"/>
    <w:uiPriority w:val="9"/>
    <w:qFormat/>
    <w:rsid w:val="00807B7B"/>
    <w:pPr>
      <w:pBdr>
        <w:bottom w:val="thinThickSmallGap" w:sz="12" w:space="1" w:color="943634"/>
      </w:pBdr>
      <w:spacing w:before="400"/>
      <w:jc w:val="center"/>
      <w:outlineLvl w:val="0"/>
    </w:pPr>
    <w:rPr>
      <w:caps/>
      <w:color w:val="632423"/>
      <w:spacing w:val="20"/>
      <w:sz w:val="28"/>
      <w:szCs w:val="28"/>
    </w:rPr>
  </w:style>
  <w:style w:type="paragraph" w:styleId="Heading2">
    <w:name w:val="heading 2"/>
    <w:basedOn w:val="Normal"/>
    <w:next w:val="Normal"/>
    <w:link w:val="Heading2Char"/>
    <w:uiPriority w:val="9"/>
    <w:unhideWhenUsed/>
    <w:qFormat/>
    <w:rsid w:val="00807B7B"/>
    <w:pPr>
      <w:pBdr>
        <w:bottom w:val="single" w:sz="4" w:space="1" w:color="622423"/>
      </w:pBdr>
      <w:spacing w:before="400"/>
      <w:jc w:val="center"/>
      <w:outlineLvl w:val="1"/>
    </w:pPr>
    <w:rPr>
      <w:caps/>
      <w:color w:val="632423"/>
      <w:spacing w:val="15"/>
      <w:sz w:val="24"/>
      <w:szCs w:val="24"/>
    </w:rPr>
  </w:style>
  <w:style w:type="paragraph" w:styleId="Heading3">
    <w:name w:val="heading 3"/>
    <w:basedOn w:val="Normal"/>
    <w:next w:val="Normal"/>
    <w:link w:val="Heading3Char"/>
    <w:uiPriority w:val="9"/>
    <w:unhideWhenUsed/>
    <w:qFormat/>
    <w:rsid w:val="00807B7B"/>
    <w:pPr>
      <w:pBdr>
        <w:top w:val="dotted" w:sz="4" w:space="1" w:color="622423"/>
        <w:bottom w:val="dotted" w:sz="4" w:space="1" w:color="622423"/>
      </w:pBdr>
      <w:spacing w:before="300"/>
      <w:jc w:val="center"/>
      <w:outlineLvl w:val="2"/>
    </w:pPr>
    <w:rPr>
      <w:caps/>
      <w:color w:val="622423"/>
      <w:sz w:val="24"/>
      <w:szCs w:val="24"/>
    </w:rPr>
  </w:style>
  <w:style w:type="paragraph" w:styleId="Heading4">
    <w:name w:val="heading 4"/>
    <w:basedOn w:val="Normal"/>
    <w:next w:val="Normal"/>
    <w:link w:val="Heading4Char"/>
    <w:uiPriority w:val="9"/>
    <w:unhideWhenUsed/>
    <w:qFormat/>
    <w:rsid w:val="00807B7B"/>
    <w:pPr>
      <w:pBdr>
        <w:bottom w:val="dotted" w:sz="4" w:space="1" w:color="943634"/>
      </w:pBdr>
      <w:spacing w:after="120"/>
      <w:jc w:val="center"/>
      <w:outlineLvl w:val="3"/>
    </w:pPr>
    <w:rPr>
      <w:caps/>
      <w:color w:val="622423"/>
      <w:spacing w:val="10"/>
    </w:rPr>
  </w:style>
  <w:style w:type="paragraph" w:styleId="Heading5">
    <w:name w:val="heading 5"/>
    <w:basedOn w:val="Normal"/>
    <w:next w:val="Normal"/>
    <w:link w:val="Heading5Char"/>
    <w:uiPriority w:val="9"/>
    <w:unhideWhenUsed/>
    <w:qFormat/>
    <w:rsid w:val="00807B7B"/>
    <w:pPr>
      <w:spacing w:before="320" w:after="120"/>
      <w:jc w:val="center"/>
      <w:outlineLvl w:val="4"/>
    </w:pPr>
    <w:rPr>
      <w:caps/>
      <w:color w:val="622423"/>
      <w:spacing w:val="10"/>
    </w:rPr>
  </w:style>
  <w:style w:type="paragraph" w:styleId="Heading6">
    <w:name w:val="heading 6"/>
    <w:basedOn w:val="Normal"/>
    <w:next w:val="Normal"/>
    <w:link w:val="Heading6Char"/>
    <w:uiPriority w:val="9"/>
    <w:semiHidden/>
    <w:unhideWhenUsed/>
    <w:qFormat/>
    <w:rsid w:val="00807B7B"/>
    <w:pPr>
      <w:spacing w:after="120"/>
      <w:jc w:val="center"/>
      <w:outlineLvl w:val="5"/>
    </w:pPr>
    <w:rPr>
      <w:caps/>
      <w:color w:val="943634"/>
      <w:spacing w:val="10"/>
    </w:rPr>
  </w:style>
  <w:style w:type="paragraph" w:styleId="Heading7">
    <w:name w:val="heading 7"/>
    <w:basedOn w:val="Normal"/>
    <w:next w:val="Normal"/>
    <w:link w:val="Heading7Char"/>
    <w:uiPriority w:val="9"/>
    <w:semiHidden/>
    <w:unhideWhenUsed/>
    <w:qFormat/>
    <w:rsid w:val="00807B7B"/>
    <w:pPr>
      <w:spacing w:after="120"/>
      <w:jc w:val="center"/>
      <w:outlineLvl w:val="6"/>
    </w:pPr>
    <w:rPr>
      <w:i/>
      <w:iCs/>
      <w:caps/>
      <w:color w:val="943634"/>
      <w:spacing w:val="10"/>
    </w:rPr>
  </w:style>
  <w:style w:type="paragraph" w:styleId="Heading8">
    <w:name w:val="heading 8"/>
    <w:basedOn w:val="Normal"/>
    <w:next w:val="Normal"/>
    <w:link w:val="Heading8Char"/>
    <w:uiPriority w:val="9"/>
    <w:semiHidden/>
    <w:unhideWhenUsed/>
    <w:qFormat/>
    <w:rsid w:val="00807B7B"/>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807B7B"/>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FootnoteText">
    <w:name w:val="footnote text"/>
    <w:aliases w:val="FOOTNOTES,fn,single space,Footnote Text1,Fodnotetekst Tegn,footnote text Char,Fodnotetekst Tegn Char,single space Char,footnote text Char Char Char,Fodnotetekst Tegn Char1,single space Char1,footnote text Char Char1,f,Geneva 9,Font: Geneva"/>
    <w:basedOn w:val="Normal"/>
    <w:link w:val="FootnoteTextChar"/>
    <w:uiPriority w:val="99"/>
    <w:qFormat/>
    <w:pPr>
      <w:widowControl w:val="0"/>
    </w:pPr>
    <w:rPr>
      <w:rFonts w:ascii="Courier" w:hAnsi="Courier"/>
      <w:szCs w:val="20"/>
      <w:lang w:val="en-US"/>
    </w:rPr>
  </w:style>
  <w:style w:type="paragraph" w:styleId="BodyText3">
    <w:name w:val="Body Text 3"/>
    <w:basedOn w:val="Normal"/>
    <w:rPr>
      <w:rFonts w:ascii="Arial" w:hAnsi="Arial"/>
      <w:szCs w:val="20"/>
      <w:lang w:val="en-US"/>
    </w:rPr>
  </w:style>
  <w:style w:type="paragraph" w:styleId="BodyTextIndent">
    <w:name w:val="Body Text Indent"/>
    <w:basedOn w:val="Normal"/>
    <w:link w:val="BodyTextIndentChar"/>
    <w:pPr>
      <w:tabs>
        <w:tab w:val="left" w:pos="360"/>
      </w:tabs>
    </w:pPr>
    <w:rPr>
      <w:rFonts w:ascii="Arial" w:hAnsi="Arial"/>
      <w:b/>
      <w:i/>
      <w:sz w:val="28"/>
      <w:szCs w:val="20"/>
      <w:lang w:val="en-US"/>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odyText">
    <w:name w:val="Body Text"/>
    <w:basedOn w:val="Normal"/>
    <w:link w:val="BodyTextChar"/>
    <w:pPr>
      <w:pBdr>
        <w:bottom w:val="single" w:sz="4" w:space="1" w:color="auto"/>
      </w:pBdr>
    </w:pPr>
    <w:rPr>
      <w:rFonts w:ascii="Arial Narrow" w:hAnsi="Arial Narrow"/>
      <w:i/>
      <w:iCs/>
    </w:rPr>
  </w:style>
  <w:style w:type="paragraph" w:styleId="BodyText2">
    <w:name w:val="Body Text 2"/>
    <w:basedOn w:val="Normal"/>
    <w:pPr>
      <w:spacing w:before="120" w:after="120"/>
      <w:jc w:val="both"/>
    </w:pPr>
    <w:rPr>
      <w:rFonts w:ascii="Arial Narrow" w:hAnsi="Arial Narrow"/>
    </w:rPr>
  </w:style>
  <w:style w:type="paragraph" w:styleId="BalloonText">
    <w:name w:val="Balloon Text"/>
    <w:basedOn w:val="Normal"/>
    <w:semiHidden/>
    <w:rsid w:val="00D260B0"/>
    <w:rPr>
      <w:rFonts w:ascii="Tahoma" w:hAnsi="Tahoma" w:cs="Tahoma"/>
      <w:sz w:val="16"/>
      <w:szCs w:val="16"/>
    </w:rPr>
  </w:style>
  <w:style w:type="character" w:styleId="CommentReference">
    <w:name w:val="annotation reference"/>
    <w:uiPriority w:val="99"/>
    <w:semiHidden/>
    <w:rsid w:val="00EF6275"/>
    <w:rPr>
      <w:sz w:val="16"/>
      <w:szCs w:val="16"/>
    </w:rPr>
  </w:style>
  <w:style w:type="paragraph" w:styleId="CommentText">
    <w:name w:val="annotation text"/>
    <w:basedOn w:val="Normal"/>
    <w:link w:val="CommentTextChar"/>
    <w:uiPriority w:val="99"/>
    <w:semiHidden/>
    <w:rsid w:val="00EF6275"/>
    <w:rPr>
      <w:szCs w:val="20"/>
    </w:rPr>
  </w:style>
  <w:style w:type="paragraph" w:styleId="CommentSubject">
    <w:name w:val="annotation subject"/>
    <w:basedOn w:val="CommentText"/>
    <w:next w:val="CommentText"/>
    <w:semiHidden/>
    <w:rsid w:val="00EF6275"/>
    <w:rPr>
      <w:b/>
      <w:bCs/>
    </w:rPr>
  </w:style>
  <w:style w:type="table" w:styleId="TableGrid">
    <w:name w:val="Table Grid"/>
    <w:basedOn w:val="TableNormal"/>
    <w:uiPriority w:val="3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663CF"/>
    <w:pPr>
      <w:spacing w:before="100" w:beforeAutospacing="1" w:after="100" w:afterAutospacing="1"/>
    </w:pPr>
    <w:rPr>
      <w:rFonts w:ascii="Times New Roman" w:hAnsi="Times New Roman"/>
      <w:sz w:val="24"/>
      <w:lang w:val="en-US"/>
    </w:rPr>
  </w:style>
  <w:style w:type="character" w:styleId="Emphasis">
    <w:name w:val="Emphasis"/>
    <w:uiPriority w:val="20"/>
    <w:qFormat/>
    <w:rsid w:val="00807B7B"/>
    <w:rPr>
      <w:caps/>
      <w:spacing w:val="5"/>
      <w:sz w:val="20"/>
      <w:szCs w:val="20"/>
    </w:rPr>
  </w:style>
  <w:style w:type="character" w:styleId="FootnoteReference">
    <w:name w:val="footnote reference"/>
    <w:aliases w:val="16 Point,Superscript 6 Point,ftref,fr,Superscript 6 Point + 11 pt,-E Fußnotenzeichen,EN Footnote Reference,number,SUPERS,ftref Char,BVI fnr Char,BVI fnr Car Char,Char Char Car Char,16 Point Char,BVI fnr Car Car Char, BVI fnr Char,Ref"/>
    <w:link w:val="BVIfnr"/>
    <w:uiPriority w:val="99"/>
    <w:qFormat/>
    <w:rsid w:val="00BF50E7"/>
    <w:rPr>
      <w:rFonts w:ascii="Arial" w:hAnsi="Arial"/>
      <w:sz w:val="18"/>
      <w:vertAlign w:val="superscript"/>
    </w:rPr>
  </w:style>
  <w:style w:type="paragraph" w:customStyle="1" w:styleId="Char">
    <w:name w:val="Char"/>
    <w:basedOn w:val="Heading2"/>
    <w:rsid w:val="00912142"/>
    <w:pPr>
      <w:pageBreakBefore/>
      <w:tabs>
        <w:tab w:val="left" w:pos="850"/>
        <w:tab w:val="left" w:pos="1191"/>
        <w:tab w:val="left" w:pos="1531"/>
      </w:tabs>
    </w:pPr>
    <w:rPr>
      <w:rFonts w:ascii="Tahoma" w:hAnsi="Tahoma" w:cs="Tahoma"/>
      <w:bCs/>
      <w:color w:val="FFFFFF"/>
      <w:spacing w:val="20"/>
      <w:szCs w:val="22"/>
      <w:lang w:eastAsia="zh-CN"/>
    </w:rPr>
  </w:style>
  <w:style w:type="paragraph" w:customStyle="1" w:styleId="ColorfulList-Accent11">
    <w:name w:val="Colorful List - Accent 11"/>
    <w:basedOn w:val="Normal"/>
    <w:uiPriority w:val="34"/>
    <w:rsid w:val="00DB520F"/>
    <w:pPr>
      <w:spacing w:after="0"/>
      <w:ind w:left="720"/>
    </w:pPr>
    <w:rPr>
      <w:rFonts w:ascii="Times New Roman" w:hAnsi="Times New Roman"/>
      <w:sz w:val="24"/>
      <w:lang w:val="en-US"/>
    </w:rPr>
  </w:style>
  <w:style w:type="paragraph" w:styleId="Title">
    <w:name w:val="Title"/>
    <w:basedOn w:val="Normal"/>
    <w:next w:val="Normal"/>
    <w:link w:val="TitleChar"/>
    <w:uiPriority w:val="10"/>
    <w:qFormat/>
    <w:rsid w:val="00807B7B"/>
    <w:pPr>
      <w:pBdr>
        <w:top w:val="dotted" w:sz="2" w:space="1" w:color="632423"/>
        <w:bottom w:val="dotted" w:sz="2" w:space="6" w:color="632423"/>
      </w:pBdr>
      <w:spacing w:before="500" w:after="300" w:line="240" w:lineRule="auto"/>
      <w:jc w:val="center"/>
    </w:pPr>
    <w:rPr>
      <w:caps/>
      <w:color w:val="632423"/>
      <w:spacing w:val="50"/>
      <w:sz w:val="44"/>
      <w:szCs w:val="44"/>
    </w:rPr>
  </w:style>
  <w:style w:type="paragraph" w:customStyle="1" w:styleId="CharCharChar1">
    <w:name w:val="Char Char Char1"/>
    <w:basedOn w:val="Normal"/>
    <w:rsid w:val="00340E23"/>
    <w:pPr>
      <w:spacing w:after="160" w:line="240" w:lineRule="exact"/>
    </w:pPr>
    <w:rPr>
      <w:rFonts w:cs="Arial"/>
      <w:sz w:val="20"/>
      <w:szCs w:val="20"/>
      <w:lang w:val="en-US"/>
    </w:rPr>
  </w:style>
  <w:style w:type="paragraph" w:customStyle="1" w:styleId="ColorfulShading-Accent11">
    <w:name w:val="Colorful Shading - Accent 11"/>
    <w:hidden/>
    <w:uiPriority w:val="99"/>
    <w:semiHidden/>
    <w:rsid w:val="00051C87"/>
    <w:pPr>
      <w:spacing w:after="200" w:line="252" w:lineRule="auto"/>
    </w:pPr>
    <w:rPr>
      <w:rFonts w:ascii="Arial" w:hAnsi="Arial"/>
      <w:sz w:val="22"/>
      <w:szCs w:val="24"/>
      <w:lang w:val="en-GB" w:eastAsia="en-US"/>
    </w:rPr>
  </w:style>
  <w:style w:type="character" w:customStyle="1" w:styleId="CommentTextChar">
    <w:name w:val="Comment Text Char"/>
    <w:link w:val="CommentText"/>
    <w:uiPriority w:val="99"/>
    <w:semiHidden/>
    <w:rsid w:val="00104FDC"/>
    <w:rPr>
      <w:rFonts w:ascii="Arial" w:hAnsi="Arial"/>
      <w:sz w:val="22"/>
      <w:lang w:val="en-GB"/>
    </w:rPr>
  </w:style>
  <w:style w:type="character" w:customStyle="1" w:styleId="HeaderChar">
    <w:name w:val="Header Char"/>
    <w:link w:val="Header"/>
    <w:uiPriority w:val="99"/>
    <w:rsid w:val="000776E9"/>
    <w:rPr>
      <w:rFonts w:ascii="Arial" w:hAnsi="Arial"/>
      <w:sz w:val="22"/>
      <w:szCs w:val="24"/>
      <w:lang w:val="en-GB"/>
    </w:rPr>
  </w:style>
  <w:style w:type="character" w:customStyle="1" w:styleId="MediumGrid11">
    <w:name w:val="Medium Grid 11"/>
    <w:uiPriority w:val="99"/>
    <w:semiHidden/>
    <w:rsid w:val="000776E9"/>
    <w:rPr>
      <w:color w:val="808080"/>
    </w:rPr>
  </w:style>
  <w:style w:type="character" w:customStyle="1" w:styleId="FooterChar">
    <w:name w:val="Footer Char"/>
    <w:link w:val="Footer"/>
    <w:uiPriority w:val="99"/>
    <w:rsid w:val="008D1171"/>
    <w:rPr>
      <w:rFonts w:ascii="Arial" w:hAnsi="Arial"/>
      <w:sz w:val="22"/>
      <w:szCs w:val="24"/>
      <w:lang w:val="en-GB"/>
    </w:rPr>
  </w:style>
  <w:style w:type="paragraph" w:customStyle="1" w:styleId="ColourfulListAccent11">
    <w:name w:val="Colourful List – Accent 11"/>
    <w:basedOn w:val="Normal"/>
    <w:uiPriority w:val="99"/>
    <w:rsid w:val="00C9328A"/>
    <w:pPr>
      <w:ind w:left="720"/>
    </w:pPr>
  </w:style>
  <w:style w:type="character" w:customStyle="1" w:styleId="FootnoteTextChar">
    <w:name w:val="Footnote Text Char"/>
    <w:aliases w:val="FOOTNOTES Char,fn Char,single space Char2,Footnote Text1 Char,Fodnotetekst Tegn Char2,footnote text Char Char,Fodnotetekst Tegn Char Char,single space Char Char,footnote text Char Char Char Char,Fodnotetekst Tegn Char1 Char,f Char"/>
    <w:link w:val="FootnoteText"/>
    <w:uiPriority w:val="99"/>
    <w:rsid w:val="005E763F"/>
    <w:rPr>
      <w:rFonts w:ascii="Courier" w:hAnsi="Courier"/>
      <w:sz w:val="22"/>
    </w:rPr>
  </w:style>
  <w:style w:type="paragraph" w:styleId="PlainText">
    <w:name w:val="Plain Text"/>
    <w:basedOn w:val="Normal"/>
    <w:link w:val="PlainTextChar1"/>
    <w:uiPriority w:val="99"/>
    <w:rsid w:val="005E763F"/>
    <w:pPr>
      <w:spacing w:after="0"/>
    </w:pPr>
    <w:rPr>
      <w:rFonts w:ascii="Consolas" w:hAnsi="Consolas"/>
      <w:sz w:val="20"/>
      <w:szCs w:val="20"/>
      <w:lang w:val="en-US"/>
    </w:rPr>
  </w:style>
  <w:style w:type="character" w:customStyle="1" w:styleId="PlainTextChar">
    <w:name w:val="Plain Text Char"/>
    <w:rsid w:val="005E763F"/>
    <w:rPr>
      <w:rFonts w:ascii="Courier New" w:hAnsi="Courier New" w:cs="Courier New"/>
      <w:lang w:val="en-GB"/>
    </w:rPr>
  </w:style>
  <w:style w:type="character" w:customStyle="1" w:styleId="PlainTextChar1">
    <w:name w:val="Plain Text Char1"/>
    <w:link w:val="PlainText"/>
    <w:uiPriority w:val="99"/>
    <w:locked/>
    <w:rsid w:val="005E763F"/>
    <w:rPr>
      <w:rFonts w:ascii="Consolas" w:hAnsi="Consolas"/>
    </w:rPr>
  </w:style>
  <w:style w:type="paragraph" w:customStyle="1" w:styleId="Default">
    <w:name w:val="Default"/>
    <w:rsid w:val="005E763F"/>
    <w:pPr>
      <w:autoSpaceDE w:val="0"/>
      <w:autoSpaceDN w:val="0"/>
      <w:adjustRightInd w:val="0"/>
      <w:spacing w:after="200" w:line="252" w:lineRule="auto"/>
    </w:pPr>
    <w:rPr>
      <w:rFonts w:eastAsia="Calibri"/>
      <w:color w:val="000000"/>
      <w:sz w:val="24"/>
      <w:szCs w:val="24"/>
      <w:lang w:val="en-US" w:eastAsia="en-US"/>
    </w:rPr>
  </w:style>
  <w:style w:type="paragraph" w:styleId="ListParagraph">
    <w:name w:val="List Paragraph"/>
    <w:aliases w:val="ADB paragraph numbering,Liste 1,ANNEX,IBL List Paragraph,List Paragraph nowy,Numbered List Paragraph,List Paragraph11,Colorful List - Accent 12,Bullet 1,List Paragraph12,MAIN CONTENT,Numbered Para 1,Rec para"/>
    <w:basedOn w:val="Normal"/>
    <w:uiPriority w:val="34"/>
    <w:qFormat/>
    <w:rsid w:val="00807B7B"/>
    <w:pPr>
      <w:ind w:left="720"/>
      <w:contextualSpacing/>
    </w:pPr>
  </w:style>
  <w:style w:type="paragraph" w:customStyle="1" w:styleId="Char0">
    <w:name w:val="Char"/>
    <w:basedOn w:val="Heading2"/>
    <w:rsid w:val="002F14AB"/>
    <w:pPr>
      <w:pageBreakBefore/>
      <w:tabs>
        <w:tab w:val="left" w:pos="850"/>
        <w:tab w:val="left" w:pos="1191"/>
        <w:tab w:val="left" w:pos="1531"/>
      </w:tabs>
    </w:pPr>
    <w:rPr>
      <w:rFonts w:ascii="Tahoma" w:hAnsi="Tahoma" w:cs="Tahoma"/>
      <w:bCs/>
      <w:color w:val="FFFFFF"/>
      <w:spacing w:val="20"/>
      <w:szCs w:val="22"/>
      <w:lang w:eastAsia="zh-CN"/>
    </w:rPr>
  </w:style>
  <w:style w:type="paragraph" w:customStyle="1" w:styleId="CharCharChar10">
    <w:name w:val="Char Char Char1"/>
    <w:basedOn w:val="Normal"/>
    <w:rsid w:val="002F14AB"/>
    <w:pPr>
      <w:spacing w:after="160" w:line="240" w:lineRule="exact"/>
    </w:pPr>
    <w:rPr>
      <w:rFonts w:cs="Arial"/>
      <w:sz w:val="20"/>
      <w:szCs w:val="20"/>
      <w:lang w:val="en-US"/>
    </w:rPr>
  </w:style>
  <w:style w:type="paragraph" w:styleId="Revision">
    <w:name w:val="Revision"/>
    <w:hidden/>
    <w:uiPriority w:val="99"/>
    <w:rsid w:val="002F14AB"/>
    <w:pPr>
      <w:spacing w:after="200" w:line="252" w:lineRule="auto"/>
    </w:pPr>
    <w:rPr>
      <w:rFonts w:ascii="Arial" w:hAnsi="Arial"/>
      <w:sz w:val="22"/>
      <w:szCs w:val="24"/>
      <w:lang w:val="en-GB" w:eastAsia="en-US"/>
    </w:rPr>
  </w:style>
  <w:style w:type="character" w:customStyle="1" w:styleId="ColorfulShading-Accent3Char">
    <w:name w:val="Colorful Shading - Accent 3 Char"/>
    <w:aliases w:val="Bullet1 Char,References Char,List Paragraph (numbered (a)) Char,Bullets Char,Bullet paras Char,123 List Paragraph Char,MCHIP_list paragraph Char,List Paragraph1 Char,Recommendation Char,Dot pt Char,F5 List Paragraph Char"/>
    <w:link w:val="ColorfulShading-Accent31"/>
    <w:uiPriority w:val="34"/>
    <w:qFormat/>
    <w:locked/>
    <w:rsid w:val="004E3AD0"/>
    <w:rPr>
      <w:sz w:val="24"/>
      <w:szCs w:val="24"/>
    </w:rPr>
  </w:style>
  <w:style w:type="paragraph" w:customStyle="1" w:styleId="ColorfulShading-Accent31">
    <w:name w:val="Colorful Shading - Accent 31"/>
    <w:aliases w:val="Bullet1,References,List Paragraph (numbered (a)),Bullets,Bullet paras,123 List Paragraph,MCHIP_list paragraph,List Paragraph1,Recommendation,Dot pt,F5 List Paragraph,No Spacing1,List Paragraph Char Char Char,Indicator Text"/>
    <w:basedOn w:val="Normal"/>
    <w:link w:val="ColorfulShading-Accent3Char"/>
    <w:uiPriority w:val="34"/>
    <w:qFormat/>
    <w:rsid w:val="004E3AD0"/>
    <w:pPr>
      <w:spacing w:after="0"/>
      <w:ind w:leftChars="400" w:left="800"/>
    </w:pPr>
    <w:rPr>
      <w:rFonts w:ascii="Times New Roman" w:hAnsi="Times New Roman"/>
      <w:sz w:val="24"/>
    </w:rPr>
  </w:style>
  <w:style w:type="paragraph" w:customStyle="1" w:styleId="BVIfnr">
    <w:name w:val="BVI fnr"/>
    <w:aliases w:val="BVI fnr Car Car,BVI fnr Car,BVI fnr Car Car Car Car, BVI fnr, BVI fnr Car Car, BVI fnr Car Car Car Car"/>
    <w:basedOn w:val="Normal"/>
    <w:link w:val="FootnoteReference"/>
    <w:uiPriority w:val="99"/>
    <w:rsid w:val="004E3AD0"/>
    <w:pPr>
      <w:spacing w:after="160" w:line="240" w:lineRule="exact"/>
    </w:pPr>
    <w:rPr>
      <w:sz w:val="18"/>
      <w:szCs w:val="20"/>
      <w:vertAlign w:val="superscript"/>
    </w:rPr>
  </w:style>
  <w:style w:type="paragraph" w:styleId="Caption">
    <w:name w:val="caption"/>
    <w:basedOn w:val="Normal"/>
    <w:next w:val="Normal"/>
    <w:uiPriority w:val="35"/>
    <w:unhideWhenUsed/>
    <w:qFormat/>
    <w:rsid w:val="00807B7B"/>
    <w:rPr>
      <w:caps/>
      <w:spacing w:val="10"/>
      <w:sz w:val="18"/>
      <w:szCs w:val="18"/>
    </w:rPr>
  </w:style>
  <w:style w:type="paragraph" w:customStyle="1" w:styleId="MediumGrid1-Accent21">
    <w:name w:val="Medium Grid 1 - Accent 21"/>
    <w:aliases w:val="List Paragraph2,NFP GP Bulleted List,FooterText,numbered,Paragraphe de liste1,Bulletr List Paragraph,列出段落,列出段落1,List Paragraph21,Listeafsnit1,Parágrafo da Lista1,Párrafo de lista1,リスト段落1,L"/>
    <w:basedOn w:val="Normal"/>
    <w:uiPriority w:val="34"/>
    <w:qFormat/>
    <w:rsid w:val="00ED36E9"/>
    <w:pPr>
      <w:spacing w:after="0"/>
      <w:ind w:left="720"/>
      <w:contextualSpacing/>
    </w:pPr>
    <w:rPr>
      <w:rFonts w:ascii="Times New Roman" w:hAnsi="Times New Roman"/>
      <w:sz w:val="24"/>
    </w:rPr>
  </w:style>
  <w:style w:type="character" w:styleId="Strong">
    <w:name w:val="Strong"/>
    <w:uiPriority w:val="22"/>
    <w:qFormat/>
    <w:rsid w:val="00807B7B"/>
    <w:rPr>
      <w:b/>
      <w:bCs/>
      <w:color w:val="943634"/>
      <w:spacing w:val="5"/>
    </w:rPr>
  </w:style>
  <w:style w:type="character" w:styleId="UnresolvedMention">
    <w:name w:val="Unresolved Mention"/>
    <w:uiPriority w:val="99"/>
    <w:semiHidden/>
    <w:unhideWhenUsed/>
    <w:rsid w:val="009A6940"/>
    <w:rPr>
      <w:color w:val="605E5C"/>
      <w:shd w:val="clear" w:color="auto" w:fill="E1DFDD"/>
    </w:rPr>
  </w:style>
  <w:style w:type="paragraph" w:customStyle="1" w:styleId="Box1Text">
    <w:name w:val="Box 1 Text"/>
    <w:basedOn w:val="Normal"/>
    <w:rsid w:val="003146AB"/>
    <w:pPr>
      <w:pBdr>
        <w:top w:val="single" w:sz="4" w:space="14" w:color="65C5B4"/>
        <w:left w:val="single" w:sz="4" w:space="14" w:color="65C5B4"/>
        <w:bottom w:val="single" w:sz="4" w:space="14" w:color="65C5B4"/>
        <w:right w:val="single" w:sz="4" w:space="14" w:color="65C5B4"/>
      </w:pBdr>
      <w:shd w:val="clear" w:color="auto" w:fill="FFFFFF"/>
      <w:suppressAutoHyphens/>
      <w:spacing w:before="180" w:after="80" w:line="240" w:lineRule="atLeast"/>
      <w:ind w:left="284" w:right="284"/>
    </w:pPr>
    <w:rPr>
      <w:rFonts w:eastAsia="Calibri Light"/>
      <w:color w:val="495965"/>
      <w:sz w:val="20"/>
    </w:rPr>
  </w:style>
  <w:style w:type="character" w:customStyle="1" w:styleId="Heading1Char">
    <w:name w:val="Heading 1 Char"/>
    <w:link w:val="Heading1"/>
    <w:uiPriority w:val="9"/>
    <w:rsid w:val="00807B7B"/>
    <w:rPr>
      <w:rFonts w:eastAsia="Times New Roman" w:cs="Times New Roman"/>
      <w:caps/>
      <w:color w:val="632423"/>
      <w:spacing w:val="20"/>
      <w:sz w:val="28"/>
      <w:szCs w:val="28"/>
    </w:rPr>
  </w:style>
  <w:style w:type="character" w:customStyle="1" w:styleId="Heading2Char">
    <w:name w:val="Heading 2 Char"/>
    <w:link w:val="Heading2"/>
    <w:uiPriority w:val="9"/>
    <w:rsid w:val="00807B7B"/>
    <w:rPr>
      <w:caps/>
      <w:color w:val="632423"/>
      <w:spacing w:val="15"/>
      <w:sz w:val="24"/>
      <w:szCs w:val="24"/>
    </w:rPr>
  </w:style>
  <w:style w:type="character" w:customStyle="1" w:styleId="Heading3Char">
    <w:name w:val="Heading 3 Char"/>
    <w:link w:val="Heading3"/>
    <w:uiPriority w:val="9"/>
    <w:rsid w:val="00807B7B"/>
    <w:rPr>
      <w:rFonts w:eastAsia="Times New Roman" w:cs="Times New Roman"/>
      <w:caps/>
      <w:color w:val="622423"/>
      <w:sz w:val="24"/>
      <w:szCs w:val="24"/>
    </w:rPr>
  </w:style>
  <w:style w:type="character" w:customStyle="1" w:styleId="Heading4Char">
    <w:name w:val="Heading 4 Char"/>
    <w:link w:val="Heading4"/>
    <w:uiPriority w:val="9"/>
    <w:rsid w:val="00807B7B"/>
    <w:rPr>
      <w:rFonts w:eastAsia="Times New Roman" w:cs="Times New Roman"/>
      <w:caps/>
      <w:color w:val="622423"/>
      <w:spacing w:val="10"/>
    </w:rPr>
  </w:style>
  <w:style w:type="character" w:customStyle="1" w:styleId="Heading5Char">
    <w:name w:val="Heading 5 Char"/>
    <w:link w:val="Heading5"/>
    <w:uiPriority w:val="9"/>
    <w:rsid w:val="00807B7B"/>
    <w:rPr>
      <w:rFonts w:eastAsia="Times New Roman" w:cs="Times New Roman"/>
      <w:caps/>
      <w:color w:val="622423"/>
      <w:spacing w:val="10"/>
    </w:rPr>
  </w:style>
  <w:style w:type="character" w:customStyle="1" w:styleId="Heading6Char">
    <w:name w:val="Heading 6 Char"/>
    <w:link w:val="Heading6"/>
    <w:uiPriority w:val="9"/>
    <w:semiHidden/>
    <w:rsid w:val="00807B7B"/>
    <w:rPr>
      <w:rFonts w:eastAsia="Times New Roman" w:cs="Times New Roman"/>
      <w:caps/>
      <w:color w:val="943634"/>
      <w:spacing w:val="10"/>
    </w:rPr>
  </w:style>
  <w:style w:type="character" w:customStyle="1" w:styleId="Heading7Char">
    <w:name w:val="Heading 7 Char"/>
    <w:link w:val="Heading7"/>
    <w:uiPriority w:val="9"/>
    <w:semiHidden/>
    <w:rsid w:val="00807B7B"/>
    <w:rPr>
      <w:rFonts w:eastAsia="Times New Roman" w:cs="Times New Roman"/>
      <w:i/>
      <w:iCs/>
      <w:caps/>
      <w:color w:val="943634"/>
      <w:spacing w:val="10"/>
    </w:rPr>
  </w:style>
  <w:style w:type="character" w:customStyle="1" w:styleId="Heading8Char">
    <w:name w:val="Heading 8 Char"/>
    <w:link w:val="Heading8"/>
    <w:uiPriority w:val="9"/>
    <w:semiHidden/>
    <w:rsid w:val="00807B7B"/>
    <w:rPr>
      <w:rFonts w:eastAsia="Times New Roman" w:cs="Times New Roman"/>
      <w:caps/>
      <w:spacing w:val="10"/>
      <w:sz w:val="20"/>
      <w:szCs w:val="20"/>
    </w:rPr>
  </w:style>
  <w:style w:type="character" w:customStyle="1" w:styleId="Heading9Char">
    <w:name w:val="Heading 9 Char"/>
    <w:link w:val="Heading9"/>
    <w:uiPriority w:val="9"/>
    <w:semiHidden/>
    <w:rsid w:val="00807B7B"/>
    <w:rPr>
      <w:rFonts w:eastAsia="Times New Roman" w:cs="Times New Roman"/>
      <w:i/>
      <w:iCs/>
      <w:caps/>
      <w:spacing w:val="10"/>
      <w:sz w:val="20"/>
      <w:szCs w:val="20"/>
    </w:rPr>
  </w:style>
  <w:style w:type="character" w:customStyle="1" w:styleId="TitleChar">
    <w:name w:val="Title Char"/>
    <w:link w:val="Title"/>
    <w:uiPriority w:val="10"/>
    <w:rsid w:val="00807B7B"/>
    <w:rPr>
      <w:rFonts w:eastAsia="Times New Roman" w:cs="Times New Roman"/>
      <w:caps/>
      <w:color w:val="632423"/>
      <w:spacing w:val="50"/>
      <w:sz w:val="44"/>
      <w:szCs w:val="44"/>
    </w:rPr>
  </w:style>
  <w:style w:type="paragraph" w:styleId="Subtitle">
    <w:name w:val="Subtitle"/>
    <w:basedOn w:val="Normal"/>
    <w:next w:val="Normal"/>
    <w:link w:val="SubtitleChar"/>
    <w:uiPriority w:val="11"/>
    <w:qFormat/>
    <w:rsid w:val="00807B7B"/>
    <w:pPr>
      <w:spacing w:after="560" w:line="240" w:lineRule="auto"/>
      <w:jc w:val="center"/>
    </w:pPr>
    <w:rPr>
      <w:caps/>
      <w:spacing w:val="20"/>
      <w:sz w:val="18"/>
      <w:szCs w:val="18"/>
    </w:rPr>
  </w:style>
  <w:style w:type="character" w:customStyle="1" w:styleId="SubtitleChar">
    <w:name w:val="Subtitle Char"/>
    <w:link w:val="Subtitle"/>
    <w:uiPriority w:val="11"/>
    <w:rsid w:val="00807B7B"/>
    <w:rPr>
      <w:rFonts w:eastAsia="Times New Roman" w:cs="Times New Roman"/>
      <w:caps/>
      <w:spacing w:val="20"/>
      <w:sz w:val="18"/>
      <w:szCs w:val="18"/>
    </w:rPr>
  </w:style>
  <w:style w:type="paragraph" w:styleId="NoSpacing">
    <w:name w:val="No Spacing"/>
    <w:basedOn w:val="Normal"/>
    <w:link w:val="NoSpacingChar"/>
    <w:uiPriority w:val="1"/>
    <w:qFormat/>
    <w:rsid w:val="00807B7B"/>
    <w:pPr>
      <w:spacing w:after="0" w:line="240" w:lineRule="auto"/>
    </w:pPr>
  </w:style>
  <w:style w:type="character" w:customStyle="1" w:styleId="NoSpacingChar">
    <w:name w:val="No Spacing Char"/>
    <w:link w:val="NoSpacing"/>
    <w:uiPriority w:val="1"/>
    <w:rsid w:val="00807B7B"/>
  </w:style>
  <w:style w:type="paragraph" w:styleId="Quote">
    <w:name w:val="Quote"/>
    <w:basedOn w:val="Normal"/>
    <w:next w:val="Normal"/>
    <w:link w:val="QuoteChar"/>
    <w:uiPriority w:val="29"/>
    <w:qFormat/>
    <w:rsid w:val="00807B7B"/>
    <w:rPr>
      <w:i/>
      <w:iCs/>
    </w:rPr>
  </w:style>
  <w:style w:type="character" w:customStyle="1" w:styleId="QuoteChar">
    <w:name w:val="Quote Char"/>
    <w:link w:val="Quote"/>
    <w:uiPriority w:val="29"/>
    <w:rsid w:val="00807B7B"/>
    <w:rPr>
      <w:rFonts w:eastAsia="Times New Roman" w:cs="Times New Roman"/>
      <w:i/>
      <w:iCs/>
    </w:rPr>
  </w:style>
  <w:style w:type="paragraph" w:styleId="IntenseQuote">
    <w:name w:val="Intense Quote"/>
    <w:basedOn w:val="Normal"/>
    <w:next w:val="Normal"/>
    <w:link w:val="IntenseQuoteChar"/>
    <w:uiPriority w:val="30"/>
    <w:qFormat/>
    <w:rsid w:val="00807B7B"/>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IntenseQuoteChar">
    <w:name w:val="Intense Quote Char"/>
    <w:link w:val="IntenseQuote"/>
    <w:uiPriority w:val="30"/>
    <w:rsid w:val="00807B7B"/>
    <w:rPr>
      <w:rFonts w:eastAsia="Times New Roman" w:cs="Times New Roman"/>
      <w:caps/>
      <w:color w:val="622423"/>
      <w:spacing w:val="5"/>
      <w:sz w:val="20"/>
      <w:szCs w:val="20"/>
    </w:rPr>
  </w:style>
  <w:style w:type="character" w:styleId="SubtleEmphasis">
    <w:name w:val="Subtle Emphasis"/>
    <w:uiPriority w:val="19"/>
    <w:qFormat/>
    <w:rsid w:val="00807B7B"/>
    <w:rPr>
      <w:i/>
      <w:iCs/>
    </w:rPr>
  </w:style>
  <w:style w:type="character" w:styleId="IntenseEmphasis">
    <w:name w:val="Intense Emphasis"/>
    <w:uiPriority w:val="21"/>
    <w:qFormat/>
    <w:rsid w:val="00807B7B"/>
    <w:rPr>
      <w:i/>
      <w:iCs/>
      <w:caps/>
      <w:spacing w:val="10"/>
      <w:sz w:val="20"/>
      <w:szCs w:val="20"/>
    </w:rPr>
  </w:style>
  <w:style w:type="character" w:styleId="SubtleReference">
    <w:name w:val="Subtle Reference"/>
    <w:uiPriority w:val="31"/>
    <w:qFormat/>
    <w:rsid w:val="00807B7B"/>
    <w:rPr>
      <w:rFonts w:ascii="Calibri" w:eastAsia="Times New Roman" w:hAnsi="Calibri" w:cs="Times New Roman"/>
      <w:i/>
      <w:iCs/>
      <w:color w:val="622423"/>
    </w:rPr>
  </w:style>
  <w:style w:type="character" w:styleId="IntenseReference">
    <w:name w:val="Intense Reference"/>
    <w:uiPriority w:val="32"/>
    <w:qFormat/>
    <w:rsid w:val="00807B7B"/>
    <w:rPr>
      <w:rFonts w:ascii="Calibri" w:eastAsia="Times New Roman" w:hAnsi="Calibri" w:cs="Times New Roman"/>
      <w:b/>
      <w:bCs/>
      <w:i/>
      <w:iCs/>
      <w:color w:val="622423"/>
    </w:rPr>
  </w:style>
  <w:style w:type="character" w:styleId="BookTitle">
    <w:name w:val="Book Title"/>
    <w:uiPriority w:val="33"/>
    <w:qFormat/>
    <w:rsid w:val="00807B7B"/>
    <w:rPr>
      <w:caps/>
      <w:color w:val="622423"/>
      <w:spacing w:val="5"/>
      <w:u w:color="622423"/>
    </w:rPr>
  </w:style>
  <w:style w:type="paragraph" w:styleId="TOCHeading">
    <w:name w:val="TOC Heading"/>
    <w:basedOn w:val="Heading1"/>
    <w:next w:val="Normal"/>
    <w:uiPriority w:val="39"/>
    <w:unhideWhenUsed/>
    <w:qFormat/>
    <w:rsid w:val="00807B7B"/>
    <w:pPr>
      <w:outlineLvl w:val="9"/>
    </w:pPr>
  </w:style>
  <w:style w:type="paragraph" w:customStyle="1" w:styleId="PersonalName">
    <w:name w:val="Personal Name"/>
    <w:basedOn w:val="Title"/>
    <w:rsid w:val="002C4769"/>
    <w:rPr>
      <w:rFonts w:ascii="Arial" w:hAnsi="Arial"/>
      <w:b/>
      <w:caps w:val="0"/>
      <w:color w:val="000000"/>
      <w:sz w:val="28"/>
      <w:szCs w:val="28"/>
    </w:rPr>
  </w:style>
  <w:style w:type="paragraph" w:styleId="TOC1">
    <w:name w:val="toc 1"/>
    <w:basedOn w:val="Normal"/>
    <w:next w:val="Normal"/>
    <w:autoRedefine/>
    <w:uiPriority w:val="39"/>
    <w:rsid w:val="00A242DE"/>
    <w:pPr>
      <w:tabs>
        <w:tab w:val="left" w:pos="426"/>
        <w:tab w:val="right" w:leader="dot" w:pos="9592"/>
      </w:tabs>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rsid w:val="00A242DE"/>
    <w:pPr>
      <w:tabs>
        <w:tab w:val="right" w:leader="dot" w:pos="9592"/>
      </w:tabs>
      <w:spacing w:after="0"/>
      <w:ind w:left="426"/>
    </w:pPr>
    <w:rPr>
      <w:rFonts w:asciiTheme="minorHAnsi" w:hAnsiTheme="minorHAnsi" w:cstheme="minorHAnsi"/>
      <w:smallCaps/>
      <w:sz w:val="20"/>
      <w:szCs w:val="20"/>
    </w:rPr>
  </w:style>
  <w:style w:type="paragraph" w:styleId="TOC3">
    <w:name w:val="toc 3"/>
    <w:basedOn w:val="Normal"/>
    <w:next w:val="Normal"/>
    <w:autoRedefine/>
    <w:uiPriority w:val="39"/>
    <w:rsid w:val="00496A45"/>
    <w:pPr>
      <w:spacing w:after="0"/>
      <w:ind w:left="440"/>
    </w:pPr>
    <w:rPr>
      <w:rFonts w:asciiTheme="minorHAnsi" w:hAnsiTheme="minorHAnsi" w:cstheme="minorHAnsi"/>
      <w:i/>
      <w:iCs/>
      <w:sz w:val="20"/>
      <w:szCs w:val="20"/>
    </w:rPr>
  </w:style>
  <w:style w:type="paragraph" w:styleId="TOC4">
    <w:name w:val="toc 4"/>
    <w:basedOn w:val="Normal"/>
    <w:next w:val="Normal"/>
    <w:autoRedefine/>
    <w:rsid w:val="00807B7B"/>
    <w:pPr>
      <w:spacing w:after="0"/>
      <w:ind w:left="660"/>
    </w:pPr>
    <w:rPr>
      <w:rFonts w:asciiTheme="minorHAnsi" w:hAnsiTheme="minorHAnsi" w:cstheme="minorHAnsi"/>
      <w:sz w:val="18"/>
      <w:szCs w:val="18"/>
    </w:rPr>
  </w:style>
  <w:style w:type="paragraph" w:styleId="TOC5">
    <w:name w:val="toc 5"/>
    <w:basedOn w:val="Normal"/>
    <w:next w:val="Normal"/>
    <w:autoRedefine/>
    <w:rsid w:val="00807B7B"/>
    <w:pPr>
      <w:spacing w:after="0"/>
      <w:ind w:left="880"/>
    </w:pPr>
    <w:rPr>
      <w:rFonts w:asciiTheme="minorHAnsi" w:hAnsiTheme="minorHAnsi" w:cstheme="minorHAnsi"/>
      <w:sz w:val="18"/>
      <w:szCs w:val="18"/>
    </w:rPr>
  </w:style>
  <w:style w:type="paragraph" w:styleId="TOC6">
    <w:name w:val="toc 6"/>
    <w:basedOn w:val="Normal"/>
    <w:next w:val="Normal"/>
    <w:autoRedefine/>
    <w:rsid w:val="00807B7B"/>
    <w:pPr>
      <w:spacing w:after="0"/>
      <w:ind w:left="1100"/>
    </w:pPr>
    <w:rPr>
      <w:rFonts w:asciiTheme="minorHAnsi" w:hAnsiTheme="minorHAnsi" w:cstheme="minorHAnsi"/>
      <w:sz w:val="18"/>
      <w:szCs w:val="18"/>
    </w:rPr>
  </w:style>
  <w:style w:type="paragraph" w:styleId="TOC7">
    <w:name w:val="toc 7"/>
    <w:basedOn w:val="Normal"/>
    <w:next w:val="Normal"/>
    <w:autoRedefine/>
    <w:rsid w:val="00807B7B"/>
    <w:pPr>
      <w:spacing w:after="0"/>
      <w:ind w:left="1320"/>
    </w:pPr>
    <w:rPr>
      <w:rFonts w:asciiTheme="minorHAnsi" w:hAnsiTheme="minorHAnsi" w:cstheme="minorHAnsi"/>
      <w:sz w:val="18"/>
      <w:szCs w:val="18"/>
    </w:rPr>
  </w:style>
  <w:style w:type="paragraph" w:styleId="TOC8">
    <w:name w:val="toc 8"/>
    <w:basedOn w:val="Normal"/>
    <w:next w:val="Normal"/>
    <w:autoRedefine/>
    <w:rsid w:val="00807B7B"/>
    <w:pPr>
      <w:spacing w:after="0"/>
      <w:ind w:left="1540"/>
    </w:pPr>
    <w:rPr>
      <w:rFonts w:asciiTheme="minorHAnsi" w:hAnsiTheme="minorHAnsi" w:cstheme="minorHAnsi"/>
      <w:sz w:val="18"/>
      <w:szCs w:val="18"/>
    </w:rPr>
  </w:style>
  <w:style w:type="paragraph" w:styleId="TOC9">
    <w:name w:val="toc 9"/>
    <w:basedOn w:val="Normal"/>
    <w:next w:val="Normal"/>
    <w:autoRedefine/>
    <w:rsid w:val="00807B7B"/>
    <w:pPr>
      <w:spacing w:after="0"/>
      <w:ind w:left="1760"/>
    </w:pPr>
    <w:rPr>
      <w:rFonts w:asciiTheme="minorHAnsi" w:hAnsiTheme="minorHAnsi" w:cstheme="minorHAnsi"/>
      <w:sz w:val="18"/>
      <w:szCs w:val="18"/>
    </w:rPr>
  </w:style>
  <w:style w:type="paragraph" w:styleId="EndnoteText">
    <w:name w:val="endnote text"/>
    <w:basedOn w:val="Normal"/>
    <w:link w:val="EndnoteTextChar"/>
    <w:uiPriority w:val="99"/>
    <w:unhideWhenUsed/>
    <w:rsid w:val="009413D8"/>
    <w:pPr>
      <w:spacing w:after="0" w:line="240" w:lineRule="auto"/>
      <w:jc w:val="both"/>
    </w:pPr>
    <w:rPr>
      <w:rFonts w:ascii="Calibri" w:eastAsia="Calibri" w:hAnsi="Calibri"/>
      <w:sz w:val="20"/>
      <w:szCs w:val="20"/>
      <w:lang w:val="en-GB" w:eastAsia="en-US"/>
    </w:rPr>
  </w:style>
  <w:style w:type="character" w:customStyle="1" w:styleId="EndnoteTextChar">
    <w:name w:val="Endnote Text Char"/>
    <w:link w:val="EndnoteText"/>
    <w:uiPriority w:val="99"/>
    <w:rsid w:val="009413D8"/>
    <w:rPr>
      <w:rFonts w:ascii="Calibri" w:eastAsia="Calibri" w:hAnsi="Calibri"/>
      <w:lang w:val="en-GB" w:eastAsia="en-US"/>
    </w:rPr>
  </w:style>
  <w:style w:type="character" w:styleId="EndnoteReference">
    <w:name w:val="endnote reference"/>
    <w:uiPriority w:val="99"/>
    <w:unhideWhenUsed/>
    <w:rsid w:val="009413D8"/>
    <w:rPr>
      <w:vertAlign w:val="superscript"/>
    </w:rPr>
  </w:style>
  <w:style w:type="paragraph" w:customStyle="1" w:styleId="SESPbodynumbered">
    <w:name w:val="SESP body numbered"/>
    <w:basedOn w:val="Normal"/>
    <w:qFormat/>
    <w:rsid w:val="00E652DC"/>
    <w:pPr>
      <w:numPr>
        <w:numId w:val="22"/>
      </w:numPr>
      <w:tabs>
        <w:tab w:val="left" w:pos="360"/>
      </w:tabs>
      <w:spacing w:before="120" w:after="120" w:line="264" w:lineRule="auto"/>
    </w:pPr>
    <w:rPr>
      <w:rFonts w:ascii="Calibri" w:eastAsia="MS Mincho" w:hAnsi="Calibri"/>
      <w:sz w:val="20"/>
      <w:szCs w:val="20"/>
      <w:lang w:val="en-US" w:eastAsia="ja-JP"/>
    </w:rPr>
  </w:style>
  <w:style w:type="paragraph" w:customStyle="1" w:styleId="Normal11">
    <w:name w:val="Normal + 11"/>
    <w:basedOn w:val="Normal"/>
    <w:rsid w:val="00072F56"/>
    <w:pPr>
      <w:spacing w:after="0" w:line="240" w:lineRule="auto"/>
      <w:jc w:val="both"/>
    </w:pPr>
    <w:rPr>
      <w:rFonts w:ascii="Times New Roman" w:hAnsi="Times New Roman"/>
      <w:sz w:val="24"/>
      <w:szCs w:val="24"/>
      <w:lang w:val="en-US" w:eastAsia="en-US"/>
    </w:rPr>
  </w:style>
  <w:style w:type="character" w:customStyle="1" w:styleId="BodyTextChar">
    <w:name w:val="Body Text Char"/>
    <w:basedOn w:val="DefaultParagraphFont"/>
    <w:link w:val="BodyText"/>
    <w:rsid w:val="0081513D"/>
    <w:rPr>
      <w:rFonts w:ascii="Arial Narrow" w:hAnsi="Arial Narrow"/>
      <w:i/>
      <w:iCs/>
      <w:sz w:val="22"/>
      <w:szCs w:val="22"/>
    </w:rPr>
  </w:style>
  <w:style w:type="character" w:customStyle="1" w:styleId="BodyTextIndentChar">
    <w:name w:val="Body Text Indent Char"/>
    <w:basedOn w:val="DefaultParagraphFont"/>
    <w:link w:val="BodyTextIndent"/>
    <w:rsid w:val="0081513D"/>
    <w:rPr>
      <w:rFonts w:ascii="Arial" w:hAnsi="Arial"/>
      <w:b/>
      <w:i/>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284002">
      <w:bodyDiv w:val="1"/>
      <w:marLeft w:val="0"/>
      <w:marRight w:val="0"/>
      <w:marTop w:val="0"/>
      <w:marBottom w:val="0"/>
      <w:divBdr>
        <w:top w:val="none" w:sz="0" w:space="0" w:color="auto"/>
        <w:left w:val="none" w:sz="0" w:space="0" w:color="auto"/>
        <w:bottom w:val="none" w:sz="0" w:space="0" w:color="auto"/>
        <w:right w:val="none" w:sz="0" w:space="0" w:color="auto"/>
      </w:divBdr>
    </w:div>
    <w:div w:id="101456128">
      <w:bodyDiv w:val="1"/>
      <w:marLeft w:val="0"/>
      <w:marRight w:val="0"/>
      <w:marTop w:val="0"/>
      <w:marBottom w:val="0"/>
      <w:divBdr>
        <w:top w:val="none" w:sz="0" w:space="0" w:color="auto"/>
        <w:left w:val="none" w:sz="0" w:space="0" w:color="auto"/>
        <w:bottom w:val="none" w:sz="0" w:space="0" w:color="auto"/>
        <w:right w:val="none" w:sz="0" w:space="0" w:color="auto"/>
      </w:divBdr>
      <w:divsChild>
        <w:div w:id="2055108967">
          <w:marLeft w:val="0"/>
          <w:marRight w:val="0"/>
          <w:marTop w:val="0"/>
          <w:marBottom w:val="0"/>
          <w:divBdr>
            <w:top w:val="none" w:sz="0" w:space="0" w:color="auto"/>
            <w:left w:val="none" w:sz="0" w:space="0" w:color="auto"/>
            <w:bottom w:val="none" w:sz="0" w:space="0" w:color="auto"/>
            <w:right w:val="none" w:sz="0" w:space="0" w:color="auto"/>
          </w:divBdr>
          <w:divsChild>
            <w:div w:id="2074618966">
              <w:marLeft w:val="0"/>
              <w:marRight w:val="0"/>
              <w:marTop w:val="0"/>
              <w:marBottom w:val="0"/>
              <w:divBdr>
                <w:top w:val="none" w:sz="0" w:space="0" w:color="auto"/>
                <w:left w:val="none" w:sz="0" w:space="0" w:color="auto"/>
                <w:bottom w:val="none" w:sz="0" w:space="0" w:color="auto"/>
                <w:right w:val="none" w:sz="0" w:space="0" w:color="auto"/>
              </w:divBdr>
              <w:divsChild>
                <w:div w:id="244152591">
                  <w:marLeft w:val="0"/>
                  <w:marRight w:val="0"/>
                  <w:marTop w:val="0"/>
                  <w:marBottom w:val="0"/>
                  <w:divBdr>
                    <w:top w:val="none" w:sz="0" w:space="0" w:color="auto"/>
                    <w:left w:val="none" w:sz="0" w:space="0" w:color="auto"/>
                    <w:bottom w:val="none" w:sz="0" w:space="0" w:color="auto"/>
                    <w:right w:val="none" w:sz="0" w:space="0" w:color="auto"/>
                  </w:divBdr>
                </w:div>
                <w:div w:id="524947383">
                  <w:marLeft w:val="0"/>
                  <w:marRight w:val="0"/>
                  <w:marTop w:val="0"/>
                  <w:marBottom w:val="0"/>
                  <w:divBdr>
                    <w:top w:val="none" w:sz="0" w:space="0" w:color="auto"/>
                    <w:left w:val="none" w:sz="0" w:space="0" w:color="auto"/>
                    <w:bottom w:val="none" w:sz="0" w:space="0" w:color="auto"/>
                    <w:right w:val="none" w:sz="0" w:space="0" w:color="auto"/>
                  </w:divBdr>
                </w:div>
                <w:div w:id="810905235">
                  <w:marLeft w:val="0"/>
                  <w:marRight w:val="0"/>
                  <w:marTop w:val="0"/>
                  <w:marBottom w:val="0"/>
                  <w:divBdr>
                    <w:top w:val="none" w:sz="0" w:space="0" w:color="auto"/>
                    <w:left w:val="none" w:sz="0" w:space="0" w:color="auto"/>
                    <w:bottom w:val="none" w:sz="0" w:space="0" w:color="auto"/>
                    <w:right w:val="none" w:sz="0" w:space="0" w:color="auto"/>
                  </w:divBdr>
                </w:div>
                <w:div w:id="864098418">
                  <w:marLeft w:val="0"/>
                  <w:marRight w:val="0"/>
                  <w:marTop w:val="0"/>
                  <w:marBottom w:val="0"/>
                  <w:divBdr>
                    <w:top w:val="none" w:sz="0" w:space="0" w:color="auto"/>
                    <w:left w:val="none" w:sz="0" w:space="0" w:color="auto"/>
                    <w:bottom w:val="none" w:sz="0" w:space="0" w:color="auto"/>
                    <w:right w:val="none" w:sz="0" w:space="0" w:color="auto"/>
                  </w:divBdr>
                </w:div>
                <w:div w:id="1727948981">
                  <w:marLeft w:val="0"/>
                  <w:marRight w:val="0"/>
                  <w:marTop w:val="0"/>
                  <w:marBottom w:val="0"/>
                  <w:divBdr>
                    <w:top w:val="none" w:sz="0" w:space="0" w:color="auto"/>
                    <w:left w:val="none" w:sz="0" w:space="0" w:color="auto"/>
                    <w:bottom w:val="none" w:sz="0" w:space="0" w:color="auto"/>
                    <w:right w:val="none" w:sz="0" w:space="0" w:color="auto"/>
                  </w:divBdr>
                </w:div>
                <w:div w:id="176811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5893">
      <w:bodyDiv w:val="1"/>
      <w:marLeft w:val="0"/>
      <w:marRight w:val="0"/>
      <w:marTop w:val="0"/>
      <w:marBottom w:val="0"/>
      <w:divBdr>
        <w:top w:val="none" w:sz="0" w:space="0" w:color="auto"/>
        <w:left w:val="none" w:sz="0" w:space="0" w:color="auto"/>
        <w:bottom w:val="none" w:sz="0" w:space="0" w:color="auto"/>
        <w:right w:val="none" w:sz="0" w:space="0" w:color="auto"/>
      </w:divBdr>
      <w:divsChild>
        <w:div w:id="525800273">
          <w:marLeft w:val="547"/>
          <w:marRight w:val="0"/>
          <w:marTop w:val="86"/>
          <w:marBottom w:val="0"/>
          <w:divBdr>
            <w:top w:val="none" w:sz="0" w:space="0" w:color="auto"/>
            <w:left w:val="none" w:sz="0" w:space="0" w:color="auto"/>
            <w:bottom w:val="none" w:sz="0" w:space="0" w:color="auto"/>
            <w:right w:val="none" w:sz="0" w:space="0" w:color="auto"/>
          </w:divBdr>
        </w:div>
        <w:div w:id="994185601">
          <w:marLeft w:val="547"/>
          <w:marRight w:val="0"/>
          <w:marTop w:val="86"/>
          <w:marBottom w:val="0"/>
          <w:divBdr>
            <w:top w:val="none" w:sz="0" w:space="0" w:color="auto"/>
            <w:left w:val="none" w:sz="0" w:space="0" w:color="auto"/>
            <w:bottom w:val="none" w:sz="0" w:space="0" w:color="auto"/>
            <w:right w:val="none" w:sz="0" w:space="0" w:color="auto"/>
          </w:divBdr>
        </w:div>
      </w:divsChild>
    </w:div>
    <w:div w:id="263655879">
      <w:bodyDiv w:val="1"/>
      <w:marLeft w:val="0"/>
      <w:marRight w:val="0"/>
      <w:marTop w:val="0"/>
      <w:marBottom w:val="0"/>
      <w:divBdr>
        <w:top w:val="none" w:sz="0" w:space="0" w:color="auto"/>
        <w:left w:val="none" w:sz="0" w:space="0" w:color="auto"/>
        <w:bottom w:val="none" w:sz="0" w:space="0" w:color="auto"/>
        <w:right w:val="none" w:sz="0" w:space="0" w:color="auto"/>
      </w:divBdr>
    </w:div>
    <w:div w:id="425732310">
      <w:bodyDiv w:val="1"/>
      <w:marLeft w:val="0"/>
      <w:marRight w:val="0"/>
      <w:marTop w:val="0"/>
      <w:marBottom w:val="0"/>
      <w:divBdr>
        <w:top w:val="none" w:sz="0" w:space="0" w:color="auto"/>
        <w:left w:val="none" w:sz="0" w:space="0" w:color="auto"/>
        <w:bottom w:val="none" w:sz="0" w:space="0" w:color="auto"/>
        <w:right w:val="none" w:sz="0" w:space="0" w:color="auto"/>
      </w:divBdr>
    </w:div>
    <w:div w:id="463236037">
      <w:bodyDiv w:val="1"/>
      <w:marLeft w:val="0"/>
      <w:marRight w:val="0"/>
      <w:marTop w:val="0"/>
      <w:marBottom w:val="0"/>
      <w:divBdr>
        <w:top w:val="none" w:sz="0" w:space="0" w:color="auto"/>
        <w:left w:val="none" w:sz="0" w:space="0" w:color="auto"/>
        <w:bottom w:val="none" w:sz="0" w:space="0" w:color="auto"/>
        <w:right w:val="none" w:sz="0" w:space="0" w:color="auto"/>
      </w:divBdr>
      <w:divsChild>
        <w:div w:id="1011958049">
          <w:marLeft w:val="0"/>
          <w:marRight w:val="0"/>
          <w:marTop w:val="0"/>
          <w:marBottom w:val="0"/>
          <w:divBdr>
            <w:top w:val="none" w:sz="0" w:space="0" w:color="auto"/>
            <w:left w:val="none" w:sz="0" w:space="0" w:color="auto"/>
            <w:bottom w:val="none" w:sz="0" w:space="0" w:color="auto"/>
            <w:right w:val="none" w:sz="0" w:space="0" w:color="auto"/>
          </w:divBdr>
        </w:div>
      </w:divsChild>
    </w:div>
    <w:div w:id="489831293">
      <w:bodyDiv w:val="1"/>
      <w:marLeft w:val="0"/>
      <w:marRight w:val="0"/>
      <w:marTop w:val="0"/>
      <w:marBottom w:val="0"/>
      <w:divBdr>
        <w:top w:val="none" w:sz="0" w:space="0" w:color="auto"/>
        <w:left w:val="none" w:sz="0" w:space="0" w:color="auto"/>
        <w:bottom w:val="none" w:sz="0" w:space="0" w:color="auto"/>
        <w:right w:val="none" w:sz="0" w:space="0" w:color="auto"/>
      </w:divBdr>
      <w:divsChild>
        <w:div w:id="747533030">
          <w:marLeft w:val="0"/>
          <w:marRight w:val="0"/>
          <w:marTop w:val="0"/>
          <w:marBottom w:val="0"/>
          <w:divBdr>
            <w:top w:val="none" w:sz="0" w:space="0" w:color="auto"/>
            <w:left w:val="none" w:sz="0" w:space="0" w:color="auto"/>
            <w:bottom w:val="none" w:sz="0" w:space="0" w:color="auto"/>
            <w:right w:val="none" w:sz="0" w:space="0" w:color="auto"/>
          </w:divBdr>
          <w:divsChild>
            <w:div w:id="115412847">
              <w:marLeft w:val="0"/>
              <w:marRight w:val="0"/>
              <w:marTop w:val="0"/>
              <w:marBottom w:val="0"/>
              <w:divBdr>
                <w:top w:val="none" w:sz="0" w:space="0" w:color="auto"/>
                <w:left w:val="none" w:sz="0" w:space="0" w:color="auto"/>
                <w:bottom w:val="none" w:sz="0" w:space="0" w:color="auto"/>
                <w:right w:val="none" w:sz="0" w:space="0" w:color="auto"/>
              </w:divBdr>
              <w:divsChild>
                <w:div w:id="69219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289818">
      <w:bodyDiv w:val="1"/>
      <w:marLeft w:val="0"/>
      <w:marRight w:val="0"/>
      <w:marTop w:val="0"/>
      <w:marBottom w:val="0"/>
      <w:divBdr>
        <w:top w:val="none" w:sz="0" w:space="0" w:color="auto"/>
        <w:left w:val="none" w:sz="0" w:space="0" w:color="auto"/>
        <w:bottom w:val="none" w:sz="0" w:space="0" w:color="auto"/>
        <w:right w:val="none" w:sz="0" w:space="0" w:color="auto"/>
      </w:divBdr>
    </w:div>
    <w:div w:id="807356339">
      <w:bodyDiv w:val="1"/>
      <w:marLeft w:val="0"/>
      <w:marRight w:val="0"/>
      <w:marTop w:val="0"/>
      <w:marBottom w:val="0"/>
      <w:divBdr>
        <w:top w:val="none" w:sz="0" w:space="0" w:color="auto"/>
        <w:left w:val="none" w:sz="0" w:space="0" w:color="auto"/>
        <w:bottom w:val="none" w:sz="0" w:space="0" w:color="auto"/>
        <w:right w:val="none" w:sz="0" w:space="0" w:color="auto"/>
      </w:divBdr>
    </w:div>
    <w:div w:id="812720354">
      <w:bodyDiv w:val="1"/>
      <w:marLeft w:val="0"/>
      <w:marRight w:val="0"/>
      <w:marTop w:val="0"/>
      <w:marBottom w:val="0"/>
      <w:divBdr>
        <w:top w:val="none" w:sz="0" w:space="0" w:color="auto"/>
        <w:left w:val="none" w:sz="0" w:space="0" w:color="auto"/>
        <w:bottom w:val="none" w:sz="0" w:space="0" w:color="auto"/>
        <w:right w:val="none" w:sz="0" w:space="0" w:color="auto"/>
      </w:divBdr>
    </w:div>
    <w:div w:id="951787584">
      <w:bodyDiv w:val="1"/>
      <w:marLeft w:val="0"/>
      <w:marRight w:val="0"/>
      <w:marTop w:val="0"/>
      <w:marBottom w:val="0"/>
      <w:divBdr>
        <w:top w:val="none" w:sz="0" w:space="0" w:color="auto"/>
        <w:left w:val="none" w:sz="0" w:space="0" w:color="auto"/>
        <w:bottom w:val="none" w:sz="0" w:space="0" w:color="auto"/>
        <w:right w:val="none" w:sz="0" w:space="0" w:color="auto"/>
      </w:divBdr>
    </w:div>
    <w:div w:id="975724003">
      <w:bodyDiv w:val="1"/>
      <w:marLeft w:val="0"/>
      <w:marRight w:val="0"/>
      <w:marTop w:val="0"/>
      <w:marBottom w:val="0"/>
      <w:divBdr>
        <w:top w:val="none" w:sz="0" w:space="0" w:color="auto"/>
        <w:left w:val="none" w:sz="0" w:space="0" w:color="auto"/>
        <w:bottom w:val="none" w:sz="0" w:space="0" w:color="auto"/>
        <w:right w:val="none" w:sz="0" w:space="0" w:color="auto"/>
      </w:divBdr>
    </w:div>
    <w:div w:id="976686209">
      <w:bodyDiv w:val="1"/>
      <w:marLeft w:val="0"/>
      <w:marRight w:val="0"/>
      <w:marTop w:val="0"/>
      <w:marBottom w:val="0"/>
      <w:divBdr>
        <w:top w:val="none" w:sz="0" w:space="0" w:color="auto"/>
        <w:left w:val="none" w:sz="0" w:space="0" w:color="auto"/>
        <w:bottom w:val="none" w:sz="0" w:space="0" w:color="auto"/>
        <w:right w:val="none" w:sz="0" w:space="0" w:color="auto"/>
      </w:divBdr>
    </w:div>
    <w:div w:id="1367944187">
      <w:bodyDiv w:val="1"/>
      <w:marLeft w:val="0"/>
      <w:marRight w:val="0"/>
      <w:marTop w:val="0"/>
      <w:marBottom w:val="0"/>
      <w:divBdr>
        <w:top w:val="none" w:sz="0" w:space="0" w:color="auto"/>
        <w:left w:val="none" w:sz="0" w:space="0" w:color="auto"/>
        <w:bottom w:val="none" w:sz="0" w:space="0" w:color="auto"/>
        <w:right w:val="none" w:sz="0" w:space="0" w:color="auto"/>
      </w:divBdr>
      <w:divsChild>
        <w:div w:id="159590591">
          <w:marLeft w:val="1080"/>
          <w:marRight w:val="0"/>
          <w:marTop w:val="0"/>
          <w:marBottom w:val="200"/>
          <w:divBdr>
            <w:top w:val="none" w:sz="0" w:space="0" w:color="auto"/>
            <w:left w:val="none" w:sz="0" w:space="0" w:color="auto"/>
            <w:bottom w:val="none" w:sz="0" w:space="0" w:color="auto"/>
            <w:right w:val="none" w:sz="0" w:space="0" w:color="auto"/>
          </w:divBdr>
        </w:div>
        <w:div w:id="734088484">
          <w:marLeft w:val="1440"/>
          <w:marRight w:val="0"/>
          <w:marTop w:val="0"/>
          <w:marBottom w:val="200"/>
          <w:divBdr>
            <w:top w:val="none" w:sz="0" w:space="0" w:color="auto"/>
            <w:left w:val="none" w:sz="0" w:space="0" w:color="auto"/>
            <w:bottom w:val="none" w:sz="0" w:space="0" w:color="auto"/>
            <w:right w:val="none" w:sz="0" w:space="0" w:color="auto"/>
          </w:divBdr>
        </w:div>
        <w:div w:id="1294213649">
          <w:marLeft w:val="1440"/>
          <w:marRight w:val="0"/>
          <w:marTop w:val="0"/>
          <w:marBottom w:val="200"/>
          <w:divBdr>
            <w:top w:val="none" w:sz="0" w:space="0" w:color="auto"/>
            <w:left w:val="none" w:sz="0" w:space="0" w:color="auto"/>
            <w:bottom w:val="none" w:sz="0" w:space="0" w:color="auto"/>
            <w:right w:val="none" w:sz="0" w:space="0" w:color="auto"/>
          </w:divBdr>
        </w:div>
        <w:div w:id="1333727469">
          <w:marLeft w:val="1080"/>
          <w:marRight w:val="0"/>
          <w:marTop w:val="0"/>
          <w:marBottom w:val="200"/>
          <w:divBdr>
            <w:top w:val="none" w:sz="0" w:space="0" w:color="auto"/>
            <w:left w:val="none" w:sz="0" w:space="0" w:color="auto"/>
            <w:bottom w:val="none" w:sz="0" w:space="0" w:color="auto"/>
            <w:right w:val="none" w:sz="0" w:space="0" w:color="auto"/>
          </w:divBdr>
        </w:div>
        <w:div w:id="1387408788">
          <w:marLeft w:val="1440"/>
          <w:marRight w:val="0"/>
          <w:marTop w:val="0"/>
          <w:marBottom w:val="200"/>
          <w:divBdr>
            <w:top w:val="none" w:sz="0" w:space="0" w:color="auto"/>
            <w:left w:val="none" w:sz="0" w:space="0" w:color="auto"/>
            <w:bottom w:val="none" w:sz="0" w:space="0" w:color="auto"/>
            <w:right w:val="none" w:sz="0" w:space="0" w:color="auto"/>
          </w:divBdr>
        </w:div>
        <w:div w:id="1806657969">
          <w:marLeft w:val="1440"/>
          <w:marRight w:val="0"/>
          <w:marTop w:val="0"/>
          <w:marBottom w:val="200"/>
          <w:divBdr>
            <w:top w:val="none" w:sz="0" w:space="0" w:color="auto"/>
            <w:left w:val="none" w:sz="0" w:space="0" w:color="auto"/>
            <w:bottom w:val="none" w:sz="0" w:space="0" w:color="auto"/>
            <w:right w:val="none" w:sz="0" w:space="0" w:color="auto"/>
          </w:divBdr>
        </w:div>
        <w:div w:id="1874463430">
          <w:marLeft w:val="1440"/>
          <w:marRight w:val="0"/>
          <w:marTop w:val="0"/>
          <w:marBottom w:val="200"/>
          <w:divBdr>
            <w:top w:val="none" w:sz="0" w:space="0" w:color="auto"/>
            <w:left w:val="none" w:sz="0" w:space="0" w:color="auto"/>
            <w:bottom w:val="none" w:sz="0" w:space="0" w:color="auto"/>
            <w:right w:val="none" w:sz="0" w:space="0" w:color="auto"/>
          </w:divBdr>
        </w:div>
      </w:divsChild>
    </w:div>
    <w:div w:id="1371371268">
      <w:bodyDiv w:val="1"/>
      <w:marLeft w:val="0"/>
      <w:marRight w:val="0"/>
      <w:marTop w:val="0"/>
      <w:marBottom w:val="0"/>
      <w:divBdr>
        <w:top w:val="none" w:sz="0" w:space="0" w:color="auto"/>
        <w:left w:val="none" w:sz="0" w:space="0" w:color="auto"/>
        <w:bottom w:val="none" w:sz="0" w:space="0" w:color="auto"/>
        <w:right w:val="none" w:sz="0" w:space="0" w:color="auto"/>
      </w:divBdr>
    </w:div>
    <w:div w:id="1552232161">
      <w:bodyDiv w:val="1"/>
      <w:marLeft w:val="0"/>
      <w:marRight w:val="0"/>
      <w:marTop w:val="0"/>
      <w:marBottom w:val="0"/>
      <w:divBdr>
        <w:top w:val="none" w:sz="0" w:space="0" w:color="auto"/>
        <w:left w:val="none" w:sz="0" w:space="0" w:color="auto"/>
        <w:bottom w:val="none" w:sz="0" w:space="0" w:color="auto"/>
        <w:right w:val="none" w:sz="0" w:space="0" w:color="auto"/>
      </w:divBdr>
      <w:divsChild>
        <w:div w:id="798836103">
          <w:marLeft w:val="547"/>
          <w:marRight w:val="0"/>
          <w:marTop w:val="86"/>
          <w:marBottom w:val="0"/>
          <w:divBdr>
            <w:top w:val="none" w:sz="0" w:space="0" w:color="auto"/>
            <w:left w:val="none" w:sz="0" w:space="0" w:color="auto"/>
            <w:bottom w:val="none" w:sz="0" w:space="0" w:color="auto"/>
            <w:right w:val="none" w:sz="0" w:space="0" w:color="auto"/>
          </w:divBdr>
        </w:div>
      </w:divsChild>
    </w:div>
    <w:div w:id="1555696509">
      <w:bodyDiv w:val="1"/>
      <w:marLeft w:val="0"/>
      <w:marRight w:val="0"/>
      <w:marTop w:val="0"/>
      <w:marBottom w:val="0"/>
      <w:divBdr>
        <w:top w:val="none" w:sz="0" w:space="0" w:color="auto"/>
        <w:left w:val="none" w:sz="0" w:space="0" w:color="auto"/>
        <w:bottom w:val="none" w:sz="0" w:space="0" w:color="auto"/>
        <w:right w:val="none" w:sz="0" w:space="0" w:color="auto"/>
      </w:divBdr>
    </w:div>
    <w:div w:id="1573541603">
      <w:bodyDiv w:val="1"/>
      <w:marLeft w:val="0"/>
      <w:marRight w:val="0"/>
      <w:marTop w:val="0"/>
      <w:marBottom w:val="0"/>
      <w:divBdr>
        <w:top w:val="none" w:sz="0" w:space="0" w:color="auto"/>
        <w:left w:val="none" w:sz="0" w:space="0" w:color="auto"/>
        <w:bottom w:val="none" w:sz="0" w:space="0" w:color="auto"/>
        <w:right w:val="none" w:sz="0" w:space="0" w:color="auto"/>
      </w:divBdr>
      <w:divsChild>
        <w:div w:id="105858680">
          <w:marLeft w:val="547"/>
          <w:marRight w:val="0"/>
          <w:marTop w:val="0"/>
          <w:marBottom w:val="0"/>
          <w:divBdr>
            <w:top w:val="none" w:sz="0" w:space="0" w:color="auto"/>
            <w:left w:val="none" w:sz="0" w:space="0" w:color="auto"/>
            <w:bottom w:val="none" w:sz="0" w:space="0" w:color="auto"/>
            <w:right w:val="none" w:sz="0" w:space="0" w:color="auto"/>
          </w:divBdr>
        </w:div>
        <w:div w:id="107356870">
          <w:marLeft w:val="547"/>
          <w:marRight w:val="0"/>
          <w:marTop w:val="0"/>
          <w:marBottom w:val="0"/>
          <w:divBdr>
            <w:top w:val="none" w:sz="0" w:space="0" w:color="auto"/>
            <w:left w:val="none" w:sz="0" w:space="0" w:color="auto"/>
            <w:bottom w:val="none" w:sz="0" w:space="0" w:color="auto"/>
            <w:right w:val="none" w:sz="0" w:space="0" w:color="auto"/>
          </w:divBdr>
        </w:div>
        <w:div w:id="120341639">
          <w:marLeft w:val="547"/>
          <w:marRight w:val="0"/>
          <w:marTop w:val="0"/>
          <w:marBottom w:val="0"/>
          <w:divBdr>
            <w:top w:val="none" w:sz="0" w:space="0" w:color="auto"/>
            <w:left w:val="none" w:sz="0" w:space="0" w:color="auto"/>
            <w:bottom w:val="none" w:sz="0" w:space="0" w:color="auto"/>
            <w:right w:val="none" w:sz="0" w:space="0" w:color="auto"/>
          </w:divBdr>
        </w:div>
        <w:div w:id="154493568">
          <w:marLeft w:val="547"/>
          <w:marRight w:val="0"/>
          <w:marTop w:val="0"/>
          <w:marBottom w:val="0"/>
          <w:divBdr>
            <w:top w:val="none" w:sz="0" w:space="0" w:color="auto"/>
            <w:left w:val="none" w:sz="0" w:space="0" w:color="auto"/>
            <w:bottom w:val="none" w:sz="0" w:space="0" w:color="auto"/>
            <w:right w:val="none" w:sz="0" w:space="0" w:color="auto"/>
          </w:divBdr>
        </w:div>
        <w:div w:id="236672084">
          <w:marLeft w:val="547"/>
          <w:marRight w:val="0"/>
          <w:marTop w:val="0"/>
          <w:marBottom w:val="0"/>
          <w:divBdr>
            <w:top w:val="none" w:sz="0" w:space="0" w:color="auto"/>
            <w:left w:val="none" w:sz="0" w:space="0" w:color="auto"/>
            <w:bottom w:val="none" w:sz="0" w:space="0" w:color="auto"/>
            <w:right w:val="none" w:sz="0" w:space="0" w:color="auto"/>
          </w:divBdr>
        </w:div>
        <w:div w:id="284386041">
          <w:marLeft w:val="547"/>
          <w:marRight w:val="0"/>
          <w:marTop w:val="0"/>
          <w:marBottom w:val="0"/>
          <w:divBdr>
            <w:top w:val="none" w:sz="0" w:space="0" w:color="auto"/>
            <w:left w:val="none" w:sz="0" w:space="0" w:color="auto"/>
            <w:bottom w:val="none" w:sz="0" w:space="0" w:color="auto"/>
            <w:right w:val="none" w:sz="0" w:space="0" w:color="auto"/>
          </w:divBdr>
        </w:div>
        <w:div w:id="322244947">
          <w:marLeft w:val="547"/>
          <w:marRight w:val="0"/>
          <w:marTop w:val="0"/>
          <w:marBottom w:val="0"/>
          <w:divBdr>
            <w:top w:val="none" w:sz="0" w:space="0" w:color="auto"/>
            <w:left w:val="none" w:sz="0" w:space="0" w:color="auto"/>
            <w:bottom w:val="none" w:sz="0" w:space="0" w:color="auto"/>
            <w:right w:val="none" w:sz="0" w:space="0" w:color="auto"/>
          </w:divBdr>
        </w:div>
        <w:div w:id="422149820">
          <w:marLeft w:val="547"/>
          <w:marRight w:val="0"/>
          <w:marTop w:val="0"/>
          <w:marBottom w:val="0"/>
          <w:divBdr>
            <w:top w:val="none" w:sz="0" w:space="0" w:color="auto"/>
            <w:left w:val="none" w:sz="0" w:space="0" w:color="auto"/>
            <w:bottom w:val="none" w:sz="0" w:space="0" w:color="auto"/>
            <w:right w:val="none" w:sz="0" w:space="0" w:color="auto"/>
          </w:divBdr>
        </w:div>
        <w:div w:id="463931494">
          <w:marLeft w:val="547"/>
          <w:marRight w:val="0"/>
          <w:marTop w:val="0"/>
          <w:marBottom w:val="0"/>
          <w:divBdr>
            <w:top w:val="none" w:sz="0" w:space="0" w:color="auto"/>
            <w:left w:val="none" w:sz="0" w:space="0" w:color="auto"/>
            <w:bottom w:val="none" w:sz="0" w:space="0" w:color="auto"/>
            <w:right w:val="none" w:sz="0" w:space="0" w:color="auto"/>
          </w:divBdr>
        </w:div>
        <w:div w:id="576866985">
          <w:marLeft w:val="547"/>
          <w:marRight w:val="0"/>
          <w:marTop w:val="0"/>
          <w:marBottom w:val="0"/>
          <w:divBdr>
            <w:top w:val="none" w:sz="0" w:space="0" w:color="auto"/>
            <w:left w:val="none" w:sz="0" w:space="0" w:color="auto"/>
            <w:bottom w:val="none" w:sz="0" w:space="0" w:color="auto"/>
            <w:right w:val="none" w:sz="0" w:space="0" w:color="auto"/>
          </w:divBdr>
        </w:div>
        <w:div w:id="605650588">
          <w:marLeft w:val="547"/>
          <w:marRight w:val="0"/>
          <w:marTop w:val="0"/>
          <w:marBottom w:val="0"/>
          <w:divBdr>
            <w:top w:val="none" w:sz="0" w:space="0" w:color="auto"/>
            <w:left w:val="none" w:sz="0" w:space="0" w:color="auto"/>
            <w:bottom w:val="none" w:sz="0" w:space="0" w:color="auto"/>
            <w:right w:val="none" w:sz="0" w:space="0" w:color="auto"/>
          </w:divBdr>
        </w:div>
        <w:div w:id="627707018">
          <w:marLeft w:val="547"/>
          <w:marRight w:val="0"/>
          <w:marTop w:val="0"/>
          <w:marBottom w:val="0"/>
          <w:divBdr>
            <w:top w:val="none" w:sz="0" w:space="0" w:color="auto"/>
            <w:left w:val="none" w:sz="0" w:space="0" w:color="auto"/>
            <w:bottom w:val="none" w:sz="0" w:space="0" w:color="auto"/>
            <w:right w:val="none" w:sz="0" w:space="0" w:color="auto"/>
          </w:divBdr>
        </w:div>
        <w:div w:id="752357020">
          <w:marLeft w:val="547"/>
          <w:marRight w:val="0"/>
          <w:marTop w:val="0"/>
          <w:marBottom w:val="0"/>
          <w:divBdr>
            <w:top w:val="none" w:sz="0" w:space="0" w:color="auto"/>
            <w:left w:val="none" w:sz="0" w:space="0" w:color="auto"/>
            <w:bottom w:val="none" w:sz="0" w:space="0" w:color="auto"/>
            <w:right w:val="none" w:sz="0" w:space="0" w:color="auto"/>
          </w:divBdr>
        </w:div>
        <w:div w:id="769858120">
          <w:marLeft w:val="547"/>
          <w:marRight w:val="0"/>
          <w:marTop w:val="0"/>
          <w:marBottom w:val="0"/>
          <w:divBdr>
            <w:top w:val="none" w:sz="0" w:space="0" w:color="auto"/>
            <w:left w:val="none" w:sz="0" w:space="0" w:color="auto"/>
            <w:bottom w:val="none" w:sz="0" w:space="0" w:color="auto"/>
            <w:right w:val="none" w:sz="0" w:space="0" w:color="auto"/>
          </w:divBdr>
        </w:div>
        <w:div w:id="919487777">
          <w:marLeft w:val="547"/>
          <w:marRight w:val="0"/>
          <w:marTop w:val="0"/>
          <w:marBottom w:val="0"/>
          <w:divBdr>
            <w:top w:val="none" w:sz="0" w:space="0" w:color="auto"/>
            <w:left w:val="none" w:sz="0" w:space="0" w:color="auto"/>
            <w:bottom w:val="none" w:sz="0" w:space="0" w:color="auto"/>
            <w:right w:val="none" w:sz="0" w:space="0" w:color="auto"/>
          </w:divBdr>
        </w:div>
        <w:div w:id="1012879118">
          <w:marLeft w:val="547"/>
          <w:marRight w:val="0"/>
          <w:marTop w:val="0"/>
          <w:marBottom w:val="0"/>
          <w:divBdr>
            <w:top w:val="none" w:sz="0" w:space="0" w:color="auto"/>
            <w:left w:val="none" w:sz="0" w:space="0" w:color="auto"/>
            <w:bottom w:val="none" w:sz="0" w:space="0" w:color="auto"/>
            <w:right w:val="none" w:sz="0" w:space="0" w:color="auto"/>
          </w:divBdr>
        </w:div>
        <w:div w:id="1023822600">
          <w:marLeft w:val="547"/>
          <w:marRight w:val="0"/>
          <w:marTop w:val="0"/>
          <w:marBottom w:val="0"/>
          <w:divBdr>
            <w:top w:val="none" w:sz="0" w:space="0" w:color="auto"/>
            <w:left w:val="none" w:sz="0" w:space="0" w:color="auto"/>
            <w:bottom w:val="none" w:sz="0" w:space="0" w:color="auto"/>
            <w:right w:val="none" w:sz="0" w:space="0" w:color="auto"/>
          </w:divBdr>
        </w:div>
        <w:div w:id="1163739861">
          <w:marLeft w:val="547"/>
          <w:marRight w:val="0"/>
          <w:marTop w:val="0"/>
          <w:marBottom w:val="0"/>
          <w:divBdr>
            <w:top w:val="none" w:sz="0" w:space="0" w:color="auto"/>
            <w:left w:val="none" w:sz="0" w:space="0" w:color="auto"/>
            <w:bottom w:val="none" w:sz="0" w:space="0" w:color="auto"/>
            <w:right w:val="none" w:sz="0" w:space="0" w:color="auto"/>
          </w:divBdr>
        </w:div>
        <w:div w:id="1216115087">
          <w:marLeft w:val="547"/>
          <w:marRight w:val="0"/>
          <w:marTop w:val="0"/>
          <w:marBottom w:val="0"/>
          <w:divBdr>
            <w:top w:val="none" w:sz="0" w:space="0" w:color="auto"/>
            <w:left w:val="none" w:sz="0" w:space="0" w:color="auto"/>
            <w:bottom w:val="none" w:sz="0" w:space="0" w:color="auto"/>
            <w:right w:val="none" w:sz="0" w:space="0" w:color="auto"/>
          </w:divBdr>
        </w:div>
        <w:div w:id="1340809561">
          <w:marLeft w:val="547"/>
          <w:marRight w:val="0"/>
          <w:marTop w:val="0"/>
          <w:marBottom w:val="0"/>
          <w:divBdr>
            <w:top w:val="none" w:sz="0" w:space="0" w:color="auto"/>
            <w:left w:val="none" w:sz="0" w:space="0" w:color="auto"/>
            <w:bottom w:val="none" w:sz="0" w:space="0" w:color="auto"/>
            <w:right w:val="none" w:sz="0" w:space="0" w:color="auto"/>
          </w:divBdr>
        </w:div>
        <w:div w:id="1346437981">
          <w:marLeft w:val="547"/>
          <w:marRight w:val="0"/>
          <w:marTop w:val="0"/>
          <w:marBottom w:val="0"/>
          <w:divBdr>
            <w:top w:val="none" w:sz="0" w:space="0" w:color="auto"/>
            <w:left w:val="none" w:sz="0" w:space="0" w:color="auto"/>
            <w:bottom w:val="none" w:sz="0" w:space="0" w:color="auto"/>
            <w:right w:val="none" w:sz="0" w:space="0" w:color="auto"/>
          </w:divBdr>
        </w:div>
        <w:div w:id="1438788845">
          <w:marLeft w:val="547"/>
          <w:marRight w:val="0"/>
          <w:marTop w:val="0"/>
          <w:marBottom w:val="0"/>
          <w:divBdr>
            <w:top w:val="none" w:sz="0" w:space="0" w:color="auto"/>
            <w:left w:val="none" w:sz="0" w:space="0" w:color="auto"/>
            <w:bottom w:val="none" w:sz="0" w:space="0" w:color="auto"/>
            <w:right w:val="none" w:sz="0" w:space="0" w:color="auto"/>
          </w:divBdr>
        </w:div>
        <w:div w:id="1532722028">
          <w:marLeft w:val="547"/>
          <w:marRight w:val="0"/>
          <w:marTop w:val="0"/>
          <w:marBottom w:val="0"/>
          <w:divBdr>
            <w:top w:val="none" w:sz="0" w:space="0" w:color="auto"/>
            <w:left w:val="none" w:sz="0" w:space="0" w:color="auto"/>
            <w:bottom w:val="none" w:sz="0" w:space="0" w:color="auto"/>
            <w:right w:val="none" w:sz="0" w:space="0" w:color="auto"/>
          </w:divBdr>
        </w:div>
        <w:div w:id="1534538209">
          <w:marLeft w:val="547"/>
          <w:marRight w:val="0"/>
          <w:marTop w:val="0"/>
          <w:marBottom w:val="0"/>
          <w:divBdr>
            <w:top w:val="none" w:sz="0" w:space="0" w:color="auto"/>
            <w:left w:val="none" w:sz="0" w:space="0" w:color="auto"/>
            <w:bottom w:val="none" w:sz="0" w:space="0" w:color="auto"/>
            <w:right w:val="none" w:sz="0" w:space="0" w:color="auto"/>
          </w:divBdr>
        </w:div>
        <w:div w:id="1581598668">
          <w:marLeft w:val="547"/>
          <w:marRight w:val="0"/>
          <w:marTop w:val="0"/>
          <w:marBottom w:val="0"/>
          <w:divBdr>
            <w:top w:val="none" w:sz="0" w:space="0" w:color="auto"/>
            <w:left w:val="none" w:sz="0" w:space="0" w:color="auto"/>
            <w:bottom w:val="none" w:sz="0" w:space="0" w:color="auto"/>
            <w:right w:val="none" w:sz="0" w:space="0" w:color="auto"/>
          </w:divBdr>
        </w:div>
        <w:div w:id="1660115836">
          <w:marLeft w:val="547"/>
          <w:marRight w:val="0"/>
          <w:marTop w:val="0"/>
          <w:marBottom w:val="0"/>
          <w:divBdr>
            <w:top w:val="none" w:sz="0" w:space="0" w:color="auto"/>
            <w:left w:val="none" w:sz="0" w:space="0" w:color="auto"/>
            <w:bottom w:val="none" w:sz="0" w:space="0" w:color="auto"/>
            <w:right w:val="none" w:sz="0" w:space="0" w:color="auto"/>
          </w:divBdr>
        </w:div>
        <w:div w:id="1681010793">
          <w:marLeft w:val="547"/>
          <w:marRight w:val="0"/>
          <w:marTop w:val="0"/>
          <w:marBottom w:val="0"/>
          <w:divBdr>
            <w:top w:val="none" w:sz="0" w:space="0" w:color="auto"/>
            <w:left w:val="none" w:sz="0" w:space="0" w:color="auto"/>
            <w:bottom w:val="none" w:sz="0" w:space="0" w:color="auto"/>
            <w:right w:val="none" w:sz="0" w:space="0" w:color="auto"/>
          </w:divBdr>
        </w:div>
        <w:div w:id="1700818556">
          <w:marLeft w:val="547"/>
          <w:marRight w:val="0"/>
          <w:marTop w:val="0"/>
          <w:marBottom w:val="0"/>
          <w:divBdr>
            <w:top w:val="none" w:sz="0" w:space="0" w:color="auto"/>
            <w:left w:val="none" w:sz="0" w:space="0" w:color="auto"/>
            <w:bottom w:val="none" w:sz="0" w:space="0" w:color="auto"/>
            <w:right w:val="none" w:sz="0" w:space="0" w:color="auto"/>
          </w:divBdr>
        </w:div>
        <w:div w:id="1722097251">
          <w:marLeft w:val="547"/>
          <w:marRight w:val="0"/>
          <w:marTop w:val="0"/>
          <w:marBottom w:val="0"/>
          <w:divBdr>
            <w:top w:val="none" w:sz="0" w:space="0" w:color="auto"/>
            <w:left w:val="none" w:sz="0" w:space="0" w:color="auto"/>
            <w:bottom w:val="none" w:sz="0" w:space="0" w:color="auto"/>
            <w:right w:val="none" w:sz="0" w:space="0" w:color="auto"/>
          </w:divBdr>
        </w:div>
        <w:div w:id="1742485671">
          <w:marLeft w:val="547"/>
          <w:marRight w:val="0"/>
          <w:marTop w:val="0"/>
          <w:marBottom w:val="0"/>
          <w:divBdr>
            <w:top w:val="none" w:sz="0" w:space="0" w:color="auto"/>
            <w:left w:val="none" w:sz="0" w:space="0" w:color="auto"/>
            <w:bottom w:val="none" w:sz="0" w:space="0" w:color="auto"/>
            <w:right w:val="none" w:sz="0" w:space="0" w:color="auto"/>
          </w:divBdr>
        </w:div>
        <w:div w:id="1802578429">
          <w:marLeft w:val="547"/>
          <w:marRight w:val="0"/>
          <w:marTop w:val="0"/>
          <w:marBottom w:val="0"/>
          <w:divBdr>
            <w:top w:val="none" w:sz="0" w:space="0" w:color="auto"/>
            <w:left w:val="none" w:sz="0" w:space="0" w:color="auto"/>
            <w:bottom w:val="none" w:sz="0" w:space="0" w:color="auto"/>
            <w:right w:val="none" w:sz="0" w:space="0" w:color="auto"/>
          </w:divBdr>
        </w:div>
        <w:div w:id="1833986155">
          <w:marLeft w:val="547"/>
          <w:marRight w:val="0"/>
          <w:marTop w:val="0"/>
          <w:marBottom w:val="0"/>
          <w:divBdr>
            <w:top w:val="none" w:sz="0" w:space="0" w:color="auto"/>
            <w:left w:val="none" w:sz="0" w:space="0" w:color="auto"/>
            <w:bottom w:val="none" w:sz="0" w:space="0" w:color="auto"/>
            <w:right w:val="none" w:sz="0" w:space="0" w:color="auto"/>
          </w:divBdr>
        </w:div>
        <w:div w:id="1873879919">
          <w:marLeft w:val="547"/>
          <w:marRight w:val="0"/>
          <w:marTop w:val="0"/>
          <w:marBottom w:val="0"/>
          <w:divBdr>
            <w:top w:val="none" w:sz="0" w:space="0" w:color="auto"/>
            <w:left w:val="none" w:sz="0" w:space="0" w:color="auto"/>
            <w:bottom w:val="none" w:sz="0" w:space="0" w:color="auto"/>
            <w:right w:val="none" w:sz="0" w:space="0" w:color="auto"/>
          </w:divBdr>
        </w:div>
        <w:div w:id="1934120677">
          <w:marLeft w:val="547"/>
          <w:marRight w:val="0"/>
          <w:marTop w:val="0"/>
          <w:marBottom w:val="0"/>
          <w:divBdr>
            <w:top w:val="none" w:sz="0" w:space="0" w:color="auto"/>
            <w:left w:val="none" w:sz="0" w:space="0" w:color="auto"/>
            <w:bottom w:val="none" w:sz="0" w:space="0" w:color="auto"/>
            <w:right w:val="none" w:sz="0" w:space="0" w:color="auto"/>
          </w:divBdr>
        </w:div>
        <w:div w:id="1953245211">
          <w:marLeft w:val="547"/>
          <w:marRight w:val="0"/>
          <w:marTop w:val="0"/>
          <w:marBottom w:val="0"/>
          <w:divBdr>
            <w:top w:val="none" w:sz="0" w:space="0" w:color="auto"/>
            <w:left w:val="none" w:sz="0" w:space="0" w:color="auto"/>
            <w:bottom w:val="none" w:sz="0" w:space="0" w:color="auto"/>
            <w:right w:val="none" w:sz="0" w:space="0" w:color="auto"/>
          </w:divBdr>
        </w:div>
        <w:div w:id="1992824588">
          <w:marLeft w:val="547"/>
          <w:marRight w:val="0"/>
          <w:marTop w:val="0"/>
          <w:marBottom w:val="0"/>
          <w:divBdr>
            <w:top w:val="none" w:sz="0" w:space="0" w:color="auto"/>
            <w:left w:val="none" w:sz="0" w:space="0" w:color="auto"/>
            <w:bottom w:val="none" w:sz="0" w:space="0" w:color="auto"/>
            <w:right w:val="none" w:sz="0" w:space="0" w:color="auto"/>
          </w:divBdr>
        </w:div>
        <w:div w:id="1992950947">
          <w:marLeft w:val="547"/>
          <w:marRight w:val="0"/>
          <w:marTop w:val="0"/>
          <w:marBottom w:val="0"/>
          <w:divBdr>
            <w:top w:val="none" w:sz="0" w:space="0" w:color="auto"/>
            <w:left w:val="none" w:sz="0" w:space="0" w:color="auto"/>
            <w:bottom w:val="none" w:sz="0" w:space="0" w:color="auto"/>
            <w:right w:val="none" w:sz="0" w:space="0" w:color="auto"/>
          </w:divBdr>
        </w:div>
        <w:div w:id="2078550267">
          <w:marLeft w:val="547"/>
          <w:marRight w:val="0"/>
          <w:marTop w:val="0"/>
          <w:marBottom w:val="0"/>
          <w:divBdr>
            <w:top w:val="none" w:sz="0" w:space="0" w:color="auto"/>
            <w:left w:val="none" w:sz="0" w:space="0" w:color="auto"/>
            <w:bottom w:val="none" w:sz="0" w:space="0" w:color="auto"/>
            <w:right w:val="none" w:sz="0" w:space="0" w:color="auto"/>
          </w:divBdr>
        </w:div>
      </w:divsChild>
    </w:div>
    <w:div w:id="1578900971">
      <w:bodyDiv w:val="1"/>
      <w:marLeft w:val="0"/>
      <w:marRight w:val="0"/>
      <w:marTop w:val="0"/>
      <w:marBottom w:val="0"/>
      <w:divBdr>
        <w:top w:val="none" w:sz="0" w:space="0" w:color="auto"/>
        <w:left w:val="none" w:sz="0" w:space="0" w:color="auto"/>
        <w:bottom w:val="none" w:sz="0" w:space="0" w:color="auto"/>
        <w:right w:val="none" w:sz="0" w:space="0" w:color="auto"/>
      </w:divBdr>
    </w:div>
    <w:div w:id="1591814003">
      <w:bodyDiv w:val="1"/>
      <w:marLeft w:val="0"/>
      <w:marRight w:val="0"/>
      <w:marTop w:val="0"/>
      <w:marBottom w:val="0"/>
      <w:divBdr>
        <w:top w:val="none" w:sz="0" w:space="0" w:color="auto"/>
        <w:left w:val="none" w:sz="0" w:space="0" w:color="auto"/>
        <w:bottom w:val="none" w:sz="0" w:space="0" w:color="auto"/>
        <w:right w:val="none" w:sz="0" w:space="0" w:color="auto"/>
      </w:divBdr>
    </w:div>
    <w:div w:id="1668363954">
      <w:bodyDiv w:val="1"/>
      <w:marLeft w:val="0"/>
      <w:marRight w:val="0"/>
      <w:marTop w:val="0"/>
      <w:marBottom w:val="0"/>
      <w:divBdr>
        <w:top w:val="none" w:sz="0" w:space="0" w:color="auto"/>
        <w:left w:val="none" w:sz="0" w:space="0" w:color="auto"/>
        <w:bottom w:val="none" w:sz="0" w:space="0" w:color="auto"/>
        <w:right w:val="none" w:sz="0" w:space="0" w:color="auto"/>
      </w:divBdr>
    </w:div>
    <w:div w:id="1684159933">
      <w:bodyDiv w:val="1"/>
      <w:marLeft w:val="0"/>
      <w:marRight w:val="0"/>
      <w:marTop w:val="0"/>
      <w:marBottom w:val="0"/>
      <w:divBdr>
        <w:top w:val="none" w:sz="0" w:space="0" w:color="auto"/>
        <w:left w:val="none" w:sz="0" w:space="0" w:color="auto"/>
        <w:bottom w:val="none" w:sz="0" w:space="0" w:color="auto"/>
        <w:right w:val="none" w:sz="0" w:space="0" w:color="auto"/>
      </w:divBdr>
    </w:div>
    <w:div w:id="1716736990">
      <w:bodyDiv w:val="1"/>
      <w:marLeft w:val="0"/>
      <w:marRight w:val="0"/>
      <w:marTop w:val="0"/>
      <w:marBottom w:val="0"/>
      <w:divBdr>
        <w:top w:val="none" w:sz="0" w:space="0" w:color="auto"/>
        <w:left w:val="none" w:sz="0" w:space="0" w:color="auto"/>
        <w:bottom w:val="none" w:sz="0" w:space="0" w:color="auto"/>
        <w:right w:val="none" w:sz="0" w:space="0" w:color="auto"/>
      </w:divBdr>
    </w:div>
    <w:div w:id="1868329804">
      <w:bodyDiv w:val="1"/>
      <w:marLeft w:val="0"/>
      <w:marRight w:val="0"/>
      <w:marTop w:val="0"/>
      <w:marBottom w:val="0"/>
      <w:divBdr>
        <w:top w:val="none" w:sz="0" w:space="0" w:color="auto"/>
        <w:left w:val="none" w:sz="0" w:space="0" w:color="auto"/>
        <w:bottom w:val="none" w:sz="0" w:space="0" w:color="auto"/>
        <w:right w:val="none" w:sz="0" w:space="0" w:color="auto"/>
      </w:divBdr>
    </w:div>
    <w:div w:id="1894467540">
      <w:bodyDiv w:val="1"/>
      <w:marLeft w:val="0"/>
      <w:marRight w:val="0"/>
      <w:marTop w:val="0"/>
      <w:marBottom w:val="0"/>
      <w:divBdr>
        <w:top w:val="none" w:sz="0" w:space="0" w:color="auto"/>
        <w:left w:val="none" w:sz="0" w:space="0" w:color="auto"/>
        <w:bottom w:val="none" w:sz="0" w:space="0" w:color="auto"/>
        <w:right w:val="none" w:sz="0" w:space="0" w:color="auto"/>
      </w:divBdr>
    </w:div>
    <w:div w:id="1899976380">
      <w:bodyDiv w:val="1"/>
      <w:marLeft w:val="0"/>
      <w:marRight w:val="0"/>
      <w:marTop w:val="0"/>
      <w:marBottom w:val="0"/>
      <w:divBdr>
        <w:top w:val="none" w:sz="0" w:space="0" w:color="auto"/>
        <w:left w:val="none" w:sz="0" w:space="0" w:color="auto"/>
        <w:bottom w:val="none" w:sz="0" w:space="0" w:color="auto"/>
        <w:right w:val="none" w:sz="0" w:space="0" w:color="auto"/>
      </w:divBdr>
      <w:divsChild>
        <w:div w:id="575242138">
          <w:marLeft w:val="0"/>
          <w:marRight w:val="0"/>
          <w:marTop w:val="0"/>
          <w:marBottom w:val="0"/>
          <w:divBdr>
            <w:top w:val="none" w:sz="0" w:space="0" w:color="auto"/>
            <w:left w:val="none" w:sz="0" w:space="0" w:color="auto"/>
            <w:bottom w:val="none" w:sz="0" w:space="0" w:color="auto"/>
            <w:right w:val="none" w:sz="0" w:space="0" w:color="auto"/>
          </w:divBdr>
        </w:div>
        <w:div w:id="1710913988">
          <w:marLeft w:val="0"/>
          <w:marRight w:val="0"/>
          <w:marTop w:val="0"/>
          <w:marBottom w:val="0"/>
          <w:divBdr>
            <w:top w:val="none" w:sz="0" w:space="0" w:color="auto"/>
            <w:left w:val="none" w:sz="0" w:space="0" w:color="auto"/>
            <w:bottom w:val="none" w:sz="0" w:space="0" w:color="auto"/>
            <w:right w:val="none" w:sz="0" w:space="0" w:color="auto"/>
          </w:divBdr>
        </w:div>
      </w:divsChild>
    </w:div>
    <w:div w:id="1918051650">
      <w:bodyDiv w:val="1"/>
      <w:marLeft w:val="0"/>
      <w:marRight w:val="0"/>
      <w:marTop w:val="0"/>
      <w:marBottom w:val="0"/>
      <w:divBdr>
        <w:top w:val="none" w:sz="0" w:space="0" w:color="auto"/>
        <w:left w:val="none" w:sz="0" w:space="0" w:color="auto"/>
        <w:bottom w:val="none" w:sz="0" w:space="0" w:color="auto"/>
        <w:right w:val="none" w:sz="0" w:space="0" w:color="auto"/>
      </w:divBdr>
    </w:div>
    <w:div w:id="2055420090">
      <w:bodyDiv w:val="1"/>
      <w:marLeft w:val="0"/>
      <w:marRight w:val="0"/>
      <w:marTop w:val="0"/>
      <w:marBottom w:val="0"/>
      <w:divBdr>
        <w:top w:val="none" w:sz="0" w:space="0" w:color="auto"/>
        <w:left w:val="none" w:sz="0" w:space="0" w:color="auto"/>
        <w:bottom w:val="none" w:sz="0" w:space="0" w:color="auto"/>
        <w:right w:val="none" w:sz="0" w:space="0" w:color="auto"/>
      </w:divBdr>
    </w:div>
    <w:div w:id="2062942917">
      <w:bodyDiv w:val="1"/>
      <w:marLeft w:val="0"/>
      <w:marRight w:val="0"/>
      <w:marTop w:val="0"/>
      <w:marBottom w:val="0"/>
      <w:divBdr>
        <w:top w:val="none" w:sz="0" w:space="0" w:color="auto"/>
        <w:left w:val="none" w:sz="0" w:space="0" w:color="auto"/>
        <w:bottom w:val="none" w:sz="0" w:space="0" w:color="auto"/>
        <w:right w:val="none" w:sz="0" w:space="0" w:color="auto"/>
      </w:divBdr>
    </w:div>
    <w:div w:id="2145267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hyperlink" Target="http://www.wocan.org/sites/default/files/CFN-online.pdf" TargetMode="External"/><Relationship Id="rId26" Type="http://schemas.openxmlformats.org/officeDocument/2006/relationships/hyperlink" Target="http://www.un.org/sc/committees/1267/aq_sanctions_list.shtml"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https://intranet.undp.org/global/documents/ppm/Supplemental.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3.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hyperlink" Target="http://www.undp.org/content/undp/en/home/librarypage/operations1/undp-social-and-environmental-screening-procedure.html" TargetMode="External"/><Relationship Id="rId30" Type="http://schemas.openxmlformats.org/officeDocument/2006/relationships/header" Target="header7.xml"/></Relationships>
</file>

<file path=word/_rels/footnotes.xml.rels><?xml version="1.0" encoding="UTF-8" standalone="yes"?>
<Relationships xmlns="http://schemas.openxmlformats.org/package/2006/relationships"><Relationship Id="rId1" Type="http://schemas.openxmlformats.org/officeDocument/2006/relationships/hyperlink" Target="https://www.beehive.govt.nz/release/nz-boosts-support-climate-action-across-pacifi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825E2BC03C01F48854E307ECBD00817" ma:contentTypeVersion="7" ma:contentTypeDescription="Create a new document." ma:contentTypeScope="" ma:versionID="c79aff3eb4c29ef78a624c949d3451a9">
  <xsd:schema xmlns:xsd="http://www.w3.org/2001/XMLSchema" xmlns:xs="http://www.w3.org/2001/XMLSchema" xmlns:p="http://schemas.microsoft.com/office/2006/metadata/properties" xmlns:ns2="2a28afb6-327a-451a-88cb-8a9816e275b4" xmlns:ns3="03460cc6-c7ee-4910-bede-ea31a09e82b1" targetNamespace="http://schemas.microsoft.com/office/2006/metadata/properties" ma:root="true" ma:fieldsID="921f0395ff14738e6a8d310cc3dfed7a" ns2:_="" ns3:_="">
    <xsd:import namespace="2a28afb6-327a-451a-88cb-8a9816e275b4"/>
    <xsd:import namespace="03460cc6-c7ee-4910-bede-ea31a09e82b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28afb6-327a-451a-88cb-8a9816e275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460cc6-c7ee-4910-bede-ea31a09e82b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B330B217-E157-48DE-9AFF-5363283E3A8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D80C402-EEE1-45C1-BCB8-E5F883667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28afb6-327a-451a-88cb-8a9816e275b4"/>
    <ds:schemaRef ds:uri="03460cc6-c7ee-4910-bede-ea31a09e8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B45C58-855C-4B2B-9D23-592FDDA6F2E6}">
  <ds:schemaRefs>
    <ds:schemaRef ds:uri="http://schemas.openxmlformats.org/officeDocument/2006/bibliography"/>
  </ds:schemaRefs>
</ds:datastoreItem>
</file>

<file path=customXml/itemProps4.xml><?xml version="1.0" encoding="utf-8"?>
<ds:datastoreItem xmlns:ds="http://schemas.openxmlformats.org/officeDocument/2006/customXml" ds:itemID="{A34CAE4D-3EDF-6F43-9F56-BBA2EB1169A3}">
  <ds:schemaRefs>
    <ds:schemaRef ds:uri="http://schemas.microsoft.com/sharepoint/v3/contenttype/forms"/>
  </ds:schemaRefs>
</ds:datastoreItem>
</file>

<file path=customXml/itemProps5.xml><?xml version="1.0" encoding="utf-8"?>
<ds:datastoreItem xmlns:ds="http://schemas.openxmlformats.org/officeDocument/2006/customXml" ds:itemID="{FD0767ED-BC7D-FA4B-A3A1-E12259EC8B29}">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29854</Words>
  <Characters>170168</Characters>
  <Application>Microsoft Office Word</Application>
  <DocSecurity>0</DocSecurity>
  <Lines>1418</Lines>
  <Paragraphs>399</Paragraphs>
  <ScaleCrop>false</ScaleCrop>
  <HeadingPairs>
    <vt:vector size="2" baseType="variant">
      <vt:variant>
        <vt:lpstr>Title</vt:lpstr>
      </vt:variant>
      <vt:variant>
        <vt:i4>1</vt:i4>
      </vt:variant>
    </vt:vector>
  </HeadingPairs>
  <TitlesOfParts>
    <vt:vector size="1" baseType="lpstr">
      <vt:lpstr>Project Document Template</vt:lpstr>
    </vt:vector>
  </TitlesOfParts>
  <Manager>BDP/BOM</Manager>
  <Company>UNDP</Company>
  <LinksUpToDate>false</LinksUpToDate>
  <CharactersWithSpaces>199623</CharactersWithSpaces>
  <SharedDoc>false</SharedDoc>
  <HLinks>
    <vt:vector size="222" baseType="variant">
      <vt:variant>
        <vt:i4>1245198</vt:i4>
      </vt:variant>
      <vt:variant>
        <vt:i4>213</vt:i4>
      </vt:variant>
      <vt:variant>
        <vt:i4>0</vt:i4>
      </vt:variant>
      <vt:variant>
        <vt:i4>5</vt:i4>
      </vt:variant>
      <vt:variant>
        <vt:lpwstr/>
      </vt:variant>
      <vt:variant>
        <vt:lpwstr>TransboundaryImpactsGlossary</vt:lpwstr>
      </vt:variant>
      <vt:variant>
        <vt:i4>7929978</vt:i4>
      </vt:variant>
      <vt:variant>
        <vt:i4>210</vt:i4>
      </vt:variant>
      <vt:variant>
        <vt:i4>0</vt:i4>
      </vt:variant>
      <vt:variant>
        <vt:i4>5</vt:i4>
      </vt:variant>
      <vt:variant>
        <vt:lpwstr/>
      </vt:variant>
      <vt:variant>
        <vt:lpwstr>CCVulnerabilityGlossary</vt:lpwstr>
      </vt:variant>
      <vt:variant>
        <vt:i4>589826</vt:i4>
      </vt:variant>
      <vt:variant>
        <vt:i4>207</vt:i4>
      </vt:variant>
      <vt:variant>
        <vt:i4>0</vt:i4>
      </vt:variant>
      <vt:variant>
        <vt:i4>5</vt:i4>
      </vt:variant>
      <vt:variant>
        <vt:lpwstr/>
      </vt:variant>
      <vt:variant>
        <vt:lpwstr>SustNatResManGlossary</vt:lpwstr>
      </vt:variant>
      <vt:variant>
        <vt:i4>2490468</vt:i4>
      </vt:variant>
      <vt:variant>
        <vt:i4>204</vt:i4>
      </vt:variant>
      <vt:variant>
        <vt:i4>0</vt:i4>
      </vt:variant>
      <vt:variant>
        <vt:i4>5</vt:i4>
      </vt:variant>
      <vt:variant>
        <vt:lpwstr>http://www.undp.org/content/undp/en/home/librarypage/operations1/undp-social-and-environmental-screening-procedure.html</vt:lpwstr>
      </vt:variant>
      <vt:variant>
        <vt:lpwstr/>
      </vt:variant>
      <vt:variant>
        <vt:i4>18</vt:i4>
      </vt:variant>
      <vt:variant>
        <vt:i4>201</vt:i4>
      </vt:variant>
      <vt:variant>
        <vt:i4>0</vt:i4>
      </vt:variant>
      <vt:variant>
        <vt:i4>5</vt:i4>
      </vt:variant>
      <vt:variant>
        <vt:lpwstr>http://www.un.org/sc/committees/1267/aq_sanctions_list.shtml</vt:lpwstr>
      </vt:variant>
      <vt:variant>
        <vt:lpwstr/>
      </vt:variant>
      <vt:variant>
        <vt:i4>3801137</vt:i4>
      </vt:variant>
      <vt:variant>
        <vt:i4>198</vt:i4>
      </vt:variant>
      <vt:variant>
        <vt:i4>0</vt:i4>
      </vt:variant>
      <vt:variant>
        <vt:i4>5</vt:i4>
      </vt:variant>
      <vt:variant>
        <vt:lpwstr>https://intranet.undp.org/global/documents/ppm/Supplemental.pdf</vt:lpwstr>
      </vt:variant>
      <vt:variant>
        <vt:lpwstr/>
      </vt:variant>
      <vt:variant>
        <vt:i4>8192051</vt:i4>
      </vt:variant>
      <vt:variant>
        <vt:i4>183</vt:i4>
      </vt:variant>
      <vt:variant>
        <vt:i4>0</vt:i4>
      </vt:variant>
      <vt:variant>
        <vt:i4>5</vt:i4>
      </vt:variant>
      <vt:variant>
        <vt:lpwstr>http://www.wocan.org/sites/default/files/CFN-online.pdf</vt:lpwstr>
      </vt:variant>
      <vt:variant>
        <vt:lpwstr/>
      </vt:variant>
      <vt:variant>
        <vt:i4>1245235</vt:i4>
      </vt:variant>
      <vt:variant>
        <vt:i4>170</vt:i4>
      </vt:variant>
      <vt:variant>
        <vt:i4>0</vt:i4>
      </vt:variant>
      <vt:variant>
        <vt:i4>5</vt:i4>
      </vt:variant>
      <vt:variant>
        <vt:lpwstr/>
      </vt:variant>
      <vt:variant>
        <vt:lpwstr>_Toc24127775</vt:lpwstr>
      </vt:variant>
      <vt:variant>
        <vt:i4>1179699</vt:i4>
      </vt:variant>
      <vt:variant>
        <vt:i4>164</vt:i4>
      </vt:variant>
      <vt:variant>
        <vt:i4>0</vt:i4>
      </vt:variant>
      <vt:variant>
        <vt:i4>5</vt:i4>
      </vt:variant>
      <vt:variant>
        <vt:lpwstr/>
      </vt:variant>
      <vt:variant>
        <vt:lpwstr>_Toc24127774</vt:lpwstr>
      </vt:variant>
      <vt:variant>
        <vt:i4>1376307</vt:i4>
      </vt:variant>
      <vt:variant>
        <vt:i4>158</vt:i4>
      </vt:variant>
      <vt:variant>
        <vt:i4>0</vt:i4>
      </vt:variant>
      <vt:variant>
        <vt:i4>5</vt:i4>
      </vt:variant>
      <vt:variant>
        <vt:lpwstr/>
      </vt:variant>
      <vt:variant>
        <vt:lpwstr>_Toc24127773</vt:lpwstr>
      </vt:variant>
      <vt:variant>
        <vt:i4>1310771</vt:i4>
      </vt:variant>
      <vt:variant>
        <vt:i4>152</vt:i4>
      </vt:variant>
      <vt:variant>
        <vt:i4>0</vt:i4>
      </vt:variant>
      <vt:variant>
        <vt:i4>5</vt:i4>
      </vt:variant>
      <vt:variant>
        <vt:lpwstr/>
      </vt:variant>
      <vt:variant>
        <vt:lpwstr>_Toc24127772</vt:lpwstr>
      </vt:variant>
      <vt:variant>
        <vt:i4>1507379</vt:i4>
      </vt:variant>
      <vt:variant>
        <vt:i4>146</vt:i4>
      </vt:variant>
      <vt:variant>
        <vt:i4>0</vt:i4>
      </vt:variant>
      <vt:variant>
        <vt:i4>5</vt:i4>
      </vt:variant>
      <vt:variant>
        <vt:lpwstr/>
      </vt:variant>
      <vt:variant>
        <vt:lpwstr>_Toc24127771</vt:lpwstr>
      </vt:variant>
      <vt:variant>
        <vt:i4>1441843</vt:i4>
      </vt:variant>
      <vt:variant>
        <vt:i4>140</vt:i4>
      </vt:variant>
      <vt:variant>
        <vt:i4>0</vt:i4>
      </vt:variant>
      <vt:variant>
        <vt:i4>5</vt:i4>
      </vt:variant>
      <vt:variant>
        <vt:lpwstr/>
      </vt:variant>
      <vt:variant>
        <vt:lpwstr>_Toc24127770</vt:lpwstr>
      </vt:variant>
      <vt:variant>
        <vt:i4>2031666</vt:i4>
      </vt:variant>
      <vt:variant>
        <vt:i4>134</vt:i4>
      </vt:variant>
      <vt:variant>
        <vt:i4>0</vt:i4>
      </vt:variant>
      <vt:variant>
        <vt:i4>5</vt:i4>
      </vt:variant>
      <vt:variant>
        <vt:lpwstr/>
      </vt:variant>
      <vt:variant>
        <vt:lpwstr>_Toc24127769</vt:lpwstr>
      </vt:variant>
      <vt:variant>
        <vt:i4>1966130</vt:i4>
      </vt:variant>
      <vt:variant>
        <vt:i4>128</vt:i4>
      </vt:variant>
      <vt:variant>
        <vt:i4>0</vt:i4>
      </vt:variant>
      <vt:variant>
        <vt:i4>5</vt:i4>
      </vt:variant>
      <vt:variant>
        <vt:lpwstr/>
      </vt:variant>
      <vt:variant>
        <vt:lpwstr>_Toc24127768</vt:lpwstr>
      </vt:variant>
      <vt:variant>
        <vt:i4>1114162</vt:i4>
      </vt:variant>
      <vt:variant>
        <vt:i4>122</vt:i4>
      </vt:variant>
      <vt:variant>
        <vt:i4>0</vt:i4>
      </vt:variant>
      <vt:variant>
        <vt:i4>5</vt:i4>
      </vt:variant>
      <vt:variant>
        <vt:lpwstr/>
      </vt:variant>
      <vt:variant>
        <vt:lpwstr>_Toc24127767</vt:lpwstr>
      </vt:variant>
      <vt:variant>
        <vt:i4>1048626</vt:i4>
      </vt:variant>
      <vt:variant>
        <vt:i4>116</vt:i4>
      </vt:variant>
      <vt:variant>
        <vt:i4>0</vt:i4>
      </vt:variant>
      <vt:variant>
        <vt:i4>5</vt:i4>
      </vt:variant>
      <vt:variant>
        <vt:lpwstr/>
      </vt:variant>
      <vt:variant>
        <vt:lpwstr>_Toc24127766</vt:lpwstr>
      </vt:variant>
      <vt:variant>
        <vt:i4>1245234</vt:i4>
      </vt:variant>
      <vt:variant>
        <vt:i4>110</vt:i4>
      </vt:variant>
      <vt:variant>
        <vt:i4>0</vt:i4>
      </vt:variant>
      <vt:variant>
        <vt:i4>5</vt:i4>
      </vt:variant>
      <vt:variant>
        <vt:lpwstr/>
      </vt:variant>
      <vt:variant>
        <vt:lpwstr>_Toc24127765</vt:lpwstr>
      </vt:variant>
      <vt:variant>
        <vt:i4>1179698</vt:i4>
      </vt:variant>
      <vt:variant>
        <vt:i4>104</vt:i4>
      </vt:variant>
      <vt:variant>
        <vt:i4>0</vt:i4>
      </vt:variant>
      <vt:variant>
        <vt:i4>5</vt:i4>
      </vt:variant>
      <vt:variant>
        <vt:lpwstr/>
      </vt:variant>
      <vt:variant>
        <vt:lpwstr>_Toc24127764</vt:lpwstr>
      </vt:variant>
      <vt:variant>
        <vt:i4>1376306</vt:i4>
      </vt:variant>
      <vt:variant>
        <vt:i4>98</vt:i4>
      </vt:variant>
      <vt:variant>
        <vt:i4>0</vt:i4>
      </vt:variant>
      <vt:variant>
        <vt:i4>5</vt:i4>
      </vt:variant>
      <vt:variant>
        <vt:lpwstr/>
      </vt:variant>
      <vt:variant>
        <vt:lpwstr>_Toc24127763</vt:lpwstr>
      </vt:variant>
      <vt:variant>
        <vt:i4>1310770</vt:i4>
      </vt:variant>
      <vt:variant>
        <vt:i4>92</vt:i4>
      </vt:variant>
      <vt:variant>
        <vt:i4>0</vt:i4>
      </vt:variant>
      <vt:variant>
        <vt:i4>5</vt:i4>
      </vt:variant>
      <vt:variant>
        <vt:lpwstr/>
      </vt:variant>
      <vt:variant>
        <vt:lpwstr>_Toc24127762</vt:lpwstr>
      </vt:variant>
      <vt:variant>
        <vt:i4>1507378</vt:i4>
      </vt:variant>
      <vt:variant>
        <vt:i4>86</vt:i4>
      </vt:variant>
      <vt:variant>
        <vt:i4>0</vt:i4>
      </vt:variant>
      <vt:variant>
        <vt:i4>5</vt:i4>
      </vt:variant>
      <vt:variant>
        <vt:lpwstr/>
      </vt:variant>
      <vt:variant>
        <vt:lpwstr>_Toc24127761</vt:lpwstr>
      </vt:variant>
      <vt:variant>
        <vt:i4>1441842</vt:i4>
      </vt:variant>
      <vt:variant>
        <vt:i4>80</vt:i4>
      </vt:variant>
      <vt:variant>
        <vt:i4>0</vt:i4>
      </vt:variant>
      <vt:variant>
        <vt:i4>5</vt:i4>
      </vt:variant>
      <vt:variant>
        <vt:lpwstr/>
      </vt:variant>
      <vt:variant>
        <vt:lpwstr>_Toc24127760</vt:lpwstr>
      </vt:variant>
      <vt:variant>
        <vt:i4>2031665</vt:i4>
      </vt:variant>
      <vt:variant>
        <vt:i4>74</vt:i4>
      </vt:variant>
      <vt:variant>
        <vt:i4>0</vt:i4>
      </vt:variant>
      <vt:variant>
        <vt:i4>5</vt:i4>
      </vt:variant>
      <vt:variant>
        <vt:lpwstr/>
      </vt:variant>
      <vt:variant>
        <vt:lpwstr>_Toc24127759</vt:lpwstr>
      </vt:variant>
      <vt:variant>
        <vt:i4>1966129</vt:i4>
      </vt:variant>
      <vt:variant>
        <vt:i4>68</vt:i4>
      </vt:variant>
      <vt:variant>
        <vt:i4>0</vt:i4>
      </vt:variant>
      <vt:variant>
        <vt:i4>5</vt:i4>
      </vt:variant>
      <vt:variant>
        <vt:lpwstr/>
      </vt:variant>
      <vt:variant>
        <vt:lpwstr>_Toc24127758</vt:lpwstr>
      </vt:variant>
      <vt:variant>
        <vt:i4>1114161</vt:i4>
      </vt:variant>
      <vt:variant>
        <vt:i4>62</vt:i4>
      </vt:variant>
      <vt:variant>
        <vt:i4>0</vt:i4>
      </vt:variant>
      <vt:variant>
        <vt:i4>5</vt:i4>
      </vt:variant>
      <vt:variant>
        <vt:lpwstr/>
      </vt:variant>
      <vt:variant>
        <vt:lpwstr>_Toc24127757</vt:lpwstr>
      </vt:variant>
      <vt:variant>
        <vt:i4>1048625</vt:i4>
      </vt:variant>
      <vt:variant>
        <vt:i4>56</vt:i4>
      </vt:variant>
      <vt:variant>
        <vt:i4>0</vt:i4>
      </vt:variant>
      <vt:variant>
        <vt:i4>5</vt:i4>
      </vt:variant>
      <vt:variant>
        <vt:lpwstr/>
      </vt:variant>
      <vt:variant>
        <vt:lpwstr>_Toc24127756</vt:lpwstr>
      </vt:variant>
      <vt:variant>
        <vt:i4>1245233</vt:i4>
      </vt:variant>
      <vt:variant>
        <vt:i4>50</vt:i4>
      </vt:variant>
      <vt:variant>
        <vt:i4>0</vt:i4>
      </vt:variant>
      <vt:variant>
        <vt:i4>5</vt:i4>
      </vt:variant>
      <vt:variant>
        <vt:lpwstr/>
      </vt:variant>
      <vt:variant>
        <vt:lpwstr>_Toc24127755</vt:lpwstr>
      </vt:variant>
      <vt:variant>
        <vt:i4>1179697</vt:i4>
      </vt:variant>
      <vt:variant>
        <vt:i4>44</vt:i4>
      </vt:variant>
      <vt:variant>
        <vt:i4>0</vt:i4>
      </vt:variant>
      <vt:variant>
        <vt:i4>5</vt:i4>
      </vt:variant>
      <vt:variant>
        <vt:lpwstr/>
      </vt:variant>
      <vt:variant>
        <vt:lpwstr>_Toc24127754</vt:lpwstr>
      </vt:variant>
      <vt:variant>
        <vt:i4>1376305</vt:i4>
      </vt:variant>
      <vt:variant>
        <vt:i4>38</vt:i4>
      </vt:variant>
      <vt:variant>
        <vt:i4>0</vt:i4>
      </vt:variant>
      <vt:variant>
        <vt:i4>5</vt:i4>
      </vt:variant>
      <vt:variant>
        <vt:lpwstr/>
      </vt:variant>
      <vt:variant>
        <vt:lpwstr>_Toc24127753</vt:lpwstr>
      </vt:variant>
      <vt:variant>
        <vt:i4>1310769</vt:i4>
      </vt:variant>
      <vt:variant>
        <vt:i4>32</vt:i4>
      </vt:variant>
      <vt:variant>
        <vt:i4>0</vt:i4>
      </vt:variant>
      <vt:variant>
        <vt:i4>5</vt:i4>
      </vt:variant>
      <vt:variant>
        <vt:lpwstr/>
      </vt:variant>
      <vt:variant>
        <vt:lpwstr>_Toc24127752</vt:lpwstr>
      </vt:variant>
      <vt:variant>
        <vt:i4>1507377</vt:i4>
      </vt:variant>
      <vt:variant>
        <vt:i4>26</vt:i4>
      </vt:variant>
      <vt:variant>
        <vt:i4>0</vt:i4>
      </vt:variant>
      <vt:variant>
        <vt:i4>5</vt:i4>
      </vt:variant>
      <vt:variant>
        <vt:lpwstr/>
      </vt:variant>
      <vt:variant>
        <vt:lpwstr>_Toc24127751</vt:lpwstr>
      </vt:variant>
      <vt:variant>
        <vt:i4>1441841</vt:i4>
      </vt:variant>
      <vt:variant>
        <vt:i4>20</vt:i4>
      </vt:variant>
      <vt:variant>
        <vt:i4>0</vt:i4>
      </vt:variant>
      <vt:variant>
        <vt:i4>5</vt:i4>
      </vt:variant>
      <vt:variant>
        <vt:lpwstr/>
      </vt:variant>
      <vt:variant>
        <vt:lpwstr>_Toc24127750</vt:lpwstr>
      </vt:variant>
      <vt:variant>
        <vt:i4>2031664</vt:i4>
      </vt:variant>
      <vt:variant>
        <vt:i4>14</vt:i4>
      </vt:variant>
      <vt:variant>
        <vt:i4>0</vt:i4>
      </vt:variant>
      <vt:variant>
        <vt:i4>5</vt:i4>
      </vt:variant>
      <vt:variant>
        <vt:lpwstr/>
      </vt:variant>
      <vt:variant>
        <vt:lpwstr>_Toc24127749</vt:lpwstr>
      </vt:variant>
      <vt:variant>
        <vt:i4>1966128</vt:i4>
      </vt:variant>
      <vt:variant>
        <vt:i4>8</vt:i4>
      </vt:variant>
      <vt:variant>
        <vt:i4>0</vt:i4>
      </vt:variant>
      <vt:variant>
        <vt:i4>5</vt:i4>
      </vt:variant>
      <vt:variant>
        <vt:lpwstr/>
      </vt:variant>
      <vt:variant>
        <vt:lpwstr>_Toc24127748</vt:lpwstr>
      </vt:variant>
      <vt:variant>
        <vt:i4>1114160</vt:i4>
      </vt:variant>
      <vt:variant>
        <vt:i4>2</vt:i4>
      </vt:variant>
      <vt:variant>
        <vt:i4>0</vt:i4>
      </vt:variant>
      <vt:variant>
        <vt:i4>5</vt:i4>
      </vt:variant>
      <vt:variant>
        <vt:lpwstr/>
      </vt:variant>
      <vt:variant>
        <vt:lpwstr>_Toc24127747</vt:lpwstr>
      </vt:variant>
      <vt:variant>
        <vt:i4>8323187</vt:i4>
      </vt:variant>
      <vt:variant>
        <vt:i4>0</vt:i4>
      </vt:variant>
      <vt:variant>
        <vt:i4>0</vt:i4>
      </vt:variant>
      <vt:variant>
        <vt:i4>5</vt:i4>
      </vt:variant>
      <vt:variant>
        <vt:lpwstr>https://www.beehive.govt.nz/release/nz-boosts-support-climate-action-across-pacific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 Template</dc:title>
  <dc:subject>Project Management</dc:subject>
  <dc:creator>jessica.murray@undp.org</dc:creator>
  <cp:keywords/>
  <dc:description/>
  <cp:lastModifiedBy>Joe Settree</cp:lastModifiedBy>
  <cp:revision>1</cp:revision>
  <cp:lastPrinted>2021-03-22T00:09:00Z</cp:lastPrinted>
  <dcterms:created xsi:type="dcterms:W3CDTF">2021-03-24T05:55:00Z</dcterms:created>
  <dcterms:modified xsi:type="dcterms:W3CDTF">2021-03-24T05:55:00Z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POPP-11-2425</vt:lpwstr>
  </property>
  <property fmtid="{D5CDD505-2E9C-101B-9397-08002B2CF9AE}" pid="3" name="_dlc_DocIdItemGuid">
    <vt:lpwstr>0a0dacc8-a653-4f02-8de1-79b9de80524c</vt:lpwstr>
  </property>
  <property fmtid="{D5CDD505-2E9C-101B-9397-08002B2CF9AE}" pid="4" name="_dlc_DocIdUrl">
    <vt:lpwstr>https://popp.undp.org/_layouts/15/DocIdRedir.aspx?ID=POPP-11-2425, POPP-11-2425</vt:lpwstr>
  </property>
  <property fmtid="{D5CDD505-2E9C-101B-9397-08002B2CF9AE}" pid="5" name="UNDPPOPPFunctionalArea">
    <vt:lpwstr>Programme and Project</vt:lpwstr>
  </property>
  <property fmtid="{D5CDD505-2E9C-101B-9397-08002B2CF9AE}" pid="6" name="UNDPPOPPKeywordsTaxHTField0">
    <vt:lpwstr>Project Document|bf9937c4-130a-45b8-a7c6-11b0f1a350eb</vt:lpwstr>
  </property>
  <property fmtid="{D5CDD505-2E9C-101B-9397-08002B2CF9AE}" pid="7" name="UNDPResponsibleUnit">
    <vt:lpwstr>BDP/CDG</vt:lpwstr>
  </property>
  <property fmtid="{D5CDD505-2E9C-101B-9397-08002B2CF9AE}" pid="8" name="UNDPSubject">
    <vt:lpwstr/>
  </property>
  <property fmtid="{D5CDD505-2E9C-101B-9397-08002B2CF9AE}" pid="9" name="UNDPApplicability">
    <vt:lpwstr>All UNDP projects</vt:lpwstr>
  </property>
  <property fmtid="{D5CDD505-2E9C-101B-9397-08002B2CF9AE}" pid="10" name="UNDPPOPPProcess">
    <vt:lpwstr>Project Management</vt:lpwstr>
  </property>
  <property fmtid="{D5CDD505-2E9C-101B-9397-08002B2CF9AE}" pid="11" name="UNDPPOPPSubsubprocess">
    <vt:lpwstr/>
  </property>
  <property fmtid="{D5CDD505-2E9C-101B-9397-08002B2CF9AE}" pid="12" name="UNDPPOPPKeywords">
    <vt:lpwstr>46;#Project Document|bf9937c4-130a-45b8-a7c6-11b0f1a350eb</vt:lpwstr>
  </property>
  <property fmtid="{D5CDD505-2E9C-101B-9397-08002B2CF9AE}" pid="13" name="UNDPIsPartOf">
    <vt:lpwstr/>
  </property>
  <property fmtid="{D5CDD505-2E9C-101B-9397-08002B2CF9AE}" pid="14" name="UNDPPOPPSubprocess">
    <vt:lpwstr>Initiating a Project</vt:lpwstr>
  </property>
  <property fmtid="{D5CDD505-2E9C-101B-9397-08002B2CF9AE}" pid="15" name="TaxCatchAll">
    <vt:lpwstr>669;#Programme and Project Management|1c019435-9793-447e-8959-0b32d23bf3d5</vt:lpwstr>
  </property>
  <property fmtid="{D5CDD505-2E9C-101B-9397-08002B2CF9AE}" pid="16" name="ContentTypeId">
    <vt:lpwstr>0x010100D825E2BC03C01F48854E307ECBD00817</vt:lpwstr>
  </property>
  <property fmtid="{D5CDD505-2E9C-101B-9397-08002B2CF9AE}" pid="17" name="UNDPPlannedReviewDate">
    <vt:lpwstr>2013-04-05T00:00:00Z</vt:lpwstr>
  </property>
  <property fmtid="{D5CDD505-2E9C-101B-9397-08002B2CF9AE}" pid="18" name="Focalpoint">
    <vt:lpwstr>309;#UNDPHQ\dien.le</vt:lpwstr>
  </property>
  <property fmtid="{D5CDD505-2E9C-101B-9397-08002B2CF9AE}" pid="19" name="UNDPEffectiveDate">
    <vt:lpwstr>2012-04-05T00:00:00Z</vt:lpwstr>
  </property>
  <property fmtid="{D5CDD505-2E9C-101B-9397-08002B2CF9AE}" pid="20" name="UNDPCreator">
    <vt:lpwstr>266;#UNDPHQ\judith.puyat-magnaye</vt:lpwstr>
  </property>
  <property fmtid="{D5CDD505-2E9C-101B-9397-08002B2CF9AE}" pid="21" name="UNDPSummary">
    <vt:lpwstr/>
  </property>
  <property fmtid="{D5CDD505-2E9C-101B-9397-08002B2CF9AE}" pid="22" name="UNDPPublishedDate">
    <vt:lpwstr>2012-04-05T00:00:00Z</vt:lpwstr>
  </property>
  <property fmtid="{D5CDD505-2E9C-101B-9397-08002B2CF9AE}" pid="23" name="UNDPIssuanceDate">
    <vt:lpwstr>2012-04-05T00:00:00Z</vt:lpwstr>
  </property>
  <property fmtid="{D5CDD505-2E9C-101B-9397-08002B2CF9AE}" pid="24" name="display_urn:schemas-microsoft-com:office:office#UNDPCreator">
    <vt:lpwstr>Judith Puyat-magnaye</vt:lpwstr>
  </property>
  <property fmtid="{D5CDD505-2E9C-101B-9397-08002B2CF9AE}" pid="25" name="display_urn:schemas-microsoft-com:office:office#Focalpoint">
    <vt:lpwstr>Dien Le</vt:lpwstr>
  </property>
  <property fmtid="{D5CDD505-2E9C-101B-9397-08002B2CF9AE}" pid="26" name="Order">
    <vt:lpwstr>6700.00000000000</vt:lpwstr>
  </property>
  <property fmtid="{D5CDD505-2E9C-101B-9397-08002B2CF9AE}" pid="27" name="UNDPPOPPPrescriptiveContentSelection">
    <vt:lpwstr>Yes</vt:lpwstr>
  </property>
  <property fmtid="{D5CDD505-2E9C-101B-9397-08002B2CF9AE}" pid="28" name="UNDPPOPPSubsubsubprocess">
    <vt:lpwstr/>
  </property>
  <property fmtid="{D5CDD505-2E9C-101B-9397-08002B2CF9AE}" pid="29" name="UNDPActualReviewDate">
    <vt:lpwstr/>
  </property>
  <property fmtid="{D5CDD505-2E9C-101B-9397-08002B2CF9AE}" pid="30" name="UNDP_POPP_VERSION_COMMENTS">
    <vt:lpwstr>Updated to add standard clauses on fraud and the gender marker</vt:lpwstr>
  </property>
  <property fmtid="{D5CDD505-2E9C-101B-9397-08002B2CF9AE}" pid="31" name="UNDP_POPP_BUSINESSPROCESS_HIDDEN">
    <vt:lpwstr/>
  </property>
  <property fmtid="{D5CDD505-2E9C-101B-9397-08002B2CF9AE}" pid="32" name="display_urn:schemas-microsoft-com:office:office#UNDP_POPP_FOCALPOINT">
    <vt:lpwstr>Jessica Murray</vt:lpwstr>
  </property>
  <property fmtid="{D5CDD505-2E9C-101B-9397-08002B2CF9AE}" pid="33" name="UNDP_POPP_NOTE">
    <vt:lpwstr/>
  </property>
  <property fmtid="{D5CDD505-2E9C-101B-9397-08002B2CF9AE}" pid="34" name="UNDP_POPP_REJECT_COMMENTS">
    <vt:lpwstr/>
  </property>
  <property fmtid="{D5CDD505-2E9C-101B-9397-08002B2CF9AE}" pid="35" name="UNDP_POPP_DOCUMENT_LANGUAGE">
    <vt:lpwstr>English</vt:lpwstr>
  </property>
  <property fmtid="{D5CDD505-2E9C-101B-9397-08002B2CF9AE}" pid="36" name="UNDP_POPP_EFFECTIVEDATE">
    <vt:lpwstr>2017-02-10T00:00:00Z</vt:lpwstr>
  </property>
  <property fmtid="{D5CDD505-2E9C-101B-9397-08002B2CF9AE}" pid="37" name="UNDP_POPP_FOCALPOINT">
    <vt:lpwstr>68;#i:0e.t|undpadfs|jessica.murray@undp.org</vt:lpwstr>
  </property>
  <property fmtid="{D5CDD505-2E9C-101B-9397-08002B2CF9AE}" pid="38" name="UNDP_POPP_DOCUMENT_TYPE">
    <vt:lpwstr>Template</vt:lpwstr>
  </property>
  <property fmtid="{D5CDD505-2E9C-101B-9397-08002B2CF9AE}" pid="39" name="UNDP_POPP_DOCUMENT_TEMPLATE">
    <vt:lpwstr/>
  </property>
  <property fmtid="{D5CDD505-2E9C-101B-9397-08002B2CF9AE}" pid="40" name="UNDP_POPP_ISACTIVE">
    <vt:lpwstr>1</vt:lpwstr>
  </property>
  <property fmtid="{D5CDD505-2E9C-101B-9397-08002B2CF9AE}" pid="41" name="UNDP_POPP_TITLE_EN">
    <vt:lpwstr>Project Document Template (2018)</vt:lpwstr>
  </property>
  <property fmtid="{D5CDD505-2E9C-101B-9397-08002B2CF9AE}" pid="42" name="Location">
    <vt:lpwstr>Public</vt:lpwstr>
  </property>
  <property fmtid="{D5CDD505-2E9C-101B-9397-08002B2CF9AE}" pid="43" name="UNDP_POPP_REFITEM_VERSION">
    <vt:lpwstr>1.00000000000000</vt:lpwstr>
  </property>
  <property fmtid="{D5CDD505-2E9C-101B-9397-08002B2CF9AE}" pid="44" name="UNDP_POPP_BUSINESSUNIT">
    <vt:lpwstr>669;#Programme and Project Management|1c019435-9793-447e-8959-0b32d23bf3d5</vt:lpwstr>
  </property>
  <property fmtid="{D5CDD505-2E9C-101B-9397-08002B2CF9AE}" pid="45" name="l0e6ef0c43e74560bd7f3acd1f5e8571">
    <vt:lpwstr>Programme and Project Management|1c019435-9793-447e-8959-0b32d23bf3d5</vt:lpwstr>
  </property>
  <property fmtid="{D5CDD505-2E9C-101B-9397-08002B2CF9AE}" pid="46" name="POPPBusinessProcess">
    <vt:lpwstr/>
  </property>
  <property fmtid="{D5CDD505-2E9C-101B-9397-08002B2CF9AE}" pid="47" name="DLCPolicyLabelLock">
    <vt:lpwstr/>
  </property>
  <property fmtid="{D5CDD505-2E9C-101B-9397-08002B2CF9AE}" pid="48" name="DLCPolicyLabelClientValue">
    <vt:lpwstr>Effective Date: 10/02/2017                                                Version #: 1.0</vt:lpwstr>
  </property>
  <property fmtid="{D5CDD505-2E9C-101B-9397-08002B2CF9AE}" pid="49" name="UNDP_POPP_BUSINESSUNITID_HIDDEN">
    <vt:lpwstr/>
  </property>
  <property fmtid="{D5CDD505-2E9C-101B-9397-08002B2CF9AE}" pid="50" name="DLCPolicyLabelValue">
    <vt:lpwstr>Effective Date: 10/02/2017                                                Version #: 1.0</vt:lpwstr>
  </property>
  <property fmtid="{D5CDD505-2E9C-101B-9397-08002B2CF9AE}" pid="51" name="POPPIsArchived">
    <vt:lpwstr>0</vt:lpwstr>
  </property>
  <property fmtid="{D5CDD505-2E9C-101B-9397-08002B2CF9AE}" pid="52" name="UNDP_POPP_PLANNED_REVIEWDATE">
    <vt:lpwstr/>
  </property>
  <property fmtid="{D5CDD505-2E9C-101B-9397-08002B2CF9AE}" pid="53" name="UNDP_POPP_FILEVERSION">
    <vt:lpwstr/>
  </property>
  <property fmtid="{D5CDD505-2E9C-101B-9397-08002B2CF9AE}" pid="54" name="UNDP_POPP_LASTMODIFIED">
    <vt:lpwstr/>
  </property>
  <property fmtid="{D5CDD505-2E9C-101B-9397-08002B2CF9AE}" pid="55" name="TitusGUID">
    <vt:lpwstr>d388a6d8-491a-4a54-85e0-a059fca1a7e7</vt:lpwstr>
  </property>
  <property fmtid="{D5CDD505-2E9C-101B-9397-08002B2CF9AE}" pid="56" name="SEC">
    <vt:lpwstr>OFFICIAL</vt:lpwstr>
  </property>
</Properties>
</file>