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15" w:rsidRPr="00700315" w:rsidRDefault="00700315" w:rsidP="00976859">
      <w:pPr>
        <w:jc w:val="both"/>
        <w:rPr>
          <w:rFonts w:asciiTheme="minorHAnsi" w:hAnsiTheme="minorHAnsi" w:cstheme="minorHAnsi"/>
          <w:b/>
          <w:color w:val="1F497D" w:themeColor="text2"/>
          <w:sz w:val="28"/>
          <w:szCs w:val="28"/>
        </w:rPr>
      </w:pPr>
      <w:bookmarkStart w:id="0" w:name="_GoBack"/>
      <w:bookmarkEnd w:id="0"/>
      <w:r w:rsidRPr="00700315">
        <w:rPr>
          <w:rFonts w:asciiTheme="minorHAnsi" w:hAnsiTheme="minorHAnsi" w:cstheme="minorHAnsi"/>
          <w:b/>
          <w:color w:val="1F497D" w:themeColor="text2"/>
          <w:sz w:val="28"/>
          <w:szCs w:val="28"/>
        </w:rPr>
        <w:t xml:space="preserve">ILO Tripartite Action to Protect Migrant Workers within and from the Greater Mekong Sub-region from Labour Exploitation: Final Evaluation Management Responses </w:t>
      </w:r>
    </w:p>
    <w:p w:rsidR="00E26B3F" w:rsidRDefault="00E26B3F" w:rsidP="00976859">
      <w:pPr>
        <w:jc w:val="both"/>
        <w:rPr>
          <w:rFonts w:asciiTheme="minorHAnsi" w:hAnsiTheme="minorHAnsi" w:cstheme="minorHAnsi"/>
          <w:b/>
          <w:color w:val="1F497D" w:themeColor="text2"/>
          <w:sz w:val="22"/>
          <w:szCs w:val="22"/>
        </w:rPr>
      </w:pPr>
    </w:p>
    <w:p w:rsidR="00D43A12" w:rsidRPr="00D87428" w:rsidRDefault="00D43A12" w:rsidP="00976859">
      <w:pPr>
        <w:jc w:val="both"/>
        <w:rPr>
          <w:rFonts w:asciiTheme="minorHAnsi" w:hAnsiTheme="minorHAnsi" w:cstheme="minorHAnsi"/>
          <w:b/>
          <w:iCs/>
          <w:color w:val="1F497D" w:themeColor="text2"/>
        </w:rPr>
      </w:pPr>
      <w:r w:rsidRPr="00D87428">
        <w:rPr>
          <w:rFonts w:asciiTheme="minorHAnsi" w:hAnsiTheme="minorHAnsi" w:cstheme="minorHAnsi"/>
          <w:b/>
          <w:iCs/>
          <w:color w:val="1F497D" w:themeColor="text2"/>
        </w:rPr>
        <w:t>Initiative Summary</w:t>
      </w:r>
    </w:p>
    <w:p w:rsidR="00D43A12" w:rsidRPr="00D43A12" w:rsidRDefault="00D43A12" w:rsidP="00976859">
      <w:pPr>
        <w:jc w:val="both"/>
        <w:rPr>
          <w:rFonts w:asciiTheme="minorHAnsi" w:hAnsiTheme="minorHAnsi" w:cstheme="minorHAnsi"/>
          <w:b/>
          <w:iCs/>
          <w:color w:val="1F497D" w:themeColor="text2"/>
          <w:sz w:val="22"/>
          <w:szCs w:val="22"/>
        </w:rPr>
      </w:pP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94"/>
        <w:gridCol w:w="2551"/>
        <w:gridCol w:w="1843"/>
        <w:gridCol w:w="2693"/>
      </w:tblGrid>
      <w:tr w:rsidR="00D43A12" w:rsidRPr="0024547B" w:rsidTr="005431AC">
        <w:trPr>
          <w:cantSplit/>
          <w:tblHeader/>
        </w:trPr>
        <w:tc>
          <w:tcPr>
            <w:tcW w:w="2694" w:type="dxa"/>
            <w:shd w:val="clear" w:color="auto" w:fill="E0E0E0"/>
            <w:vAlign w:val="center"/>
          </w:tcPr>
          <w:p w:rsidR="00D43A12" w:rsidRPr="0024547B" w:rsidRDefault="00D43A12" w:rsidP="00976859">
            <w:pPr>
              <w:jc w:val="both"/>
              <w:rPr>
                <w:rFonts w:asciiTheme="minorHAnsi" w:hAnsiTheme="minorHAnsi" w:cstheme="minorHAnsi"/>
                <w:b/>
                <w:color w:val="1F497D" w:themeColor="text2"/>
                <w:sz w:val="22"/>
                <w:szCs w:val="22"/>
              </w:rPr>
            </w:pPr>
            <w:r w:rsidRPr="0024547B">
              <w:rPr>
                <w:rFonts w:asciiTheme="minorHAnsi" w:hAnsiTheme="minorHAnsi" w:cstheme="minorHAnsi"/>
                <w:b/>
                <w:color w:val="1F497D" w:themeColor="text2"/>
                <w:sz w:val="22"/>
                <w:szCs w:val="22"/>
              </w:rPr>
              <w:t>Initiative Name:</w:t>
            </w:r>
          </w:p>
        </w:tc>
        <w:tc>
          <w:tcPr>
            <w:tcW w:w="7087" w:type="dxa"/>
            <w:gridSpan w:val="3"/>
            <w:shd w:val="clear" w:color="auto" w:fill="E0E0E0"/>
            <w:vAlign w:val="center"/>
          </w:tcPr>
          <w:p w:rsidR="00D43A12" w:rsidRPr="0024547B" w:rsidRDefault="00700315" w:rsidP="00976859">
            <w:pPr>
              <w:jc w:val="both"/>
              <w:rPr>
                <w:rFonts w:asciiTheme="minorHAnsi" w:hAnsiTheme="minorHAnsi" w:cstheme="minorHAnsi"/>
                <w:b/>
                <w:color w:val="1F497D" w:themeColor="text2"/>
                <w:sz w:val="22"/>
                <w:szCs w:val="22"/>
              </w:rPr>
            </w:pPr>
            <w:r w:rsidRPr="00700315">
              <w:rPr>
                <w:rFonts w:asciiTheme="minorHAnsi" w:hAnsiTheme="minorHAnsi" w:cstheme="minorHAnsi"/>
                <w:b/>
                <w:color w:val="1F497D" w:themeColor="text2"/>
                <w:sz w:val="22"/>
                <w:szCs w:val="22"/>
              </w:rPr>
              <w:t>ILO Tripartite Action to Protect Migrant Workers within and from the Greater Mekong Sub-region from Labour Exploitation (GMS TRIANGLE)</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AidWorks Initiative Number</w:t>
            </w:r>
          </w:p>
        </w:tc>
        <w:tc>
          <w:tcPr>
            <w:tcW w:w="7087" w:type="dxa"/>
            <w:gridSpan w:val="3"/>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I</w:t>
            </w:r>
            <w:r w:rsidR="00700315">
              <w:rPr>
                <w:rFonts w:asciiTheme="minorHAnsi" w:hAnsiTheme="minorHAnsi" w:cstheme="minorHAnsi"/>
                <w:sz w:val="22"/>
                <w:szCs w:val="22"/>
              </w:rPr>
              <w:t>NJ332</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Agreement Commencement date</w:t>
            </w:r>
          </w:p>
        </w:tc>
        <w:tc>
          <w:tcPr>
            <w:tcW w:w="2551" w:type="dxa"/>
            <w:shd w:val="clear" w:color="auto" w:fill="auto"/>
          </w:tcPr>
          <w:p w:rsidR="00D43A12" w:rsidRPr="0024547B" w:rsidRDefault="00700315" w:rsidP="00976859">
            <w:pPr>
              <w:rPr>
                <w:rFonts w:asciiTheme="minorHAnsi" w:hAnsiTheme="minorHAnsi" w:cstheme="minorHAnsi"/>
                <w:sz w:val="22"/>
                <w:szCs w:val="22"/>
              </w:rPr>
            </w:pPr>
            <w:r>
              <w:rPr>
                <w:rFonts w:asciiTheme="minorHAnsi" w:hAnsiTheme="minorHAnsi" w:cstheme="minorHAnsi"/>
                <w:sz w:val="22"/>
                <w:szCs w:val="22"/>
              </w:rPr>
              <w:t>13 May 2010</w:t>
            </w:r>
          </w:p>
        </w:tc>
        <w:tc>
          <w:tcPr>
            <w:tcW w:w="1843"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Completion date</w:t>
            </w:r>
          </w:p>
        </w:tc>
        <w:tc>
          <w:tcPr>
            <w:tcW w:w="2693" w:type="dxa"/>
            <w:shd w:val="clear" w:color="auto" w:fill="auto"/>
          </w:tcPr>
          <w:p w:rsidR="00700315"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 xml:space="preserve">31 December </w:t>
            </w:r>
            <w:r w:rsidR="00CA4B13">
              <w:rPr>
                <w:rFonts w:asciiTheme="minorHAnsi" w:hAnsiTheme="minorHAnsi" w:cstheme="minorHAnsi"/>
                <w:sz w:val="22"/>
                <w:szCs w:val="22"/>
              </w:rPr>
              <w:t>201</w:t>
            </w:r>
            <w:r w:rsidR="00700315">
              <w:rPr>
                <w:rFonts w:asciiTheme="minorHAnsi" w:hAnsiTheme="minorHAnsi" w:cstheme="minorHAnsi"/>
                <w:sz w:val="22"/>
                <w:szCs w:val="22"/>
              </w:rPr>
              <w:t>5</w:t>
            </w:r>
          </w:p>
          <w:p w:rsidR="00D43A12" w:rsidRPr="0024547B" w:rsidRDefault="00D43A12" w:rsidP="00976859">
            <w:pPr>
              <w:rPr>
                <w:rFonts w:asciiTheme="minorHAnsi" w:hAnsiTheme="minorHAnsi" w:cstheme="minorHAnsi"/>
                <w:sz w:val="22"/>
                <w:szCs w:val="22"/>
              </w:rPr>
            </w:pP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Total</w:t>
            </w:r>
          </w:p>
        </w:tc>
        <w:tc>
          <w:tcPr>
            <w:tcW w:w="7087" w:type="dxa"/>
            <w:gridSpan w:val="3"/>
            <w:shd w:val="clear" w:color="auto" w:fill="auto"/>
          </w:tcPr>
          <w:p w:rsidR="00D43A12" w:rsidRPr="0024547B" w:rsidRDefault="00F72472" w:rsidP="00976859">
            <w:pPr>
              <w:rPr>
                <w:rFonts w:asciiTheme="minorHAnsi" w:hAnsiTheme="minorHAnsi" w:cstheme="minorHAnsi"/>
                <w:sz w:val="22"/>
                <w:szCs w:val="22"/>
              </w:rPr>
            </w:pPr>
            <w:r>
              <w:rPr>
                <w:rFonts w:asciiTheme="minorHAnsi" w:hAnsiTheme="minorHAnsi" w:cstheme="minorHAnsi"/>
                <w:sz w:val="22"/>
                <w:szCs w:val="22"/>
              </w:rPr>
              <w:t xml:space="preserve">AUD </w:t>
            </w:r>
            <w:r w:rsidR="00700315">
              <w:rPr>
                <w:rFonts w:asciiTheme="minorHAnsi" w:hAnsiTheme="minorHAnsi" w:cstheme="minorHAnsi"/>
                <w:sz w:val="22"/>
                <w:szCs w:val="22"/>
              </w:rPr>
              <w:t xml:space="preserve">9.4 </w:t>
            </w:r>
            <w:r w:rsidR="00D43A12" w:rsidRPr="0024547B">
              <w:rPr>
                <w:rFonts w:asciiTheme="minorHAnsi" w:hAnsiTheme="minorHAnsi" w:cstheme="minorHAnsi"/>
                <w:sz w:val="22"/>
                <w:szCs w:val="22"/>
              </w:rPr>
              <w:t>million</w:t>
            </w:r>
            <w:r>
              <w:rPr>
                <w:rFonts w:asciiTheme="minorHAnsi" w:hAnsiTheme="minorHAnsi" w:cstheme="minorHAnsi"/>
                <w:sz w:val="22"/>
                <w:szCs w:val="22"/>
              </w:rPr>
              <w:t xml:space="preserve"> (DFAT) </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Delivery organisation (s)</w:t>
            </w:r>
          </w:p>
        </w:tc>
        <w:tc>
          <w:tcPr>
            <w:tcW w:w="7087" w:type="dxa"/>
            <w:gridSpan w:val="3"/>
            <w:shd w:val="clear" w:color="auto" w:fill="auto"/>
          </w:tcPr>
          <w:p w:rsidR="00D43A12" w:rsidRPr="0024547B" w:rsidRDefault="00700315" w:rsidP="00976859">
            <w:pPr>
              <w:rPr>
                <w:rFonts w:asciiTheme="minorHAnsi" w:hAnsiTheme="minorHAnsi" w:cstheme="minorHAnsi"/>
                <w:sz w:val="22"/>
                <w:szCs w:val="22"/>
              </w:rPr>
            </w:pPr>
            <w:r>
              <w:rPr>
                <w:rFonts w:asciiTheme="minorHAnsi" w:hAnsiTheme="minorHAnsi" w:cstheme="minorHAnsi"/>
                <w:sz w:val="22"/>
                <w:szCs w:val="22"/>
              </w:rPr>
              <w:t xml:space="preserve">International Labour Organisation </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Implementing partner(s)</w:t>
            </w:r>
          </w:p>
        </w:tc>
        <w:tc>
          <w:tcPr>
            <w:tcW w:w="7087" w:type="dxa"/>
            <w:gridSpan w:val="3"/>
            <w:shd w:val="clear" w:color="auto" w:fill="auto"/>
          </w:tcPr>
          <w:p w:rsidR="00D43A12" w:rsidRPr="0024547B" w:rsidRDefault="00A174B1" w:rsidP="00976859">
            <w:pPr>
              <w:rPr>
                <w:rFonts w:asciiTheme="minorHAnsi" w:hAnsiTheme="minorHAnsi" w:cstheme="minorHAnsi"/>
                <w:sz w:val="22"/>
                <w:szCs w:val="22"/>
              </w:rPr>
            </w:pPr>
            <w:r>
              <w:rPr>
                <w:rFonts w:asciiTheme="minorHAnsi" w:hAnsiTheme="minorHAnsi" w:cstheme="minorHAnsi"/>
                <w:sz w:val="22"/>
                <w:szCs w:val="22"/>
              </w:rPr>
              <w:t>International Labour Organisation and</w:t>
            </w:r>
            <w:r w:rsidR="00F60B35">
              <w:rPr>
                <w:rFonts w:asciiTheme="minorHAnsi" w:hAnsiTheme="minorHAnsi" w:cstheme="minorHAnsi"/>
                <w:sz w:val="22"/>
                <w:szCs w:val="22"/>
              </w:rPr>
              <w:t xml:space="preserve"> over 30</w:t>
            </w:r>
            <w:r w:rsidR="00422072">
              <w:rPr>
                <w:rFonts w:asciiTheme="minorHAnsi" w:hAnsiTheme="minorHAnsi" w:cstheme="minorHAnsi"/>
                <w:sz w:val="22"/>
                <w:szCs w:val="22"/>
              </w:rPr>
              <w:t xml:space="preserve"> </w:t>
            </w:r>
            <w:r>
              <w:rPr>
                <w:rFonts w:asciiTheme="minorHAnsi" w:hAnsiTheme="minorHAnsi" w:cstheme="minorHAnsi"/>
                <w:sz w:val="22"/>
                <w:szCs w:val="22"/>
              </w:rPr>
              <w:t xml:space="preserve">sub-grantees across </w:t>
            </w:r>
            <w:r w:rsidR="004303CA">
              <w:rPr>
                <w:rFonts w:asciiTheme="minorHAnsi" w:hAnsiTheme="minorHAnsi" w:cstheme="minorHAnsi"/>
                <w:sz w:val="22"/>
                <w:szCs w:val="22"/>
              </w:rPr>
              <w:t xml:space="preserve">six </w:t>
            </w:r>
            <w:r>
              <w:rPr>
                <w:rFonts w:asciiTheme="minorHAnsi" w:hAnsiTheme="minorHAnsi" w:cstheme="minorHAnsi"/>
                <w:sz w:val="22"/>
                <w:szCs w:val="22"/>
              </w:rPr>
              <w:t>project countries</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Country/Region</w:t>
            </w:r>
          </w:p>
        </w:tc>
        <w:tc>
          <w:tcPr>
            <w:tcW w:w="7087" w:type="dxa"/>
            <w:gridSpan w:val="3"/>
            <w:shd w:val="clear" w:color="auto" w:fill="auto"/>
          </w:tcPr>
          <w:p w:rsidR="00D43A12" w:rsidRPr="0024547B" w:rsidRDefault="004303CA" w:rsidP="00976859">
            <w:pPr>
              <w:rPr>
                <w:rFonts w:asciiTheme="minorHAnsi" w:hAnsiTheme="minorHAnsi" w:cstheme="minorHAnsi"/>
                <w:sz w:val="22"/>
                <w:szCs w:val="22"/>
              </w:rPr>
            </w:pPr>
            <w:r>
              <w:rPr>
                <w:rFonts w:asciiTheme="minorHAnsi" w:hAnsiTheme="minorHAnsi" w:cstheme="minorHAnsi"/>
                <w:sz w:val="22"/>
                <w:szCs w:val="22"/>
              </w:rPr>
              <w:t xml:space="preserve">ASEAN, with a focus on Cambodia, Laos, Malaysia, Myanmar, Thailand and Vietnam. </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Primary sector</w:t>
            </w:r>
          </w:p>
        </w:tc>
        <w:tc>
          <w:tcPr>
            <w:tcW w:w="7087" w:type="dxa"/>
            <w:gridSpan w:val="3"/>
            <w:shd w:val="clear" w:color="auto" w:fill="auto"/>
          </w:tcPr>
          <w:p w:rsidR="00D43A12" w:rsidRPr="0024547B" w:rsidRDefault="00A174B1" w:rsidP="00976859">
            <w:pPr>
              <w:autoSpaceDE w:val="0"/>
              <w:autoSpaceDN w:val="0"/>
              <w:adjustRightInd w:val="0"/>
              <w:rPr>
                <w:rFonts w:asciiTheme="minorHAnsi" w:hAnsiTheme="minorHAnsi" w:cstheme="minorHAnsi"/>
                <w:sz w:val="22"/>
                <w:szCs w:val="22"/>
              </w:rPr>
            </w:pPr>
            <w:r>
              <w:rPr>
                <w:rFonts w:ascii="Calibri" w:hAnsi="Calibri" w:cs="Calibri"/>
                <w:sz w:val="21"/>
                <w:szCs w:val="21"/>
                <w:lang w:eastAsia="en-AU"/>
              </w:rPr>
              <w:t>Human security; l</w:t>
            </w:r>
            <w:r w:rsidRPr="00A174B1">
              <w:rPr>
                <w:rFonts w:ascii="Calibri" w:hAnsi="Calibri" w:cs="Calibri"/>
                <w:sz w:val="21"/>
                <w:szCs w:val="21"/>
                <w:lang w:eastAsia="en-AU"/>
              </w:rPr>
              <w:t>abour migration governance</w:t>
            </w:r>
            <w:r>
              <w:t xml:space="preserve"> </w:t>
            </w:r>
          </w:p>
        </w:tc>
      </w:tr>
      <w:tr w:rsidR="00D43A12" w:rsidRPr="0024547B" w:rsidTr="005431AC">
        <w:trPr>
          <w:cantSplit/>
        </w:trPr>
        <w:tc>
          <w:tcPr>
            <w:tcW w:w="2694" w:type="dxa"/>
            <w:shd w:val="clear" w:color="auto" w:fill="auto"/>
          </w:tcPr>
          <w:p w:rsidR="00D43A12" w:rsidRPr="0024547B" w:rsidRDefault="00D43A12" w:rsidP="00976859">
            <w:pPr>
              <w:rPr>
                <w:rFonts w:asciiTheme="minorHAnsi" w:hAnsiTheme="minorHAnsi" w:cstheme="minorHAnsi"/>
                <w:sz w:val="22"/>
                <w:szCs w:val="22"/>
              </w:rPr>
            </w:pPr>
            <w:r w:rsidRPr="0024547B">
              <w:rPr>
                <w:rFonts w:asciiTheme="minorHAnsi" w:hAnsiTheme="minorHAnsi" w:cstheme="minorHAnsi"/>
                <w:sz w:val="22"/>
                <w:szCs w:val="22"/>
              </w:rPr>
              <w:t>Initiative objective/s</w:t>
            </w:r>
          </w:p>
        </w:tc>
        <w:tc>
          <w:tcPr>
            <w:tcW w:w="7087" w:type="dxa"/>
            <w:gridSpan w:val="3"/>
            <w:shd w:val="clear" w:color="auto" w:fill="auto"/>
          </w:tcPr>
          <w:p w:rsidR="0024547B" w:rsidRPr="0024547B" w:rsidRDefault="0024547B" w:rsidP="00976859">
            <w:pPr>
              <w:tabs>
                <w:tab w:val="left" w:pos="34"/>
              </w:tabs>
              <w:rPr>
                <w:rFonts w:asciiTheme="minorHAnsi" w:hAnsiTheme="minorHAnsi" w:cstheme="minorHAnsi"/>
                <w:b/>
                <w:sz w:val="22"/>
                <w:szCs w:val="22"/>
              </w:rPr>
            </w:pPr>
            <w:r w:rsidRPr="0024547B">
              <w:rPr>
                <w:rFonts w:asciiTheme="minorHAnsi" w:hAnsiTheme="minorHAnsi" w:cstheme="minorHAnsi"/>
                <w:b/>
                <w:sz w:val="22"/>
                <w:szCs w:val="22"/>
              </w:rPr>
              <w:t xml:space="preserve">Program Goal: </w:t>
            </w:r>
          </w:p>
          <w:p w:rsidR="00A174B1" w:rsidRPr="0024547B" w:rsidRDefault="00A174B1" w:rsidP="00976859">
            <w:pPr>
              <w:autoSpaceDE w:val="0"/>
              <w:autoSpaceDN w:val="0"/>
              <w:adjustRightInd w:val="0"/>
              <w:rPr>
                <w:rFonts w:asciiTheme="minorHAnsi" w:hAnsiTheme="minorHAnsi" w:cstheme="minorHAnsi"/>
                <w:sz w:val="22"/>
                <w:szCs w:val="22"/>
              </w:rPr>
            </w:pPr>
            <w:r>
              <w:rPr>
                <w:rFonts w:ascii="Calibri" w:hAnsi="Calibri" w:cs="Calibri"/>
                <w:sz w:val="21"/>
                <w:szCs w:val="21"/>
                <w:lang w:eastAsia="en-AU"/>
              </w:rPr>
              <w:t>Strengthen the formulation and implementation of recruitment and labour protection policies and practices in the GMS to ensure safer migration</w:t>
            </w:r>
          </w:p>
          <w:p w:rsidR="0024547B" w:rsidRPr="0024547B" w:rsidRDefault="0024547B" w:rsidP="00976859">
            <w:pPr>
              <w:tabs>
                <w:tab w:val="left" w:pos="34"/>
              </w:tabs>
              <w:rPr>
                <w:rFonts w:asciiTheme="minorHAnsi" w:hAnsiTheme="minorHAnsi" w:cstheme="minorHAnsi"/>
                <w:b/>
                <w:sz w:val="22"/>
                <w:szCs w:val="22"/>
              </w:rPr>
            </w:pPr>
            <w:r w:rsidRPr="0024547B">
              <w:rPr>
                <w:rFonts w:asciiTheme="minorHAnsi" w:hAnsiTheme="minorHAnsi" w:cstheme="minorHAnsi"/>
                <w:b/>
                <w:sz w:val="22"/>
                <w:szCs w:val="22"/>
              </w:rPr>
              <w:t>Program Objectives:</w:t>
            </w:r>
          </w:p>
          <w:p w:rsidR="00A174B1" w:rsidRPr="00A174B1" w:rsidRDefault="00A174B1" w:rsidP="00976859">
            <w:pPr>
              <w:autoSpaceDE w:val="0"/>
              <w:autoSpaceDN w:val="0"/>
              <w:adjustRightInd w:val="0"/>
              <w:rPr>
                <w:rFonts w:ascii="Calibri" w:hAnsi="Calibri" w:cs="Calibri"/>
                <w:sz w:val="21"/>
                <w:szCs w:val="21"/>
                <w:lang w:eastAsia="en-AU"/>
              </w:rPr>
            </w:pPr>
            <w:r w:rsidRPr="00A174B1">
              <w:rPr>
                <w:rFonts w:asciiTheme="minorHAnsi" w:hAnsiTheme="minorHAnsi" w:cstheme="minorHAnsi"/>
                <w:sz w:val="20"/>
                <w:szCs w:val="20"/>
              </w:rPr>
              <w:t>1</w:t>
            </w:r>
            <w:r w:rsidRPr="00A174B1">
              <w:rPr>
                <w:rFonts w:ascii="Calibri" w:hAnsi="Calibri" w:cs="Calibri"/>
                <w:sz w:val="21"/>
                <w:szCs w:val="21"/>
                <w:lang w:eastAsia="en-AU"/>
              </w:rPr>
              <w:t>. To Strengthen and improve recruitment and labour protection policies in both sending and destination countries by drawing on a sound evidence base.</w:t>
            </w:r>
          </w:p>
          <w:p w:rsidR="00A174B1" w:rsidRPr="00A174B1" w:rsidRDefault="00A174B1" w:rsidP="00976859">
            <w:pPr>
              <w:autoSpaceDE w:val="0"/>
              <w:autoSpaceDN w:val="0"/>
              <w:adjustRightInd w:val="0"/>
              <w:rPr>
                <w:rFonts w:ascii="Calibri" w:hAnsi="Calibri" w:cs="Calibri"/>
                <w:sz w:val="21"/>
                <w:szCs w:val="21"/>
                <w:lang w:eastAsia="en-AU"/>
              </w:rPr>
            </w:pPr>
            <w:r w:rsidRPr="00A174B1">
              <w:rPr>
                <w:rFonts w:ascii="Calibri" w:hAnsi="Calibri" w:cs="Calibri"/>
                <w:sz w:val="21"/>
                <w:szCs w:val="21"/>
                <w:lang w:eastAsia="en-AU"/>
              </w:rPr>
              <w:t xml:space="preserve">2. To close the gap between policy intention and policy implementation at the national, bilateral and regional levels as they relate to the recruitment and protection of women and men migrant workers. </w:t>
            </w:r>
          </w:p>
          <w:p w:rsidR="00D43A12" w:rsidRPr="0024547B" w:rsidRDefault="00A174B1" w:rsidP="00976859">
            <w:pPr>
              <w:autoSpaceDE w:val="0"/>
              <w:autoSpaceDN w:val="0"/>
              <w:adjustRightInd w:val="0"/>
              <w:rPr>
                <w:rFonts w:asciiTheme="minorHAnsi" w:hAnsiTheme="minorHAnsi" w:cstheme="minorHAnsi"/>
                <w:sz w:val="22"/>
                <w:szCs w:val="22"/>
              </w:rPr>
            </w:pPr>
            <w:r w:rsidRPr="00A174B1">
              <w:rPr>
                <w:rFonts w:ascii="Calibri" w:hAnsi="Calibri" w:cs="Calibri"/>
                <w:sz w:val="21"/>
                <w:szCs w:val="21"/>
                <w:lang w:eastAsia="en-AU"/>
              </w:rPr>
              <w:t>3. To protect the rights of women and men and potential migrants by increasing their access to support services.</w:t>
            </w:r>
          </w:p>
        </w:tc>
      </w:tr>
    </w:tbl>
    <w:p w:rsidR="00E26B3F" w:rsidRDefault="00E26B3F" w:rsidP="00976859">
      <w:pPr>
        <w:jc w:val="both"/>
        <w:rPr>
          <w:rFonts w:asciiTheme="minorHAnsi" w:hAnsiTheme="minorHAnsi" w:cstheme="minorHAnsi"/>
          <w:b/>
          <w:color w:val="1F497D" w:themeColor="text2"/>
          <w:sz w:val="22"/>
          <w:szCs w:val="22"/>
        </w:rPr>
      </w:pPr>
    </w:p>
    <w:p w:rsidR="004A7767" w:rsidRDefault="004A7767" w:rsidP="00976859">
      <w:pPr>
        <w:jc w:val="both"/>
        <w:rPr>
          <w:rFonts w:asciiTheme="minorHAnsi" w:hAnsiTheme="minorHAnsi" w:cstheme="minorHAnsi"/>
          <w:b/>
          <w:color w:val="1F497D" w:themeColor="text2"/>
        </w:rPr>
      </w:pPr>
      <w:r w:rsidRPr="00D87428">
        <w:rPr>
          <w:rFonts w:asciiTheme="minorHAnsi" w:hAnsiTheme="minorHAnsi" w:cstheme="minorHAnsi"/>
          <w:b/>
          <w:color w:val="1F497D" w:themeColor="text2"/>
        </w:rPr>
        <w:t>Summary:</w:t>
      </w:r>
    </w:p>
    <w:p w:rsidR="00091DE6" w:rsidRPr="00D87428" w:rsidRDefault="00091DE6" w:rsidP="00976859">
      <w:pPr>
        <w:jc w:val="both"/>
        <w:rPr>
          <w:rFonts w:asciiTheme="minorHAnsi" w:hAnsiTheme="minorHAnsi" w:cstheme="minorHAnsi"/>
          <w:b/>
          <w:color w:val="1F497D" w:themeColor="text2"/>
        </w:rPr>
      </w:pPr>
    </w:p>
    <w:p w:rsidR="00091DE6" w:rsidRDefault="00091DE6" w:rsidP="00976859">
      <w:pPr>
        <w:jc w:val="both"/>
        <w:rPr>
          <w:rFonts w:asciiTheme="minorHAnsi" w:hAnsiTheme="minorHAnsi" w:cstheme="minorHAnsi"/>
          <w:sz w:val="22"/>
          <w:szCs w:val="22"/>
        </w:rPr>
      </w:pPr>
      <w:r>
        <w:rPr>
          <w:rFonts w:asciiTheme="minorHAnsi" w:hAnsiTheme="minorHAnsi" w:cstheme="minorHAnsi"/>
          <w:sz w:val="22"/>
          <w:szCs w:val="22"/>
        </w:rPr>
        <w:t xml:space="preserve">In April 2015 an independent partner-led (ILO) evaluation of the GMS TRIANGLE project commenced. The purpose of the review was to </w:t>
      </w:r>
      <w:r w:rsidR="007C4CC4">
        <w:rPr>
          <w:rFonts w:asciiTheme="minorHAnsi" w:hAnsiTheme="minorHAnsi" w:cstheme="minorHAnsi"/>
          <w:sz w:val="22"/>
          <w:szCs w:val="22"/>
        </w:rPr>
        <w:t xml:space="preserve">assess GMS TRIANGLE’s performance in order to contribute to organisational learning </w:t>
      </w:r>
      <w:r w:rsidR="00F827A1">
        <w:rPr>
          <w:rFonts w:asciiTheme="minorHAnsi" w:hAnsiTheme="minorHAnsi" w:cstheme="minorHAnsi"/>
          <w:sz w:val="22"/>
          <w:szCs w:val="22"/>
        </w:rPr>
        <w:t>and knowledge sharing</w:t>
      </w:r>
      <w:r w:rsidR="007C4CC4">
        <w:rPr>
          <w:rFonts w:asciiTheme="minorHAnsi" w:hAnsiTheme="minorHAnsi" w:cstheme="minorHAnsi"/>
          <w:sz w:val="22"/>
          <w:szCs w:val="22"/>
        </w:rPr>
        <w:t xml:space="preserve"> through:</w:t>
      </w:r>
    </w:p>
    <w:p w:rsidR="007C4CC4" w:rsidRDefault="007C4CC4" w:rsidP="00976859">
      <w:pPr>
        <w:pStyle w:val="ListParagraph"/>
        <w:numPr>
          <w:ilvl w:val="0"/>
          <w:numId w:val="36"/>
        </w:numPr>
        <w:autoSpaceDE w:val="0"/>
        <w:autoSpaceDN w:val="0"/>
        <w:adjustRightInd w:val="0"/>
        <w:rPr>
          <w:rFonts w:ascii="Calibri" w:hAnsi="Calibri" w:cs="Calibri"/>
          <w:sz w:val="22"/>
          <w:szCs w:val="22"/>
          <w:lang w:eastAsia="en-AU"/>
        </w:rPr>
      </w:pPr>
      <w:r w:rsidRPr="007C4CC4">
        <w:rPr>
          <w:rFonts w:ascii="Calibri" w:hAnsi="Calibri" w:cs="Calibri"/>
          <w:sz w:val="22"/>
          <w:szCs w:val="22"/>
          <w:lang w:eastAsia="en-AU"/>
        </w:rPr>
        <w:t>An understanding and validating of the achievements and challenges faced in implementing the project, and</w:t>
      </w:r>
      <w:r>
        <w:rPr>
          <w:rFonts w:ascii="Calibri" w:hAnsi="Calibri" w:cs="Calibri"/>
          <w:sz w:val="22"/>
          <w:szCs w:val="22"/>
          <w:lang w:eastAsia="en-AU"/>
        </w:rPr>
        <w:t xml:space="preserve"> </w:t>
      </w:r>
      <w:r w:rsidRPr="007C4CC4">
        <w:rPr>
          <w:rFonts w:ascii="Calibri" w:hAnsi="Calibri" w:cs="Calibri"/>
          <w:sz w:val="22"/>
          <w:szCs w:val="22"/>
          <w:lang w:eastAsia="en-AU"/>
        </w:rPr>
        <w:t>its prospective long-term impact</w:t>
      </w:r>
      <w:r>
        <w:rPr>
          <w:rFonts w:ascii="Calibri" w:hAnsi="Calibri" w:cs="Calibri"/>
          <w:sz w:val="22"/>
          <w:szCs w:val="22"/>
          <w:lang w:eastAsia="en-AU"/>
        </w:rPr>
        <w:t>;</w:t>
      </w:r>
    </w:p>
    <w:p w:rsidR="007C4CC4" w:rsidRDefault="007C4CC4" w:rsidP="00976859">
      <w:pPr>
        <w:pStyle w:val="ListParagraph"/>
        <w:numPr>
          <w:ilvl w:val="0"/>
          <w:numId w:val="36"/>
        </w:numPr>
        <w:autoSpaceDE w:val="0"/>
        <w:autoSpaceDN w:val="0"/>
        <w:adjustRightInd w:val="0"/>
        <w:rPr>
          <w:rFonts w:ascii="Calibri" w:hAnsi="Calibri" w:cs="Calibri"/>
          <w:sz w:val="22"/>
          <w:szCs w:val="22"/>
          <w:lang w:eastAsia="en-AU"/>
        </w:rPr>
      </w:pPr>
      <w:r>
        <w:rPr>
          <w:rFonts w:ascii="Calibri" w:hAnsi="Calibri" w:cs="Calibri"/>
          <w:sz w:val="22"/>
          <w:szCs w:val="22"/>
          <w:lang w:eastAsia="en-AU"/>
        </w:rPr>
        <w:t>Good practices for replication and scaling by the ILO and other actors; and</w:t>
      </w:r>
    </w:p>
    <w:p w:rsidR="007C4CC4" w:rsidRDefault="007C4CC4" w:rsidP="00976859">
      <w:pPr>
        <w:pStyle w:val="ListParagraph"/>
        <w:numPr>
          <w:ilvl w:val="0"/>
          <w:numId w:val="36"/>
        </w:numPr>
        <w:autoSpaceDE w:val="0"/>
        <w:autoSpaceDN w:val="0"/>
        <w:adjustRightInd w:val="0"/>
        <w:rPr>
          <w:rFonts w:ascii="Calibri" w:hAnsi="Calibri" w:cs="Calibri"/>
          <w:sz w:val="22"/>
          <w:szCs w:val="22"/>
          <w:lang w:eastAsia="en-AU"/>
        </w:rPr>
      </w:pPr>
      <w:r>
        <w:rPr>
          <w:rFonts w:ascii="Calibri" w:hAnsi="Calibri" w:cs="Calibri"/>
          <w:sz w:val="22"/>
          <w:szCs w:val="22"/>
          <w:lang w:eastAsia="en-AU"/>
        </w:rPr>
        <w:t>Recommendations/lessons learned for strengthening future interventions of labour migration within the region.</w:t>
      </w:r>
    </w:p>
    <w:p w:rsidR="00B644BE" w:rsidRDefault="00B644BE" w:rsidP="00976859">
      <w:pPr>
        <w:autoSpaceDE w:val="0"/>
        <w:autoSpaceDN w:val="0"/>
        <w:adjustRightInd w:val="0"/>
        <w:rPr>
          <w:rFonts w:ascii="Calibri" w:hAnsi="Calibri" w:cs="Calibri"/>
          <w:sz w:val="22"/>
          <w:szCs w:val="22"/>
          <w:lang w:eastAsia="en-AU"/>
        </w:rPr>
      </w:pPr>
    </w:p>
    <w:p w:rsidR="007C4CC4" w:rsidRDefault="007C4CC4" w:rsidP="00976859">
      <w:pPr>
        <w:autoSpaceDE w:val="0"/>
        <w:autoSpaceDN w:val="0"/>
        <w:adjustRightInd w:val="0"/>
        <w:rPr>
          <w:rFonts w:ascii="Calibri" w:hAnsi="Calibri" w:cs="Calibri"/>
          <w:sz w:val="22"/>
          <w:szCs w:val="22"/>
          <w:lang w:eastAsia="en-AU"/>
        </w:rPr>
      </w:pPr>
      <w:r>
        <w:rPr>
          <w:rFonts w:ascii="Calibri" w:hAnsi="Calibri" w:cs="Calibri"/>
          <w:sz w:val="22"/>
          <w:szCs w:val="22"/>
          <w:lang w:eastAsia="en-AU"/>
        </w:rPr>
        <w:t xml:space="preserve">The </w:t>
      </w:r>
      <w:r w:rsidR="00B644BE">
        <w:rPr>
          <w:rFonts w:ascii="Calibri" w:hAnsi="Calibri" w:cs="Calibri"/>
          <w:sz w:val="22"/>
          <w:szCs w:val="22"/>
          <w:lang w:eastAsia="en-AU"/>
        </w:rPr>
        <w:t xml:space="preserve">evaluation </w:t>
      </w:r>
      <w:r w:rsidR="00B644BE">
        <w:rPr>
          <w:rFonts w:asciiTheme="minorHAnsi" w:hAnsiTheme="minorHAnsi" w:cstheme="minorHAnsi"/>
          <w:sz w:val="22"/>
          <w:szCs w:val="22"/>
        </w:rPr>
        <w:t xml:space="preserve">provides </w:t>
      </w:r>
      <w:r w:rsidR="001714C9">
        <w:rPr>
          <w:rFonts w:asciiTheme="minorHAnsi" w:hAnsiTheme="minorHAnsi" w:cstheme="minorHAnsi"/>
          <w:sz w:val="22"/>
          <w:szCs w:val="22"/>
        </w:rPr>
        <w:t xml:space="preserve">an assessment of </w:t>
      </w:r>
      <w:r w:rsidR="00B644BE">
        <w:rPr>
          <w:rFonts w:asciiTheme="minorHAnsi" w:hAnsiTheme="minorHAnsi" w:cstheme="minorHAnsi"/>
          <w:sz w:val="22"/>
          <w:szCs w:val="22"/>
        </w:rPr>
        <w:t xml:space="preserve">progress </w:t>
      </w:r>
      <w:r w:rsidR="001714C9">
        <w:rPr>
          <w:rFonts w:asciiTheme="minorHAnsi" w:hAnsiTheme="minorHAnsi" w:cstheme="minorHAnsi"/>
          <w:sz w:val="22"/>
          <w:szCs w:val="22"/>
        </w:rPr>
        <w:t>on</w:t>
      </w:r>
      <w:r w:rsidR="00B644BE">
        <w:rPr>
          <w:rFonts w:asciiTheme="minorHAnsi" w:hAnsiTheme="minorHAnsi" w:cstheme="minorHAnsi"/>
          <w:sz w:val="22"/>
          <w:szCs w:val="22"/>
        </w:rPr>
        <w:t xml:space="preserve"> the recommendations in the mid-term review</w:t>
      </w:r>
      <w:r w:rsidR="00B644BE">
        <w:rPr>
          <w:rFonts w:ascii="Calibri" w:hAnsi="Calibri" w:cs="Calibri"/>
          <w:sz w:val="22"/>
          <w:szCs w:val="22"/>
          <w:lang w:eastAsia="en-AU"/>
        </w:rPr>
        <w:t xml:space="preserve"> and </w:t>
      </w:r>
      <w:r>
        <w:rPr>
          <w:rFonts w:ascii="Calibri" w:hAnsi="Calibri" w:cs="Calibri"/>
          <w:sz w:val="22"/>
          <w:szCs w:val="22"/>
          <w:lang w:eastAsia="en-AU"/>
        </w:rPr>
        <w:t>also consider</w:t>
      </w:r>
      <w:r w:rsidR="00B644BE">
        <w:rPr>
          <w:rFonts w:ascii="Calibri" w:hAnsi="Calibri" w:cs="Calibri"/>
          <w:sz w:val="22"/>
          <w:szCs w:val="22"/>
          <w:lang w:eastAsia="en-AU"/>
        </w:rPr>
        <w:t>s</w:t>
      </w:r>
      <w:r>
        <w:rPr>
          <w:rFonts w:ascii="Calibri" w:hAnsi="Calibri" w:cs="Calibri"/>
          <w:sz w:val="22"/>
          <w:szCs w:val="22"/>
          <w:lang w:eastAsia="en-AU"/>
        </w:rPr>
        <w:t xml:space="preserve"> specific recommendations to shape the design of the second phase of the project, which subsequently commenced in November 2015. </w:t>
      </w:r>
      <w:r w:rsidR="00B644BE">
        <w:rPr>
          <w:rFonts w:ascii="Calibri" w:hAnsi="Calibri" w:cs="Calibri"/>
          <w:sz w:val="22"/>
          <w:szCs w:val="22"/>
          <w:lang w:eastAsia="en-AU"/>
        </w:rPr>
        <w:t xml:space="preserve">Given that the evaluation took place </w:t>
      </w:r>
      <w:r w:rsidR="009D2C0F">
        <w:rPr>
          <w:rFonts w:ascii="Calibri" w:hAnsi="Calibri" w:cs="Calibri"/>
          <w:sz w:val="22"/>
          <w:szCs w:val="22"/>
          <w:lang w:eastAsia="en-AU"/>
        </w:rPr>
        <w:t>at the same time of the</w:t>
      </w:r>
      <w:r w:rsidR="00B644BE">
        <w:rPr>
          <w:rFonts w:ascii="Calibri" w:hAnsi="Calibri" w:cs="Calibri"/>
          <w:sz w:val="22"/>
          <w:szCs w:val="22"/>
          <w:lang w:eastAsia="en-AU"/>
        </w:rPr>
        <w:t xml:space="preserve"> design of the second phase of TRIANGLE, many of the recommendations have already been considered </w:t>
      </w:r>
      <w:r w:rsidR="009D2C0F">
        <w:rPr>
          <w:rFonts w:ascii="Calibri" w:hAnsi="Calibri" w:cs="Calibri"/>
          <w:sz w:val="22"/>
          <w:szCs w:val="22"/>
          <w:lang w:eastAsia="en-AU"/>
        </w:rPr>
        <w:t xml:space="preserve">and incorporated into the </w:t>
      </w:r>
      <w:r w:rsidR="00422072">
        <w:rPr>
          <w:rFonts w:ascii="Calibri" w:hAnsi="Calibri" w:cs="Calibri"/>
          <w:sz w:val="22"/>
          <w:szCs w:val="22"/>
          <w:lang w:eastAsia="en-AU"/>
        </w:rPr>
        <w:t xml:space="preserve">new </w:t>
      </w:r>
      <w:r w:rsidR="009D2C0F">
        <w:rPr>
          <w:rFonts w:ascii="Calibri" w:hAnsi="Calibri" w:cs="Calibri"/>
          <w:sz w:val="22"/>
          <w:szCs w:val="22"/>
          <w:lang w:eastAsia="en-AU"/>
        </w:rPr>
        <w:t>design</w:t>
      </w:r>
      <w:r w:rsidR="00422072">
        <w:rPr>
          <w:rFonts w:ascii="Calibri" w:hAnsi="Calibri" w:cs="Calibri"/>
          <w:sz w:val="22"/>
          <w:szCs w:val="22"/>
          <w:lang w:eastAsia="en-AU"/>
        </w:rPr>
        <w:t>.</w:t>
      </w:r>
      <w:r w:rsidR="009D2C0F">
        <w:rPr>
          <w:rFonts w:ascii="Calibri" w:hAnsi="Calibri" w:cs="Calibri"/>
          <w:sz w:val="22"/>
          <w:szCs w:val="22"/>
          <w:lang w:eastAsia="en-AU"/>
        </w:rPr>
        <w:t xml:space="preserve"> </w:t>
      </w:r>
    </w:p>
    <w:p w:rsidR="007C4CC4" w:rsidRDefault="007C4CC4" w:rsidP="00976859">
      <w:pPr>
        <w:autoSpaceDE w:val="0"/>
        <w:autoSpaceDN w:val="0"/>
        <w:adjustRightInd w:val="0"/>
        <w:rPr>
          <w:rFonts w:ascii="Calibri" w:hAnsi="Calibri" w:cs="Calibri"/>
          <w:sz w:val="22"/>
          <w:szCs w:val="22"/>
          <w:lang w:eastAsia="en-AU"/>
        </w:rPr>
      </w:pPr>
    </w:p>
    <w:p w:rsidR="00B644BE" w:rsidRDefault="007C4CC4" w:rsidP="00976859">
      <w:pPr>
        <w:autoSpaceDE w:val="0"/>
        <w:autoSpaceDN w:val="0"/>
        <w:adjustRightInd w:val="0"/>
        <w:rPr>
          <w:rFonts w:asciiTheme="minorHAnsi" w:hAnsiTheme="minorHAnsi" w:cstheme="minorHAnsi"/>
          <w:sz w:val="22"/>
          <w:szCs w:val="22"/>
        </w:rPr>
      </w:pPr>
      <w:r>
        <w:rPr>
          <w:rFonts w:ascii="Calibri" w:hAnsi="Calibri" w:cs="Calibri"/>
          <w:sz w:val="22"/>
          <w:szCs w:val="22"/>
          <w:lang w:eastAsia="en-AU"/>
        </w:rPr>
        <w:t xml:space="preserve">The report was finalised in December 2015 </w:t>
      </w:r>
      <w:r w:rsidR="00854E6E">
        <w:rPr>
          <w:rFonts w:ascii="Calibri" w:hAnsi="Calibri" w:cs="Calibri"/>
          <w:sz w:val="22"/>
          <w:szCs w:val="22"/>
          <w:lang w:eastAsia="en-AU"/>
        </w:rPr>
        <w:t xml:space="preserve">and was well received by partners in terms of confirming the successes of </w:t>
      </w:r>
      <w:r w:rsidR="00B644BE">
        <w:rPr>
          <w:rFonts w:ascii="Calibri" w:hAnsi="Calibri" w:cs="Calibri"/>
          <w:sz w:val="22"/>
          <w:szCs w:val="22"/>
          <w:lang w:eastAsia="en-AU"/>
        </w:rPr>
        <w:t xml:space="preserve">the project, </w:t>
      </w:r>
      <w:r w:rsidR="00854E6E">
        <w:rPr>
          <w:rFonts w:ascii="Calibri" w:hAnsi="Calibri" w:cs="Calibri"/>
          <w:sz w:val="22"/>
          <w:szCs w:val="22"/>
          <w:lang w:eastAsia="en-AU"/>
        </w:rPr>
        <w:t xml:space="preserve">whilst at the same time recognising the need </w:t>
      </w:r>
      <w:r w:rsidR="00F827A1">
        <w:rPr>
          <w:rFonts w:ascii="Calibri" w:hAnsi="Calibri" w:cs="Calibri"/>
          <w:sz w:val="22"/>
          <w:szCs w:val="22"/>
          <w:lang w:eastAsia="en-AU"/>
        </w:rPr>
        <w:t xml:space="preserve">for further interventions to </w:t>
      </w:r>
      <w:r w:rsidR="00854E6E">
        <w:rPr>
          <w:rFonts w:ascii="Calibri" w:hAnsi="Calibri" w:cs="Calibri"/>
          <w:sz w:val="22"/>
          <w:szCs w:val="22"/>
          <w:lang w:eastAsia="en-AU"/>
        </w:rPr>
        <w:t xml:space="preserve">enhance the impact of the achievements to date. </w:t>
      </w:r>
    </w:p>
    <w:p w:rsidR="00B644BE" w:rsidRDefault="00B644BE" w:rsidP="00976859">
      <w:pPr>
        <w:autoSpaceDE w:val="0"/>
        <w:autoSpaceDN w:val="0"/>
        <w:adjustRightInd w:val="0"/>
        <w:rPr>
          <w:rFonts w:asciiTheme="minorHAnsi" w:hAnsiTheme="minorHAnsi" w:cstheme="minorHAnsi"/>
          <w:sz w:val="22"/>
          <w:szCs w:val="22"/>
        </w:rPr>
      </w:pPr>
    </w:p>
    <w:p w:rsidR="0058482C" w:rsidRDefault="00485C16" w:rsidP="0097685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Below are program management responses to </w:t>
      </w:r>
      <w:r w:rsidR="00F827A1">
        <w:rPr>
          <w:rFonts w:asciiTheme="minorHAnsi" w:hAnsiTheme="minorHAnsi" w:cstheme="minorHAnsi"/>
          <w:sz w:val="22"/>
          <w:szCs w:val="22"/>
        </w:rPr>
        <w:t xml:space="preserve">the </w:t>
      </w:r>
      <w:r>
        <w:rPr>
          <w:rFonts w:asciiTheme="minorHAnsi" w:hAnsiTheme="minorHAnsi" w:cstheme="minorHAnsi"/>
          <w:sz w:val="22"/>
          <w:szCs w:val="22"/>
        </w:rPr>
        <w:t xml:space="preserve">recommendations proposed by the </w:t>
      </w:r>
      <w:r w:rsidR="00F827A1">
        <w:rPr>
          <w:rFonts w:asciiTheme="minorHAnsi" w:hAnsiTheme="minorHAnsi" w:cstheme="minorHAnsi"/>
          <w:sz w:val="22"/>
          <w:szCs w:val="22"/>
        </w:rPr>
        <w:t xml:space="preserve">final evaluation (page 55-59 of </w:t>
      </w:r>
      <w:r w:rsidR="005109C1">
        <w:rPr>
          <w:rFonts w:asciiTheme="minorHAnsi" w:hAnsiTheme="minorHAnsi" w:cstheme="minorHAnsi"/>
          <w:sz w:val="22"/>
          <w:szCs w:val="22"/>
        </w:rPr>
        <w:t>final evaluation document</w:t>
      </w:r>
      <w:r w:rsidR="001714C9">
        <w:rPr>
          <w:rFonts w:asciiTheme="minorHAnsi" w:hAnsiTheme="minorHAnsi" w:cstheme="minorHAnsi"/>
          <w:sz w:val="22"/>
          <w:szCs w:val="22"/>
        </w:rPr>
        <w:t>)</w:t>
      </w:r>
      <w:r w:rsidR="00F827A1">
        <w:rPr>
          <w:rFonts w:asciiTheme="minorHAnsi" w:hAnsiTheme="minorHAnsi" w:cstheme="minorHAnsi"/>
          <w:sz w:val="22"/>
          <w:szCs w:val="22"/>
        </w:rPr>
        <w:t xml:space="preserve">. Management responses have been agreed through consultation between DFAT and the ILO and will be </w:t>
      </w:r>
      <w:r w:rsidR="00824014">
        <w:rPr>
          <w:rFonts w:asciiTheme="minorHAnsi" w:hAnsiTheme="minorHAnsi" w:cstheme="minorHAnsi"/>
          <w:sz w:val="22"/>
          <w:szCs w:val="22"/>
        </w:rPr>
        <w:t xml:space="preserve">implemented </w:t>
      </w:r>
      <w:r w:rsidR="00F827A1">
        <w:rPr>
          <w:rFonts w:asciiTheme="minorHAnsi" w:hAnsiTheme="minorHAnsi" w:cstheme="minorHAnsi"/>
          <w:sz w:val="22"/>
          <w:szCs w:val="22"/>
        </w:rPr>
        <w:t>in the new phase of the project</w:t>
      </w:r>
      <w:r w:rsidR="000A5DA7">
        <w:rPr>
          <w:rFonts w:asciiTheme="minorHAnsi" w:hAnsiTheme="minorHAnsi" w:cstheme="minorHAnsi"/>
          <w:sz w:val="22"/>
          <w:szCs w:val="22"/>
        </w:rPr>
        <w:t xml:space="preserve"> – </w:t>
      </w:r>
      <w:r w:rsidR="000A5DA7" w:rsidRPr="000A5DA7">
        <w:rPr>
          <w:rFonts w:asciiTheme="minorHAnsi" w:hAnsiTheme="minorHAnsi" w:cstheme="minorHAnsi"/>
          <w:sz w:val="22"/>
          <w:szCs w:val="22"/>
        </w:rPr>
        <w:t>Tripartite Action to Enhance the Contribution of Labour Migration to Growth and Development in ASEAN (TRIANGLE II)</w:t>
      </w:r>
      <w:r w:rsidR="00824014">
        <w:rPr>
          <w:rFonts w:asciiTheme="minorHAnsi" w:hAnsiTheme="minorHAnsi" w:cstheme="minorHAnsi"/>
          <w:sz w:val="22"/>
          <w:szCs w:val="22"/>
        </w:rPr>
        <w:t xml:space="preserve">, or as otherwise indicated. </w:t>
      </w:r>
    </w:p>
    <w:p w:rsidR="00B35749" w:rsidRDefault="00B35749" w:rsidP="00976859">
      <w:pPr>
        <w:jc w:val="both"/>
        <w:rPr>
          <w:rFonts w:asciiTheme="minorHAnsi" w:hAnsiTheme="minorHAnsi" w:cstheme="minorHAnsi"/>
          <w:sz w:val="22"/>
          <w:szCs w:val="22"/>
        </w:rPr>
      </w:pPr>
    </w:p>
    <w:p w:rsidR="00955079" w:rsidRDefault="00955079" w:rsidP="00976859">
      <w:pPr>
        <w:jc w:val="both"/>
        <w:rPr>
          <w:rFonts w:asciiTheme="minorHAnsi" w:hAnsiTheme="minorHAnsi" w:cstheme="minorHAnsi"/>
          <w:sz w:val="22"/>
          <w:szCs w:val="22"/>
          <w:highlight w:val="lightGray"/>
        </w:rPr>
      </w:pPr>
    </w:p>
    <w:p w:rsidR="00DD4F22" w:rsidRDefault="00DD4F22" w:rsidP="00976859">
      <w:pPr>
        <w:jc w:val="both"/>
        <w:rPr>
          <w:rFonts w:asciiTheme="minorHAnsi" w:hAnsiTheme="minorHAnsi" w:cstheme="minorHAnsi"/>
          <w:sz w:val="22"/>
          <w:szCs w:val="22"/>
          <w:highlight w:val="lightGray"/>
        </w:rPr>
        <w:sectPr w:rsidR="00DD4F22" w:rsidSect="00B3574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675"/>
        <w:gridCol w:w="4111"/>
        <w:gridCol w:w="4111"/>
        <w:gridCol w:w="3827"/>
        <w:gridCol w:w="1450"/>
      </w:tblGrid>
      <w:tr w:rsidR="00073EB3" w:rsidRPr="00976859" w:rsidTr="003B6DB4">
        <w:tc>
          <w:tcPr>
            <w:tcW w:w="14174" w:type="dxa"/>
            <w:gridSpan w:val="5"/>
            <w:shd w:val="clear" w:color="auto" w:fill="FFEC9B"/>
          </w:tcPr>
          <w:p w:rsidR="00073EB3" w:rsidRPr="00976859" w:rsidRDefault="00073EB3" w:rsidP="00976859">
            <w:pPr>
              <w:rPr>
                <w:rFonts w:asciiTheme="minorHAnsi" w:hAnsiTheme="minorHAnsi" w:cstheme="minorHAnsi"/>
                <w:b/>
                <w:color w:val="1F497D" w:themeColor="text2"/>
                <w:sz w:val="20"/>
                <w:szCs w:val="20"/>
              </w:rPr>
            </w:pPr>
            <w:r w:rsidRPr="00976859">
              <w:rPr>
                <w:rFonts w:asciiTheme="minorHAnsi" w:hAnsiTheme="minorHAnsi" w:cstheme="minorHAnsi"/>
                <w:b/>
                <w:color w:val="1F497D" w:themeColor="text2"/>
                <w:sz w:val="20"/>
                <w:szCs w:val="20"/>
              </w:rPr>
              <w:t>Key Recommendations, Management Responses and Actions:</w:t>
            </w:r>
          </w:p>
        </w:tc>
      </w:tr>
      <w:tr w:rsidR="004617D1" w:rsidRPr="00976859" w:rsidTr="003D0141">
        <w:tc>
          <w:tcPr>
            <w:tcW w:w="675" w:type="dxa"/>
            <w:shd w:val="clear" w:color="auto" w:fill="FFEC9B"/>
          </w:tcPr>
          <w:p w:rsidR="00D81320" w:rsidRPr="00976859" w:rsidRDefault="004617D1" w:rsidP="00976859">
            <w:pPr>
              <w:pStyle w:val="Heading2"/>
              <w:spacing w:before="0" w:after="0"/>
              <w:jc w:val="center"/>
              <w:rPr>
                <w:rFonts w:asciiTheme="minorHAnsi" w:hAnsiTheme="minorHAnsi" w:cstheme="minorHAnsi"/>
                <w:color w:val="1F497D" w:themeColor="text2"/>
                <w:sz w:val="20"/>
                <w:szCs w:val="20"/>
              </w:rPr>
            </w:pPr>
            <w:r w:rsidRPr="00976859">
              <w:rPr>
                <w:rFonts w:asciiTheme="minorHAnsi" w:hAnsiTheme="minorHAnsi" w:cstheme="minorHAnsi"/>
                <w:color w:val="1F497D" w:themeColor="text2"/>
                <w:sz w:val="20"/>
                <w:szCs w:val="20"/>
              </w:rPr>
              <w:t>Item No.</w:t>
            </w:r>
          </w:p>
        </w:tc>
        <w:tc>
          <w:tcPr>
            <w:tcW w:w="4111" w:type="dxa"/>
            <w:shd w:val="clear" w:color="auto" w:fill="FFEC9B"/>
            <w:vAlign w:val="center"/>
          </w:tcPr>
          <w:p w:rsidR="00D81320" w:rsidRPr="00976859" w:rsidRDefault="00D81320" w:rsidP="00976859">
            <w:pPr>
              <w:pStyle w:val="Heading2"/>
              <w:spacing w:before="0" w:after="0"/>
              <w:jc w:val="center"/>
              <w:rPr>
                <w:rFonts w:asciiTheme="minorHAnsi" w:hAnsiTheme="minorHAnsi" w:cstheme="minorHAnsi"/>
                <w:color w:val="1F497D" w:themeColor="text2"/>
                <w:sz w:val="20"/>
                <w:szCs w:val="20"/>
              </w:rPr>
            </w:pPr>
            <w:r w:rsidRPr="00976859">
              <w:rPr>
                <w:rFonts w:asciiTheme="minorHAnsi" w:hAnsiTheme="minorHAnsi" w:cstheme="minorHAnsi"/>
                <w:color w:val="1F497D" w:themeColor="text2"/>
                <w:sz w:val="20"/>
                <w:szCs w:val="20"/>
              </w:rPr>
              <w:t>Recommendation</w:t>
            </w:r>
          </w:p>
        </w:tc>
        <w:tc>
          <w:tcPr>
            <w:tcW w:w="4111" w:type="dxa"/>
            <w:tcBorders>
              <w:right w:val="single" w:sz="4" w:space="0" w:color="auto"/>
            </w:tcBorders>
            <w:shd w:val="clear" w:color="auto" w:fill="FFEC9B"/>
            <w:vAlign w:val="center"/>
          </w:tcPr>
          <w:p w:rsidR="00D81320" w:rsidRPr="00976859" w:rsidRDefault="00D81320" w:rsidP="00976859">
            <w:pPr>
              <w:jc w:val="center"/>
              <w:rPr>
                <w:rFonts w:asciiTheme="minorHAnsi" w:hAnsiTheme="minorHAnsi" w:cstheme="minorHAnsi"/>
                <w:b/>
                <w:color w:val="1F497D" w:themeColor="text2"/>
                <w:sz w:val="20"/>
                <w:szCs w:val="20"/>
              </w:rPr>
            </w:pPr>
            <w:r w:rsidRPr="00976859">
              <w:rPr>
                <w:rFonts w:asciiTheme="minorHAnsi" w:hAnsiTheme="minorHAnsi" w:cstheme="minorHAnsi"/>
                <w:b/>
                <w:color w:val="1F497D" w:themeColor="text2"/>
                <w:sz w:val="20"/>
                <w:szCs w:val="20"/>
              </w:rPr>
              <w:t>Response</w:t>
            </w:r>
          </w:p>
        </w:tc>
        <w:tc>
          <w:tcPr>
            <w:tcW w:w="3827" w:type="dxa"/>
            <w:tcBorders>
              <w:left w:val="single" w:sz="4" w:space="0" w:color="auto"/>
            </w:tcBorders>
            <w:shd w:val="clear" w:color="auto" w:fill="FFEC9B"/>
            <w:vAlign w:val="center"/>
          </w:tcPr>
          <w:p w:rsidR="00D81320" w:rsidRPr="00976859" w:rsidRDefault="00D81320" w:rsidP="00976859">
            <w:pPr>
              <w:jc w:val="center"/>
              <w:rPr>
                <w:rFonts w:asciiTheme="minorHAnsi" w:hAnsiTheme="minorHAnsi" w:cstheme="minorHAnsi"/>
                <w:b/>
                <w:color w:val="1F497D" w:themeColor="text2"/>
                <w:sz w:val="20"/>
                <w:szCs w:val="20"/>
              </w:rPr>
            </w:pPr>
            <w:r w:rsidRPr="00976859">
              <w:rPr>
                <w:rFonts w:asciiTheme="minorHAnsi" w:hAnsiTheme="minorHAnsi" w:cstheme="minorHAnsi"/>
                <w:b/>
                <w:color w:val="1F497D" w:themeColor="text2"/>
                <w:sz w:val="20"/>
                <w:szCs w:val="20"/>
              </w:rPr>
              <w:t>Actions</w:t>
            </w:r>
          </w:p>
        </w:tc>
        <w:tc>
          <w:tcPr>
            <w:tcW w:w="1450" w:type="dxa"/>
            <w:tcBorders>
              <w:left w:val="single" w:sz="4" w:space="0" w:color="auto"/>
            </w:tcBorders>
            <w:shd w:val="clear" w:color="auto" w:fill="FFEC9B"/>
            <w:vAlign w:val="center"/>
          </w:tcPr>
          <w:p w:rsidR="00D81320" w:rsidRPr="00976859" w:rsidRDefault="00D81320" w:rsidP="00976859">
            <w:pPr>
              <w:jc w:val="center"/>
              <w:rPr>
                <w:rFonts w:asciiTheme="minorHAnsi" w:hAnsiTheme="minorHAnsi" w:cstheme="minorHAnsi"/>
                <w:color w:val="1F497D" w:themeColor="text2"/>
                <w:sz w:val="20"/>
                <w:szCs w:val="20"/>
              </w:rPr>
            </w:pPr>
            <w:r w:rsidRPr="00976859">
              <w:rPr>
                <w:rFonts w:asciiTheme="minorHAnsi" w:hAnsiTheme="minorHAnsi" w:cstheme="minorHAnsi"/>
                <w:b/>
                <w:color w:val="1F497D" w:themeColor="text2"/>
                <w:sz w:val="20"/>
                <w:szCs w:val="20"/>
              </w:rPr>
              <w:t>Responsibility</w:t>
            </w:r>
          </w:p>
        </w:tc>
      </w:tr>
      <w:tr w:rsidR="00DF50D5" w:rsidRPr="00976859" w:rsidTr="003D0141">
        <w:trPr>
          <w:trHeight w:val="885"/>
        </w:trPr>
        <w:tc>
          <w:tcPr>
            <w:tcW w:w="675" w:type="dxa"/>
          </w:tcPr>
          <w:p w:rsidR="00D81320"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1.</w:t>
            </w:r>
          </w:p>
        </w:tc>
        <w:tc>
          <w:tcPr>
            <w:tcW w:w="4111" w:type="dxa"/>
            <w:shd w:val="clear" w:color="auto" w:fill="auto"/>
          </w:tcPr>
          <w:p w:rsidR="00D81320" w:rsidRPr="00976859" w:rsidRDefault="00F917E7" w:rsidP="00976859">
            <w:pPr>
              <w:autoSpaceDE w:val="0"/>
              <w:autoSpaceDN w:val="0"/>
              <w:adjustRightInd w:val="0"/>
              <w:rPr>
                <w:rFonts w:asciiTheme="minorHAnsi" w:hAnsiTheme="minorHAnsi" w:cstheme="minorHAnsi"/>
                <w:sz w:val="20"/>
                <w:szCs w:val="20"/>
              </w:rPr>
            </w:pPr>
            <w:r w:rsidRPr="00976859">
              <w:rPr>
                <w:rFonts w:asciiTheme="minorHAnsi" w:hAnsiTheme="minorHAnsi" w:cstheme="minorHAnsi"/>
                <w:sz w:val="20"/>
                <w:szCs w:val="20"/>
                <w:lang w:eastAsia="en-AU"/>
              </w:rPr>
              <w:t>Expand the gender sensitive and sectoral approach to</w:t>
            </w:r>
            <w:r w:rsidR="0019740C"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addressing labour migration to other sectors, which are</w:t>
            </w:r>
            <w:r w:rsidR="0019740C"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particularly vulnerable for women and men migrant</w:t>
            </w:r>
            <w:r w:rsidR="0019740C"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workers.</w:t>
            </w:r>
          </w:p>
        </w:tc>
        <w:tc>
          <w:tcPr>
            <w:tcW w:w="4111" w:type="dxa"/>
            <w:tcBorders>
              <w:right w:val="single" w:sz="4" w:space="0" w:color="auto"/>
            </w:tcBorders>
            <w:shd w:val="clear" w:color="auto" w:fill="auto"/>
          </w:tcPr>
          <w:p w:rsidR="00D81320" w:rsidRPr="00976859" w:rsidRDefault="00153502"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supports </w:t>
            </w:r>
            <w:r w:rsidR="009D2C0F" w:rsidRPr="00976859">
              <w:rPr>
                <w:rFonts w:asciiTheme="minorHAnsi" w:hAnsiTheme="minorHAnsi" w:cstheme="minorHAnsi"/>
                <w:sz w:val="20"/>
                <w:szCs w:val="20"/>
              </w:rPr>
              <w:t xml:space="preserve">the consideration of </w:t>
            </w:r>
            <w:r w:rsidRPr="00976859">
              <w:rPr>
                <w:rFonts w:asciiTheme="minorHAnsi" w:hAnsiTheme="minorHAnsi" w:cstheme="minorHAnsi"/>
                <w:sz w:val="20"/>
                <w:szCs w:val="20"/>
              </w:rPr>
              <w:t>expanding sectoral approaches</w:t>
            </w:r>
            <w:r w:rsidR="000C3E46" w:rsidRPr="00976859">
              <w:rPr>
                <w:rFonts w:asciiTheme="minorHAnsi" w:hAnsiTheme="minorHAnsi" w:cstheme="minorHAnsi"/>
                <w:sz w:val="20"/>
                <w:szCs w:val="20"/>
              </w:rPr>
              <w:t xml:space="preserve"> based on an assessment </w:t>
            </w:r>
            <w:r w:rsidR="001714C9" w:rsidRPr="00976859">
              <w:rPr>
                <w:rFonts w:asciiTheme="minorHAnsi" w:hAnsiTheme="minorHAnsi" w:cstheme="minorHAnsi"/>
                <w:sz w:val="20"/>
                <w:szCs w:val="20"/>
              </w:rPr>
              <w:t>informed by gender analysis</w:t>
            </w:r>
            <w:r w:rsidR="005109C1" w:rsidRPr="00976859">
              <w:rPr>
                <w:rFonts w:asciiTheme="minorHAnsi" w:hAnsiTheme="minorHAnsi" w:cstheme="minorHAnsi"/>
                <w:sz w:val="20"/>
                <w:szCs w:val="20"/>
              </w:rPr>
              <w:t xml:space="preserve">. This assessment should focus on </w:t>
            </w:r>
            <w:r w:rsidR="00BA04DC" w:rsidRPr="00976859">
              <w:rPr>
                <w:rFonts w:asciiTheme="minorHAnsi" w:hAnsiTheme="minorHAnsi" w:cstheme="minorHAnsi"/>
                <w:sz w:val="20"/>
                <w:szCs w:val="20"/>
              </w:rPr>
              <w:t xml:space="preserve">key priority </w:t>
            </w:r>
            <w:r w:rsidR="000C3E46" w:rsidRPr="00976859">
              <w:rPr>
                <w:rFonts w:asciiTheme="minorHAnsi" w:hAnsiTheme="minorHAnsi" w:cstheme="minorHAnsi"/>
                <w:sz w:val="20"/>
                <w:szCs w:val="20"/>
              </w:rPr>
              <w:t xml:space="preserve">sectors </w:t>
            </w:r>
            <w:r w:rsidR="00BA04DC" w:rsidRPr="00976859">
              <w:rPr>
                <w:rFonts w:asciiTheme="minorHAnsi" w:hAnsiTheme="minorHAnsi" w:cstheme="minorHAnsi"/>
                <w:sz w:val="20"/>
                <w:szCs w:val="20"/>
              </w:rPr>
              <w:t xml:space="preserve">within ASEAN that have potential to provide opportunity for economic empowerment and </w:t>
            </w:r>
            <w:r w:rsidRPr="00976859">
              <w:rPr>
                <w:rFonts w:asciiTheme="minorHAnsi" w:hAnsiTheme="minorHAnsi" w:cstheme="minorHAnsi"/>
                <w:sz w:val="20"/>
                <w:szCs w:val="20"/>
              </w:rPr>
              <w:t>w</w:t>
            </w:r>
            <w:r w:rsidR="000C3E46" w:rsidRPr="00976859">
              <w:rPr>
                <w:rFonts w:asciiTheme="minorHAnsi" w:hAnsiTheme="minorHAnsi" w:cstheme="minorHAnsi"/>
                <w:sz w:val="20"/>
                <w:szCs w:val="20"/>
              </w:rPr>
              <w:t>h</w:t>
            </w:r>
            <w:r w:rsidRPr="00976859">
              <w:rPr>
                <w:rFonts w:asciiTheme="minorHAnsi" w:hAnsiTheme="minorHAnsi" w:cstheme="minorHAnsi"/>
                <w:sz w:val="20"/>
                <w:szCs w:val="20"/>
              </w:rPr>
              <w:t xml:space="preserve">ere </w:t>
            </w:r>
            <w:r w:rsidR="00601934" w:rsidRPr="00976859">
              <w:rPr>
                <w:rFonts w:asciiTheme="minorHAnsi" w:hAnsiTheme="minorHAnsi" w:cstheme="minorHAnsi"/>
                <w:sz w:val="20"/>
                <w:szCs w:val="20"/>
              </w:rPr>
              <w:t xml:space="preserve">either </w:t>
            </w:r>
            <w:r w:rsidRPr="00976859">
              <w:rPr>
                <w:rFonts w:asciiTheme="minorHAnsi" w:hAnsiTheme="minorHAnsi" w:cstheme="minorHAnsi"/>
                <w:sz w:val="20"/>
                <w:szCs w:val="20"/>
              </w:rPr>
              <w:t xml:space="preserve">migrant women and men </w:t>
            </w:r>
            <w:r w:rsidR="00601934" w:rsidRPr="00976859">
              <w:rPr>
                <w:rFonts w:asciiTheme="minorHAnsi" w:hAnsiTheme="minorHAnsi" w:cstheme="minorHAnsi"/>
                <w:sz w:val="20"/>
                <w:szCs w:val="20"/>
              </w:rPr>
              <w:t xml:space="preserve">or are </w:t>
            </w:r>
            <w:r w:rsidRPr="00976859">
              <w:rPr>
                <w:rFonts w:asciiTheme="minorHAnsi" w:hAnsiTheme="minorHAnsi" w:cstheme="minorHAnsi"/>
                <w:sz w:val="20"/>
                <w:szCs w:val="20"/>
              </w:rPr>
              <w:t>particularly vulnerable</w:t>
            </w:r>
            <w:r w:rsidR="00BA04DC" w:rsidRPr="00976859">
              <w:rPr>
                <w:rFonts w:asciiTheme="minorHAnsi" w:hAnsiTheme="minorHAnsi" w:cstheme="minorHAnsi"/>
                <w:sz w:val="20"/>
                <w:szCs w:val="20"/>
              </w:rPr>
              <w:t>.</w:t>
            </w:r>
            <w:r w:rsidRPr="00976859">
              <w:rPr>
                <w:rFonts w:asciiTheme="minorHAnsi" w:hAnsiTheme="minorHAnsi" w:cstheme="minorHAnsi"/>
                <w:sz w:val="20"/>
                <w:szCs w:val="20"/>
              </w:rPr>
              <w:t xml:space="preserve"> </w:t>
            </w:r>
            <w:r w:rsidR="00BF4687" w:rsidRPr="00976859">
              <w:rPr>
                <w:rFonts w:asciiTheme="minorHAnsi" w:hAnsiTheme="minorHAnsi" w:cstheme="minorHAnsi"/>
                <w:sz w:val="20"/>
                <w:szCs w:val="20"/>
              </w:rPr>
              <w:t xml:space="preserve">The consideration of expanding sectoral approaches should be balanced against the value of building on the work already achieved </w:t>
            </w:r>
            <w:r w:rsidR="005109C1" w:rsidRPr="00976859">
              <w:rPr>
                <w:rFonts w:asciiTheme="minorHAnsi" w:hAnsiTheme="minorHAnsi" w:cstheme="minorHAnsi"/>
                <w:sz w:val="20"/>
                <w:szCs w:val="20"/>
              </w:rPr>
              <w:t xml:space="preserve">under GMS TRIANGLE </w:t>
            </w:r>
            <w:r w:rsidR="00BF4687" w:rsidRPr="00976859">
              <w:rPr>
                <w:rFonts w:asciiTheme="minorHAnsi" w:hAnsiTheme="minorHAnsi" w:cstheme="minorHAnsi"/>
                <w:sz w:val="20"/>
                <w:szCs w:val="20"/>
              </w:rPr>
              <w:t>in the fishing and domestic work sectors.</w:t>
            </w:r>
          </w:p>
        </w:tc>
        <w:tc>
          <w:tcPr>
            <w:tcW w:w="3827" w:type="dxa"/>
            <w:tcBorders>
              <w:left w:val="single" w:sz="4" w:space="0" w:color="auto"/>
            </w:tcBorders>
            <w:shd w:val="clear" w:color="auto" w:fill="auto"/>
          </w:tcPr>
          <w:p w:rsidR="00153502" w:rsidRPr="00976859" w:rsidRDefault="00BF4687" w:rsidP="00976859">
            <w:pPr>
              <w:rPr>
                <w:rFonts w:asciiTheme="minorHAnsi" w:hAnsiTheme="minorHAnsi" w:cstheme="minorHAnsi"/>
                <w:sz w:val="20"/>
                <w:szCs w:val="20"/>
              </w:rPr>
            </w:pPr>
            <w:r w:rsidRPr="00976859">
              <w:rPr>
                <w:rFonts w:asciiTheme="minorHAnsi" w:hAnsiTheme="minorHAnsi" w:cstheme="minorHAnsi"/>
                <w:sz w:val="20"/>
                <w:szCs w:val="20"/>
              </w:rPr>
              <w:t xml:space="preserve">Priority </w:t>
            </w:r>
            <w:r w:rsidR="00153502" w:rsidRPr="00976859">
              <w:rPr>
                <w:rFonts w:asciiTheme="minorHAnsi" w:hAnsiTheme="minorHAnsi" w:cstheme="minorHAnsi"/>
                <w:sz w:val="20"/>
                <w:szCs w:val="20"/>
              </w:rPr>
              <w:t xml:space="preserve">sectors </w:t>
            </w:r>
            <w:r w:rsidR="000A5DA7" w:rsidRPr="00976859">
              <w:rPr>
                <w:rFonts w:asciiTheme="minorHAnsi" w:hAnsiTheme="minorHAnsi" w:cstheme="minorHAnsi"/>
                <w:sz w:val="20"/>
                <w:szCs w:val="20"/>
              </w:rPr>
              <w:t>have been</w:t>
            </w:r>
            <w:r w:rsidR="00153502" w:rsidRPr="00976859">
              <w:rPr>
                <w:rFonts w:asciiTheme="minorHAnsi" w:hAnsiTheme="minorHAnsi" w:cstheme="minorHAnsi"/>
                <w:sz w:val="20"/>
                <w:szCs w:val="20"/>
              </w:rPr>
              <w:t xml:space="preserve"> identified </w:t>
            </w:r>
            <w:r w:rsidR="000A5DA7" w:rsidRPr="00976859">
              <w:rPr>
                <w:rFonts w:asciiTheme="minorHAnsi" w:hAnsiTheme="minorHAnsi" w:cstheme="minorHAnsi"/>
                <w:sz w:val="20"/>
                <w:szCs w:val="20"/>
              </w:rPr>
              <w:t>during the design of TRIANGLE II</w:t>
            </w:r>
            <w:r w:rsidR="00462B12" w:rsidRPr="00976859">
              <w:rPr>
                <w:rFonts w:asciiTheme="minorHAnsi" w:hAnsiTheme="minorHAnsi" w:cstheme="minorHAnsi"/>
                <w:sz w:val="20"/>
                <w:szCs w:val="20"/>
              </w:rPr>
              <w:t>, and target sectors will be selected in the inception phase</w:t>
            </w:r>
            <w:r w:rsidR="000A5DA7" w:rsidRPr="00976859">
              <w:rPr>
                <w:rFonts w:asciiTheme="minorHAnsi" w:hAnsiTheme="minorHAnsi" w:cstheme="minorHAnsi"/>
                <w:sz w:val="20"/>
                <w:szCs w:val="20"/>
              </w:rPr>
              <w:t xml:space="preserve">. </w:t>
            </w:r>
            <w:r w:rsidR="005109C1" w:rsidRPr="00976859">
              <w:rPr>
                <w:rFonts w:asciiTheme="minorHAnsi" w:hAnsiTheme="minorHAnsi" w:cstheme="minorHAnsi"/>
                <w:sz w:val="20"/>
                <w:szCs w:val="20"/>
              </w:rPr>
              <w:t xml:space="preserve">Expanding the focus of work into </w:t>
            </w:r>
            <w:r w:rsidR="00462B12" w:rsidRPr="00976859">
              <w:rPr>
                <w:rFonts w:asciiTheme="minorHAnsi" w:hAnsiTheme="minorHAnsi" w:cstheme="minorHAnsi"/>
                <w:sz w:val="20"/>
                <w:szCs w:val="20"/>
              </w:rPr>
              <w:t xml:space="preserve">new </w:t>
            </w:r>
            <w:r w:rsidR="005109C1" w:rsidRPr="00976859">
              <w:rPr>
                <w:rFonts w:asciiTheme="minorHAnsi" w:hAnsiTheme="minorHAnsi" w:cstheme="minorHAnsi"/>
                <w:sz w:val="20"/>
                <w:szCs w:val="20"/>
              </w:rPr>
              <w:t xml:space="preserve">sectors </w:t>
            </w:r>
            <w:r w:rsidR="000A5DA7" w:rsidRPr="00976859">
              <w:rPr>
                <w:rFonts w:asciiTheme="minorHAnsi" w:hAnsiTheme="minorHAnsi" w:cstheme="minorHAnsi"/>
                <w:sz w:val="20"/>
                <w:szCs w:val="20"/>
              </w:rPr>
              <w:t>will be guided by fu</w:t>
            </w:r>
            <w:r w:rsidR="005109C1" w:rsidRPr="00976859">
              <w:rPr>
                <w:rFonts w:asciiTheme="minorHAnsi" w:hAnsiTheme="minorHAnsi" w:cstheme="minorHAnsi"/>
                <w:sz w:val="20"/>
                <w:szCs w:val="20"/>
              </w:rPr>
              <w:t>rther research</w:t>
            </w:r>
            <w:r w:rsidR="00462B12" w:rsidRPr="00976859">
              <w:rPr>
                <w:rFonts w:asciiTheme="minorHAnsi" w:hAnsiTheme="minorHAnsi" w:cstheme="minorHAnsi"/>
                <w:sz w:val="20"/>
                <w:szCs w:val="20"/>
              </w:rPr>
              <w:t xml:space="preserve"> and analysis</w:t>
            </w:r>
            <w:r w:rsidR="005109C1" w:rsidRPr="00976859">
              <w:rPr>
                <w:rFonts w:asciiTheme="minorHAnsi" w:hAnsiTheme="minorHAnsi" w:cstheme="minorHAnsi"/>
                <w:sz w:val="20"/>
                <w:szCs w:val="20"/>
              </w:rPr>
              <w:t xml:space="preserve"> to determine </w:t>
            </w:r>
            <w:r w:rsidR="001714C9" w:rsidRPr="00976859">
              <w:rPr>
                <w:rFonts w:asciiTheme="minorHAnsi" w:hAnsiTheme="minorHAnsi" w:cstheme="minorHAnsi"/>
                <w:sz w:val="20"/>
                <w:szCs w:val="20"/>
              </w:rPr>
              <w:t>relevance and effectiveness in the context of TRIANGLE’s scope and budget</w:t>
            </w:r>
            <w:r w:rsidR="00153502" w:rsidRPr="00976859">
              <w:rPr>
                <w:rFonts w:asciiTheme="minorHAnsi" w:hAnsiTheme="minorHAnsi" w:cstheme="minorHAnsi"/>
                <w:sz w:val="20"/>
                <w:szCs w:val="20"/>
              </w:rPr>
              <w:t xml:space="preserve">. </w:t>
            </w:r>
          </w:p>
        </w:tc>
        <w:tc>
          <w:tcPr>
            <w:tcW w:w="1450" w:type="dxa"/>
            <w:tcBorders>
              <w:left w:val="single" w:sz="4" w:space="0" w:color="auto"/>
            </w:tcBorders>
            <w:shd w:val="clear" w:color="auto" w:fill="auto"/>
          </w:tcPr>
          <w:p w:rsidR="00D81320" w:rsidRPr="00976859" w:rsidRDefault="00153502" w:rsidP="00976859">
            <w:pPr>
              <w:rPr>
                <w:rFonts w:asciiTheme="minorHAnsi" w:hAnsiTheme="minorHAnsi" w:cstheme="minorHAnsi"/>
                <w:sz w:val="20"/>
                <w:szCs w:val="20"/>
              </w:rPr>
            </w:pPr>
            <w:r w:rsidRPr="00976859">
              <w:rPr>
                <w:rFonts w:asciiTheme="minorHAnsi" w:hAnsiTheme="minorHAnsi" w:cstheme="minorHAnsi"/>
                <w:sz w:val="20"/>
                <w:szCs w:val="20"/>
              </w:rPr>
              <w:t xml:space="preserve">ILO </w:t>
            </w:r>
          </w:p>
        </w:tc>
      </w:tr>
      <w:tr w:rsidR="00DF50D5" w:rsidRPr="00976859" w:rsidTr="003D0141">
        <w:trPr>
          <w:trHeight w:val="885"/>
        </w:trPr>
        <w:tc>
          <w:tcPr>
            <w:tcW w:w="675" w:type="dxa"/>
          </w:tcPr>
          <w:p w:rsidR="00D81320"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2.</w:t>
            </w:r>
          </w:p>
        </w:tc>
        <w:tc>
          <w:tcPr>
            <w:tcW w:w="4111" w:type="dxa"/>
            <w:shd w:val="clear" w:color="auto" w:fill="auto"/>
          </w:tcPr>
          <w:p w:rsidR="00D81320"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Support in-depth research reports to fill a knowledge gap,</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use for advocacy and generate media attention. Explore areas that ILO determines as ripe for policy and legislative change to increase influence and uptake of reform.</w:t>
            </w:r>
          </w:p>
        </w:tc>
        <w:tc>
          <w:tcPr>
            <w:tcW w:w="4111" w:type="dxa"/>
            <w:tcBorders>
              <w:right w:val="single" w:sz="4" w:space="0" w:color="auto"/>
            </w:tcBorders>
            <w:shd w:val="clear" w:color="auto" w:fill="auto"/>
          </w:tcPr>
          <w:p w:rsidR="00D81320" w:rsidRPr="00976859" w:rsidRDefault="00153502" w:rsidP="00976859">
            <w:pPr>
              <w:rPr>
                <w:rFonts w:asciiTheme="minorHAnsi" w:hAnsiTheme="minorHAnsi" w:cstheme="minorHAnsi"/>
                <w:sz w:val="20"/>
                <w:szCs w:val="20"/>
              </w:rPr>
            </w:pPr>
            <w:r w:rsidRPr="00976859">
              <w:rPr>
                <w:rFonts w:asciiTheme="minorHAnsi" w:hAnsiTheme="minorHAnsi" w:cstheme="minorHAnsi"/>
                <w:sz w:val="20"/>
                <w:szCs w:val="20"/>
              </w:rPr>
              <w:t>DFAT acknowledges the role that evidence-based research has had in advocating for policy and legislative change</w:t>
            </w:r>
            <w:r w:rsidR="001714C9" w:rsidRPr="00976859">
              <w:rPr>
                <w:rFonts w:asciiTheme="minorHAnsi" w:hAnsiTheme="minorHAnsi" w:cstheme="minorHAnsi"/>
                <w:sz w:val="20"/>
                <w:szCs w:val="20"/>
              </w:rPr>
              <w:t xml:space="preserve"> and to</w:t>
            </w:r>
            <w:r w:rsidR="000A5DA7" w:rsidRPr="00976859">
              <w:rPr>
                <w:rFonts w:asciiTheme="minorHAnsi" w:hAnsiTheme="minorHAnsi" w:cstheme="minorHAnsi"/>
                <w:sz w:val="20"/>
                <w:szCs w:val="20"/>
              </w:rPr>
              <w:t xml:space="preserve"> improv</w:t>
            </w:r>
            <w:r w:rsidR="001714C9" w:rsidRPr="00976859">
              <w:rPr>
                <w:rFonts w:asciiTheme="minorHAnsi" w:hAnsiTheme="minorHAnsi" w:cstheme="minorHAnsi"/>
                <w:sz w:val="20"/>
                <w:szCs w:val="20"/>
              </w:rPr>
              <w:t>ing</w:t>
            </w:r>
            <w:r w:rsidR="000A5DA7" w:rsidRPr="00976859">
              <w:rPr>
                <w:rFonts w:asciiTheme="minorHAnsi" w:hAnsiTheme="minorHAnsi" w:cstheme="minorHAnsi"/>
                <w:sz w:val="20"/>
                <w:szCs w:val="20"/>
              </w:rPr>
              <w:t xml:space="preserve"> </w:t>
            </w:r>
            <w:r w:rsidR="001714C9" w:rsidRPr="00976859">
              <w:rPr>
                <w:rFonts w:asciiTheme="minorHAnsi" w:hAnsiTheme="minorHAnsi" w:cstheme="minorHAnsi"/>
                <w:sz w:val="20"/>
                <w:szCs w:val="20"/>
              </w:rPr>
              <w:t xml:space="preserve">project </w:t>
            </w:r>
            <w:r w:rsidR="000A5DA7" w:rsidRPr="00976859">
              <w:rPr>
                <w:rFonts w:asciiTheme="minorHAnsi" w:hAnsiTheme="minorHAnsi" w:cstheme="minorHAnsi"/>
                <w:sz w:val="20"/>
                <w:szCs w:val="20"/>
              </w:rPr>
              <w:t>implementation</w:t>
            </w:r>
            <w:r w:rsidRPr="00976859">
              <w:rPr>
                <w:rFonts w:asciiTheme="minorHAnsi" w:hAnsiTheme="minorHAnsi" w:cstheme="minorHAnsi"/>
                <w:sz w:val="20"/>
                <w:szCs w:val="20"/>
              </w:rPr>
              <w:t xml:space="preserve">. A strategic and </w:t>
            </w:r>
            <w:r w:rsidR="001714C9" w:rsidRPr="00976859">
              <w:rPr>
                <w:rFonts w:asciiTheme="minorHAnsi" w:hAnsiTheme="minorHAnsi" w:cstheme="minorHAnsi"/>
                <w:sz w:val="20"/>
                <w:szCs w:val="20"/>
              </w:rPr>
              <w:t>value-for-money</w:t>
            </w:r>
            <w:r w:rsidRPr="00976859">
              <w:rPr>
                <w:rFonts w:asciiTheme="minorHAnsi" w:hAnsiTheme="minorHAnsi" w:cstheme="minorHAnsi"/>
                <w:sz w:val="20"/>
                <w:szCs w:val="20"/>
              </w:rPr>
              <w:t xml:space="preserve"> approach to research should be taken for TRIANGLE II, particularly given the length of the investment. </w:t>
            </w:r>
          </w:p>
        </w:tc>
        <w:tc>
          <w:tcPr>
            <w:tcW w:w="3827" w:type="dxa"/>
            <w:tcBorders>
              <w:left w:val="single" w:sz="4" w:space="0" w:color="auto"/>
            </w:tcBorders>
            <w:shd w:val="clear" w:color="auto" w:fill="auto"/>
          </w:tcPr>
          <w:p w:rsidR="00A23566" w:rsidRPr="00976859" w:rsidRDefault="00153502" w:rsidP="00976859">
            <w:pPr>
              <w:rPr>
                <w:rFonts w:asciiTheme="minorHAnsi" w:hAnsiTheme="minorHAnsi" w:cstheme="minorHAnsi"/>
                <w:sz w:val="20"/>
                <w:szCs w:val="20"/>
              </w:rPr>
            </w:pPr>
            <w:r w:rsidRPr="00976859">
              <w:rPr>
                <w:rFonts w:asciiTheme="minorHAnsi" w:hAnsiTheme="minorHAnsi" w:cstheme="minorHAnsi"/>
                <w:sz w:val="20"/>
                <w:szCs w:val="20"/>
              </w:rPr>
              <w:t xml:space="preserve">A research strategy </w:t>
            </w:r>
            <w:r w:rsidR="000A5DA7" w:rsidRPr="00976859">
              <w:rPr>
                <w:rFonts w:asciiTheme="minorHAnsi" w:hAnsiTheme="minorHAnsi" w:cstheme="minorHAnsi"/>
                <w:sz w:val="20"/>
                <w:szCs w:val="20"/>
              </w:rPr>
              <w:t xml:space="preserve">has been </w:t>
            </w:r>
            <w:r w:rsidRPr="00976859">
              <w:rPr>
                <w:rFonts w:asciiTheme="minorHAnsi" w:hAnsiTheme="minorHAnsi" w:cstheme="minorHAnsi"/>
                <w:sz w:val="20"/>
                <w:szCs w:val="20"/>
              </w:rPr>
              <w:t xml:space="preserve">developed </w:t>
            </w:r>
            <w:r w:rsidR="000A5DA7" w:rsidRPr="00976859">
              <w:rPr>
                <w:rFonts w:asciiTheme="minorHAnsi" w:hAnsiTheme="minorHAnsi" w:cstheme="minorHAnsi"/>
                <w:sz w:val="20"/>
                <w:szCs w:val="20"/>
              </w:rPr>
              <w:t>for</w:t>
            </w:r>
            <w:r w:rsidRPr="00976859">
              <w:rPr>
                <w:rFonts w:asciiTheme="minorHAnsi" w:hAnsiTheme="minorHAnsi" w:cstheme="minorHAnsi"/>
                <w:sz w:val="20"/>
                <w:szCs w:val="20"/>
              </w:rPr>
              <w:t xml:space="preserve"> TRIANGLE II to provide rigorous, policy-relevant </w:t>
            </w:r>
            <w:r w:rsidR="00273898">
              <w:rPr>
                <w:rFonts w:asciiTheme="minorHAnsi" w:hAnsiTheme="minorHAnsi" w:cstheme="minorHAnsi"/>
                <w:sz w:val="20"/>
                <w:szCs w:val="20"/>
              </w:rPr>
              <w:t>and</w:t>
            </w:r>
            <w:r w:rsidR="00462B12" w:rsidRPr="00976859">
              <w:rPr>
                <w:rFonts w:asciiTheme="minorHAnsi" w:hAnsiTheme="minorHAnsi" w:cstheme="minorHAnsi"/>
                <w:sz w:val="20"/>
                <w:szCs w:val="20"/>
              </w:rPr>
              <w:t xml:space="preserve"> timely </w:t>
            </w:r>
            <w:r w:rsidRPr="00976859">
              <w:rPr>
                <w:rFonts w:asciiTheme="minorHAnsi" w:hAnsiTheme="minorHAnsi" w:cstheme="minorHAnsi"/>
                <w:sz w:val="20"/>
                <w:szCs w:val="20"/>
              </w:rPr>
              <w:t>research output</w:t>
            </w:r>
            <w:r w:rsidR="00462B12" w:rsidRPr="00976859">
              <w:rPr>
                <w:rFonts w:asciiTheme="minorHAnsi" w:hAnsiTheme="minorHAnsi" w:cstheme="minorHAnsi"/>
                <w:sz w:val="20"/>
                <w:szCs w:val="20"/>
              </w:rPr>
              <w:t>s</w:t>
            </w:r>
            <w:r w:rsidRPr="00976859">
              <w:rPr>
                <w:rFonts w:asciiTheme="minorHAnsi" w:hAnsiTheme="minorHAnsi" w:cstheme="minorHAnsi"/>
                <w:sz w:val="20"/>
                <w:szCs w:val="20"/>
              </w:rPr>
              <w:t xml:space="preserve"> on labour migration</w:t>
            </w:r>
            <w:r w:rsidR="00462B12" w:rsidRPr="00976859">
              <w:rPr>
                <w:rFonts w:asciiTheme="minorHAnsi" w:hAnsiTheme="minorHAnsi" w:cstheme="minorHAnsi"/>
                <w:sz w:val="20"/>
                <w:szCs w:val="20"/>
              </w:rPr>
              <w:t>, and will be limited by available funding</w:t>
            </w:r>
            <w:r w:rsidRPr="00976859">
              <w:rPr>
                <w:rFonts w:asciiTheme="minorHAnsi" w:hAnsiTheme="minorHAnsi" w:cstheme="minorHAnsi"/>
                <w:sz w:val="20"/>
                <w:szCs w:val="20"/>
              </w:rPr>
              <w:t xml:space="preserve">. This </w:t>
            </w:r>
            <w:r w:rsidR="000A5DA7" w:rsidRPr="00976859">
              <w:rPr>
                <w:rFonts w:asciiTheme="minorHAnsi" w:hAnsiTheme="minorHAnsi" w:cstheme="minorHAnsi"/>
                <w:sz w:val="20"/>
                <w:szCs w:val="20"/>
              </w:rPr>
              <w:t xml:space="preserve">strategy </w:t>
            </w:r>
            <w:r w:rsidRPr="00976859">
              <w:rPr>
                <w:rFonts w:asciiTheme="minorHAnsi" w:hAnsiTheme="minorHAnsi" w:cstheme="minorHAnsi"/>
                <w:sz w:val="20"/>
                <w:szCs w:val="20"/>
              </w:rPr>
              <w:t>include</w:t>
            </w:r>
            <w:r w:rsidR="000A5DA7" w:rsidRPr="00976859">
              <w:rPr>
                <w:rFonts w:asciiTheme="minorHAnsi" w:hAnsiTheme="minorHAnsi" w:cstheme="minorHAnsi"/>
                <w:sz w:val="20"/>
                <w:szCs w:val="20"/>
              </w:rPr>
              <w:t>s</w:t>
            </w:r>
            <w:r w:rsidRPr="00976859">
              <w:rPr>
                <w:rFonts w:asciiTheme="minorHAnsi" w:hAnsiTheme="minorHAnsi" w:cstheme="minorHAnsi"/>
                <w:sz w:val="20"/>
                <w:szCs w:val="20"/>
              </w:rPr>
              <w:t xml:space="preserve"> seeking to develop partnerships with research institutes to strengthen local and regional capability, and the opportunity to collaborate with other development projects on areas of mutual interest. </w:t>
            </w:r>
            <w:r w:rsidR="001714C9" w:rsidRPr="00976859">
              <w:rPr>
                <w:rFonts w:asciiTheme="minorHAnsi" w:hAnsiTheme="minorHAnsi" w:cstheme="minorHAnsi"/>
                <w:sz w:val="20"/>
                <w:szCs w:val="20"/>
              </w:rPr>
              <w:t xml:space="preserve">This is an iterative process that will continue to evolve over the 10 year life of the program based on needs identified by </w:t>
            </w:r>
            <w:r w:rsidR="00462B12" w:rsidRPr="00976859">
              <w:rPr>
                <w:rFonts w:asciiTheme="minorHAnsi" w:hAnsiTheme="minorHAnsi" w:cstheme="minorHAnsi"/>
                <w:sz w:val="20"/>
                <w:szCs w:val="20"/>
              </w:rPr>
              <w:t xml:space="preserve">the project, </w:t>
            </w:r>
            <w:r w:rsidR="001714C9" w:rsidRPr="00976859">
              <w:rPr>
                <w:rFonts w:asciiTheme="minorHAnsi" w:hAnsiTheme="minorHAnsi" w:cstheme="minorHAnsi"/>
                <w:sz w:val="20"/>
                <w:szCs w:val="20"/>
              </w:rPr>
              <w:t xml:space="preserve">partners and other stakeholders. </w:t>
            </w:r>
          </w:p>
        </w:tc>
        <w:tc>
          <w:tcPr>
            <w:tcW w:w="1450" w:type="dxa"/>
            <w:tcBorders>
              <w:left w:val="single" w:sz="4" w:space="0" w:color="auto"/>
            </w:tcBorders>
            <w:shd w:val="clear" w:color="auto" w:fill="auto"/>
          </w:tcPr>
          <w:p w:rsidR="00D81320" w:rsidRPr="00976859" w:rsidRDefault="0068152C" w:rsidP="00976859">
            <w:pPr>
              <w:rPr>
                <w:rFonts w:asciiTheme="minorHAnsi" w:hAnsiTheme="minorHAnsi" w:cstheme="minorHAnsi"/>
                <w:sz w:val="20"/>
                <w:szCs w:val="20"/>
              </w:rPr>
            </w:pPr>
            <w:r>
              <w:rPr>
                <w:rFonts w:asciiTheme="minorHAnsi" w:hAnsiTheme="minorHAnsi" w:cstheme="minorHAnsi"/>
                <w:sz w:val="20"/>
                <w:szCs w:val="20"/>
              </w:rPr>
              <w:t>ILO</w:t>
            </w:r>
            <w:r w:rsidR="00153502" w:rsidRPr="00976859">
              <w:rPr>
                <w:rFonts w:asciiTheme="minorHAnsi" w:hAnsiTheme="minorHAnsi" w:cstheme="minorHAnsi"/>
                <w:sz w:val="20"/>
                <w:szCs w:val="20"/>
              </w:rPr>
              <w:t xml:space="preserve"> </w:t>
            </w:r>
          </w:p>
        </w:tc>
      </w:tr>
      <w:tr w:rsidR="00DF50D5" w:rsidRPr="00976859" w:rsidTr="007C67F6">
        <w:trPr>
          <w:trHeight w:val="4608"/>
        </w:trPr>
        <w:tc>
          <w:tcPr>
            <w:tcW w:w="675" w:type="dxa"/>
          </w:tcPr>
          <w:p w:rsidR="00D81320"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3.</w:t>
            </w:r>
          </w:p>
        </w:tc>
        <w:tc>
          <w:tcPr>
            <w:tcW w:w="4111" w:type="dxa"/>
            <w:shd w:val="clear" w:color="auto" w:fill="auto"/>
          </w:tcPr>
          <w:p w:rsidR="00422072"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Engage more with the private sector on international migration. Explore possibilities to leverage funding from private sector while maintaining the ILO rigorous standards for private sector partners. Continue to advocate for self-regulation tools with industry associations and recruitment agency associations. These approaches should be considered and developed into a clear private sector strategy.</w:t>
            </w:r>
          </w:p>
        </w:tc>
        <w:tc>
          <w:tcPr>
            <w:tcW w:w="4111" w:type="dxa"/>
            <w:tcBorders>
              <w:right w:val="single" w:sz="4" w:space="0" w:color="auto"/>
            </w:tcBorders>
            <w:shd w:val="clear" w:color="auto" w:fill="auto"/>
          </w:tcPr>
          <w:p w:rsidR="00E24012" w:rsidRPr="007C67F6" w:rsidRDefault="00324B9B"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supports greater engagement with </w:t>
            </w:r>
            <w:r w:rsidR="0078189E">
              <w:rPr>
                <w:rFonts w:asciiTheme="minorHAnsi" w:hAnsiTheme="minorHAnsi" w:cstheme="minorHAnsi"/>
                <w:sz w:val="20"/>
                <w:szCs w:val="20"/>
              </w:rPr>
              <w:t xml:space="preserve">the </w:t>
            </w:r>
            <w:r w:rsidR="005109C1" w:rsidRPr="00976859">
              <w:rPr>
                <w:rFonts w:asciiTheme="minorHAnsi" w:hAnsiTheme="minorHAnsi" w:cstheme="minorHAnsi"/>
                <w:sz w:val="20"/>
                <w:szCs w:val="20"/>
              </w:rPr>
              <w:t xml:space="preserve">private sector in line with DFAT’s </w:t>
            </w:r>
            <w:r w:rsidR="00072ED4">
              <w:rPr>
                <w:rFonts w:asciiTheme="minorHAnsi" w:hAnsiTheme="minorHAnsi" w:cstheme="minorHAnsi"/>
                <w:sz w:val="20"/>
                <w:szCs w:val="20"/>
              </w:rPr>
              <w:t xml:space="preserve">Ministerial Statement on </w:t>
            </w:r>
            <w:r w:rsidR="00072ED4" w:rsidRPr="00072ED4">
              <w:rPr>
                <w:rFonts w:asciiTheme="minorHAnsi" w:hAnsiTheme="minorHAnsi" w:cstheme="minorHAnsi"/>
                <w:i/>
                <w:sz w:val="20"/>
                <w:szCs w:val="20"/>
              </w:rPr>
              <w:t>Engaging the Private Sector in Aid and Development</w:t>
            </w:r>
            <w:r w:rsidR="00422072" w:rsidRPr="00976859">
              <w:rPr>
                <w:rFonts w:asciiTheme="minorHAnsi" w:hAnsiTheme="minorHAnsi" w:cstheme="minorHAnsi"/>
                <w:sz w:val="20"/>
                <w:szCs w:val="20"/>
              </w:rPr>
              <w:t xml:space="preserve">, and </w:t>
            </w:r>
            <w:r w:rsidR="00153502" w:rsidRPr="00976859">
              <w:rPr>
                <w:rFonts w:asciiTheme="minorHAnsi" w:hAnsiTheme="minorHAnsi" w:cstheme="minorHAnsi"/>
                <w:sz w:val="20"/>
                <w:szCs w:val="20"/>
              </w:rPr>
              <w:t xml:space="preserve">recognises the </w:t>
            </w:r>
            <w:r w:rsidR="0078189E">
              <w:rPr>
                <w:rFonts w:asciiTheme="minorHAnsi" w:hAnsiTheme="minorHAnsi" w:cstheme="minorHAnsi"/>
                <w:sz w:val="20"/>
                <w:szCs w:val="20"/>
              </w:rPr>
              <w:t>opportunities</w:t>
            </w:r>
            <w:r w:rsidR="00153502" w:rsidRPr="00976859">
              <w:rPr>
                <w:rFonts w:asciiTheme="minorHAnsi" w:hAnsiTheme="minorHAnsi" w:cstheme="minorHAnsi"/>
                <w:sz w:val="20"/>
                <w:szCs w:val="20"/>
              </w:rPr>
              <w:t xml:space="preserve"> for TRIANGLE II to </w:t>
            </w:r>
            <w:r w:rsidR="001714C9" w:rsidRPr="00976859">
              <w:rPr>
                <w:rFonts w:asciiTheme="minorHAnsi" w:hAnsiTheme="minorHAnsi" w:cstheme="minorHAnsi"/>
                <w:sz w:val="20"/>
                <w:szCs w:val="20"/>
              </w:rPr>
              <w:t xml:space="preserve">develop </w:t>
            </w:r>
            <w:r w:rsidRPr="00976859">
              <w:rPr>
                <w:rFonts w:asciiTheme="minorHAnsi" w:hAnsiTheme="minorHAnsi" w:cstheme="minorHAnsi"/>
                <w:sz w:val="20"/>
                <w:szCs w:val="20"/>
              </w:rPr>
              <w:t>private sector</w:t>
            </w:r>
            <w:r w:rsidR="00153502" w:rsidRPr="00976859">
              <w:rPr>
                <w:rFonts w:asciiTheme="minorHAnsi" w:hAnsiTheme="minorHAnsi" w:cstheme="minorHAnsi"/>
                <w:sz w:val="20"/>
                <w:szCs w:val="20"/>
              </w:rPr>
              <w:t xml:space="preserve"> partnerships </w:t>
            </w:r>
            <w:r w:rsidR="0078189E">
              <w:rPr>
                <w:rFonts w:asciiTheme="minorHAnsi" w:hAnsiTheme="minorHAnsi" w:cstheme="minorHAnsi"/>
                <w:sz w:val="20"/>
                <w:szCs w:val="20"/>
              </w:rPr>
              <w:t>to support</w:t>
            </w:r>
            <w:r w:rsidR="001714C9" w:rsidRPr="00976859">
              <w:rPr>
                <w:rFonts w:asciiTheme="minorHAnsi" w:hAnsiTheme="minorHAnsi" w:cstheme="minorHAnsi"/>
                <w:sz w:val="20"/>
                <w:szCs w:val="20"/>
              </w:rPr>
              <w:t xml:space="preserve"> program outcomes</w:t>
            </w:r>
            <w:r w:rsidR="00153502" w:rsidRPr="00976859">
              <w:rPr>
                <w:rFonts w:asciiTheme="minorHAnsi" w:hAnsiTheme="minorHAnsi" w:cstheme="minorHAnsi"/>
                <w:sz w:val="20"/>
                <w:szCs w:val="20"/>
              </w:rPr>
              <w:t xml:space="preserve">. This </w:t>
            </w:r>
            <w:r w:rsidR="0078189E">
              <w:rPr>
                <w:rFonts w:asciiTheme="minorHAnsi" w:hAnsiTheme="minorHAnsi" w:cstheme="minorHAnsi"/>
                <w:sz w:val="20"/>
                <w:szCs w:val="20"/>
              </w:rPr>
              <w:t xml:space="preserve">could include </w:t>
            </w:r>
            <w:r w:rsidR="00153502" w:rsidRPr="00976859">
              <w:rPr>
                <w:rFonts w:asciiTheme="minorHAnsi" w:hAnsiTheme="minorHAnsi" w:cstheme="minorHAnsi"/>
                <w:sz w:val="20"/>
                <w:szCs w:val="20"/>
              </w:rPr>
              <w:t xml:space="preserve">leveraging private sector </w:t>
            </w:r>
            <w:r w:rsidR="0078189E">
              <w:rPr>
                <w:rFonts w:asciiTheme="minorHAnsi" w:hAnsiTheme="minorHAnsi" w:cstheme="minorHAnsi"/>
                <w:sz w:val="20"/>
                <w:szCs w:val="20"/>
              </w:rPr>
              <w:t xml:space="preserve">funding, as well as </w:t>
            </w:r>
            <w:r w:rsidR="00153502" w:rsidRPr="00976859">
              <w:rPr>
                <w:rFonts w:asciiTheme="minorHAnsi" w:hAnsiTheme="minorHAnsi" w:cstheme="minorHAnsi"/>
                <w:sz w:val="20"/>
                <w:szCs w:val="20"/>
              </w:rPr>
              <w:t>knowledge</w:t>
            </w:r>
            <w:r w:rsidR="0078189E">
              <w:rPr>
                <w:rFonts w:asciiTheme="minorHAnsi" w:hAnsiTheme="minorHAnsi" w:cstheme="minorHAnsi"/>
                <w:sz w:val="20"/>
                <w:szCs w:val="20"/>
              </w:rPr>
              <w:t xml:space="preserve"> and c</w:t>
            </w:r>
            <w:r w:rsidR="00153502" w:rsidRPr="00976859">
              <w:rPr>
                <w:rFonts w:asciiTheme="minorHAnsi" w:hAnsiTheme="minorHAnsi" w:cstheme="minorHAnsi"/>
                <w:sz w:val="20"/>
                <w:szCs w:val="20"/>
              </w:rPr>
              <w:t>apability</w:t>
            </w:r>
            <w:r w:rsidR="0078189E">
              <w:rPr>
                <w:rFonts w:asciiTheme="minorHAnsi" w:hAnsiTheme="minorHAnsi" w:cstheme="minorHAnsi"/>
                <w:sz w:val="20"/>
                <w:szCs w:val="20"/>
              </w:rPr>
              <w:t xml:space="preserve">. </w:t>
            </w:r>
            <w:r w:rsidRPr="00976859">
              <w:rPr>
                <w:rFonts w:asciiTheme="minorHAnsi" w:hAnsiTheme="minorHAnsi" w:cstheme="minorHAnsi"/>
                <w:sz w:val="20"/>
                <w:szCs w:val="20"/>
              </w:rPr>
              <w:t xml:space="preserve"> Given</w:t>
            </w:r>
            <w:r w:rsidR="0078189E">
              <w:rPr>
                <w:rFonts w:asciiTheme="minorHAnsi" w:hAnsiTheme="minorHAnsi" w:cstheme="minorHAnsi"/>
                <w:sz w:val="20"/>
                <w:szCs w:val="20"/>
              </w:rPr>
              <w:t xml:space="preserve"> the potential opportunities</w:t>
            </w:r>
            <w:r w:rsidR="00153502" w:rsidRPr="00976859">
              <w:rPr>
                <w:rFonts w:asciiTheme="minorHAnsi" w:hAnsiTheme="minorHAnsi" w:cstheme="minorHAnsi"/>
                <w:sz w:val="20"/>
                <w:szCs w:val="20"/>
              </w:rPr>
              <w:t>, DFAT supports a more considered and strategic approach through the development of a</w:t>
            </w:r>
            <w:r w:rsidR="001714C9" w:rsidRPr="00976859">
              <w:rPr>
                <w:rFonts w:asciiTheme="minorHAnsi" w:hAnsiTheme="minorHAnsi" w:cstheme="minorHAnsi"/>
                <w:sz w:val="20"/>
                <w:szCs w:val="20"/>
              </w:rPr>
              <w:t xml:space="preserve"> specific</w:t>
            </w:r>
            <w:r w:rsidR="00153502" w:rsidRPr="00976859">
              <w:rPr>
                <w:rFonts w:asciiTheme="minorHAnsi" w:hAnsiTheme="minorHAnsi" w:cstheme="minorHAnsi"/>
                <w:sz w:val="20"/>
                <w:szCs w:val="20"/>
              </w:rPr>
              <w:t xml:space="preserve"> strategy that identifies entry points</w:t>
            </w:r>
            <w:r w:rsidR="001714C9" w:rsidRPr="00976859">
              <w:rPr>
                <w:rFonts w:asciiTheme="minorHAnsi" w:hAnsiTheme="minorHAnsi" w:cstheme="minorHAnsi"/>
                <w:sz w:val="20"/>
                <w:szCs w:val="20"/>
              </w:rPr>
              <w:t>, activities and potential partners.</w:t>
            </w:r>
            <w:r w:rsidR="00153502" w:rsidRPr="00976859">
              <w:rPr>
                <w:rFonts w:asciiTheme="minorHAnsi" w:hAnsiTheme="minorHAnsi" w:cstheme="minorHAnsi"/>
                <w:sz w:val="20"/>
                <w:szCs w:val="20"/>
              </w:rPr>
              <w:t xml:space="preserve"> </w:t>
            </w:r>
          </w:p>
        </w:tc>
        <w:tc>
          <w:tcPr>
            <w:tcW w:w="3827" w:type="dxa"/>
            <w:tcBorders>
              <w:left w:val="single" w:sz="4" w:space="0" w:color="auto"/>
            </w:tcBorders>
            <w:shd w:val="clear" w:color="auto" w:fill="auto"/>
          </w:tcPr>
          <w:p w:rsidR="00A75B5D" w:rsidRPr="00976859" w:rsidRDefault="00153502" w:rsidP="007C67F6">
            <w:pPr>
              <w:rPr>
                <w:rFonts w:asciiTheme="minorHAnsi" w:hAnsiTheme="minorHAnsi" w:cstheme="minorHAnsi"/>
                <w:sz w:val="20"/>
                <w:szCs w:val="20"/>
              </w:rPr>
            </w:pPr>
            <w:r w:rsidRPr="00976859">
              <w:rPr>
                <w:rFonts w:asciiTheme="minorHAnsi" w:hAnsiTheme="minorHAnsi" w:cstheme="minorHAnsi"/>
                <w:sz w:val="20"/>
                <w:szCs w:val="20"/>
              </w:rPr>
              <w:t xml:space="preserve">The design of TRIANGLE II identified private sector engagement as a cross </w:t>
            </w:r>
            <w:r w:rsidR="00CB6B67" w:rsidRPr="00976859">
              <w:rPr>
                <w:rFonts w:asciiTheme="minorHAnsi" w:hAnsiTheme="minorHAnsi" w:cstheme="minorHAnsi"/>
                <w:sz w:val="20"/>
                <w:szCs w:val="20"/>
              </w:rPr>
              <w:t xml:space="preserve">cutting issue in recognition of private sector’s </w:t>
            </w:r>
            <w:r w:rsidRPr="00976859">
              <w:rPr>
                <w:rFonts w:asciiTheme="minorHAnsi" w:hAnsiTheme="minorHAnsi" w:cstheme="minorHAnsi"/>
                <w:sz w:val="20"/>
                <w:szCs w:val="20"/>
              </w:rPr>
              <w:t xml:space="preserve">role in all stages of the migration cycle. TRIANGLE II will build on the work already achieved in </w:t>
            </w:r>
            <w:r w:rsidR="00422072" w:rsidRPr="00976859">
              <w:rPr>
                <w:rFonts w:asciiTheme="minorHAnsi" w:hAnsiTheme="minorHAnsi" w:cstheme="minorHAnsi"/>
                <w:sz w:val="20"/>
                <w:szCs w:val="20"/>
              </w:rPr>
              <w:t xml:space="preserve">GMS </w:t>
            </w:r>
            <w:r w:rsidRPr="00976859">
              <w:rPr>
                <w:rFonts w:asciiTheme="minorHAnsi" w:hAnsiTheme="minorHAnsi" w:cstheme="minorHAnsi"/>
                <w:sz w:val="20"/>
                <w:szCs w:val="20"/>
              </w:rPr>
              <w:t xml:space="preserve">TRIANGLE and identify new partnerships with private sector actors, particularly recruitment agencies, employers and buyers </w:t>
            </w:r>
            <w:r w:rsidR="00072ED4">
              <w:rPr>
                <w:rFonts w:asciiTheme="minorHAnsi" w:hAnsiTheme="minorHAnsi" w:cstheme="minorHAnsi"/>
                <w:sz w:val="20"/>
                <w:szCs w:val="20"/>
              </w:rPr>
              <w:t xml:space="preserve">with an interest in </w:t>
            </w:r>
            <w:r w:rsidRPr="00976859">
              <w:rPr>
                <w:rFonts w:asciiTheme="minorHAnsi" w:hAnsiTheme="minorHAnsi" w:cstheme="minorHAnsi"/>
                <w:sz w:val="20"/>
                <w:szCs w:val="20"/>
              </w:rPr>
              <w:t>supply chains</w:t>
            </w:r>
            <w:r w:rsidR="00072ED4">
              <w:rPr>
                <w:rFonts w:asciiTheme="minorHAnsi" w:hAnsiTheme="minorHAnsi" w:cstheme="minorHAnsi"/>
                <w:sz w:val="20"/>
                <w:szCs w:val="20"/>
              </w:rPr>
              <w:t>.</w:t>
            </w:r>
            <w:r w:rsidR="007C67F6">
              <w:rPr>
                <w:rFonts w:asciiTheme="minorHAnsi" w:hAnsiTheme="minorHAnsi" w:cstheme="minorHAnsi"/>
                <w:sz w:val="20"/>
                <w:szCs w:val="20"/>
              </w:rPr>
              <w:t xml:space="preserve"> Development of a private sector engagement strategy is underway. </w:t>
            </w:r>
            <w:r w:rsidRPr="00976859">
              <w:rPr>
                <w:rFonts w:asciiTheme="minorHAnsi" w:hAnsiTheme="minorHAnsi" w:cstheme="minorHAnsi"/>
                <w:sz w:val="20"/>
                <w:szCs w:val="20"/>
              </w:rPr>
              <w:t>The strategy will consider</w:t>
            </w:r>
            <w:r w:rsidR="00043028" w:rsidRPr="00976859">
              <w:rPr>
                <w:rFonts w:asciiTheme="minorHAnsi" w:hAnsiTheme="minorHAnsi" w:cstheme="minorHAnsi"/>
                <w:sz w:val="20"/>
                <w:szCs w:val="20"/>
              </w:rPr>
              <w:t xml:space="preserve">, among other things, </w:t>
            </w:r>
            <w:r w:rsidRPr="00976859">
              <w:rPr>
                <w:rFonts w:asciiTheme="minorHAnsi" w:hAnsiTheme="minorHAnsi" w:cstheme="minorHAnsi"/>
                <w:sz w:val="20"/>
                <w:szCs w:val="20"/>
              </w:rPr>
              <w:t>the</w:t>
            </w:r>
            <w:r w:rsidR="00D20597" w:rsidRPr="00976859">
              <w:rPr>
                <w:rFonts w:asciiTheme="minorHAnsi" w:hAnsiTheme="minorHAnsi" w:cstheme="minorHAnsi"/>
                <w:sz w:val="20"/>
                <w:szCs w:val="20"/>
              </w:rPr>
              <w:t xml:space="preserve"> incentives, reliability and</w:t>
            </w:r>
            <w:r w:rsidRPr="00976859">
              <w:rPr>
                <w:rFonts w:asciiTheme="minorHAnsi" w:hAnsiTheme="minorHAnsi" w:cstheme="minorHAnsi"/>
                <w:sz w:val="20"/>
                <w:szCs w:val="20"/>
              </w:rPr>
              <w:t xml:space="preserve"> effectiveness of self-regulation as an approach and how to leverage the influence of the private sector to lobby for improvements in law, policy and implementation. </w:t>
            </w:r>
          </w:p>
        </w:tc>
        <w:tc>
          <w:tcPr>
            <w:tcW w:w="1450" w:type="dxa"/>
            <w:tcBorders>
              <w:left w:val="single" w:sz="4" w:space="0" w:color="auto"/>
            </w:tcBorders>
            <w:shd w:val="clear" w:color="auto" w:fill="auto"/>
          </w:tcPr>
          <w:p w:rsidR="00D81320" w:rsidRPr="00976859" w:rsidRDefault="00AE2F1F" w:rsidP="00976859">
            <w:pPr>
              <w:rPr>
                <w:rFonts w:asciiTheme="minorHAnsi" w:hAnsiTheme="minorHAnsi" w:cstheme="minorHAnsi"/>
                <w:sz w:val="20"/>
                <w:szCs w:val="20"/>
              </w:rPr>
            </w:pPr>
            <w:r w:rsidRPr="00976859">
              <w:rPr>
                <w:rFonts w:asciiTheme="minorHAnsi" w:hAnsiTheme="minorHAnsi" w:cstheme="minorHAnsi"/>
                <w:sz w:val="20"/>
                <w:szCs w:val="20"/>
              </w:rPr>
              <w:t>DFAT, ILO</w:t>
            </w:r>
          </w:p>
        </w:tc>
      </w:tr>
      <w:tr w:rsidR="004617D1" w:rsidRPr="00976859" w:rsidTr="003D0141">
        <w:trPr>
          <w:trHeight w:val="885"/>
        </w:trPr>
        <w:tc>
          <w:tcPr>
            <w:tcW w:w="675" w:type="dxa"/>
          </w:tcPr>
          <w:p w:rsidR="004617D1"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4.</w:t>
            </w:r>
          </w:p>
        </w:tc>
        <w:tc>
          <w:tcPr>
            <w:tcW w:w="4111" w:type="dxa"/>
            <w:shd w:val="clear" w:color="auto" w:fill="auto"/>
          </w:tcPr>
          <w:p w:rsidR="004617D1" w:rsidRPr="00976859" w:rsidRDefault="0019740C" w:rsidP="00976859">
            <w:pPr>
              <w:autoSpaceDE w:val="0"/>
              <w:autoSpaceDN w:val="0"/>
              <w:adjustRightInd w:val="0"/>
              <w:rPr>
                <w:rFonts w:asciiTheme="minorHAnsi" w:eastAsia="MS Mincho" w:hAnsiTheme="minorHAnsi" w:cstheme="minorHAnsi"/>
                <w:sz w:val="20"/>
                <w:szCs w:val="20"/>
                <w:lang w:val="en-GB" w:eastAsia="en-GB" w:bidi="hi-IN"/>
              </w:rPr>
            </w:pPr>
            <w:r w:rsidRPr="00976859">
              <w:rPr>
                <w:rFonts w:asciiTheme="minorHAnsi" w:hAnsiTheme="minorHAnsi" w:cstheme="minorHAnsi"/>
                <w:sz w:val="20"/>
                <w:szCs w:val="20"/>
                <w:lang w:eastAsia="en-AU"/>
              </w:rPr>
              <w:t>It is important to adequately</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 xml:space="preserve">staff an international labour migration project with a regional management unit and six country components. This includes National Project Coordinators in each project country, M&amp;E expertise, gender expertise, and ideally additional international project support in each country (e.g. technical officers, JPOs, UNV, AVID, NZ volunteers). Appropriate levels of </w:t>
            </w:r>
            <w:r w:rsidR="00CB6B67" w:rsidRPr="00976859">
              <w:rPr>
                <w:rFonts w:asciiTheme="minorHAnsi" w:hAnsiTheme="minorHAnsi" w:cstheme="minorHAnsi"/>
                <w:sz w:val="20"/>
                <w:szCs w:val="20"/>
                <w:lang w:eastAsia="en-AU"/>
              </w:rPr>
              <w:t xml:space="preserve">administrative </w:t>
            </w:r>
            <w:r w:rsidRPr="00976859">
              <w:rPr>
                <w:rFonts w:asciiTheme="minorHAnsi" w:hAnsiTheme="minorHAnsi" w:cstheme="minorHAnsi"/>
                <w:sz w:val="20"/>
                <w:szCs w:val="20"/>
                <w:lang w:eastAsia="en-AU"/>
              </w:rPr>
              <w:t>support also needs to be considered.</w:t>
            </w:r>
          </w:p>
        </w:tc>
        <w:tc>
          <w:tcPr>
            <w:tcW w:w="4111" w:type="dxa"/>
            <w:tcBorders>
              <w:right w:val="single" w:sz="4" w:space="0" w:color="auto"/>
            </w:tcBorders>
            <w:shd w:val="clear" w:color="auto" w:fill="auto"/>
          </w:tcPr>
          <w:p w:rsidR="004617D1" w:rsidRPr="00976859" w:rsidRDefault="00742ACC" w:rsidP="007C67F6">
            <w:pPr>
              <w:rPr>
                <w:rFonts w:asciiTheme="minorHAnsi" w:hAnsiTheme="minorHAnsi" w:cstheme="minorHAnsi"/>
                <w:sz w:val="20"/>
                <w:szCs w:val="20"/>
              </w:rPr>
            </w:pPr>
            <w:r w:rsidRPr="00976859">
              <w:rPr>
                <w:rFonts w:asciiTheme="minorHAnsi" w:hAnsiTheme="minorHAnsi" w:cstheme="minorHAnsi"/>
                <w:sz w:val="20"/>
                <w:szCs w:val="20"/>
              </w:rPr>
              <w:t xml:space="preserve">DFAT supports the need </w:t>
            </w:r>
            <w:r w:rsidR="00CB6B67" w:rsidRPr="00976859">
              <w:rPr>
                <w:rFonts w:asciiTheme="minorHAnsi" w:hAnsiTheme="minorHAnsi" w:cstheme="minorHAnsi"/>
                <w:sz w:val="20"/>
                <w:szCs w:val="20"/>
              </w:rPr>
              <w:t xml:space="preserve">for adequate staff resourcing including </w:t>
            </w:r>
            <w:r w:rsidRPr="00976859">
              <w:rPr>
                <w:rFonts w:asciiTheme="minorHAnsi" w:hAnsiTheme="minorHAnsi" w:cstheme="minorHAnsi"/>
                <w:sz w:val="20"/>
                <w:szCs w:val="20"/>
              </w:rPr>
              <w:t>National Project Coordinators</w:t>
            </w:r>
            <w:r w:rsidR="0061696F" w:rsidRPr="00976859">
              <w:rPr>
                <w:rFonts w:asciiTheme="minorHAnsi" w:hAnsiTheme="minorHAnsi" w:cstheme="minorHAnsi"/>
                <w:sz w:val="20"/>
                <w:szCs w:val="20"/>
              </w:rPr>
              <w:t xml:space="preserve"> in each of the six partner countries</w:t>
            </w:r>
            <w:r w:rsidRPr="00976859">
              <w:rPr>
                <w:rFonts w:asciiTheme="minorHAnsi" w:hAnsiTheme="minorHAnsi" w:cstheme="minorHAnsi"/>
                <w:sz w:val="20"/>
                <w:szCs w:val="20"/>
              </w:rPr>
              <w:t xml:space="preserve">, M&amp;E expertise, gender expertise and an appropriate level of administrative support. </w:t>
            </w:r>
            <w:r w:rsidR="001714C9" w:rsidRPr="00976859">
              <w:rPr>
                <w:rFonts w:asciiTheme="minorHAnsi" w:hAnsiTheme="minorHAnsi" w:cstheme="minorHAnsi"/>
                <w:sz w:val="20"/>
                <w:szCs w:val="20"/>
              </w:rPr>
              <w:t>Staffing is sometimes constrained by budgetary limitations</w:t>
            </w:r>
            <w:r w:rsidR="00976859" w:rsidRPr="00976859">
              <w:rPr>
                <w:rFonts w:asciiTheme="minorHAnsi" w:hAnsiTheme="minorHAnsi" w:cstheme="minorHAnsi"/>
                <w:sz w:val="20"/>
                <w:szCs w:val="20"/>
              </w:rPr>
              <w:t>,</w:t>
            </w:r>
            <w:r w:rsidR="001714C9" w:rsidRPr="00976859">
              <w:rPr>
                <w:rFonts w:asciiTheme="minorHAnsi" w:hAnsiTheme="minorHAnsi" w:cstheme="minorHAnsi"/>
                <w:sz w:val="20"/>
                <w:szCs w:val="20"/>
              </w:rPr>
              <w:t xml:space="preserve"> however </w:t>
            </w:r>
            <w:r w:rsidR="007C67F6">
              <w:rPr>
                <w:rFonts w:asciiTheme="minorHAnsi" w:hAnsiTheme="minorHAnsi" w:cstheme="minorHAnsi"/>
                <w:sz w:val="20"/>
                <w:szCs w:val="20"/>
              </w:rPr>
              <w:t xml:space="preserve">ILO should </w:t>
            </w:r>
            <w:r w:rsidR="001714C9" w:rsidRPr="00976859">
              <w:rPr>
                <w:rFonts w:asciiTheme="minorHAnsi" w:hAnsiTheme="minorHAnsi" w:cstheme="minorHAnsi"/>
                <w:sz w:val="20"/>
                <w:szCs w:val="20"/>
              </w:rPr>
              <w:t xml:space="preserve">monitor this to ensure that program activities and outcomes are </w:t>
            </w:r>
            <w:r w:rsidR="007C67F6">
              <w:rPr>
                <w:rFonts w:asciiTheme="minorHAnsi" w:hAnsiTheme="minorHAnsi" w:cstheme="minorHAnsi"/>
                <w:sz w:val="20"/>
                <w:szCs w:val="20"/>
              </w:rPr>
              <w:t>appropriately prioritised</w:t>
            </w:r>
            <w:r w:rsidR="001714C9" w:rsidRPr="00976859">
              <w:rPr>
                <w:rFonts w:asciiTheme="minorHAnsi" w:hAnsiTheme="minorHAnsi" w:cstheme="minorHAnsi"/>
                <w:sz w:val="20"/>
                <w:szCs w:val="20"/>
              </w:rPr>
              <w:t xml:space="preserve">. </w:t>
            </w:r>
          </w:p>
        </w:tc>
        <w:tc>
          <w:tcPr>
            <w:tcW w:w="3827" w:type="dxa"/>
            <w:tcBorders>
              <w:left w:val="single" w:sz="4" w:space="0" w:color="auto"/>
            </w:tcBorders>
            <w:shd w:val="clear" w:color="auto" w:fill="auto"/>
          </w:tcPr>
          <w:p w:rsidR="00A46CCB" w:rsidRPr="00976859" w:rsidRDefault="00043028" w:rsidP="00976859">
            <w:pPr>
              <w:rPr>
                <w:rFonts w:asciiTheme="minorHAnsi" w:hAnsiTheme="minorHAnsi" w:cstheme="minorHAnsi"/>
                <w:sz w:val="20"/>
                <w:szCs w:val="20"/>
              </w:rPr>
            </w:pPr>
            <w:r w:rsidRPr="00976859">
              <w:rPr>
                <w:rFonts w:asciiTheme="minorHAnsi" w:hAnsiTheme="minorHAnsi" w:cstheme="minorHAnsi"/>
                <w:sz w:val="20"/>
                <w:szCs w:val="20"/>
              </w:rPr>
              <w:t xml:space="preserve">TRIANGLE II has recruited a Technical Officer responsible for M&amp;E and research in the inception year, and is seeking to secure this position over the longer term. Additional complementary ILO programming on labour migration will maintain an adequate level of staffing, both administrative and technical.  The project will also seek to continue the collaboration with the </w:t>
            </w:r>
            <w:r w:rsidR="00700813" w:rsidRPr="00976859">
              <w:rPr>
                <w:rFonts w:asciiTheme="minorHAnsi" w:hAnsiTheme="minorHAnsi" w:cstheme="minorHAnsi"/>
                <w:sz w:val="20"/>
                <w:szCs w:val="20"/>
              </w:rPr>
              <w:t>Australian Volunteers for International Development (</w:t>
            </w:r>
            <w:r w:rsidRPr="00976859">
              <w:rPr>
                <w:rFonts w:asciiTheme="minorHAnsi" w:hAnsiTheme="minorHAnsi" w:cstheme="minorHAnsi"/>
                <w:sz w:val="20"/>
                <w:szCs w:val="20"/>
              </w:rPr>
              <w:t>AVID</w:t>
            </w:r>
            <w:r w:rsidR="00700813" w:rsidRPr="00976859">
              <w:rPr>
                <w:rFonts w:asciiTheme="minorHAnsi" w:hAnsiTheme="minorHAnsi" w:cstheme="minorHAnsi"/>
                <w:sz w:val="20"/>
                <w:szCs w:val="20"/>
              </w:rPr>
              <w:t>)</w:t>
            </w:r>
            <w:r w:rsidRPr="00976859">
              <w:rPr>
                <w:rFonts w:asciiTheme="minorHAnsi" w:hAnsiTheme="minorHAnsi" w:cstheme="minorHAnsi"/>
                <w:sz w:val="20"/>
                <w:szCs w:val="20"/>
              </w:rPr>
              <w:t xml:space="preserve"> program</w:t>
            </w:r>
            <w:r w:rsidR="00700813" w:rsidRPr="00976859">
              <w:rPr>
                <w:rFonts w:asciiTheme="minorHAnsi" w:hAnsiTheme="minorHAnsi" w:cstheme="minorHAnsi"/>
                <w:sz w:val="20"/>
                <w:szCs w:val="20"/>
              </w:rPr>
              <w:t>.</w:t>
            </w:r>
            <w:r w:rsidRPr="00976859">
              <w:rPr>
                <w:rFonts w:asciiTheme="minorHAnsi" w:hAnsiTheme="minorHAnsi" w:cstheme="minorHAnsi"/>
                <w:sz w:val="20"/>
                <w:szCs w:val="20"/>
              </w:rPr>
              <w:t xml:space="preserve"> </w:t>
            </w:r>
          </w:p>
        </w:tc>
        <w:tc>
          <w:tcPr>
            <w:tcW w:w="1450" w:type="dxa"/>
            <w:tcBorders>
              <w:left w:val="single" w:sz="4" w:space="0" w:color="auto"/>
            </w:tcBorders>
            <w:shd w:val="clear" w:color="auto" w:fill="auto"/>
          </w:tcPr>
          <w:p w:rsidR="004617D1" w:rsidRPr="00976859" w:rsidRDefault="00470829" w:rsidP="00976859">
            <w:pPr>
              <w:rPr>
                <w:rFonts w:asciiTheme="minorHAnsi" w:hAnsiTheme="minorHAnsi" w:cstheme="minorHAnsi"/>
                <w:sz w:val="20"/>
                <w:szCs w:val="20"/>
              </w:rPr>
            </w:pPr>
            <w:r w:rsidRPr="00976859">
              <w:rPr>
                <w:rFonts w:asciiTheme="minorHAnsi" w:hAnsiTheme="minorHAnsi" w:cstheme="minorHAnsi"/>
                <w:sz w:val="20"/>
                <w:szCs w:val="20"/>
              </w:rPr>
              <w:t xml:space="preserve">ILO </w:t>
            </w:r>
          </w:p>
        </w:tc>
      </w:tr>
      <w:tr w:rsidR="004617D1" w:rsidRPr="00976859" w:rsidTr="003D0141">
        <w:trPr>
          <w:trHeight w:val="885"/>
        </w:trPr>
        <w:tc>
          <w:tcPr>
            <w:tcW w:w="675" w:type="dxa"/>
          </w:tcPr>
          <w:p w:rsidR="004617D1"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5.</w:t>
            </w:r>
          </w:p>
        </w:tc>
        <w:tc>
          <w:tcPr>
            <w:tcW w:w="4111" w:type="dxa"/>
            <w:shd w:val="clear" w:color="auto" w:fill="auto"/>
          </w:tcPr>
          <w:p w:rsidR="0019740C"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To ensure the sustainability of the interventions related to capacity building, consider:</w:t>
            </w:r>
          </w:p>
          <w:p w:rsidR="003D0141"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Systems to increase timely rights-based and tripartite input into legislation and policy, especially in Thailand, Malaysia, Viet Nam and Lao PDR</w:t>
            </w:r>
            <w:r w:rsidR="003D0141" w:rsidRPr="00976859">
              <w:rPr>
                <w:rFonts w:asciiTheme="minorHAnsi" w:hAnsiTheme="minorHAnsi" w:cstheme="minorHAnsi"/>
                <w:sz w:val="20"/>
                <w:szCs w:val="20"/>
                <w:lang w:eastAsia="en-AU"/>
              </w:rPr>
              <w:t>.</w:t>
            </w: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19740C"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Communicate ILO technical comments on labour</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migration law and policy to social partners and CSOs,</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through co-drafting workshops (triggered on request of the social partners) or workshops on the contents of technical comments. This approach is designed to further empower national level partners to continue</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rights based advocacy in the long term.</w:t>
            </w:r>
          </w:p>
          <w:p w:rsidR="0019740C"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Developing tools to measure the impact of capacity</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building activities, beyond pre- and post-testing. The</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results emerging from the use of these tools should be shared with the project partners to demonstrate the value of the training.</w:t>
            </w:r>
          </w:p>
          <w:p w:rsidR="0019740C"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Increasing instances of ‘on the job’ coaching to</w:t>
            </w:r>
            <w:r w:rsidR="007E2324"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influence working styles and problem solving initiative by implementing partners.</w:t>
            </w: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Pr="00976859"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4617D1" w:rsidRPr="00976859" w:rsidRDefault="0019740C" w:rsidP="00976859">
            <w:pPr>
              <w:pStyle w:val="ListParagraph"/>
              <w:numPr>
                <w:ilvl w:val="0"/>
                <w:numId w:val="38"/>
              </w:numPr>
              <w:autoSpaceDE w:val="0"/>
              <w:autoSpaceDN w:val="0"/>
              <w:adjustRightInd w:val="0"/>
              <w:ind w:left="317" w:hanging="283"/>
              <w:rPr>
                <w:rFonts w:asciiTheme="minorHAnsi" w:eastAsia="MS Mincho" w:hAnsiTheme="minorHAnsi" w:cstheme="minorHAnsi"/>
                <w:sz w:val="20"/>
                <w:szCs w:val="20"/>
              </w:rPr>
            </w:pPr>
            <w:r w:rsidRPr="00976859">
              <w:rPr>
                <w:rFonts w:asciiTheme="minorHAnsi" w:hAnsiTheme="minorHAnsi" w:cstheme="minorHAnsi"/>
                <w:sz w:val="20"/>
                <w:szCs w:val="20"/>
                <w:lang w:eastAsia="en-AU"/>
              </w:rPr>
              <w:t>Linking knowledge management efforts to government and implementing partner key performance indicators, especially in Malaysia, Thailand and Viet Nam where ministries are known to have key performance goals.</w:t>
            </w:r>
          </w:p>
        </w:tc>
        <w:tc>
          <w:tcPr>
            <w:tcW w:w="4111" w:type="dxa"/>
            <w:tcBorders>
              <w:right w:val="single" w:sz="4" w:space="0" w:color="auto"/>
            </w:tcBorders>
            <w:shd w:val="clear" w:color="auto" w:fill="auto"/>
          </w:tcPr>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660EE1" w:rsidRDefault="00660EE1"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DFAT supports increased involvement of relevant stakeholders in </w:t>
            </w:r>
            <w:r w:rsidR="00CF33D8" w:rsidRPr="00976859">
              <w:rPr>
                <w:rFonts w:asciiTheme="minorHAnsi" w:hAnsiTheme="minorHAnsi" w:cstheme="minorHAnsi"/>
                <w:sz w:val="20"/>
                <w:szCs w:val="20"/>
                <w:lang w:eastAsia="en-AU"/>
              </w:rPr>
              <w:t xml:space="preserve">providing </w:t>
            </w:r>
            <w:r w:rsidRPr="00976859">
              <w:rPr>
                <w:rFonts w:asciiTheme="minorHAnsi" w:hAnsiTheme="minorHAnsi" w:cstheme="minorHAnsi"/>
                <w:sz w:val="20"/>
                <w:szCs w:val="20"/>
                <w:lang w:eastAsia="en-AU"/>
              </w:rPr>
              <w:t>input</w:t>
            </w:r>
            <w:r w:rsidR="00CF33D8" w:rsidRPr="00976859">
              <w:rPr>
                <w:rFonts w:asciiTheme="minorHAnsi" w:hAnsiTheme="minorHAnsi" w:cstheme="minorHAnsi"/>
                <w:sz w:val="20"/>
                <w:szCs w:val="20"/>
                <w:lang w:eastAsia="en-AU"/>
              </w:rPr>
              <w:t xml:space="preserve"> into </w:t>
            </w:r>
            <w:r w:rsidRPr="00976859">
              <w:rPr>
                <w:rFonts w:asciiTheme="minorHAnsi" w:hAnsiTheme="minorHAnsi" w:cstheme="minorHAnsi"/>
                <w:sz w:val="20"/>
                <w:szCs w:val="20"/>
                <w:lang w:eastAsia="en-AU"/>
              </w:rPr>
              <w:t>policy and legislation</w:t>
            </w:r>
            <w:r w:rsidR="00CF33D8" w:rsidRPr="00976859">
              <w:rPr>
                <w:rFonts w:asciiTheme="minorHAnsi" w:hAnsiTheme="minorHAnsi" w:cstheme="minorHAnsi"/>
                <w:sz w:val="20"/>
                <w:szCs w:val="20"/>
                <w:lang w:eastAsia="en-AU"/>
              </w:rPr>
              <w:t xml:space="preserve">, particularly where the proposed measure will have a significant impact on groups in the community. The time implications for additional consultations will need to be factored into annual work plan. </w:t>
            </w: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Pr="00976859"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3B6DB4" w:rsidRDefault="00CF33D8"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DFAT notes this recommendation and encourage</w:t>
            </w:r>
            <w:r w:rsidR="007C67F6">
              <w:rPr>
                <w:rFonts w:asciiTheme="minorHAnsi" w:hAnsiTheme="minorHAnsi" w:cstheme="minorHAnsi"/>
                <w:sz w:val="20"/>
                <w:szCs w:val="20"/>
                <w:lang w:eastAsia="en-AU"/>
              </w:rPr>
              <w:t>s</w:t>
            </w:r>
            <w:r w:rsidRPr="00976859">
              <w:rPr>
                <w:rFonts w:asciiTheme="minorHAnsi" w:hAnsiTheme="minorHAnsi" w:cstheme="minorHAnsi"/>
                <w:sz w:val="20"/>
                <w:szCs w:val="20"/>
                <w:lang w:eastAsia="en-AU"/>
              </w:rPr>
              <w:t xml:space="preserve"> the ILO to consider </w:t>
            </w:r>
            <w:r w:rsidR="007B3233">
              <w:rPr>
                <w:rFonts w:asciiTheme="minorHAnsi" w:hAnsiTheme="minorHAnsi" w:cstheme="minorHAnsi"/>
                <w:sz w:val="20"/>
                <w:szCs w:val="20"/>
                <w:lang w:eastAsia="en-AU"/>
              </w:rPr>
              <w:t xml:space="preserve">the </w:t>
            </w:r>
            <w:r w:rsidRPr="00976859">
              <w:rPr>
                <w:rFonts w:asciiTheme="minorHAnsi" w:hAnsiTheme="minorHAnsi" w:cstheme="minorHAnsi"/>
                <w:sz w:val="20"/>
                <w:szCs w:val="20"/>
                <w:lang w:eastAsia="en-AU"/>
              </w:rPr>
              <w:t>feasibility</w:t>
            </w:r>
            <w:r w:rsidR="007B3233">
              <w:rPr>
                <w:rFonts w:asciiTheme="minorHAnsi" w:hAnsiTheme="minorHAnsi" w:cstheme="minorHAnsi"/>
                <w:sz w:val="20"/>
                <w:szCs w:val="20"/>
                <w:lang w:eastAsia="en-AU"/>
              </w:rPr>
              <w:t xml:space="preserve"> of co-drafting workshops and the time implications this process may have</w:t>
            </w:r>
            <w:r w:rsidRPr="00976859">
              <w:rPr>
                <w:rFonts w:asciiTheme="minorHAnsi" w:hAnsiTheme="minorHAnsi" w:cstheme="minorHAnsi"/>
                <w:sz w:val="20"/>
                <w:szCs w:val="20"/>
                <w:lang w:eastAsia="en-AU"/>
              </w:rPr>
              <w:t xml:space="preserve">. </w:t>
            </w: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Pr="00976859"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A0103E" w:rsidRDefault="007E5822"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DFAT supports the development of tools</w:t>
            </w:r>
            <w:r w:rsidR="005109C1" w:rsidRPr="00976859">
              <w:rPr>
                <w:rFonts w:asciiTheme="minorHAnsi" w:hAnsiTheme="minorHAnsi" w:cstheme="minorHAnsi"/>
                <w:sz w:val="20"/>
                <w:szCs w:val="20"/>
                <w:lang w:eastAsia="en-AU"/>
              </w:rPr>
              <w:t xml:space="preserve"> and indicators</w:t>
            </w:r>
            <w:r w:rsidRPr="00976859">
              <w:rPr>
                <w:rFonts w:asciiTheme="minorHAnsi" w:hAnsiTheme="minorHAnsi" w:cstheme="minorHAnsi"/>
                <w:sz w:val="20"/>
                <w:szCs w:val="20"/>
                <w:lang w:eastAsia="en-AU"/>
              </w:rPr>
              <w:t xml:space="preserve"> to measure </w:t>
            </w:r>
            <w:r w:rsidR="00F5509C" w:rsidRPr="00976859">
              <w:rPr>
                <w:rFonts w:asciiTheme="minorHAnsi" w:hAnsiTheme="minorHAnsi" w:cstheme="minorHAnsi"/>
                <w:sz w:val="20"/>
                <w:szCs w:val="20"/>
                <w:lang w:eastAsia="en-AU"/>
              </w:rPr>
              <w:t xml:space="preserve">the </w:t>
            </w:r>
            <w:r w:rsidRPr="00976859">
              <w:rPr>
                <w:rFonts w:asciiTheme="minorHAnsi" w:hAnsiTheme="minorHAnsi" w:cstheme="minorHAnsi"/>
                <w:sz w:val="20"/>
                <w:szCs w:val="20"/>
                <w:lang w:eastAsia="en-AU"/>
              </w:rPr>
              <w:t>impact of capacity building activities</w:t>
            </w:r>
            <w:r w:rsidR="00F5509C" w:rsidRPr="00976859">
              <w:rPr>
                <w:rFonts w:asciiTheme="minorHAnsi" w:hAnsiTheme="minorHAnsi" w:cstheme="minorHAnsi"/>
                <w:sz w:val="20"/>
                <w:szCs w:val="20"/>
                <w:lang w:eastAsia="en-AU"/>
              </w:rPr>
              <w:t xml:space="preserve"> that can reflect desired changes in attitudes and behaviours</w:t>
            </w:r>
            <w:r w:rsidR="00324B9B" w:rsidRPr="00976859">
              <w:rPr>
                <w:rFonts w:asciiTheme="minorHAnsi" w:hAnsiTheme="minorHAnsi" w:cstheme="minorHAnsi"/>
                <w:sz w:val="20"/>
                <w:szCs w:val="20"/>
                <w:lang w:eastAsia="en-AU"/>
              </w:rPr>
              <w:t xml:space="preserve">. </w:t>
            </w:r>
          </w:p>
          <w:p w:rsidR="007B3233" w:rsidRPr="00976859"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3D0141" w:rsidRDefault="00D63BC9"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Capacity building is an essential part of program delivery and sustainability. </w:t>
            </w:r>
            <w:r w:rsidR="007B3233">
              <w:rPr>
                <w:rFonts w:asciiTheme="minorHAnsi" w:hAnsiTheme="minorHAnsi" w:cstheme="minorHAnsi"/>
                <w:sz w:val="20"/>
                <w:szCs w:val="20"/>
                <w:lang w:eastAsia="en-AU"/>
              </w:rPr>
              <w:t>I</w:t>
            </w:r>
            <w:r w:rsidRPr="00976859">
              <w:rPr>
                <w:rFonts w:asciiTheme="minorHAnsi" w:hAnsiTheme="minorHAnsi" w:cstheme="minorHAnsi"/>
                <w:sz w:val="20"/>
                <w:szCs w:val="20"/>
                <w:lang w:eastAsia="en-AU"/>
              </w:rPr>
              <w:t xml:space="preserve">LO </w:t>
            </w:r>
            <w:r w:rsidR="007B3233">
              <w:rPr>
                <w:rFonts w:asciiTheme="minorHAnsi" w:hAnsiTheme="minorHAnsi" w:cstheme="minorHAnsi"/>
                <w:sz w:val="20"/>
                <w:szCs w:val="20"/>
                <w:lang w:eastAsia="en-AU"/>
              </w:rPr>
              <w:t xml:space="preserve">should </w:t>
            </w:r>
            <w:r w:rsidRPr="00976859">
              <w:rPr>
                <w:rFonts w:asciiTheme="minorHAnsi" w:hAnsiTheme="minorHAnsi" w:cstheme="minorHAnsi"/>
                <w:sz w:val="20"/>
                <w:szCs w:val="20"/>
                <w:lang w:eastAsia="en-AU"/>
              </w:rPr>
              <w:t xml:space="preserve">choose capacity building methods that are both high impact and value-for-money. </w:t>
            </w:r>
          </w:p>
          <w:p w:rsidR="007B3233" w:rsidRPr="007B3233" w:rsidRDefault="007B3233" w:rsidP="007B3233">
            <w:pPr>
              <w:autoSpaceDE w:val="0"/>
              <w:autoSpaceDN w:val="0"/>
              <w:adjustRightInd w:val="0"/>
              <w:rPr>
                <w:rFonts w:asciiTheme="minorHAnsi" w:hAnsiTheme="minorHAnsi" w:cstheme="minorHAnsi"/>
                <w:sz w:val="20"/>
                <w:szCs w:val="20"/>
                <w:lang w:eastAsia="en-AU"/>
              </w:rPr>
            </w:pPr>
          </w:p>
          <w:p w:rsidR="00290138" w:rsidRPr="00976859" w:rsidRDefault="00290138"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DFAT notes this recommendation and will encourage the ILO to consider </w:t>
            </w:r>
            <w:r w:rsidR="004132A4">
              <w:rPr>
                <w:rFonts w:asciiTheme="minorHAnsi" w:hAnsiTheme="minorHAnsi" w:cstheme="minorHAnsi"/>
                <w:sz w:val="20"/>
                <w:szCs w:val="20"/>
                <w:lang w:eastAsia="en-AU"/>
              </w:rPr>
              <w:t xml:space="preserve">how knowledge management can be strengthened in the second phase. </w:t>
            </w:r>
          </w:p>
          <w:p w:rsidR="00D63BC9" w:rsidRPr="00976859" w:rsidRDefault="00D63BC9" w:rsidP="00976859">
            <w:pPr>
              <w:rPr>
                <w:rFonts w:asciiTheme="minorHAnsi" w:hAnsiTheme="minorHAnsi" w:cstheme="minorHAnsi"/>
                <w:sz w:val="20"/>
                <w:szCs w:val="20"/>
              </w:rPr>
            </w:pPr>
          </w:p>
          <w:p w:rsidR="00D63BC9" w:rsidRPr="00976859" w:rsidRDefault="00D63BC9" w:rsidP="00976859">
            <w:pPr>
              <w:rPr>
                <w:rFonts w:asciiTheme="minorHAnsi" w:hAnsiTheme="minorHAnsi" w:cstheme="minorHAnsi"/>
                <w:sz w:val="20"/>
                <w:szCs w:val="20"/>
                <w:highlight w:val="yellow"/>
              </w:rPr>
            </w:pPr>
          </w:p>
        </w:tc>
        <w:tc>
          <w:tcPr>
            <w:tcW w:w="3827" w:type="dxa"/>
            <w:tcBorders>
              <w:left w:val="single" w:sz="4" w:space="0" w:color="auto"/>
            </w:tcBorders>
            <w:shd w:val="clear" w:color="auto" w:fill="auto"/>
          </w:tcPr>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7C67F6" w:rsidRDefault="007C67F6" w:rsidP="007C67F6">
            <w:pPr>
              <w:pStyle w:val="ListParagraph"/>
              <w:autoSpaceDE w:val="0"/>
              <w:autoSpaceDN w:val="0"/>
              <w:adjustRightInd w:val="0"/>
              <w:ind w:left="317"/>
              <w:rPr>
                <w:rFonts w:asciiTheme="minorHAnsi" w:hAnsiTheme="minorHAnsi" w:cstheme="minorHAnsi"/>
                <w:sz w:val="20"/>
                <w:szCs w:val="20"/>
                <w:lang w:eastAsia="en-AU"/>
              </w:rPr>
            </w:pPr>
          </w:p>
          <w:p w:rsidR="00A46CCB" w:rsidRPr="00976859" w:rsidRDefault="00094C6F"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In all countries, the project will continue to advocate for greater involvement of social partners, NGOs and others in legislative and policy drafting. Whilst timeframes cannot always be systematised because they are not within the control of the project, this process will be considered as part of annual work planning within Project Advisory Committee (PAC) meetings.   </w:t>
            </w:r>
          </w:p>
          <w:p w:rsidR="003B6DB4" w:rsidRDefault="00094C6F"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The technical comments process is a core function of the ILO Office. Whilst these procedures are standardised, TRIANGLE II will seek to establish how/whether it can deviate from these to allow for timely sharing of comments with social partners. </w:t>
            </w:r>
          </w:p>
          <w:p w:rsidR="007B3233"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7B3233" w:rsidRPr="00976859"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1714C9" w:rsidRDefault="005B7DED"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A</w:t>
            </w:r>
            <w:r w:rsidR="001714C9" w:rsidRPr="00976859">
              <w:rPr>
                <w:rFonts w:asciiTheme="minorHAnsi" w:hAnsiTheme="minorHAnsi" w:cstheme="minorHAnsi"/>
                <w:sz w:val="20"/>
                <w:szCs w:val="20"/>
                <w:lang w:eastAsia="en-AU"/>
              </w:rPr>
              <w:t xml:space="preserve"> proactive approach to </w:t>
            </w:r>
            <w:r w:rsidR="00AC643F" w:rsidRPr="00976859">
              <w:rPr>
                <w:rFonts w:asciiTheme="minorHAnsi" w:hAnsiTheme="minorHAnsi" w:cstheme="minorHAnsi"/>
                <w:sz w:val="20"/>
                <w:szCs w:val="20"/>
                <w:lang w:eastAsia="en-AU"/>
              </w:rPr>
              <w:t>M&amp;E</w:t>
            </w:r>
            <w:r w:rsidR="0033156C" w:rsidRPr="00976859">
              <w:rPr>
                <w:rFonts w:asciiTheme="minorHAnsi" w:hAnsiTheme="minorHAnsi" w:cstheme="minorHAnsi"/>
                <w:sz w:val="20"/>
                <w:szCs w:val="20"/>
                <w:lang w:eastAsia="en-AU"/>
              </w:rPr>
              <w:t>,</w:t>
            </w:r>
            <w:r w:rsidR="00AC643F" w:rsidRPr="00976859">
              <w:rPr>
                <w:rFonts w:asciiTheme="minorHAnsi" w:hAnsiTheme="minorHAnsi" w:cstheme="minorHAnsi"/>
                <w:sz w:val="20"/>
                <w:szCs w:val="20"/>
                <w:lang w:eastAsia="en-AU"/>
              </w:rPr>
              <w:t xml:space="preserve"> building on the lessons learned from GMS TRIANGLE have been incorporated into the design of TRIANGLE II and will be further refined during inception. </w:t>
            </w:r>
            <w:r w:rsidR="001714C9" w:rsidRPr="00976859">
              <w:rPr>
                <w:rFonts w:asciiTheme="minorHAnsi" w:hAnsiTheme="minorHAnsi" w:cstheme="minorHAnsi"/>
                <w:sz w:val="20"/>
                <w:szCs w:val="20"/>
                <w:lang w:eastAsia="en-AU"/>
              </w:rPr>
              <w:t xml:space="preserve"> </w:t>
            </w:r>
          </w:p>
          <w:p w:rsidR="007B3233" w:rsidRPr="00976859" w:rsidRDefault="007B3233" w:rsidP="007B3233">
            <w:pPr>
              <w:pStyle w:val="ListParagraph"/>
              <w:autoSpaceDE w:val="0"/>
              <w:autoSpaceDN w:val="0"/>
              <w:adjustRightInd w:val="0"/>
              <w:ind w:left="317"/>
              <w:rPr>
                <w:rFonts w:asciiTheme="minorHAnsi" w:hAnsiTheme="minorHAnsi" w:cstheme="minorHAnsi"/>
                <w:sz w:val="20"/>
                <w:szCs w:val="20"/>
                <w:lang w:eastAsia="en-AU"/>
              </w:rPr>
            </w:pPr>
          </w:p>
          <w:p w:rsidR="003B6DB4" w:rsidRPr="00976859" w:rsidRDefault="003B6DB4"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Organi</w:t>
            </w:r>
            <w:r w:rsidR="00976859" w:rsidRPr="00976859">
              <w:rPr>
                <w:rFonts w:asciiTheme="minorHAnsi" w:hAnsiTheme="minorHAnsi" w:cstheme="minorHAnsi"/>
                <w:sz w:val="20"/>
                <w:szCs w:val="20"/>
                <w:lang w:eastAsia="en-AU"/>
              </w:rPr>
              <w:t>s</w:t>
            </w:r>
            <w:r w:rsidRPr="00976859">
              <w:rPr>
                <w:rFonts w:asciiTheme="minorHAnsi" w:hAnsiTheme="minorHAnsi" w:cstheme="minorHAnsi"/>
                <w:sz w:val="20"/>
                <w:szCs w:val="20"/>
                <w:lang w:eastAsia="en-AU"/>
              </w:rPr>
              <w:t>ational development and capacity building of key partners remains a priority over the life of the project, however, on the job coaching is time and resource intensive and is unlikely in the current budget scenario.</w:t>
            </w:r>
          </w:p>
          <w:p w:rsidR="003B6DB4" w:rsidRPr="00976859" w:rsidRDefault="003B6DB4"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Conversations will begin in the first years of the project to see how KPIs can be strengthened and the project can contribute to these more directly. This will feature as a key advocacy point with senior officials however the actual linking may not be observed until later in the project.</w:t>
            </w:r>
          </w:p>
          <w:p w:rsidR="001714C9" w:rsidRPr="00976859" w:rsidRDefault="001714C9" w:rsidP="00976859">
            <w:pPr>
              <w:rPr>
                <w:rFonts w:asciiTheme="minorHAnsi" w:hAnsiTheme="minorHAnsi" w:cstheme="minorHAnsi"/>
                <w:sz w:val="20"/>
                <w:szCs w:val="20"/>
                <w:lang w:eastAsia="en-AU"/>
              </w:rPr>
            </w:pPr>
          </w:p>
        </w:tc>
        <w:tc>
          <w:tcPr>
            <w:tcW w:w="1450" w:type="dxa"/>
            <w:tcBorders>
              <w:left w:val="single" w:sz="4" w:space="0" w:color="auto"/>
            </w:tcBorders>
            <w:shd w:val="clear" w:color="auto" w:fill="auto"/>
          </w:tcPr>
          <w:p w:rsidR="004617D1" w:rsidRPr="00976859" w:rsidRDefault="004617D1" w:rsidP="00976859">
            <w:pPr>
              <w:rPr>
                <w:rFonts w:asciiTheme="minorHAnsi" w:hAnsiTheme="minorHAnsi" w:cstheme="minorHAnsi"/>
                <w:sz w:val="20"/>
                <w:szCs w:val="20"/>
              </w:rPr>
            </w:pPr>
          </w:p>
        </w:tc>
      </w:tr>
      <w:tr w:rsidR="004617D1" w:rsidRPr="00976859" w:rsidTr="003D0141">
        <w:trPr>
          <w:trHeight w:val="1490"/>
        </w:trPr>
        <w:tc>
          <w:tcPr>
            <w:tcW w:w="675" w:type="dxa"/>
          </w:tcPr>
          <w:p w:rsidR="004617D1" w:rsidRPr="00976859" w:rsidRDefault="004617D1" w:rsidP="00976859">
            <w:pPr>
              <w:jc w:val="center"/>
              <w:rPr>
                <w:rFonts w:asciiTheme="minorHAnsi" w:hAnsiTheme="minorHAnsi" w:cstheme="minorHAnsi"/>
                <w:sz w:val="20"/>
                <w:szCs w:val="20"/>
              </w:rPr>
            </w:pPr>
            <w:r w:rsidRPr="00976859">
              <w:rPr>
                <w:rFonts w:asciiTheme="minorHAnsi" w:hAnsiTheme="minorHAnsi" w:cstheme="minorHAnsi"/>
                <w:sz w:val="20"/>
                <w:szCs w:val="20"/>
              </w:rPr>
              <w:t>6.</w:t>
            </w:r>
          </w:p>
        </w:tc>
        <w:tc>
          <w:tcPr>
            <w:tcW w:w="4111" w:type="dxa"/>
            <w:shd w:val="clear" w:color="auto" w:fill="auto"/>
          </w:tcPr>
          <w:p w:rsidR="004617D1" w:rsidRPr="00976859" w:rsidRDefault="0019740C" w:rsidP="00976859">
            <w:pPr>
              <w:autoSpaceDE w:val="0"/>
              <w:autoSpaceDN w:val="0"/>
              <w:adjustRightInd w:val="0"/>
              <w:rPr>
                <w:rFonts w:asciiTheme="minorHAnsi" w:eastAsia="MS Mincho" w:hAnsiTheme="minorHAnsi" w:cstheme="minorHAnsi"/>
                <w:sz w:val="20"/>
                <w:szCs w:val="20"/>
              </w:rPr>
            </w:pPr>
            <w:r w:rsidRPr="00976859">
              <w:rPr>
                <w:rFonts w:asciiTheme="minorHAnsi" w:hAnsiTheme="minorHAnsi" w:cstheme="minorHAnsi"/>
                <w:sz w:val="20"/>
                <w:szCs w:val="20"/>
                <w:lang w:eastAsia="en-AU"/>
              </w:rPr>
              <w:t>Explore options for sustainable MRC models. This could include government funding of CSO or trade union run MRCs, in addition to mainstreaming migrant worker services into existing job centres or NGO services.</w:t>
            </w:r>
          </w:p>
        </w:tc>
        <w:tc>
          <w:tcPr>
            <w:tcW w:w="4111" w:type="dxa"/>
            <w:tcBorders>
              <w:right w:val="single" w:sz="4" w:space="0" w:color="auto"/>
            </w:tcBorders>
            <w:shd w:val="clear" w:color="auto" w:fill="auto"/>
          </w:tcPr>
          <w:p w:rsidR="004B4083" w:rsidRPr="00976859" w:rsidRDefault="004B4083" w:rsidP="004132A4">
            <w:pPr>
              <w:autoSpaceDE w:val="0"/>
              <w:autoSpaceDN w:val="0"/>
              <w:adjustRightInd w:val="0"/>
              <w:rPr>
                <w:rFonts w:asciiTheme="minorHAnsi" w:hAnsiTheme="minorHAnsi" w:cstheme="minorHAnsi"/>
                <w:sz w:val="20"/>
                <w:szCs w:val="20"/>
                <w:highlight w:val="yellow"/>
              </w:rPr>
            </w:pPr>
            <w:r w:rsidRPr="00976859">
              <w:rPr>
                <w:rFonts w:asciiTheme="minorHAnsi" w:hAnsiTheme="minorHAnsi" w:cstheme="minorHAnsi"/>
                <w:sz w:val="20"/>
                <w:szCs w:val="20"/>
                <w:lang w:eastAsia="en-AU"/>
              </w:rPr>
              <w:t xml:space="preserve">DFAT supports sustainable MRC models that take into consideration the strengths of </w:t>
            </w:r>
            <w:r w:rsidR="007A7C2D" w:rsidRPr="00976859">
              <w:rPr>
                <w:rFonts w:asciiTheme="minorHAnsi" w:hAnsiTheme="minorHAnsi" w:cstheme="minorHAnsi"/>
                <w:sz w:val="20"/>
                <w:szCs w:val="20"/>
                <w:lang w:eastAsia="en-AU"/>
              </w:rPr>
              <w:t xml:space="preserve">the </w:t>
            </w:r>
            <w:r w:rsidRPr="00976859">
              <w:rPr>
                <w:rFonts w:asciiTheme="minorHAnsi" w:hAnsiTheme="minorHAnsi" w:cstheme="minorHAnsi"/>
                <w:sz w:val="20"/>
                <w:szCs w:val="20"/>
                <w:lang w:eastAsia="en-AU"/>
              </w:rPr>
              <w:t xml:space="preserve">different </w:t>
            </w:r>
            <w:r w:rsidR="007A7C2D" w:rsidRPr="00976859">
              <w:rPr>
                <w:rFonts w:asciiTheme="minorHAnsi" w:hAnsiTheme="minorHAnsi" w:cstheme="minorHAnsi"/>
                <w:sz w:val="20"/>
                <w:szCs w:val="20"/>
                <w:lang w:eastAsia="en-AU"/>
              </w:rPr>
              <w:t xml:space="preserve">types of </w:t>
            </w:r>
            <w:r w:rsidRPr="00976859">
              <w:rPr>
                <w:rFonts w:asciiTheme="minorHAnsi" w:hAnsiTheme="minorHAnsi" w:cstheme="minorHAnsi"/>
                <w:sz w:val="20"/>
                <w:szCs w:val="20"/>
                <w:lang w:eastAsia="en-AU"/>
              </w:rPr>
              <w:t>service providers</w:t>
            </w:r>
            <w:r w:rsidR="00DE2EDA" w:rsidRPr="00976859">
              <w:rPr>
                <w:rFonts w:asciiTheme="minorHAnsi" w:hAnsiTheme="minorHAnsi" w:cstheme="minorHAnsi"/>
                <w:sz w:val="20"/>
                <w:szCs w:val="20"/>
              </w:rPr>
              <w:t xml:space="preserve">, </w:t>
            </w:r>
            <w:r w:rsidR="004132A4">
              <w:rPr>
                <w:rFonts w:asciiTheme="minorHAnsi" w:hAnsiTheme="minorHAnsi" w:cstheme="minorHAnsi"/>
                <w:sz w:val="20"/>
                <w:szCs w:val="20"/>
              </w:rPr>
              <w:t xml:space="preserve">sources of funding and </w:t>
            </w:r>
            <w:r w:rsidR="00DE2EDA" w:rsidRPr="00976859">
              <w:rPr>
                <w:rFonts w:asciiTheme="minorHAnsi" w:hAnsiTheme="minorHAnsi" w:cstheme="minorHAnsi"/>
                <w:sz w:val="20"/>
                <w:szCs w:val="20"/>
              </w:rPr>
              <w:t>delivery modes (fixed site, outreach, online).</w:t>
            </w:r>
          </w:p>
        </w:tc>
        <w:tc>
          <w:tcPr>
            <w:tcW w:w="3827" w:type="dxa"/>
            <w:tcBorders>
              <w:left w:val="single" w:sz="4" w:space="0" w:color="auto"/>
            </w:tcBorders>
            <w:shd w:val="clear" w:color="auto" w:fill="auto"/>
          </w:tcPr>
          <w:p w:rsidR="00806766" w:rsidRPr="00976859" w:rsidRDefault="00470829" w:rsidP="00083E98">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TRIANGLE II will </w:t>
            </w:r>
            <w:r w:rsidR="004132A4">
              <w:rPr>
                <w:rFonts w:asciiTheme="minorHAnsi" w:hAnsiTheme="minorHAnsi" w:cstheme="minorHAnsi"/>
                <w:sz w:val="20"/>
                <w:szCs w:val="20"/>
                <w:lang w:eastAsia="en-AU"/>
              </w:rPr>
              <w:t xml:space="preserve">assess feasibility of </w:t>
            </w:r>
            <w:r w:rsidRPr="00976859">
              <w:rPr>
                <w:rFonts w:asciiTheme="minorHAnsi" w:hAnsiTheme="minorHAnsi" w:cstheme="minorHAnsi"/>
                <w:sz w:val="20"/>
                <w:szCs w:val="20"/>
                <w:lang w:eastAsia="en-AU"/>
              </w:rPr>
              <w:t>integrat</w:t>
            </w:r>
            <w:r w:rsidR="004132A4">
              <w:rPr>
                <w:rFonts w:asciiTheme="minorHAnsi" w:hAnsiTheme="minorHAnsi" w:cstheme="minorHAnsi"/>
                <w:sz w:val="20"/>
                <w:szCs w:val="20"/>
                <w:lang w:eastAsia="en-AU"/>
              </w:rPr>
              <w:t>ing</w:t>
            </w:r>
            <w:r w:rsidRPr="00976859">
              <w:rPr>
                <w:rFonts w:asciiTheme="minorHAnsi" w:hAnsiTheme="minorHAnsi" w:cstheme="minorHAnsi"/>
                <w:sz w:val="20"/>
                <w:szCs w:val="20"/>
                <w:lang w:eastAsia="en-AU"/>
              </w:rPr>
              <w:t xml:space="preserve"> the functions of the MRCs into government services </w:t>
            </w:r>
            <w:r w:rsidR="004132A4">
              <w:rPr>
                <w:rFonts w:asciiTheme="minorHAnsi" w:hAnsiTheme="minorHAnsi" w:cstheme="minorHAnsi"/>
                <w:sz w:val="20"/>
                <w:szCs w:val="20"/>
                <w:lang w:eastAsia="en-AU"/>
              </w:rPr>
              <w:t xml:space="preserve">or alternative </w:t>
            </w:r>
            <w:r w:rsidR="00D53123" w:rsidRPr="00976859">
              <w:rPr>
                <w:rFonts w:asciiTheme="minorHAnsi" w:hAnsiTheme="minorHAnsi" w:cstheme="minorHAnsi"/>
                <w:sz w:val="20"/>
                <w:szCs w:val="20"/>
                <w:lang w:eastAsia="en-AU"/>
              </w:rPr>
              <w:t xml:space="preserve">sustainable models </w:t>
            </w:r>
            <w:r w:rsidRPr="00976859">
              <w:rPr>
                <w:rFonts w:asciiTheme="minorHAnsi" w:hAnsiTheme="minorHAnsi" w:cstheme="minorHAnsi"/>
                <w:sz w:val="20"/>
                <w:szCs w:val="20"/>
                <w:lang w:eastAsia="en-AU"/>
              </w:rPr>
              <w:t xml:space="preserve">throughout the life of the project. </w:t>
            </w:r>
            <w:r w:rsidR="007A7C2D" w:rsidRPr="00976859">
              <w:rPr>
                <w:rFonts w:asciiTheme="minorHAnsi" w:hAnsiTheme="minorHAnsi" w:cstheme="minorHAnsi"/>
                <w:sz w:val="20"/>
                <w:szCs w:val="20"/>
                <w:lang w:eastAsia="en-AU"/>
              </w:rPr>
              <w:t xml:space="preserve">Partnerships between government agencies and civil society organisations providing services to migrants will be actively encouraged. </w:t>
            </w:r>
          </w:p>
        </w:tc>
        <w:tc>
          <w:tcPr>
            <w:tcW w:w="1450" w:type="dxa"/>
            <w:tcBorders>
              <w:left w:val="single" w:sz="4" w:space="0" w:color="auto"/>
            </w:tcBorders>
            <w:shd w:val="clear" w:color="auto" w:fill="auto"/>
          </w:tcPr>
          <w:p w:rsidR="004617D1" w:rsidRPr="00976859" w:rsidRDefault="00470829" w:rsidP="00976859">
            <w:pPr>
              <w:rPr>
                <w:rFonts w:asciiTheme="minorHAnsi" w:hAnsiTheme="minorHAnsi" w:cstheme="minorHAnsi"/>
                <w:sz w:val="20"/>
                <w:szCs w:val="20"/>
              </w:rPr>
            </w:pPr>
            <w:r w:rsidRPr="00976859">
              <w:rPr>
                <w:rFonts w:asciiTheme="minorHAnsi" w:hAnsiTheme="minorHAnsi" w:cstheme="minorHAnsi"/>
                <w:sz w:val="20"/>
                <w:szCs w:val="20"/>
              </w:rPr>
              <w:t>ILO</w:t>
            </w:r>
          </w:p>
        </w:tc>
      </w:tr>
      <w:tr w:rsidR="00FE5308" w:rsidRPr="00976859" w:rsidTr="00976859">
        <w:trPr>
          <w:trHeight w:val="1631"/>
        </w:trPr>
        <w:tc>
          <w:tcPr>
            <w:tcW w:w="675" w:type="dxa"/>
          </w:tcPr>
          <w:p w:rsidR="00FE5308" w:rsidRPr="00976859" w:rsidRDefault="00FE5308" w:rsidP="00976859">
            <w:pPr>
              <w:jc w:val="center"/>
              <w:rPr>
                <w:rFonts w:asciiTheme="minorHAnsi" w:hAnsiTheme="minorHAnsi" w:cstheme="minorHAnsi"/>
                <w:sz w:val="20"/>
                <w:szCs w:val="20"/>
              </w:rPr>
            </w:pPr>
            <w:r w:rsidRPr="00976859">
              <w:rPr>
                <w:rFonts w:asciiTheme="minorHAnsi" w:hAnsiTheme="minorHAnsi" w:cstheme="minorHAnsi"/>
                <w:sz w:val="20"/>
                <w:szCs w:val="20"/>
              </w:rPr>
              <w:t>7.</w:t>
            </w:r>
          </w:p>
        </w:tc>
        <w:tc>
          <w:tcPr>
            <w:tcW w:w="4111" w:type="dxa"/>
            <w:shd w:val="clear" w:color="auto" w:fill="auto"/>
          </w:tcPr>
          <w:p w:rsidR="003D0141"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Define a more robust M&amp;E framework at the start of phase two of the project. </w:t>
            </w:r>
          </w:p>
          <w:p w:rsidR="003D0141" w:rsidRPr="00976859" w:rsidRDefault="003D0141" w:rsidP="00976859">
            <w:pPr>
              <w:autoSpaceDE w:val="0"/>
              <w:autoSpaceDN w:val="0"/>
              <w:adjustRightInd w:val="0"/>
              <w:rPr>
                <w:rFonts w:asciiTheme="minorHAnsi" w:hAnsiTheme="minorHAnsi" w:cstheme="minorHAnsi"/>
                <w:sz w:val="20"/>
                <w:szCs w:val="20"/>
                <w:lang w:eastAsia="en-AU"/>
              </w:rPr>
            </w:pPr>
          </w:p>
          <w:p w:rsidR="003D0141" w:rsidRPr="00976859" w:rsidRDefault="003D0141"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D0141" w:rsidRPr="00976859" w:rsidRDefault="003D0141" w:rsidP="00976859">
            <w:pPr>
              <w:autoSpaceDE w:val="0"/>
              <w:autoSpaceDN w:val="0"/>
              <w:adjustRightInd w:val="0"/>
              <w:rPr>
                <w:rFonts w:asciiTheme="minorHAnsi" w:hAnsiTheme="minorHAnsi" w:cstheme="minorHAnsi"/>
                <w:sz w:val="20"/>
                <w:szCs w:val="20"/>
                <w:lang w:eastAsia="en-AU"/>
              </w:rPr>
            </w:pPr>
          </w:p>
          <w:p w:rsidR="003D0141"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Provide each MRC with individualised coaching according to their knowledge gaps and the services provided, e.g. on M&amp;E concepts, data collection, assessing impact, analysis and reporting, and participatory monitoring. </w:t>
            </w:r>
          </w:p>
          <w:p w:rsidR="003D0141" w:rsidRPr="00976859" w:rsidRDefault="003D0141" w:rsidP="00976859">
            <w:pPr>
              <w:autoSpaceDE w:val="0"/>
              <w:autoSpaceDN w:val="0"/>
              <w:adjustRightInd w:val="0"/>
              <w:rPr>
                <w:rFonts w:asciiTheme="minorHAnsi" w:hAnsiTheme="minorHAnsi" w:cstheme="minorHAnsi"/>
                <w:sz w:val="20"/>
                <w:szCs w:val="20"/>
                <w:lang w:eastAsia="en-AU"/>
              </w:rPr>
            </w:pPr>
          </w:p>
          <w:p w:rsidR="00FE5308"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Fund a dedicated M&amp;E staff member for the entire phase 2.</w:t>
            </w:r>
          </w:p>
        </w:tc>
        <w:tc>
          <w:tcPr>
            <w:tcW w:w="4111" w:type="dxa"/>
            <w:tcBorders>
              <w:right w:val="single" w:sz="4" w:space="0" w:color="auto"/>
            </w:tcBorders>
            <w:shd w:val="clear" w:color="auto" w:fill="auto"/>
          </w:tcPr>
          <w:p w:rsidR="00FE5308" w:rsidRPr="00976859" w:rsidRDefault="00470829"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w:t>
            </w:r>
            <w:r w:rsidR="00FC5DE4" w:rsidRPr="00976859">
              <w:rPr>
                <w:rFonts w:asciiTheme="minorHAnsi" w:hAnsiTheme="minorHAnsi" w:cstheme="minorHAnsi"/>
                <w:sz w:val="20"/>
                <w:szCs w:val="20"/>
              </w:rPr>
              <w:t>agrees that</w:t>
            </w:r>
            <w:r w:rsidRPr="00976859">
              <w:rPr>
                <w:rFonts w:asciiTheme="minorHAnsi" w:hAnsiTheme="minorHAnsi" w:cstheme="minorHAnsi"/>
                <w:sz w:val="20"/>
                <w:szCs w:val="20"/>
              </w:rPr>
              <w:t xml:space="preserve"> a robust M&amp;E framework</w:t>
            </w:r>
            <w:r w:rsidR="00FC5DE4" w:rsidRPr="00976859">
              <w:rPr>
                <w:rFonts w:asciiTheme="minorHAnsi" w:hAnsiTheme="minorHAnsi" w:cstheme="minorHAnsi"/>
                <w:sz w:val="20"/>
                <w:szCs w:val="20"/>
              </w:rPr>
              <w:t xml:space="preserve"> needs to be developed</w:t>
            </w:r>
            <w:r w:rsidR="00AC643F" w:rsidRPr="00976859">
              <w:rPr>
                <w:rFonts w:asciiTheme="minorHAnsi" w:hAnsiTheme="minorHAnsi" w:cstheme="minorHAnsi"/>
                <w:sz w:val="20"/>
                <w:szCs w:val="20"/>
              </w:rPr>
              <w:t xml:space="preserve"> </w:t>
            </w:r>
            <w:r w:rsidRPr="00976859">
              <w:rPr>
                <w:rFonts w:asciiTheme="minorHAnsi" w:hAnsiTheme="minorHAnsi" w:cstheme="minorHAnsi"/>
                <w:sz w:val="20"/>
                <w:szCs w:val="20"/>
              </w:rPr>
              <w:t>at the start of the project</w:t>
            </w:r>
            <w:r w:rsidR="00AC643F" w:rsidRPr="00976859">
              <w:rPr>
                <w:rFonts w:asciiTheme="minorHAnsi" w:hAnsiTheme="minorHAnsi" w:cstheme="minorHAnsi"/>
                <w:sz w:val="20"/>
                <w:szCs w:val="20"/>
              </w:rPr>
              <w:t xml:space="preserve"> that is consistent with DFAT M&amp;E Standards</w:t>
            </w:r>
            <w:r w:rsidRPr="00976859">
              <w:rPr>
                <w:rFonts w:asciiTheme="minorHAnsi" w:hAnsiTheme="minorHAnsi" w:cstheme="minorHAnsi"/>
                <w:sz w:val="20"/>
                <w:szCs w:val="20"/>
              </w:rPr>
              <w:t xml:space="preserve">. </w:t>
            </w:r>
          </w:p>
          <w:p w:rsidR="003D0141" w:rsidRPr="00976859" w:rsidRDefault="003D0141" w:rsidP="00976859">
            <w:pPr>
              <w:rPr>
                <w:rFonts w:asciiTheme="minorHAnsi" w:hAnsiTheme="minorHAnsi" w:cstheme="minorHAnsi"/>
                <w:sz w:val="20"/>
                <w:szCs w:val="20"/>
              </w:rPr>
            </w:pPr>
          </w:p>
          <w:p w:rsidR="0038546B" w:rsidRPr="00976859" w:rsidRDefault="0038546B" w:rsidP="00976859">
            <w:pPr>
              <w:rPr>
                <w:rFonts w:asciiTheme="minorHAnsi" w:hAnsiTheme="minorHAnsi" w:cstheme="minorHAnsi"/>
                <w:sz w:val="20"/>
                <w:szCs w:val="20"/>
              </w:rPr>
            </w:pPr>
          </w:p>
          <w:p w:rsidR="0038546B" w:rsidRPr="00976859" w:rsidRDefault="0038546B" w:rsidP="00976859">
            <w:pPr>
              <w:rPr>
                <w:rFonts w:asciiTheme="minorHAnsi" w:hAnsiTheme="minorHAnsi" w:cstheme="minorHAnsi"/>
                <w:sz w:val="20"/>
                <w:szCs w:val="20"/>
              </w:rPr>
            </w:pPr>
          </w:p>
          <w:p w:rsidR="0038546B" w:rsidRPr="00976859" w:rsidRDefault="0038546B" w:rsidP="00976859">
            <w:pPr>
              <w:rPr>
                <w:rFonts w:asciiTheme="minorHAnsi" w:hAnsiTheme="minorHAnsi" w:cstheme="minorHAnsi"/>
                <w:sz w:val="20"/>
                <w:szCs w:val="20"/>
              </w:rPr>
            </w:pPr>
          </w:p>
          <w:p w:rsidR="0038546B" w:rsidRPr="00976859" w:rsidRDefault="0038546B" w:rsidP="00976859">
            <w:pPr>
              <w:rPr>
                <w:rFonts w:asciiTheme="minorHAnsi" w:hAnsiTheme="minorHAnsi" w:cstheme="minorHAnsi"/>
                <w:sz w:val="20"/>
                <w:szCs w:val="20"/>
              </w:rPr>
            </w:pPr>
          </w:p>
          <w:p w:rsidR="00810F84" w:rsidRPr="00976859" w:rsidRDefault="00810F84"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w:t>
            </w:r>
            <w:r w:rsidR="003D297F" w:rsidRPr="00976859">
              <w:rPr>
                <w:rFonts w:asciiTheme="minorHAnsi" w:hAnsiTheme="minorHAnsi" w:cstheme="minorHAnsi"/>
                <w:sz w:val="20"/>
                <w:szCs w:val="20"/>
              </w:rPr>
              <w:t xml:space="preserve">agrees that in some circumstances </w:t>
            </w:r>
            <w:r w:rsidRPr="00976859">
              <w:rPr>
                <w:rFonts w:asciiTheme="minorHAnsi" w:hAnsiTheme="minorHAnsi" w:cstheme="minorHAnsi"/>
                <w:sz w:val="20"/>
                <w:szCs w:val="20"/>
              </w:rPr>
              <w:t xml:space="preserve">individualised coaching of MRC staff </w:t>
            </w:r>
            <w:r w:rsidR="003D297F" w:rsidRPr="00976859">
              <w:rPr>
                <w:rFonts w:asciiTheme="minorHAnsi" w:hAnsiTheme="minorHAnsi" w:cstheme="minorHAnsi"/>
                <w:sz w:val="20"/>
                <w:szCs w:val="20"/>
              </w:rPr>
              <w:t xml:space="preserve">may be an effective means </w:t>
            </w:r>
            <w:r w:rsidRPr="00976859">
              <w:rPr>
                <w:rFonts w:asciiTheme="minorHAnsi" w:hAnsiTheme="minorHAnsi" w:cstheme="minorHAnsi"/>
                <w:sz w:val="20"/>
                <w:szCs w:val="20"/>
              </w:rPr>
              <w:t>to address knowledge gaps and to ensure quality services</w:t>
            </w:r>
            <w:r w:rsidR="003D297F" w:rsidRPr="00976859">
              <w:rPr>
                <w:rFonts w:asciiTheme="minorHAnsi" w:hAnsiTheme="minorHAnsi" w:cstheme="minorHAnsi"/>
                <w:sz w:val="20"/>
                <w:szCs w:val="20"/>
              </w:rPr>
              <w:t xml:space="preserve">, however this will be informed by value-for-money principles. </w:t>
            </w:r>
          </w:p>
          <w:p w:rsidR="003D0141" w:rsidRPr="00976859" w:rsidRDefault="003D0141" w:rsidP="00976859">
            <w:pPr>
              <w:rPr>
                <w:rFonts w:asciiTheme="minorHAnsi" w:hAnsiTheme="minorHAnsi" w:cstheme="minorHAnsi"/>
                <w:sz w:val="20"/>
                <w:szCs w:val="20"/>
              </w:rPr>
            </w:pPr>
          </w:p>
          <w:p w:rsidR="00810F84" w:rsidRPr="00976859" w:rsidRDefault="00810F84"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supports </w:t>
            </w:r>
            <w:r w:rsidR="00384614" w:rsidRPr="00976859">
              <w:rPr>
                <w:rFonts w:asciiTheme="minorHAnsi" w:hAnsiTheme="minorHAnsi" w:cstheme="minorHAnsi"/>
                <w:sz w:val="20"/>
                <w:szCs w:val="20"/>
              </w:rPr>
              <w:t xml:space="preserve">the </w:t>
            </w:r>
            <w:r w:rsidR="008A7BAF" w:rsidRPr="00976859">
              <w:rPr>
                <w:rFonts w:asciiTheme="minorHAnsi" w:hAnsiTheme="minorHAnsi" w:cstheme="minorHAnsi"/>
                <w:sz w:val="20"/>
                <w:szCs w:val="20"/>
              </w:rPr>
              <w:t xml:space="preserve">allocation of resources for </w:t>
            </w:r>
            <w:r w:rsidR="00384614" w:rsidRPr="00976859">
              <w:rPr>
                <w:rFonts w:asciiTheme="minorHAnsi" w:hAnsiTheme="minorHAnsi" w:cstheme="minorHAnsi"/>
                <w:sz w:val="20"/>
                <w:szCs w:val="20"/>
              </w:rPr>
              <w:t xml:space="preserve">M&amp;E </w:t>
            </w:r>
            <w:r w:rsidR="008A7BAF" w:rsidRPr="00976859">
              <w:rPr>
                <w:rFonts w:asciiTheme="minorHAnsi" w:hAnsiTheme="minorHAnsi" w:cstheme="minorHAnsi"/>
                <w:sz w:val="20"/>
                <w:szCs w:val="20"/>
              </w:rPr>
              <w:t>expertise</w:t>
            </w:r>
            <w:r w:rsidR="00384614" w:rsidRPr="00976859">
              <w:rPr>
                <w:rFonts w:asciiTheme="minorHAnsi" w:hAnsiTheme="minorHAnsi" w:cstheme="minorHAnsi"/>
                <w:sz w:val="20"/>
                <w:szCs w:val="20"/>
              </w:rPr>
              <w:t xml:space="preserve"> </w:t>
            </w:r>
            <w:r w:rsidR="008A7BAF" w:rsidRPr="00976859">
              <w:rPr>
                <w:rFonts w:asciiTheme="minorHAnsi" w:hAnsiTheme="minorHAnsi" w:cstheme="minorHAnsi"/>
                <w:sz w:val="20"/>
                <w:szCs w:val="20"/>
              </w:rPr>
              <w:t>throughout TRIANGLE II.</w:t>
            </w:r>
            <w:r w:rsidR="003D3150" w:rsidRPr="00976859">
              <w:rPr>
                <w:rFonts w:asciiTheme="minorHAnsi" w:hAnsiTheme="minorHAnsi" w:cstheme="minorHAnsi"/>
                <w:sz w:val="20"/>
                <w:szCs w:val="20"/>
              </w:rPr>
              <w:t xml:space="preserve"> The engagement of </w:t>
            </w:r>
            <w:r w:rsidR="00185E1C" w:rsidRPr="00976859">
              <w:rPr>
                <w:rFonts w:asciiTheme="minorHAnsi" w:hAnsiTheme="minorHAnsi" w:cstheme="minorHAnsi"/>
                <w:sz w:val="20"/>
                <w:szCs w:val="20"/>
              </w:rPr>
              <w:t xml:space="preserve">regular </w:t>
            </w:r>
            <w:r w:rsidR="0019324B" w:rsidRPr="00976859">
              <w:rPr>
                <w:rFonts w:asciiTheme="minorHAnsi" w:hAnsiTheme="minorHAnsi" w:cstheme="minorHAnsi"/>
                <w:sz w:val="20"/>
                <w:szCs w:val="20"/>
              </w:rPr>
              <w:t xml:space="preserve">M&amp;E </w:t>
            </w:r>
            <w:r w:rsidR="00185E1C" w:rsidRPr="00976859">
              <w:rPr>
                <w:rFonts w:asciiTheme="minorHAnsi" w:hAnsiTheme="minorHAnsi" w:cstheme="minorHAnsi"/>
                <w:sz w:val="20"/>
                <w:szCs w:val="20"/>
              </w:rPr>
              <w:t xml:space="preserve">expertise </w:t>
            </w:r>
            <w:r w:rsidR="0019324B" w:rsidRPr="00976859">
              <w:rPr>
                <w:rFonts w:asciiTheme="minorHAnsi" w:hAnsiTheme="minorHAnsi" w:cstheme="minorHAnsi"/>
                <w:sz w:val="20"/>
                <w:szCs w:val="20"/>
              </w:rPr>
              <w:t>for the second half of</w:t>
            </w:r>
            <w:r w:rsidR="00186A9B" w:rsidRPr="00976859">
              <w:rPr>
                <w:rFonts w:asciiTheme="minorHAnsi" w:hAnsiTheme="minorHAnsi" w:cstheme="minorHAnsi"/>
                <w:sz w:val="20"/>
                <w:szCs w:val="20"/>
              </w:rPr>
              <w:t xml:space="preserve"> </w:t>
            </w:r>
            <w:r w:rsidR="00F5509C" w:rsidRPr="00976859">
              <w:rPr>
                <w:rFonts w:asciiTheme="minorHAnsi" w:hAnsiTheme="minorHAnsi" w:cstheme="minorHAnsi"/>
                <w:sz w:val="20"/>
                <w:szCs w:val="20"/>
              </w:rPr>
              <w:t>GMS</w:t>
            </w:r>
            <w:r w:rsidR="00186A9B" w:rsidRPr="00976859">
              <w:rPr>
                <w:rFonts w:asciiTheme="minorHAnsi" w:hAnsiTheme="minorHAnsi" w:cstheme="minorHAnsi"/>
                <w:sz w:val="20"/>
                <w:szCs w:val="20"/>
              </w:rPr>
              <w:t xml:space="preserve"> TRIANGLE</w:t>
            </w:r>
            <w:r w:rsidR="0019324B" w:rsidRPr="00976859">
              <w:rPr>
                <w:rFonts w:asciiTheme="minorHAnsi" w:hAnsiTheme="minorHAnsi" w:cstheme="minorHAnsi"/>
                <w:sz w:val="20"/>
                <w:szCs w:val="20"/>
              </w:rPr>
              <w:t xml:space="preserve"> was a positive development. </w:t>
            </w:r>
          </w:p>
        </w:tc>
        <w:tc>
          <w:tcPr>
            <w:tcW w:w="3827" w:type="dxa"/>
            <w:tcBorders>
              <w:left w:val="single" w:sz="4" w:space="0" w:color="auto"/>
            </w:tcBorders>
            <w:shd w:val="clear" w:color="auto" w:fill="auto"/>
          </w:tcPr>
          <w:p w:rsidR="00A96437" w:rsidRPr="00976859" w:rsidRDefault="00DC0518" w:rsidP="00976859">
            <w:pPr>
              <w:rPr>
                <w:rFonts w:asciiTheme="minorHAnsi" w:hAnsiTheme="minorHAnsi" w:cstheme="minorHAnsi"/>
                <w:sz w:val="20"/>
                <w:szCs w:val="20"/>
              </w:rPr>
            </w:pPr>
            <w:r w:rsidRPr="00976859">
              <w:rPr>
                <w:rFonts w:asciiTheme="minorHAnsi" w:hAnsiTheme="minorHAnsi" w:cstheme="minorHAnsi"/>
                <w:sz w:val="20"/>
                <w:szCs w:val="20"/>
              </w:rPr>
              <w:t xml:space="preserve">An M&amp;E Framework was developed during the design process, in consultation with DFAT. A data driven approach to M&amp;E will monitor the outcomes and impact of activities throughout the project cycle on an ongoing basis, and will work in close partnership with government and other stakeholders. </w:t>
            </w:r>
          </w:p>
          <w:p w:rsidR="0038546B" w:rsidRPr="00976859" w:rsidRDefault="0038546B" w:rsidP="00976859">
            <w:pPr>
              <w:rPr>
                <w:rFonts w:asciiTheme="minorHAnsi" w:hAnsiTheme="minorHAnsi" w:cstheme="minorHAnsi"/>
                <w:sz w:val="20"/>
                <w:szCs w:val="20"/>
              </w:rPr>
            </w:pPr>
          </w:p>
          <w:p w:rsidR="00290138" w:rsidRPr="00976859" w:rsidRDefault="00290138" w:rsidP="00976859">
            <w:pPr>
              <w:rPr>
                <w:rFonts w:asciiTheme="minorHAnsi" w:hAnsiTheme="minorHAnsi" w:cstheme="minorHAnsi"/>
                <w:sz w:val="20"/>
                <w:szCs w:val="20"/>
              </w:rPr>
            </w:pPr>
            <w:r w:rsidRPr="00976859">
              <w:rPr>
                <w:rFonts w:asciiTheme="minorHAnsi" w:hAnsiTheme="minorHAnsi" w:cstheme="minorHAnsi"/>
                <w:sz w:val="20"/>
                <w:szCs w:val="20"/>
              </w:rPr>
              <w:t>TRIANGLE II will adopt a case by case approach in assessing need and value for money for individualised coaching with respect to the particular partner.</w:t>
            </w:r>
          </w:p>
          <w:p w:rsidR="0038546B" w:rsidRPr="00976859" w:rsidRDefault="0038546B" w:rsidP="00976859">
            <w:pPr>
              <w:rPr>
                <w:rFonts w:asciiTheme="minorHAnsi" w:hAnsiTheme="minorHAnsi" w:cstheme="minorHAnsi"/>
                <w:sz w:val="20"/>
                <w:szCs w:val="20"/>
              </w:rPr>
            </w:pPr>
          </w:p>
          <w:p w:rsidR="0038546B" w:rsidRPr="00976859" w:rsidRDefault="0038546B" w:rsidP="00976859">
            <w:pPr>
              <w:rPr>
                <w:rFonts w:asciiTheme="minorHAnsi" w:hAnsiTheme="minorHAnsi" w:cstheme="minorHAnsi"/>
                <w:sz w:val="20"/>
                <w:szCs w:val="20"/>
              </w:rPr>
            </w:pPr>
          </w:p>
          <w:p w:rsidR="00DC0518" w:rsidRPr="00976859" w:rsidRDefault="00D53123" w:rsidP="00083E98">
            <w:pPr>
              <w:rPr>
                <w:rFonts w:asciiTheme="minorHAnsi" w:hAnsiTheme="minorHAnsi" w:cstheme="minorHAnsi"/>
                <w:b/>
                <w:bCs/>
                <w:sz w:val="20"/>
                <w:szCs w:val="20"/>
              </w:rPr>
            </w:pPr>
            <w:r w:rsidRPr="00976859">
              <w:rPr>
                <w:rFonts w:asciiTheme="minorHAnsi" w:hAnsiTheme="minorHAnsi" w:cstheme="minorHAnsi"/>
                <w:sz w:val="20"/>
                <w:szCs w:val="20"/>
              </w:rPr>
              <w:t xml:space="preserve">TRIANGLE II has recruited a Technical Officer responsible for M&amp;E and </w:t>
            </w:r>
            <w:r w:rsidR="00083E98">
              <w:rPr>
                <w:rFonts w:asciiTheme="minorHAnsi" w:hAnsiTheme="minorHAnsi" w:cstheme="minorHAnsi"/>
                <w:sz w:val="20"/>
                <w:szCs w:val="20"/>
              </w:rPr>
              <w:t xml:space="preserve">research in the inception year </w:t>
            </w:r>
            <w:r w:rsidRPr="00976859">
              <w:rPr>
                <w:rFonts w:asciiTheme="minorHAnsi" w:hAnsiTheme="minorHAnsi" w:cstheme="minorHAnsi"/>
                <w:sz w:val="20"/>
                <w:szCs w:val="20"/>
              </w:rPr>
              <w:t xml:space="preserve">and </w:t>
            </w:r>
            <w:r w:rsidR="00083E98">
              <w:rPr>
                <w:rFonts w:asciiTheme="minorHAnsi" w:hAnsiTheme="minorHAnsi" w:cstheme="minorHAnsi"/>
                <w:sz w:val="20"/>
                <w:szCs w:val="20"/>
              </w:rPr>
              <w:t xml:space="preserve">will consider maintaining this position over the longer term. </w:t>
            </w:r>
            <w:r w:rsidRPr="00976859">
              <w:rPr>
                <w:rFonts w:asciiTheme="minorHAnsi" w:hAnsiTheme="minorHAnsi" w:cstheme="minorHAnsi"/>
                <w:sz w:val="20"/>
                <w:szCs w:val="20"/>
              </w:rPr>
              <w:t xml:space="preserve"> </w:t>
            </w:r>
          </w:p>
        </w:tc>
        <w:tc>
          <w:tcPr>
            <w:tcW w:w="1450" w:type="dxa"/>
            <w:tcBorders>
              <w:left w:val="single" w:sz="4" w:space="0" w:color="auto"/>
            </w:tcBorders>
            <w:shd w:val="clear" w:color="auto" w:fill="auto"/>
          </w:tcPr>
          <w:p w:rsidR="00FE5308" w:rsidRPr="00976859" w:rsidRDefault="00AE2F1F" w:rsidP="00976859">
            <w:pPr>
              <w:rPr>
                <w:rFonts w:asciiTheme="minorHAnsi" w:hAnsiTheme="minorHAnsi" w:cstheme="minorHAnsi"/>
                <w:sz w:val="20"/>
                <w:szCs w:val="20"/>
              </w:rPr>
            </w:pPr>
            <w:r w:rsidRPr="00976859">
              <w:rPr>
                <w:rFonts w:asciiTheme="minorHAnsi" w:hAnsiTheme="minorHAnsi" w:cstheme="minorHAnsi"/>
                <w:sz w:val="20"/>
                <w:szCs w:val="20"/>
              </w:rPr>
              <w:t>ILO</w:t>
            </w:r>
          </w:p>
        </w:tc>
      </w:tr>
      <w:tr w:rsidR="00FE5308" w:rsidRPr="00976859" w:rsidTr="003D0141">
        <w:trPr>
          <w:trHeight w:val="885"/>
        </w:trPr>
        <w:tc>
          <w:tcPr>
            <w:tcW w:w="675" w:type="dxa"/>
          </w:tcPr>
          <w:p w:rsidR="00FE5308" w:rsidRPr="00976859" w:rsidRDefault="00DF50D5" w:rsidP="00976859">
            <w:pPr>
              <w:jc w:val="center"/>
              <w:rPr>
                <w:rFonts w:asciiTheme="minorHAnsi" w:hAnsiTheme="minorHAnsi" w:cstheme="minorHAnsi"/>
                <w:sz w:val="20"/>
                <w:szCs w:val="20"/>
              </w:rPr>
            </w:pPr>
            <w:r w:rsidRPr="00976859">
              <w:rPr>
                <w:rFonts w:asciiTheme="minorHAnsi" w:hAnsiTheme="minorHAnsi" w:cstheme="minorHAnsi"/>
                <w:sz w:val="20"/>
                <w:szCs w:val="20"/>
              </w:rPr>
              <w:t>8.</w:t>
            </w:r>
          </w:p>
        </w:tc>
        <w:tc>
          <w:tcPr>
            <w:tcW w:w="4111" w:type="dxa"/>
            <w:shd w:val="clear" w:color="auto" w:fill="auto"/>
          </w:tcPr>
          <w:p w:rsidR="00FE5308" w:rsidRPr="00976859" w:rsidRDefault="0019740C" w:rsidP="00976859">
            <w:pPr>
              <w:autoSpaceDE w:val="0"/>
              <w:autoSpaceDN w:val="0"/>
              <w:adjustRightInd w:val="0"/>
              <w:rPr>
                <w:rFonts w:asciiTheme="minorHAnsi" w:eastAsia="MS Mincho" w:hAnsiTheme="minorHAnsi" w:cstheme="minorHAnsi"/>
                <w:sz w:val="20"/>
                <w:szCs w:val="20"/>
              </w:rPr>
            </w:pPr>
            <w:r w:rsidRPr="00976859">
              <w:rPr>
                <w:rFonts w:asciiTheme="minorHAnsi" w:hAnsiTheme="minorHAnsi" w:cstheme="minorHAnsi"/>
                <w:sz w:val="20"/>
                <w:szCs w:val="20"/>
                <w:lang w:eastAsia="en-AU"/>
              </w:rPr>
              <w:t>Design a Results Assessment Framework from the project’s inception</w:t>
            </w:r>
            <w:r w:rsidR="00DC0518" w:rsidRPr="00976859">
              <w:rPr>
                <w:rFonts w:asciiTheme="minorHAnsi" w:hAnsiTheme="minorHAnsi" w:cstheme="minorHAnsi"/>
                <w:sz w:val="20"/>
                <w:szCs w:val="20"/>
                <w:lang w:eastAsia="en-AU"/>
              </w:rPr>
              <w:t xml:space="preserve">. </w:t>
            </w:r>
          </w:p>
        </w:tc>
        <w:tc>
          <w:tcPr>
            <w:tcW w:w="4111" w:type="dxa"/>
            <w:tcBorders>
              <w:right w:val="single" w:sz="4" w:space="0" w:color="auto"/>
            </w:tcBorders>
            <w:shd w:val="clear" w:color="auto" w:fill="auto"/>
          </w:tcPr>
          <w:p w:rsidR="00FE5308" w:rsidRPr="00976859" w:rsidRDefault="00DC0518" w:rsidP="00083E98">
            <w:pPr>
              <w:rPr>
                <w:rFonts w:asciiTheme="minorHAnsi" w:hAnsiTheme="minorHAnsi" w:cstheme="minorHAnsi"/>
                <w:sz w:val="20"/>
                <w:szCs w:val="20"/>
              </w:rPr>
            </w:pPr>
            <w:r w:rsidRPr="00976859">
              <w:rPr>
                <w:rFonts w:asciiTheme="minorHAnsi" w:hAnsiTheme="minorHAnsi" w:cstheme="minorHAnsi"/>
                <w:sz w:val="20"/>
                <w:szCs w:val="20"/>
              </w:rPr>
              <w:t xml:space="preserve">DFAT supports designing a Results Assessment Framework </w:t>
            </w:r>
            <w:r w:rsidR="00F5509C" w:rsidRPr="00976859">
              <w:rPr>
                <w:rFonts w:asciiTheme="minorHAnsi" w:hAnsiTheme="minorHAnsi" w:cstheme="minorHAnsi"/>
                <w:sz w:val="20"/>
                <w:szCs w:val="20"/>
              </w:rPr>
              <w:t xml:space="preserve">from the start of TRIANGLE II </w:t>
            </w:r>
            <w:r w:rsidRPr="00976859">
              <w:rPr>
                <w:rFonts w:asciiTheme="minorHAnsi" w:hAnsiTheme="minorHAnsi" w:cstheme="minorHAnsi"/>
                <w:sz w:val="20"/>
                <w:szCs w:val="20"/>
              </w:rPr>
              <w:t>to ensure that project outc</w:t>
            </w:r>
            <w:r w:rsidR="009331CC" w:rsidRPr="00976859">
              <w:rPr>
                <w:rFonts w:asciiTheme="minorHAnsi" w:hAnsiTheme="minorHAnsi" w:cstheme="minorHAnsi"/>
                <w:sz w:val="20"/>
                <w:szCs w:val="20"/>
              </w:rPr>
              <w:t xml:space="preserve">omes can be adequately measured, rather than relying on outputs and activities to assess impact. </w:t>
            </w:r>
          </w:p>
        </w:tc>
        <w:tc>
          <w:tcPr>
            <w:tcW w:w="3827" w:type="dxa"/>
            <w:tcBorders>
              <w:left w:val="single" w:sz="4" w:space="0" w:color="auto"/>
            </w:tcBorders>
            <w:shd w:val="clear" w:color="auto" w:fill="auto"/>
          </w:tcPr>
          <w:p w:rsidR="00F23BE9" w:rsidRPr="00976859" w:rsidRDefault="00083E98" w:rsidP="00083E98">
            <w:pPr>
              <w:rPr>
                <w:rFonts w:asciiTheme="minorHAnsi" w:hAnsiTheme="minorHAnsi" w:cstheme="minorHAnsi"/>
                <w:sz w:val="20"/>
                <w:szCs w:val="20"/>
                <w:highlight w:val="yellow"/>
              </w:rPr>
            </w:pPr>
            <w:r>
              <w:rPr>
                <w:rFonts w:asciiTheme="minorHAnsi" w:hAnsiTheme="minorHAnsi" w:cstheme="minorHAnsi"/>
                <w:sz w:val="20"/>
                <w:szCs w:val="20"/>
              </w:rPr>
              <w:t xml:space="preserve">The ILO is developing a </w:t>
            </w:r>
            <w:r w:rsidR="009331CC" w:rsidRPr="00976859">
              <w:rPr>
                <w:rFonts w:asciiTheme="minorHAnsi" w:hAnsiTheme="minorHAnsi" w:cstheme="minorHAnsi"/>
                <w:sz w:val="20"/>
                <w:szCs w:val="20"/>
              </w:rPr>
              <w:t>performance framework to provide a detailed explanation of the indicators that will be used to guide the project’s data collection and analysis of progress achieved. The framework will include indicators for all levels of results documented in the theory of change, baseline measures (or plans for obtaining them) and targets (including intermediate milestones), data sources to be drawn from, disaggregation of data</w:t>
            </w:r>
            <w:r w:rsidR="00DE2EDA" w:rsidRPr="00976859">
              <w:rPr>
                <w:rFonts w:asciiTheme="minorHAnsi" w:hAnsiTheme="minorHAnsi" w:cstheme="minorHAnsi"/>
                <w:sz w:val="20"/>
                <w:szCs w:val="20"/>
              </w:rPr>
              <w:t xml:space="preserve"> (by sex, location, ethnicity etc)</w:t>
            </w:r>
            <w:r w:rsidR="009331CC" w:rsidRPr="00976859">
              <w:rPr>
                <w:rFonts w:asciiTheme="minorHAnsi" w:hAnsiTheme="minorHAnsi" w:cstheme="minorHAnsi"/>
                <w:sz w:val="20"/>
                <w:szCs w:val="20"/>
              </w:rPr>
              <w:t>, frequency of reporting and responsible parties.</w:t>
            </w:r>
          </w:p>
        </w:tc>
        <w:tc>
          <w:tcPr>
            <w:tcW w:w="1450" w:type="dxa"/>
            <w:tcBorders>
              <w:left w:val="single" w:sz="4" w:space="0" w:color="auto"/>
            </w:tcBorders>
            <w:shd w:val="clear" w:color="auto" w:fill="auto"/>
          </w:tcPr>
          <w:p w:rsidR="00FE5308" w:rsidRPr="00976859" w:rsidRDefault="0033156C" w:rsidP="00976859">
            <w:pPr>
              <w:rPr>
                <w:rFonts w:asciiTheme="minorHAnsi" w:hAnsiTheme="minorHAnsi" w:cstheme="minorHAnsi"/>
                <w:sz w:val="20"/>
                <w:szCs w:val="20"/>
              </w:rPr>
            </w:pPr>
            <w:r w:rsidRPr="00976859">
              <w:rPr>
                <w:rFonts w:asciiTheme="minorHAnsi" w:hAnsiTheme="minorHAnsi" w:cstheme="minorHAnsi"/>
                <w:sz w:val="20"/>
                <w:szCs w:val="20"/>
              </w:rPr>
              <w:t>ILO</w:t>
            </w:r>
          </w:p>
        </w:tc>
      </w:tr>
      <w:tr w:rsidR="00DF50D5" w:rsidRPr="00976859" w:rsidTr="003D0141">
        <w:trPr>
          <w:trHeight w:val="885"/>
        </w:trPr>
        <w:tc>
          <w:tcPr>
            <w:tcW w:w="675" w:type="dxa"/>
          </w:tcPr>
          <w:p w:rsidR="00DF50D5" w:rsidRPr="00976859" w:rsidRDefault="00DF50D5" w:rsidP="00976859">
            <w:pPr>
              <w:jc w:val="center"/>
              <w:rPr>
                <w:rFonts w:asciiTheme="minorHAnsi" w:hAnsiTheme="minorHAnsi" w:cstheme="minorHAnsi"/>
                <w:sz w:val="20"/>
                <w:szCs w:val="20"/>
              </w:rPr>
            </w:pPr>
            <w:r w:rsidRPr="00976859">
              <w:rPr>
                <w:rFonts w:asciiTheme="minorHAnsi" w:hAnsiTheme="minorHAnsi" w:cstheme="minorHAnsi"/>
                <w:sz w:val="20"/>
                <w:szCs w:val="20"/>
              </w:rPr>
              <w:t>9.</w:t>
            </w:r>
          </w:p>
        </w:tc>
        <w:tc>
          <w:tcPr>
            <w:tcW w:w="4111" w:type="dxa"/>
            <w:shd w:val="clear" w:color="auto" w:fill="auto"/>
          </w:tcPr>
          <w:p w:rsidR="0019740C" w:rsidRPr="00976859" w:rsidRDefault="0019740C"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To ensure systematic achievement of positive gender equality outputs and outcomes in the project from its inception, it </w:t>
            </w:r>
            <w:r w:rsidR="00DE2EDA" w:rsidRPr="00976859">
              <w:rPr>
                <w:rFonts w:asciiTheme="minorHAnsi" w:hAnsiTheme="minorHAnsi" w:cstheme="minorHAnsi"/>
                <w:sz w:val="20"/>
                <w:szCs w:val="20"/>
                <w:lang w:eastAsia="en-AU"/>
              </w:rPr>
              <w:t>is recommended that the next phase undertakes the following</w:t>
            </w:r>
            <w:r w:rsidRPr="00976859">
              <w:rPr>
                <w:rFonts w:asciiTheme="minorHAnsi" w:hAnsiTheme="minorHAnsi" w:cstheme="minorHAnsi"/>
                <w:sz w:val="20"/>
                <w:szCs w:val="20"/>
                <w:lang w:eastAsia="en-AU"/>
              </w:rPr>
              <w:t>:</w:t>
            </w:r>
          </w:p>
          <w:p w:rsidR="0019740C"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A specific gender equality strategy</w:t>
            </w:r>
          </w:p>
          <w:p w:rsidR="0019740C"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Systematic collection of sex disaggregated data</w:t>
            </w:r>
          </w:p>
          <w:p w:rsidR="0019740C"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A</w:t>
            </w:r>
            <w:r w:rsidR="004D636F" w:rsidRPr="00976859">
              <w:rPr>
                <w:rFonts w:asciiTheme="minorHAnsi" w:hAnsiTheme="minorHAnsi" w:cstheme="minorHAnsi"/>
                <w:sz w:val="20"/>
                <w:szCs w:val="20"/>
                <w:lang w:eastAsia="en-AU"/>
              </w:rPr>
              <w:t>llocation of specific expertise</w:t>
            </w:r>
            <w:r w:rsidR="00DE2EDA" w:rsidRPr="00976859">
              <w:rPr>
                <w:rFonts w:asciiTheme="minorHAnsi" w:hAnsiTheme="minorHAnsi" w:cstheme="minorHAnsi"/>
                <w:sz w:val="20"/>
                <w:szCs w:val="20"/>
                <w:lang w:eastAsia="en-AU"/>
              </w:rPr>
              <w:t xml:space="preserve"> (internal and external)</w:t>
            </w:r>
            <w:r w:rsidR="004D636F" w:rsidRPr="00976859">
              <w:rPr>
                <w:rFonts w:asciiTheme="minorHAnsi" w:hAnsiTheme="minorHAnsi" w:cstheme="minorHAnsi"/>
                <w:sz w:val="20"/>
                <w:szCs w:val="20"/>
                <w:lang w:eastAsia="en-AU"/>
              </w:rPr>
              <w:t>; and</w:t>
            </w:r>
          </w:p>
          <w:p w:rsidR="007E2324" w:rsidRPr="00976859" w:rsidRDefault="0019740C"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a gender budget </w:t>
            </w:r>
          </w:p>
          <w:p w:rsidR="0003672B" w:rsidRPr="00976859" w:rsidRDefault="0003672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F60B35" w:rsidRPr="00976859" w:rsidRDefault="00F60B35" w:rsidP="00976859">
            <w:pPr>
              <w:autoSpaceDE w:val="0"/>
              <w:autoSpaceDN w:val="0"/>
              <w:adjustRightInd w:val="0"/>
              <w:rPr>
                <w:rFonts w:asciiTheme="minorHAnsi" w:hAnsiTheme="minorHAnsi" w:cstheme="minorHAnsi"/>
                <w:sz w:val="20"/>
                <w:szCs w:val="20"/>
                <w:lang w:eastAsia="en-AU"/>
              </w:rPr>
            </w:pPr>
          </w:p>
          <w:p w:rsidR="00976859" w:rsidRPr="00976859" w:rsidRDefault="00976859" w:rsidP="00976859">
            <w:pPr>
              <w:autoSpaceDE w:val="0"/>
              <w:autoSpaceDN w:val="0"/>
              <w:adjustRightInd w:val="0"/>
              <w:rPr>
                <w:rFonts w:asciiTheme="minorHAnsi" w:hAnsiTheme="minorHAnsi" w:cstheme="minorHAnsi"/>
                <w:sz w:val="20"/>
                <w:szCs w:val="20"/>
                <w:lang w:eastAsia="en-AU"/>
              </w:rPr>
            </w:pPr>
          </w:p>
          <w:p w:rsidR="00422072" w:rsidRPr="00976859" w:rsidRDefault="00422072" w:rsidP="00976859">
            <w:pPr>
              <w:autoSpaceDE w:val="0"/>
              <w:autoSpaceDN w:val="0"/>
              <w:adjustRightInd w:val="0"/>
              <w:rPr>
                <w:rFonts w:asciiTheme="minorHAnsi" w:hAnsiTheme="minorHAnsi" w:cstheme="minorHAnsi"/>
                <w:sz w:val="20"/>
                <w:szCs w:val="20"/>
                <w:lang w:eastAsia="en-AU"/>
              </w:rPr>
            </w:pPr>
          </w:p>
          <w:p w:rsidR="00030501" w:rsidRPr="00976859" w:rsidRDefault="00796252" w:rsidP="00976859">
            <w:pPr>
              <w:autoSpaceDE w:val="0"/>
              <w:autoSpaceDN w:val="0"/>
              <w:adjustRightInd w:val="0"/>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To source gender expertise to complement that provided by the staff of the project and ILO, consider using networks of women’s organisations and unions to identify local gender consultants who speak local languages and have good awareness of cultural issues. </w:t>
            </w:r>
          </w:p>
          <w:p w:rsidR="0038546B" w:rsidRPr="00976859" w:rsidRDefault="0038546B" w:rsidP="00976859">
            <w:pPr>
              <w:autoSpaceDE w:val="0"/>
              <w:autoSpaceDN w:val="0"/>
              <w:adjustRightInd w:val="0"/>
              <w:rPr>
                <w:rFonts w:asciiTheme="minorHAnsi" w:hAnsiTheme="minorHAnsi" w:cstheme="minorHAnsi"/>
                <w:sz w:val="20"/>
                <w:szCs w:val="20"/>
                <w:lang w:eastAsia="en-AU"/>
              </w:rPr>
            </w:pPr>
          </w:p>
          <w:p w:rsidR="0078189E" w:rsidRDefault="0078189E" w:rsidP="00976859">
            <w:pPr>
              <w:rPr>
                <w:rFonts w:asciiTheme="minorHAnsi" w:hAnsiTheme="minorHAnsi" w:cstheme="minorHAnsi"/>
                <w:sz w:val="20"/>
                <w:szCs w:val="20"/>
                <w:lang w:eastAsia="en-AU"/>
              </w:rPr>
            </w:pPr>
          </w:p>
          <w:p w:rsidR="004D636F" w:rsidRPr="00976859" w:rsidRDefault="004D636F" w:rsidP="00976859">
            <w:pPr>
              <w:rPr>
                <w:rFonts w:asciiTheme="minorHAnsi" w:eastAsia="MS Mincho" w:hAnsiTheme="minorHAnsi" w:cstheme="minorHAnsi"/>
                <w:sz w:val="20"/>
                <w:szCs w:val="20"/>
              </w:rPr>
            </w:pPr>
            <w:r w:rsidRPr="00976859">
              <w:rPr>
                <w:rFonts w:asciiTheme="minorHAnsi" w:hAnsiTheme="minorHAnsi" w:cstheme="minorHAnsi"/>
                <w:sz w:val="20"/>
                <w:szCs w:val="20"/>
                <w:lang w:eastAsia="en-AU"/>
              </w:rPr>
              <w:t>For gender equality training of implementing partners, consider developing a gender equality training manual (like the project developed for MRC M&amp;E), and conducting targeted training based on this manual with key implementing partners in the inception phase. Consider engaging local gender experts and local women’s organisations and unions to facilitate this. All Terms of Reference for implementing partners should include a section of gender outcomes expected during delivery of the agreement.</w:t>
            </w:r>
          </w:p>
        </w:tc>
        <w:tc>
          <w:tcPr>
            <w:tcW w:w="4111" w:type="dxa"/>
            <w:tcBorders>
              <w:right w:val="single" w:sz="4" w:space="0" w:color="auto"/>
            </w:tcBorders>
            <w:shd w:val="clear" w:color="auto" w:fill="auto"/>
          </w:tcPr>
          <w:p w:rsidR="00E5693B" w:rsidRPr="00976859" w:rsidRDefault="001C45D4" w:rsidP="00976859">
            <w:pPr>
              <w:rPr>
                <w:rFonts w:asciiTheme="minorHAnsi" w:hAnsiTheme="minorHAnsi" w:cstheme="minorHAnsi"/>
                <w:sz w:val="20"/>
                <w:szCs w:val="20"/>
              </w:rPr>
            </w:pPr>
            <w:r w:rsidRPr="00976859">
              <w:rPr>
                <w:rFonts w:asciiTheme="minorHAnsi" w:hAnsiTheme="minorHAnsi" w:cstheme="minorHAnsi"/>
                <w:sz w:val="20"/>
                <w:szCs w:val="20"/>
              </w:rPr>
              <w:t xml:space="preserve">Gender equality and empowering women and girls is a key investment priority for DFAT. DFAT supports the achievement of gender equality outputs and outcomes consistent with DFAT’s Gender </w:t>
            </w:r>
            <w:r w:rsidR="0033156C" w:rsidRPr="00976859">
              <w:rPr>
                <w:rFonts w:asciiTheme="minorHAnsi" w:hAnsiTheme="minorHAnsi" w:cstheme="minorHAnsi"/>
                <w:sz w:val="20"/>
                <w:szCs w:val="20"/>
              </w:rPr>
              <w:t xml:space="preserve">Equality and Women’s Empowerment </w:t>
            </w:r>
            <w:r w:rsidRPr="00976859">
              <w:rPr>
                <w:rFonts w:asciiTheme="minorHAnsi" w:hAnsiTheme="minorHAnsi" w:cstheme="minorHAnsi"/>
                <w:sz w:val="20"/>
                <w:szCs w:val="20"/>
              </w:rPr>
              <w:t xml:space="preserve">Strategy. In particular, </w:t>
            </w:r>
            <w:r w:rsidR="00FA2151" w:rsidRPr="00976859">
              <w:rPr>
                <w:rFonts w:asciiTheme="minorHAnsi" w:hAnsiTheme="minorHAnsi" w:cstheme="minorHAnsi"/>
                <w:sz w:val="20"/>
                <w:szCs w:val="20"/>
              </w:rPr>
              <w:t>DFAT supports</w:t>
            </w:r>
            <w:r w:rsidR="00186A9B" w:rsidRPr="00976859">
              <w:rPr>
                <w:rFonts w:asciiTheme="minorHAnsi" w:hAnsiTheme="minorHAnsi" w:cstheme="minorHAnsi"/>
                <w:sz w:val="20"/>
                <w:szCs w:val="20"/>
              </w:rPr>
              <w:t>:</w:t>
            </w:r>
            <w:r w:rsidR="00FA2151" w:rsidRPr="00976859">
              <w:rPr>
                <w:rFonts w:asciiTheme="minorHAnsi" w:hAnsiTheme="minorHAnsi" w:cstheme="minorHAnsi"/>
                <w:sz w:val="20"/>
                <w:szCs w:val="20"/>
              </w:rPr>
              <w:t xml:space="preserve"> </w:t>
            </w:r>
          </w:p>
          <w:p w:rsidR="00E5693B" w:rsidRPr="00976859" w:rsidRDefault="004D636F"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the development </w:t>
            </w:r>
            <w:r w:rsidR="0019324B" w:rsidRPr="00976859">
              <w:rPr>
                <w:rFonts w:asciiTheme="minorHAnsi" w:hAnsiTheme="minorHAnsi" w:cstheme="minorHAnsi"/>
                <w:sz w:val="20"/>
                <w:szCs w:val="20"/>
                <w:lang w:eastAsia="en-AU"/>
              </w:rPr>
              <w:t>of a gender strategy</w:t>
            </w:r>
            <w:r w:rsidR="00186A9B" w:rsidRPr="00976859">
              <w:rPr>
                <w:rFonts w:asciiTheme="minorHAnsi" w:hAnsiTheme="minorHAnsi" w:cstheme="minorHAnsi"/>
                <w:sz w:val="20"/>
                <w:szCs w:val="20"/>
                <w:lang w:eastAsia="en-AU"/>
              </w:rPr>
              <w:t xml:space="preserve"> to target approaches and responses to gender equality and women’s empowerment</w:t>
            </w:r>
            <w:r w:rsidR="0019324B" w:rsidRPr="00976859">
              <w:rPr>
                <w:rFonts w:asciiTheme="minorHAnsi" w:hAnsiTheme="minorHAnsi" w:cstheme="minorHAnsi"/>
                <w:sz w:val="20"/>
                <w:szCs w:val="20"/>
                <w:lang w:eastAsia="en-AU"/>
              </w:rPr>
              <w:t>;</w:t>
            </w:r>
            <w:r w:rsidRPr="00976859">
              <w:rPr>
                <w:rFonts w:asciiTheme="minorHAnsi" w:hAnsiTheme="minorHAnsi" w:cstheme="minorHAnsi"/>
                <w:sz w:val="20"/>
                <w:szCs w:val="20"/>
                <w:lang w:eastAsia="en-AU"/>
              </w:rPr>
              <w:t xml:space="preserve"> </w:t>
            </w:r>
          </w:p>
          <w:p w:rsidR="00E5693B" w:rsidRPr="00976859" w:rsidRDefault="004D636F"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the systematic collection of sex disaggregated data</w:t>
            </w:r>
            <w:r w:rsidR="00186A9B" w:rsidRPr="00976859">
              <w:rPr>
                <w:rFonts w:asciiTheme="minorHAnsi" w:hAnsiTheme="minorHAnsi" w:cstheme="minorHAnsi"/>
                <w:sz w:val="20"/>
                <w:szCs w:val="20"/>
                <w:lang w:eastAsia="en-AU"/>
              </w:rPr>
              <w:t>, noting the progress that has been made since the mid-term review of the first phase of TRIANGLE</w:t>
            </w:r>
            <w:r w:rsidRPr="00976859">
              <w:rPr>
                <w:rFonts w:asciiTheme="minorHAnsi" w:hAnsiTheme="minorHAnsi" w:cstheme="minorHAnsi"/>
                <w:sz w:val="20"/>
                <w:szCs w:val="20"/>
                <w:lang w:eastAsia="en-AU"/>
              </w:rPr>
              <w:t xml:space="preserve">; </w:t>
            </w:r>
          </w:p>
          <w:p w:rsidR="00E5693B" w:rsidRPr="00976859" w:rsidRDefault="003D297F"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s</w:t>
            </w:r>
            <w:r w:rsidR="00E5693B" w:rsidRPr="00976859">
              <w:rPr>
                <w:rFonts w:asciiTheme="minorHAnsi" w:hAnsiTheme="minorHAnsi" w:cstheme="minorHAnsi"/>
                <w:sz w:val="20"/>
                <w:szCs w:val="20"/>
                <w:lang w:eastAsia="en-AU"/>
              </w:rPr>
              <w:t xml:space="preserve">trongly recommends that external gender expertise is sourced to supplement the project technical officer with designated responsibility for implementation of the gender strategy, given the explicit emphasis on women’s empowerment in TRIANGLE II </w:t>
            </w:r>
            <w:r w:rsidR="0019324B" w:rsidRPr="00976859">
              <w:rPr>
                <w:rFonts w:asciiTheme="minorHAnsi" w:hAnsiTheme="minorHAnsi" w:cstheme="minorHAnsi"/>
                <w:sz w:val="20"/>
                <w:szCs w:val="20"/>
                <w:lang w:eastAsia="en-AU"/>
              </w:rPr>
              <w:t xml:space="preserve">; </w:t>
            </w:r>
            <w:r w:rsidRPr="00976859">
              <w:rPr>
                <w:rFonts w:asciiTheme="minorHAnsi" w:hAnsiTheme="minorHAnsi" w:cstheme="minorHAnsi"/>
                <w:sz w:val="20"/>
                <w:szCs w:val="20"/>
                <w:lang w:eastAsia="en-AU"/>
              </w:rPr>
              <w:t>and,</w:t>
            </w:r>
          </w:p>
          <w:p w:rsidR="004D636F" w:rsidRPr="00976859" w:rsidRDefault="003D297F" w:rsidP="00976859">
            <w:pPr>
              <w:pStyle w:val="ListParagraph"/>
              <w:numPr>
                <w:ilvl w:val="0"/>
                <w:numId w:val="38"/>
              </w:numPr>
              <w:autoSpaceDE w:val="0"/>
              <w:autoSpaceDN w:val="0"/>
              <w:adjustRightInd w:val="0"/>
              <w:ind w:left="317" w:hanging="283"/>
              <w:rPr>
                <w:rFonts w:asciiTheme="minorHAnsi" w:hAnsiTheme="minorHAnsi" w:cstheme="minorHAnsi"/>
                <w:sz w:val="20"/>
                <w:szCs w:val="20"/>
              </w:rPr>
            </w:pPr>
            <w:r w:rsidRPr="00976859">
              <w:rPr>
                <w:rFonts w:asciiTheme="minorHAnsi" w:hAnsiTheme="minorHAnsi" w:cstheme="minorHAnsi"/>
                <w:sz w:val="20"/>
                <w:szCs w:val="20"/>
                <w:lang w:eastAsia="en-AU"/>
              </w:rPr>
              <w:t>a</w:t>
            </w:r>
            <w:r w:rsidR="004D636F" w:rsidRPr="00976859">
              <w:rPr>
                <w:rFonts w:asciiTheme="minorHAnsi" w:hAnsiTheme="minorHAnsi" w:cstheme="minorHAnsi"/>
                <w:sz w:val="20"/>
                <w:szCs w:val="20"/>
                <w:lang w:eastAsia="en-AU"/>
              </w:rPr>
              <w:t xml:space="preserve"> gender budget</w:t>
            </w:r>
            <w:r w:rsidR="004D636F" w:rsidRPr="00976859">
              <w:rPr>
                <w:rFonts w:asciiTheme="minorHAnsi" w:hAnsiTheme="minorHAnsi" w:cstheme="minorHAnsi"/>
                <w:sz w:val="20"/>
                <w:szCs w:val="20"/>
              </w:rPr>
              <w:t xml:space="preserve"> </w:t>
            </w:r>
            <w:r w:rsidR="00E347D7" w:rsidRPr="00976859">
              <w:rPr>
                <w:rFonts w:asciiTheme="minorHAnsi" w:hAnsiTheme="minorHAnsi" w:cstheme="minorHAnsi"/>
                <w:sz w:val="20"/>
                <w:szCs w:val="20"/>
              </w:rPr>
              <w:t xml:space="preserve">to ensure the adequate implementation of the gender strategy. </w:t>
            </w:r>
          </w:p>
          <w:p w:rsidR="004D636F" w:rsidRPr="00976859" w:rsidRDefault="004D636F"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324BC2" w:rsidRPr="00976859" w:rsidRDefault="004D636F" w:rsidP="00976859">
            <w:pPr>
              <w:rPr>
                <w:rFonts w:asciiTheme="minorHAnsi" w:hAnsiTheme="minorHAnsi" w:cstheme="minorHAnsi"/>
                <w:sz w:val="20"/>
                <w:szCs w:val="20"/>
              </w:rPr>
            </w:pPr>
            <w:r w:rsidRPr="00976859">
              <w:rPr>
                <w:rFonts w:asciiTheme="minorHAnsi" w:hAnsiTheme="minorHAnsi" w:cstheme="minorHAnsi"/>
                <w:sz w:val="20"/>
                <w:szCs w:val="20"/>
              </w:rPr>
              <w:t>DFAT supports building a network of women’s organisations to develop and utilise local expertise in the implementation of the gender strategy. T</w:t>
            </w:r>
            <w:r w:rsidR="00324BC2" w:rsidRPr="00976859">
              <w:rPr>
                <w:rFonts w:asciiTheme="minorHAnsi" w:hAnsiTheme="minorHAnsi" w:cstheme="minorHAnsi"/>
                <w:sz w:val="20"/>
                <w:szCs w:val="20"/>
              </w:rPr>
              <w:t>he role DFAT can play in</w:t>
            </w:r>
            <w:r w:rsidR="00030501" w:rsidRPr="00976859">
              <w:rPr>
                <w:rFonts w:asciiTheme="minorHAnsi" w:hAnsiTheme="minorHAnsi" w:cstheme="minorHAnsi"/>
                <w:sz w:val="20"/>
                <w:szCs w:val="20"/>
              </w:rPr>
              <w:t xml:space="preserve"> convening a </w:t>
            </w:r>
            <w:r w:rsidR="00324BC2" w:rsidRPr="00976859">
              <w:rPr>
                <w:rFonts w:asciiTheme="minorHAnsi" w:hAnsiTheme="minorHAnsi" w:cstheme="minorHAnsi"/>
                <w:sz w:val="20"/>
                <w:szCs w:val="20"/>
              </w:rPr>
              <w:t>dialogue with government partners</w:t>
            </w:r>
            <w:r w:rsidR="00030501" w:rsidRPr="00976859">
              <w:rPr>
                <w:rFonts w:asciiTheme="minorHAnsi" w:hAnsiTheme="minorHAnsi" w:cstheme="minorHAnsi"/>
                <w:sz w:val="20"/>
                <w:szCs w:val="20"/>
              </w:rPr>
              <w:t xml:space="preserve"> (both bilaterally and through regional institutions)</w:t>
            </w:r>
            <w:r w:rsidR="00324BC2" w:rsidRPr="00976859">
              <w:rPr>
                <w:rFonts w:asciiTheme="minorHAnsi" w:hAnsiTheme="minorHAnsi" w:cstheme="minorHAnsi"/>
                <w:sz w:val="20"/>
                <w:szCs w:val="20"/>
              </w:rPr>
              <w:t xml:space="preserve"> on these policy issues</w:t>
            </w:r>
            <w:r w:rsidRPr="00976859">
              <w:rPr>
                <w:rFonts w:asciiTheme="minorHAnsi" w:hAnsiTheme="minorHAnsi" w:cstheme="minorHAnsi"/>
                <w:sz w:val="20"/>
                <w:szCs w:val="20"/>
              </w:rPr>
              <w:t xml:space="preserve"> should also be considered</w:t>
            </w:r>
            <w:r w:rsidR="00324BC2" w:rsidRPr="00976859">
              <w:rPr>
                <w:rFonts w:asciiTheme="minorHAnsi" w:hAnsiTheme="minorHAnsi" w:cstheme="minorHAnsi"/>
                <w:sz w:val="20"/>
                <w:szCs w:val="20"/>
              </w:rPr>
              <w:t>.</w:t>
            </w:r>
          </w:p>
          <w:p w:rsidR="001B3B1D" w:rsidRPr="00976859" w:rsidRDefault="001B3B1D" w:rsidP="00976859">
            <w:pPr>
              <w:rPr>
                <w:rFonts w:asciiTheme="minorHAnsi" w:hAnsiTheme="minorHAnsi" w:cstheme="minorHAnsi"/>
                <w:sz w:val="20"/>
                <w:szCs w:val="20"/>
              </w:rPr>
            </w:pPr>
          </w:p>
          <w:p w:rsidR="00976859" w:rsidRPr="00976859" w:rsidRDefault="00E5693B" w:rsidP="00976859">
            <w:pPr>
              <w:rPr>
                <w:rFonts w:asciiTheme="minorHAnsi" w:hAnsiTheme="minorHAnsi" w:cstheme="minorHAnsi"/>
                <w:sz w:val="20"/>
                <w:szCs w:val="20"/>
              </w:rPr>
            </w:pPr>
            <w:r w:rsidRPr="00976859">
              <w:rPr>
                <w:rFonts w:asciiTheme="minorHAnsi" w:hAnsiTheme="minorHAnsi" w:cstheme="minorHAnsi"/>
                <w:sz w:val="20"/>
                <w:szCs w:val="20"/>
              </w:rPr>
              <w:t xml:space="preserve">DFAT does not consider it essential for there to be a gender equality training manual if a gender strategy is developed, and accountability for its implementation is included in the M&amp;E Framework. It is likely to be more useful to integrate a gender module or component within the standard training packages already used by the project. </w:t>
            </w:r>
            <w:r w:rsidR="00AE2F1F" w:rsidRPr="00976859">
              <w:rPr>
                <w:rFonts w:asciiTheme="minorHAnsi" w:hAnsiTheme="minorHAnsi" w:cstheme="minorHAnsi"/>
                <w:sz w:val="20"/>
                <w:szCs w:val="20"/>
              </w:rPr>
              <w:t>In addition to the Terms of Reference (TOR) for implementing partners, the ToR for external technical consultants should include a sector on expectations in relation to analysis, outcomes and reporting on gender issues.</w:t>
            </w:r>
          </w:p>
          <w:p w:rsidR="00976859" w:rsidRPr="00976859" w:rsidRDefault="00976859" w:rsidP="00976859">
            <w:pPr>
              <w:rPr>
                <w:rFonts w:asciiTheme="minorHAnsi" w:hAnsiTheme="minorHAnsi" w:cstheme="minorHAnsi"/>
                <w:sz w:val="20"/>
                <w:szCs w:val="20"/>
              </w:rPr>
            </w:pPr>
          </w:p>
          <w:p w:rsidR="00976859" w:rsidRPr="00976859" w:rsidRDefault="00976859" w:rsidP="00976859">
            <w:pPr>
              <w:rPr>
                <w:rFonts w:asciiTheme="minorHAnsi" w:hAnsiTheme="minorHAnsi" w:cstheme="minorHAnsi"/>
                <w:sz w:val="20"/>
                <w:szCs w:val="20"/>
              </w:rPr>
            </w:pPr>
          </w:p>
          <w:p w:rsidR="001B3B1D" w:rsidRPr="00976859" w:rsidRDefault="00AE2F1F" w:rsidP="00976859">
            <w:pPr>
              <w:rPr>
                <w:rFonts w:asciiTheme="minorHAnsi" w:hAnsiTheme="minorHAnsi" w:cstheme="minorHAnsi"/>
                <w:sz w:val="20"/>
                <w:szCs w:val="20"/>
              </w:rPr>
            </w:pPr>
            <w:r w:rsidRPr="00976859">
              <w:rPr>
                <w:rFonts w:asciiTheme="minorHAnsi" w:hAnsiTheme="minorHAnsi" w:cstheme="minorHAnsi"/>
                <w:sz w:val="20"/>
                <w:szCs w:val="20"/>
              </w:rPr>
              <w:t xml:space="preserve"> </w:t>
            </w:r>
          </w:p>
        </w:tc>
        <w:tc>
          <w:tcPr>
            <w:tcW w:w="3827" w:type="dxa"/>
            <w:tcBorders>
              <w:left w:val="single" w:sz="4" w:space="0" w:color="auto"/>
            </w:tcBorders>
            <w:shd w:val="clear" w:color="auto" w:fill="auto"/>
          </w:tcPr>
          <w:p w:rsidR="001629C5" w:rsidRPr="00976859" w:rsidRDefault="00884A68"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The design of TRIANGLE II identified gender equality </w:t>
            </w:r>
            <w:r w:rsidR="009A333A" w:rsidRPr="00976859">
              <w:rPr>
                <w:rFonts w:asciiTheme="minorHAnsi" w:hAnsiTheme="minorHAnsi" w:cstheme="minorHAnsi"/>
                <w:sz w:val="20"/>
                <w:szCs w:val="20"/>
                <w:lang w:eastAsia="en-AU"/>
              </w:rPr>
              <w:t>and women’s economic empowerment</w:t>
            </w:r>
            <w:r w:rsidRPr="00976859">
              <w:rPr>
                <w:rFonts w:asciiTheme="minorHAnsi" w:hAnsiTheme="minorHAnsi" w:cstheme="minorHAnsi"/>
                <w:sz w:val="20"/>
                <w:szCs w:val="20"/>
                <w:lang w:eastAsia="en-AU"/>
              </w:rPr>
              <w:t xml:space="preserve"> as a cross cutting issue</w:t>
            </w:r>
            <w:r w:rsidR="00030501" w:rsidRPr="00976859">
              <w:rPr>
                <w:rFonts w:asciiTheme="minorHAnsi" w:hAnsiTheme="minorHAnsi" w:cstheme="minorHAnsi"/>
                <w:sz w:val="20"/>
                <w:szCs w:val="20"/>
                <w:lang w:eastAsia="en-AU"/>
              </w:rPr>
              <w:t>, including at the highest level of the program’s outcomes</w:t>
            </w:r>
            <w:r w:rsidR="009A333A" w:rsidRPr="00976859">
              <w:rPr>
                <w:rFonts w:asciiTheme="minorHAnsi" w:hAnsiTheme="minorHAnsi" w:cstheme="minorHAnsi"/>
                <w:sz w:val="20"/>
                <w:szCs w:val="20"/>
                <w:lang w:eastAsia="en-AU"/>
              </w:rPr>
              <w:t>. A strategy will be developed, in consultation with DFAT.</w:t>
            </w:r>
            <w:r w:rsidR="00030501" w:rsidRPr="00976859">
              <w:rPr>
                <w:rFonts w:asciiTheme="minorHAnsi" w:hAnsiTheme="minorHAnsi" w:cstheme="minorHAnsi"/>
                <w:sz w:val="20"/>
                <w:szCs w:val="20"/>
                <w:lang w:eastAsia="en-AU"/>
              </w:rPr>
              <w:t xml:space="preserve"> </w:t>
            </w:r>
          </w:p>
          <w:p w:rsidR="00F60B35" w:rsidRPr="00976859" w:rsidRDefault="000C28FB"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Sex disaggregated data will continue to be collected using similar methodology as in GMS TRIANGLE, including beneficiary sheets (for Migrant Worker Resource Centre beneficiaries) and sign-in sheets for training participants. This sex disaggregated data will be the key component in gender analysis of project performance and impact. </w:t>
            </w:r>
          </w:p>
          <w:p w:rsidR="00F60B35" w:rsidRPr="00976859" w:rsidRDefault="000C28FB"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 xml:space="preserve">Gender expertise will be provided internally through the project Technical Officers (who have significant gender experience) and backstopped by the Gender Specialist from the ILO Regional Office Decent Work Team. </w:t>
            </w:r>
          </w:p>
          <w:p w:rsidR="00F60B35" w:rsidRPr="00976859" w:rsidRDefault="000C28FB" w:rsidP="00976859">
            <w:pPr>
              <w:pStyle w:val="ListParagraph"/>
              <w:numPr>
                <w:ilvl w:val="0"/>
                <w:numId w:val="38"/>
              </w:numPr>
              <w:autoSpaceDE w:val="0"/>
              <w:autoSpaceDN w:val="0"/>
              <w:adjustRightInd w:val="0"/>
              <w:ind w:left="317" w:hanging="283"/>
              <w:rPr>
                <w:rFonts w:asciiTheme="minorHAnsi" w:hAnsiTheme="minorHAnsi" w:cstheme="minorHAnsi"/>
                <w:sz w:val="20"/>
                <w:szCs w:val="20"/>
                <w:lang w:eastAsia="en-AU"/>
              </w:rPr>
            </w:pPr>
            <w:r w:rsidRPr="00976859">
              <w:rPr>
                <w:rFonts w:asciiTheme="minorHAnsi" w:hAnsiTheme="minorHAnsi" w:cstheme="minorHAnsi"/>
                <w:sz w:val="20"/>
                <w:szCs w:val="20"/>
                <w:lang w:eastAsia="en-AU"/>
              </w:rPr>
              <w:t>Budget permitting, an external gender consultant will be considered for a proposed 25 days annually on a needs basis, including especially around reporting periods and specific monitoring and evaluation activities. The broader gender budget will be dependent on finalised levels of funding and efforts will be made to streamline programming with related gende</w:t>
            </w:r>
            <w:r w:rsidR="00F60B35" w:rsidRPr="00976859">
              <w:rPr>
                <w:rFonts w:asciiTheme="minorHAnsi" w:hAnsiTheme="minorHAnsi" w:cstheme="minorHAnsi"/>
                <w:sz w:val="20"/>
                <w:szCs w:val="20"/>
                <w:lang w:eastAsia="en-AU"/>
              </w:rPr>
              <w:t xml:space="preserve">r programs, including UN Women. Accountability for adequately resourced and effective implementation of the strategy will be enshrined in the Results Assessment Framework. </w:t>
            </w: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r w:rsidRPr="00976859">
              <w:rPr>
                <w:rFonts w:asciiTheme="minorHAnsi" w:hAnsiTheme="minorHAnsi" w:cstheme="minorHAnsi"/>
                <w:sz w:val="20"/>
                <w:szCs w:val="20"/>
              </w:rPr>
              <w:t xml:space="preserve">Local gender networks will be engaged throughout the implementation of TRIANGLE II in civil society networks and advocacy efforts, including being utilised to identity local gender experts, trainers and consultants when required. </w:t>
            </w:r>
          </w:p>
          <w:p w:rsidR="00F60B35" w:rsidRPr="00976859" w:rsidRDefault="00F60B35" w:rsidP="00976859">
            <w:pPr>
              <w:rPr>
                <w:rFonts w:asciiTheme="minorHAnsi" w:hAnsiTheme="minorHAnsi" w:cstheme="minorHAnsi"/>
                <w:sz w:val="20"/>
                <w:szCs w:val="20"/>
              </w:rPr>
            </w:pPr>
          </w:p>
          <w:p w:rsidR="00F60B35" w:rsidRPr="00976859" w:rsidRDefault="00F60B35" w:rsidP="00976859">
            <w:pPr>
              <w:rPr>
                <w:rFonts w:asciiTheme="minorHAnsi" w:hAnsiTheme="minorHAnsi" w:cstheme="minorHAnsi"/>
                <w:sz w:val="20"/>
                <w:szCs w:val="20"/>
              </w:rPr>
            </w:pPr>
          </w:p>
          <w:p w:rsidR="00467EC9" w:rsidRPr="00976859" w:rsidRDefault="00F60B35" w:rsidP="00976859">
            <w:pPr>
              <w:rPr>
                <w:rFonts w:asciiTheme="minorHAnsi" w:hAnsiTheme="minorHAnsi" w:cstheme="minorHAnsi"/>
                <w:sz w:val="20"/>
                <w:szCs w:val="20"/>
              </w:rPr>
            </w:pPr>
            <w:r w:rsidRPr="00976859">
              <w:rPr>
                <w:rFonts w:asciiTheme="minorHAnsi" w:hAnsiTheme="minorHAnsi" w:cstheme="minorHAnsi"/>
                <w:sz w:val="20"/>
                <w:szCs w:val="20"/>
              </w:rPr>
              <w:t xml:space="preserve">The project will draw from existing gender equality training manuals from ILO and UN Women (and possibly other partners), and tailor training programmes to constituent needs using these resources. </w:t>
            </w:r>
            <w:r w:rsidR="000C28FB" w:rsidRPr="00976859">
              <w:rPr>
                <w:rFonts w:asciiTheme="minorHAnsi" w:hAnsiTheme="minorHAnsi" w:cstheme="minorHAnsi"/>
                <w:sz w:val="20"/>
                <w:szCs w:val="20"/>
              </w:rPr>
              <w:t xml:space="preserve">Terms of Reference </w:t>
            </w:r>
            <w:r w:rsidR="00F85C48" w:rsidRPr="00976859">
              <w:rPr>
                <w:rFonts w:asciiTheme="minorHAnsi" w:hAnsiTheme="minorHAnsi" w:cstheme="minorHAnsi"/>
                <w:sz w:val="20"/>
                <w:szCs w:val="20"/>
              </w:rPr>
              <w:t xml:space="preserve">for implementing partners, especially Migrant Worker Resource Centre service providers, </w:t>
            </w:r>
            <w:r w:rsidR="000C28FB" w:rsidRPr="00976859">
              <w:rPr>
                <w:rFonts w:asciiTheme="minorHAnsi" w:hAnsiTheme="minorHAnsi" w:cstheme="minorHAnsi"/>
                <w:sz w:val="20"/>
                <w:szCs w:val="20"/>
              </w:rPr>
              <w:t xml:space="preserve">will include a section on gender outcomes expected during the delivery of the agreement, as suggested by TRIANGLE project staff. </w:t>
            </w:r>
            <w:r w:rsidR="00F85C48" w:rsidRPr="00976859">
              <w:rPr>
                <w:rFonts w:asciiTheme="minorHAnsi" w:hAnsiTheme="minorHAnsi" w:cstheme="minorHAnsi"/>
                <w:sz w:val="20"/>
                <w:szCs w:val="20"/>
              </w:rPr>
              <w:t xml:space="preserve">This section will become part of the binding agreement between the ILO and the implementing partner and be subject to regular contracting arrangements. </w:t>
            </w:r>
          </w:p>
          <w:p w:rsidR="00976859" w:rsidRPr="00976859" w:rsidRDefault="00976859" w:rsidP="00976859">
            <w:pPr>
              <w:rPr>
                <w:rFonts w:asciiTheme="minorHAnsi" w:hAnsiTheme="minorHAnsi" w:cstheme="minorHAnsi"/>
                <w:sz w:val="20"/>
                <w:szCs w:val="20"/>
              </w:rPr>
            </w:pPr>
            <w:r w:rsidRPr="00976859">
              <w:rPr>
                <w:rFonts w:asciiTheme="minorHAnsi" w:hAnsiTheme="minorHAnsi" w:cstheme="minorHAnsi"/>
                <w:sz w:val="20"/>
                <w:szCs w:val="20"/>
              </w:rPr>
              <w:t xml:space="preserve"> </w:t>
            </w:r>
          </w:p>
        </w:tc>
        <w:tc>
          <w:tcPr>
            <w:tcW w:w="1450" w:type="dxa"/>
            <w:tcBorders>
              <w:left w:val="single" w:sz="4" w:space="0" w:color="auto"/>
            </w:tcBorders>
            <w:shd w:val="clear" w:color="auto" w:fill="auto"/>
          </w:tcPr>
          <w:p w:rsidR="00DF50D5" w:rsidRPr="00976859" w:rsidRDefault="0033156C" w:rsidP="00976859">
            <w:pPr>
              <w:rPr>
                <w:rFonts w:asciiTheme="minorHAnsi" w:hAnsiTheme="minorHAnsi" w:cstheme="minorHAnsi"/>
                <w:sz w:val="20"/>
                <w:szCs w:val="20"/>
              </w:rPr>
            </w:pPr>
            <w:r w:rsidRPr="00976859">
              <w:rPr>
                <w:rFonts w:asciiTheme="minorHAnsi" w:hAnsiTheme="minorHAnsi" w:cstheme="minorHAnsi"/>
                <w:sz w:val="20"/>
                <w:szCs w:val="20"/>
              </w:rPr>
              <w:t>ILO</w:t>
            </w:r>
          </w:p>
        </w:tc>
      </w:tr>
    </w:tbl>
    <w:p w:rsidR="0050617C" w:rsidRDefault="0050617C" w:rsidP="00976859">
      <w:pPr>
        <w:jc w:val="both"/>
        <w:rPr>
          <w:rFonts w:asciiTheme="minorHAnsi" w:hAnsiTheme="minorHAnsi" w:cstheme="minorHAnsi"/>
          <w:sz w:val="22"/>
          <w:szCs w:val="22"/>
        </w:rPr>
      </w:pPr>
    </w:p>
    <w:sectPr w:rsidR="0050617C" w:rsidSect="0019740C">
      <w:pgSz w:w="16838" w:h="11906" w:orient="landscape"/>
      <w:pgMar w:top="1080" w:right="1440" w:bottom="108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A03B4" w15:done="0"/>
  <w15:commentEx w15:paraId="2A31F09C" w15:paraIdParent="07BA03B4" w15:done="0"/>
  <w15:commentEx w15:paraId="062CB688" w15:done="0"/>
  <w15:commentEx w15:paraId="7C634456" w15:done="0"/>
  <w15:commentEx w15:paraId="1E3D6C10" w15:done="0"/>
  <w15:commentEx w15:paraId="79E0CA63" w15:done="0"/>
  <w15:commentEx w15:paraId="3B76D66A" w15:done="0"/>
  <w15:commentEx w15:paraId="4463AF3C" w15:done="0"/>
  <w15:commentEx w15:paraId="07419BA5" w15:done="0"/>
  <w15:commentEx w15:paraId="46D0F10D" w15:paraIdParent="07419BA5" w15:done="0"/>
  <w15:commentEx w15:paraId="7AFCBAEA" w15:done="0"/>
  <w15:commentEx w15:paraId="0AB436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8E" w:rsidRDefault="00AE528E" w:rsidP="00B35749">
      <w:r>
        <w:separator/>
      </w:r>
    </w:p>
  </w:endnote>
  <w:endnote w:type="continuationSeparator" w:id="0">
    <w:p w:rsidR="00AE528E" w:rsidRDefault="00AE528E" w:rsidP="00B3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F3" w:rsidRDefault="00945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803239"/>
      <w:docPartObj>
        <w:docPartGallery w:val="Page Numbers (Bottom of Page)"/>
        <w:docPartUnique/>
      </w:docPartObj>
    </w:sdtPr>
    <w:sdtEndPr>
      <w:rPr>
        <w:rFonts w:asciiTheme="minorHAnsi" w:hAnsiTheme="minorHAnsi" w:cstheme="minorHAnsi"/>
        <w:noProof/>
        <w:sz w:val="22"/>
        <w:szCs w:val="22"/>
      </w:rPr>
    </w:sdtEndPr>
    <w:sdtContent>
      <w:p w:rsidR="00404750" w:rsidRPr="0061624A" w:rsidRDefault="00404750">
        <w:pPr>
          <w:pStyle w:val="Footer"/>
          <w:jc w:val="right"/>
          <w:rPr>
            <w:rFonts w:asciiTheme="minorHAnsi" w:hAnsiTheme="minorHAnsi" w:cstheme="minorHAnsi"/>
            <w:sz w:val="22"/>
            <w:szCs w:val="22"/>
          </w:rPr>
        </w:pPr>
        <w:r w:rsidRPr="0061624A">
          <w:rPr>
            <w:rFonts w:asciiTheme="minorHAnsi" w:hAnsiTheme="minorHAnsi" w:cstheme="minorHAnsi"/>
            <w:sz w:val="22"/>
            <w:szCs w:val="22"/>
          </w:rPr>
          <w:fldChar w:fldCharType="begin"/>
        </w:r>
        <w:r w:rsidRPr="0061624A">
          <w:rPr>
            <w:rFonts w:asciiTheme="minorHAnsi" w:hAnsiTheme="minorHAnsi" w:cstheme="minorHAnsi"/>
            <w:sz w:val="22"/>
            <w:szCs w:val="22"/>
          </w:rPr>
          <w:instrText xml:space="preserve"> PAGE   \* MERGEFORMAT </w:instrText>
        </w:r>
        <w:r w:rsidRPr="0061624A">
          <w:rPr>
            <w:rFonts w:asciiTheme="minorHAnsi" w:hAnsiTheme="minorHAnsi" w:cstheme="minorHAnsi"/>
            <w:sz w:val="22"/>
            <w:szCs w:val="22"/>
          </w:rPr>
          <w:fldChar w:fldCharType="separate"/>
        </w:r>
        <w:r w:rsidR="009459F3">
          <w:rPr>
            <w:rFonts w:asciiTheme="minorHAnsi" w:hAnsiTheme="minorHAnsi" w:cstheme="minorHAnsi"/>
            <w:noProof/>
            <w:sz w:val="22"/>
            <w:szCs w:val="22"/>
          </w:rPr>
          <w:t>1</w:t>
        </w:r>
        <w:r w:rsidRPr="0061624A">
          <w:rPr>
            <w:rFonts w:asciiTheme="minorHAnsi" w:hAnsiTheme="minorHAnsi" w:cstheme="minorHAnsi"/>
            <w:noProof/>
            <w:sz w:val="22"/>
            <w:szCs w:val="22"/>
          </w:rPr>
          <w:fldChar w:fldCharType="end"/>
        </w:r>
      </w:p>
    </w:sdtContent>
  </w:sdt>
  <w:p w:rsidR="00404750" w:rsidRDefault="00404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F3" w:rsidRDefault="00945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8E" w:rsidRDefault="00AE528E" w:rsidP="00B35749">
      <w:r>
        <w:separator/>
      </w:r>
    </w:p>
  </w:footnote>
  <w:footnote w:type="continuationSeparator" w:id="0">
    <w:p w:rsidR="00AE528E" w:rsidRDefault="00AE528E" w:rsidP="00B35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F3" w:rsidRDefault="00945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F3" w:rsidRDefault="00945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F3" w:rsidRDefault="00945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903"/>
    <w:multiLevelType w:val="hybridMultilevel"/>
    <w:tmpl w:val="8CB222C2"/>
    <w:lvl w:ilvl="0" w:tplc="B172DFAA">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E1522B"/>
    <w:multiLevelType w:val="hybridMultilevel"/>
    <w:tmpl w:val="A9F6F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8225CD"/>
    <w:multiLevelType w:val="hybridMultilevel"/>
    <w:tmpl w:val="C5B68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0843D6"/>
    <w:multiLevelType w:val="hybridMultilevel"/>
    <w:tmpl w:val="4130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5C69FF"/>
    <w:multiLevelType w:val="hybridMultilevel"/>
    <w:tmpl w:val="5D3E8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93949A0"/>
    <w:multiLevelType w:val="hybridMultilevel"/>
    <w:tmpl w:val="7D2A475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A6E1CF1"/>
    <w:multiLevelType w:val="hybridMultilevel"/>
    <w:tmpl w:val="E8FCAA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D0A3C7A"/>
    <w:multiLevelType w:val="multilevel"/>
    <w:tmpl w:val="254089C8"/>
    <w:lvl w:ilvl="0">
      <w:start w:val="1"/>
      <w:numFmt w:val="bullet"/>
      <w:lvlText w:val=""/>
      <w:lvlJc w:val="left"/>
      <w:pPr>
        <w:tabs>
          <w:tab w:val="num" w:pos="454"/>
        </w:tabs>
        <w:ind w:left="454" w:hanging="227"/>
      </w:pPr>
      <w:rPr>
        <w:rFonts w:ascii="Symbol" w:hAnsi="Symbol" w:cs="Mang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794F9B"/>
    <w:multiLevelType w:val="hybridMultilevel"/>
    <w:tmpl w:val="6A14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363982"/>
    <w:multiLevelType w:val="hybridMultilevel"/>
    <w:tmpl w:val="EEA6FA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745209"/>
    <w:multiLevelType w:val="hybridMultilevel"/>
    <w:tmpl w:val="C9F8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8D1182"/>
    <w:multiLevelType w:val="hybridMultilevel"/>
    <w:tmpl w:val="BC023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A94BBF"/>
    <w:multiLevelType w:val="hybridMultilevel"/>
    <w:tmpl w:val="2F8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B5B9A"/>
    <w:multiLevelType w:val="hybridMultilevel"/>
    <w:tmpl w:val="8FB6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877331"/>
    <w:multiLevelType w:val="hybridMultilevel"/>
    <w:tmpl w:val="D86C5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46D7208"/>
    <w:multiLevelType w:val="hybridMultilevel"/>
    <w:tmpl w:val="6E74AF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6E4042"/>
    <w:multiLevelType w:val="hybridMultilevel"/>
    <w:tmpl w:val="70002F40"/>
    <w:lvl w:ilvl="0" w:tplc="135064C0">
      <w:start w:val="1"/>
      <w:numFmt w:val="bullet"/>
      <w:lvlText w:val=""/>
      <w:lvlJc w:val="left"/>
      <w:pPr>
        <w:ind w:left="1179" w:hanging="360"/>
      </w:pPr>
      <w:rPr>
        <w:rFonts w:ascii="Symbol" w:hAnsi="Symbol" w:cs="Symbol" w:hint="default"/>
        <w:color w:val="auto"/>
        <w:sz w:val="22"/>
        <w:szCs w:val="32"/>
        <w:shd w:val="pct15" w:color="auto" w:fill="FFFFFF"/>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7">
    <w:nsid w:val="42F614BF"/>
    <w:multiLevelType w:val="hybridMultilevel"/>
    <w:tmpl w:val="54F00E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nsid w:val="43073192"/>
    <w:multiLevelType w:val="hybridMultilevel"/>
    <w:tmpl w:val="BF66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853E21"/>
    <w:multiLevelType w:val="hybridMultilevel"/>
    <w:tmpl w:val="4B50D4F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81D46E1"/>
    <w:multiLevelType w:val="hybridMultilevel"/>
    <w:tmpl w:val="F0C0A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917470D"/>
    <w:multiLevelType w:val="hybridMultilevel"/>
    <w:tmpl w:val="0E16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216951"/>
    <w:multiLevelType w:val="hybridMultilevel"/>
    <w:tmpl w:val="18DC212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C352987"/>
    <w:multiLevelType w:val="hybridMultilevel"/>
    <w:tmpl w:val="C0480788"/>
    <w:lvl w:ilvl="0" w:tplc="211A4E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3004BF"/>
    <w:multiLevelType w:val="hybridMultilevel"/>
    <w:tmpl w:val="9DB00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F4054A2"/>
    <w:multiLevelType w:val="hybridMultilevel"/>
    <w:tmpl w:val="21EE1F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013716C"/>
    <w:multiLevelType w:val="hybridMultilevel"/>
    <w:tmpl w:val="4F10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9C3290"/>
    <w:multiLevelType w:val="hybridMultilevel"/>
    <w:tmpl w:val="2AF2E230"/>
    <w:lvl w:ilvl="0" w:tplc="E85EFA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1B3406"/>
    <w:multiLevelType w:val="hybridMultilevel"/>
    <w:tmpl w:val="7EEC9BB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9E8499B"/>
    <w:multiLevelType w:val="hybridMultilevel"/>
    <w:tmpl w:val="1E7252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7F62CC"/>
    <w:multiLevelType w:val="multilevel"/>
    <w:tmpl w:val="7E0C13D2"/>
    <w:styleLink w:val="1stlevelbulleted11pt"/>
    <w:lvl w:ilvl="0">
      <w:start w:val="1"/>
      <w:numFmt w:val="bullet"/>
      <w:pStyle w:val="HRF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766B7B"/>
    <w:multiLevelType w:val="hybridMultilevel"/>
    <w:tmpl w:val="7ED2D22E"/>
    <w:lvl w:ilvl="0" w:tplc="BA107A5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C567759"/>
    <w:multiLevelType w:val="multilevel"/>
    <w:tmpl w:val="EBDE4010"/>
    <w:lvl w:ilvl="0">
      <w:start w:val="1"/>
      <w:numFmt w:val="bullet"/>
      <w:lvlText w:val=""/>
      <w:lvlJc w:val="left"/>
      <w:pPr>
        <w:tabs>
          <w:tab w:val="num" w:pos="454"/>
        </w:tabs>
        <w:ind w:left="454" w:hanging="227"/>
      </w:pPr>
      <w:rPr>
        <w:rFonts w:ascii="Symbol" w:hAnsi="Symbol" w:cs="Mangal"/>
        <w:sz w:val="22"/>
        <w:szCs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DD67A4B"/>
    <w:multiLevelType w:val="hybridMultilevel"/>
    <w:tmpl w:val="D21E6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9F0C72"/>
    <w:multiLevelType w:val="hybridMultilevel"/>
    <w:tmpl w:val="43CEB4D2"/>
    <w:lvl w:ilvl="0" w:tplc="E676F212">
      <w:start w:val="1"/>
      <w:numFmt w:val="decimal"/>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nsid w:val="6EDF34D6"/>
    <w:multiLevelType w:val="multilevel"/>
    <w:tmpl w:val="64F46F9E"/>
    <w:lvl w:ilvl="0">
      <w:start w:val="1"/>
      <w:numFmt w:val="bullet"/>
      <w:lvlText w:val=""/>
      <w:lvlJc w:val="left"/>
      <w:pPr>
        <w:tabs>
          <w:tab w:val="num" w:pos="454"/>
        </w:tabs>
        <w:ind w:left="454" w:hanging="227"/>
      </w:pPr>
      <w:rPr>
        <w:rFonts w:ascii="Symbol" w:hAnsi="Symbol" w:cs="Mangal"/>
        <w:sz w:val="22"/>
        <w:szCs w:val="22"/>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FBF3501"/>
    <w:multiLevelType w:val="hybridMultilevel"/>
    <w:tmpl w:val="4B1CC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A80D00"/>
    <w:multiLevelType w:val="hybridMultilevel"/>
    <w:tmpl w:val="C8CE052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FD029A"/>
    <w:multiLevelType w:val="hybridMultilevel"/>
    <w:tmpl w:val="D5D25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A764CA"/>
    <w:multiLevelType w:val="hybridMultilevel"/>
    <w:tmpl w:val="9E0A5D0E"/>
    <w:lvl w:ilvl="0" w:tplc="0C09000F">
      <w:start w:val="1"/>
      <w:numFmt w:val="decimal"/>
      <w:lvlText w:val="%1."/>
      <w:lvlJc w:val="left"/>
      <w:pPr>
        <w:ind w:left="927" w:hanging="360"/>
      </w:pPr>
      <w:rPr>
        <w:rFonts w:hint="default"/>
      </w:rPr>
    </w:lvl>
    <w:lvl w:ilvl="1" w:tplc="616AAF44">
      <w:start w:val="1"/>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nsid w:val="7AAA14C3"/>
    <w:multiLevelType w:val="hybridMultilevel"/>
    <w:tmpl w:val="9188B23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C0D4FF0"/>
    <w:multiLevelType w:val="hybridMultilevel"/>
    <w:tmpl w:val="33964C26"/>
    <w:lvl w:ilvl="0" w:tplc="E676F21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nsid w:val="7CAD5AB4"/>
    <w:multiLevelType w:val="hybridMultilevel"/>
    <w:tmpl w:val="6E74AF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2B2B5E"/>
    <w:multiLevelType w:val="hybridMultilevel"/>
    <w:tmpl w:val="BAF60DB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43"/>
  </w:num>
  <w:num w:numId="3">
    <w:abstractNumId w:val="4"/>
  </w:num>
  <w:num w:numId="4">
    <w:abstractNumId w:val="33"/>
  </w:num>
  <w:num w:numId="5">
    <w:abstractNumId w:val="7"/>
  </w:num>
  <w:num w:numId="6">
    <w:abstractNumId w:val="36"/>
  </w:num>
  <w:num w:numId="7">
    <w:abstractNumId w:val="31"/>
  </w:num>
  <w:num w:numId="8">
    <w:abstractNumId w:val="25"/>
  </w:num>
  <w:num w:numId="9">
    <w:abstractNumId w:val="17"/>
  </w:num>
  <w:num w:numId="10">
    <w:abstractNumId w:val="21"/>
  </w:num>
  <w:num w:numId="11">
    <w:abstractNumId w:val="27"/>
  </w:num>
  <w:num w:numId="12">
    <w:abstractNumId w:val="40"/>
  </w:num>
  <w:num w:numId="13">
    <w:abstractNumId w:val="42"/>
  </w:num>
  <w:num w:numId="14">
    <w:abstractNumId w:val="35"/>
  </w:num>
  <w:num w:numId="15">
    <w:abstractNumId w:val="1"/>
  </w:num>
  <w:num w:numId="16">
    <w:abstractNumId w:val="29"/>
  </w:num>
  <w:num w:numId="17">
    <w:abstractNumId w:val="41"/>
  </w:num>
  <w:num w:numId="18">
    <w:abstractNumId w:val="19"/>
  </w:num>
  <w:num w:numId="19">
    <w:abstractNumId w:val="26"/>
  </w:num>
  <w:num w:numId="20">
    <w:abstractNumId w:val="0"/>
  </w:num>
  <w:num w:numId="21">
    <w:abstractNumId w:val="6"/>
  </w:num>
  <w:num w:numId="22">
    <w:abstractNumId w:val="23"/>
  </w:num>
  <w:num w:numId="23">
    <w:abstractNumId w:val="5"/>
  </w:num>
  <w:num w:numId="24">
    <w:abstractNumId w:val="44"/>
  </w:num>
  <w:num w:numId="25">
    <w:abstractNumId w:val="38"/>
  </w:num>
  <w:num w:numId="26">
    <w:abstractNumId w:val="30"/>
  </w:num>
  <w:num w:numId="27">
    <w:abstractNumId w:val="28"/>
  </w:num>
  <w:num w:numId="28">
    <w:abstractNumId w:val="37"/>
  </w:num>
  <w:num w:numId="29">
    <w:abstractNumId w:val="2"/>
  </w:num>
  <w:num w:numId="30">
    <w:abstractNumId w:val="11"/>
  </w:num>
  <w:num w:numId="31">
    <w:abstractNumId w:val="13"/>
  </w:num>
  <w:num w:numId="32">
    <w:abstractNumId w:val="12"/>
  </w:num>
  <w:num w:numId="33">
    <w:abstractNumId w:val="16"/>
  </w:num>
  <w:num w:numId="34">
    <w:abstractNumId w:val="20"/>
  </w:num>
  <w:num w:numId="35">
    <w:abstractNumId w:val="9"/>
  </w:num>
  <w:num w:numId="36">
    <w:abstractNumId w:val="39"/>
  </w:num>
  <w:num w:numId="37">
    <w:abstractNumId w:val="18"/>
  </w:num>
  <w:num w:numId="38">
    <w:abstractNumId w:val="10"/>
  </w:num>
  <w:num w:numId="39">
    <w:abstractNumId w:val="24"/>
  </w:num>
  <w:num w:numId="40">
    <w:abstractNumId w:val="32"/>
  </w:num>
  <w:num w:numId="41">
    <w:abstractNumId w:val="14"/>
  </w:num>
  <w:num w:numId="42">
    <w:abstractNumId w:val="8"/>
  </w:num>
  <w:num w:numId="43">
    <w:abstractNumId w:val="22"/>
  </w:num>
  <w:num w:numId="44">
    <w:abstractNumId w:val="3"/>
  </w:num>
  <w:num w:numId="4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en, Anna">
    <w15:presenceInfo w15:providerId="AD" w15:userId="S-1-5-21-525788414-1921020387-24915789-24552"/>
  </w15:person>
  <w15:person w15:author="Tunon, Max">
    <w15:presenceInfo w15:providerId="AD" w15:userId="S-1-5-21-525788414-1921020387-24915789-24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49"/>
    <w:rsid w:val="000049B9"/>
    <w:rsid w:val="00010821"/>
    <w:rsid w:val="00013FD9"/>
    <w:rsid w:val="00023118"/>
    <w:rsid w:val="00030501"/>
    <w:rsid w:val="0003237E"/>
    <w:rsid w:val="0003672B"/>
    <w:rsid w:val="00043028"/>
    <w:rsid w:val="0004367D"/>
    <w:rsid w:val="00044E9E"/>
    <w:rsid w:val="000502C0"/>
    <w:rsid w:val="000535AD"/>
    <w:rsid w:val="000555CE"/>
    <w:rsid w:val="0006767D"/>
    <w:rsid w:val="00072ED4"/>
    <w:rsid w:val="00073EB3"/>
    <w:rsid w:val="00075AE7"/>
    <w:rsid w:val="000770EB"/>
    <w:rsid w:val="00083E98"/>
    <w:rsid w:val="0008707C"/>
    <w:rsid w:val="00091DE6"/>
    <w:rsid w:val="00094C6F"/>
    <w:rsid w:val="000A5DA7"/>
    <w:rsid w:val="000B7531"/>
    <w:rsid w:val="000C28FB"/>
    <w:rsid w:val="000C37A1"/>
    <w:rsid w:val="000C3E46"/>
    <w:rsid w:val="000C6701"/>
    <w:rsid w:val="000C6777"/>
    <w:rsid w:val="000D4E40"/>
    <w:rsid w:val="000D6672"/>
    <w:rsid w:val="000E074C"/>
    <w:rsid w:val="000E722F"/>
    <w:rsid w:val="000E7AD0"/>
    <w:rsid w:val="001017CA"/>
    <w:rsid w:val="00102730"/>
    <w:rsid w:val="00107325"/>
    <w:rsid w:val="001243E2"/>
    <w:rsid w:val="001249E7"/>
    <w:rsid w:val="00143A3D"/>
    <w:rsid w:val="00145C53"/>
    <w:rsid w:val="00153502"/>
    <w:rsid w:val="001629C5"/>
    <w:rsid w:val="00164021"/>
    <w:rsid w:val="00165105"/>
    <w:rsid w:val="00165FD1"/>
    <w:rsid w:val="00167F40"/>
    <w:rsid w:val="001714C9"/>
    <w:rsid w:val="0018235C"/>
    <w:rsid w:val="00185BB7"/>
    <w:rsid w:val="00185C9A"/>
    <w:rsid w:val="00185E1C"/>
    <w:rsid w:val="0018647A"/>
    <w:rsid w:val="00186A9B"/>
    <w:rsid w:val="0019324B"/>
    <w:rsid w:val="0019429F"/>
    <w:rsid w:val="00196438"/>
    <w:rsid w:val="0019740C"/>
    <w:rsid w:val="001A1839"/>
    <w:rsid w:val="001B3B1D"/>
    <w:rsid w:val="001B48D8"/>
    <w:rsid w:val="001C3160"/>
    <w:rsid w:val="001C45D4"/>
    <w:rsid w:val="001D6356"/>
    <w:rsid w:val="001E2C6A"/>
    <w:rsid w:val="001F4966"/>
    <w:rsid w:val="00236D93"/>
    <w:rsid w:val="0024547B"/>
    <w:rsid w:val="00254A42"/>
    <w:rsid w:val="00262044"/>
    <w:rsid w:val="00273898"/>
    <w:rsid w:val="002740BE"/>
    <w:rsid w:val="00290138"/>
    <w:rsid w:val="00290F5D"/>
    <w:rsid w:val="002B5733"/>
    <w:rsid w:val="002B6214"/>
    <w:rsid w:val="002C0074"/>
    <w:rsid w:val="002D316D"/>
    <w:rsid w:val="002E21A7"/>
    <w:rsid w:val="002E5B9B"/>
    <w:rsid w:val="00303644"/>
    <w:rsid w:val="003050E1"/>
    <w:rsid w:val="00310D8C"/>
    <w:rsid w:val="003110C6"/>
    <w:rsid w:val="003161EF"/>
    <w:rsid w:val="00324B9B"/>
    <w:rsid w:val="00324BC2"/>
    <w:rsid w:val="0033156C"/>
    <w:rsid w:val="003445F6"/>
    <w:rsid w:val="00344A74"/>
    <w:rsid w:val="00347171"/>
    <w:rsid w:val="00351334"/>
    <w:rsid w:val="00362E5E"/>
    <w:rsid w:val="00377EC1"/>
    <w:rsid w:val="00384614"/>
    <w:rsid w:val="0038546B"/>
    <w:rsid w:val="003874E9"/>
    <w:rsid w:val="003B6DB4"/>
    <w:rsid w:val="003D0141"/>
    <w:rsid w:val="003D297F"/>
    <w:rsid w:val="003D3150"/>
    <w:rsid w:val="003E44D2"/>
    <w:rsid w:val="00402BE5"/>
    <w:rsid w:val="00404750"/>
    <w:rsid w:val="0040583D"/>
    <w:rsid w:val="00410C72"/>
    <w:rsid w:val="00412F45"/>
    <w:rsid w:val="004132A4"/>
    <w:rsid w:val="004213DA"/>
    <w:rsid w:val="00422072"/>
    <w:rsid w:val="004303CA"/>
    <w:rsid w:val="00433BC3"/>
    <w:rsid w:val="00450775"/>
    <w:rsid w:val="004559D2"/>
    <w:rsid w:val="004617D1"/>
    <w:rsid w:val="00462B12"/>
    <w:rsid w:val="00467EC9"/>
    <w:rsid w:val="00470829"/>
    <w:rsid w:val="004730CD"/>
    <w:rsid w:val="004763B5"/>
    <w:rsid w:val="004810FD"/>
    <w:rsid w:val="00485C16"/>
    <w:rsid w:val="00487493"/>
    <w:rsid w:val="004904B4"/>
    <w:rsid w:val="00495228"/>
    <w:rsid w:val="004979FF"/>
    <w:rsid w:val="004A73D2"/>
    <w:rsid w:val="004A7767"/>
    <w:rsid w:val="004B4083"/>
    <w:rsid w:val="004D3834"/>
    <w:rsid w:val="004D4567"/>
    <w:rsid w:val="004D636F"/>
    <w:rsid w:val="004E5C6D"/>
    <w:rsid w:val="004F121D"/>
    <w:rsid w:val="0050617C"/>
    <w:rsid w:val="005109C1"/>
    <w:rsid w:val="005213F6"/>
    <w:rsid w:val="00530F13"/>
    <w:rsid w:val="00536509"/>
    <w:rsid w:val="00536998"/>
    <w:rsid w:val="005431AC"/>
    <w:rsid w:val="00560132"/>
    <w:rsid w:val="005724B8"/>
    <w:rsid w:val="00573937"/>
    <w:rsid w:val="0058482C"/>
    <w:rsid w:val="005A3FB3"/>
    <w:rsid w:val="005A464B"/>
    <w:rsid w:val="005B7DED"/>
    <w:rsid w:val="005C3D38"/>
    <w:rsid w:val="005C437A"/>
    <w:rsid w:val="005C637D"/>
    <w:rsid w:val="005D5322"/>
    <w:rsid w:val="005F77E1"/>
    <w:rsid w:val="00601934"/>
    <w:rsid w:val="00614E2E"/>
    <w:rsid w:val="0061624A"/>
    <w:rsid w:val="006166DC"/>
    <w:rsid w:val="0061696F"/>
    <w:rsid w:val="00633E7A"/>
    <w:rsid w:val="0063525C"/>
    <w:rsid w:val="0065062F"/>
    <w:rsid w:val="00660EE1"/>
    <w:rsid w:val="0066502B"/>
    <w:rsid w:val="0068152C"/>
    <w:rsid w:val="00691180"/>
    <w:rsid w:val="00695844"/>
    <w:rsid w:val="006A57D0"/>
    <w:rsid w:val="006A668F"/>
    <w:rsid w:val="006E1A06"/>
    <w:rsid w:val="00700315"/>
    <w:rsid w:val="00700813"/>
    <w:rsid w:val="00726C28"/>
    <w:rsid w:val="00730728"/>
    <w:rsid w:val="00740478"/>
    <w:rsid w:val="00742ACC"/>
    <w:rsid w:val="0076691D"/>
    <w:rsid w:val="0078189E"/>
    <w:rsid w:val="00784CD3"/>
    <w:rsid w:val="00794D92"/>
    <w:rsid w:val="00796252"/>
    <w:rsid w:val="007A6B50"/>
    <w:rsid w:val="007A7C2D"/>
    <w:rsid w:val="007B3233"/>
    <w:rsid w:val="007B3DDE"/>
    <w:rsid w:val="007C0A90"/>
    <w:rsid w:val="007C4CC4"/>
    <w:rsid w:val="007C67F6"/>
    <w:rsid w:val="007D3D13"/>
    <w:rsid w:val="007D41F6"/>
    <w:rsid w:val="007D7464"/>
    <w:rsid w:val="007E1CD7"/>
    <w:rsid w:val="007E2324"/>
    <w:rsid w:val="007E34B7"/>
    <w:rsid w:val="007E5822"/>
    <w:rsid w:val="007E6632"/>
    <w:rsid w:val="007F31F4"/>
    <w:rsid w:val="007F5ADA"/>
    <w:rsid w:val="007F6184"/>
    <w:rsid w:val="008023F6"/>
    <w:rsid w:val="00806766"/>
    <w:rsid w:val="00810F84"/>
    <w:rsid w:val="00824014"/>
    <w:rsid w:val="00824BFB"/>
    <w:rsid w:val="00824D0E"/>
    <w:rsid w:val="00853D31"/>
    <w:rsid w:val="00854E6E"/>
    <w:rsid w:val="008627C4"/>
    <w:rsid w:val="0086519D"/>
    <w:rsid w:val="00867168"/>
    <w:rsid w:val="00872C83"/>
    <w:rsid w:val="008752AB"/>
    <w:rsid w:val="00881F58"/>
    <w:rsid w:val="00882677"/>
    <w:rsid w:val="00884A68"/>
    <w:rsid w:val="00887550"/>
    <w:rsid w:val="008A7AD2"/>
    <w:rsid w:val="008A7BAF"/>
    <w:rsid w:val="00911D03"/>
    <w:rsid w:val="00913F38"/>
    <w:rsid w:val="00916566"/>
    <w:rsid w:val="00925F49"/>
    <w:rsid w:val="009331CC"/>
    <w:rsid w:val="00934DB6"/>
    <w:rsid w:val="00934FC1"/>
    <w:rsid w:val="00940F2D"/>
    <w:rsid w:val="0094330D"/>
    <w:rsid w:val="009459F3"/>
    <w:rsid w:val="00952ED4"/>
    <w:rsid w:val="00955079"/>
    <w:rsid w:val="00976859"/>
    <w:rsid w:val="00981A8F"/>
    <w:rsid w:val="00983E53"/>
    <w:rsid w:val="00984B02"/>
    <w:rsid w:val="00997C6B"/>
    <w:rsid w:val="009A333A"/>
    <w:rsid w:val="009D1037"/>
    <w:rsid w:val="009D2C0F"/>
    <w:rsid w:val="009F5DF7"/>
    <w:rsid w:val="00A0103E"/>
    <w:rsid w:val="00A0255D"/>
    <w:rsid w:val="00A102D3"/>
    <w:rsid w:val="00A14383"/>
    <w:rsid w:val="00A174B1"/>
    <w:rsid w:val="00A23566"/>
    <w:rsid w:val="00A3203F"/>
    <w:rsid w:val="00A333F1"/>
    <w:rsid w:val="00A34239"/>
    <w:rsid w:val="00A44A4F"/>
    <w:rsid w:val="00A4625A"/>
    <w:rsid w:val="00A46CCB"/>
    <w:rsid w:val="00A60B61"/>
    <w:rsid w:val="00A63BFB"/>
    <w:rsid w:val="00A75B5D"/>
    <w:rsid w:val="00A96437"/>
    <w:rsid w:val="00A976DD"/>
    <w:rsid w:val="00A97EE1"/>
    <w:rsid w:val="00AA020F"/>
    <w:rsid w:val="00AA6F1C"/>
    <w:rsid w:val="00AC5993"/>
    <w:rsid w:val="00AC643F"/>
    <w:rsid w:val="00AD6050"/>
    <w:rsid w:val="00AE2F1F"/>
    <w:rsid w:val="00AE528E"/>
    <w:rsid w:val="00AF2302"/>
    <w:rsid w:val="00B24628"/>
    <w:rsid w:val="00B3410A"/>
    <w:rsid w:val="00B35749"/>
    <w:rsid w:val="00B45D3A"/>
    <w:rsid w:val="00B62778"/>
    <w:rsid w:val="00B644BE"/>
    <w:rsid w:val="00B776B8"/>
    <w:rsid w:val="00B87F5E"/>
    <w:rsid w:val="00B92C81"/>
    <w:rsid w:val="00BA04DC"/>
    <w:rsid w:val="00BA4CA4"/>
    <w:rsid w:val="00BC74C5"/>
    <w:rsid w:val="00BD1339"/>
    <w:rsid w:val="00BD1534"/>
    <w:rsid w:val="00BD1661"/>
    <w:rsid w:val="00BD6E67"/>
    <w:rsid w:val="00BD6ED1"/>
    <w:rsid w:val="00BF4687"/>
    <w:rsid w:val="00C02FAD"/>
    <w:rsid w:val="00C07B2F"/>
    <w:rsid w:val="00C17DEB"/>
    <w:rsid w:val="00C3119D"/>
    <w:rsid w:val="00C32D65"/>
    <w:rsid w:val="00C35004"/>
    <w:rsid w:val="00C5592D"/>
    <w:rsid w:val="00C619F2"/>
    <w:rsid w:val="00C63A5F"/>
    <w:rsid w:val="00C64998"/>
    <w:rsid w:val="00C90D60"/>
    <w:rsid w:val="00C95E63"/>
    <w:rsid w:val="00CA1422"/>
    <w:rsid w:val="00CA3B48"/>
    <w:rsid w:val="00CA4B13"/>
    <w:rsid w:val="00CB1348"/>
    <w:rsid w:val="00CB3102"/>
    <w:rsid w:val="00CB6B67"/>
    <w:rsid w:val="00CC5517"/>
    <w:rsid w:val="00CF33D8"/>
    <w:rsid w:val="00D0060F"/>
    <w:rsid w:val="00D0280A"/>
    <w:rsid w:val="00D03DA8"/>
    <w:rsid w:val="00D044B0"/>
    <w:rsid w:val="00D0652D"/>
    <w:rsid w:val="00D20597"/>
    <w:rsid w:val="00D31D56"/>
    <w:rsid w:val="00D37D0E"/>
    <w:rsid w:val="00D43A12"/>
    <w:rsid w:val="00D464BE"/>
    <w:rsid w:val="00D50E54"/>
    <w:rsid w:val="00D53123"/>
    <w:rsid w:val="00D623C2"/>
    <w:rsid w:val="00D63BC9"/>
    <w:rsid w:val="00D64185"/>
    <w:rsid w:val="00D81320"/>
    <w:rsid w:val="00D85C18"/>
    <w:rsid w:val="00D87428"/>
    <w:rsid w:val="00DA3F4E"/>
    <w:rsid w:val="00DC0518"/>
    <w:rsid w:val="00DC4039"/>
    <w:rsid w:val="00DC7532"/>
    <w:rsid w:val="00DD4F22"/>
    <w:rsid w:val="00DE2EDA"/>
    <w:rsid w:val="00DF1FFF"/>
    <w:rsid w:val="00DF50D5"/>
    <w:rsid w:val="00E02A83"/>
    <w:rsid w:val="00E24012"/>
    <w:rsid w:val="00E26AA1"/>
    <w:rsid w:val="00E26B3F"/>
    <w:rsid w:val="00E347D7"/>
    <w:rsid w:val="00E3566D"/>
    <w:rsid w:val="00E50891"/>
    <w:rsid w:val="00E5693B"/>
    <w:rsid w:val="00E57860"/>
    <w:rsid w:val="00E67698"/>
    <w:rsid w:val="00E71AC2"/>
    <w:rsid w:val="00E7595C"/>
    <w:rsid w:val="00E807FD"/>
    <w:rsid w:val="00E81A42"/>
    <w:rsid w:val="00E925BD"/>
    <w:rsid w:val="00E9678D"/>
    <w:rsid w:val="00EA0E25"/>
    <w:rsid w:val="00EA52C6"/>
    <w:rsid w:val="00EC3049"/>
    <w:rsid w:val="00EC7B79"/>
    <w:rsid w:val="00EE752A"/>
    <w:rsid w:val="00EF236B"/>
    <w:rsid w:val="00F10F7E"/>
    <w:rsid w:val="00F23BE9"/>
    <w:rsid w:val="00F24E55"/>
    <w:rsid w:val="00F25D6F"/>
    <w:rsid w:val="00F36F11"/>
    <w:rsid w:val="00F46D07"/>
    <w:rsid w:val="00F53464"/>
    <w:rsid w:val="00F5509C"/>
    <w:rsid w:val="00F60B35"/>
    <w:rsid w:val="00F63E7C"/>
    <w:rsid w:val="00F666D3"/>
    <w:rsid w:val="00F71A71"/>
    <w:rsid w:val="00F72472"/>
    <w:rsid w:val="00F827A1"/>
    <w:rsid w:val="00F83AE7"/>
    <w:rsid w:val="00F85C48"/>
    <w:rsid w:val="00F917E7"/>
    <w:rsid w:val="00F953EB"/>
    <w:rsid w:val="00FA2151"/>
    <w:rsid w:val="00FB3577"/>
    <w:rsid w:val="00FB68AC"/>
    <w:rsid w:val="00FC5DE4"/>
    <w:rsid w:val="00FD0C18"/>
    <w:rsid w:val="00FD2F66"/>
    <w:rsid w:val="00FE5308"/>
    <w:rsid w:val="00FE62CE"/>
    <w:rsid w:val="00FF561E"/>
    <w:rsid w:val="00FF7C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66"/>
    <w:rPr>
      <w:sz w:val="24"/>
      <w:szCs w:val="24"/>
      <w:lang w:eastAsia="en-US"/>
    </w:rPr>
  </w:style>
  <w:style w:type="paragraph" w:styleId="Heading1">
    <w:name w:val="heading 1"/>
    <w:basedOn w:val="Normal"/>
    <w:next w:val="Normal"/>
    <w:link w:val="Heading1Char"/>
    <w:qFormat/>
    <w:rsid w:val="004E5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E5C6D"/>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5749"/>
    <w:pPr>
      <w:tabs>
        <w:tab w:val="center" w:pos="4513"/>
        <w:tab w:val="right" w:pos="9026"/>
      </w:tabs>
    </w:pPr>
  </w:style>
  <w:style w:type="character" w:customStyle="1" w:styleId="HeaderChar">
    <w:name w:val="Header Char"/>
    <w:basedOn w:val="DefaultParagraphFont"/>
    <w:link w:val="Header"/>
    <w:rsid w:val="00B35749"/>
    <w:rPr>
      <w:sz w:val="24"/>
      <w:szCs w:val="24"/>
      <w:lang w:eastAsia="en-US"/>
    </w:rPr>
  </w:style>
  <w:style w:type="paragraph" w:styleId="Footer">
    <w:name w:val="footer"/>
    <w:basedOn w:val="Normal"/>
    <w:link w:val="FooterChar"/>
    <w:uiPriority w:val="99"/>
    <w:rsid w:val="00B35749"/>
    <w:pPr>
      <w:tabs>
        <w:tab w:val="center" w:pos="4513"/>
        <w:tab w:val="right" w:pos="9026"/>
      </w:tabs>
    </w:pPr>
  </w:style>
  <w:style w:type="character" w:customStyle="1" w:styleId="FooterChar">
    <w:name w:val="Footer Char"/>
    <w:basedOn w:val="DefaultParagraphFont"/>
    <w:link w:val="Footer"/>
    <w:uiPriority w:val="99"/>
    <w:rsid w:val="00B35749"/>
    <w:rPr>
      <w:sz w:val="24"/>
      <w:szCs w:val="24"/>
      <w:lang w:eastAsia="en-US"/>
    </w:rPr>
  </w:style>
  <w:style w:type="paragraph" w:styleId="ListParagraph">
    <w:name w:val="List Paragraph"/>
    <w:basedOn w:val="Normal"/>
    <w:link w:val="ListParagraphChar"/>
    <w:uiPriority w:val="34"/>
    <w:qFormat/>
    <w:rsid w:val="00B35749"/>
    <w:pPr>
      <w:ind w:left="720"/>
      <w:contextualSpacing/>
    </w:pPr>
  </w:style>
  <w:style w:type="paragraph" w:customStyle="1" w:styleId="HRFHeading4">
    <w:name w:val="HRF Heading 4"/>
    <w:basedOn w:val="Normal"/>
    <w:rsid w:val="002B5733"/>
    <w:pPr>
      <w:spacing w:after="120"/>
      <w:jc w:val="both"/>
    </w:pPr>
    <w:rPr>
      <w:rFonts w:ascii="Arial" w:hAnsi="Arial" w:cs="Mangal"/>
      <w:b/>
      <w:i/>
      <w:sz w:val="22"/>
      <w:lang w:val="en-GB" w:eastAsia="en-GB" w:bidi="hi-IN"/>
    </w:rPr>
  </w:style>
  <w:style w:type="character" w:customStyle="1" w:styleId="HRFBulletChar">
    <w:name w:val="HRF Bullet Char"/>
    <w:basedOn w:val="DefaultParagraphFont"/>
    <w:link w:val="HRFBullet"/>
    <w:locked/>
    <w:rsid w:val="002B5733"/>
    <w:rPr>
      <w:rFonts w:ascii="Arial" w:hAnsi="Arial" w:cs="Mangal"/>
      <w:sz w:val="22"/>
      <w:lang w:val="en-GB" w:eastAsia="en-GB" w:bidi="hi-IN"/>
    </w:rPr>
  </w:style>
  <w:style w:type="paragraph" w:customStyle="1" w:styleId="HRFBullet">
    <w:name w:val="HRF Bullet"/>
    <w:basedOn w:val="Normal"/>
    <w:link w:val="HRFBulletChar"/>
    <w:qFormat/>
    <w:rsid w:val="002B5733"/>
    <w:pPr>
      <w:numPr>
        <w:numId w:val="7"/>
      </w:numPr>
      <w:spacing w:after="120"/>
      <w:jc w:val="both"/>
    </w:pPr>
    <w:rPr>
      <w:rFonts w:ascii="Arial" w:hAnsi="Arial" w:cs="Mangal"/>
      <w:sz w:val="22"/>
      <w:szCs w:val="20"/>
      <w:lang w:val="en-GB" w:eastAsia="en-GB" w:bidi="hi-IN"/>
    </w:rPr>
  </w:style>
  <w:style w:type="numbering" w:customStyle="1" w:styleId="1stlevelbulleted11pt">
    <w:name w:val="1st level bulleted 11 pt"/>
    <w:rsid w:val="002B5733"/>
    <w:pPr>
      <w:numPr>
        <w:numId w:val="7"/>
      </w:numPr>
    </w:pPr>
  </w:style>
  <w:style w:type="paragraph" w:customStyle="1" w:styleId="Boxtitle">
    <w:name w:val="Box title"/>
    <w:basedOn w:val="Normal"/>
    <w:qFormat/>
    <w:rsid w:val="002B5733"/>
    <w:pPr>
      <w:spacing w:after="120"/>
      <w:jc w:val="both"/>
    </w:pPr>
    <w:rPr>
      <w:rFonts w:ascii="Arial" w:hAnsi="Arial" w:cs="Mangal"/>
      <w:b/>
      <w:bCs/>
      <w:color w:val="1B3A59"/>
      <w:sz w:val="22"/>
      <w:lang w:val="en-GB" w:eastAsia="en-GB" w:bidi="hi-IN"/>
    </w:rPr>
  </w:style>
  <w:style w:type="character" w:styleId="CommentReference">
    <w:name w:val="annotation reference"/>
    <w:basedOn w:val="DefaultParagraphFont"/>
    <w:rsid w:val="00185BB7"/>
    <w:rPr>
      <w:sz w:val="16"/>
      <w:szCs w:val="16"/>
    </w:rPr>
  </w:style>
  <w:style w:type="paragraph" w:styleId="CommentText">
    <w:name w:val="annotation text"/>
    <w:basedOn w:val="Normal"/>
    <w:link w:val="CommentTextChar"/>
    <w:uiPriority w:val="99"/>
    <w:rsid w:val="00185BB7"/>
    <w:rPr>
      <w:sz w:val="20"/>
      <w:szCs w:val="20"/>
    </w:rPr>
  </w:style>
  <w:style w:type="character" w:customStyle="1" w:styleId="CommentTextChar">
    <w:name w:val="Comment Text Char"/>
    <w:basedOn w:val="DefaultParagraphFont"/>
    <w:link w:val="CommentText"/>
    <w:uiPriority w:val="99"/>
    <w:rsid w:val="00185BB7"/>
    <w:rPr>
      <w:lang w:eastAsia="en-US"/>
    </w:rPr>
  </w:style>
  <w:style w:type="paragraph" w:styleId="CommentSubject">
    <w:name w:val="annotation subject"/>
    <w:basedOn w:val="CommentText"/>
    <w:next w:val="CommentText"/>
    <w:link w:val="CommentSubjectChar"/>
    <w:rsid w:val="00185BB7"/>
    <w:rPr>
      <w:b/>
      <w:bCs/>
    </w:rPr>
  </w:style>
  <w:style w:type="character" w:customStyle="1" w:styleId="CommentSubjectChar">
    <w:name w:val="Comment Subject Char"/>
    <w:basedOn w:val="CommentTextChar"/>
    <w:link w:val="CommentSubject"/>
    <w:rsid w:val="00185BB7"/>
    <w:rPr>
      <w:b/>
      <w:bCs/>
      <w:lang w:eastAsia="en-US"/>
    </w:rPr>
  </w:style>
  <w:style w:type="paragraph" w:styleId="BalloonText">
    <w:name w:val="Balloon Text"/>
    <w:basedOn w:val="Normal"/>
    <w:link w:val="BalloonTextChar"/>
    <w:rsid w:val="00185BB7"/>
    <w:rPr>
      <w:rFonts w:ascii="Tahoma" w:hAnsi="Tahoma" w:cs="Tahoma"/>
      <w:sz w:val="16"/>
      <w:szCs w:val="16"/>
    </w:rPr>
  </w:style>
  <w:style w:type="character" w:customStyle="1" w:styleId="BalloonTextChar">
    <w:name w:val="Balloon Text Char"/>
    <w:basedOn w:val="DefaultParagraphFont"/>
    <w:link w:val="BalloonText"/>
    <w:rsid w:val="00185BB7"/>
    <w:rPr>
      <w:rFonts w:ascii="Tahoma" w:hAnsi="Tahoma" w:cs="Tahoma"/>
      <w:sz w:val="16"/>
      <w:szCs w:val="16"/>
      <w:lang w:eastAsia="en-US"/>
    </w:rPr>
  </w:style>
  <w:style w:type="table" w:styleId="TableGrid">
    <w:name w:val="Table Grid"/>
    <w:basedOn w:val="TableNormal"/>
    <w:rsid w:val="00D3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stlevelbulleted11pt1">
    <w:name w:val="1st level bulleted 11 pt1"/>
    <w:rsid w:val="00E81A42"/>
  </w:style>
  <w:style w:type="numbering" w:customStyle="1" w:styleId="1stlevelbulleted11pt2">
    <w:name w:val="1st level bulleted 11 pt2"/>
    <w:rsid w:val="0018647A"/>
  </w:style>
  <w:style w:type="paragraph" w:styleId="Revision">
    <w:name w:val="Revision"/>
    <w:hidden/>
    <w:uiPriority w:val="99"/>
    <w:semiHidden/>
    <w:rsid w:val="00A3203F"/>
    <w:rPr>
      <w:sz w:val="24"/>
      <w:szCs w:val="24"/>
      <w:lang w:eastAsia="en-US"/>
    </w:rPr>
  </w:style>
  <w:style w:type="character" w:customStyle="1" w:styleId="Heading2Char">
    <w:name w:val="Heading 2 Char"/>
    <w:basedOn w:val="DefaultParagraphFont"/>
    <w:link w:val="Heading2"/>
    <w:rsid w:val="004E5C6D"/>
    <w:rPr>
      <w:rFonts w:ascii="Arial" w:hAnsi="Arial" w:cs="Arial"/>
      <w:b/>
      <w:iCs/>
      <w:sz w:val="24"/>
      <w:szCs w:val="22"/>
    </w:rPr>
  </w:style>
  <w:style w:type="character" w:customStyle="1" w:styleId="Heading1Char">
    <w:name w:val="Heading 1 Char"/>
    <w:basedOn w:val="DefaultParagraphFont"/>
    <w:link w:val="Heading1"/>
    <w:rsid w:val="004E5C6D"/>
    <w:rPr>
      <w:rFonts w:asciiTheme="majorHAnsi" w:eastAsiaTheme="majorEastAsia" w:hAnsiTheme="majorHAnsi" w:cstheme="majorBidi"/>
      <w:b/>
      <w:bCs/>
      <w:color w:val="365F91" w:themeColor="accent1" w:themeShade="BF"/>
      <w:sz w:val="28"/>
      <w:szCs w:val="28"/>
      <w:lang w:eastAsia="en-US"/>
    </w:rPr>
  </w:style>
  <w:style w:type="numbering" w:customStyle="1" w:styleId="1stlevelbulleted11pt3">
    <w:name w:val="1st level bulleted 11 pt3"/>
    <w:rsid w:val="00BD1534"/>
  </w:style>
  <w:style w:type="paragraph" w:customStyle="1" w:styleId="List-bullet-2">
    <w:name w:val="List-bullet-2"/>
    <w:basedOn w:val="Normal"/>
    <w:rsid w:val="00A174B1"/>
    <w:pPr>
      <w:numPr>
        <w:numId w:val="34"/>
      </w:numPr>
      <w:spacing w:before="80"/>
    </w:pPr>
    <w:rPr>
      <w:rFonts w:ascii="Arial" w:hAnsi="Arial" w:cs="Arial"/>
      <w:sz w:val="20"/>
      <w:szCs w:val="22"/>
      <w:lang w:val="en-US"/>
    </w:rPr>
  </w:style>
  <w:style w:type="paragraph" w:customStyle="1" w:styleId="BodytextQAI">
    <w:name w:val="Body text QAI"/>
    <w:basedOn w:val="Normal"/>
    <w:uiPriority w:val="99"/>
    <w:rsid w:val="00A174B1"/>
    <w:pPr>
      <w:spacing w:before="60" w:after="120"/>
      <w:jc w:val="both"/>
    </w:pPr>
    <w:rPr>
      <w:rFonts w:ascii="Arial" w:hAnsi="Arial"/>
      <w:sz w:val="16"/>
      <w:szCs w:val="16"/>
    </w:rPr>
  </w:style>
  <w:style w:type="character" w:customStyle="1" w:styleId="ListParagraphChar">
    <w:name w:val="List Paragraph Char"/>
    <w:link w:val="ListParagraph"/>
    <w:uiPriority w:val="34"/>
    <w:locked/>
    <w:rsid w:val="0015350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66"/>
    <w:rPr>
      <w:sz w:val="24"/>
      <w:szCs w:val="24"/>
      <w:lang w:eastAsia="en-US"/>
    </w:rPr>
  </w:style>
  <w:style w:type="paragraph" w:styleId="Heading1">
    <w:name w:val="heading 1"/>
    <w:basedOn w:val="Normal"/>
    <w:next w:val="Normal"/>
    <w:link w:val="Heading1Char"/>
    <w:qFormat/>
    <w:rsid w:val="004E5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E5C6D"/>
    <w:pPr>
      <w:keepLines w:val="0"/>
      <w:spacing w:before="240" w:after="60"/>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5749"/>
    <w:pPr>
      <w:tabs>
        <w:tab w:val="center" w:pos="4513"/>
        <w:tab w:val="right" w:pos="9026"/>
      </w:tabs>
    </w:pPr>
  </w:style>
  <w:style w:type="character" w:customStyle="1" w:styleId="HeaderChar">
    <w:name w:val="Header Char"/>
    <w:basedOn w:val="DefaultParagraphFont"/>
    <w:link w:val="Header"/>
    <w:rsid w:val="00B35749"/>
    <w:rPr>
      <w:sz w:val="24"/>
      <w:szCs w:val="24"/>
      <w:lang w:eastAsia="en-US"/>
    </w:rPr>
  </w:style>
  <w:style w:type="paragraph" w:styleId="Footer">
    <w:name w:val="footer"/>
    <w:basedOn w:val="Normal"/>
    <w:link w:val="FooterChar"/>
    <w:uiPriority w:val="99"/>
    <w:rsid w:val="00B35749"/>
    <w:pPr>
      <w:tabs>
        <w:tab w:val="center" w:pos="4513"/>
        <w:tab w:val="right" w:pos="9026"/>
      </w:tabs>
    </w:pPr>
  </w:style>
  <w:style w:type="character" w:customStyle="1" w:styleId="FooterChar">
    <w:name w:val="Footer Char"/>
    <w:basedOn w:val="DefaultParagraphFont"/>
    <w:link w:val="Footer"/>
    <w:uiPriority w:val="99"/>
    <w:rsid w:val="00B35749"/>
    <w:rPr>
      <w:sz w:val="24"/>
      <w:szCs w:val="24"/>
      <w:lang w:eastAsia="en-US"/>
    </w:rPr>
  </w:style>
  <w:style w:type="paragraph" w:styleId="ListParagraph">
    <w:name w:val="List Paragraph"/>
    <w:basedOn w:val="Normal"/>
    <w:link w:val="ListParagraphChar"/>
    <w:uiPriority w:val="34"/>
    <w:qFormat/>
    <w:rsid w:val="00B35749"/>
    <w:pPr>
      <w:ind w:left="720"/>
      <w:contextualSpacing/>
    </w:pPr>
  </w:style>
  <w:style w:type="paragraph" w:customStyle="1" w:styleId="HRFHeading4">
    <w:name w:val="HRF Heading 4"/>
    <w:basedOn w:val="Normal"/>
    <w:rsid w:val="002B5733"/>
    <w:pPr>
      <w:spacing w:after="120"/>
      <w:jc w:val="both"/>
    </w:pPr>
    <w:rPr>
      <w:rFonts w:ascii="Arial" w:hAnsi="Arial" w:cs="Mangal"/>
      <w:b/>
      <w:i/>
      <w:sz w:val="22"/>
      <w:lang w:val="en-GB" w:eastAsia="en-GB" w:bidi="hi-IN"/>
    </w:rPr>
  </w:style>
  <w:style w:type="character" w:customStyle="1" w:styleId="HRFBulletChar">
    <w:name w:val="HRF Bullet Char"/>
    <w:basedOn w:val="DefaultParagraphFont"/>
    <w:link w:val="HRFBullet"/>
    <w:locked/>
    <w:rsid w:val="002B5733"/>
    <w:rPr>
      <w:rFonts w:ascii="Arial" w:hAnsi="Arial" w:cs="Mangal"/>
      <w:sz w:val="22"/>
      <w:lang w:val="en-GB" w:eastAsia="en-GB" w:bidi="hi-IN"/>
    </w:rPr>
  </w:style>
  <w:style w:type="paragraph" w:customStyle="1" w:styleId="HRFBullet">
    <w:name w:val="HRF Bullet"/>
    <w:basedOn w:val="Normal"/>
    <w:link w:val="HRFBulletChar"/>
    <w:qFormat/>
    <w:rsid w:val="002B5733"/>
    <w:pPr>
      <w:numPr>
        <w:numId w:val="7"/>
      </w:numPr>
      <w:spacing w:after="120"/>
      <w:jc w:val="both"/>
    </w:pPr>
    <w:rPr>
      <w:rFonts w:ascii="Arial" w:hAnsi="Arial" w:cs="Mangal"/>
      <w:sz w:val="22"/>
      <w:szCs w:val="20"/>
      <w:lang w:val="en-GB" w:eastAsia="en-GB" w:bidi="hi-IN"/>
    </w:rPr>
  </w:style>
  <w:style w:type="numbering" w:customStyle="1" w:styleId="1stlevelbulleted11pt">
    <w:name w:val="1st level bulleted 11 pt"/>
    <w:rsid w:val="002B5733"/>
    <w:pPr>
      <w:numPr>
        <w:numId w:val="7"/>
      </w:numPr>
    </w:pPr>
  </w:style>
  <w:style w:type="paragraph" w:customStyle="1" w:styleId="Boxtitle">
    <w:name w:val="Box title"/>
    <w:basedOn w:val="Normal"/>
    <w:qFormat/>
    <w:rsid w:val="002B5733"/>
    <w:pPr>
      <w:spacing w:after="120"/>
      <w:jc w:val="both"/>
    </w:pPr>
    <w:rPr>
      <w:rFonts w:ascii="Arial" w:hAnsi="Arial" w:cs="Mangal"/>
      <w:b/>
      <w:bCs/>
      <w:color w:val="1B3A59"/>
      <w:sz w:val="22"/>
      <w:lang w:val="en-GB" w:eastAsia="en-GB" w:bidi="hi-IN"/>
    </w:rPr>
  </w:style>
  <w:style w:type="character" w:styleId="CommentReference">
    <w:name w:val="annotation reference"/>
    <w:basedOn w:val="DefaultParagraphFont"/>
    <w:rsid w:val="00185BB7"/>
    <w:rPr>
      <w:sz w:val="16"/>
      <w:szCs w:val="16"/>
    </w:rPr>
  </w:style>
  <w:style w:type="paragraph" w:styleId="CommentText">
    <w:name w:val="annotation text"/>
    <w:basedOn w:val="Normal"/>
    <w:link w:val="CommentTextChar"/>
    <w:uiPriority w:val="99"/>
    <w:rsid w:val="00185BB7"/>
    <w:rPr>
      <w:sz w:val="20"/>
      <w:szCs w:val="20"/>
    </w:rPr>
  </w:style>
  <w:style w:type="character" w:customStyle="1" w:styleId="CommentTextChar">
    <w:name w:val="Comment Text Char"/>
    <w:basedOn w:val="DefaultParagraphFont"/>
    <w:link w:val="CommentText"/>
    <w:uiPriority w:val="99"/>
    <w:rsid w:val="00185BB7"/>
    <w:rPr>
      <w:lang w:eastAsia="en-US"/>
    </w:rPr>
  </w:style>
  <w:style w:type="paragraph" w:styleId="CommentSubject">
    <w:name w:val="annotation subject"/>
    <w:basedOn w:val="CommentText"/>
    <w:next w:val="CommentText"/>
    <w:link w:val="CommentSubjectChar"/>
    <w:rsid w:val="00185BB7"/>
    <w:rPr>
      <w:b/>
      <w:bCs/>
    </w:rPr>
  </w:style>
  <w:style w:type="character" w:customStyle="1" w:styleId="CommentSubjectChar">
    <w:name w:val="Comment Subject Char"/>
    <w:basedOn w:val="CommentTextChar"/>
    <w:link w:val="CommentSubject"/>
    <w:rsid w:val="00185BB7"/>
    <w:rPr>
      <w:b/>
      <w:bCs/>
      <w:lang w:eastAsia="en-US"/>
    </w:rPr>
  </w:style>
  <w:style w:type="paragraph" w:styleId="BalloonText">
    <w:name w:val="Balloon Text"/>
    <w:basedOn w:val="Normal"/>
    <w:link w:val="BalloonTextChar"/>
    <w:rsid w:val="00185BB7"/>
    <w:rPr>
      <w:rFonts w:ascii="Tahoma" w:hAnsi="Tahoma" w:cs="Tahoma"/>
      <w:sz w:val="16"/>
      <w:szCs w:val="16"/>
    </w:rPr>
  </w:style>
  <w:style w:type="character" w:customStyle="1" w:styleId="BalloonTextChar">
    <w:name w:val="Balloon Text Char"/>
    <w:basedOn w:val="DefaultParagraphFont"/>
    <w:link w:val="BalloonText"/>
    <w:rsid w:val="00185BB7"/>
    <w:rPr>
      <w:rFonts w:ascii="Tahoma" w:hAnsi="Tahoma" w:cs="Tahoma"/>
      <w:sz w:val="16"/>
      <w:szCs w:val="16"/>
      <w:lang w:eastAsia="en-US"/>
    </w:rPr>
  </w:style>
  <w:style w:type="table" w:styleId="TableGrid">
    <w:name w:val="Table Grid"/>
    <w:basedOn w:val="TableNormal"/>
    <w:rsid w:val="00D3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stlevelbulleted11pt1">
    <w:name w:val="1st level bulleted 11 pt1"/>
    <w:rsid w:val="00E81A42"/>
  </w:style>
  <w:style w:type="numbering" w:customStyle="1" w:styleId="1stlevelbulleted11pt2">
    <w:name w:val="1st level bulleted 11 pt2"/>
    <w:rsid w:val="0018647A"/>
  </w:style>
  <w:style w:type="paragraph" w:styleId="Revision">
    <w:name w:val="Revision"/>
    <w:hidden/>
    <w:uiPriority w:val="99"/>
    <w:semiHidden/>
    <w:rsid w:val="00A3203F"/>
    <w:rPr>
      <w:sz w:val="24"/>
      <w:szCs w:val="24"/>
      <w:lang w:eastAsia="en-US"/>
    </w:rPr>
  </w:style>
  <w:style w:type="character" w:customStyle="1" w:styleId="Heading2Char">
    <w:name w:val="Heading 2 Char"/>
    <w:basedOn w:val="DefaultParagraphFont"/>
    <w:link w:val="Heading2"/>
    <w:rsid w:val="004E5C6D"/>
    <w:rPr>
      <w:rFonts w:ascii="Arial" w:hAnsi="Arial" w:cs="Arial"/>
      <w:b/>
      <w:iCs/>
      <w:sz w:val="24"/>
      <w:szCs w:val="22"/>
    </w:rPr>
  </w:style>
  <w:style w:type="character" w:customStyle="1" w:styleId="Heading1Char">
    <w:name w:val="Heading 1 Char"/>
    <w:basedOn w:val="DefaultParagraphFont"/>
    <w:link w:val="Heading1"/>
    <w:rsid w:val="004E5C6D"/>
    <w:rPr>
      <w:rFonts w:asciiTheme="majorHAnsi" w:eastAsiaTheme="majorEastAsia" w:hAnsiTheme="majorHAnsi" w:cstheme="majorBidi"/>
      <w:b/>
      <w:bCs/>
      <w:color w:val="365F91" w:themeColor="accent1" w:themeShade="BF"/>
      <w:sz w:val="28"/>
      <w:szCs w:val="28"/>
      <w:lang w:eastAsia="en-US"/>
    </w:rPr>
  </w:style>
  <w:style w:type="numbering" w:customStyle="1" w:styleId="1stlevelbulleted11pt3">
    <w:name w:val="1st level bulleted 11 pt3"/>
    <w:rsid w:val="00BD1534"/>
  </w:style>
  <w:style w:type="paragraph" w:customStyle="1" w:styleId="List-bullet-2">
    <w:name w:val="List-bullet-2"/>
    <w:basedOn w:val="Normal"/>
    <w:rsid w:val="00A174B1"/>
    <w:pPr>
      <w:numPr>
        <w:numId w:val="34"/>
      </w:numPr>
      <w:spacing w:before="80"/>
    </w:pPr>
    <w:rPr>
      <w:rFonts w:ascii="Arial" w:hAnsi="Arial" w:cs="Arial"/>
      <w:sz w:val="20"/>
      <w:szCs w:val="22"/>
      <w:lang w:val="en-US"/>
    </w:rPr>
  </w:style>
  <w:style w:type="paragraph" w:customStyle="1" w:styleId="BodytextQAI">
    <w:name w:val="Body text QAI"/>
    <w:basedOn w:val="Normal"/>
    <w:uiPriority w:val="99"/>
    <w:rsid w:val="00A174B1"/>
    <w:pPr>
      <w:spacing w:before="60" w:after="120"/>
      <w:jc w:val="both"/>
    </w:pPr>
    <w:rPr>
      <w:rFonts w:ascii="Arial" w:hAnsi="Arial"/>
      <w:sz w:val="16"/>
      <w:szCs w:val="16"/>
    </w:rPr>
  </w:style>
  <w:style w:type="character" w:customStyle="1" w:styleId="ListParagraphChar">
    <w:name w:val="List Paragraph Char"/>
    <w:link w:val="ListParagraph"/>
    <w:uiPriority w:val="34"/>
    <w:locked/>
    <w:rsid w:val="001535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973">
      <w:bodyDiv w:val="1"/>
      <w:marLeft w:val="0"/>
      <w:marRight w:val="0"/>
      <w:marTop w:val="0"/>
      <w:marBottom w:val="0"/>
      <w:divBdr>
        <w:top w:val="none" w:sz="0" w:space="0" w:color="auto"/>
        <w:left w:val="none" w:sz="0" w:space="0" w:color="auto"/>
        <w:bottom w:val="none" w:sz="0" w:space="0" w:color="auto"/>
        <w:right w:val="none" w:sz="0" w:space="0" w:color="auto"/>
      </w:divBdr>
    </w:div>
    <w:div w:id="97019707">
      <w:bodyDiv w:val="1"/>
      <w:marLeft w:val="0"/>
      <w:marRight w:val="0"/>
      <w:marTop w:val="0"/>
      <w:marBottom w:val="0"/>
      <w:divBdr>
        <w:top w:val="none" w:sz="0" w:space="0" w:color="auto"/>
        <w:left w:val="none" w:sz="0" w:space="0" w:color="auto"/>
        <w:bottom w:val="none" w:sz="0" w:space="0" w:color="auto"/>
        <w:right w:val="none" w:sz="0" w:space="0" w:color="auto"/>
      </w:divBdr>
    </w:div>
    <w:div w:id="112024078">
      <w:bodyDiv w:val="1"/>
      <w:marLeft w:val="0"/>
      <w:marRight w:val="0"/>
      <w:marTop w:val="0"/>
      <w:marBottom w:val="0"/>
      <w:divBdr>
        <w:top w:val="none" w:sz="0" w:space="0" w:color="auto"/>
        <w:left w:val="none" w:sz="0" w:space="0" w:color="auto"/>
        <w:bottom w:val="none" w:sz="0" w:space="0" w:color="auto"/>
        <w:right w:val="none" w:sz="0" w:space="0" w:color="auto"/>
      </w:divBdr>
    </w:div>
    <w:div w:id="401409280">
      <w:bodyDiv w:val="1"/>
      <w:marLeft w:val="0"/>
      <w:marRight w:val="0"/>
      <w:marTop w:val="0"/>
      <w:marBottom w:val="0"/>
      <w:divBdr>
        <w:top w:val="none" w:sz="0" w:space="0" w:color="auto"/>
        <w:left w:val="none" w:sz="0" w:space="0" w:color="auto"/>
        <w:bottom w:val="none" w:sz="0" w:space="0" w:color="auto"/>
        <w:right w:val="none" w:sz="0" w:space="0" w:color="auto"/>
      </w:divBdr>
    </w:div>
    <w:div w:id="490411173">
      <w:bodyDiv w:val="1"/>
      <w:marLeft w:val="0"/>
      <w:marRight w:val="0"/>
      <w:marTop w:val="0"/>
      <w:marBottom w:val="0"/>
      <w:divBdr>
        <w:top w:val="none" w:sz="0" w:space="0" w:color="auto"/>
        <w:left w:val="none" w:sz="0" w:space="0" w:color="auto"/>
        <w:bottom w:val="none" w:sz="0" w:space="0" w:color="auto"/>
        <w:right w:val="none" w:sz="0" w:space="0" w:color="auto"/>
      </w:divBdr>
    </w:div>
    <w:div w:id="791285014">
      <w:bodyDiv w:val="1"/>
      <w:marLeft w:val="0"/>
      <w:marRight w:val="0"/>
      <w:marTop w:val="0"/>
      <w:marBottom w:val="0"/>
      <w:divBdr>
        <w:top w:val="none" w:sz="0" w:space="0" w:color="auto"/>
        <w:left w:val="none" w:sz="0" w:space="0" w:color="auto"/>
        <w:bottom w:val="none" w:sz="0" w:space="0" w:color="auto"/>
        <w:right w:val="none" w:sz="0" w:space="0" w:color="auto"/>
      </w:divBdr>
    </w:div>
    <w:div w:id="958679685">
      <w:bodyDiv w:val="1"/>
      <w:marLeft w:val="0"/>
      <w:marRight w:val="0"/>
      <w:marTop w:val="0"/>
      <w:marBottom w:val="0"/>
      <w:divBdr>
        <w:top w:val="none" w:sz="0" w:space="0" w:color="auto"/>
        <w:left w:val="none" w:sz="0" w:space="0" w:color="auto"/>
        <w:bottom w:val="none" w:sz="0" w:space="0" w:color="auto"/>
        <w:right w:val="none" w:sz="0" w:space="0" w:color="auto"/>
      </w:divBdr>
    </w:div>
    <w:div w:id="1060053784">
      <w:bodyDiv w:val="1"/>
      <w:marLeft w:val="0"/>
      <w:marRight w:val="0"/>
      <w:marTop w:val="0"/>
      <w:marBottom w:val="0"/>
      <w:divBdr>
        <w:top w:val="none" w:sz="0" w:space="0" w:color="auto"/>
        <w:left w:val="none" w:sz="0" w:space="0" w:color="auto"/>
        <w:bottom w:val="none" w:sz="0" w:space="0" w:color="auto"/>
        <w:right w:val="none" w:sz="0" w:space="0" w:color="auto"/>
      </w:divBdr>
    </w:div>
    <w:div w:id="1492402884">
      <w:bodyDiv w:val="1"/>
      <w:marLeft w:val="0"/>
      <w:marRight w:val="0"/>
      <w:marTop w:val="0"/>
      <w:marBottom w:val="0"/>
      <w:divBdr>
        <w:top w:val="none" w:sz="0" w:space="0" w:color="auto"/>
        <w:left w:val="none" w:sz="0" w:space="0" w:color="auto"/>
        <w:bottom w:val="none" w:sz="0" w:space="0" w:color="auto"/>
        <w:right w:val="none" w:sz="0" w:space="0" w:color="auto"/>
      </w:divBdr>
    </w:div>
    <w:div w:id="1571504619">
      <w:bodyDiv w:val="1"/>
      <w:marLeft w:val="0"/>
      <w:marRight w:val="0"/>
      <w:marTop w:val="0"/>
      <w:marBottom w:val="0"/>
      <w:divBdr>
        <w:top w:val="none" w:sz="0" w:space="0" w:color="auto"/>
        <w:left w:val="none" w:sz="0" w:space="0" w:color="auto"/>
        <w:bottom w:val="none" w:sz="0" w:space="0" w:color="auto"/>
        <w:right w:val="none" w:sz="0" w:space="0" w:color="auto"/>
      </w:divBdr>
    </w:div>
    <w:div w:id="1844127312">
      <w:bodyDiv w:val="1"/>
      <w:marLeft w:val="0"/>
      <w:marRight w:val="0"/>
      <w:marTop w:val="0"/>
      <w:marBottom w:val="0"/>
      <w:divBdr>
        <w:top w:val="none" w:sz="0" w:space="0" w:color="auto"/>
        <w:left w:val="none" w:sz="0" w:space="0" w:color="auto"/>
        <w:bottom w:val="none" w:sz="0" w:space="0" w:color="auto"/>
        <w:right w:val="none" w:sz="0" w:space="0" w:color="auto"/>
      </w:divBdr>
    </w:div>
    <w:div w:id="1956251091">
      <w:bodyDiv w:val="1"/>
      <w:marLeft w:val="0"/>
      <w:marRight w:val="0"/>
      <w:marTop w:val="0"/>
      <w:marBottom w:val="0"/>
      <w:divBdr>
        <w:top w:val="none" w:sz="0" w:space="0" w:color="auto"/>
        <w:left w:val="none" w:sz="0" w:space="0" w:color="auto"/>
        <w:bottom w:val="none" w:sz="0" w:space="0" w:color="auto"/>
        <w:right w:val="none" w:sz="0" w:space="0" w:color="auto"/>
      </w:divBdr>
    </w:div>
    <w:div w:id="2062512633">
      <w:bodyDiv w:val="1"/>
      <w:marLeft w:val="0"/>
      <w:marRight w:val="0"/>
      <w:marTop w:val="0"/>
      <w:marBottom w:val="0"/>
      <w:divBdr>
        <w:top w:val="none" w:sz="0" w:space="0" w:color="auto"/>
        <w:left w:val="none" w:sz="0" w:space="0" w:color="auto"/>
        <w:bottom w:val="none" w:sz="0" w:space="0" w:color="auto"/>
        <w:right w:val="none" w:sz="0" w:space="0" w:color="auto"/>
      </w:divBdr>
    </w:div>
    <w:div w:id="21410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39C84B-00D2-4D7E-AD97-762A8CB6A25F}"/>
</file>

<file path=customXml/itemProps2.xml><?xml version="1.0" encoding="utf-8"?>
<ds:datastoreItem xmlns:ds="http://schemas.openxmlformats.org/officeDocument/2006/customXml" ds:itemID="{858535F4-66C2-4E56-A265-CDFA1541B0AA}"/>
</file>

<file path=customXml/itemProps3.xml><?xml version="1.0" encoding="utf-8"?>
<ds:datastoreItem xmlns:ds="http://schemas.openxmlformats.org/officeDocument/2006/customXml" ds:itemID="{119B7FA8-D6DD-4F40-BCE9-E56B57A9A822}"/>
</file>

<file path=customXml/itemProps4.xml><?xml version="1.0" encoding="utf-8"?>
<ds:datastoreItem xmlns:ds="http://schemas.openxmlformats.org/officeDocument/2006/customXml" ds:itemID="{F81C5E45-AD22-40CB-BC4D-27DFD459999F}"/>
</file>

<file path=docProps/app.xml><?xml version="1.0" encoding="utf-8"?>
<Properties xmlns="http://schemas.openxmlformats.org/officeDocument/2006/extended-properties" xmlns:vt="http://schemas.openxmlformats.org/officeDocument/2006/docPropsVTypes">
  <Template>9CD8C90B</Template>
  <TotalTime>0</TotalTime>
  <Pages>8</Pages>
  <Words>2933</Words>
  <Characters>16958</Characters>
  <Application>Microsoft Office Word</Application>
  <DocSecurity>0</DocSecurity>
  <Lines>628</Lines>
  <Paragraphs>142</Paragraphs>
  <ScaleCrop>false</ScaleCrop>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2016-07-08T06:02:00Z</dcterms:created>
  <dcterms:modified xsi:type="dcterms:W3CDTF">2016-07-08T06:02:00Z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494fef68-ebcc-431d-a204-6ce1f348dd30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1044500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