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32AF" w14:textId="1191A257" w:rsidR="004D5C17" w:rsidRDefault="00ED7A77" w:rsidP="002413FC">
      <w:pPr>
        <w:rPr>
          <w:rFonts w:ascii="Aharoni" w:hAnsi="Aharoni" w:cs="Aharoni"/>
          <w:b/>
          <w:bCs/>
          <w:color w:val="FFFFFF" w:themeColor="background1"/>
          <w:sz w:val="78"/>
          <w:szCs w:val="78"/>
        </w:rPr>
      </w:pPr>
      <w:r>
        <w:rPr>
          <w:rFonts w:ascii="Times New Roman" w:hAnsi="Times New Roman" w:cs="Times New Roman"/>
          <w:caps/>
          <w:noProof/>
          <w:lang w:val="en-AU" w:eastAsia="en-AU"/>
        </w:rPr>
        <w:drawing>
          <wp:anchor distT="0" distB="0" distL="114300" distR="114300" simplePos="0" relativeHeight="251661312" behindDoc="0" locked="0" layoutInCell="1" allowOverlap="1" wp14:anchorId="1F18D388" wp14:editId="5E17CA64">
            <wp:simplePos x="0" y="0"/>
            <wp:positionH relativeFrom="margin">
              <wp:posOffset>5296</wp:posOffset>
            </wp:positionH>
            <wp:positionV relativeFrom="paragraph">
              <wp:posOffset>233237</wp:posOffset>
            </wp:positionV>
            <wp:extent cx="2915046" cy="510457"/>
            <wp:effectExtent l="0" t="0" r="0" b="4445"/>
            <wp:wrapNone/>
            <wp:docPr id="2" name="Picture 2" descr="Logo for the Australian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the Australian Department of Foreign Affairs and Tr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5046" cy="510457"/>
                    </a:xfrm>
                    <a:prstGeom prst="rect">
                      <a:avLst/>
                    </a:prstGeom>
                    <a:noFill/>
                  </pic:spPr>
                </pic:pic>
              </a:graphicData>
            </a:graphic>
            <wp14:sizeRelH relativeFrom="margin">
              <wp14:pctWidth>0</wp14:pctWidth>
            </wp14:sizeRelH>
            <wp14:sizeRelV relativeFrom="margin">
              <wp14:pctHeight>0</wp14:pctHeight>
            </wp14:sizeRelV>
          </wp:anchor>
        </w:drawing>
      </w:r>
      <w:r w:rsidR="004D5C17" w:rsidRPr="004D5C17">
        <w:rPr>
          <w:rFonts w:ascii="Aharoni" w:hAnsi="Aharoni" w:cs="Aharoni" w:hint="cs"/>
          <w:b/>
          <w:bCs/>
          <w:noProof/>
          <w:color w:val="FFFFFF" w:themeColor="background1"/>
          <w:sz w:val="78"/>
          <w:szCs w:val="78"/>
        </w:rPr>
        <w:drawing>
          <wp:anchor distT="0" distB="0" distL="114300" distR="114300" simplePos="0" relativeHeight="251659264" behindDoc="1" locked="0" layoutInCell="1" allowOverlap="1" wp14:anchorId="1F02EBF2" wp14:editId="7C87D3EB">
            <wp:simplePos x="0" y="0"/>
            <wp:positionH relativeFrom="margin">
              <wp:posOffset>-457835</wp:posOffset>
            </wp:positionH>
            <wp:positionV relativeFrom="paragraph">
              <wp:posOffset>-431327</wp:posOffset>
            </wp:positionV>
            <wp:extent cx="6858635" cy="729043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635" cy="7290435"/>
                    </a:xfrm>
                    <a:prstGeom prst="rect">
                      <a:avLst/>
                    </a:prstGeom>
                    <a:noFill/>
                  </pic:spPr>
                </pic:pic>
              </a:graphicData>
            </a:graphic>
            <wp14:sizeRelH relativeFrom="page">
              <wp14:pctWidth>0</wp14:pctWidth>
            </wp14:sizeRelH>
            <wp14:sizeRelV relativeFrom="page">
              <wp14:pctHeight>0</wp14:pctHeight>
            </wp14:sizeRelV>
          </wp:anchor>
        </w:drawing>
      </w:r>
    </w:p>
    <w:p w14:paraId="3F8E3559" w14:textId="4DC854C7" w:rsidR="004D5C17" w:rsidRDefault="004D5C17" w:rsidP="002413FC">
      <w:pPr>
        <w:rPr>
          <w:rFonts w:ascii="Aharoni" w:hAnsi="Aharoni" w:cs="Aharoni"/>
          <w:b/>
          <w:bCs/>
          <w:color w:val="FFFFFF" w:themeColor="background1"/>
          <w:sz w:val="78"/>
          <w:szCs w:val="78"/>
        </w:rPr>
      </w:pPr>
    </w:p>
    <w:p w14:paraId="44EFBD1F" w14:textId="0D97B048" w:rsidR="004D5C17" w:rsidRDefault="004D5C17" w:rsidP="002413FC">
      <w:pPr>
        <w:rPr>
          <w:rFonts w:ascii="Aharoni" w:hAnsi="Aharoni" w:cs="Aharoni"/>
          <w:b/>
          <w:bCs/>
          <w:color w:val="FFFFFF" w:themeColor="background1"/>
          <w:sz w:val="78"/>
          <w:szCs w:val="78"/>
        </w:rPr>
      </w:pPr>
    </w:p>
    <w:p w14:paraId="2D1B2753" w14:textId="1960B2E9" w:rsidR="004D5C17" w:rsidRDefault="004D5C17" w:rsidP="002413FC">
      <w:pPr>
        <w:rPr>
          <w:rFonts w:ascii="Aharoni" w:hAnsi="Aharoni" w:cs="Aharoni"/>
          <w:b/>
          <w:bCs/>
          <w:color w:val="FFFFFF" w:themeColor="background1"/>
          <w:sz w:val="78"/>
          <w:szCs w:val="78"/>
        </w:rPr>
      </w:pPr>
    </w:p>
    <w:p w14:paraId="7CF6852E" w14:textId="77777777" w:rsidR="004D5C17" w:rsidRDefault="004D5C17" w:rsidP="002413FC">
      <w:pPr>
        <w:rPr>
          <w:rFonts w:ascii="Aharoni" w:hAnsi="Aharoni" w:cs="Aharoni"/>
          <w:b/>
          <w:bCs/>
          <w:color w:val="FFFFFF" w:themeColor="background1"/>
          <w:sz w:val="78"/>
          <w:szCs w:val="78"/>
        </w:rPr>
      </w:pPr>
    </w:p>
    <w:p w14:paraId="41394226" w14:textId="77777777" w:rsidR="001E33C5" w:rsidRDefault="004D5C17" w:rsidP="00CC3B45">
      <w:pPr>
        <w:ind w:left="851"/>
        <w:rPr>
          <w:rFonts w:ascii="Avenir Next LT Pro" w:hAnsi="Avenir Next LT Pro" w:cs="Aharoni"/>
          <w:color w:val="FFFFFF" w:themeColor="background1"/>
          <w:sz w:val="72"/>
          <w:szCs w:val="72"/>
        </w:rPr>
      </w:pPr>
      <w:r w:rsidRPr="004F23DD">
        <w:rPr>
          <w:rFonts w:ascii="Avenir Next LT Pro" w:hAnsi="Avenir Next LT Pro" w:cs="Aharoni"/>
          <w:color w:val="FFFFFF" w:themeColor="background1"/>
          <w:sz w:val="72"/>
          <w:szCs w:val="72"/>
        </w:rPr>
        <w:t>GENDER AND</w:t>
      </w:r>
    </w:p>
    <w:p w14:paraId="1AEF652C" w14:textId="6C734688" w:rsidR="00F9382E" w:rsidRPr="004F23DD" w:rsidRDefault="004D5C17" w:rsidP="00CC3B45">
      <w:pPr>
        <w:ind w:left="851"/>
        <w:rPr>
          <w:rFonts w:ascii="Avenir Next LT Pro" w:hAnsi="Avenir Next LT Pro" w:cs="Aharoni"/>
          <w:color w:val="FFFFFF" w:themeColor="background1"/>
          <w:sz w:val="72"/>
          <w:szCs w:val="72"/>
        </w:rPr>
      </w:pPr>
      <w:r w:rsidRPr="004F23DD">
        <w:rPr>
          <w:rFonts w:ascii="Avenir Next LT Pro" w:hAnsi="Avenir Next LT Pro" w:cs="Aharoni"/>
          <w:color w:val="FFFFFF" w:themeColor="background1"/>
          <w:sz w:val="72"/>
          <w:szCs w:val="72"/>
        </w:rPr>
        <w:t>BUDGET SUPPORT IN THE PACIFIC AND TIMOR-LESTE</w:t>
      </w:r>
    </w:p>
    <w:p w14:paraId="146516E6" w14:textId="77777777" w:rsidR="004D5C17" w:rsidRDefault="004D5C17" w:rsidP="002413FC">
      <w:pPr>
        <w:rPr>
          <w:rFonts w:ascii="Aharoni" w:hAnsi="Aharoni" w:cs="Aharoni"/>
          <w:b/>
          <w:bCs/>
          <w:color w:val="FFFFFF" w:themeColor="background1"/>
          <w:sz w:val="96"/>
          <w:szCs w:val="96"/>
        </w:rPr>
      </w:pPr>
    </w:p>
    <w:p w14:paraId="30B8245E" w14:textId="5B044435" w:rsidR="004D5C17" w:rsidRDefault="004D5C17" w:rsidP="002413FC">
      <w:pPr>
        <w:rPr>
          <w:rFonts w:ascii="Avenir Next LT Pro" w:hAnsi="Avenir Next LT Pro" w:cs="Aharoni"/>
          <w:b/>
          <w:bCs/>
          <w:color w:val="000000" w:themeColor="text1"/>
          <w:sz w:val="48"/>
          <w:szCs w:val="48"/>
        </w:rPr>
      </w:pPr>
    </w:p>
    <w:p w14:paraId="2047A781" w14:textId="3C7E2020" w:rsidR="00626D51" w:rsidRDefault="00626D51" w:rsidP="004D5C17">
      <w:pPr>
        <w:spacing w:before="0"/>
        <w:rPr>
          <w:rFonts w:ascii="Avenir Next LT Pro" w:hAnsi="Avenir Next LT Pro" w:cs="Aharoni"/>
          <w:b/>
          <w:bCs/>
          <w:color w:val="000000" w:themeColor="text1"/>
          <w:sz w:val="44"/>
          <w:szCs w:val="44"/>
          <w:vertAlign w:val="subscript"/>
        </w:rPr>
      </w:pPr>
    </w:p>
    <w:p w14:paraId="62C75673" w14:textId="4DA33BF3" w:rsidR="0008718F" w:rsidRDefault="00983E1C" w:rsidP="004D5C17">
      <w:pPr>
        <w:spacing w:before="0"/>
        <w:rPr>
          <w:rFonts w:ascii="Avenir Next LT Pro" w:hAnsi="Avenir Next LT Pro" w:cs="Aharoni"/>
          <w:b/>
          <w:bCs/>
          <w:color w:val="000000" w:themeColor="text1"/>
          <w:sz w:val="44"/>
          <w:szCs w:val="44"/>
          <w:vertAlign w:val="subscript"/>
        </w:rPr>
      </w:pPr>
      <w:r>
        <w:rPr>
          <w:noProof/>
          <w:color w:val="FF0000"/>
        </w:rPr>
        <w:drawing>
          <wp:anchor distT="0" distB="0" distL="114300" distR="114300" simplePos="0" relativeHeight="251662336" behindDoc="0" locked="0" layoutInCell="1" allowOverlap="1" wp14:anchorId="5418CD8E" wp14:editId="5E6254F7">
            <wp:simplePos x="0" y="0"/>
            <wp:positionH relativeFrom="column">
              <wp:posOffset>3891811</wp:posOffset>
            </wp:positionH>
            <wp:positionV relativeFrom="paragraph">
              <wp:posOffset>123530</wp:posOffset>
            </wp:positionV>
            <wp:extent cx="2087880" cy="777875"/>
            <wp:effectExtent l="0" t="0" r="0" b="0"/>
            <wp:wrapNone/>
            <wp:docPr id="1035" name="Picture 1035" descr="Logo for a team within the Australian Department of Foreign Affairs and Trade called Office of the Pacific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035" descr="Logo for a team within the Australian Department of Foreign Affairs and Trade called Office of the Pacific Economic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880" cy="777875"/>
                    </a:xfrm>
                    <a:prstGeom prst="rect">
                      <a:avLst/>
                    </a:prstGeom>
                    <a:noFill/>
                    <a:ln>
                      <a:noFill/>
                    </a:ln>
                  </pic:spPr>
                </pic:pic>
              </a:graphicData>
            </a:graphic>
          </wp:anchor>
        </w:drawing>
      </w:r>
    </w:p>
    <w:p w14:paraId="653B04D0" w14:textId="77777777" w:rsidR="00983E1C" w:rsidRDefault="00983E1C" w:rsidP="00983E1C">
      <w:pPr>
        <w:spacing w:before="0"/>
        <w:ind w:left="2552"/>
        <w:jc w:val="right"/>
        <w:rPr>
          <w:rFonts w:ascii="Avenir Next LT Pro" w:hAnsi="Avenir Next LT Pro" w:cs="Aharoni"/>
          <w:b/>
          <w:bCs/>
          <w:sz w:val="44"/>
          <w:szCs w:val="44"/>
        </w:rPr>
      </w:pPr>
    </w:p>
    <w:p w14:paraId="0C6732FD" w14:textId="77777777" w:rsidR="00983E1C" w:rsidRDefault="00983E1C" w:rsidP="00983E1C">
      <w:pPr>
        <w:spacing w:before="0"/>
        <w:ind w:left="2552"/>
        <w:jc w:val="right"/>
        <w:rPr>
          <w:rFonts w:ascii="Avenir Next LT Pro" w:hAnsi="Avenir Next LT Pro" w:cs="Aharoni"/>
          <w:b/>
          <w:bCs/>
          <w:sz w:val="44"/>
          <w:szCs w:val="44"/>
        </w:rPr>
      </w:pPr>
    </w:p>
    <w:p w14:paraId="437F89D6" w14:textId="6E1BD71E" w:rsidR="004D5C17" w:rsidRPr="00C92DA2" w:rsidRDefault="00FF7BD8" w:rsidP="00983E1C">
      <w:pPr>
        <w:spacing w:before="0"/>
        <w:ind w:left="2552"/>
        <w:jc w:val="right"/>
        <w:rPr>
          <w:rFonts w:ascii="Avenir Next LT Pro" w:hAnsi="Avenir Next LT Pro" w:cs="Aharoni"/>
          <w:b/>
          <w:bCs/>
          <w:sz w:val="44"/>
          <w:szCs w:val="44"/>
        </w:rPr>
      </w:pPr>
      <w:r w:rsidRPr="00C92DA2">
        <w:rPr>
          <w:rFonts w:ascii="Avenir Next LT Pro" w:hAnsi="Avenir Next LT Pro" w:cs="Aharoni"/>
          <w:b/>
          <w:bCs/>
          <w:sz w:val="44"/>
          <w:szCs w:val="44"/>
        </w:rPr>
        <w:t>BOB WARNER</w:t>
      </w:r>
    </w:p>
    <w:p w14:paraId="5606CE70" w14:textId="15B5B330" w:rsidR="004D5C17" w:rsidRPr="00C92DA2" w:rsidRDefault="00FF7BD8" w:rsidP="006B04B8">
      <w:pPr>
        <w:ind w:left="2552"/>
        <w:jc w:val="right"/>
        <w:rPr>
          <w:rFonts w:ascii="Avenir Next LT Pro" w:hAnsi="Avenir Next LT Pro" w:cs="Aharoni"/>
          <w:sz w:val="32"/>
          <w:szCs w:val="32"/>
        </w:rPr>
        <w:sectPr w:rsidR="004D5C17" w:rsidRPr="00C92DA2" w:rsidSect="003C70F4">
          <w:headerReference w:type="default" r:id="rId12"/>
          <w:footerReference w:type="default" r:id="rId13"/>
          <w:footerReference w:type="first" r:id="rId14"/>
          <w:pgSz w:w="12240" w:h="15840"/>
          <w:pgMar w:top="1440" w:right="1440" w:bottom="1440" w:left="1440" w:header="720" w:footer="720" w:gutter="0"/>
          <w:pgNumType w:start="0"/>
          <w:cols w:space="720"/>
          <w:titlePg/>
          <w:docGrid w:linePitch="360"/>
        </w:sectPr>
      </w:pPr>
      <w:r w:rsidRPr="00C92DA2">
        <w:rPr>
          <w:rFonts w:ascii="Avenir Next LT Pro" w:hAnsi="Avenir Next LT Pro" w:cs="Aharoni"/>
          <w:sz w:val="32"/>
          <w:szCs w:val="32"/>
        </w:rPr>
        <w:t>FOR OTP ECONOMICS | NOVEMBER 2022</w:t>
      </w:r>
    </w:p>
    <w:p w14:paraId="15B68756" w14:textId="721344A4" w:rsidR="00C862E1" w:rsidRPr="00C862E1" w:rsidRDefault="00C862E1" w:rsidP="00983E1C">
      <w:pPr>
        <w:spacing w:after="120"/>
        <w:jc w:val="right"/>
        <w:rPr>
          <w:rFonts w:asciiTheme="majorHAnsi" w:hAnsiTheme="majorHAnsi" w:cstheme="majorHAnsi"/>
          <w:b/>
          <w:bCs/>
          <w:sz w:val="2"/>
          <w:szCs w:val="2"/>
        </w:rPr>
      </w:pPr>
      <w:bookmarkStart w:id="0" w:name="_Toc108168310"/>
    </w:p>
    <w:sdt>
      <w:sdtPr>
        <w:rPr>
          <w:rFonts w:asciiTheme="minorHAnsi" w:eastAsiaTheme="minorHAnsi" w:hAnsiTheme="minorHAnsi" w:cstheme="minorBidi"/>
          <w:b w:val="0"/>
          <w:caps w:val="0"/>
          <w:sz w:val="22"/>
          <w:szCs w:val="22"/>
        </w:rPr>
        <w:id w:val="717174908"/>
        <w:docPartObj>
          <w:docPartGallery w:val="Table of Contents"/>
          <w:docPartUnique/>
        </w:docPartObj>
      </w:sdtPr>
      <w:sdtEndPr>
        <w:rPr>
          <w:bCs/>
          <w:noProof/>
        </w:rPr>
      </w:sdtEndPr>
      <w:sdtContent>
        <w:p w14:paraId="1672AFE2" w14:textId="7906CFD4" w:rsidR="00C862E1" w:rsidRDefault="00C862E1" w:rsidP="00A74722">
          <w:pPr>
            <w:pStyle w:val="TOCHeading"/>
            <w:spacing w:after="180"/>
          </w:pPr>
          <w:r>
            <w:t>Contents</w:t>
          </w:r>
        </w:p>
        <w:p w14:paraId="2F09ECF6" w14:textId="70FBD258" w:rsidR="00041E6F" w:rsidRPr="002C2037" w:rsidRDefault="00C862E1" w:rsidP="00041E6F">
          <w:pPr>
            <w:pStyle w:val="TOC1"/>
            <w:tabs>
              <w:tab w:val="left" w:pos="9639"/>
            </w:tabs>
            <w:spacing w:line="220" w:lineRule="exact"/>
            <w:rPr>
              <w:rFonts w:eastAsiaTheme="minorEastAsia"/>
              <w:b w:val="0"/>
              <w:caps w:val="0"/>
              <w:noProof/>
              <w:color w:val="495965" w:themeColor="text2"/>
              <w:sz w:val="22"/>
              <w:lang w:val="en-AU" w:eastAsia="en-AU"/>
            </w:rPr>
          </w:pPr>
          <w:r>
            <w:fldChar w:fldCharType="begin"/>
          </w:r>
          <w:r>
            <w:instrText xml:space="preserve"> TOC \o "1-3" \h \z \u </w:instrText>
          </w:r>
          <w:r>
            <w:fldChar w:fldCharType="separate"/>
          </w:r>
          <w:hyperlink w:anchor="_Toc120544512" w:history="1">
            <w:r w:rsidR="00041E6F" w:rsidRPr="002C2037">
              <w:rPr>
                <w:rStyle w:val="Hyperlink"/>
                <w:noProof/>
                <w:color w:val="495965" w:themeColor="text2"/>
              </w:rPr>
              <w:t>Executive summary</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_Toc120544512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3</w:t>
            </w:r>
            <w:r w:rsidR="00041E6F" w:rsidRPr="002C2037">
              <w:rPr>
                <w:noProof/>
                <w:webHidden/>
                <w:color w:val="495965" w:themeColor="text2"/>
              </w:rPr>
              <w:fldChar w:fldCharType="end"/>
            </w:r>
          </w:hyperlink>
        </w:p>
        <w:p w14:paraId="2AD470F6" w14:textId="67FCBA83"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13" w:history="1">
            <w:r w:rsidR="00041E6F" w:rsidRPr="002C2037">
              <w:rPr>
                <w:rStyle w:val="Hyperlink"/>
                <w:noProof/>
                <w:color w:val="495965" w:themeColor="text2"/>
              </w:rPr>
              <w:t>Key findings</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_Toc120544513 \h </w:instrText>
            </w:r>
            <w:r w:rsidR="00041E6F" w:rsidRPr="002C2037">
              <w:rPr>
                <w:noProof/>
                <w:webHidden/>
              </w:rPr>
            </w:r>
            <w:r w:rsidR="00041E6F" w:rsidRPr="002C2037">
              <w:rPr>
                <w:noProof/>
                <w:webHidden/>
              </w:rPr>
              <w:fldChar w:fldCharType="separate"/>
            </w:r>
            <w:r w:rsidR="00041E6F" w:rsidRPr="002C2037">
              <w:rPr>
                <w:noProof/>
                <w:webHidden/>
              </w:rPr>
              <w:t>3</w:t>
            </w:r>
            <w:r w:rsidR="00041E6F" w:rsidRPr="002C2037">
              <w:rPr>
                <w:noProof/>
                <w:webHidden/>
              </w:rPr>
              <w:fldChar w:fldCharType="end"/>
            </w:r>
          </w:hyperlink>
        </w:p>
        <w:p w14:paraId="32FE4DCF" w14:textId="6E7E46B0"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14" w:history="1">
            <w:r w:rsidR="00041E6F" w:rsidRPr="002C2037">
              <w:rPr>
                <w:rStyle w:val="Hyperlink"/>
                <w:noProof/>
                <w:color w:val="495965" w:themeColor="text2"/>
              </w:rPr>
              <w:t>Recommendations</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_Toc120544514 \h </w:instrText>
            </w:r>
            <w:r w:rsidR="00041E6F" w:rsidRPr="002C2037">
              <w:rPr>
                <w:noProof/>
                <w:webHidden/>
              </w:rPr>
            </w:r>
            <w:r w:rsidR="00041E6F" w:rsidRPr="002C2037">
              <w:rPr>
                <w:noProof/>
                <w:webHidden/>
              </w:rPr>
              <w:fldChar w:fldCharType="separate"/>
            </w:r>
            <w:r w:rsidR="00041E6F" w:rsidRPr="002C2037">
              <w:rPr>
                <w:noProof/>
                <w:webHidden/>
              </w:rPr>
              <w:t>4</w:t>
            </w:r>
            <w:r w:rsidR="00041E6F" w:rsidRPr="002C2037">
              <w:rPr>
                <w:noProof/>
                <w:webHidden/>
              </w:rPr>
              <w:fldChar w:fldCharType="end"/>
            </w:r>
          </w:hyperlink>
        </w:p>
        <w:p w14:paraId="60FBB9C4" w14:textId="4D38C68E"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15" w:history="1">
            <w:r w:rsidR="00041E6F" w:rsidRPr="002C2037">
              <w:rPr>
                <w:rStyle w:val="Hyperlink"/>
                <w:noProof/>
                <w:color w:val="495965" w:themeColor="text2"/>
              </w:rPr>
              <w:t>1. Introduction</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_Toc120544515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6</w:t>
            </w:r>
            <w:r w:rsidR="00041E6F" w:rsidRPr="002C2037">
              <w:rPr>
                <w:noProof/>
                <w:webHidden/>
                <w:color w:val="495965" w:themeColor="text2"/>
              </w:rPr>
              <w:fldChar w:fldCharType="end"/>
            </w:r>
          </w:hyperlink>
        </w:p>
        <w:p w14:paraId="34127D8E" w14:textId="7DDE57BF"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16" w:history="1">
            <w:r w:rsidR="00041E6F" w:rsidRPr="002C2037">
              <w:rPr>
                <w:rStyle w:val="Hyperlink"/>
                <w:noProof/>
                <w:color w:val="495965" w:themeColor="text2"/>
              </w:rPr>
              <w:t>Background</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_Toc120544516 \h </w:instrText>
            </w:r>
            <w:r w:rsidR="00041E6F" w:rsidRPr="002C2037">
              <w:rPr>
                <w:noProof/>
                <w:webHidden/>
              </w:rPr>
            </w:r>
            <w:r w:rsidR="00041E6F" w:rsidRPr="002C2037">
              <w:rPr>
                <w:noProof/>
                <w:webHidden/>
              </w:rPr>
              <w:fldChar w:fldCharType="separate"/>
            </w:r>
            <w:r w:rsidR="00041E6F" w:rsidRPr="002C2037">
              <w:rPr>
                <w:noProof/>
                <w:webHidden/>
              </w:rPr>
              <w:t>6</w:t>
            </w:r>
            <w:r w:rsidR="00041E6F" w:rsidRPr="002C2037">
              <w:rPr>
                <w:noProof/>
                <w:webHidden/>
              </w:rPr>
              <w:fldChar w:fldCharType="end"/>
            </w:r>
          </w:hyperlink>
        </w:p>
        <w:p w14:paraId="446772E6" w14:textId="61EA9665"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17" w:history="1">
            <w:r w:rsidR="00041E6F" w:rsidRPr="002C2037">
              <w:rPr>
                <w:rStyle w:val="Hyperlink"/>
                <w:noProof/>
                <w:color w:val="495965" w:themeColor="text2"/>
              </w:rPr>
              <w:t>Report structure</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_Toc120544517 \h </w:instrText>
            </w:r>
            <w:r w:rsidR="00041E6F" w:rsidRPr="002C2037">
              <w:rPr>
                <w:noProof/>
                <w:webHidden/>
              </w:rPr>
            </w:r>
            <w:r w:rsidR="00041E6F" w:rsidRPr="002C2037">
              <w:rPr>
                <w:noProof/>
                <w:webHidden/>
              </w:rPr>
              <w:fldChar w:fldCharType="separate"/>
            </w:r>
            <w:r w:rsidR="00041E6F" w:rsidRPr="002C2037">
              <w:rPr>
                <w:noProof/>
                <w:webHidden/>
              </w:rPr>
              <w:t>6</w:t>
            </w:r>
            <w:r w:rsidR="00041E6F" w:rsidRPr="002C2037">
              <w:rPr>
                <w:noProof/>
                <w:webHidden/>
              </w:rPr>
              <w:fldChar w:fldCharType="end"/>
            </w:r>
          </w:hyperlink>
        </w:p>
        <w:p w14:paraId="4FAFB1E1" w14:textId="541B311F"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18" w:history="1">
            <w:r w:rsidR="00041E6F" w:rsidRPr="002C2037">
              <w:rPr>
                <w:rStyle w:val="Hyperlink"/>
                <w:noProof/>
                <w:color w:val="495965" w:themeColor="text2"/>
              </w:rPr>
              <w:t>Key concepts</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_Toc120544518 \h </w:instrText>
            </w:r>
            <w:r w:rsidR="00041E6F" w:rsidRPr="002C2037">
              <w:rPr>
                <w:noProof/>
                <w:webHidden/>
              </w:rPr>
            </w:r>
            <w:r w:rsidR="00041E6F" w:rsidRPr="002C2037">
              <w:rPr>
                <w:noProof/>
                <w:webHidden/>
              </w:rPr>
              <w:fldChar w:fldCharType="separate"/>
            </w:r>
            <w:r w:rsidR="00041E6F" w:rsidRPr="002C2037">
              <w:rPr>
                <w:noProof/>
                <w:webHidden/>
              </w:rPr>
              <w:t>7</w:t>
            </w:r>
            <w:r w:rsidR="00041E6F" w:rsidRPr="002C2037">
              <w:rPr>
                <w:noProof/>
                <w:webHidden/>
              </w:rPr>
              <w:fldChar w:fldCharType="end"/>
            </w:r>
          </w:hyperlink>
        </w:p>
        <w:p w14:paraId="2247D3CA" w14:textId="1E356C87"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19" w:history="1">
            <w:r w:rsidR="00041E6F" w:rsidRPr="002C2037">
              <w:rPr>
                <w:rStyle w:val="Hyperlink"/>
                <w:noProof/>
                <w:color w:val="495965" w:themeColor="text2"/>
              </w:rPr>
              <w:t>2. Overview of budget support in the Pacific and Timor-Leste</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_Toc120544519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8</w:t>
            </w:r>
            <w:r w:rsidR="00041E6F" w:rsidRPr="002C2037">
              <w:rPr>
                <w:noProof/>
                <w:webHidden/>
                <w:color w:val="495965" w:themeColor="text2"/>
              </w:rPr>
              <w:fldChar w:fldCharType="end"/>
            </w:r>
          </w:hyperlink>
        </w:p>
        <w:p w14:paraId="3894B810" w14:textId="589D6EFF"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20" w:history="1">
            <w:r w:rsidR="00041E6F" w:rsidRPr="002C2037">
              <w:rPr>
                <w:rStyle w:val="Hyperlink"/>
                <w:noProof/>
                <w:color w:val="495965" w:themeColor="text2"/>
              </w:rPr>
              <w:t>Australia</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_Toc120544520 \h </w:instrText>
            </w:r>
            <w:r w:rsidR="00041E6F" w:rsidRPr="002C2037">
              <w:rPr>
                <w:noProof/>
                <w:webHidden/>
              </w:rPr>
            </w:r>
            <w:r w:rsidR="00041E6F" w:rsidRPr="002C2037">
              <w:rPr>
                <w:noProof/>
                <w:webHidden/>
              </w:rPr>
              <w:fldChar w:fldCharType="separate"/>
            </w:r>
            <w:r w:rsidR="00041E6F" w:rsidRPr="002C2037">
              <w:rPr>
                <w:noProof/>
                <w:webHidden/>
              </w:rPr>
              <w:t>8</w:t>
            </w:r>
            <w:r w:rsidR="00041E6F" w:rsidRPr="002C2037">
              <w:rPr>
                <w:noProof/>
                <w:webHidden/>
              </w:rPr>
              <w:fldChar w:fldCharType="end"/>
            </w:r>
          </w:hyperlink>
        </w:p>
        <w:p w14:paraId="3C6602D2" w14:textId="4527247B"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21" w:history="1">
            <w:r w:rsidR="00041E6F" w:rsidRPr="002C2037">
              <w:rPr>
                <w:rStyle w:val="Hyperlink"/>
                <w:noProof/>
                <w:color w:val="495965" w:themeColor="text2"/>
              </w:rPr>
              <w:t>World Bank</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_Toc120544521 \h </w:instrText>
            </w:r>
            <w:r w:rsidR="00041E6F" w:rsidRPr="002C2037">
              <w:rPr>
                <w:noProof/>
                <w:webHidden/>
              </w:rPr>
            </w:r>
            <w:r w:rsidR="00041E6F" w:rsidRPr="002C2037">
              <w:rPr>
                <w:noProof/>
                <w:webHidden/>
              </w:rPr>
              <w:fldChar w:fldCharType="separate"/>
            </w:r>
            <w:r w:rsidR="00041E6F" w:rsidRPr="002C2037">
              <w:rPr>
                <w:noProof/>
                <w:webHidden/>
              </w:rPr>
              <w:t>9</w:t>
            </w:r>
            <w:r w:rsidR="00041E6F" w:rsidRPr="002C2037">
              <w:rPr>
                <w:noProof/>
                <w:webHidden/>
              </w:rPr>
              <w:fldChar w:fldCharType="end"/>
            </w:r>
          </w:hyperlink>
        </w:p>
        <w:p w14:paraId="3087174B" w14:textId="2F0EB1A6"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22" w:history="1">
            <w:r w:rsidR="00041E6F" w:rsidRPr="002C2037">
              <w:rPr>
                <w:rStyle w:val="Hyperlink"/>
                <w:noProof/>
                <w:color w:val="495965" w:themeColor="text2"/>
              </w:rPr>
              <w:t>Asian Development Bank</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_Toc120544522 \h </w:instrText>
            </w:r>
            <w:r w:rsidR="00041E6F" w:rsidRPr="002C2037">
              <w:rPr>
                <w:noProof/>
                <w:webHidden/>
              </w:rPr>
            </w:r>
            <w:r w:rsidR="00041E6F" w:rsidRPr="002C2037">
              <w:rPr>
                <w:noProof/>
                <w:webHidden/>
              </w:rPr>
              <w:fldChar w:fldCharType="separate"/>
            </w:r>
            <w:r w:rsidR="00041E6F" w:rsidRPr="002C2037">
              <w:rPr>
                <w:noProof/>
                <w:webHidden/>
              </w:rPr>
              <w:t>11</w:t>
            </w:r>
            <w:r w:rsidR="00041E6F" w:rsidRPr="002C2037">
              <w:rPr>
                <w:noProof/>
                <w:webHidden/>
              </w:rPr>
              <w:fldChar w:fldCharType="end"/>
            </w:r>
          </w:hyperlink>
        </w:p>
        <w:p w14:paraId="49956C64" w14:textId="41A2F9B4"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23" w:history="1">
            <w:r w:rsidR="00041E6F" w:rsidRPr="002C2037">
              <w:rPr>
                <w:rStyle w:val="Hyperlink"/>
                <w:noProof/>
                <w:color w:val="495965" w:themeColor="text2"/>
              </w:rPr>
              <w:t>Common themes</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_Toc120544523 \h </w:instrText>
            </w:r>
            <w:r w:rsidR="00041E6F" w:rsidRPr="002C2037">
              <w:rPr>
                <w:noProof/>
                <w:webHidden/>
              </w:rPr>
            </w:r>
            <w:r w:rsidR="00041E6F" w:rsidRPr="002C2037">
              <w:rPr>
                <w:noProof/>
                <w:webHidden/>
              </w:rPr>
              <w:fldChar w:fldCharType="separate"/>
            </w:r>
            <w:r w:rsidR="00041E6F" w:rsidRPr="002C2037">
              <w:rPr>
                <w:noProof/>
                <w:webHidden/>
              </w:rPr>
              <w:t>12</w:t>
            </w:r>
            <w:r w:rsidR="00041E6F" w:rsidRPr="002C2037">
              <w:rPr>
                <w:noProof/>
                <w:webHidden/>
              </w:rPr>
              <w:fldChar w:fldCharType="end"/>
            </w:r>
          </w:hyperlink>
        </w:p>
        <w:p w14:paraId="046C117F" w14:textId="61ECB716"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24" w:history="1">
            <w:r w:rsidR="00041E6F" w:rsidRPr="002C2037">
              <w:rPr>
                <w:rStyle w:val="Hyperlink"/>
                <w:noProof/>
                <w:color w:val="495965" w:themeColor="text2"/>
              </w:rPr>
              <w:t>3. Gender in multilateral bank operations</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_Toc120544524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13</w:t>
            </w:r>
            <w:r w:rsidR="00041E6F" w:rsidRPr="002C2037">
              <w:rPr>
                <w:noProof/>
                <w:webHidden/>
                <w:color w:val="495965" w:themeColor="text2"/>
              </w:rPr>
              <w:fldChar w:fldCharType="end"/>
            </w:r>
          </w:hyperlink>
        </w:p>
        <w:p w14:paraId="40E7EE75" w14:textId="738DB14D"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25" w:history="1">
            <w:r w:rsidR="00041E6F" w:rsidRPr="002C2037">
              <w:rPr>
                <w:rStyle w:val="Hyperlink"/>
                <w:noProof/>
                <w:color w:val="495965" w:themeColor="text2"/>
              </w:rPr>
              <w:t>World Bank</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_Toc120544525 \h </w:instrText>
            </w:r>
            <w:r w:rsidR="00041E6F" w:rsidRPr="002C2037">
              <w:rPr>
                <w:noProof/>
                <w:webHidden/>
              </w:rPr>
            </w:r>
            <w:r w:rsidR="00041E6F" w:rsidRPr="002C2037">
              <w:rPr>
                <w:noProof/>
                <w:webHidden/>
              </w:rPr>
              <w:fldChar w:fldCharType="separate"/>
            </w:r>
            <w:r w:rsidR="00041E6F" w:rsidRPr="002C2037">
              <w:rPr>
                <w:noProof/>
                <w:webHidden/>
              </w:rPr>
              <w:t>13</w:t>
            </w:r>
            <w:r w:rsidR="00041E6F" w:rsidRPr="002C2037">
              <w:rPr>
                <w:noProof/>
                <w:webHidden/>
              </w:rPr>
              <w:fldChar w:fldCharType="end"/>
            </w:r>
          </w:hyperlink>
        </w:p>
        <w:p w14:paraId="1CB3D69F" w14:textId="2BFF0BA6"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26" w:history="1">
            <w:r w:rsidR="00041E6F" w:rsidRPr="002C2037">
              <w:rPr>
                <w:rStyle w:val="Hyperlink"/>
                <w:noProof/>
                <w:color w:val="495965" w:themeColor="text2"/>
              </w:rPr>
              <w:t>Asian Development Bank</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_Toc120544526 \h </w:instrText>
            </w:r>
            <w:r w:rsidR="00041E6F" w:rsidRPr="002C2037">
              <w:rPr>
                <w:noProof/>
                <w:webHidden/>
              </w:rPr>
            </w:r>
            <w:r w:rsidR="00041E6F" w:rsidRPr="002C2037">
              <w:rPr>
                <w:noProof/>
                <w:webHidden/>
              </w:rPr>
              <w:fldChar w:fldCharType="separate"/>
            </w:r>
            <w:r w:rsidR="00041E6F" w:rsidRPr="002C2037">
              <w:rPr>
                <w:noProof/>
                <w:webHidden/>
              </w:rPr>
              <w:t>13</w:t>
            </w:r>
            <w:r w:rsidR="00041E6F" w:rsidRPr="002C2037">
              <w:rPr>
                <w:noProof/>
                <w:webHidden/>
              </w:rPr>
              <w:fldChar w:fldCharType="end"/>
            </w:r>
          </w:hyperlink>
        </w:p>
        <w:p w14:paraId="3A3D5C9E" w14:textId="64F89D5E"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27" w:history="1">
            <w:r w:rsidR="00041E6F" w:rsidRPr="002C2037">
              <w:rPr>
                <w:rStyle w:val="Hyperlink"/>
                <w:noProof/>
                <w:color w:val="495965" w:themeColor="text2"/>
              </w:rPr>
              <w:t>International Monetary Fund</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_Toc120544527 \h </w:instrText>
            </w:r>
            <w:r w:rsidR="00041E6F" w:rsidRPr="002C2037">
              <w:rPr>
                <w:noProof/>
                <w:webHidden/>
              </w:rPr>
            </w:r>
            <w:r w:rsidR="00041E6F" w:rsidRPr="002C2037">
              <w:rPr>
                <w:noProof/>
                <w:webHidden/>
              </w:rPr>
              <w:fldChar w:fldCharType="separate"/>
            </w:r>
            <w:r w:rsidR="00041E6F" w:rsidRPr="002C2037">
              <w:rPr>
                <w:noProof/>
                <w:webHidden/>
              </w:rPr>
              <w:t>14</w:t>
            </w:r>
            <w:r w:rsidR="00041E6F" w:rsidRPr="002C2037">
              <w:rPr>
                <w:noProof/>
                <w:webHidden/>
              </w:rPr>
              <w:fldChar w:fldCharType="end"/>
            </w:r>
          </w:hyperlink>
        </w:p>
        <w:p w14:paraId="5F16DE7B" w14:textId="372B6879"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28" w:history="1">
            <w:r w:rsidR="00041E6F" w:rsidRPr="002C2037">
              <w:rPr>
                <w:rStyle w:val="Hyperlink"/>
                <w:noProof/>
                <w:color w:val="495965" w:themeColor="text2"/>
              </w:rPr>
              <w:t>Gender in Pacific and Timorese budget support operations</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_Toc120544528 \h </w:instrText>
            </w:r>
            <w:r w:rsidR="00041E6F" w:rsidRPr="002C2037">
              <w:rPr>
                <w:noProof/>
                <w:webHidden/>
              </w:rPr>
            </w:r>
            <w:r w:rsidR="00041E6F" w:rsidRPr="002C2037">
              <w:rPr>
                <w:noProof/>
                <w:webHidden/>
              </w:rPr>
              <w:fldChar w:fldCharType="separate"/>
            </w:r>
            <w:r w:rsidR="00041E6F" w:rsidRPr="002C2037">
              <w:rPr>
                <w:noProof/>
                <w:webHidden/>
              </w:rPr>
              <w:t>15</w:t>
            </w:r>
            <w:r w:rsidR="00041E6F" w:rsidRPr="002C2037">
              <w:rPr>
                <w:noProof/>
                <w:webHidden/>
              </w:rPr>
              <w:fldChar w:fldCharType="end"/>
            </w:r>
          </w:hyperlink>
        </w:p>
        <w:p w14:paraId="0B6200A9" w14:textId="2AD91819"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29" w:history="1">
            <w:r w:rsidR="00041E6F" w:rsidRPr="002C2037">
              <w:rPr>
                <w:rStyle w:val="Hyperlink"/>
                <w:noProof/>
                <w:color w:val="495965" w:themeColor="text2"/>
              </w:rPr>
              <w:t>4. Gender in Pacific and TIMORESE budgets and PFM</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_Toc120544529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18</w:t>
            </w:r>
            <w:r w:rsidR="00041E6F" w:rsidRPr="002C2037">
              <w:rPr>
                <w:noProof/>
                <w:webHidden/>
                <w:color w:val="495965" w:themeColor="text2"/>
              </w:rPr>
              <w:fldChar w:fldCharType="end"/>
            </w:r>
          </w:hyperlink>
        </w:p>
        <w:p w14:paraId="49BFFD0E" w14:textId="1DC452A2"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30" w:history="1">
            <w:r w:rsidR="00041E6F" w:rsidRPr="002C2037">
              <w:rPr>
                <w:rStyle w:val="Hyperlink"/>
                <w:noProof/>
                <w:color w:val="495965" w:themeColor="text2"/>
              </w:rPr>
              <w:t>Gender responsive budgeting in the Pacific and Timor-Leste</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_Toc120544530 \h </w:instrText>
            </w:r>
            <w:r w:rsidR="00041E6F" w:rsidRPr="002C2037">
              <w:rPr>
                <w:noProof/>
                <w:webHidden/>
              </w:rPr>
            </w:r>
            <w:r w:rsidR="00041E6F" w:rsidRPr="002C2037">
              <w:rPr>
                <w:noProof/>
                <w:webHidden/>
              </w:rPr>
              <w:fldChar w:fldCharType="separate"/>
            </w:r>
            <w:r w:rsidR="00041E6F" w:rsidRPr="002C2037">
              <w:rPr>
                <w:noProof/>
                <w:webHidden/>
              </w:rPr>
              <w:t>18</w:t>
            </w:r>
            <w:r w:rsidR="00041E6F" w:rsidRPr="002C2037">
              <w:rPr>
                <w:noProof/>
                <w:webHidden/>
              </w:rPr>
              <w:fldChar w:fldCharType="end"/>
            </w:r>
          </w:hyperlink>
        </w:p>
        <w:p w14:paraId="655BDBA0" w14:textId="7AB8E200"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31" w:history="1">
            <w:r w:rsidR="00041E6F" w:rsidRPr="002C2037">
              <w:rPr>
                <w:rStyle w:val="Hyperlink"/>
                <w:noProof/>
                <w:color w:val="495965" w:themeColor="text2"/>
              </w:rPr>
              <w:t>Enabling factors for effective GRB in the Pacific and Timor-Leste</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_Toc120544531 \h </w:instrText>
            </w:r>
            <w:r w:rsidR="00041E6F" w:rsidRPr="002C2037">
              <w:rPr>
                <w:noProof/>
                <w:webHidden/>
              </w:rPr>
            </w:r>
            <w:r w:rsidR="00041E6F" w:rsidRPr="002C2037">
              <w:rPr>
                <w:noProof/>
                <w:webHidden/>
              </w:rPr>
              <w:fldChar w:fldCharType="separate"/>
            </w:r>
            <w:r w:rsidR="00041E6F" w:rsidRPr="002C2037">
              <w:rPr>
                <w:noProof/>
                <w:webHidden/>
              </w:rPr>
              <w:t>21</w:t>
            </w:r>
            <w:r w:rsidR="00041E6F" w:rsidRPr="002C2037">
              <w:rPr>
                <w:noProof/>
                <w:webHidden/>
              </w:rPr>
              <w:fldChar w:fldCharType="end"/>
            </w:r>
          </w:hyperlink>
        </w:p>
        <w:p w14:paraId="1005654A" w14:textId="0ED2023E"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32" w:history="1">
            <w:r w:rsidR="00041E6F" w:rsidRPr="002C2037">
              <w:rPr>
                <w:rStyle w:val="Hyperlink"/>
                <w:noProof/>
                <w:color w:val="495965" w:themeColor="text2"/>
              </w:rPr>
              <w:t>5. Conclusion</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_Toc120544532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27</w:t>
            </w:r>
            <w:r w:rsidR="00041E6F" w:rsidRPr="002C2037">
              <w:rPr>
                <w:noProof/>
                <w:webHidden/>
                <w:color w:val="495965" w:themeColor="text2"/>
              </w:rPr>
              <w:fldChar w:fldCharType="end"/>
            </w:r>
          </w:hyperlink>
        </w:p>
        <w:p w14:paraId="3A0B8B65" w14:textId="070D8374"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33" w:history="1">
            <w:r w:rsidR="00041E6F" w:rsidRPr="002C2037">
              <w:rPr>
                <w:rStyle w:val="Hyperlink"/>
                <w:noProof/>
                <w:color w:val="495965" w:themeColor="text2"/>
              </w:rPr>
              <w:t>Key takeaways</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_Toc120544533 \h </w:instrText>
            </w:r>
            <w:r w:rsidR="00041E6F" w:rsidRPr="002C2037">
              <w:rPr>
                <w:noProof/>
                <w:webHidden/>
              </w:rPr>
            </w:r>
            <w:r w:rsidR="00041E6F" w:rsidRPr="002C2037">
              <w:rPr>
                <w:noProof/>
                <w:webHidden/>
              </w:rPr>
              <w:fldChar w:fldCharType="separate"/>
            </w:r>
            <w:r w:rsidR="00041E6F" w:rsidRPr="002C2037">
              <w:rPr>
                <w:noProof/>
                <w:webHidden/>
              </w:rPr>
              <w:t>27</w:t>
            </w:r>
            <w:r w:rsidR="00041E6F" w:rsidRPr="002C2037">
              <w:rPr>
                <w:noProof/>
                <w:webHidden/>
              </w:rPr>
              <w:fldChar w:fldCharType="end"/>
            </w:r>
          </w:hyperlink>
        </w:p>
        <w:p w14:paraId="67EF6E6A" w14:textId="25EB26EF" w:rsidR="00041E6F" w:rsidRPr="002C2037" w:rsidRDefault="005E302F" w:rsidP="00041E6F">
          <w:pPr>
            <w:pStyle w:val="TOC3"/>
            <w:tabs>
              <w:tab w:val="left" w:pos="9639"/>
              <w:tab w:val="right" w:pos="9962"/>
            </w:tabs>
            <w:spacing w:line="220" w:lineRule="exact"/>
            <w:rPr>
              <w:rFonts w:eastAsiaTheme="minorEastAsia"/>
              <w:noProof/>
              <w:lang w:val="en-AU" w:eastAsia="en-AU"/>
            </w:rPr>
          </w:pPr>
          <w:hyperlink w:anchor="_Toc120544534" w:history="1">
            <w:r w:rsidR="00041E6F" w:rsidRPr="002C2037">
              <w:rPr>
                <w:rStyle w:val="Hyperlink"/>
                <w:noProof/>
                <w:color w:val="495965" w:themeColor="text2"/>
              </w:rPr>
              <w:t>Suggestions for DFAT</w:t>
            </w:r>
            <w:r w:rsidR="00041E6F" w:rsidRPr="002C2037">
              <w:rPr>
                <w:noProof/>
                <w:webHidden/>
              </w:rPr>
              <w:tab/>
            </w:r>
            <w:r w:rsidR="00041E6F" w:rsidRPr="002C2037">
              <w:rPr>
                <w:noProof/>
                <w:webHidden/>
              </w:rPr>
              <w:fldChar w:fldCharType="begin"/>
            </w:r>
            <w:r w:rsidR="00041E6F" w:rsidRPr="002C2037">
              <w:rPr>
                <w:noProof/>
                <w:webHidden/>
              </w:rPr>
              <w:instrText xml:space="preserve"> PAGEREF _Toc120544534 \h </w:instrText>
            </w:r>
            <w:r w:rsidR="00041E6F" w:rsidRPr="002C2037">
              <w:rPr>
                <w:noProof/>
                <w:webHidden/>
              </w:rPr>
            </w:r>
            <w:r w:rsidR="00041E6F" w:rsidRPr="002C2037">
              <w:rPr>
                <w:noProof/>
                <w:webHidden/>
              </w:rPr>
              <w:fldChar w:fldCharType="separate"/>
            </w:r>
            <w:r w:rsidR="00041E6F" w:rsidRPr="002C2037">
              <w:rPr>
                <w:noProof/>
                <w:webHidden/>
              </w:rPr>
              <w:t>28</w:t>
            </w:r>
            <w:r w:rsidR="00041E6F" w:rsidRPr="002C2037">
              <w:rPr>
                <w:noProof/>
                <w:webHidden/>
              </w:rPr>
              <w:fldChar w:fldCharType="end"/>
            </w:r>
          </w:hyperlink>
        </w:p>
        <w:p w14:paraId="676BD8B5" w14:textId="007A7AD0"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35" w:history="1">
            <w:r w:rsidR="00041E6F" w:rsidRPr="002C2037">
              <w:rPr>
                <w:rStyle w:val="Hyperlink"/>
                <w:noProof/>
                <w:color w:val="495965" w:themeColor="text2"/>
              </w:rPr>
              <w:t>Annex A Terms of Reference</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_Toc120544535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30</w:t>
            </w:r>
            <w:r w:rsidR="00041E6F" w:rsidRPr="002C2037">
              <w:rPr>
                <w:noProof/>
                <w:webHidden/>
                <w:color w:val="495965" w:themeColor="text2"/>
              </w:rPr>
              <w:fldChar w:fldCharType="end"/>
            </w:r>
          </w:hyperlink>
        </w:p>
        <w:p w14:paraId="2F658FCA" w14:textId="4D634163"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36" w:history="1">
            <w:r w:rsidR="00041E6F" w:rsidRPr="002C2037">
              <w:rPr>
                <w:rStyle w:val="Hyperlink"/>
                <w:noProof/>
                <w:color w:val="495965" w:themeColor="text2"/>
              </w:rPr>
              <w:t>Annex B Key informants interviewed</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_Toc120544536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32</w:t>
            </w:r>
            <w:r w:rsidR="00041E6F" w:rsidRPr="002C2037">
              <w:rPr>
                <w:noProof/>
                <w:webHidden/>
                <w:color w:val="495965" w:themeColor="text2"/>
              </w:rPr>
              <w:fldChar w:fldCharType="end"/>
            </w:r>
          </w:hyperlink>
        </w:p>
        <w:p w14:paraId="664A11C5" w14:textId="1EFE99CD"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37" w:history="1">
            <w:r w:rsidR="00041E6F" w:rsidRPr="002C2037">
              <w:rPr>
                <w:rStyle w:val="Hyperlink"/>
                <w:noProof/>
                <w:color w:val="495965" w:themeColor="text2"/>
              </w:rPr>
              <w:t>Annex C World Bank and ADB gender commitments</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_Toc120544537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33</w:t>
            </w:r>
            <w:r w:rsidR="00041E6F" w:rsidRPr="002C2037">
              <w:rPr>
                <w:noProof/>
                <w:webHidden/>
                <w:color w:val="495965" w:themeColor="text2"/>
              </w:rPr>
              <w:fldChar w:fldCharType="end"/>
            </w:r>
          </w:hyperlink>
        </w:p>
        <w:p w14:paraId="4298A728" w14:textId="4A1344AB"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38" w:history="1">
            <w:r w:rsidR="00041E6F" w:rsidRPr="002C2037">
              <w:rPr>
                <w:rStyle w:val="Hyperlink"/>
                <w:noProof/>
                <w:color w:val="495965" w:themeColor="text2"/>
              </w:rPr>
              <w:t>Annex D Gender actions in budget support operations</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_Toc120544538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35</w:t>
            </w:r>
            <w:r w:rsidR="00041E6F" w:rsidRPr="002C2037">
              <w:rPr>
                <w:noProof/>
                <w:webHidden/>
                <w:color w:val="495965" w:themeColor="text2"/>
              </w:rPr>
              <w:fldChar w:fldCharType="end"/>
            </w:r>
          </w:hyperlink>
        </w:p>
        <w:p w14:paraId="75517548" w14:textId="77E75164"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39" w:history="1">
            <w:r w:rsidR="00041E6F" w:rsidRPr="002C2037">
              <w:rPr>
                <w:rStyle w:val="Hyperlink"/>
                <w:noProof/>
                <w:color w:val="495965" w:themeColor="text2"/>
              </w:rPr>
              <w:t>Annex E Fiji case study</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_Toc120544539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41</w:t>
            </w:r>
            <w:r w:rsidR="00041E6F" w:rsidRPr="002C2037">
              <w:rPr>
                <w:noProof/>
                <w:webHidden/>
                <w:color w:val="495965" w:themeColor="text2"/>
              </w:rPr>
              <w:fldChar w:fldCharType="end"/>
            </w:r>
          </w:hyperlink>
        </w:p>
        <w:p w14:paraId="510D3D7F" w14:textId="70B64436"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40" w:history="1">
            <w:r w:rsidR="00041E6F" w:rsidRPr="002C2037">
              <w:rPr>
                <w:rStyle w:val="Hyperlink"/>
                <w:noProof/>
                <w:color w:val="495965" w:themeColor="text2"/>
              </w:rPr>
              <w:t>Annex F Timor-Leste case study</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_Toc120544540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45</w:t>
            </w:r>
            <w:r w:rsidR="00041E6F" w:rsidRPr="002C2037">
              <w:rPr>
                <w:noProof/>
                <w:webHidden/>
                <w:color w:val="495965" w:themeColor="text2"/>
              </w:rPr>
              <w:fldChar w:fldCharType="end"/>
            </w:r>
          </w:hyperlink>
        </w:p>
        <w:p w14:paraId="03FD122C" w14:textId="0554C866"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41" w:history="1">
            <w:r w:rsidR="00041E6F" w:rsidRPr="002C2037">
              <w:rPr>
                <w:rStyle w:val="Hyperlink"/>
                <w:noProof/>
                <w:color w:val="495965" w:themeColor="text2"/>
              </w:rPr>
              <w:t>Annex G Gender mainstreaming in Pacific Island Countries</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_Toc120544541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48</w:t>
            </w:r>
            <w:r w:rsidR="00041E6F" w:rsidRPr="002C2037">
              <w:rPr>
                <w:noProof/>
                <w:webHidden/>
                <w:color w:val="495965" w:themeColor="text2"/>
              </w:rPr>
              <w:fldChar w:fldCharType="end"/>
            </w:r>
          </w:hyperlink>
        </w:p>
        <w:p w14:paraId="1EAEDE14" w14:textId="639B7D7C" w:rsidR="00041E6F" w:rsidRPr="002C2037" w:rsidRDefault="005E302F" w:rsidP="00041E6F">
          <w:pPr>
            <w:pStyle w:val="TOC1"/>
            <w:tabs>
              <w:tab w:val="left" w:pos="9639"/>
            </w:tabs>
            <w:spacing w:line="220" w:lineRule="exact"/>
            <w:rPr>
              <w:rFonts w:eastAsiaTheme="minorEastAsia"/>
              <w:b w:val="0"/>
              <w:caps w:val="0"/>
              <w:noProof/>
              <w:color w:val="495965" w:themeColor="text2"/>
              <w:sz w:val="22"/>
              <w:lang w:val="en-AU" w:eastAsia="en-AU"/>
            </w:rPr>
          </w:pPr>
          <w:hyperlink w:anchor="_Toc120544542" w:history="1">
            <w:r w:rsidR="00041E6F" w:rsidRPr="002C2037">
              <w:rPr>
                <w:rStyle w:val="Hyperlink"/>
                <w:rFonts w:eastAsia="Times New Roman"/>
                <w:noProof/>
                <w:color w:val="495965" w:themeColor="text2"/>
              </w:rPr>
              <w:t>References</w:t>
            </w:r>
            <w:r w:rsidR="00041E6F" w:rsidRPr="002C2037">
              <w:rPr>
                <w:noProof/>
                <w:webHidden/>
                <w:color w:val="495965" w:themeColor="text2"/>
              </w:rPr>
              <w:tab/>
            </w:r>
            <w:r w:rsidR="00041E6F" w:rsidRPr="002C2037">
              <w:rPr>
                <w:noProof/>
                <w:webHidden/>
                <w:color w:val="495965" w:themeColor="text2"/>
              </w:rPr>
              <w:fldChar w:fldCharType="begin"/>
            </w:r>
            <w:r w:rsidR="00041E6F" w:rsidRPr="002C2037">
              <w:rPr>
                <w:noProof/>
                <w:webHidden/>
                <w:color w:val="495965" w:themeColor="text2"/>
              </w:rPr>
              <w:instrText xml:space="preserve"> PAGEREF _Toc120544542 \h </w:instrText>
            </w:r>
            <w:r w:rsidR="00041E6F" w:rsidRPr="002C2037">
              <w:rPr>
                <w:noProof/>
                <w:webHidden/>
                <w:color w:val="495965" w:themeColor="text2"/>
              </w:rPr>
            </w:r>
            <w:r w:rsidR="00041E6F" w:rsidRPr="002C2037">
              <w:rPr>
                <w:noProof/>
                <w:webHidden/>
                <w:color w:val="495965" w:themeColor="text2"/>
              </w:rPr>
              <w:fldChar w:fldCharType="separate"/>
            </w:r>
            <w:r w:rsidR="00041E6F" w:rsidRPr="002C2037">
              <w:rPr>
                <w:noProof/>
                <w:webHidden/>
                <w:color w:val="495965" w:themeColor="text2"/>
              </w:rPr>
              <w:t>50</w:t>
            </w:r>
            <w:r w:rsidR="00041E6F" w:rsidRPr="002C2037">
              <w:rPr>
                <w:noProof/>
                <w:webHidden/>
                <w:color w:val="495965" w:themeColor="text2"/>
              </w:rPr>
              <w:fldChar w:fldCharType="end"/>
            </w:r>
          </w:hyperlink>
        </w:p>
        <w:p w14:paraId="48D22913" w14:textId="358A72AB" w:rsidR="00C862E1" w:rsidRDefault="00C862E1" w:rsidP="00041E6F">
          <w:pPr>
            <w:tabs>
              <w:tab w:val="left" w:pos="9639"/>
            </w:tabs>
            <w:spacing w:line="220" w:lineRule="exact"/>
          </w:pPr>
          <w:r>
            <w:rPr>
              <w:b/>
              <w:bCs/>
              <w:noProof/>
            </w:rPr>
            <w:fldChar w:fldCharType="end"/>
          </w:r>
        </w:p>
      </w:sdtContent>
    </w:sdt>
    <w:p w14:paraId="73B79924" w14:textId="017898B8" w:rsidR="00C862E1" w:rsidRPr="000C60DE" w:rsidRDefault="00C862E1" w:rsidP="003F31D9">
      <w:pPr>
        <w:spacing w:after="60"/>
        <w:rPr>
          <w:rFonts w:asciiTheme="majorHAnsi" w:hAnsiTheme="majorHAnsi" w:cstheme="majorHAnsi"/>
          <w:b/>
          <w:bCs/>
          <w:sz w:val="38"/>
          <w:szCs w:val="38"/>
        </w:rPr>
      </w:pPr>
      <w:r w:rsidRPr="000C60DE">
        <w:rPr>
          <w:rFonts w:asciiTheme="majorHAnsi" w:hAnsiTheme="majorHAnsi" w:cstheme="majorHAnsi"/>
          <w:b/>
          <w:bCs/>
          <w:sz w:val="38"/>
          <w:szCs w:val="38"/>
        </w:rPr>
        <w:lastRenderedPageBreak/>
        <w:t>ABBREVIATIONS</w:t>
      </w: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8729"/>
      </w:tblGrid>
      <w:tr w:rsidR="00C862E1" w14:paraId="2917DAC7" w14:textId="77777777" w:rsidTr="00D519D9">
        <w:tc>
          <w:tcPr>
            <w:tcW w:w="623" w:type="pct"/>
          </w:tcPr>
          <w:p w14:paraId="657AF7E1" w14:textId="77777777" w:rsidR="00C862E1" w:rsidRPr="00364445" w:rsidRDefault="00C862E1" w:rsidP="003F31D9">
            <w:pPr>
              <w:spacing w:before="0" w:after="20"/>
              <w:rPr>
                <w:b/>
                <w:bCs/>
              </w:rPr>
            </w:pPr>
            <w:r w:rsidRPr="00364445">
              <w:rPr>
                <w:b/>
                <w:bCs/>
              </w:rPr>
              <w:t>ADB</w:t>
            </w:r>
          </w:p>
        </w:tc>
        <w:tc>
          <w:tcPr>
            <w:tcW w:w="4377" w:type="pct"/>
          </w:tcPr>
          <w:p w14:paraId="3984720B" w14:textId="77777777" w:rsidR="00C862E1" w:rsidRDefault="00C862E1" w:rsidP="003F31D9">
            <w:pPr>
              <w:spacing w:before="0" w:after="20"/>
            </w:pPr>
            <w:r w:rsidRPr="00917390">
              <w:t>Asian Development Bank</w:t>
            </w:r>
          </w:p>
        </w:tc>
      </w:tr>
      <w:tr w:rsidR="00C862E1" w14:paraId="7ECB0405" w14:textId="77777777" w:rsidTr="00D519D9">
        <w:tc>
          <w:tcPr>
            <w:tcW w:w="623" w:type="pct"/>
          </w:tcPr>
          <w:p w14:paraId="1330C269" w14:textId="77777777" w:rsidR="00C862E1" w:rsidRPr="00364445" w:rsidRDefault="00C862E1" w:rsidP="003F31D9">
            <w:pPr>
              <w:spacing w:before="0" w:after="20"/>
              <w:rPr>
                <w:b/>
                <w:bCs/>
              </w:rPr>
            </w:pPr>
            <w:r>
              <w:rPr>
                <w:b/>
                <w:bCs/>
              </w:rPr>
              <w:t>CAT-DDO</w:t>
            </w:r>
          </w:p>
        </w:tc>
        <w:tc>
          <w:tcPr>
            <w:tcW w:w="4377" w:type="pct"/>
          </w:tcPr>
          <w:p w14:paraId="509EFFE0" w14:textId="77777777" w:rsidR="00C862E1" w:rsidRDefault="00C862E1" w:rsidP="003F31D9">
            <w:pPr>
              <w:spacing w:before="0" w:after="20"/>
            </w:pPr>
            <w:r>
              <w:t>(World Bank) Catastrophe Deferred Drawdown Option</w:t>
            </w:r>
          </w:p>
        </w:tc>
      </w:tr>
      <w:tr w:rsidR="00C862E1" w14:paraId="7E0F9ED6" w14:textId="77777777" w:rsidTr="00D519D9">
        <w:tc>
          <w:tcPr>
            <w:tcW w:w="623" w:type="pct"/>
          </w:tcPr>
          <w:p w14:paraId="4D66373D" w14:textId="77777777" w:rsidR="00C862E1" w:rsidRPr="00364445" w:rsidRDefault="00C862E1" w:rsidP="003F31D9">
            <w:pPr>
              <w:spacing w:before="0" w:after="20"/>
              <w:rPr>
                <w:b/>
                <w:bCs/>
              </w:rPr>
            </w:pPr>
            <w:r>
              <w:rPr>
                <w:b/>
                <w:bCs/>
              </w:rPr>
              <w:t>CDF</w:t>
            </w:r>
          </w:p>
        </w:tc>
        <w:tc>
          <w:tcPr>
            <w:tcW w:w="4377" w:type="pct"/>
          </w:tcPr>
          <w:p w14:paraId="65621013" w14:textId="77777777" w:rsidR="00C862E1" w:rsidRDefault="00C862E1" w:rsidP="003F31D9">
            <w:pPr>
              <w:spacing w:before="0" w:after="20"/>
            </w:pPr>
            <w:r>
              <w:t>(Asian Development Bank) Contingent Disaster Finance</w:t>
            </w:r>
          </w:p>
        </w:tc>
      </w:tr>
      <w:tr w:rsidR="00C862E1" w14:paraId="6A059538" w14:textId="77777777" w:rsidTr="00D519D9">
        <w:tc>
          <w:tcPr>
            <w:tcW w:w="623" w:type="pct"/>
          </w:tcPr>
          <w:p w14:paraId="384D7433" w14:textId="77777777" w:rsidR="00C862E1" w:rsidRPr="00364445" w:rsidRDefault="00C862E1" w:rsidP="003F31D9">
            <w:pPr>
              <w:spacing w:before="0" w:after="20"/>
              <w:rPr>
                <w:b/>
                <w:bCs/>
              </w:rPr>
            </w:pPr>
            <w:r w:rsidRPr="00364445">
              <w:rPr>
                <w:b/>
                <w:bCs/>
              </w:rPr>
              <w:t>DFAT</w:t>
            </w:r>
          </w:p>
        </w:tc>
        <w:tc>
          <w:tcPr>
            <w:tcW w:w="4377" w:type="pct"/>
          </w:tcPr>
          <w:p w14:paraId="0E6F9721" w14:textId="77777777" w:rsidR="00C862E1" w:rsidRDefault="00C862E1" w:rsidP="003F31D9">
            <w:pPr>
              <w:spacing w:before="0" w:after="20"/>
            </w:pPr>
            <w:r>
              <w:t xml:space="preserve">(Australian) </w:t>
            </w:r>
            <w:r w:rsidRPr="00917390">
              <w:t>Department of Foreign Affairs and Trade</w:t>
            </w:r>
          </w:p>
        </w:tc>
      </w:tr>
      <w:tr w:rsidR="00C862E1" w14:paraId="3C4D7E3E" w14:textId="77777777" w:rsidTr="00D519D9">
        <w:tc>
          <w:tcPr>
            <w:tcW w:w="623" w:type="pct"/>
          </w:tcPr>
          <w:p w14:paraId="733A6314" w14:textId="77777777" w:rsidR="00C862E1" w:rsidRPr="00364445" w:rsidRDefault="00C862E1" w:rsidP="003F31D9">
            <w:pPr>
              <w:spacing w:before="0" w:after="20"/>
              <w:rPr>
                <w:b/>
                <w:bCs/>
              </w:rPr>
            </w:pPr>
            <w:r w:rsidRPr="00364445">
              <w:rPr>
                <w:b/>
                <w:bCs/>
              </w:rPr>
              <w:t>DPO</w:t>
            </w:r>
          </w:p>
        </w:tc>
        <w:tc>
          <w:tcPr>
            <w:tcW w:w="4377" w:type="pct"/>
          </w:tcPr>
          <w:p w14:paraId="21F7D906" w14:textId="77777777" w:rsidR="00C862E1" w:rsidRPr="00917390" w:rsidRDefault="00C862E1" w:rsidP="003F31D9">
            <w:pPr>
              <w:spacing w:before="0" w:after="20"/>
            </w:pPr>
            <w:r>
              <w:t>(World Bank) Development Policy Operation</w:t>
            </w:r>
          </w:p>
        </w:tc>
      </w:tr>
      <w:tr w:rsidR="00C862E1" w14:paraId="449CCF0F" w14:textId="77777777" w:rsidTr="00D519D9">
        <w:tc>
          <w:tcPr>
            <w:tcW w:w="623" w:type="pct"/>
          </w:tcPr>
          <w:p w14:paraId="03F0D9CF" w14:textId="77777777" w:rsidR="00C862E1" w:rsidRPr="00364445" w:rsidRDefault="00C862E1" w:rsidP="003F31D9">
            <w:pPr>
              <w:spacing w:before="0" w:after="20"/>
              <w:rPr>
                <w:b/>
                <w:bCs/>
              </w:rPr>
            </w:pPr>
            <w:r w:rsidRPr="00364445">
              <w:rPr>
                <w:b/>
                <w:bCs/>
              </w:rPr>
              <w:t>DRM</w:t>
            </w:r>
          </w:p>
        </w:tc>
        <w:tc>
          <w:tcPr>
            <w:tcW w:w="4377" w:type="pct"/>
          </w:tcPr>
          <w:p w14:paraId="49E0800A" w14:textId="77777777" w:rsidR="00C862E1" w:rsidRPr="00917390" w:rsidRDefault="00C862E1" w:rsidP="003F31D9">
            <w:pPr>
              <w:spacing w:before="0" w:after="20"/>
            </w:pPr>
            <w:r w:rsidRPr="00B52B5D">
              <w:t>Disaster Risk Management</w:t>
            </w:r>
          </w:p>
        </w:tc>
      </w:tr>
      <w:tr w:rsidR="00C862E1" w14:paraId="576F76C7" w14:textId="77777777" w:rsidTr="00D519D9">
        <w:tc>
          <w:tcPr>
            <w:tcW w:w="623" w:type="pct"/>
          </w:tcPr>
          <w:p w14:paraId="4EC03A9B" w14:textId="77777777" w:rsidR="00C862E1" w:rsidRPr="00364445" w:rsidRDefault="00C862E1" w:rsidP="003F31D9">
            <w:pPr>
              <w:spacing w:before="0" w:after="20"/>
              <w:rPr>
                <w:b/>
                <w:bCs/>
              </w:rPr>
            </w:pPr>
            <w:r w:rsidRPr="00364445">
              <w:rPr>
                <w:b/>
                <w:bCs/>
              </w:rPr>
              <w:t>EU</w:t>
            </w:r>
          </w:p>
        </w:tc>
        <w:tc>
          <w:tcPr>
            <w:tcW w:w="4377" w:type="pct"/>
          </w:tcPr>
          <w:p w14:paraId="3F952313" w14:textId="77777777" w:rsidR="00C862E1" w:rsidRPr="00917390" w:rsidRDefault="00C862E1" w:rsidP="003F31D9">
            <w:pPr>
              <w:spacing w:before="0" w:after="20"/>
            </w:pPr>
            <w:r>
              <w:t>European Union</w:t>
            </w:r>
          </w:p>
        </w:tc>
      </w:tr>
      <w:tr w:rsidR="00C862E1" w14:paraId="636F3F97" w14:textId="77777777" w:rsidTr="00D519D9">
        <w:tc>
          <w:tcPr>
            <w:tcW w:w="623" w:type="pct"/>
          </w:tcPr>
          <w:p w14:paraId="6A2C9931" w14:textId="77777777" w:rsidR="00C862E1" w:rsidRPr="00364445" w:rsidRDefault="00C862E1" w:rsidP="003F31D9">
            <w:pPr>
              <w:spacing w:before="0" w:after="20"/>
              <w:rPr>
                <w:b/>
                <w:bCs/>
              </w:rPr>
            </w:pPr>
            <w:r w:rsidRPr="00364445">
              <w:rPr>
                <w:b/>
                <w:bCs/>
              </w:rPr>
              <w:t>FEMM</w:t>
            </w:r>
          </w:p>
        </w:tc>
        <w:tc>
          <w:tcPr>
            <w:tcW w:w="4377" w:type="pct"/>
          </w:tcPr>
          <w:p w14:paraId="4BFDD207" w14:textId="652D3B5F" w:rsidR="00C862E1" w:rsidRDefault="000C27F2" w:rsidP="003F31D9">
            <w:pPr>
              <w:spacing w:before="0" w:after="20"/>
            </w:pPr>
            <w:r>
              <w:t>(P</w:t>
            </w:r>
            <w:r w:rsidR="009C0D62">
              <w:t>acific Islands Forum</w:t>
            </w:r>
            <w:r>
              <w:t xml:space="preserve">) </w:t>
            </w:r>
            <w:r w:rsidR="00C862E1" w:rsidRPr="00917390">
              <w:t>Forum Economic Ministers Meeting</w:t>
            </w:r>
          </w:p>
        </w:tc>
      </w:tr>
      <w:tr w:rsidR="00206C97" w14:paraId="46C9010C" w14:textId="77777777" w:rsidTr="00D519D9">
        <w:tc>
          <w:tcPr>
            <w:tcW w:w="623" w:type="pct"/>
          </w:tcPr>
          <w:p w14:paraId="6AA95C86" w14:textId="0A3D5783" w:rsidR="00206C97" w:rsidRPr="00364445" w:rsidRDefault="00206C97" w:rsidP="003F31D9">
            <w:pPr>
              <w:spacing w:before="0" w:after="20"/>
              <w:rPr>
                <w:b/>
                <w:bCs/>
              </w:rPr>
            </w:pPr>
            <w:r>
              <w:rPr>
                <w:b/>
                <w:bCs/>
              </w:rPr>
              <w:t>FSM</w:t>
            </w:r>
          </w:p>
        </w:tc>
        <w:tc>
          <w:tcPr>
            <w:tcW w:w="4377" w:type="pct"/>
          </w:tcPr>
          <w:p w14:paraId="7E4F6455" w14:textId="6455EB73" w:rsidR="00206C97" w:rsidRPr="00917390" w:rsidRDefault="00206C97" w:rsidP="003F31D9">
            <w:pPr>
              <w:spacing w:before="0" w:after="20"/>
            </w:pPr>
            <w:r>
              <w:t>Federated States of Micronesia</w:t>
            </w:r>
          </w:p>
        </w:tc>
      </w:tr>
      <w:tr w:rsidR="00C862E1" w14:paraId="3B6F56AD" w14:textId="77777777" w:rsidTr="00D519D9">
        <w:tc>
          <w:tcPr>
            <w:tcW w:w="623" w:type="pct"/>
          </w:tcPr>
          <w:p w14:paraId="3DE77705" w14:textId="77777777" w:rsidR="00C862E1" w:rsidRPr="00364445" w:rsidRDefault="00C862E1" w:rsidP="003F31D9">
            <w:pPr>
              <w:spacing w:before="0" w:after="20"/>
              <w:rPr>
                <w:b/>
                <w:bCs/>
              </w:rPr>
            </w:pPr>
            <w:r w:rsidRPr="00364445">
              <w:rPr>
                <w:b/>
                <w:bCs/>
              </w:rPr>
              <w:t>GBV</w:t>
            </w:r>
          </w:p>
        </w:tc>
        <w:tc>
          <w:tcPr>
            <w:tcW w:w="4377" w:type="pct"/>
          </w:tcPr>
          <w:p w14:paraId="73CDDB9F" w14:textId="77777777" w:rsidR="00C862E1" w:rsidRDefault="00C862E1" w:rsidP="003F31D9">
            <w:pPr>
              <w:spacing w:before="0" w:after="20"/>
            </w:pPr>
            <w:r w:rsidRPr="00917390">
              <w:t>Gender Based Violence</w:t>
            </w:r>
          </w:p>
        </w:tc>
      </w:tr>
      <w:tr w:rsidR="00C862E1" w14:paraId="7BA32B0F" w14:textId="77777777" w:rsidTr="00D519D9">
        <w:tc>
          <w:tcPr>
            <w:tcW w:w="623" w:type="pct"/>
          </w:tcPr>
          <w:p w14:paraId="395D04B0" w14:textId="77777777" w:rsidR="00C862E1" w:rsidRPr="00364445" w:rsidRDefault="00C862E1" w:rsidP="003F31D9">
            <w:pPr>
              <w:spacing w:before="0" w:after="20"/>
              <w:rPr>
                <w:b/>
                <w:bCs/>
              </w:rPr>
            </w:pPr>
            <w:r w:rsidRPr="00364445">
              <w:rPr>
                <w:b/>
                <w:bCs/>
              </w:rPr>
              <w:t>GRB</w:t>
            </w:r>
          </w:p>
        </w:tc>
        <w:tc>
          <w:tcPr>
            <w:tcW w:w="4377" w:type="pct"/>
          </w:tcPr>
          <w:p w14:paraId="4089A59C" w14:textId="77777777" w:rsidR="00C862E1" w:rsidRDefault="00C862E1" w:rsidP="003F31D9">
            <w:pPr>
              <w:spacing w:before="0" w:after="20"/>
            </w:pPr>
            <w:r w:rsidRPr="00917390">
              <w:t>Gender Responsive Budgeting</w:t>
            </w:r>
          </w:p>
        </w:tc>
      </w:tr>
      <w:tr w:rsidR="00C862E1" w14:paraId="278A8BF2" w14:textId="77777777" w:rsidTr="00D519D9">
        <w:tc>
          <w:tcPr>
            <w:tcW w:w="623" w:type="pct"/>
          </w:tcPr>
          <w:p w14:paraId="3DB7D30A" w14:textId="77777777" w:rsidR="00C862E1" w:rsidRPr="00364445" w:rsidRDefault="00C862E1" w:rsidP="003F31D9">
            <w:pPr>
              <w:spacing w:before="0" w:after="20"/>
              <w:rPr>
                <w:b/>
                <w:bCs/>
              </w:rPr>
            </w:pPr>
            <w:r w:rsidRPr="00364445">
              <w:rPr>
                <w:b/>
                <w:bCs/>
              </w:rPr>
              <w:t>GRPFM</w:t>
            </w:r>
          </w:p>
        </w:tc>
        <w:tc>
          <w:tcPr>
            <w:tcW w:w="4377" w:type="pct"/>
          </w:tcPr>
          <w:p w14:paraId="5027F262" w14:textId="77777777" w:rsidR="00C862E1" w:rsidRDefault="00C862E1" w:rsidP="003F31D9">
            <w:pPr>
              <w:spacing w:before="0" w:after="20"/>
            </w:pPr>
            <w:r w:rsidRPr="00917390">
              <w:t>Gender Responsive Public Financial Management</w:t>
            </w:r>
          </w:p>
        </w:tc>
      </w:tr>
      <w:tr w:rsidR="001B2ED9" w14:paraId="6BD3E716" w14:textId="77777777" w:rsidTr="00D519D9">
        <w:tc>
          <w:tcPr>
            <w:tcW w:w="623" w:type="pct"/>
          </w:tcPr>
          <w:p w14:paraId="3C80F47E" w14:textId="101A383A" w:rsidR="001B2ED9" w:rsidRDefault="001B2ED9" w:rsidP="003F31D9">
            <w:pPr>
              <w:spacing w:before="0" w:after="20"/>
              <w:rPr>
                <w:b/>
                <w:bCs/>
              </w:rPr>
            </w:pPr>
            <w:r>
              <w:rPr>
                <w:b/>
                <w:bCs/>
              </w:rPr>
              <w:t>IBRD</w:t>
            </w:r>
          </w:p>
        </w:tc>
        <w:tc>
          <w:tcPr>
            <w:tcW w:w="4377" w:type="pct"/>
          </w:tcPr>
          <w:p w14:paraId="3A305905" w14:textId="1790E2EB" w:rsidR="001B2ED9" w:rsidRPr="00E22969" w:rsidRDefault="00E22969" w:rsidP="003F31D9">
            <w:pPr>
              <w:spacing w:before="0" w:after="20"/>
            </w:pPr>
            <w:r>
              <w:t xml:space="preserve">(World Bank) </w:t>
            </w:r>
            <w:r w:rsidRPr="00E22969">
              <w:t>International Bank for Reconstruction and Development</w:t>
            </w:r>
          </w:p>
        </w:tc>
      </w:tr>
      <w:tr w:rsidR="001B2ED9" w14:paraId="0ABAF7BB" w14:textId="77777777" w:rsidTr="00D519D9">
        <w:tc>
          <w:tcPr>
            <w:tcW w:w="623" w:type="pct"/>
          </w:tcPr>
          <w:p w14:paraId="42C5F09F" w14:textId="5E1317BC" w:rsidR="001B2ED9" w:rsidRPr="00364445" w:rsidRDefault="001B2ED9" w:rsidP="003F31D9">
            <w:pPr>
              <w:spacing w:before="0" w:after="20"/>
              <w:rPr>
                <w:b/>
                <w:bCs/>
              </w:rPr>
            </w:pPr>
            <w:r>
              <w:rPr>
                <w:b/>
                <w:bCs/>
              </w:rPr>
              <w:t>IDA</w:t>
            </w:r>
          </w:p>
        </w:tc>
        <w:tc>
          <w:tcPr>
            <w:tcW w:w="4377" w:type="pct"/>
          </w:tcPr>
          <w:p w14:paraId="3EACEADD" w14:textId="10E5C8C0" w:rsidR="001B2ED9" w:rsidRPr="00917390" w:rsidRDefault="001B2ED9" w:rsidP="003F31D9">
            <w:pPr>
              <w:spacing w:before="0" w:after="20"/>
            </w:pPr>
            <w:r>
              <w:t>(World Bank) International Development Association</w:t>
            </w:r>
          </w:p>
        </w:tc>
      </w:tr>
      <w:tr w:rsidR="003F31D9" w14:paraId="657F46A5" w14:textId="77777777" w:rsidTr="00D519D9">
        <w:tc>
          <w:tcPr>
            <w:tcW w:w="623" w:type="pct"/>
          </w:tcPr>
          <w:p w14:paraId="5B10C413" w14:textId="29ACED63" w:rsidR="003F31D9" w:rsidRDefault="003F31D9" w:rsidP="003F31D9">
            <w:pPr>
              <w:spacing w:before="0" w:after="20"/>
              <w:rPr>
                <w:b/>
                <w:bCs/>
              </w:rPr>
            </w:pPr>
            <w:r>
              <w:rPr>
                <w:b/>
                <w:bCs/>
              </w:rPr>
              <w:t>IFC</w:t>
            </w:r>
          </w:p>
        </w:tc>
        <w:tc>
          <w:tcPr>
            <w:tcW w:w="4377" w:type="pct"/>
          </w:tcPr>
          <w:p w14:paraId="2D3F03BD" w14:textId="5D22AD61" w:rsidR="003F31D9" w:rsidRDefault="003F31D9" w:rsidP="003F31D9">
            <w:pPr>
              <w:spacing w:before="0" w:after="20"/>
            </w:pPr>
            <w:r>
              <w:t xml:space="preserve">(World Bank) </w:t>
            </w:r>
            <w:r w:rsidRPr="006333A2">
              <w:t>International Financial Corporation</w:t>
            </w:r>
          </w:p>
        </w:tc>
      </w:tr>
      <w:tr w:rsidR="00C862E1" w14:paraId="6EAF371C" w14:textId="77777777" w:rsidTr="00D519D9">
        <w:tc>
          <w:tcPr>
            <w:tcW w:w="623" w:type="pct"/>
          </w:tcPr>
          <w:p w14:paraId="09277D70" w14:textId="77777777" w:rsidR="00C862E1" w:rsidRPr="00364445" w:rsidRDefault="00C862E1" w:rsidP="003F31D9">
            <w:pPr>
              <w:spacing w:before="0" w:after="20"/>
              <w:rPr>
                <w:b/>
                <w:bCs/>
              </w:rPr>
            </w:pPr>
            <w:r w:rsidRPr="00364445">
              <w:rPr>
                <w:b/>
                <w:bCs/>
              </w:rPr>
              <w:t>IMF</w:t>
            </w:r>
          </w:p>
        </w:tc>
        <w:tc>
          <w:tcPr>
            <w:tcW w:w="4377" w:type="pct"/>
          </w:tcPr>
          <w:p w14:paraId="4B03DFD8" w14:textId="77777777" w:rsidR="00C862E1" w:rsidRDefault="00C862E1" w:rsidP="003F31D9">
            <w:pPr>
              <w:spacing w:before="0" w:after="20"/>
            </w:pPr>
            <w:r w:rsidRPr="00917390">
              <w:t>International Monetary Fund</w:t>
            </w:r>
          </w:p>
        </w:tc>
      </w:tr>
      <w:tr w:rsidR="00C862E1" w14:paraId="43605088" w14:textId="77777777" w:rsidTr="00D519D9">
        <w:tc>
          <w:tcPr>
            <w:tcW w:w="623" w:type="pct"/>
          </w:tcPr>
          <w:p w14:paraId="52E21E9D" w14:textId="77777777" w:rsidR="00C862E1" w:rsidRPr="00364445" w:rsidRDefault="00C862E1" w:rsidP="003F31D9">
            <w:pPr>
              <w:spacing w:before="0" w:after="20"/>
              <w:rPr>
                <w:b/>
                <w:bCs/>
              </w:rPr>
            </w:pPr>
            <w:r w:rsidRPr="00364445">
              <w:rPr>
                <w:b/>
                <w:bCs/>
              </w:rPr>
              <w:t>M&amp;E</w:t>
            </w:r>
          </w:p>
        </w:tc>
        <w:tc>
          <w:tcPr>
            <w:tcW w:w="4377" w:type="pct"/>
          </w:tcPr>
          <w:p w14:paraId="47BD472C" w14:textId="77777777" w:rsidR="00C862E1" w:rsidRDefault="00C862E1" w:rsidP="003F31D9">
            <w:pPr>
              <w:spacing w:before="0" w:after="20"/>
            </w:pPr>
            <w:r>
              <w:t>Monitoring and Evaluation</w:t>
            </w:r>
          </w:p>
        </w:tc>
      </w:tr>
      <w:tr w:rsidR="00C862E1" w14:paraId="3FE2A90D" w14:textId="77777777" w:rsidTr="00D519D9">
        <w:tc>
          <w:tcPr>
            <w:tcW w:w="623" w:type="pct"/>
          </w:tcPr>
          <w:p w14:paraId="60FE3A4F" w14:textId="77777777" w:rsidR="00C862E1" w:rsidRPr="00364445" w:rsidRDefault="00C862E1" w:rsidP="003F31D9">
            <w:pPr>
              <w:spacing w:before="0" w:after="20"/>
              <w:rPr>
                <w:b/>
                <w:bCs/>
              </w:rPr>
            </w:pPr>
            <w:r w:rsidRPr="00364445">
              <w:rPr>
                <w:b/>
                <w:bCs/>
              </w:rPr>
              <w:t>MFAT</w:t>
            </w:r>
          </w:p>
        </w:tc>
        <w:tc>
          <w:tcPr>
            <w:tcW w:w="4377" w:type="pct"/>
          </w:tcPr>
          <w:p w14:paraId="140FDECA" w14:textId="77777777" w:rsidR="00C862E1" w:rsidRPr="00917390" w:rsidRDefault="00C862E1" w:rsidP="003F31D9">
            <w:pPr>
              <w:spacing w:before="0" w:after="20"/>
            </w:pPr>
            <w:r>
              <w:t>(New Zealand) Ministry of Foreign Affairs and Trade</w:t>
            </w:r>
          </w:p>
        </w:tc>
      </w:tr>
      <w:tr w:rsidR="00C862E1" w14:paraId="2194D18D" w14:textId="77777777" w:rsidTr="00D519D9">
        <w:tc>
          <w:tcPr>
            <w:tcW w:w="623" w:type="pct"/>
          </w:tcPr>
          <w:p w14:paraId="757C1E01" w14:textId="77777777" w:rsidR="00C862E1" w:rsidRPr="00364445" w:rsidRDefault="00C862E1" w:rsidP="003F31D9">
            <w:pPr>
              <w:spacing w:before="0" w:after="20"/>
              <w:rPr>
                <w:b/>
                <w:bCs/>
              </w:rPr>
            </w:pPr>
            <w:r w:rsidRPr="00364445">
              <w:rPr>
                <w:b/>
                <w:bCs/>
              </w:rPr>
              <w:t>NDP</w:t>
            </w:r>
          </w:p>
        </w:tc>
        <w:tc>
          <w:tcPr>
            <w:tcW w:w="4377" w:type="pct"/>
          </w:tcPr>
          <w:p w14:paraId="3597F4BD" w14:textId="77777777" w:rsidR="00C862E1" w:rsidRDefault="00C862E1" w:rsidP="003F31D9">
            <w:pPr>
              <w:spacing w:before="0" w:after="20"/>
            </w:pPr>
            <w:r w:rsidRPr="00917390">
              <w:t>National Development Plan</w:t>
            </w:r>
          </w:p>
        </w:tc>
      </w:tr>
      <w:tr w:rsidR="00C862E1" w14:paraId="48A5B0F0" w14:textId="77777777" w:rsidTr="00D519D9">
        <w:tc>
          <w:tcPr>
            <w:tcW w:w="623" w:type="pct"/>
          </w:tcPr>
          <w:p w14:paraId="6537CE5C" w14:textId="77777777" w:rsidR="00C862E1" w:rsidRPr="00364445" w:rsidRDefault="00C862E1" w:rsidP="003F31D9">
            <w:pPr>
              <w:spacing w:before="0" w:after="20"/>
              <w:rPr>
                <w:b/>
                <w:bCs/>
              </w:rPr>
            </w:pPr>
            <w:r w:rsidRPr="00364445">
              <w:rPr>
                <w:b/>
                <w:bCs/>
              </w:rPr>
              <w:t>NWM</w:t>
            </w:r>
          </w:p>
        </w:tc>
        <w:tc>
          <w:tcPr>
            <w:tcW w:w="4377" w:type="pct"/>
          </w:tcPr>
          <w:p w14:paraId="28F48BD8" w14:textId="0842071A" w:rsidR="00C862E1" w:rsidRDefault="00C862E1" w:rsidP="003F31D9">
            <w:pPr>
              <w:spacing w:before="0" w:after="20"/>
            </w:pPr>
            <w:r w:rsidRPr="00917390">
              <w:t xml:space="preserve">National </w:t>
            </w:r>
            <w:r w:rsidR="00206C97">
              <w:t>W</w:t>
            </w:r>
            <w:r w:rsidRPr="00917390">
              <w:t xml:space="preserve">omen’s </w:t>
            </w:r>
            <w:r w:rsidR="00206C97">
              <w:t>M</w:t>
            </w:r>
            <w:r w:rsidRPr="00917390">
              <w:t>achineries</w:t>
            </w:r>
          </w:p>
        </w:tc>
      </w:tr>
      <w:tr w:rsidR="00C862E1" w14:paraId="6A65E6E8" w14:textId="77777777" w:rsidTr="00D519D9">
        <w:tc>
          <w:tcPr>
            <w:tcW w:w="623" w:type="pct"/>
          </w:tcPr>
          <w:p w14:paraId="1781CE5E" w14:textId="77777777" w:rsidR="00C862E1" w:rsidRPr="00364445" w:rsidRDefault="00C862E1" w:rsidP="003F31D9">
            <w:pPr>
              <w:spacing w:before="0" w:after="20"/>
              <w:rPr>
                <w:b/>
                <w:bCs/>
              </w:rPr>
            </w:pPr>
            <w:r>
              <w:rPr>
                <w:b/>
                <w:bCs/>
              </w:rPr>
              <w:t>ODA</w:t>
            </w:r>
          </w:p>
        </w:tc>
        <w:tc>
          <w:tcPr>
            <w:tcW w:w="4377" w:type="pct"/>
          </w:tcPr>
          <w:p w14:paraId="69D6A431" w14:textId="77777777" w:rsidR="00C862E1" w:rsidRPr="00917390" w:rsidRDefault="00C862E1" w:rsidP="003F31D9">
            <w:pPr>
              <w:spacing w:before="0" w:after="20"/>
            </w:pPr>
            <w:r>
              <w:t>Official Development Assistance</w:t>
            </w:r>
          </w:p>
        </w:tc>
      </w:tr>
      <w:tr w:rsidR="006E20CB" w14:paraId="16000B65" w14:textId="77777777" w:rsidTr="00D519D9">
        <w:tc>
          <w:tcPr>
            <w:tcW w:w="623" w:type="pct"/>
          </w:tcPr>
          <w:p w14:paraId="7BEDAF27" w14:textId="16B96F33" w:rsidR="006E20CB" w:rsidRDefault="006E20CB" w:rsidP="003F31D9">
            <w:pPr>
              <w:spacing w:before="0" w:after="20"/>
              <w:rPr>
                <w:b/>
                <w:bCs/>
              </w:rPr>
            </w:pPr>
            <w:r>
              <w:rPr>
                <w:b/>
                <w:bCs/>
              </w:rPr>
              <w:t>ODI</w:t>
            </w:r>
          </w:p>
        </w:tc>
        <w:tc>
          <w:tcPr>
            <w:tcW w:w="4377" w:type="pct"/>
          </w:tcPr>
          <w:p w14:paraId="68656C7E" w14:textId="7E1C6E30" w:rsidR="006E20CB" w:rsidRPr="0037534A" w:rsidRDefault="006E20CB" w:rsidP="003F31D9">
            <w:pPr>
              <w:spacing w:before="0" w:after="20"/>
            </w:pPr>
            <w:r>
              <w:t>Overseas Development Institute</w:t>
            </w:r>
          </w:p>
        </w:tc>
      </w:tr>
      <w:tr w:rsidR="00C862E1" w14:paraId="3B1951D5" w14:textId="77777777" w:rsidTr="00D519D9">
        <w:tc>
          <w:tcPr>
            <w:tcW w:w="623" w:type="pct"/>
          </w:tcPr>
          <w:p w14:paraId="62583CD4" w14:textId="77777777" w:rsidR="00C862E1" w:rsidRDefault="00C862E1" w:rsidP="003F31D9">
            <w:pPr>
              <w:spacing w:before="0" w:after="20"/>
              <w:rPr>
                <w:b/>
                <w:bCs/>
              </w:rPr>
            </w:pPr>
            <w:r>
              <w:rPr>
                <w:b/>
                <w:bCs/>
              </w:rPr>
              <w:t>OECD</w:t>
            </w:r>
          </w:p>
        </w:tc>
        <w:tc>
          <w:tcPr>
            <w:tcW w:w="4377" w:type="pct"/>
          </w:tcPr>
          <w:p w14:paraId="6E227617" w14:textId="77777777" w:rsidR="00C862E1" w:rsidRDefault="00C862E1" w:rsidP="003F31D9">
            <w:pPr>
              <w:spacing w:before="0" w:after="20"/>
            </w:pPr>
            <w:r w:rsidRPr="0037534A">
              <w:t>Organization for Economic Cooperation and Development</w:t>
            </w:r>
          </w:p>
        </w:tc>
      </w:tr>
      <w:tr w:rsidR="00C862E1" w14:paraId="1689D9D8" w14:textId="77777777" w:rsidTr="00D519D9">
        <w:tc>
          <w:tcPr>
            <w:tcW w:w="623" w:type="pct"/>
          </w:tcPr>
          <w:p w14:paraId="55652D6C" w14:textId="77777777" w:rsidR="00C862E1" w:rsidRPr="00364445" w:rsidRDefault="00C862E1" w:rsidP="003F31D9">
            <w:pPr>
              <w:spacing w:before="0" w:after="20"/>
              <w:rPr>
                <w:b/>
                <w:bCs/>
              </w:rPr>
            </w:pPr>
            <w:r w:rsidRPr="00364445">
              <w:rPr>
                <w:b/>
                <w:bCs/>
              </w:rPr>
              <w:t>OTP</w:t>
            </w:r>
          </w:p>
        </w:tc>
        <w:tc>
          <w:tcPr>
            <w:tcW w:w="4377" w:type="pct"/>
          </w:tcPr>
          <w:p w14:paraId="258C684B" w14:textId="77777777" w:rsidR="00C862E1" w:rsidRDefault="00C862E1" w:rsidP="003F31D9">
            <w:pPr>
              <w:spacing w:before="0" w:after="20"/>
            </w:pPr>
            <w:r w:rsidRPr="00917390">
              <w:t>Office of the Pacific</w:t>
            </w:r>
          </w:p>
        </w:tc>
      </w:tr>
      <w:tr w:rsidR="00C862E1" w14:paraId="7D6BD8D5" w14:textId="77777777" w:rsidTr="00D519D9">
        <w:tc>
          <w:tcPr>
            <w:tcW w:w="623" w:type="pct"/>
          </w:tcPr>
          <w:p w14:paraId="4176E9B8" w14:textId="77777777" w:rsidR="00C862E1" w:rsidRPr="00364445" w:rsidRDefault="00C862E1" w:rsidP="003F31D9">
            <w:pPr>
              <w:spacing w:before="0" w:after="20"/>
              <w:rPr>
                <w:b/>
                <w:bCs/>
              </w:rPr>
            </w:pPr>
            <w:r w:rsidRPr="00364445">
              <w:rPr>
                <w:b/>
                <w:bCs/>
              </w:rPr>
              <w:t>PBL</w:t>
            </w:r>
          </w:p>
        </w:tc>
        <w:tc>
          <w:tcPr>
            <w:tcW w:w="4377" w:type="pct"/>
          </w:tcPr>
          <w:p w14:paraId="09F0FECE" w14:textId="77777777" w:rsidR="00C862E1" w:rsidRPr="00917390" w:rsidRDefault="00C862E1" w:rsidP="003F31D9">
            <w:pPr>
              <w:spacing w:before="0" w:after="20"/>
            </w:pPr>
            <w:r>
              <w:t>(Asian Development Bank) Policy Based Loan</w:t>
            </w:r>
          </w:p>
        </w:tc>
      </w:tr>
      <w:tr w:rsidR="00C862E1" w14:paraId="2B500674" w14:textId="77777777" w:rsidTr="00D519D9">
        <w:tc>
          <w:tcPr>
            <w:tcW w:w="623" w:type="pct"/>
          </w:tcPr>
          <w:p w14:paraId="2D6A65D5" w14:textId="77777777" w:rsidR="00C862E1" w:rsidRPr="00364445" w:rsidRDefault="00C862E1" w:rsidP="003F31D9">
            <w:pPr>
              <w:spacing w:before="0" w:after="20"/>
              <w:rPr>
                <w:b/>
                <w:bCs/>
              </w:rPr>
            </w:pPr>
            <w:r w:rsidRPr="00364445">
              <w:rPr>
                <w:b/>
                <w:bCs/>
              </w:rPr>
              <w:t>PEFA</w:t>
            </w:r>
          </w:p>
        </w:tc>
        <w:tc>
          <w:tcPr>
            <w:tcW w:w="4377" w:type="pct"/>
          </w:tcPr>
          <w:p w14:paraId="65D158FE" w14:textId="77777777" w:rsidR="00C862E1" w:rsidRDefault="00C862E1" w:rsidP="003F31D9">
            <w:pPr>
              <w:spacing w:before="0" w:after="20"/>
            </w:pPr>
            <w:r w:rsidRPr="00917390">
              <w:t>Public Expenditure and Financial Accountability</w:t>
            </w:r>
          </w:p>
        </w:tc>
      </w:tr>
      <w:tr w:rsidR="00C862E1" w14:paraId="10DE4083" w14:textId="77777777" w:rsidTr="00D519D9">
        <w:tc>
          <w:tcPr>
            <w:tcW w:w="623" w:type="pct"/>
          </w:tcPr>
          <w:p w14:paraId="3814657C" w14:textId="77777777" w:rsidR="00C862E1" w:rsidRPr="00364445" w:rsidRDefault="00C862E1" w:rsidP="003F31D9">
            <w:pPr>
              <w:spacing w:before="0" w:after="20"/>
              <w:rPr>
                <w:b/>
                <w:bCs/>
              </w:rPr>
            </w:pPr>
            <w:r w:rsidRPr="00364445">
              <w:rPr>
                <w:b/>
                <w:bCs/>
              </w:rPr>
              <w:t>PFM</w:t>
            </w:r>
          </w:p>
        </w:tc>
        <w:tc>
          <w:tcPr>
            <w:tcW w:w="4377" w:type="pct"/>
          </w:tcPr>
          <w:p w14:paraId="01861B9E" w14:textId="77777777" w:rsidR="00C862E1" w:rsidRDefault="00C862E1" w:rsidP="003F31D9">
            <w:pPr>
              <w:spacing w:before="0" w:after="20"/>
            </w:pPr>
            <w:r w:rsidRPr="00917390">
              <w:t>Public Financial Management</w:t>
            </w:r>
          </w:p>
        </w:tc>
      </w:tr>
      <w:tr w:rsidR="009C0D62" w14:paraId="44A74384" w14:textId="77777777" w:rsidTr="00D519D9">
        <w:tc>
          <w:tcPr>
            <w:tcW w:w="623" w:type="pct"/>
          </w:tcPr>
          <w:p w14:paraId="3EC979FA" w14:textId="1B8315D7" w:rsidR="009C0D62" w:rsidRPr="00364445" w:rsidRDefault="009C0D62" w:rsidP="003F31D9">
            <w:pPr>
              <w:spacing w:before="0" w:after="20"/>
              <w:rPr>
                <w:b/>
                <w:bCs/>
              </w:rPr>
            </w:pPr>
            <w:r>
              <w:rPr>
                <w:b/>
                <w:bCs/>
              </w:rPr>
              <w:t>PFTAC</w:t>
            </w:r>
          </w:p>
        </w:tc>
        <w:tc>
          <w:tcPr>
            <w:tcW w:w="4377" w:type="pct"/>
          </w:tcPr>
          <w:p w14:paraId="52593DDE" w14:textId="41194DDD" w:rsidR="009C0D62" w:rsidRPr="00917390" w:rsidRDefault="009C0D62" w:rsidP="003F31D9">
            <w:pPr>
              <w:spacing w:before="0" w:after="20"/>
            </w:pPr>
            <w:r>
              <w:t xml:space="preserve">(International Monetary Fund) </w:t>
            </w:r>
            <w:r w:rsidR="00E06DEF" w:rsidRPr="00E06DEF">
              <w:t>Pacific Financial Technical Assistance Centre</w:t>
            </w:r>
          </w:p>
        </w:tc>
      </w:tr>
      <w:tr w:rsidR="00C862E1" w14:paraId="1371F42E" w14:textId="77777777" w:rsidTr="00D519D9">
        <w:tc>
          <w:tcPr>
            <w:tcW w:w="623" w:type="pct"/>
          </w:tcPr>
          <w:p w14:paraId="395D9957" w14:textId="77777777" w:rsidR="00C862E1" w:rsidRPr="00364445" w:rsidRDefault="00C862E1" w:rsidP="003F31D9">
            <w:pPr>
              <w:spacing w:before="0" w:after="20"/>
              <w:rPr>
                <w:b/>
                <w:bCs/>
              </w:rPr>
            </w:pPr>
            <w:r w:rsidRPr="00364445">
              <w:rPr>
                <w:b/>
                <w:bCs/>
              </w:rPr>
              <w:t>PGEP</w:t>
            </w:r>
          </w:p>
        </w:tc>
        <w:tc>
          <w:tcPr>
            <w:tcW w:w="4377" w:type="pct"/>
          </w:tcPr>
          <w:p w14:paraId="56D062FA" w14:textId="77777777" w:rsidR="00C862E1" w:rsidRDefault="00C862E1" w:rsidP="003F31D9">
            <w:pPr>
              <w:spacing w:before="0" w:after="20"/>
            </w:pPr>
            <w:r w:rsidRPr="00917390">
              <w:t>Progressing Gender Equality in the Pacific</w:t>
            </w:r>
          </w:p>
        </w:tc>
      </w:tr>
      <w:tr w:rsidR="00C862E1" w14:paraId="2EE1A2A7" w14:textId="77777777" w:rsidTr="00D519D9">
        <w:tc>
          <w:tcPr>
            <w:tcW w:w="623" w:type="pct"/>
          </w:tcPr>
          <w:p w14:paraId="15B136A5" w14:textId="77777777" w:rsidR="00C862E1" w:rsidRPr="00364445" w:rsidRDefault="00C862E1" w:rsidP="003F31D9">
            <w:pPr>
              <w:spacing w:before="0" w:after="20"/>
              <w:rPr>
                <w:b/>
                <w:bCs/>
              </w:rPr>
            </w:pPr>
            <w:r w:rsidRPr="00364445">
              <w:rPr>
                <w:b/>
                <w:bCs/>
              </w:rPr>
              <w:t>PICs</w:t>
            </w:r>
          </w:p>
        </w:tc>
        <w:tc>
          <w:tcPr>
            <w:tcW w:w="4377" w:type="pct"/>
          </w:tcPr>
          <w:p w14:paraId="4A8A18AE" w14:textId="77777777" w:rsidR="00C862E1" w:rsidRDefault="00C862E1" w:rsidP="003F31D9">
            <w:pPr>
              <w:spacing w:before="0" w:after="20"/>
            </w:pPr>
            <w:r w:rsidRPr="00917390">
              <w:t>Pacific Islands Countr</w:t>
            </w:r>
            <w:r>
              <w:t>ies</w:t>
            </w:r>
          </w:p>
        </w:tc>
      </w:tr>
      <w:tr w:rsidR="00C862E1" w14:paraId="45B4965E" w14:textId="77777777" w:rsidTr="00D519D9">
        <w:tc>
          <w:tcPr>
            <w:tcW w:w="623" w:type="pct"/>
          </w:tcPr>
          <w:p w14:paraId="2129B989" w14:textId="77777777" w:rsidR="00C862E1" w:rsidRPr="00364445" w:rsidRDefault="00C862E1" w:rsidP="003F31D9">
            <w:pPr>
              <w:spacing w:before="0" w:after="20"/>
              <w:rPr>
                <w:b/>
                <w:bCs/>
              </w:rPr>
            </w:pPr>
            <w:r w:rsidRPr="00364445">
              <w:rPr>
                <w:b/>
                <w:bCs/>
              </w:rPr>
              <w:t>PIF</w:t>
            </w:r>
          </w:p>
        </w:tc>
        <w:tc>
          <w:tcPr>
            <w:tcW w:w="4377" w:type="pct"/>
          </w:tcPr>
          <w:p w14:paraId="58BF8094" w14:textId="77777777" w:rsidR="00C862E1" w:rsidRDefault="00C862E1" w:rsidP="003F31D9">
            <w:pPr>
              <w:spacing w:before="0" w:after="20"/>
            </w:pPr>
            <w:r w:rsidRPr="00917390">
              <w:t>Pacific Islands Forum</w:t>
            </w:r>
          </w:p>
        </w:tc>
      </w:tr>
      <w:tr w:rsidR="00C862E1" w14:paraId="572114CF" w14:textId="77777777" w:rsidTr="00D519D9">
        <w:tc>
          <w:tcPr>
            <w:tcW w:w="623" w:type="pct"/>
          </w:tcPr>
          <w:p w14:paraId="0DEC1CF0" w14:textId="77777777" w:rsidR="00C862E1" w:rsidRPr="00364445" w:rsidRDefault="00C862E1" w:rsidP="003F31D9">
            <w:pPr>
              <w:spacing w:before="0" w:after="20"/>
              <w:rPr>
                <w:b/>
                <w:bCs/>
              </w:rPr>
            </w:pPr>
            <w:r w:rsidRPr="00364445">
              <w:rPr>
                <w:b/>
                <w:bCs/>
              </w:rPr>
              <w:t>PLGED</w:t>
            </w:r>
          </w:p>
        </w:tc>
        <w:tc>
          <w:tcPr>
            <w:tcW w:w="4377" w:type="pct"/>
          </w:tcPr>
          <w:p w14:paraId="361ED012" w14:textId="77777777" w:rsidR="00C862E1" w:rsidRDefault="00C862E1" w:rsidP="003F31D9">
            <w:pPr>
              <w:spacing w:before="0" w:after="20"/>
            </w:pPr>
            <w:r w:rsidRPr="00917390">
              <w:t>Pacific Leaders’ Gender Equality Declaration</w:t>
            </w:r>
          </w:p>
        </w:tc>
      </w:tr>
      <w:tr w:rsidR="00C862E1" w14:paraId="0AD5ED05" w14:textId="77777777" w:rsidTr="00D519D9">
        <w:tc>
          <w:tcPr>
            <w:tcW w:w="623" w:type="pct"/>
          </w:tcPr>
          <w:p w14:paraId="2B2833F9" w14:textId="77777777" w:rsidR="00C862E1" w:rsidRPr="00364445" w:rsidRDefault="00C862E1" w:rsidP="003F31D9">
            <w:pPr>
              <w:spacing w:before="0" w:after="20"/>
              <w:rPr>
                <w:b/>
                <w:bCs/>
              </w:rPr>
            </w:pPr>
            <w:r>
              <w:rPr>
                <w:b/>
                <w:bCs/>
              </w:rPr>
              <w:t>PNG</w:t>
            </w:r>
          </w:p>
        </w:tc>
        <w:tc>
          <w:tcPr>
            <w:tcW w:w="4377" w:type="pct"/>
          </w:tcPr>
          <w:p w14:paraId="405EAB14" w14:textId="77777777" w:rsidR="00C862E1" w:rsidRDefault="00C862E1" w:rsidP="003F31D9">
            <w:pPr>
              <w:spacing w:before="0" w:after="20"/>
            </w:pPr>
            <w:r>
              <w:t>Papua New Guinea</w:t>
            </w:r>
          </w:p>
        </w:tc>
      </w:tr>
      <w:tr w:rsidR="00C862E1" w14:paraId="1052CE1F" w14:textId="77777777" w:rsidTr="00D519D9">
        <w:tc>
          <w:tcPr>
            <w:tcW w:w="623" w:type="pct"/>
          </w:tcPr>
          <w:p w14:paraId="4BF2889F" w14:textId="77777777" w:rsidR="00C862E1" w:rsidRPr="00364445" w:rsidRDefault="00C862E1" w:rsidP="003F31D9">
            <w:pPr>
              <w:spacing w:before="0" w:after="20"/>
              <w:rPr>
                <w:b/>
                <w:bCs/>
              </w:rPr>
            </w:pPr>
            <w:r w:rsidRPr="00364445">
              <w:rPr>
                <w:b/>
                <w:bCs/>
              </w:rPr>
              <w:t>PRM</w:t>
            </w:r>
          </w:p>
        </w:tc>
        <w:tc>
          <w:tcPr>
            <w:tcW w:w="4377" w:type="pct"/>
          </w:tcPr>
          <w:p w14:paraId="32701142" w14:textId="77777777" w:rsidR="00C862E1" w:rsidRPr="00917390" w:rsidRDefault="00C862E1" w:rsidP="003F31D9">
            <w:pPr>
              <w:spacing w:before="0" w:after="20"/>
            </w:pPr>
            <w:r>
              <w:t>Policy Reform Matrix</w:t>
            </w:r>
          </w:p>
        </w:tc>
      </w:tr>
      <w:tr w:rsidR="00916F05" w14:paraId="68A479E4" w14:textId="77777777" w:rsidTr="00D519D9">
        <w:tc>
          <w:tcPr>
            <w:tcW w:w="623" w:type="pct"/>
          </w:tcPr>
          <w:p w14:paraId="5C668A3C" w14:textId="6D5ACAF0" w:rsidR="00916F05" w:rsidRPr="00364445" w:rsidRDefault="00916F05" w:rsidP="003F31D9">
            <w:pPr>
              <w:spacing w:before="0" w:after="20"/>
              <w:rPr>
                <w:b/>
                <w:bCs/>
              </w:rPr>
            </w:pPr>
            <w:r>
              <w:rPr>
                <w:b/>
                <w:bCs/>
              </w:rPr>
              <w:t>RMI</w:t>
            </w:r>
          </w:p>
        </w:tc>
        <w:tc>
          <w:tcPr>
            <w:tcW w:w="4377" w:type="pct"/>
          </w:tcPr>
          <w:p w14:paraId="64D208B2" w14:textId="47B610EA" w:rsidR="00916F05" w:rsidRDefault="00916F05" w:rsidP="003F31D9">
            <w:pPr>
              <w:spacing w:before="0" w:after="20"/>
            </w:pPr>
            <w:r>
              <w:t xml:space="preserve">Republic of </w:t>
            </w:r>
            <w:r w:rsidR="00951B1A">
              <w:t xml:space="preserve">the </w:t>
            </w:r>
            <w:r>
              <w:t>Marshall Islands</w:t>
            </w:r>
          </w:p>
        </w:tc>
      </w:tr>
      <w:tr w:rsidR="00C862E1" w14:paraId="56561C06" w14:textId="77777777" w:rsidTr="00D519D9">
        <w:tc>
          <w:tcPr>
            <w:tcW w:w="623" w:type="pct"/>
          </w:tcPr>
          <w:p w14:paraId="53BA3721" w14:textId="77777777" w:rsidR="00C862E1" w:rsidRPr="00364445" w:rsidRDefault="00C862E1" w:rsidP="003F31D9">
            <w:pPr>
              <w:spacing w:before="0" w:after="20"/>
              <w:rPr>
                <w:b/>
                <w:bCs/>
              </w:rPr>
            </w:pPr>
            <w:r>
              <w:rPr>
                <w:b/>
                <w:bCs/>
              </w:rPr>
              <w:t>SDFP</w:t>
            </w:r>
          </w:p>
        </w:tc>
        <w:tc>
          <w:tcPr>
            <w:tcW w:w="4377" w:type="pct"/>
          </w:tcPr>
          <w:p w14:paraId="29E1CBD9" w14:textId="77777777" w:rsidR="00C862E1" w:rsidRDefault="00C862E1" w:rsidP="003F31D9">
            <w:pPr>
              <w:spacing w:before="0" w:after="20"/>
            </w:pPr>
            <w:r>
              <w:t>(World Bank) Sustainable Development Finance Policy</w:t>
            </w:r>
          </w:p>
        </w:tc>
      </w:tr>
      <w:tr w:rsidR="00C862E1" w14:paraId="093F4B81" w14:textId="77777777" w:rsidTr="00D519D9">
        <w:tc>
          <w:tcPr>
            <w:tcW w:w="623" w:type="pct"/>
          </w:tcPr>
          <w:p w14:paraId="407DE400" w14:textId="77777777" w:rsidR="00C862E1" w:rsidRPr="00364445" w:rsidRDefault="00C862E1" w:rsidP="003F31D9">
            <w:pPr>
              <w:spacing w:before="0" w:after="20"/>
              <w:rPr>
                <w:b/>
                <w:bCs/>
              </w:rPr>
            </w:pPr>
            <w:r w:rsidRPr="00364445">
              <w:rPr>
                <w:b/>
                <w:bCs/>
              </w:rPr>
              <w:t>SOE</w:t>
            </w:r>
          </w:p>
        </w:tc>
        <w:tc>
          <w:tcPr>
            <w:tcW w:w="4377" w:type="pct"/>
          </w:tcPr>
          <w:p w14:paraId="38A0BB54" w14:textId="77777777" w:rsidR="00C862E1" w:rsidRPr="00917390" w:rsidRDefault="00C862E1" w:rsidP="003F31D9">
            <w:pPr>
              <w:spacing w:before="0" w:after="20"/>
            </w:pPr>
            <w:r>
              <w:t>State-Owned Enterprise</w:t>
            </w:r>
          </w:p>
        </w:tc>
      </w:tr>
      <w:tr w:rsidR="00C862E1" w14:paraId="78EB2AA4" w14:textId="77777777" w:rsidTr="00D519D9">
        <w:tc>
          <w:tcPr>
            <w:tcW w:w="623" w:type="pct"/>
          </w:tcPr>
          <w:p w14:paraId="5C403A00" w14:textId="77777777" w:rsidR="00C862E1" w:rsidRPr="00364445" w:rsidRDefault="00C862E1" w:rsidP="003F31D9">
            <w:pPr>
              <w:spacing w:before="0" w:after="20"/>
              <w:rPr>
                <w:b/>
                <w:bCs/>
              </w:rPr>
            </w:pPr>
            <w:r w:rsidRPr="00364445">
              <w:rPr>
                <w:b/>
                <w:bCs/>
              </w:rPr>
              <w:t>SPC</w:t>
            </w:r>
          </w:p>
        </w:tc>
        <w:tc>
          <w:tcPr>
            <w:tcW w:w="4377" w:type="pct"/>
          </w:tcPr>
          <w:p w14:paraId="26FDFD4D" w14:textId="77777777" w:rsidR="00C862E1" w:rsidRDefault="00C862E1" w:rsidP="003F31D9">
            <w:pPr>
              <w:spacing w:before="0" w:after="20"/>
            </w:pPr>
            <w:r w:rsidRPr="00917390">
              <w:t>The Pacific Community</w:t>
            </w:r>
          </w:p>
        </w:tc>
      </w:tr>
      <w:tr w:rsidR="00011BB8" w14:paraId="319B7BE0" w14:textId="77777777" w:rsidTr="00D519D9">
        <w:tc>
          <w:tcPr>
            <w:tcW w:w="623" w:type="pct"/>
          </w:tcPr>
          <w:p w14:paraId="2468EF42" w14:textId="5FED4AB4" w:rsidR="00011BB8" w:rsidRPr="00364445" w:rsidRDefault="00011BB8" w:rsidP="003F31D9">
            <w:pPr>
              <w:spacing w:before="0" w:after="20"/>
              <w:rPr>
                <w:b/>
                <w:bCs/>
              </w:rPr>
            </w:pPr>
            <w:r>
              <w:rPr>
                <w:b/>
                <w:bCs/>
              </w:rPr>
              <w:t>TA</w:t>
            </w:r>
          </w:p>
        </w:tc>
        <w:tc>
          <w:tcPr>
            <w:tcW w:w="4377" w:type="pct"/>
          </w:tcPr>
          <w:p w14:paraId="68AF8C05" w14:textId="6F7BFDD9" w:rsidR="00011BB8" w:rsidRPr="00917390" w:rsidRDefault="00011BB8" w:rsidP="003F31D9">
            <w:pPr>
              <w:spacing w:before="0" w:after="20"/>
            </w:pPr>
            <w:r>
              <w:t>Technical assistance</w:t>
            </w:r>
          </w:p>
        </w:tc>
      </w:tr>
      <w:tr w:rsidR="00C862E1" w14:paraId="364F1F05" w14:textId="77777777" w:rsidTr="00D519D9">
        <w:tc>
          <w:tcPr>
            <w:tcW w:w="623" w:type="pct"/>
          </w:tcPr>
          <w:p w14:paraId="70CFD434" w14:textId="77777777" w:rsidR="00C862E1" w:rsidRPr="00364445" w:rsidRDefault="00C862E1" w:rsidP="003F31D9">
            <w:pPr>
              <w:spacing w:before="0" w:after="20"/>
              <w:rPr>
                <w:b/>
                <w:bCs/>
              </w:rPr>
            </w:pPr>
            <w:r w:rsidRPr="00364445">
              <w:rPr>
                <w:b/>
                <w:bCs/>
              </w:rPr>
              <w:t>UN</w:t>
            </w:r>
          </w:p>
        </w:tc>
        <w:tc>
          <w:tcPr>
            <w:tcW w:w="4377" w:type="pct"/>
          </w:tcPr>
          <w:p w14:paraId="700CCE31" w14:textId="77777777" w:rsidR="00C862E1" w:rsidRDefault="00C862E1" w:rsidP="003F31D9">
            <w:pPr>
              <w:spacing w:before="0" w:after="20"/>
            </w:pPr>
            <w:r w:rsidRPr="00917390">
              <w:t>United Nations</w:t>
            </w:r>
          </w:p>
        </w:tc>
      </w:tr>
      <w:tr w:rsidR="000274CA" w14:paraId="0610E271" w14:textId="77777777" w:rsidTr="00D519D9">
        <w:tc>
          <w:tcPr>
            <w:tcW w:w="623" w:type="pct"/>
          </w:tcPr>
          <w:p w14:paraId="6FE7DCB2" w14:textId="24572F3C" w:rsidR="000274CA" w:rsidRPr="00364445" w:rsidRDefault="000274CA" w:rsidP="003F31D9">
            <w:pPr>
              <w:spacing w:before="0" w:after="20"/>
              <w:rPr>
                <w:b/>
                <w:bCs/>
              </w:rPr>
            </w:pPr>
            <w:r>
              <w:rPr>
                <w:b/>
                <w:bCs/>
              </w:rPr>
              <w:t>UNDP</w:t>
            </w:r>
          </w:p>
        </w:tc>
        <w:tc>
          <w:tcPr>
            <w:tcW w:w="4377" w:type="pct"/>
          </w:tcPr>
          <w:p w14:paraId="2D0A7AAC" w14:textId="24297923" w:rsidR="000274CA" w:rsidRPr="00917390" w:rsidRDefault="000274CA" w:rsidP="003F31D9">
            <w:pPr>
              <w:spacing w:before="0" w:after="20"/>
            </w:pPr>
            <w:r>
              <w:t>United Nations Development Program</w:t>
            </w:r>
            <w:r w:rsidR="00C93F3E">
              <w:t>me</w:t>
            </w:r>
          </w:p>
        </w:tc>
      </w:tr>
      <w:tr w:rsidR="00C862E1" w14:paraId="1324AAF6" w14:textId="77777777" w:rsidTr="00D519D9">
        <w:tc>
          <w:tcPr>
            <w:tcW w:w="623" w:type="pct"/>
          </w:tcPr>
          <w:p w14:paraId="1465C7FA" w14:textId="77777777" w:rsidR="00C862E1" w:rsidRPr="00364445" w:rsidRDefault="00C862E1" w:rsidP="003F31D9">
            <w:pPr>
              <w:spacing w:before="0" w:after="20"/>
              <w:rPr>
                <w:b/>
                <w:bCs/>
              </w:rPr>
            </w:pPr>
            <w:r w:rsidRPr="00364445">
              <w:rPr>
                <w:b/>
                <w:bCs/>
              </w:rPr>
              <w:t>UNIFEM</w:t>
            </w:r>
          </w:p>
        </w:tc>
        <w:tc>
          <w:tcPr>
            <w:tcW w:w="4377" w:type="pct"/>
          </w:tcPr>
          <w:p w14:paraId="1FB58E66" w14:textId="2937070C" w:rsidR="00C862E1" w:rsidRDefault="00C862E1" w:rsidP="003F31D9">
            <w:pPr>
              <w:spacing w:before="0" w:after="20"/>
            </w:pPr>
            <w:r w:rsidRPr="00917390">
              <w:t>United Nations Development Fund for Women (</w:t>
            </w:r>
            <w:r w:rsidR="00C979F9">
              <w:t>now called</w:t>
            </w:r>
            <w:r>
              <w:t xml:space="preserve"> </w:t>
            </w:r>
            <w:r w:rsidRPr="00917390">
              <w:t>UN Women)</w:t>
            </w:r>
          </w:p>
        </w:tc>
      </w:tr>
    </w:tbl>
    <w:p w14:paraId="11689174" w14:textId="39BDA5FB" w:rsidR="00F9382E" w:rsidRPr="007F4B03" w:rsidRDefault="00F9382E" w:rsidP="00F9382E">
      <w:pPr>
        <w:pStyle w:val="Heading1"/>
      </w:pPr>
      <w:bookmarkStart w:id="1" w:name="_Toc120201405"/>
      <w:bookmarkStart w:id="2" w:name="_Toc120544512"/>
      <w:r w:rsidRPr="007F4B03">
        <w:lastRenderedPageBreak/>
        <w:t xml:space="preserve">Executive </w:t>
      </w:r>
      <w:r w:rsidR="00EC1EB1">
        <w:t>s</w:t>
      </w:r>
      <w:r w:rsidRPr="007F4B03">
        <w:t>ummary</w:t>
      </w:r>
      <w:bookmarkEnd w:id="0"/>
      <w:bookmarkEnd w:id="1"/>
      <w:bookmarkEnd w:id="2"/>
    </w:p>
    <w:p w14:paraId="721AAAFC" w14:textId="6D201CC7" w:rsidR="0096524C" w:rsidRDefault="00487CD7" w:rsidP="00487CD7">
      <w:pPr>
        <w:spacing w:after="120"/>
      </w:pPr>
      <w:bookmarkStart w:id="3" w:name="_Hlk120358036"/>
      <w:r w:rsidRPr="00F55F53">
        <w:t>The pandemic has seen a resurgence of budget support as a key modality for Australian assistance to the Pacific</w:t>
      </w:r>
      <w:r w:rsidR="00CB6A9A">
        <w:t xml:space="preserve"> and Timor-Leste</w:t>
      </w:r>
      <w:r w:rsidR="00562288" w:rsidRPr="00F55F53">
        <w:t xml:space="preserve">, </w:t>
      </w:r>
      <w:r w:rsidR="0010217D">
        <w:t xml:space="preserve">increasing </w:t>
      </w:r>
      <w:r w:rsidR="00562288" w:rsidRPr="00F55F53">
        <w:t>from A$</w:t>
      </w:r>
      <w:r w:rsidR="00EC6F02">
        <w:t>109</w:t>
      </w:r>
      <w:r w:rsidR="00562288" w:rsidRPr="00F55F53">
        <w:t xml:space="preserve"> million in 2019 to A$</w:t>
      </w:r>
      <w:r w:rsidR="00EC6F02">
        <w:t>362</w:t>
      </w:r>
      <w:r w:rsidR="00F55F53" w:rsidRPr="00F55F53">
        <w:t xml:space="preserve"> million in 2021.</w:t>
      </w:r>
      <w:r w:rsidR="0096524C" w:rsidRPr="0096524C">
        <w:t xml:space="preserve"> </w:t>
      </w:r>
      <w:r w:rsidR="0096524C">
        <w:t>B</w:t>
      </w:r>
      <w:r w:rsidR="0096524C" w:rsidRPr="00841E54">
        <w:t xml:space="preserve">udget support </w:t>
      </w:r>
      <w:r w:rsidR="00EC6F02">
        <w:t>will</w:t>
      </w:r>
      <w:r w:rsidR="0096524C">
        <w:t xml:space="preserve"> </w:t>
      </w:r>
      <w:r w:rsidR="0096524C" w:rsidRPr="00841E54">
        <w:t xml:space="preserve">likely continue to be an important element of Australia’s engagement with </w:t>
      </w:r>
      <w:r w:rsidR="0096524C">
        <w:t>the Pacific</w:t>
      </w:r>
      <w:r w:rsidR="00CB6A9A">
        <w:t xml:space="preserve"> and Timor-Leste</w:t>
      </w:r>
      <w:r w:rsidR="0096524C">
        <w:t xml:space="preserve"> to support economic recovery from COVID</w:t>
      </w:r>
      <w:r w:rsidR="00EC6F02">
        <w:t>, global inflationary shocks,</w:t>
      </w:r>
      <w:r w:rsidR="0096524C">
        <w:t xml:space="preserve"> and natural disasters</w:t>
      </w:r>
      <w:r w:rsidR="0096524C" w:rsidRPr="00841E54">
        <w:t>.</w:t>
      </w:r>
      <w:r w:rsidR="0096524C" w:rsidRPr="0096524C">
        <w:t xml:space="preserve"> </w:t>
      </w:r>
      <w:bookmarkEnd w:id="3"/>
      <w:r w:rsidR="0096524C" w:rsidRPr="00F55F53">
        <w:t>Australia is committed to advancing gender equality and the rights of women and girls in the region</w:t>
      </w:r>
      <w:r w:rsidR="00EC6F02">
        <w:t xml:space="preserve">. We are working in partnership </w:t>
      </w:r>
      <w:r w:rsidR="0096524C" w:rsidRPr="00F55F53">
        <w:t xml:space="preserve">with Pacific countries </w:t>
      </w:r>
      <w:r w:rsidR="00ED3F40">
        <w:t xml:space="preserve">and Timor-Leste </w:t>
      </w:r>
      <w:r w:rsidR="0096524C" w:rsidRPr="00F55F53">
        <w:t xml:space="preserve">to progress the Sustainable Development Goal relating to gender (SDG 5), including to ‘adopt and strengthen policies and legislation for the empowerment of all women and girls at all </w:t>
      </w:r>
      <w:proofErr w:type="gramStart"/>
      <w:r w:rsidR="0096524C" w:rsidRPr="00F55F53">
        <w:t>levels’</w:t>
      </w:r>
      <w:proofErr w:type="gramEnd"/>
      <w:r w:rsidR="0096524C" w:rsidRPr="00F55F53">
        <w:t>.</w:t>
      </w:r>
      <w:r w:rsidR="0096524C" w:rsidRPr="00F55F53">
        <w:rPr>
          <w:vertAlign w:val="superscript"/>
        </w:rPr>
        <w:footnoteReference w:id="1"/>
      </w:r>
      <w:r w:rsidR="0096524C">
        <w:t xml:space="preserve"> </w:t>
      </w:r>
      <w:r w:rsidR="00EC6F02">
        <w:t xml:space="preserve">Policy and legislative reform are key ingredients in budget support operations. </w:t>
      </w:r>
      <w:r w:rsidR="0096524C" w:rsidRPr="00F55F53">
        <w:t xml:space="preserve">Given </w:t>
      </w:r>
      <w:r w:rsidR="00B003A6">
        <w:t>Australia’s</w:t>
      </w:r>
      <w:r w:rsidR="0096524C" w:rsidRPr="00F55F53">
        <w:t xml:space="preserve"> commitment to gender and increasing use of budget support, it is critical to consider how budget support </w:t>
      </w:r>
      <w:r w:rsidR="00AE1DFC">
        <w:t>intersects with gender.</w:t>
      </w:r>
    </w:p>
    <w:p w14:paraId="575E6356" w14:textId="561D7822" w:rsidR="007825A0" w:rsidRDefault="0096524C" w:rsidP="00487CD7">
      <w:pPr>
        <w:spacing w:after="120"/>
      </w:pPr>
      <w:r w:rsidRPr="00192AC6">
        <w:t xml:space="preserve">Budget support is a transfer of </w:t>
      </w:r>
      <w:r>
        <w:t>funds</w:t>
      </w:r>
      <w:r w:rsidRPr="00192AC6">
        <w:t xml:space="preserve"> from a</w:t>
      </w:r>
      <w:r>
        <w:t xml:space="preserve"> development partner to a</w:t>
      </w:r>
      <w:r w:rsidRPr="00192AC6">
        <w:t xml:space="preserve"> partner government</w:t>
      </w:r>
      <w:r>
        <w:t xml:space="preserve"> to be disbursed through its own budget systems. Disbursement of funds </w:t>
      </w:r>
      <w:r w:rsidRPr="00192AC6">
        <w:t xml:space="preserve">is typically linked to </w:t>
      </w:r>
      <w:r>
        <w:t xml:space="preserve">the achievement of policy </w:t>
      </w:r>
      <w:r w:rsidR="005B239C">
        <w:t>actions</w:t>
      </w:r>
      <w:r>
        <w:t xml:space="preserve"> that are agreed through</w:t>
      </w:r>
      <w:r w:rsidRPr="00192AC6">
        <w:t xml:space="preserve"> </w:t>
      </w:r>
      <w:r>
        <w:t xml:space="preserve">an ongoing </w:t>
      </w:r>
      <w:r w:rsidRPr="00192AC6">
        <w:t>dialogue between the development partner and partner government.</w:t>
      </w:r>
      <w:r>
        <w:t xml:space="preserve"> </w:t>
      </w:r>
      <w:r w:rsidR="000217F2">
        <w:t xml:space="preserve">Policy actions can be focused </w:t>
      </w:r>
      <w:r w:rsidR="00AE1DFC">
        <w:t>in</w:t>
      </w:r>
      <w:r w:rsidR="000217F2">
        <w:t xml:space="preserve"> any thematic area, such as public financial management (PFM), private sector development</w:t>
      </w:r>
      <w:r w:rsidR="00AE1DFC">
        <w:t>,</w:t>
      </w:r>
      <w:r w:rsidR="000217F2">
        <w:t xml:space="preserve"> or disaster resilience.</w:t>
      </w:r>
      <w:r w:rsidR="007825A0">
        <w:t xml:space="preserve"> </w:t>
      </w:r>
      <w:r w:rsidR="007825A0" w:rsidRPr="007825A0">
        <w:t>Oftentimes, this set of policy actions is referred to as a ‘policy action matrix’.</w:t>
      </w:r>
    </w:p>
    <w:p w14:paraId="16AB566E" w14:textId="18B51996" w:rsidR="0096524C" w:rsidRDefault="0096524C" w:rsidP="00487CD7">
      <w:pPr>
        <w:spacing w:after="120"/>
      </w:pPr>
      <w:bookmarkStart w:id="4" w:name="_Hlk120365273"/>
      <w:r w:rsidRPr="007F4B03">
        <w:t>Most of Australia’s general budget support in the region has been linked to World Bank and A</w:t>
      </w:r>
      <w:r>
        <w:t>sian Development Bank (ADB) budget support operations</w:t>
      </w:r>
      <w:r w:rsidRPr="007F4B03">
        <w:t xml:space="preserve">. These organisations have the financial resources, institutional authority, and technical expertise to lead the </w:t>
      </w:r>
      <w:r>
        <w:t xml:space="preserve">reform </w:t>
      </w:r>
      <w:r w:rsidRPr="007F4B03">
        <w:t xml:space="preserve">dialogue that underpins the disbursement of resources. </w:t>
      </w:r>
      <w:bookmarkEnd w:id="4"/>
      <w:r w:rsidRPr="007F4B03">
        <w:t xml:space="preserve">The organisations have embraced increasingly stronger commitments </w:t>
      </w:r>
      <w:r w:rsidR="00AE1DFC">
        <w:t xml:space="preserve">embedding </w:t>
      </w:r>
      <w:r w:rsidRPr="007F4B03">
        <w:t xml:space="preserve">gender equality </w:t>
      </w:r>
      <w:r w:rsidR="00AE1DFC">
        <w:t>in</w:t>
      </w:r>
      <w:r w:rsidRPr="007F4B03">
        <w:t xml:space="preserve"> the full range of their operations.</w:t>
      </w:r>
    </w:p>
    <w:p w14:paraId="2F4C1110" w14:textId="2CCA2BDD" w:rsidR="00FA7231" w:rsidRDefault="003151D6" w:rsidP="00B1542E">
      <w:pPr>
        <w:spacing w:after="120"/>
      </w:pPr>
      <w:r w:rsidRPr="00F55F53">
        <w:t>This report presents a stocktake of budget support operations in the Pacific</w:t>
      </w:r>
      <w:r w:rsidR="00CB6A9A">
        <w:t xml:space="preserve"> and Timor-Leste</w:t>
      </w:r>
      <w:r w:rsidRPr="00F55F53">
        <w:t xml:space="preserve">, examining their </w:t>
      </w:r>
      <w:r>
        <w:t xml:space="preserve">key </w:t>
      </w:r>
      <w:r w:rsidRPr="00F55F53">
        <w:t xml:space="preserve">characteristics and how they have </w:t>
      </w:r>
      <w:r>
        <w:t xml:space="preserve">been used to </w:t>
      </w:r>
      <w:r w:rsidRPr="00F55F53">
        <w:t>address gender equality.</w:t>
      </w:r>
      <w:r>
        <w:t xml:space="preserve"> </w:t>
      </w:r>
      <w:r w:rsidR="0096524C">
        <w:t xml:space="preserve">As most of Australia’s budget support is linked to World Bank and ADB operations, </w:t>
      </w:r>
      <w:r>
        <w:t>t</w:t>
      </w:r>
      <w:r w:rsidRPr="007F4B03">
        <w:t xml:space="preserve">his report </w:t>
      </w:r>
      <w:r w:rsidR="0096524C">
        <w:t>examines</w:t>
      </w:r>
      <w:r>
        <w:t xml:space="preserve"> </w:t>
      </w:r>
      <w:r w:rsidRPr="007F4B03">
        <w:t>how the two banks approach budget support, and how they incorporate gender considerations into the</w:t>
      </w:r>
      <w:r w:rsidR="0096524C">
        <w:t>ir</w:t>
      </w:r>
      <w:r w:rsidRPr="007F4B03">
        <w:t xml:space="preserve"> operations.</w:t>
      </w:r>
      <w:r>
        <w:t xml:space="preserve"> </w:t>
      </w:r>
      <w:r w:rsidR="00FA7231" w:rsidRPr="00F55F53">
        <w:t xml:space="preserve">Finally, the report </w:t>
      </w:r>
      <w:r w:rsidR="0096524C">
        <w:t>outlines</w:t>
      </w:r>
      <w:r w:rsidR="00FA7231" w:rsidRPr="00F55F53">
        <w:t xml:space="preserve"> the current state of gender in Pacific budgets and PFM systems</w:t>
      </w:r>
      <w:r w:rsidR="00667321">
        <w:t>,</w:t>
      </w:r>
      <w:r w:rsidR="00FA7231" w:rsidRPr="00F55F53">
        <w:t xml:space="preserve"> and the key enabling factors to maximise the success of gender responsive budgeting efforts.</w:t>
      </w:r>
    </w:p>
    <w:p w14:paraId="22326F91" w14:textId="0332B59E" w:rsidR="00192AC6" w:rsidRPr="007F4B03" w:rsidRDefault="00192AC6" w:rsidP="00192AC6">
      <w:pPr>
        <w:pStyle w:val="Heading3"/>
      </w:pPr>
      <w:bookmarkStart w:id="5" w:name="_Toc120201406"/>
      <w:bookmarkStart w:id="6" w:name="_Toc120544513"/>
      <w:r>
        <w:t>Key findings</w:t>
      </w:r>
      <w:bookmarkEnd w:id="5"/>
      <w:bookmarkEnd w:id="6"/>
    </w:p>
    <w:p w14:paraId="4686FE01" w14:textId="3C567B24" w:rsidR="00DD2465" w:rsidRDefault="00DD2465" w:rsidP="00DD2465">
      <w:r w:rsidRPr="00DD2465">
        <w:rPr>
          <w:b/>
          <w:bCs/>
        </w:rPr>
        <w:t xml:space="preserve">The most significant thematic area for policy actions supported by budget support operations is </w:t>
      </w:r>
      <w:r w:rsidR="00667321">
        <w:rPr>
          <w:b/>
          <w:bCs/>
        </w:rPr>
        <w:t xml:space="preserve">PFM, </w:t>
      </w:r>
      <w:r w:rsidRPr="00192AC6">
        <w:t xml:space="preserve">reflecting the role that budget supports plays in helping governments achieve financial stability, and the generally low capacity of </w:t>
      </w:r>
      <w:r>
        <w:t>PFM</w:t>
      </w:r>
      <w:r w:rsidRPr="00192AC6">
        <w:t xml:space="preserve"> systems in the region.</w:t>
      </w:r>
      <w:r w:rsidR="00286B83">
        <w:t xml:space="preserve"> In a study of over 40 World Bank Pacific budget support operations, </w:t>
      </w:r>
      <w:r>
        <w:t xml:space="preserve">the most common thematic areas for policy actions were </w:t>
      </w:r>
      <w:r w:rsidR="00286B83" w:rsidRPr="00286B83">
        <w:t>public sector management (42 per cent of all actions) and economic policy (16 per cent of all actions)</w:t>
      </w:r>
      <w:r>
        <w:t>.</w:t>
      </w:r>
    </w:p>
    <w:p w14:paraId="0E9CC012" w14:textId="31F82A98" w:rsidR="00E14176" w:rsidRPr="00E14176" w:rsidRDefault="00E14176" w:rsidP="00DD2465">
      <w:pPr>
        <w:rPr>
          <w:b/>
          <w:bCs/>
        </w:rPr>
      </w:pPr>
      <w:r w:rsidRPr="00E14176">
        <w:rPr>
          <w:b/>
          <w:bCs/>
        </w:rPr>
        <w:t xml:space="preserve">Development partner coordination and cooperation in budget support </w:t>
      </w:r>
      <w:r w:rsidR="00B003A6">
        <w:rPr>
          <w:b/>
          <w:bCs/>
        </w:rPr>
        <w:t>has been</w:t>
      </w:r>
      <w:r w:rsidRPr="00E14176">
        <w:rPr>
          <w:b/>
          <w:bCs/>
        </w:rPr>
        <w:t xml:space="preserve"> key to ensuring thin Pacific systems are not overwhelmed.</w:t>
      </w:r>
      <w:r>
        <w:rPr>
          <w:b/>
          <w:bCs/>
        </w:rPr>
        <w:t xml:space="preserve"> </w:t>
      </w:r>
      <w:r w:rsidRPr="007825A0">
        <w:t xml:space="preserve">In </w:t>
      </w:r>
      <w:r w:rsidR="00034786">
        <w:t>many</w:t>
      </w:r>
      <w:r w:rsidRPr="007825A0">
        <w:t xml:space="preserve"> </w:t>
      </w:r>
      <w:r w:rsidR="0037534A">
        <w:t>Pacific Island Countries (</w:t>
      </w:r>
      <w:r w:rsidRPr="007825A0">
        <w:t>PICs</w:t>
      </w:r>
      <w:r w:rsidR="0037534A">
        <w:t>)</w:t>
      </w:r>
      <w:r w:rsidR="00182DA6">
        <w:t xml:space="preserve"> and Timor-Leste</w:t>
      </w:r>
      <w:r w:rsidRPr="007825A0">
        <w:t xml:space="preserve">, development partners and governments collaborate in producing </w:t>
      </w:r>
      <w:r>
        <w:t>a policy action matrix</w:t>
      </w:r>
      <w:r w:rsidRPr="007825A0">
        <w:t xml:space="preserve"> that identif</w:t>
      </w:r>
      <w:r>
        <w:t>ies</w:t>
      </w:r>
      <w:r w:rsidRPr="007825A0">
        <w:t xml:space="preserve"> shared priorities and actions which trigger disbursement of each partner’s budget support. There is a ‘Friends of </w:t>
      </w:r>
      <w:r>
        <w:t xml:space="preserve">Pacific </w:t>
      </w:r>
      <w:r w:rsidRPr="007825A0">
        <w:t xml:space="preserve">Budget Support’ </w:t>
      </w:r>
      <w:r w:rsidR="004C1B44">
        <w:t>annual meeting where</w:t>
      </w:r>
      <w:r w:rsidRPr="007825A0">
        <w:t xml:space="preserve"> development partners </w:t>
      </w:r>
      <w:r w:rsidR="004C1B44">
        <w:t>discuss and coordinate the use of budget support</w:t>
      </w:r>
      <w:r w:rsidRPr="007825A0">
        <w:t xml:space="preserve"> in the region.</w:t>
      </w:r>
      <w:r w:rsidR="004C1B44">
        <w:t xml:space="preserve"> The meeting supplements ongoing engagement </w:t>
      </w:r>
      <w:r w:rsidR="00F40C10">
        <w:t xml:space="preserve">between partners </w:t>
      </w:r>
      <w:r w:rsidR="004C1B44">
        <w:t>on individual country operations.</w:t>
      </w:r>
    </w:p>
    <w:p w14:paraId="468C335C" w14:textId="3F4EDC0B" w:rsidR="00174A54" w:rsidRPr="00174A54" w:rsidRDefault="00174A54" w:rsidP="00DD2465">
      <w:pPr>
        <w:rPr>
          <w:lang w:val="en-AU"/>
        </w:rPr>
      </w:pPr>
      <w:r w:rsidRPr="006D0C2D">
        <w:rPr>
          <w:b/>
          <w:bCs/>
          <w:lang w:val="en-US"/>
        </w:rPr>
        <w:lastRenderedPageBreak/>
        <w:t>Budget support has demonstrated its useful</w:t>
      </w:r>
      <w:r w:rsidR="00A76C2B">
        <w:rPr>
          <w:b/>
          <w:bCs/>
          <w:lang w:val="en-US"/>
        </w:rPr>
        <w:t>ness</w:t>
      </w:r>
      <w:r w:rsidRPr="006D0C2D">
        <w:rPr>
          <w:b/>
          <w:bCs/>
          <w:lang w:val="en-US"/>
        </w:rPr>
        <w:t xml:space="preserve"> in motivating economic and fiscal dialogues with partner governments</w:t>
      </w:r>
      <w:r w:rsidRPr="00174A54">
        <w:rPr>
          <w:b/>
          <w:bCs/>
          <w:lang w:val="en-US"/>
        </w:rPr>
        <w:t>.</w:t>
      </w:r>
      <w:r>
        <w:rPr>
          <w:lang w:val="en-US"/>
        </w:rPr>
        <w:t xml:space="preserve"> In comparison to infrastructure or project specific finance, budget support </w:t>
      </w:r>
      <w:r w:rsidRPr="006D0C2D">
        <w:rPr>
          <w:lang w:val="en-US"/>
        </w:rPr>
        <w:t>comprises ‘freely usable’ finance for Pacific governments</w:t>
      </w:r>
      <w:r>
        <w:rPr>
          <w:lang w:val="en-US"/>
        </w:rPr>
        <w:t xml:space="preserve"> and represents a sizable portion of Pacific government’s fiscal resources</w:t>
      </w:r>
      <w:r w:rsidRPr="006D0C2D">
        <w:rPr>
          <w:lang w:val="en-US"/>
        </w:rPr>
        <w:t>.</w:t>
      </w:r>
    </w:p>
    <w:p w14:paraId="78E04616" w14:textId="4CF7B373" w:rsidR="00F9382E" w:rsidRDefault="00F9382E" w:rsidP="00174A54">
      <w:r w:rsidRPr="00174A54">
        <w:rPr>
          <w:b/>
          <w:bCs/>
        </w:rPr>
        <w:t xml:space="preserve">Gender equality actions </w:t>
      </w:r>
      <w:r w:rsidR="00C561B1">
        <w:rPr>
          <w:b/>
          <w:bCs/>
        </w:rPr>
        <w:t xml:space="preserve">in budget support operations </w:t>
      </w:r>
      <w:r w:rsidRPr="00174A54">
        <w:rPr>
          <w:b/>
          <w:bCs/>
        </w:rPr>
        <w:t>have become more frequent in the last six or seven years</w:t>
      </w:r>
      <w:r w:rsidR="00FF7BF1">
        <w:rPr>
          <w:b/>
          <w:bCs/>
        </w:rPr>
        <w:t xml:space="preserve">. </w:t>
      </w:r>
      <w:r w:rsidR="0068755A">
        <w:t>A</w:t>
      </w:r>
      <w:r w:rsidR="00FF7BF1">
        <w:t xml:space="preserve">ctions have typically </w:t>
      </w:r>
      <w:r w:rsidRPr="00FF7BF1">
        <w:t>arisen opportunistically</w:t>
      </w:r>
      <w:r w:rsidR="00251417">
        <w:t xml:space="preserve"> (with some exceptions)</w:t>
      </w:r>
      <w:r w:rsidR="001349CC">
        <w:t>, leveraging pre-existing programs.</w:t>
      </w:r>
      <w:r w:rsidRPr="00174A54">
        <w:t xml:space="preserve"> </w:t>
      </w:r>
      <w:r w:rsidR="00174A54">
        <w:t xml:space="preserve">Gender actions </w:t>
      </w:r>
      <w:r w:rsidRPr="00174A54">
        <w:t xml:space="preserve">have been located </w:t>
      </w:r>
      <w:r w:rsidR="002A6CC3">
        <w:t xml:space="preserve">across many </w:t>
      </w:r>
      <w:r w:rsidRPr="00174A54">
        <w:t xml:space="preserve">policy domains, </w:t>
      </w:r>
      <w:r w:rsidR="00251417">
        <w:t>including PFM.</w:t>
      </w:r>
      <w:r w:rsidR="00BB3484">
        <w:t xml:space="preserve"> Given the prevalence of PFM in budget support, it’s important to consider the nexus of gender and PFM</w:t>
      </w:r>
      <w:r w:rsidR="0068755A">
        <w:t xml:space="preserve"> (</w:t>
      </w:r>
      <w:r w:rsidR="00BB3484">
        <w:t>‘gender responsive budgeting’</w:t>
      </w:r>
      <w:r w:rsidR="005C2C54">
        <w:t xml:space="preserve"> (GRB)</w:t>
      </w:r>
      <w:r w:rsidR="00BB3484">
        <w:t>).</w:t>
      </w:r>
    </w:p>
    <w:p w14:paraId="4E1CD75C" w14:textId="0C2F90B6" w:rsidR="00C43BA1" w:rsidRDefault="00C561B1" w:rsidP="00C02400">
      <w:r w:rsidRPr="00C561B1">
        <w:rPr>
          <w:b/>
          <w:bCs/>
        </w:rPr>
        <w:t>There is no single blueprint or approach to introduc</w:t>
      </w:r>
      <w:r w:rsidR="00BB3484">
        <w:rPr>
          <w:b/>
          <w:bCs/>
        </w:rPr>
        <w:t>ing GRB</w:t>
      </w:r>
      <w:r w:rsidRPr="00C561B1">
        <w:rPr>
          <w:b/>
          <w:bCs/>
        </w:rPr>
        <w:t xml:space="preserve"> that can be applied to all Pacific countries and Timor-Leste.</w:t>
      </w:r>
      <w:r>
        <w:t xml:space="preserve"> </w:t>
      </w:r>
      <w:r w:rsidR="0088195F">
        <w:t>Both</w:t>
      </w:r>
      <w:r w:rsidRPr="007F4B03">
        <w:t xml:space="preserve"> literature and experience confirm that approaches must be </w:t>
      </w:r>
      <w:r w:rsidR="00CB6A9A" w:rsidRPr="007F4B03">
        <w:t>context specific</w:t>
      </w:r>
      <w:r w:rsidRPr="007F4B03">
        <w:t>. It is also clear that pre-conditions</w:t>
      </w:r>
      <w:r w:rsidR="0088195F">
        <w:t xml:space="preserve"> exist</w:t>
      </w:r>
      <w:r w:rsidR="00CB6A9A">
        <w:t xml:space="preserve"> for</w:t>
      </w:r>
      <w:r w:rsidRPr="007F4B03">
        <w:t xml:space="preserve"> development partner support </w:t>
      </w:r>
      <w:r w:rsidR="00CB6A9A">
        <w:t xml:space="preserve">that must be met to </w:t>
      </w:r>
      <w:r w:rsidRPr="007F4B03">
        <w:t xml:space="preserve">lead to </w:t>
      </w:r>
      <w:r w:rsidR="00CB6A9A">
        <w:t>meaningful change</w:t>
      </w:r>
      <w:r w:rsidRPr="007F4B03">
        <w:t>.</w:t>
      </w:r>
    </w:p>
    <w:p w14:paraId="3865824E" w14:textId="38367641" w:rsidR="00F9382E" w:rsidRPr="007F4B03" w:rsidRDefault="00F9382E" w:rsidP="00F9382E">
      <w:r w:rsidRPr="00C43BA1">
        <w:rPr>
          <w:b/>
          <w:bCs/>
        </w:rPr>
        <w:t>In the Pacific</w:t>
      </w:r>
      <w:r w:rsidR="00CB6A9A">
        <w:rPr>
          <w:b/>
          <w:bCs/>
        </w:rPr>
        <w:t xml:space="preserve"> and Timor-Leste</w:t>
      </w:r>
      <w:r w:rsidRPr="00C43BA1">
        <w:rPr>
          <w:b/>
          <w:bCs/>
        </w:rPr>
        <w:t xml:space="preserve">, two pre-conditions are </w:t>
      </w:r>
      <w:r w:rsidR="00C93531">
        <w:rPr>
          <w:b/>
          <w:bCs/>
        </w:rPr>
        <w:t>notable</w:t>
      </w:r>
      <w:r w:rsidRPr="00C43BA1">
        <w:rPr>
          <w:b/>
          <w:bCs/>
        </w:rPr>
        <w:t xml:space="preserve">: </w:t>
      </w:r>
      <w:r w:rsidR="00C43BA1" w:rsidRPr="00C43BA1">
        <w:rPr>
          <w:b/>
          <w:bCs/>
        </w:rPr>
        <w:t xml:space="preserve">political and community support for gender mainstreaming and </w:t>
      </w:r>
      <w:r w:rsidRPr="00C43BA1">
        <w:rPr>
          <w:b/>
          <w:bCs/>
        </w:rPr>
        <w:t xml:space="preserve">the capacity of existing </w:t>
      </w:r>
      <w:r w:rsidR="00C43BA1" w:rsidRPr="00C43BA1">
        <w:rPr>
          <w:b/>
          <w:bCs/>
        </w:rPr>
        <w:t>PFM systems</w:t>
      </w:r>
      <w:r w:rsidRPr="00C43BA1">
        <w:rPr>
          <w:b/>
          <w:bCs/>
        </w:rPr>
        <w:t>.</w:t>
      </w:r>
      <w:r w:rsidR="00C43BA1">
        <w:t xml:space="preserve"> </w:t>
      </w:r>
      <w:r w:rsidR="005106A9">
        <w:t xml:space="preserve">The report </w:t>
      </w:r>
      <w:r w:rsidRPr="007F4B03">
        <w:t>argue</w:t>
      </w:r>
      <w:r w:rsidR="00C43BA1">
        <w:t>s</w:t>
      </w:r>
      <w:r w:rsidRPr="007F4B03">
        <w:t xml:space="preserve"> for caution </w:t>
      </w:r>
      <w:r w:rsidR="00C93531">
        <w:t>around</w:t>
      </w:r>
      <w:r w:rsidRPr="007F4B03">
        <w:t xml:space="preserve"> adding to </w:t>
      </w:r>
      <w:r w:rsidR="00C43BA1">
        <w:t xml:space="preserve">already-significant </w:t>
      </w:r>
      <w:r w:rsidRPr="007F4B03">
        <w:t>reform agenda</w:t>
      </w:r>
      <w:r w:rsidR="00C43BA1">
        <w:t>s</w:t>
      </w:r>
      <w:r w:rsidR="00C93531">
        <w:t>. It</w:t>
      </w:r>
      <w:r w:rsidR="00C43BA1">
        <w:t xml:space="preserve"> advocates for</w:t>
      </w:r>
      <w:r w:rsidRPr="007F4B03">
        <w:t xml:space="preserve"> a nuanced</w:t>
      </w:r>
      <w:r w:rsidR="00C93531">
        <w:t>,</w:t>
      </w:r>
      <w:r w:rsidRPr="007F4B03">
        <w:t xml:space="preserve"> country-specific approach </w:t>
      </w:r>
      <w:r w:rsidR="00C93531">
        <w:t xml:space="preserve">to budget support operations </w:t>
      </w:r>
      <w:r w:rsidRPr="007F4B03">
        <w:t>and a willingness to undertake medium</w:t>
      </w:r>
      <w:r w:rsidR="00556402">
        <w:t xml:space="preserve">- </w:t>
      </w:r>
      <w:r w:rsidRPr="007F4B03">
        <w:t>to long</w:t>
      </w:r>
      <w:r w:rsidR="00556402">
        <w:t>-</w:t>
      </w:r>
      <w:r w:rsidRPr="007F4B03">
        <w:t>term engagement</w:t>
      </w:r>
      <w:r w:rsidR="00C93531">
        <w:t>s</w:t>
      </w:r>
      <w:r w:rsidRPr="007F4B03">
        <w:t>.</w:t>
      </w:r>
      <w:r w:rsidR="002304D3">
        <w:t xml:space="preserve"> </w:t>
      </w:r>
      <w:r w:rsidRPr="002304D3">
        <w:t>Two countries in the region</w:t>
      </w:r>
      <w:r w:rsidR="00C93531">
        <w:t>,</w:t>
      </w:r>
      <w:r w:rsidRPr="002304D3">
        <w:t xml:space="preserve"> </w:t>
      </w:r>
      <w:proofErr w:type="gramStart"/>
      <w:r w:rsidRPr="002304D3">
        <w:t>Fiji</w:t>
      </w:r>
      <w:proofErr w:type="gramEnd"/>
      <w:r w:rsidRPr="002304D3">
        <w:t xml:space="preserve"> and Timor-Leste</w:t>
      </w:r>
      <w:r w:rsidR="00C93531">
        <w:t>,</w:t>
      </w:r>
      <w:r w:rsidRPr="002304D3">
        <w:t xml:space="preserve"> are making considerable progress implementing gender responsible budgeting.</w:t>
      </w:r>
      <w:r w:rsidRPr="007F4B03">
        <w:t xml:space="preserve"> </w:t>
      </w:r>
      <w:r w:rsidR="00C93531">
        <w:t>While their starting points and degree of reliance on development partner support differs, both cases demonstrate</w:t>
      </w:r>
      <w:r w:rsidRPr="007F4B03">
        <w:t xml:space="preserve"> </w:t>
      </w:r>
      <w:r w:rsidR="00C93531">
        <w:t xml:space="preserve">the critical need for </w:t>
      </w:r>
      <w:r w:rsidRPr="007F4B03">
        <w:t xml:space="preserve">strong political and central ministry leadership </w:t>
      </w:r>
      <w:r w:rsidR="00C93531">
        <w:t>to enable progress</w:t>
      </w:r>
      <w:r w:rsidRPr="007F4B03">
        <w:t>.</w:t>
      </w:r>
    </w:p>
    <w:p w14:paraId="2944AD79" w14:textId="591ED66C" w:rsidR="00F9382E" w:rsidRPr="007F4B03" w:rsidRDefault="003C70F4" w:rsidP="007F4B03">
      <w:pPr>
        <w:pStyle w:val="Heading3"/>
      </w:pPr>
      <w:bookmarkStart w:id="7" w:name="_Toc108168311"/>
      <w:bookmarkStart w:id="8" w:name="_Toc120201407"/>
      <w:bookmarkStart w:id="9" w:name="_Toc120544514"/>
      <w:r>
        <w:t>Recommendations</w:t>
      </w:r>
      <w:bookmarkEnd w:id="7"/>
      <w:bookmarkEnd w:id="8"/>
      <w:bookmarkEnd w:id="9"/>
    </w:p>
    <w:p w14:paraId="438C4B0A" w14:textId="3A765829" w:rsidR="00F9382E" w:rsidRPr="007F4B03" w:rsidRDefault="00547479" w:rsidP="00B1542E">
      <w:pPr>
        <w:spacing w:after="120"/>
      </w:pPr>
      <w:bookmarkStart w:id="10" w:name="_Hlk120365466"/>
      <w:r>
        <w:t>DFAT’s</w:t>
      </w:r>
      <w:r w:rsidR="00F9382E" w:rsidRPr="007F4B03">
        <w:t xml:space="preserve"> way forward depends </w:t>
      </w:r>
      <w:r w:rsidR="005B02F5">
        <w:t>on the longevity of Australia’s interest in budget support</w:t>
      </w:r>
      <w:r w:rsidR="00F9382E" w:rsidRPr="007F4B03">
        <w:t xml:space="preserve"> and the resourcing </w:t>
      </w:r>
      <w:r w:rsidR="005B02F5">
        <w:t>DFAT</w:t>
      </w:r>
      <w:r w:rsidR="00F9382E" w:rsidRPr="007F4B03">
        <w:t xml:space="preserve"> can </w:t>
      </w:r>
      <w:r w:rsidR="005B02F5">
        <w:t>commit to</w:t>
      </w:r>
      <w:r w:rsidR="007711F4">
        <w:t xml:space="preserve"> posts in the region</w:t>
      </w:r>
      <w:r w:rsidR="005B02F5">
        <w:t xml:space="preserve"> to</w:t>
      </w:r>
      <w:r w:rsidR="00F9382E" w:rsidRPr="007F4B03">
        <w:t xml:space="preserve"> engage in policy dialogue on gender and macroeconomic issues.</w:t>
      </w:r>
      <w:r w:rsidR="00943E5D">
        <w:t xml:space="preserve"> </w:t>
      </w:r>
      <w:bookmarkEnd w:id="10"/>
      <w:r w:rsidR="00F9382E" w:rsidRPr="007F4B03">
        <w:t>A longer timeframe would enable a purposive - as opposed to opportunistic – approach.</w:t>
      </w:r>
      <w:r>
        <w:t xml:space="preserve"> </w:t>
      </w:r>
      <w:r w:rsidR="00943E5D">
        <w:t xml:space="preserve">More strategic </w:t>
      </w:r>
      <w:r w:rsidR="00F9382E" w:rsidRPr="007F4B03">
        <w:t xml:space="preserve">budget support will need to build on and be part of a longer and more multidimensional engagement that addresses the steps involved in building consensus for change. The engagement would also need to recognise the internal processes </w:t>
      </w:r>
      <w:r w:rsidR="007711F4">
        <w:t xml:space="preserve">required to translate </w:t>
      </w:r>
      <w:r w:rsidR="00F9382E" w:rsidRPr="007F4B03">
        <w:t>reform ideas into formal policy change. In the Pacific</w:t>
      </w:r>
      <w:r w:rsidR="00CB6A9A">
        <w:t xml:space="preserve"> and Timor-Leste,</w:t>
      </w:r>
      <w:r w:rsidR="0010217D">
        <w:t xml:space="preserve"> </w:t>
      </w:r>
      <w:r w:rsidR="00CB6A9A">
        <w:t>t</w:t>
      </w:r>
      <w:r w:rsidR="00F9382E" w:rsidRPr="007F4B03">
        <w:t xml:space="preserve">his will involve </w:t>
      </w:r>
      <w:r w:rsidR="00E41576" w:rsidRPr="007F4B03">
        <w:t>longer</w:t>
      </w:r>
      <w:r w:rsidR="00556402">
        <w:t>-</w:t>
      </w:r>
      <w:r w:rsidR="00E41576" w:rsidRPr="007F4B03">
        <w:t>term</w:t>
      </w:r>
      <w:r w:rsidR="00F9382E" w:rsidRPr="007F4B03">
        <w:t xml:space="preserve"> development partner cooperation, to draw on the combined efforts of engagement, since the World Bank and the ADB have </w:t>
      </w:r>
      <w:r w:rsidR="00866ACC">
        <w:t>smaller</w:t>
      </w:r>
      <w:r w:rsidR="00F9382E" w:rsidRPr="007F4B03">
        <w:t xml:space="preserve"> in-country presence</w:t>
      </w:r>
      <w:r w:rsidR="00866ACC">
        <w:t>s than DFAT</w:t>
      </w:r>
      <w:r w:rsidR="005A71DD">
        <w:t xml:space="preserve"> but greater technical c</w:t>
      </w:r>
      <w:r w:rsidR="00251417">
        <w:t>apacity</w:t>
      </w:r>
      <w:r w:rsidR="00F9382E" w:rsidRPr="007F4B03">
        <w:t>.</w:t>
      </w:r>
    </w:p>
    <w:p w14:paraId="673B5BC8" w14:textId="77777777" w:rsidR="00866ACC" w:rsidRPr="00A67F30" w:rsidRDefault="00866ACC" w:rsidP="005C2C54">
      <w:r>
        <w:t xml:space="preserve">DFAT’s </w:t>
      </w:r>
      <w:r w:rsidR="00F9382E" w:rsidRPr="007F4B03">
        <w:t xml:space="preserve">approach </w:t>
      </w:r>
      <w:r w:rsidR="00F9382E" w:rsidRPr="00A67F30">
        <w:t xml:space="preserve">could have </w:t>
      </w:r>
      <w:r w:rsidRPr="00A67F30">
        <w:t>four</w:t>
      </w:r>
      <w:r w:rsidR="00F9382E" w:rsidRPr="00A67F30">
        <w:t xml:space="preserve"> related elements</w:t>
      </w:r>
      <w:r w:rsidR="00B1542E" w:rsidRPr="00A67F30">
        <w:t>:</w:t>
      </w:r>
    </w:p>
    <w:p w14:paraId="2F48FF2A" w14:textId="2D93E475" w:rsidR="00A67F30" w:rsidRPr="00A67F30" w:rsidRDefault="00866ACC" w:rsidP="00853654">
      <w:pPr>
        <w:pStyle w:val="ListParagraph"/>
        <w:numPr>
          <w:ilvl w:val="0"/>
          <w:numId w:val="33"/>
        </w:numPr>
        <w:spacing w:before="0" w:after="0" w:line="257" w:lineRule="auto"/>
        <w:ind w:left="714" w:hanging="357"/>
        <w:contextualSpacing w:val="0"/>
        <w:rPr>
          <w:color w:val="495965" w:themeColor="text2"/>
        </w:rPr>
      </w:pPr>
      <w:r w:rsidRPr="00A67F30">
        <w:rPr>
          <w:color w:val="495965" w:themeColor="text2"/>
        </w:rPr>
        <w:t>s</w:t>
      </w:r>
      <w:r w:rsidR="00F9382E" w:rsidRPr="00A67F30">
        <w:rPr>
          <w:color w:val="495965" w:themeColor="text2"/>
        </w:rPr>
        <w:t xml:space="preserve">trengthen collaboration with the World Bank, the ADB and likeminded </w:t>
      </w:r>
      <w:r w:rsidR="00AD4BEA" w:rsidRPr="00A67F30">
        <w:rPr>
          <w:color w:val="495965" w:themeColor="text2"/>
        </w:rPr>
        <w:t>partners</w:t>
      </w:r>
      <w:r w:rsidR="00F9382E" w:rsidRPr="00A67F30">
        <w:rPr>
          <w:color w:val="495965" w:themeColor="text2"/>
        </w:rPr>
        <w:t xml:space="preserve"> to develop a strategy </w:t>
      </w:r>
      <w:r w:rsidR="00556402">
        <w:rPr>
          <w:color w:val="495965" w:themeColor="text2"/>
        </w:rPr>
        <w:t>for including</w:t>
      </w:r>
      <w:r w:rsidR="00F9382E" w:rsidRPr="00A67F30">
        <w:rPr>
          <w:color w:val="495965" w:themeColor="text2"/>
        </w:rPr>
        <w:t xml:space="preserve"> gender in budget support operations</w:t>
      </w:r>
      <w:r w:rsidR="00547479" w:rsidRPr="00A67F30">
        <w:rPr>
          <w:color w:val="495965" w:themeColor="text2"/>
        </w:rPr>
        <w:t xml:space="preserve">. </w:t>
      </w:r>
      <w:r w:rsidR="00F9382E" w:rsidRPr="00A67F30">
        <w:rPr>
          <w:color w:val="495965" w:themeColor="text2"/>
        </w:rPr>
        <w:t xml:space="preserve">The Friends of </w:t>
      </w:r>
      <w:r w:rsidR="00556402">
        <w:rPr>
          <w:color w:val="495965" w:themeColor="text2"/>
        </w:rPr>
        <w:t xml:space="preserve">Pacific </w:t>
      </w:r>
      <w:r w:rsidR="00F9382E" w:rsidRPr="00A67F30">
        <w:rPr>
          <w:color w:val="495965" w:themeColor="text2"/>
        </w:rPr>
        <w:t xml:space="preserve">Budget Support </w:t>
      </w:r>
      <w:r w:rsidR="00556402">
        <w:rPr>
          <w:color w:val="495965" w:themeColor="text2"/>
        </w:rPr>
        <w:t>meeting</w:t>
      </w:r>
      <w:r w:rsidR="00F9382E" w:rsidRPr="00A67F30">
        <w:rPr>
          <w:color w:val="495965" w:themeColor="text2"/>
        </w:rPr>
        <w:t xml:space="preserve"> could be the starting point</w:t>
      </w:r>
      <w:r w:rsidR="00547479" w:rsidRPr="00A67F30">
        <w:rPr>
          <w:color w:val="495965" w:themeColor="text2"/>
        </w:rPr>
        <w:t xml:space="preserve">. </w:t>
      </w:r>
      <w:r w:rsidR="00F9382E" w:rsidRPr="00A67F30">
        <w:rPr>
          <w:color w:val="495965" w:themeColor="text2"/>
        </w:rPr>
        <w:t>The effort could focus on better integrating budget support operations with other programs to develop medium</w:t>
      </w:r>
      <w:r w:rsidRPr="00A67F30">
        <w:rPr>
          <w:color w:val="495965" w:themeColor="text2"/>
        </w:rPr>
        <w:t>-</w:t>
      </w:r>
      <w:r w:rsidR="00F9382E" w:rsidRPr="00A67F30">
        <w:rPr>
          <w:color w:val="495965" w:themeColor="text2"/>
        </w:rPr>
        <w:t>term roadmaps for individual countries</w:t>
      </w:r>
    </w:p>
    <w:p w14:paraId="43E4AE14" w14:textId="0B064DFF" w:rsidR="00A67F30" w:rsidRPr="00CF428B" w:rsidRDefault="00A67F30" w:rsidP="00853654">
      <w:pPr>
        <w:pStyle w:val="ListParagraph"/>
        <w:numPr>
          <w:ilvl w:val="0"/>
          <w:numId w:val="33"/>
        </w:numPr>
        <w:spacing w:before="0" w:after="0" w:line="257" w:lineRule="auto"/>
        <w:ind w:left="714" w:hanging="357"/>
        <w:contextualSpacing w:val="0"/>
        <w:rPr>
          <w:color w:val="495965" w:themeColor="text2"/>
        </w:rPr>
      </w:pPr>
      <w:r w:rsidRPr="00A67F30">
        <w:rPr>
          <w:color w:val="495965" w:themeColor="text2"/>
        </w:rPr>
        <w:t>i</w:t>
      </w:r>
      <w:r w:rsidR="00F9382E" w:rsidRPr="00A67F30">
        <w:rPr>
          <w:color w:val="495965" w:themeColor="text2"/>
        </w:rPr>
        <w:t>mplement a portfolio-wide approach to assessing and improving the conditions for gender mainstreaming</w:t>
      </w:r>
      <w:r w:rsidR="00634103">
        <w:rPr>
          <w:color w:val="495965" w:themeColor="text2"/>
        </w:rPr>
        <w:t>.</w:t>
      </w:r>
      <w:r w:rsidR="00547479" w:rsidRPr="00A67F30">
        <w:rPr>
          <w:color w:val="495965" w:themeColor="text2"/>
        </w:rPr>
        <w:t xml:space="preserve"> </w:t>
      </w:r>
      <w:r w:rsidR="00F9382E" w:rsidRPr="00A67F30">
        <w:rPr>
          <w:color w:val="495965" w:themeColor="text2"/>
        </w:rPr>
        <w:t xml:space="preserve">This could </w:t>
      </w:r>
      <w:r w:rsidR="00A400A9">
        <w:rPr>
          <w:color w:val="495965" w:themeColor="text2"/>
        </w:rPr>
        <w:t xml:space="preserve">include working with </w:t>
      </w:r>
      <w:r w:rsidR="00F9382E" w:rsidRPr="00A67F30">
        <w:rPr>
          <w:color w:val="495965" w:themeColor="text2"/>
        </w:rPr>
        <w:t>stakeholders to interrogate budgets and expenditure through a gender lens and build</w:t>
      </w:r>
      <w:r w:rsidR="00A400A9">
        <w:rPr>
          <w:color w:val="495965" w:themeColor="text2"/>
        </w:rPr>
        <w:t>ing</w:t>
      </w:r>
      <w:r w:rsidR="00F9382E" w:rsidRPr="00A67F30">
        <w:rPr>
          <w:color w:val="495965" w:themeColor="text2"/>
        </w:rPr>
        <w:t xml:space="preserve"> accountability structure</w:t>
      </w:r>
      <w:r w:rsidR="00A400A9">
        <w:rPr>
          <w:color w:val="495965" w:themeColor="text2"/>
        </w:rPr>
        <w:t>s for gender</w:t>
      </w:r>
      <w:r w:rsidR="00E57B7B">
        <w:rPr>
          <w:color w:val="495965" w:themeColor="text2"/>
        </w:rPr>
        <w:t xml:space="preserve"> e</w:t>
      </w:r>
      <w:r w:rsidR="00A400A9">
        <w:rPr>
          <w:color w:val="495965" w:themeColor="text2"/>
        </w:rPr>
        <w:t>quality in ministries</w:t>
      </w:r>
      <w:r w:rsidR="00E57B7B">
        <w:rPr>
          <w:color w:val="495965" w:themeColor="text2"/>
        </w:rPr>
        <w:t>’</w:t>
      </w:r>
      <w:r w:rsidR="00A400A9">
        <w:rPr>
          <w:color w:val="495965" w:themeColor="text2"/>
        </w:rPr>
        <w:t xml:space="preserve"> reporting requirements. </w:t>
      </w:r>
      <w:r w:rsidR="00F9382E" w:rsidRPr="00CF428B">
        <w:rPr>
          <w:color w:val="495965" w:themeColor="text2"/>
        </w:rPr>
        <w:t>It could also target ways to address gaps in gender-disaggregated data that impede effective development and monitoring of gender-related policies</w:t>
      </w:r>
    </w:p>
    <w:p w14:paraId="1718DE27" w14:textId="0C8AECB1" w:rsidR="00CF428B" w:rsidRPr="00CF428B" w:rsidRDefault="00A67F30" w:rsidP="00853654">
      <w:pPr>
        <w:pStyle w:val="ListParagraph"/>
        <w:numPr>
          <w:ilvl w:val="0"/>
          <w:numId w:val="33"/>
        </w:numPr>
        <w:spacing w:before="0" w:after="0" w:line="257" w:lineRule="auto"/>
        <w:ind w:left="714" w:hanging="357"/>
        <w:contextualSpacing w:val="0"/>
        <w:rPr>
          <w:color w:val="495965" w:themeColor="text2"/>
        </w:rPr>
      </w:pPr>
      <w:r w:rsidRPr="00CF428B">
        <w:rPr>
          <w:color w:val="495965" w:themeColor="text2"/>
        </w:rPr>
        <w:t>e</w:t>
      </w:r>
      <w:r w:rsidR="00F9382E" w:rsidRPr="00CF428B">
        <w:rPr>
          <w:color w:val="495965" w:themeColor="text2"/>
        </w:rPr>
        <w:t>ngag</w:t>
      </w:r>
      <w:r w:rsidRPr="00CF428B">
        <w:rPr>
          <w:color w:val="495965" w:themeColor="text2"/>
        </w:rPr>
        <w:t>e</w:t>
      </w:r>
      <w:r w:rsidR="00F9382E" w:rsidRPr="00CF428B">
        <w:rPr>
          <w:color w:val="495965" w:themeColor="text2"/>
        </w:rPr>
        <w:t xml:space="preserve"> with stakeholders to identify how </w:t>
      </w:r>
      <w:r w:rsidR="00E57B7B">
        <w:rPr>
          <w:color w:val="495965" w:themeColor="text2"/>
        </w:rPr>
        <w:t xml:space="preserve">to modify </w:t>
      </w:r>
      <w:r w:rsidR="00F9382E" w:rsidRPr="00CF428B">
        <w:rPr>
          <w:color w:val="495965" w:themeColor="text2"/>
        </w:rPr>
        <w:t>PFM reform roadmaps to incorporate elements of gender-responsive budgetin</w:t>
      </w:r>
      <w:r w:rsidR="00CF428B" w:rsidRPr="00CF428B">
        <w:rPr>
          <w:color w:val="495965" w:themeColor="text2"/>
        </w:rPr>
        <w:t>g, recognising lessons learned around overly ambitious PFM roadmaps</w:t>
      </w:r>
      <w:r w:rsidR="00CF428B">
        <w:rPr>
          <w:color w:val="495965" w:themeColor="text2"/>
        </w:rPr>
        <w:t xml:space="preserve"> and existing </w:t>
      </w:r>
      <w:r w:rsidR="00F9382E" w:rsidRPr="00CF428B">
        <w:rPr>
          <w:color w:val="495965" w:themeColor="text2"/>
        </w:rPr>
        <w:t xml:space="preserve">guidance </w:t>
      </w:r>
      <w:r w:rsidR="00CF428B">
        <w:rPr>
          <w:color w:val="495965" w:themeColor="text2"/>
        </w:rPr>
        <w:t xml:space="preserve">around </w:t>
      </w:r>
      <w:r w:rsidR="00F9382E" w:rsidRPr="00CF428B">
        <w:rPr>
          <w:color w:val="495965" w:themeColor="text2"/>
        </w:rPr>
        <w:t xml:space="preserve">ways </w:t>
      </w:r>
      <w:r w:rsidR="00CF428B">
        <w:rPr>
          <w:color w:val="495965" w:themeColor="text2"/>
        </w:rPr>
        <w:t xml:space="preserve">to </w:t>
      </w:r>
      <w:r w:rsidR="00E57B7B">
        <w:rPr>
          <w:color w:val="495965" w:themeColor="text2"/>
        </w:rPr>
        <w:t xml:space="preserve">incorporate gender into </w:t>
      </w:r>
      <w:r w:rsidR="00F9382E" w:rsidRPr="00CF428B">
        <w:rPr>
          <w:color w:val="495965" w:themeColor="text2"/>
        </w:rPr>
        <w:t xml:space="preserve">PFM systems. The challenge will be to develop approaches that </w:t>
      </w:r>
      <w:r w:rsidR="00E57B7B">
        <w:rPr>
          <w:color w:val="495965" w:themeColor="text2"/>
        </w:rPr>
        <w:t>align</w:t>
      </w:r>
      <w:r w:rsidR="00F9382E" w:rsidRPr="00CF428B">
        <w:rPr>
          <w:color w:val="495965" w:themeColor="text2"/>
        </w:rPr>
        <w:t xml:space="preserve"> with country contexts and system capabilities</w:t>
      </w:r>
    </w:p>
    <w:p w14:paraId="12CFF4ED" w14:textId="7D7D8097" w:rsidR="00583BAE" w:rsidRPr="00CF428B" w:rsidRDefault="00CF428B" w:rsidP="00853654">
      <w:pPr>
        <w:pStyle w:val="ListParagraph"/>
        <w:numPr>
          <w:ilvl w:val="0"/>
          <w:numId w:val="33"/>
        </w:numPr>
        <w:spacing w:before="0" w:after="0" w:line="257" w:lineRule="auto"/>
        <w:ind w:left="714" w:hanging="357"/>
        <w:contextualSpacing w:val="0"/>
        <w:rPr>
          <w:color w:val="495965" w:themeColor="text2"/>
        </w:rPr>
      </w:pPr>
      <w:r w:rsidRPr="00CF428B">
        <w:rPr>
          <w:color w:val="495965" w:themeColor="text2"/>
        </w:rPr>
        <w:t>u</w:t>
      </w:r>
      <w:r w:rsidR="00F9382E" w:rsidRPr="00CF428B">
        <w:rPr>
          <w:color w:val="495965" w:themeColor="text2"/>
        </w:rPr>
        <w:t>s</w:t>
      </w:r>
      <w:r w:rsidRPr="00CF428B">
        <w:rPr>
          <w:color w:val="495965" w:themeColor="text2"/>
        </w:rPr>
        <w:t>e</w:t>
      </w:r>
      <w:r w:rsidR="00F9382E" w:rsidRPr="00CF428B">
        <w:rPr>
          <w:color w:val="495965" w:themeColor="text2"/>
        </w:rPr>
        <w:t xml:space="preserve"> economic diplomacy and broader strategic </w:t>
      </w:r>
      <w:r w:rsidR="008B1BF6">
        <w:rPr>
          <w:color w:val="495965" w:themeColor="text2"/>
        </w:rPr>
        <w:t xml:space="preserve">regional </w:t>
      </w:r>
      <w:r w:rsidR="00F9382E" w:rsidRPr="00CF428B">
        <w:rPr>
          <w:color w:val="495965" w:themeColor="text2"/>
        </w:rPr>
        <w:t xml:space="preserve">engagement to </w:t>
      </w:r>
      <w:r w:rsidR="008B1BF6">
        <w:rPr>
          <w:color w:val="495965" w:themeColor="text2"/>
        </w:rPr>
        <w:t>improve</w:t>
      </w:r>
      <w:r w:rsidR="00F9382E" w:rsidRPr="00CF428B">
        <w:rPr>
          <w:color w:val="495965" w:themeColor="text2"/>
        </w:rPr>
        <w:t xml:space="preserve"> political understanding of the economic imperatives </w:t>
      </w:r>
      <w:r w:rsidR="008B1BF6">
        <w:rPr>
          <w:color w:val="495965" w:themeColor="text2"/>
        </w:rPr>
        <w:t xml:space="preserve">of gender equality </w:t>
      </w:r>
      <w:r w:rsidR="00F9382E" w:rsidRPr="00CF428B">
        <w:rPr>
          <w:color w:val="495965" w:themeColor="text2"/>
        </w:rPr>
        <w:t>to enhance gender-informed economic policy making.</w:t>
      </w:r>
      <w:r w:rsidR="00547479" w:rsidRPr="00CF428B">
        <w:rPr>
          <w:color w:val="495965" w:themeColor="text2"/>
        </w:rPr>
        <w:t xml:space="preserve"> </w:t>
      </w:r>
      <w:r w:rsidR="00F9382E" w:rsidRPr="00CF428B">
        <w:rPr>
          <w:color w:val="495965" w:themeColor="text2"/>
        </w:rPr>
        <w:t>This could</w:t>
      </w:r>
      <w:r w:rsidR="008B1BF6">
        <w:rPr>
          <w:color w:val="495965" w:themeColor="text2"/>
        </w:rPr>
        <w:t xml:space="preserve"> enlist</w:t>
      </w:r>
      <w:r w:rsidR="00F9382E" w:rsidRPr="00CF428B">
        <w:rPr>
          <w:color w:val="495965" w:themeColor="text2"/>
        </w:rPr>
        <w:t xml:space="preserve"> regional institutions such as the Pacific Islands Forum (PIF)</w:t>
      </w:r>
      <w:r w:rsidR="008B1BF6">
        <w:rPr>
          <w:color w:val="495965" w:themeColor="text2"/>
        </w:rPr>
        <w:t>, supporting the PIF Secretariat</w:t>
      </w:r>
      <w:r w:rsidR="00F9382E" w:rsidRPr="00CF428B">
        <w:rPr>
          <w:color w:val="495965" w:themeColor="text2"/>
        </w:rPr>
        <w:t xml:space="preserve"> </w:t>
      </w:r>
      <w:r w:rsidR="008B1BF6">
        <w:rPr>
          <w:color w:val="495965" w:themeColor="text2"/>
        </w:rPr>
        <w:t xml:space="preserve">to </w:t>
      </w:r>
      <w:r w:rsidR="00F9382E" w:rsidRPr="00CF428B">
        <w:rPr>
          <w:color w:val="495965" w:themeColor="text2"/>
        </w:rPr>
        <w:t>translate Forum statements of intent into action.</w:t>
      </w:r>
      <w:r w:rsidR="00583BAE">
        <w:br w:type="page"/>
      </w:r>
    </w:p>
    <w:p w14:paraId="51B9CA73" w14:textId="5C3912CD" w:rsidR="00F9382E" w:rsidRDefault="00950CA5" w:rsidP="00950CA5">
      <w:pPr>
        <w:pStyle w:val="Heading1"/>
      </w:pPr>
      <w:bookmarkStart w:id="11" w:name="_Toc108168312"/>
      <w:bookmarkStart w:id="12" w:name="_Toc120201408"/>
      <w:bookmarkStart w:id="13" w:name="_Toc120544515"/>
      <w:r>
        <w:lastRenderedPageBreak/>
        <w:t xml:space="preserve">1. </w:t>
      </w:r>
      <w:r w:rsidR="00F9382E" w:rsidRPr="001C3E3F">
        <w:t>Introduction</w:t>
      </w:r>
      <w:bookmarkEnd w:id="11"/>
      <w:bookmarkEnd w:id="12"/>
      <w:bookmarkEnd w:id="13"/>
    </w:p>
    <w:p w14:paraId="5F98816E" w14:textId="45478ED0" w:rsidR="00F9382E" w:rsidRDefault="00F9382E" w:rsidP="007F4B03">
      <w:pPr>
        <w:pStyle w:val="Heading3"/>
      </w:pPr>
      <w:bookmarkStart w:id="14" w:name="_Toc108168313"/>
      <w:bookmarkStart w:id="15" w:name="_Toc120201409"/>
      <w:bookmarkStart w:id="16" w:name="_Toc120544516"/>
      <w:r>
        <w:t>Background</w:t>
      </w:r>
      <w:bookmarkEnd w:id="14"/>
      <w:bookmarkEnd w:id="15"/>
      <w:bookmarkEnd w:id="16"/>
    </w:p>
    <w:p w14:paraId="78AA4920" w14:textId="3B9F1A70" w:rsidR="00F9382E" w:rsidRPr="007F4B03" w:rsidRDefault="00F9382E" w:rsidP="0056554D">
      <w:pPr>
        <w:spacing w:after="120"/>
      </w:pPr>
      <w:r w:rsidRPr="007F4B03">
        <w:t xml:space="preserve">Budget support from the Australian aid program, including support delivered in partnership with the World Bank and </w:t>
      </w:r>
      <w:r w:rsidR="0015707E">
        <w:t>ADB</w:t>
      </w:r>
      <w:r w:rsidRPr="007F4B03">
        <w:t xml:space="preserve">, has become an important vehicle to help </w:t>
      </w:r>
      <w:r w:rsidR="0037534A">
        <w:t>PICs</w:t>
      </w:r>
      <w:r w:rsidRPr="007F4B03">
        <w:t xml:space="preserve"> and Timor-Leste deal with the economic and fiscal shocks associated with the COVID-19 pandemic</w:t>
      </w:r>
      <w:r w:rsidR="0015707E">
        <w:t xml:space="preserve"> and natural disasters.</w:t>
      </w:r>
    </w:p>
    <w:p w14:paraId="37C44D9B" w14:textId="4F2CCD8B" w:rsidR="00F9382E" w:rsidRPr="007F4B03" w:rsidRDefault="00F9382E" w:rsidP="00F9382E">
      <w:pPr>
        <w:spacing w:after="120"/>
        <w:rPr>
          <w:rFonts w:cstheme="minorHAnsi"/>
        </w:rPr>
      </w:pPr>
      <w:r w:rsidRPr="007F4B03">
        <w:t>As in other parts of the world, the shocks in PICs and T</w:t>
      </w:r>
      <w:r w:rsidR="001A1B2B">
        <w:t>imor-Leste</w:t>
      </w:r>
      <w:r w:rsidRPr="007F4B03">
        <w:t xml:space="preserve"> from the pandemic</w:t>
      </w:r>
      <w:r w:rsidR="0015707E">
        <w:t xml:space="preserve"> and disasters</w:t>
      </w:r>
      <w:r w:rsidRPr="007F4B03">
        <w:t xml:space="preserve"> </w:t>
      </w:r>
      <w:r w:rsidR="0015707E">
        <w:t xml:space="preserve">affect </w:t>
      </w:r>
      <w:r w:rsidRPr="007F4B03">
        <w:t xml:space="preserve">women and men differently. The need to tailor responses to these differences has focused attention on ensuring gender equality is properly embedded in DFAT’s support to these countries. Because budget support is expected to continue to be an important modality in the future, the Office of the Pacific (OTP) commissioned a study </w:t>
      </w:r>
      <w:bookmarkStart w:id="17" w:name="_Hlk99375135"/>
      <w:r w:rsidRPr="007F4B03">
        <w:t xml:space="preserve">to provide information on how gender equality is currently embedded in budget support </w:t>
      </w:r>
      <w:r w:rsidR="00B1542E" w:rsidRPr="007F4B03">
        <w:t>operations and</w:t>
      </w:r>
      <w:r w:rsidRPr="007F4B03">
        <w:t xml:space="preserve"> </w:t>
      </w:r>
      <w:r w:rsidR="0015707E">
        <w:t>advise</w:t>
      </w:r>
      <w:r w:rsidRPr="007F4B03">
        <w:t xml:space="preserve"> on </w:t>
      </w:r>
      <w:r w:rsidR="0015707E">
        <w:t xml:space="preserve">ways to </w:t>
      </w:r>
      <w:r w:rsidRPr="007F4B03">
        <w:t>strengthen gender equality in the policy reforms and dialogue that accompany budget support</w:t>
      </w:r>
      <w:bookmarkEnd w:id="17"/>
      <w:r w:rsidRPr="007F4B03">
        <w:t xml:space="preserve">. </w:t>
      </w:r>
      <w:r w:rsidRPr="007F4B03">
        <w:rPr>
          <w:rFonts w:cstheme="minorHAnsi"/>
        </w:rPr>
        <w:t>The purpose of this advice is to give DFAT officers the information needed to advocate for gender priorities in policy dialogues; and to enable DFAT to work with Pacific governments to include gender-sensitive reforms in policy matrices.</w:t>
      </w:r>
    </w:p>
    <w:p w14:paraId="00E20C41" w14:textId="1C55F74D" w:rsidR="00F9382E" w:rsidRPr="007F4B03" w:rsidRDefault="00596BA8" w:rsidP="00B1542E">
      <w:r>
        <w:t>Due to</w:t>
      </w:r>
      <w:r w:rsidR="00F9382E" w:rsidRPr="007F4B03">
        <w:t xml:space="preserve"> the nature of budget support operations in the Pacific</w:t>
      </w:r>
      <w:r w:rsidR="00CB6A9A">
        <w:t xml:space="preserve"> and Timor-Leste</w:t>
      </w:r>
      <w:r w:rsidR="00F9382E" w:rsidRPr="007F4B03">
        <w:t xml:space="preserve">, and their focus on macro-fiscal sustainability and </w:t>
      </w:r>
      <w:r w:rsidR="0015707E">
        <w:t>PFM</w:t>
      </w:r>
      <w:r w:rsidR="00F9382E" w:rsidRPr="007F4B03">
        <w:t xml:space="preserve"> systems, this study pays particular attention to two related issues:</w:t>
      </w:r>
    </w:p>
    <w:p w14:paraId="64C1228A" w14:textId="7435E97D" w:rsidR="00825060" w:rsidRDefault="00825060" w:rsidP="00853654">
      <w:pPr>
        <w:pStyle w:val="ListParagraph"/>
        <w:numPr>
          <w:ilvl w:val="0"/>
          <w:numId w:val="19"/>
        </w:numPr>
        <w:spacing w:after="0" w:line="240" w:lineRule="auto"/>
        <w:ind w:left="714" w:hanging="357"/>
        <w:contextualSpacing w:val="0"/>
        <w:rPr>
          <w:color w:val="495965" w:themeColor="text2"/>
          <w:lang w:val="en-US"/>
        </w:rPr>
      </w:pPr>
      <w:r w:rsidRPr="0015707E">
        <w:rPr>
          <w:color w:val="495965" w:themeColor="text2"/>
          <w:lang w:val="en-US"/>
        </w:rPr>
        <w:t>the scope for progressing gender equality actions through budget support operations</w:t>
      </w:r>
      <w:r>
        <w:rPr>
          <w:color w:val="495965" w:themeColor="text2"/>
          <w:lang w:val="en-US"/>
        </w:rPr>
        <w:t>; and</w:t>
      </w:r>
    </w:p>
    <w:p w14:paraId="4D12F706" w14:textId="7E68CFA7" w:rsidR="00F9382E" w:rsidRPr="0015707E" w:rsidRDefault="00F9382E" w:rsidP="00853654">
      <w:pPr>
        <w:pStyle w:val="ListParagraph"/>
        <w:numPr>
          <w:ilvl w:val="0"/>
          <w:numId w:val="19"/>
        </w:numPr>
        <w:spacing w:after="0" w:line="240" w:lineRule="auto"/>
        <w:ind w:left="714" w:hanging="357"/>
        <w:contextualSpacing w:val="0"/>
        <w:rPr>
          <w:color w:val="495965" w:themeColor="text2"/>
          <w:lang w:val="en-US"/>
        </w:rPr>
      </w:pPr>
      <w:r w:rsidRPr="007F4B03">
        <w:rPr>
          <w:color w:val="495965" w:themeColor="text2"/>
          <w:lang w:val="en-US"/>
        </w:rPr>
        <w:t xml:space="preserve">the scope for strengthening the treatment of gender equality in </w:t>
      </w:r>
      <w:r w:rsidR="000B332B">
        <w:rPr>
          <w:color w:val="495965" w:themeColor="text2"/>
          <w:lang w:val="en-US"/>
        </w:rPr>
        <w:t>Pacific and Timorese</w:t>
      </w:r>
      <w:r w:rsidRPr="007F4B03">
        <w:rPr>
          <w:color w:val="495965" w:themeColor="text2"/>
          <w:lang w:val="en-US"/>
        </w:rPr>
        <w:t xml:space="preserve"> budgets and public financ</w:t>
      </w:r>
      <w:r w:rsidR="00595D8D">
        <w:rPr>
          <w:color w:val="495965" w:themeColor="text2"/>
          <w:lang w:val="en-US"/>
        </w:rPr>
        <w:t>ial</w:t>
      </w:r>
      <w:r w:rsidRPr="007F4B03">
        <w:rPr>
          <w:color w:val="495965" w:themeColor="text2"/>
          <w:lang w:val="en-US"/>
        </w:rPr>
        <w:t xml:space="preserve"> management systems</w:t>
      </w:r>
      <w:r w:rsidR="00825060">
        <w:rPr>
          <w:color w:val="495965" w:themeColor="text2"/>
          <w:lang w:val="en-US"/>
        </w:rPr>
        <w:t>.</w:t>
      </w:r>
    </w:p>
    <w:p w14:paraId="6B9B7685" w14:textId="15F3360D" w:rsidR="00F9382E" w:rsidRPr="007F4B03" w:rsidRDefault="00F9382E" w:rsidP="00F9382E">
      <w:pPr>
        <w:spacing w:after="120"/>
      </w:pPr>
      <w:r w:rsidRPr="0015707E">
        <w:t>The gen</w:t>
      </w:r>
      <w:r w:rsidRPr="007F4B03">
        <w:t xml:space="preserve">dered impacts of the pandemic have increased the urgency of improving gender considerations in budgetary systems and processes and </w:t>
      </w:r>
      <w:r w:rsidR="00FD2478">
        <w:t xml:space="preserve">of </w:t>
      </w:r>
      <w:r w:rsidRPr="007F4B03">
        <w:t xml:space="preserve">achieving identifiable impacts in areas where women and girls are most disadvantaged or overlooked by the allocation and mobilisation of government resources. </w:t>
      </w:r>
    </w:p>
    <w:p w14:paraId="461EC83F" w14:textId="77777777" w:rsidR="00F9382E" w:rsidRPr="007F4B03" w:rsidRDefault="00F9382E" w:rsidP="00B1542E">
      <w:r w:rsidRPr="007F4B03">
        <w:t>Consequently, it is useful to distinguish between:</w:t>
      </w:r>
    </w:p>
    <w:p w14:paraId="13D698ED" w14:textId="77777777" w:rsidR="0015707E" w:rsidRDefault="00F9382E" w:rsidP="00853654">
      <w:pPr>
        <w:pStyle w:val="ListParagraph"/>
        <w:numPr>
          <w:ilvl w:val="0"/>
          <w:numId w:val="20"/>
        </w:numPr>
        <w:spacing w:after="0" w:line="240" w:lineRule="auto"/>
        <w:ind w:left="714" w:hanging="357"/>
        <w:contextualSpacing w:val="0"/>
        <w:rPr>
          <w:color w:val="495965" w:themeColor="text2"/>
        </w:rPr>
      </w:pPr>
      <w:r w:rsidRPr="007F4B03">
        <w:rPr>
          <w:color w:val="495965" w:themeColor="text2"/>
        </w:rPr>
        <w:t>embedding gender-responsive budgeting (that is, the consideration of gender specific impacts of all aspects of a country’s budget); and</w:t>
      </w:r>
    </w:p>
    <w:p w14:paraId="43947E46" w14:textId="037E001A" w:rsidR="00F9382E" w:rsidRPr="0015707E" w:rsidRDefault="00F9382E" w:rsidP="00853654">
      <w:pPr>
        <w:pStyle w:val="ListParagraph"/>
        <w:numPr>
          <w:ilvl w:val="0"/>
          <w:numId w:val="20"/>
        </w:numPr>
        <w:spacing w:after="0" w:line="240" w:lineRule="auto"/>
        <w:ind w:left="714" w:hanging="357"/>
        <w:contextualSpacing w:val="0"/>
        <w:rPr>
          <w:color w:val="495965" w:themeColor="text2"/>
        </w:rPr>
      </w:pPr>
      <w:r w:rsidRPr="0015707E">
        <w:rPr>
          <w:color w:val="495965" w:themeColor="text2"/>
        </w:rPr>
        <w:t xml:space="preserve">improving gender equality outcomes from current </w:t>
      </w:r>
      <w:r w:rsidR="000B332B" w:rsidRPr="0015707E">
        <w:rPr>
          <w:color w:val="495965" w:themeColor="text2"/>
        </w:rPr>
        <w:t xml:space="preserve">Pacific and Timorese </w:t>
      </w:r>
      <w:r w:rsidRPr="0015707E">
        <w:rPr>
          <w:color w:val="495965" w:themeColor="text2"/>
        </w:rPr>
        <w:t xml:space="preserve">budget processes. </w:t>
      </w:r>
    </w:p>
    <w:p w14:paraId="32BD1A6C" w14:textId="673A20FA" w:rsidR="00F9382E" w:rsidRPr="007F4B03" w:rsidRDefault="00F9382E" w:rsidP="00F9382E">
      <w:pPr>
        <w:spacing w:after="120"/>
      </w:pPr>
      <w:r w:rsidRPr="0015707E">
        <w:t>This dist</w:t>
      </w:r>
      <w:r w:rsidRPr="007F4B03">
        <w:t>inction enables a consideration of timeframes (to make policy, process</w:t>
      </w:r>
      <w:r w:rsidR="00B71C58">
        <w:t>,</w:t>
      </w:r>
      <w:r w:rsidRPr="007F4B03">
        <w:t xml:space="preserve"> and institutional changes), capacity, the status of ongoing </w:t>
      </w:r>
      <w:r w:rsidR="00C979F9">
        <w:t xml:space="preserve">reforms </w:t>
      </w:r>
      <w:r w:rsidRPr="007F4B03">
        <w:t xml:space="preserve">of PFM systems, the ability of </w:t>
      </w:r>
      <w:r w:rsidR="00C979F9">
        <w:t>existing reform</w:t>
      </w:r>
      <w:r w:rsidRPr="007F4B03">
        <w:t xml:space="preserve"> processes to add additional reform/system change requirements, and the urgency of protecting key gender-related programs and expenditures in a time of fiscal consolidation.</w:t>
      </w:r>
    </w:p>
    <w:p w14:paraId="1BAB76A8" w14:textId="50E52514" w:rsidR="00F9382E" w:rsidRPr="00D90D84" w:rsidRDefault="003C70F4" w:rsidP="007F4B03">
      <w:pPr>
        <w:pStyle w:val="Heading3"/>
      </w:pPr>
      <w:bookmarkStart w:id="18" w:name="_Toc108168314"/>
      <w:bookmarkStart w:id="19" w:name="_Toc120201410"/>
      <w:bookmarkStart w:id="20" w:name="_Toc120544517"/>
      <w:r>
        <w:t>Report structure</w:t>
      </w:r>
      <w:bookmarkEnd w:id="18"/>
      <w:bookmarkEnd w:id="19"/>
      <w:bookmarkEnd w:id="20"/>
    </w:p>
    <w:p w14:paraId="1BF3C135" w14:textId="5EFE4D7C" w:rsidR="00F9382E" w:rsidRDefault="00F9382E" w:rsidP="0056554D">
      <w:pPr>
        <w:spacing w:after="120"/>
      </w:pPr>
      <w:r>
        <w:t xml:space="preserve">This report presents the results from the study, which has relied primarily on literature and consultations with key interlocutors (see </w:t>
      </w:r>
      <w:r w:rsidRPr="003C70F4">
        <w:rPr>
          <w:b/>
          <w:bCs/>
        </w:rPr>
        <w:t>Annex A</w:t>
      </w:r>
      <w:r>
        <w:t xml:space="preserve"> for the terms of reference and </w:t>
      </w:r>
      <w:r w:rsidRPr="003C70F4">
        <w:rPr>
          <w:b/>
          <w:bCs/>
        </w:rPr>
        <w:t>Annex B</w:t>
      </w:r>
      <w:r>
        <w:t xml:space="preserve"> for the consultation list). The main documents used in the study are identified in the ‘selected literature’ section at the back of </w:t>
      </w:r>
      <w:r w:rsidR="003C70F4">
        <w:t>this report</w:t>
      </w:r>
      <w:r>
        <w:t>.</w:t>
      </w:r>
    </w:p>
    <w:p w14:paraId="7147CE3D" w14:textId="1691B044" w:rsidR="00F9382E" w:rsidRPr="007F4B03" w:rsidRDefault="00F9382E" w:rsidP="00F9382E">
      <w:pPr>
        <w:spacing w:after="120"/>
      </w:pPr>
      <w:r>
        <w:t>The remainder of this chapter introduces key concepts used in the report. The next chapter presents an overview of budget support in the Pacific</w:t>
      </w:r>
      <w:r w:rsidR="00CB6A9A">
        <w:t xml:space="preserve"> and Timor-Leste</w:t>
      </w:r>
      <w:r>
        <w:t xml:space="preserve">. </w:t>
      </w:r>
      <w:r w:rsidRPr="00E66905">
        <w:rPr>
          <w:b/>
          <w:bCs/>
        </w:rPr>
        <w:t>Chapter 3</w:t>
      </w:r>
      <w:r>
        <w:t xml:space="preserve"> examines how gender considerations have been built into </w:t>
      </w:r>
      <w:r w:rsidR="00E66905">
        <w:t>multilateral bank</w:t>
      </w:r>
      <w:r>
        <w:t xml:space="preserve"> budget support operations. </w:t>
      </w:r>
      <w:r w:rsidRPr="00E66905">
        <w:rPr>
          <w:b/>
          <w:bCs/>
        </w:rPr>
        <w:t>Chapter 4</w:t>
      </w:r>
      <w:r>
        <w:t xml:space="preserve"> </w:t>
      </w:r>
      <w:r w:rsidR="001E1FF5">
        <w:t>presents a stock</w:t>
      </w:r>
      <w:r w:rsidR="00FD2478">
        <w:t>take</w:t>
      </w:r>
      <w:r w:rsidR="001E1FF5">
        <w:t xml:space="preserve"> on gender responsive budgeting efforts in the Pacific </w:t>
      </w:r>
      <w:r w:rsidR="00CB6A9A">
        <w:t xml:space="preserve">and Timor-Leste </w:t>
      </w:r>
      <w:r w:rsidR="001E1FF5">
        <w:t xml:space="preserve">and </w:t>
      </w:r>
      <w:r>
        <w:t xml:space="preserve">examines two important factors that enable gender equality in budget support operations: the status of gender mainstreaming in </w:t>
      </w:r>
      <w:r w:rsidR="0037534A">
        <w:t>PICs</w:t>
      </w:r>
      <w:r w:rsidR="000B332B">
        <w:t xml:space="preserve"> and Timor-Leste</w:t>
      </w:r>
      <w:r>
        <w:t xml:space="preserve">, and the capacity of </w:t>
      </w:r>
      <w:r w:rsidRPr="007F4B03">
        <w:t xml:space="preserve">each country’s PFM systems. While these are not the only enabling factors, they bear on the ability of </w:t>
      </w:r>
      <w:r w:rsidR="000B332B">
        <w:t>Pacific and Timorese</w:t>
      </w:r>
      <w:r w:rsidRPr="007F4B03">
        <w:t xml:space="preserve"> governments to commit resources to gender equality objectives and monitor their </w:t>
      </w:r>
      <w:r w:rsidRPr="007F4B03">
        <w:lastRenderedPageBreak/>
        <w:t>effects, and on the willingness of political leaders to progress gender equality initiatives. The final chapter presents findings and suggestions for DFAT.</w:t>
      </w:r>
    </w:p>
    <w:p w14:paraId="6ABFFF01" w14:textId="696A7F3A" w:rsidR="00F9382E" w:rsidRPr="007F4B03" w:rsidRDefault="00F9382E" w:rsidP="007F4B03">
      <w:pPr>
        <w:pStyle w:val="Heading3"/>
      </w:pPr>
      <w:bookmarkStart w:id="21" w:name="_Toc108168315"/>
      <w:bookmarkStart w:id="22" w:name="_Toc120201411"/>
      <w:bookmarkStart w:id="23" w:name="_Toc120544518"/>
      <w:r w:rsidRPr="007F4B03">
        <w:t>Key concepts</w:t>
      </w:r>
      <w:bookmarkEnd w:id="21"/>
      <w:bookmarkEnd w:id="22"/>
      <w:bookmarkEnd w:id="23"/>
    </w:p>
    <w:p w14:paraId="62A6CB83" w14:textId="77777777" w:rsidR="00F9382E" w:rsidRPr="007F4B03" w:rsidRDefault="00F9382E" w:rsidP="0056554D">
      <w:pPr>
        <w:spacing w:after="120"/>
      </w:pPr>
      <w:r w:rsidRPr="007F4B03">
        <w:rPr>
          <w:b/>
          <w:bCs/>
        </w:rPr>
        <w:t>Budget support</w:t>
      </w:r>
      <w:r w:rsidRPr="007F4B03">
        <w:t xml:space="preserve"> - the OECD’s Development Assistance Committee defines budget support as:</w:t>
      </w:r>
    </w:p>
    <w:p w14:paraId="33DA4DFC" w14:textId="77777777" w:rsidR="00F9382E" w:rsidRPr="007F4B03" w:rsidRDefault="00F9382E" w:rsidP="00F9382E">
      <w:pPr>
        <w:spacing w:after="120"/>
        <w:ind w:left="357"/>
        <w:rPr>
          <w:i/>
          <w:iCs/>
          <w:sz w:val="20"/>
          <w:szCs w:val="20"/>
        </w:rPr>
      </w:pPr>
      <w:r w:rsidRPr="007F4B03">
        <w:rPr>
          <w:i/>
          <w:iCs/>
          <w:sz w:val="20"/>
          <w:szCs w:val="20"/>
        </w:rPr>
        <w:t>A method of financing a partner country’s budget through a transfer of resources from an external financing agency to the partner government’s national treasury. The funds thus transferred are managed in accordance with the recipient’s budgetary procedures.</w:t>
      </w:r>
      <w:r w:rsidRPr="007F4B03">
        <w:rPr>
          <w:rStyle w:val="FootnoteReference"/>
          <w:i/>
          <w:iCs/>
          <w:sz w:val="20"/>
          <w:szCs w:val="20"/>
        </w:rPr>
        <w:footnoteReference w:id="2"/>
      </w:r>
      <w:r w:rsidRPr="007F4B03">
        <w:rPr>
          <w:i/>
          <w:iCs/>
          <w:sz w:val="20"/>
          <w:szCs w:val="20"/>
        </w:rPr>
        <w:t xml:space="preserve"> </w:t>
      </w:r>
    </w:p>
    <w:p w14:paraId="58EE9DE1" w14:textId="5CDB31AF" w:rsidR="00F9382E" w:rsidRPr="007F4B03" w:rsidRDefault="00F9382E" w:rsidP="00F9382E">
      <w:pPr>
        <w:spacing w:after="120"/>
      </w:pPr>
      <w:r w:rsidRPr="007F4B03">
        <w:t xml:space="preserve">The transfer of funds is typically linked to </w:t>
      </w:r>
      <w:r w:rsidR="001F5F9B">
        <w:t>a reform dialogue between the development partner and partner government. The dialogue is used to agree a</w:t>
      </w:r>
      <w:r w:rsidRPr="007F4B03">
        <w:t xml:space="preserve"> set of </w:t>
      </w:r>
      <w:r w:rsidR="0048584C">
        <w:t>policy actions</w:t>
      </w:r>
      <w:r w:rsidR="001F5F9B">
        <w:t xml:space="preserve"> that will trigger disbursement of funds upon completion</w:t>
      </w:r>
      <w:r w:rsidR="0048584C">
        <w:t xml:space="preserve">. Oftentimes, </w:t>
      </w:r>
      <w:r w:rsidR="001F5F9B">
        <w:t xml:space="preserve">this set of </w:t>
      </w:r>
      <w:r w:rsidR="0048584C">
        <w:t xml:space="preserve">policy actions </w:t>
      </w:r>
      <w:r w:rsidR="007825A0">
        <w:t>is</w:t>
      </w:r>
      <w:r w:rsidR="0048584C">
        <w:t xml:space="preserve"> </w:t>
      </w:r>
      <w:r w:rsidR="001F5F9B">
        <w:t>referred to as a</w:t>
      </w:r>
      <w:r w:rsidR="0048584C">
        <w:t xml:space="preserve"> ‘policy action matrix’.</w:t>
      </w:r>
    </w:p>
    <w:p w14:paraId="552B98B4" w14:textId="0DF492E2" w:rsidR="00F9382E" w:rsidRPr="007F4B03" w:rsidRDefault="007844CD" w:rsidP="00F9382E">
      <w:pPr>
        <w:spacing w:after="120"/>
      </w:pPr>
      <w:r>
        <w:t xml:space="preserve">There is a distinction </w:t>
      </w:r>
      <w:r w:rsidR="00F9382E" w:rsidRPr="007F4B03">
        <w:t xml:space="preserve">between general and sector budget support. </w:t>
      </w:r>
      <w:r w:rsidR="00512F9B">
        <w:t>For</w:t>
      </w:r>
      <w:r w:rsidR="00F9382E" w:rsidRPr="007F4B03">
        <w:t xml:space="preserve"> general budget support, the</w:t>
      </w:r>
      <w:r w:rsidR="00512F9B">
        <w:t>re is a</w:t>
      </w:r>
      <w:r w:rsidR="00F9382E" w:rsidRPr="007F4B03">
        <w:t xml:space="preserve"> dialogue between </w:t>
      </w:r>
      <w:r w:rsidR="00512F9B">
        <w:t>development partners</w:t>
      </w:r>
      <w:r w:rsidR="00F9382E" w:rsidRPr="007F4B03">
        <w:t xml:space="preserve"> and </w:t>
      </w:r>
      <w:r w:rsidR="00512F9B">
        <w:t xml:space="preserve">government </w:t>
      </w:r>
      <w:r w:rsidR="00F9382E" w:rsidRPr="007F4B03">
        <w:t>focus</w:t>
      </w:r>
      <w:r w:rsidR="00512F9B">
        <w:t>ing</w:t>
      </w:r>
      <w:r w:rsidR="00F9382E" w:rsidRPr="007F4B03">
        <w:t xml:space="preserve"> on overall policy and budget priorities. For sector budget support, the focus is on sector-specific concerns. Also called ‘earmarked’ budget support, sector support typically requires an agreed expenditure plan and acquittals. This report deals only with general budget support, and unless otherwise specified, the term budget support refers to general budget support.</w:t>
      </w:r>
    </w:p>
    <w:p w14:paraId="048E14AD" w14:textId="410DF223" w:rsidR="00F9382E" w:rsidRPr="007F4B03" w:rsidRDefault="00F9382E" w:rsidP="00F9382E">
      <w:pPr>
        <w:spacing w:after="120"/>
      </w:pPr>
      <w:r w:rsidRPr="007F4B03">
        <w:rPr>
          <w:b/>
          <w:bCs/>
        </w:rPr>
        <w:t>Public financial management (PFM)</w:t>
      </w:r>
      <w:r w:rsidRPr="007F4B03">
        <w:t xml:space="preserve"> - managing public finances can cover many elements </w:t>
      </w:r>
      <w:r w:rsidR="00C979F9">
        <w:t>relayed to</w:t>
      </w:r>
      <w:r w:rsidRPr="007F4B03">
        <w:t xml:space="preserve"> state engagement with the economy. The </w:t>
      </w:r>
      <w:r w:rsidR="00C979F9">
        <w:t>International Monetary Fund (</w:t>
      </w:r>
      <w:r w:rsidRPr="007F4B03">
        <w:t>IMF</w:t>
      </w:r>
      <w:r w:rsidR="00C979F9">
        <w:t>)</w:t>
      </w:r>
      <w:r w:rsidRPr="007F4B03">
        <w:t xml:space="preserve"> defines PFM as</w:t>
      </w:r>
      <w:r w:rsidR="00FD2478">
        <w:t xml:space="preserve"> follows</w:t>
      </w:r>
      <w:r w:rsidRPr="007F4B03">
        <w:t>:</w:t>
      </w:r>
    </w:p>
    <w:p w14:paraId="59BBD7CF" w14:textId="77777777" w:rsidR="00F9382E" w:rsidRPr="007F4B03" w:rsidRDefault="00F9382E" w:rsidP="00F9382E">
      <w:pPr>
        <w:autoSpaceDE w:val="0"/>
        <w:autoSpaceDN w:val="0"/>
        <w:adjustRightInd w:val="0"/>
        <w:spacing w:after="120"/>
        <w:ind w:left="261" w:right="357"/>
        <w:jc w:val="both"/>
        <w:rPr>
          <w:rFonts w:cstheme="minorHAnsi"/>
          <w:sz w:val="20"/>
          <w:szCs w:val="20"/>
        </w:rPr>
      </w:pPr>
      <w:r w:rsidRPr="007F4B03">
        <w:rPr>
          <w:rFonts w:cstheme="minorHAnsi"/>
          <w:i/>
          <w:iCs/>
          <w:sz w:val="20"/>
          <w:szCs w:val="20"/>
        </w:rPr>
        <w:t>PFM in the narrowest, and perhaps most traditional, sense is concerned with how governments manage the budget in its established phases—formulation, approval, and execution.… all aspects of managing public resources, including resource mobilization and debt management, with a progressive extension to the medium- to long-term implications and risks to public finances from today’s policy decisions. The coverage of PFM has thus expanded from the narrowly defined central government budget to all levels of government and the broader public sector, including state enterprises and public-private partnerships.</w:t>
      </w:r>
      <w:r w:rsidRPr="007F4B03">
        <w:rPr>
          <w:rStyle w:val="FootnoteReference"/>
          <w:rFonts w:cstheme="minorHAnsi"/>
          <w:sz w:val="20"/>
          <w:szCs w:val="20"/>
        </w:rPr>
        <w:footnoteReference w:id="3"/>
      </w:r>
      <w:r w:rsidRPr="007F4B03">
        <w:rPr>
          <w:rFonts w:cstheme="minorHAnsi"/>
          <w:sz w:val="20"/>
          <w:szCs w:val="20"/>
        </w:rPr>
        <w:t xml:space="preserve"> </w:t>
      </w:r>
    </w:p>
    <w:p w14:paraId="16530B6D" w14:textId="6E23DB85" w:rsidR="00F9382E" w:rsidRPr="007F4B03" w:rsidRDefault="00F9382E" w:rsidP="00F9382E">
      <w:pPr>
        <w:spacing w:after="120"/>
        <w:rPr>
          <w:rFonts w:cstheme="minorHAnsi"/>
        </w:rPr>
      </w:pPr>
      <w:r w:rsidRPr="007F4B03">
        <w:rPr>
          <w:rFonts w:cstheme="minorHAnsi"/>
        </w:rPr>
        <w:t>In the context of budget support, a distinction is often made between ‘PFM systems’ – the processes, tools and procedures that enable the translation of policy objectives into actions - and the policy objectives themselves. The PFM systems enable governments to determine the collection and spending of resources: but the state of PFM systems and their efficacy is itself a function of policy and resource allocation choices. For this reason, reforms to PFM systems are sometimes included in policy action matrices for budget support operations (especially in the Pacific</w:t>
      </w:r>
      <w:r w:rsidR="00CB6A9A">
        <w:t xml:space="preserve"> and Timor-Leste</w:t>
      </w:r>
      <w:r w:rsidRPr="007F4B03">
        <w:rPr>
          <w:rFonts w:cstheme="minorHAnsi"/>
        </w:rPr>
        <w:t>).</w:t>
      </w:r>
    </w:p>
    <w:p w14:paraId="0AEA054E" w14:textId="5D02CE05" w:rsidR="00F9382E" w:rsidRPr="007F4B03" w:rsidRDefault="00F9382E" w:rsidP="00F9382E">
      <w:pPr>
        <w:spacing w:after="120"/>
      </w:pPr>
      <w:r w:rsidRPr="007F4B03">
        <w:rPr>
          <w:b/>
          <w:bCs/>
        </w:rPr>
        <w:t>Gender mainstreaming</w:t>
      </w:r>
      <w:r w:rsidRPr="007F4B03">
        <w:t xml:space="preserve"> - the United Nations </w:t>
      </w:r>
      <w:r w:rsidR="00C979F9">
        <w:t xml:space="preserve">(UN) </w:t>
      </w:r>
      <w:r w:rsidRPr="007F4B03">
        <w:t>defines gender mainstreaming as:</w:t>
      </w:r>
    </w:p>
    <w:p w14:paraId="4EDA375C" w14:textId="77777777" w:rsidR="00F9382E" w:rsidRPr="007F4B03" w:rsidRDefault="00F9382E" w:rsidP="00F9382E">
      <w:pPr>
        <w:autoSpaceDE w:val="0"/>
        <w:autoSpaceDN w:val="0"/>
        <w:adjustRightInd w:val="0"/>
        <w:spacing w:after="120"/>
        <w:ind w:left="261" w:right="357"/>
        <w:jc w:val="both"/>
        <w:rPr>
          <w:rFonts w:cstheme="minorHAnsi"/>
          <w:i/>
          <w:iCs/>
          <w:sz w:val="20"/>
          <w:szCs w:val="20"/>
        </w:rPr>
      </w:pPr>
      <w:r w:rsidRPr="007F4B03">
        <w:rPr>
          <w:rFonts w:cstheme="minorHAnsi"/>
          <w:i/>
          <w:iCs/>
          <w:sz w:val="20"/>
          <w:szCs w:val="20"/>
        </w:rPr>
        <w:t xml:space="preserve">The process of assessing the implications for women and men of any planned action, including legislation, </w:t>
      </w:r>
      <w:proofErr w:type="gramStart"/>
      <w:r w:rsidRPr="007F4B03">
        <w:rPr>
          <w:rFonts w:cstheme="minorHAnsi"/>
          <w:i/>
          <w:iCs/>
          <w:sz w:val="20"/>
          <w:szCs w:val="20"/>
        </w:rPr>
        <w:t>policies</w:t>
      </w:r>
      <w:proofErr w:type="gramEnd"/>
      <w:r w:rsidRPr="007F4B03">
        <w:rPr>
          <w:rFonts w:cstheme="minorHAnsi"/>
          <w:i/>
          <w:iCs/>
          <w:sz w:val="20"/>
          <w:szCs w:val="20"/>
        </w:rPr>
        <w:t xml:space="preserve"> or programmes, in all areas and at all levels. It is a strategy for making women’s as well as men’s concerns and experiences an integral dimension of the design, implementation, monitoring and evaluation of policies and programmes in all political, economic and societal spheres so that women and men benefit </w:t>
      </w:r>
      <w:proofErr w:type="gramStart"/>
      <w:r w:rsidRPr="007F4B03">
        <w:rPr>
          <w:rFonts w:cstheme="minorHAnsi"/>
          <w:i/>
          <w:iCs/>
          <w:sz w:val="20"/>
          <w:szCs w:val="20"/>
        </w:rPr>
        <w:t>equally</w:t>
      </w:r>
      <w:proofErr w:type="gramEnd"/>
      <w:r w:rsidRPr="007F4B03">
        <w:rPr>
          <w:rFonts w:cstheme="minorHAnsi"/>
          <w:i/>
          <w:iCs/>
          <w:sz w:val="20"/>
          <w:szCs w:val="20"/>
        </w:rPr>
        <w:t xml:space="preserve"> and inequality is not perpetuated. The </w:t>
      </w:r>
      <w:proofErr w:type="gramStart"/>
      <w:r w:rsidRPr="007F4B03">
        <w:rPr>
          <w:rFonts w:cstheme="minorHAnsi"/>
          <w:i/>
          <w:iCs/>
          <w:sz w:val="20"/>
          <w:szCs w:val="20"/>
        </w:rPr>
        <w:t>ultimate goal</w:t>
      </w:r>
      <w:proofErr w:type="gramEnd"/>
      <w:r w:rsidRPr="007F4B03">
        <w:rPr>
          <w:rFonts w:cstheme="minorHAnsi"/>
          <w:i/>
          <w:iCs/>
          <w:sz w:val="20"/>
          <w:szCs w:val="20"/>
        </w:rPr>
        <w:t xml:space="preserve"> is to achieve gender equality.</w:t>
      </w:r>
      <w:r w:rsidRPr="007F4B03">
        <w:rPr>
          <w:rStyle w:val="FootnoteReference"/>
          <w:rFonts w:cstheme="minorHAnsi"/>
          <w:i/>
          <w:iCs/>
          <w:sz w:val="20"/>
          <w:szCs w:val="20"/>
        </w:rPr>
        <w:footnoteReference w:id="4"/>
      </w:r>
    </w:p>
    <w:p w14:paraId="248A9CD7" w14:textId="6A47A499" w:rsidR="00F9382E" w:rsidRPr="007F4B03" w:rsidRDefault="00F9382E" w:rsidP="00F9382E">
      <w:pPr>
        <w:rPr>
          <w:rFonts w:ascii="Calibri" w:hAnsi="Calibri" w:cs="Calibri"/>
          <w:sz w:val="21"/>
          <w:szCs w:val="21"/>
        </w:rPr>
      </w:pPr>
      <w:r w:rsidRPr="007F4B03">
        <w:rPr>
          <w:b/>
          <w:bCs/>
        </w:rPr>
        <w:t xml:space="preserve">Gender responsive budgeting </w:t>
      </w:r>
      <w:r w:rsidRPr="007F4B03">
        <w:t xml:space="preserve">- while there is no universally accepted definition of Gender Responsive Budgeting (GRB), it can be envisaged as the application of gender mainstreaming in all aspects of public financial management. In a </w:t>
      </w:r>
      <w:r w:rsidR="00C979F9" w:rsidRPr="00917390">
        <w:t>United Nations Development Fund for Women (</w:t>
      </w:r>
      <w:r w:rsidR="00C979F9">
        <w:t xml:space="preserve">now called </w:t>
      </w:r>
      <w:r w:rsidR="00C979F9" w:rsidRPr="00917390">
        <w:t>UN Women)</w:t>
      </w:r>
      <w:r w:rsidRPr="007F4B03">
        <w:t xml:space="preserve"> study of GRB and aid-effectiveness, </w:t>
      </w:r>
      <w:proofErr w:type="spellStart"/>
      <w:r w:rsidRPr="007F4B03">
        <w:t>Budlender</w:t>
      </w:r>
      <w:proofErr w:type="spellEnd"/>
      <w:r w:rsidRPr="007F4B03">
        <w:t xml:space="preserve"> (2009) argued GRB is not a single “thing” but encompasses a range of possible activities that focus on how the government budget </w:t>
      </w:r>
      <w:r w:rsidR="00B26985">
        <w:t>advances (or can advance)</w:t>
      </w:r>
      <w:r w:rsidRPr="007F4B03">
        <w:t xml:space="preserve"> gender equality.</w:t>
      </w:r>
    </w:p>
    <w:p w14:paraId="74AFA477" w14:textId="61DD4E1A" w:rsidR="00F9382E" w:rsidRDefault="00950CA5" w:rsidP="00950CA5">
      <w:pPr>
        <w:pStyle w:val="Heading1"/>
      </w:pPr>
      <w:bookmarkStart w:id="24" w:name="_Toc108168316"/>
      <w:bookmarkStart w:id="25" w:name="_Toc120201412"/>
      <w:bookmarkStart w:id="26" w:name="_Toc120544519"/>
      <w:r>
        <w:lastRenderedPageBreak/>
        <w:t xml:space="preserve">2. </w:t>
      </w:r>
      <w:r w:rsidR="00F9382E">
        <w:t xml:space="preserve">Overview of </w:t>
      </w:r>
      <w:r w:rsidR="00F9382E" w:rsidRPr="001349F3">
        <w:t>budget support</w:t>
      </w:r>
      <w:r w:rsidR="00F9382E">
        <w:t xml:space="preserve"> in </w:t>
      </w:r>
      <w:r w:rsidR="00F9382E" w:rsidRPr="001349F3">
        <w:t>the Pacific</w:t>
      </w:r>
      <w:bookmarkEnd w:id="24"/>
      <w:bookmarkEnd w:id="25"/>
      <w:r w:rsidR="00CB6A9A">
        <w:t xml:space="preserve"> </w:t>
      </w:r>
      <w:r w:rsidR="00901879">
        <w:t>and Timor-Leste</w:t>
      </w:r>
      <w:bookmarkEnd w:id="26"/>
    </w:p>
    <w:p w14:paraId="11456A8F" w14:textId="15590C29" w:rsidR="00F9382E" w:rsidRPr="001349F3" w:rsidRDefault="00F9382E" w:rsidP="00596BA8">
      <w:pPr>
        <w:pStyle w:val="Heading3"/>
      </w:pPr>
      <w:bookmarkStart w:id="27" w:name="_Toc108168317"/>
      <w:bookmarkStart w:id="28" w:name="_Toc120201413"/>
      <w:bookmarkStart w:id="29" w:name="_Toc120544520"/>
      <w:r>
        <w:t>Australia</w:t>
      </w:r>
      <w:bookmarkEnd w:id="27"/>
      <w:bookmarkEnd w:id="28"/>
      <w:bookmarkEnd w:id="29"/>
    </w:p>
    <w:p w14:paraId="2F15B735" w14:textId="5451E70A" w:rsidR="00F9382E" w:rsidRDefault="00F9382E" w:rsidP="003C70F4">
      <w:pPr>
        <w:spacing w:after="120"/>
      </w:pPr>
      <w:r>
        <w:t>Budget support has a long history in Australian aid to the Pacific</w:t>
      </w:r>
      <w:r w:rsidR="00CB6A9A">
        <w:t xml:space="preserve"> and Timor-Leste</w:t>
      </w:r>
      <w:r>
        <w:t xml:space="preserve">. It accounted for around two-thirds of aid to </w:t>
      </w:r>
      <w:r w:rsidR="00CE6535">
        <w:t>Papua New Guinea (</w:t>
      </w:r>
      <w:r>
        <w:t>PNG</w:t>
      </w:r>
      <w:r w:rsidR="00CE6535">
        <w:t>)</w:t>
      </w:r>
      <w:r>
        <w:t xml:space="preserve"> between 1975 and 2000. From 2000 until 2009, budget support played a </w:t>
      </w:r>
      <w:r w:rsidR="0037534A">
        <w:t>limited</w:t>
      </w:r>
      <w:r>
        <w:t xml:space="preserve"> role in the Australian aid program in the region. In 2009, the World Bank stepped up its Pacific engagement, offering Australia the opportunity to disburse budget support behind World Bank operations. Australian budget support to the Pacific rose suddenly in 2010, driven by sharp increases to Nauru</w:t>
      </w:r>
      <w:r w:rsidR="00CE6535">
        <w:t>, PNG</w:t>
      </w:r>
      <w:r w:rsidR="001F27CC">
        <w:t>,</w:t>
      </w:r>
      <w:r>
        <w:t xml:space="preserve"> and Solomon Islands (</w:t>
      </w:r>
      <w:r w:rsidRPr="003C70F4">
        <w:rPr>
          <w:b/>
          <w:bCs/>
        </w:rPr>
        <w:t>Figure 1</w:t>
      </w:r>
      <w:r>
        <w:t>).</w:t>
      </w:r>
      <w:r>
        <w:rPr>
          <w:rStyle w:val="FootnoteReference"/>
        </w:rPr>
        <w:footnoteReference w:id="5"/>
      </w:r>
      <w:r w:rsidR="00F43603">
        <w:t xml:space="preserve"> </w:t>
      </w:r>
      <w:r w:rsidR="001F27CC">
        <w:t>From 2010 to 2019, budget</w:t>
      </w:r>
      <w:r w:rsidR="00205D84">
        <w:t xml:space="preserve"> </w:t>
      </w:r>
      <w:r w:rsidR="00F43603">
        <w:t xml:space="preserve">support declined in real terms and as a share of </w:t>
      </w:r>
      <w:r w:rsidR="001F27CC">
        <w:t>Official Development A</w:t>
      </w:r>
      <w:r w:rsidR="00F43603">
        <w:t>ssistance</w:t>
      </w:r>
      <w:r w:rsidR="001F27CC">
        <w:t xml:space="preserve"> (ODA)</w:t>
      </w:r>
      <w:r w:rsidR="00F43603">
        <w:t xml:space="preserve"> to</w:t>
      </w:r>
      <w:r w:rsidR="001F27CC">
        <w:t xml:space="preserve"> the Pacific and Timor-Leste. Budget support</w:t>
      </w:r>
      <w:r w:rsidR="000A12B7">
        <w:t xml:space="preserve"> dropped from 9.5 per cent of ODA (2010) to </w:t>
      </w:r>
      <w:r w:rsidR="001F27CC">
        <w:t xml:space="preserve">4 per cent </w:t>
      </w:r>
      <w:r w:rsidR="000A12B7">
        <w:t>(2019)</w:t>
      </w:r>
      <w:r w:rsidR="001F27CC">
        <w:t>.</w:t>
      </w:r>
      <w:r w:rsidR="00F43603" w:rsidRPr="004113B3">
        <w:t xml:space="preserve"> </w:t>
      </w:r>
      <w:r w:rsidR="00F43603">
        <w:t xml:space="preserve">The bulk of Australian budget support (nearly 90 </w:t>
      </w:r>
      <w:r w:rsidR="001F27CC">
        <w:t>per cent</w:t>
      </w:r>
      <w:r w:rsidR="00F43603">
        <w:t xml:space="preserve">) over the </w:t>
      </w:r>
      <w:r w:rsidR="004373E0">
        <w:t xml:space="preserve">same </w:t>
      </w:r>
      <w:r w:rsidR="00F43603">
        <w:t>period was sector budget support (although there was a short up-tick in general budget support in 2010, with larger-than-usual flows to Timor-Leste and Vanuatu).</w:t>
      </w:r>
    </w:p>
    <w:p w14:paraId="6F223C20" w14:textId="732A4189" w:rsidR="00F9382E" w:rsidRDefault="00F9382E" w:rsidP="003C70F4">
      <w:pPr>
        <w:pStyle w:val="Heading4"/>
        <w:spacing w:before="0" w:after="120"/>
      </w:pPr>
      <w:r w:rsidRPr="003C70F4">
        <w:rPr>
          <w:b/>
          <w:bCs w:val="0"/>
        </w:rPr>
        <w:t>Figure 1</w:t>
      </w:r>
      <w:r>
        <w:t xml:space="preserve"> Australian budget support to the Pacific and Timor-Leste</w:t>
      </w:r>
      <w:r w:rsidR="003C70F4">
        <w:t>,</w:t>
      </w:r>
      <w:r>
        <w:t xml:space="preserve"> 2006-2019</w:t>
      </w:r>
      <w:r w:rsidR="00AF0070">
        <w:rPr>
          <w:noProof/>
        </w:rPr>
        <w:drawing>
          <wp:inline distT="0" distB="0" distL="0" distR="0" wp14:anchorId="37210B03" wp14:editId="09B0330E">
            <wp:extent cx="6254750" cy="1621790"/>
            <wp:effectExtent l="0" t="0" r="0" b="0"/>
            <wp:docPr id="5" name="Picture 5" descr="Column chart with line showing total Australian budget support to the Pacific and Timor-Leste from 2006 to 2019. Data are depicted in millions of US dollars (columns) and as a share of total aid to the region (line). Data shot up in 2010 then declined slowly unti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lumn chart with line showing total Australian budget support to the Pacific and Timor-Leste from 2006 to 2019. Data are depicted in millions of US dollars (columns) and as a share of total aid to the region (line). Data shot up in 2010 then declined slowly until 20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4750" cy="1621790"/>
                    </a:xfrm>
                    <a:prstGeom prst="rect">
                      <a:avLst/>
                    </a:prstGeom>
                    <a:noFill/>
                  </pic:spPr>
                </pic:pic>
              </a:graphicData>
            </a:graphic>
          </wp:inline>
        </w:drawing>
      </w:r>
    </w:p>
    <w:p w14:paraId="3139B61B" w14:textId="4BF96C6F" w:rsidR="00F9382E" w:rsidRDefault="00AF0070" w:rsidP="003C70F4">
      <w:pPr>
        <w:spacing w:before="0" w:after="120"/>
      </w:pPr>
      <w:r>
        <w:rPr>
          <w:noProof/>
          <w:sz w:val="18"/>
          <w:szCs w:val="18"/>
        </w:rPr>
        <w:drawing>
          <wp:inline distT="0" distB="0" distL="0" distR="0" wp14:anchorId="205E0F70" wp14:editId="6C8EEF1D">
            <wp:extent cx="6096635" cy="1621790"/>
            <wp:effectExtent l="0" t="0" r="0" b="0"/>
            <wp:docPr id="10" name="Picture 10" descr="Column chart showing total Australian budget support to the Pacific and Timor-Leste from 2006 to 2019 by country in millions of US dollars. PNG, Solomon Islands and Vanuatu have the greatest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lumn chart showing total Australian budget support to the Pacific and Timor-Leste from 2006 to 2019 by country in millions of US dollars. PNG, Solomon Islands and Vanuatu have the greatest valu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635" cy="1621790"/>
                    </a:xfrm>
                    <a:prstGeom prst="rect">
                      <a:avLst/>
                    </a:prstGeom>
                    <a:noFill/>
                  </pic:spPr>
                </pic:pic>
              </a:graphicData>
            </a:graphic>
          </wp:inline>
        </w:drawing>
      </w:r>
      <w:r w:rsidR="00F9382E" w:rsidRPr="00421B7F">
        <w:rPr>
          <w:sz w:val="18"/>
          <w:szCs w:val="18"/>
        </w:rPr>
        <w:t>Source</w:t>
      </w:r>
      <w:r w:rsidR="003C70F4">
        <w:rPr>
          <w:sz w:val="18"/>
          <w:szCs w:val="18"/>
        </w:rPr>
        <w:t>:</w:t>
      </w:r>
      <w:r w:rsidR="00F9382E" w:rsidRPr="00421B7F">
        <w:rPr>
          <w:sz w:val="18"/>
          <w:szCs w:val="18"/>
        </w:rPr>
        <w:t xml:space="preserve"> OECD 2022</w:t>
      </w:r>
    </w:p>
    <w:p w14:paraId="0E0C06F3" w14:textId="1A058733" w:rsidR="00F9382E" w:rsidRDefault="00F9382E" w:rsidP="003C70F4">
      <w:pPr>
        <w:spacing w:after="120"/>
      </w:pPr>
      <w:r>
        <w:t xml:space="preserve">The pandemic saw a significant expansion in Australian budget support, and an increase in the share being delivered as general budget support. In FY21 (June 2020 to July 2021), budget support to the Pacific and Timor-Leste was around 9 per cent of ODA to the region. </w:t>
      </w:r>
    </w:p>
    <w:p w14:paraId="4BF1E7A5" w14:textId="58E44B25" w:rsidR="00AF0070" w:rsidRDefault="00AF0070" w:rsidP="003C70F4">
      <w:pPr>
        <w:spacing w:after="120"/>
      </w:pPr>
      <w:r w:rsidRPr="003C70F4">
        <w:rPr>
          <w:b/>
        </w:rPr>
        <w:lastRenderedPageBreak/>
        <w:t>Figure 2</w:t>
      </w:r>
      <w:r>
        <w:t xml:space="preserve"> Australian budget support and other fiscal support</w:t>
      </w:r>
      <w:r>
        <w:rPr>
          <w:rStyle w:val="FootnoteReference"/>
        </w:rPr>
        <w:footnoteReference w:id="6"/>
      </w:r>
      <w:r>
        <w:t xml:space="preserve"> to PICs and Timor-Leste, FY18 to FY21</w:t>
      </w:r>
      <w:r>
        <w:rPr>
          <w:noProof/>
        </w:rPr>
        <w:drawing>
          <wp:inline distT="0" distB="0" distL="0" distR="0" wp14:anchorId="4923AF38" wp14:editId="7905DCF1">
            <wp:extent cx="6090285" cy="1621790"/>
            <wp:effectExtent l="0" t="0" r="5715" b="0"/>
            <wp:docPr id="12" name="Picture 12" descr="Line chart showing total Australian budget support to the Pacific and Timor-Leste from FY18 to FY21. Data are depicted in millions of Australian dollars disaggregated by general and sector budget support and other fiscal support. All types of budget support have increased markedly in recent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ine chart showing total Australian budget support to the Pacific and Timor-Leste from FY18 to FY21. Data are depicted in millions of Australian dollars disaggregated by general and sector budget support and other fiscal support. All types of budget support have increased markedly in recent yea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0285" cy="1621790"/>
                    </a:xfrm>
                    <a:prstGeom prst="rect">
                      <a:avLst/>
                    </a:prstGeom>
                    <a:noFill/>
                  </pic:spPr>
                </pic:pic>
              </a:graphicData>
            </a:graphic>
          </wp:inline>
        </w:drawing>
      </w:r>
    </w:p>
    <w:p w14:paraId="31D72776" w14:textId="74454D9A" w:rsidR="00F9382E" w:rsidRDefault="00AF0070" w:rsidP="00DB3665">
      <w:pPr>
        <w:spacing w:before="0"/>
        <w:rPr>
          <w:sz w:val="18"/>
          <w:szCs w:val="18"/>
        </w:rPr>
      </w:pPr>
      <w:r>
        <w:rPr>
          <w:noProof/>
          <w:sz w:val="18"/>
          <w:szCs w:val="18"/>
        </w:rPr>
        <w:drawing>
          <wp:inline distT="0" distB="0" distL="0" distR="0" wp14:anchorId="2A788B24" wp14:editId="54967239">
            <wp:extent cx="6096635" cy="1621790"/>
            <wp:effectExtent l="0" t="0" r="0" b="0"/>
            <wp:docPr id="13" name="Picture 13" descr="Stacked column chart showing total Australian budget support to the Pacific and Timor-Leste from FY18 to FY21 disaggregated by country. Series one is general budget support; series two is sector budget support; series three is other fiscal support. General budget support is more prevalent in Fiji, Tonga, and Samoa, while sector budget support is predominant in Vanuatu and Solomon Islands. Other fiscal support is mostly used in PNG and Timor-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cked column chart showing total Australian budget support to the Pacific and Timor-Leste from FY18 to FY21 disaggregated by country. Series one is general budget support; series two is sector budget support; series three is other fiscal support. General budget support is more prevalent in Fiji, Tonga, and Samoa, while sector budget support is predominant in Vanuatu and Solomon Islands. Other fiscal support is mostly used in PNG and Timor-Les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635" cy="1621790"/>
                    </a:xfrm>
                    <a:prstGeom prst="rect">
                      <a:avLst/>
                    </a:prstGeom>
                    <a:noFill/>
                  </pic:spPr>
                </pic:pic>
              </a:graphicData>
            </a:graphic>
          </wp:inline>
        </w:drawing>
      </w:r>
      <w:r w:rsidR="00F9382E" w:rsidRPr="00405B6B">
        <w:rPr>
          <w:sz w:val="18"/>
          <w:szCs w:val="18"/>
        </w:rPr>
        <w:t>Source</w:t>
      </w:r>
      <w:r w:rsidR="003C70F4">
        <w:rPr>
          <w:sz w:val="18"/>
          <w:szCs w:val="18"/>
        </w:rPr>
        <w:t>:</w:t>
      </w:r>
      <w:r w:rsidR="00F9382E" w:rsidRPr="00405B6B">
        <w:rPr>
          <w:sz w:val="18"/>
          <w:szCs w:val="18"/>
        </w:rPr>
        <w:t xml:space="preserve"> DFAT</w:t>
      </w:r>
    </w:p>
    <w:p w14:paraId="2344B32C" w14:textId="188E93D1" w:rsidR="00205D84" w:rsidRDefault="00205D84" w:rsidP="0093785C">
      <w:pPr>
        <w:spacing w:before="120" w:after="120"/>
        <w:rPr>
          <w:sz w:val="18"/>
          <w:szCs w:val="18"/>
        </w:rPr>
      </w:pPr>
      <w:r w:rsidRPr="003C70F4">
        <w:rPr>
          <w:b/>
          <w:bCs/>
        </w:rPr>
        <w:t>Figure 2</w:t>
      </w:r>
      <w:r>
        <w:t xml:space="preserve"> shows that </w:t>
      </w:r>
      <w:r w:rsidR="00087517">
        <w:t xml:space="preserve">PNG, </w:t>
      </w:r>
      <w:r>
        <w:t>Fiji</w:t>
      </w:r>
      <w:r w:rsidR="00087517">
        <w:t>,</w:t>
      </w:r>
      <w:r>
        <w:t xml:space="preserve"> and Vanuatu have accounted for a large share of budget support </w:t>
      </w:r>
      <w:r w:rsidR="00DE18FC">
        <w:t xml:space="preserve">and other fiscal support </w:t>
      </w:r>
      <w:r>
        <w:t>between FY1</w:t>
      </w:r>
      <w:r w:rsidR="00DE18FC">
        <w:t>8</w:t>
      </w:r>
      <w:r>
        <w:t xml:space="preserve"> and FY21</w:t>
      </w:r>
      <w:r w:rsidR="00087517">
        <w:t>.</w:t>
      </w:r>
      <w:r>
        <w:t xml:space="preserve"> </w:t>
      </w:r>
      <w:r w:rsidR="00087517">
        <w:t>T</w:t>
      </w:r>
      <w:r>
        <w:t xml:space="preserve">he mix of general </w:t>
      </w:r>
      <w:r w:rsidR="002A5BB3">
        <w:t>and</w:t>
      </w:r>
      <w:r>
        <w:t xml:space="preserve"> sector budget support varies considerably between countries. </w:t>
      </w:r>
      <w:r w:rsidR="00D870DB">
        <w:t xml:space="preserve">General budget support is more prevalent in </w:t>
      </w:r>
      <w:r>
        <w:t>Fiji, Tonga, and Samoa</w:t>
      </w:r>
      <w:r w:rsidR="00D870DB">
        <w:t>,</w:t>
      </w:r>
      <w:r>
        <w:t xml:space="preserve"> </w:t>
      </w:r>
      <w:r w:rsidR="00D870DB">
        <w:t xml:space="preserve">while sector budget support is predominant in </w:t>
      </w:r>
      <w:r>
        <w:t>Vanuatu and Solomon Islands.</w:t>
      </w:r>
      <w:r w:rsidR="00BC3DA0">
        <w:t xml:space="preserve"> Other fiscal support is most</w:t>
      </w:r>
      <w:r w:rsidR="00347F64">
        <w:t>ly used in PNG</w:t>
      </w:r>
      <w:r w:rsidR="00A623F1">
        <w:t xml:space="preserve"> and Timor-Leste</w:t>
      </w:r>
      <w:r w:rsidR="00347F64">
        <w:t>.</w:t>
      </w:r>
    </w:p>
    <w:p w14:paraId="0C5F4403" w14:textId="6CAEA960" w:rsidR="00F9382E" w:rsidRDefault="00F9382E" w:rsidP="00596BA8">
      <w:pPr>
        <w:pStyle w:val="Heading3"/>
      </w:pPr>
      <w:bookmarkStart w:id="30" w:name="_Toc108168318"/>
      <w:bookmarkStart w:id="31" w:name="_Toc120201414"/>
      <w:bookmarkStart w:id="32" w:name="_Toc120544521"/>
      <w:r>
        <w:t>World Bank</w:t>
      </w:r>
      <w:bookmarkEnd w:id="30"/>
      <w:bookmarkEnd w:id="31"/>
      <w:bookmarkEnd w:id="32"/>
    </w:p>
    <w:p w14:paraId="3DC0E1D6" w14:textId="3093C418" w:rsidR="00F9382E" w:rsidRDefault="00F9382E" w:rsidP="00C702B1">
      <w:pPr>
        <w:spacing w:after="120"/>
      </w:pPr>
      <w:r>
        <w:t xml:space="preserve">The </w:t>
      </w:r>
      <w:r w:rsidR="003C70F4">
        <w:t>World Bank</w:t>
      </w:r>
      <w:r>
        <w:t>’s principal instrument for delivering budget support is a ‘development policy operation’:</w:t>
      </w:r>
    </w:p>
    <w:p w14:paraId="2BA491CE" w14:textId="125CF133" w:rsidR="00F9382E" w:rsidRPr="00603C26" w:rsidRDefault="00F9382E" w:rsidP="00F9382E">
      <w:pPr>
        <w:spacing w:after="120"/>
        <w:ind w:left="357"/>
        <w:rPr>
          <w:rFonts w:cstheme="minorHAnsi"/>
          <w:sz w:val="20"/>
          <w:szCs w:val="20"/>
        </w:rPr>
      </w:pPr>
      <w:r w:rsidRPr="00603C26">
        <w:rPr>
          <w:rFonts w:eastAsia="Times New Roman" w:cstheme="minorHAnsi"/>
          <w:b/>
          <w:bCs/>
          <w:i/>
          <w:iCs/>
          <w:sz w:val="20"/>
          <w:szCs w:val="20"/>
        </w:rPr>
        <w:t xml:space="preserve">Development Policy </w:t>
      </w:r>
      <w:r>
        <w:rPr>
          <w:rFonts w:eastAsia="Times New Roman" w:cstheme="minorHAnsi"/>
          <w:b/>
          <w:bCs/>
          <w:i/>
          <w:iCs/>
          <w:sz w:val="20"/>
          <w:szCs w:val="20"/>
        </w:rPr>
        <w:t>Operations</w:t>
      </w:r>
      <w:r w:rsidRPr="00603C26">
        <w:rPr>
          <w:rFonts w:eastAsia="Times New Roman" w:cstheme="minorHAnsi"/>
          <w:b/>
          <w:bCs/>
          <w:i/>
          <w:iCs/>
          <w:sz w:val="20"/>
          <w:szCs w:val="20"/>
        </w:rPr>
        <w:t xml:space="preserve"> (DP</w:t>
      </w:r>
      <w:r>
        <w:rPr>
          <w:rFonts w:eastAsia="Times New Roman" w:cstheme="minorHAnsi"/>
          <w:b/>
          <w:bCs/>
          <w:i/>
          <w:iCs/>
          <w:sz w:val="20"/>
          <w:szCs w:val="20"/>
        </w:rPr>
        <w:t>Os</w:t>
      </w:r>
      <w:r w:rsidRPr="00603C26">
        <w:rPr>
          <w:rFonts w:eastAsia="Times New Roman" w:cstheme="minorHAnsi"/>
          <w:b/>
          <w:bCs/>
          <w:i/>
          <w:iCs/>
          <w:sz w:val="20"/>
          <w:szCs w:val="20"/>
        </w:rPr>
        <w:t>) </w:t>
      </w:r>
      <w:r w:rsidRPr="00603C26">
        <w:rPr>
          <w:rFonts w:eastAsia="Times New Roman" w:cstheme="minorHAnsi"/>
          <w:i/>
          <w:iCs/>
          <w:sz w:val="20"/>
          <w:szCs w:val="20"/>
        </w:rPr>
        <w:t>provide rapid financ</w:t>
      </w:r>
      <w:r>
        <w:rPr>
          <w:rFonts w:eastAsia="Times New Roman" w:cstheme="minorHAnsi"/>
          <w:i/>
          <w:iCs/>
          <w:sz w:val="20"/>
          <w:szCs w:val="20"/>
        </w:rPr>
        <w:t>e</w:t>
      </w:r>
      <w:r w:rsidRPr="00603C26">
        <w:rPr>
          <w:rFonts w:eastAsia="Times New Roman" w:cstheme="minorHAnsi"/>
          <w:i/>
          <w:iCs/>
          <w:sz w:val="20"/>
          <w:szCs w:val="20"/>
        </w:rPr>
        <w:t xml:space="preserve"> to help a borrower address actual or anticipated development financing requirements. DP</w:t>
      </w:r>
      <w:r>
        <w:rPr>
          <w:rFonts w:eastAsia="Times New Roman" w:cstheme="minorHAnsi"/>
          <w:i/>
          <w:iCs/>
          <w:sz w:val="20"/>
          <w:szCs w:val="20"/>
        </w:rPr>
        <w:t>Os</w:t>
      </w:r>
      <w:r w:rsidRPr="00603C26">
        <w:rPr>
          <w:rFonts w:eastAsia="Times New Roman" w:cstheme="minorHAnsi"/>
          <w:i/>
          <w:iCs/>
          <w:sz w:val="20"/>
          <w:szCs w:val="20"/>
        </w:rPr>
        <w:t xml:space="preserve"> support borrowers in achieving sustainable, shared growth and poverty reduction through a program of policy and institutional actions aimed at, for example, strengthening public financial management, improving </w:t>
      </w:r>
      <w:r>
        <w:rPr>
          <w:rFonts w:eastAsia="Times New Roman" w:cstheme="minorHAnsi"/>
          <w:i/>
          <w:iCs/>
          <w:sz w:val="20"/>
          <w:szCs w:val="20"/>
        </w:rPr>
        <w:t>climate</w:t>
      </w:r>
      <w:r w:rsidRPr="00603C26">
        <w:rPr>
          <w:rFonts w:eastAsia="Times New Roman" w:cstheme="minorHAnsi"/>
          <w:i/>
          <w:iCs/>
          <w:sz w:val="20"/>
          <w:szCs w:val="20"/>
        </w:rPr>
        <w:t xml:space="preserve"> investment, addressing bottlenecks </w:t>
      </w:r>
      <w:r>
        <w:rPr>
          <w:rFonts w:eastAsia="Times New Roman" w:cstheme="minorHAnsi"/>
          <w:i/>
          <w:iCs/>
          <w:sz w:val="20"/>
          <w:szCs w:val="20"/>
        </w:rPr>
        <w:t>in</w:t>
      </w:r>
      <w:r w:rsidRPr="00603C26">
        <w:rPr>
          <w:rFonts w:eastAsia="Times New Roman" w:cstheme="minorHAnsi"/>
          <w:i/>
          <w:iCs/>
          <w:sz w:val="20"/>
          <w:szCs w:val="20"/>
        </w:rPr>
        <w:t xml:space="preserve"> service delivery, and diversifying the economy</w:t>
      </w:r>
      <w:r>
        <w:rPr>
          <w:rFonts w:eastAsia="Times New Roman" w:cstheme="minorHAnsi"/>
          <w:i/>
          <w:iCs/>
          <w:sz w:val="20"/>
          <w:szCs w:val="20"/>
        </w:rPr>
        <w:t xml:space="preserve"> (‘</w:t>
      </w:r>
      <w:r w:rsidR="00C52749">
        <w:rPr>
          <w:rFonts w:eastAsia="Times New Roman" w:cstheme="minorHAnsi"/>
          <w:i/>
          <w:iCs/>
          <w:sz w:val="20"/>
          <w:szCs w:val="20"/>
        </w:rPr>
        <w:t>policy</w:t>
      </w:r>
      <w:r>
        <w:rPr>
          <w:rFonts w:eastAsia="Times New Roman" w:cstheme="minorHAnsi"/>
          <w:i/>
          <w:iCs/>
          <w:sz w:val="20"/>
          <w:szCs w:val="20"/>
        </w:rPr>
        <w:t xml:space="preserve"> actions’)</w:t>
      </w:r>
      <w:r w:rsidRPr="00603C26">
        <w:rPr>
          <w:rFonts w:eastAsia="Times New Roman" w:cstheme="minorHAnsi"/>
          <w:i/>
          <w:iCs/>
          <w:sz w:val="20"/>
          <w:szCs w:val="20"/>
        </w:rPr>
        <w:t>. DP</w:t>
      </w:r>
      <w:r>
        <w:rPr>
          <w:rFonts w:eastAsia="Times New Roman" w:cstheme="minorHAnsi"/>
          <w:i/>
          <w:iCs/>
          <w:sz w:val="20"/>
          <w:szCs w:val="20"/>
        </w:rPr>
        <w:t>Os</w:t>
      </w:r>
      <w:r w:rsidRPr="00603C26">
        <w:rPr>
          <w:rFonts w:eastAsia="Times New Roman" w:cstheme="minorHAnsi"/>
          <w:i/>
          <w:iCs/>
          <w:sz w:val="20"/>
          <w:szCs w:val="20"/>
        </w:rPr>
        <w:t xml:space="preserve"> support reforms through non-earmarked general budget financ</w:t>
      </w:r>
      <w:r>
        <w:rPr>
          <w:rFonts w:eastAsia="Times New Roman" w:cstheme="minorHAnsi"/>
          <w:i/>
          <w:iCs/>
          <w:sz w:val="20"/>
          <w:szCs w:val="20"/>
        </w:rPr>
        <w:t>e</w:t>
      </w:r>
      <w:r w:rsidRPr="00603C26">
        <w:rPr>
          <w:rFonts w:eastAsia="Times New Roman" w:cstheme="minorHAnsi"/>
          <w:i/>
          <w:iCs/>
          <w:sz w:val="20"/>
          <w:szCs w:val="20"/>
        </w:rPr>
        <w:t xml:space="preserve"> that is subject to the borrower's own implementation processes and systems</w:t>
      </w:r>
      <w:r>
        <w:rPr>
          <w:rFonts w:eastAsia="Times New Roman" w:cstheme="minorHAnsi"/>
          <w:i/>
          <w:iCs/>
          <w:sz w:val="20"/>
          <w:szCs w:val="20"/>
        </w:rPr>
        <w:t>.</w:t>
      </w:r>
      <w:r w:rsidRPr="00603C26">
        <w:rPr>
          <w:rStyle w:val="FootnoteReference"/>
          <w:rFonts w:eastAsia="Times New Roman" w:cstheme="minorHAnsi"/>
          <w:sz w:val="20"/>
          <w:szCs w:val="20"/>
        </w:rPr>
        <w:footnoteReference w:id="7"/>
      </w:r>
    </w:p>
    <w:p w14:paraId="637A551D" w14:textId="21122242" w:rsidR="00F9382E" w:rsidRDefault="00F9382E" w:rsidP="00F9382E">
      <w:pPr>
        <w:spacing w:after="120"/>
      </w:pPr>
      <w:r>
        <w:t xml:space="preserve">Since the scale up of </w:t>
      </w:r>
      <w:r w:rsidR="003C70F4">
        <w:t>the World Bank’s</w:t>
      </w:r>
      <w:r>
        <w:t xml:space="preserve"> Pacific operations in 2009, </w:t>
      </w:r>
      <w:r w:rsidR="003C70F4">
        <w:t>DPOs have</w:t>
      </w:r>
      <w:r>
        <w:t xml:space="preserve"> played a</w:t>
      </w:r>
      <w:r w:rsidR="003C70F4">
        <w:t>n</w:t>
      </w:r>
      <w:r>
        <w:t xml:space="preserve"> important role in </w:t>
      </w:r>
      <w:r w:rsidR="003C70F4">
        <w:t>its</w:t>
      </w:r>
      <w:r>
        <w:t xml:space="preserve"> portfolio. Between 2010 and 2021, there were over 40 DPOs that delivered just under US$830 million to </w:t>
      </w:r>
      <w:r w:rsidR="00DC610F">
        <w:t>9</w:t>
      </w:r>
      <w:r>
        <w:t xml:space="preserve"> Pacific countries</w:t>
      </w:r>
      <w:r w:rsidR="00DC610F">
        <w:t xml:space="preserve"> and Timor-Leste</w:t>
      </w:r>
      <w:r>
        <w:t>, of which US$733 million was in the form of grants and credits, and US$96 million was loans.</w:t>
      </w:r>
    </w:p>
    <w:p w14:paraId="5848B0DE" w14:textId="1F4498BC" w:rsidR="00F9382E" w:rsidRDefault="003C70F4" w:rsidP="00F9382E">
      <w:pPr>
        <w:spacing w:after="120"/>
      </w:pPr>
      <w:r w:rsidRPr="003C70F4">
        <w:rPr>
          <w:b/>
          <w:bCs/>
        </w:rPr>
        <w:t>Figure 3</w:t>
      </w:r>
      <w:r>
        <w:t xml:space="preserve"> shows</w:t>
      </w:r>
      <w:r w:rsidR="00F9382E">
        <w:t xml:space="preserve"> Fiji and</w:t>
      </w:r>
      <w:r w:rsidR="00C54FFE">
        <w:t xml:space="preserve"> PNG</w:t>
      </w:r>
      <w:r w:rsidR="00F9382E">
        <w:t xml:space="preserve"> have accounted for just under two thirds of total support.</w:t>
      </w:r>
      <w:r>
        <w:t xml:space="preserve"> </w:t>
      </w:r>
      <w:r w:rsidR="00F9382E">
        <w:t xml:space="preserve">For most DPOs, the </w:t>
      </w:r>
      <w:r>
        <w:t>World Bank</w:t>
      </w:r>
      <w:r w:rsidR="00F9382E">
        <w:t xml:space="preserve"> has worked to coordinate policy actions with other development partners including Australia, the ADB, New Zealand, and the European Union. The usual mechanism is a ‘Joint Policy Action Matrix’, developed through coordinated dialogue between country governments and interested development partners. Australia has often </w:t>
      </w:r>
      <w:r w:rsidR="00F9382E">
        <w:lastRenderedPageBreak/>
        <w:t xml:space="preserve">disbursed finance behind </w:t>
      </w:r>
      <w:r>
        <w:t>World Bank</w:t>
      </w:r>
      <w:r w:rsidR="00F9382E">
        <w:t xml:space="preserve"> DPOs, and/or provided technical assistance to help with program design and implementation.</w:t>
      </w:r>
    </w:p>
    <w:p w14:paraId="77B6232A" w14:textId="0756616C" w:rsidR="00F9382E" w:rsidRDefault="00F9382E" w:rsidP="00F9382E">
      <w:pPr>
        <w:spacing w:after="120"/>
      </w:pPr>
      <w:r>
        <w:t xml:space="preserve">While not developed for this purpose, DPOs have been used as a means of assisting </w:t>
      </w:r>
      <w:r w:rsidR="000B332B">
        <w:t xml:space="preserve">PICs and Timor-Leste </w:t>
      </w:r>
      <w:r>
        <w:t xml:space="preserve">in the wake of major natural disasters – between 2010-2015, just over a third of the resources delivered by DPOs came from the </w:t>
      </w:r>
      <w:r w:rsidR="003C70F4">
        <w:t>World Bank</w:t>
      </w:r>
      <w:r>
        <w:t>’s Crisis Response Window. More recently, some DPOs have incorporated Catastrophe Deferred Draw-Down Options,</w:t>
      </w:r>
      <w:r w:rsidR="00BF25E1">
        <w:t xml:space="preserve"> the World Bank’s</w:t>
      </w:r>
      <w:r>
        <w:t xml:space="preserve"> disaster-specific development finance facility.</w:t>
      </w:r>
      <w:r>
        <w:rPr>
          <w:rStyle w:val="FootnoteReference"/>
        </w:rPr>
        <w:footnoteReference w:id="8"/>
      </w:r>
    </w:p>
    <w:p w14:paraId="37F39035" w14:textId="534B1B66" w:rsidR="003A0945" w:rsidRDefault="00F9382E" w:rsidP="003C70F4">
      <w:pPr>
        <w:pStyle w:val="Heading4"/>
        <w:spacing w:before="0" w:after="120"/>
      </w:pPr>
      <w:r w:rsidRPr="003C70F4">
        <w:rPr>
          <w:b/>
          <w:bCs w:val="0"/>
        </w:rPr>
        <w:t>Figure 3</w:t>
      </w:r>
      <w:r>
        <w:t xml:space="preserve"> World Bank budget support to PICs</w:t>
      </w:r>
      <w:r w:rsidR="00C54FFE">
        <w:t xml:space="preserve"> and Timor-Leste</w:t>
      </w:r>
      <w:r>
        <w:t>, 20</w:t>
      </w:r>
      <w:r w:rsidR="00CB4D64">
        <w:t>06</w:t>
      </w:r>
      <w:r>
        <w:t xml:space="preserve"> to 2021 </w:t>
      </w:r>
      <w:r w:rsidR="003A0945">
        <w:rPr>
          <w:noProof/>
        </w:rPr>
        <w:drawing>
          <wp:inline distT="0" distB="0" distL="0" distR="0" wp14:anchorId="540B8B3F" wp14:editId="53A69CA2">
            <wp:extent cx="6120765" cy="1621790"/>
            <wp:effectExtent l="0" t="0" r="0" b="0"/>
            <wp:docPr id="14" name="Picture 14" descr="Column chart showing total World Bank budget support to the Pacific and Timor-Leste from 2006 to 2021 in millions of US dollars. Support increased significantly in 2019 and remained much higher than historic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lumn chart showing total World Bank budget support to the Pacific and Timor-Leste from 2006 to 2021 in millions of US dollars. Support increased significantly in 2019 and remained much higher than historic level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1621790"/>
                    </a:xfrm>
                    <a:prstGeom prst="rect">
                      <a:avLst/>
                    </a:prstGeom>
                    <a:noFill/>
                  </pic:spPr>
                </pic:pic>
              </a:graphicData>
            </a:graphic>
          </wp:inline>
        </w:drawing>
      </w:r>
    </w:p>
    <w:p w14:paraId="216FFF64" w14:textId="0AE8169C" w:rsidR="00F9382E" w:rsidRDefault="007F1C95" w:rsidP="003C70F4">
      <w:pPr>
        <w:pStyle w:val="Heading4"/>
        <w:spacing w:before="0" w:after="120"/>
      </w:pPr>
      <w:r>
        <w:rPr>
          <w:noProof/>
        </w:rPr>
        <w:drawing>
          <wp:inline distT="0" distB="0" distL="0" distR="0" wp14:anchorId="5C5D3327" wp14:editId="0C552001">
            <wp:extent cx="6120765" cy="1621790"/>
            <wp:effectExtent l="0" t="0" r="0" b="0"/>
            <wp:docPr id="16" name="Picture 16" descr="Column chart showing total World Bank budget support to the Pacific and Timor-Leste from 2006 to 2021 in millions of US dollars. Fiji, PNG, and Tonga were the greatest recip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lumn chart showing total World Bank budget support to the Pacific and Timor-Leste from 2006 to 2021 in millions of US dollars. Fiji, PNG, and Tonga were the greatest recipien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621790"/>
                    </a:xfrm>
                    <a:prstGeom prst="rect">
                      <a:avLst/>
                    </a:prstGeom>
                    <a:noFill/>
                  </pic:spPr>
                </pic:pic>
              </a:graphicData>
            </a:graphic>
          </wp:inline>
        </w:drawing>
      </w:r>
    </w:p>
    <w:p w14:paraId="0E59ED50" w14:textId="6F4D9E35" w:rsidR="00F9382E" w:rsidRPr="0016526A" w:rsidRDefault="00F9382E" w:rsidP="003C70F4">
      <w:pPr>
        <w:spacing w:before="0"/>
        <w:rPr>
          <w:sz w:val="18"/>
          <w:szCs w:val="18"/>
        </w:rPr>
      </w:pPr>
      <w:bookmarkStart w:id="33" w:name="_Toc101429896"/>
      <w:r w:rsidRPr="003C70F4">
        <w:rPr>
          <w:sz w:val="18"/>
          <w:szCs w:val="18"/>
        </w:rPr>
        <w:t>Source:</w:t>
      </w:r>
      <w:r w:rsidRPr="0016526A">
        <w:rPr>
          <w:sz w:val="18"/>
          <w:szCs w:val="18"/>
        </w:rPr>
        <w:t xml:space="preserve"> World Bank 2020 and selected project documentation</w:t>
      </w:r>
      <w:bookmarkEnd w:id="33"/>
    </w:p>
    <w:p w14:paraId="2AF1DBD3" w14:textId="3D99585F" w:rsidR="00F9382E" w:rsidRPr="003C70F4" w:rsidRDefault="00C702B1" w:rsidP="003C70F4">
      <w:pPr>
        <w:pStyle w:val="Heading4"/>
      </w:pPr>
      <w:r>
        <w:t>Policy</w:t>
      </w:r>
      <w:r w:rsidR="00F9382E">
        <w:t xml:space="preserve"> actions</w:t>
      </w:r>
    </w:p>
    <w:p w14:paraId="1B8AE540" w14:textId="4835ADA2" w:rsidR="00F9382E" w:rsidRDefault="00F9382E" w:rsidP="00C52749">
      <w:pPr>
        <w:spacing w:after="120"/>
      </w:pPr>
      <w:r>
        <w:t xml:space="preserve">As is the case with DPOs globally, </w:t>
      </w:r>
      <w:r w:rsidR="00C628BD">
        <w:t>most</w:t>
      </w:r>
      <w:r>
        <w:t xml:space="preserve"> </w:t>
      </w:r>
      <w:r w:rsidR="00C52749">
        <w:t>policy action</w:t>
      </w:r>
      <w:r>
        <w:t xml:space="preserve">s in </w:t>
      </w:r>
      <w:r w:rsidR="000B332B">
        <w:t>PICs and Timor-Leste</w:t>
      </w:r>
      <w:r>
        <w:t xml:space="preserve"> have been focused on public sector management (42 per cent of all actions), and economic policy (16 per cent of all actions) (</w:t>
      </w:r>
      <w:r w:rsidRPr="003C70F4">
        <w:rPr>
          <w:b/>
          <w:bCs/>
        </w:rPr>
        <w:t>Figure 4</w:t>
      </w:r>
      <w:r>
        <w:t>). At a more disaggregated level, public expenditure management is by far the most common theme (19 per cent of all actions), followed by tax policy and fiscal sustainability.</w:t>
      </w:r>
      <w:r w:rsidR="00435EB5">
        <w:t xml:space="preserve"> The World Bank communicated to partners at the 2022 Friends of Budget Support meeting that it </w:t>
      </w:r>
      <w:r w:rsidR="003B6C39">
        <w:t>is reducing</w:t>
      </w:r>
      <w:r w:rsidR="001A018D">
        <w:t xml:space="preserve"> the disproportionate focus on PFM</w:t>
      </w:r>
      <w:r w:rsidR="00AB498C">
        <w:t xml:space="preserve"> in its DPOs.</w:t>
      </w:r>
    </w:p>
    <w:p w14:paraId="4DA8FC69" w14:textId="6FCDF409" w:rsidR="00F9382E" w:rsidRPr="007F1C95" w:rsidRDefault="00F9382E" w:rsidP="007F1C95">
      <w:pPr>
        <w:pStyle w:val="Heading4"/>
        <w:spacing w:before="0" w:after="120"/>
      </w:pPr>
      <w:r w:rsidRPr="003C70F4">
        <w:rPr>
          <w:b/>
          <w:bCs w:val="0"/>
        </w:rPr>
        <w:lastRenderedPageBreak/>
        <w:t>Figure 4</w:t>
      </w:r>
      <w:r>
        <w:t xml:space="preserve"> </w:t>
      </w:r>
      <w:r w:rsidR="003C70F4">
        <w:t xml:space="preserve">Policy actions in </w:t>
      </w:r>
      <w:r>
        <w:t xml:space="preserve">World Bank </w:t>
      </w:r>
      <w:r w:rsidR="003C70F4">
        <w:t>Pacific DPOs</w:t>
      </w:r>
      <w:r>
        <w:t xml:space="preserve"> by theme </w:t>
      </w:r>
      <w:r w:rsidR="00FC5636">
        <w:rPr>
          <w:noProof/>
        </w:rPr>
        <w:drawing>
          <wp:inline distT="0" distB="0" distL="0" distR="0" wp14:anchorId="79DDC47B" wp14:editId="36B5A33C">
            <wp:extent cx="6297930" cy="1621790"/>
            <wp:effectExtent l="0" t="0" r="7620" b="0"/>
            <wp:docPr id="18" name="Picture 18" descr="Clustered bar chart showing total World Bank policy actions from 2006 to 2021, disaggregated by theme. Series one is Pacific and Timor-Leste; serios two is all World Bank member countries. Overwhelmingly, public sector management is the most common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lustered bar chart showing total World Bank policy actions from 2006 to 2021, disaggregated by theme. Series one is Pacific and Timor-Leste; serios two is all World Bank member countries. Overwhelmingly, public sector management is the most common the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7930" cy="1621790"/>
                    </a:xfrm>
                    <a:prstGeom prst="rect">
                      <a:avLst/>
                    </a:prstGeom>
                    <a:noFill/>
                  </pic:spPr>
                </pic:pic>
              </a:graphicData>
            </a:graphic>
          </wp:inline>
        </w:drawing>
      </w:r>
      <w:r w:rsidRPr="00CB3E61">
        <w:rPr>
          <w:sz w:val="18"/>
          <w:szCs w:val="18"/>
        </w:rPr>
        <w:t>Source</w:t>
      </w:r>
      <w:r w:rsidR="003C70F4">
        <w:rPr>
          <w:sz w:val="18"/>
          <w:szCs w:val="18"/>
        </w:rPr>
        <w:t>:</w:t>
      </w:r>
      <w:r w:rsidRPr="00CB3E61">
        <w:rPr>
          <w:sz w:val="18"/>
          <w:szCs w:val="18"/>
        </w:rPr>
        <w:t xml:space="preserve"> World Bank 2020</w:t>
      </w:r>
    </w:p>
    <w:p w14:paraId="66E81CF6" w14:textId="2F457823" w:rsidR="00F9382E" w:rsidRDefault="00F9382E" w:rsidP="00C52749">
      <w:pPr>
        <w:pStyle w:val="Heading3"/>
      </w:pPr>
      <w:bookmarkStart w:id="34" w:name="_Toc108168319"/>
      <w:bookmarkStart w:id="35" w:name="_Toc120201415"/>
      <w:bookmarkStart w:id="36" w:name="_Toc120544522"/>
      <w:r w:rsidRPr="00EC21CA">
        <w:t>Asian Development Bank</w:t>
      </w:r>
      <w:bookmarkEnd w:id="34"/>
      <w:bookmarkEnd w:id="35"/>
      <w:bookmarkEnd w:id="36"/>
    </w:p>
    <w:p w14:paraId="71ABFAE1" w14:textId="64CD2BE1" w:rsidR="00F9382E" w:rsidRPr="002B5132" w:rsidRDefault="00F9382E" w:rsidP="00C52749">
      <w:pPr>
        <w:spacing w:after="120"/>
        <w:rPr>
          <w:rFonts w:eastAsia="Times New Roman" w:cstheme="minorHAnsi"/>
          <w:i/>
          <w:iCs/>
        </w:rPr>
      </w:pPr>
      <w:r>
        <w:t xml:space="preserve">The ADB provides budget support through Policy Based Loans (PBLs). </w:t>
      </w:r>
      <w:r w:rsidR="003C70F4">
        <w:t xml:space="preserve">Despite the name, PBLs can be loans or grants. </w:t>
      </w:r>
      <w:r w:rsidRPr="00237F1D">
        <w:rPr>
          <w:rFonts w:eastAsia="Times New Roman" w:cstheme="minorHAnsi"/>
          <w:lang w:val="en-US"/>
        </w:rPr>
        <w:t xml:space="preserve">PBLs support reform </w:t>
      </w:r>
      <w:r w:rsidR="003C70F4">
        <w:rPr>
          <w:rFonts w:eastAsia="Times New Roman" w:cstheme="minorHAnsi"/>
          <w:lang w:val="en-US"/>
        </w:rPr>
        <w:t>through</w:t>
      </w:r>
      <w:r w:rsidRPr="00237F1D">
        <w:rPr>
          <w:rFonts w:eastAsia="Times New Roman" w:cstheme="minorHAnsi"/>
          <w:lang w:val="en-US"/>
        </w:rPr>
        <w:t xml:space="preserve"> policy actions that address critical constraints in </w:t>
      </w:r>
      <w:r w:rsidR="003C70F4">
        <w:rPr>
          <w:rFonts w:eastAsia="Times New Roman" w:cstheme="minorHAnsi"/>
          <w:lang w:val="en-US"/>
        </w:rPr>
        <w:t>d</w:t>
      </w:r>
      <w:r w:rsidRPr="00237F1D">
        <w:rPr>
          <w:rFonts w:eastAsia="Times New Roman" w:cstheme="minorHAnsi"/>
          <w:lang w:val="en-US"/>
        </w:rPr>
        <w:t xml:space="preserve">eveloping </w:t>
      </w:r>
      <w:r w:rsidR="003C70F4">
        <w:rPr>
          <w:rFonts w:eastAsia="Times New Roman" w:cstheme="minorHAnsi"/>
          <w:lang w:val="en-US"/>
        </w:rPr>
        <w:t>c</w:t>
      </w:r>
      <w:r w:rsidRPr="00237F1D">
        <w:rPr>
          <w:rFonts w:eastAsia="Times New Roman" w:cstheme="minorHAnsi"/>
          <w:lang w:val="en-US"/>
        </w:rPr>
        <w:t>ountries</w:t>
      </w:r>
      <w:r>
        <w:rPr>
          <w:rFonts w:eastAsia="Times New Roman" w:cstheme="minorHAnsi"/>
        </w:rPr>
        <w:t>. T</w:t>
      </w:r>
      <w:r w:rsidRPr="00E56FB6">
        <w:rPr>
          <w:rFonts w:eastAsia="Times New Roman" w:cstheme="minorHAnsi"/>
        </w:rPr>
        <w:t xml:space="preserve">here are </w:t>
      </w:r>
      <w:r>
        <w:rPr>
          <w:rFonts w:eastAsia="Times New Roman" w:cstheme="minorHAnsi"/>
        </w:rPr>
        <w:t>two</w:t>
      </w:r>
      <w:r w:rsidRPr="00E56FB6">
        <w:rPr>
          <w:rFonts w:eastAsia="Times New Roman" w:cstheme="minorHAnsi"/>
        </w:rPr>
        <w:t xml:space="preserve"> classes of PBL</w:t>
      </w:r>
      <w:r>
        <w:rPr>
          <w:rFonts w:eastAsia="Times New Roman" w:cstheme="minorHAnsi"/>
        </w:rPr>
        <w:t>s</w:t>
      </w:r>
      <w:r w:rsidRPr="00E56FB6">
        <w:rPr>
          <w:rFonts w:eastAsia="Times New Roman" w:cstheme="minorHAnsi"/>
        </w:rPr>
        <w:t xml:space="preserve">: </w:t>
      </w:r>
      <w:r>
        <w:rPr>
          <w:rFonts w:eastAsia="Times New Roman" w:cstheme="minorHAnsi"/>
        </w:rPr>
        <w:t>c</w:t>
      </w:r>
      <w:r w:rsidRPr="00E56FB6">
        <w:rPr>
          <w:rFonts w:eastAsia="Times New Roman" w:cstheme="minorHAnsi"/>
        </w:rPr>
        <w:t xml:space="preserve">onventional </w:t>
      </w:r>
      <w:r>
        <w:rPr>
          <w:rFonts w:eastAsia="Times New Roman" w:cstheme="minorHAnsi"/>
        </w:rPr>
        <w:t>p</w:t>
      </w:r>
      <w:r w:rsidRPr="00E56FB6">
        <w:rPr>
          <w:rFonts w:eastAsia="Times New Roman" w:cstheme="minorHAnsi"/>
        </w:rPr>
        <w:t xml:space="preserve">olicy-based </w:t>
      </w:r>
      <w:r>
        <w:rPr>
          <w:rFonts w:eastAsia="Times New Roman" w:cstheme="minorHAnsi"/>
        </w:rPr>
        <w:t>l</w:t>
      </w:r>
      <w:r w:rsidRPr="00E56FB6">
        <w:rPr>
          <w:rFonts w:eastAsia="Times New Roman" w:cstheme="minorHAnsi"/>
        </w:rPr>
        <w:t>ending</w:t>
      </w:r>
      <w:r>
        <w:rPr>
          <w:rFonts w:eastAsia="Times New Roman" w:cstheme="minorHAnsi"/>
        </w:rPr>
        <w:t xml:space="preserve"> (</w:t>
      </w:r>
      <w:r w:rsidRPr="00E56FB6">
        <w:rPr>
          <w:rFonts w:eastAsia="Times New Roman" w:cstheme="minorHAnsi"/>
        </w:rPr>
        <w:t>stand-alone or programmatic</w:t>
      </w:r>
      <w:r>
        <w:rPr>
          <w:rFonts w:eastAsia="Times New Roman" w:cstheme="minorHAnsi"/>
        </w:rPr>
        <w:t>)</w:t>
      </w:r>
      <w:r w:rsidRPr="00E56FB6">
        <w:rPr>
          <w:rFonts w:eastAsia="Times New Roman" w:cstheme="minorHAnsi"/>
        </w:rPr>
        <w:t xml:space="preserve"> and </w:t>
      </w:r>
      <w:r>
        <w:rPr>
          <w:rFonts w:eastAsia="Times New Roman" w:cstheme="minorHAnsi"/>
        </w:rPr>
        <w:t>c</w:t>
      </w:r>
      <w:r w:rsidRPr="00E56FB6">
        <w:rPr>
          <w:rFonts w:eastAsia="Times New Roman" w:cstheme="minorHAnsi"/>
        </w:rPr>
        <w:t>risis-</w:t>
      </w:r>
      <w:r>
        <w:rPr>
          <w:rFonts w:eastAsia="Times New Roman" w:cstheme="minorHAnsi"/>
        </w:rPr>
        <w:t>r</w:t>
      </w:r>
      <w:r w:rsidRPr="00E56FB6">
        <w:rPr>
          <w:rFonts w:eastAsia="Times New Roman" w:cstheme="minorHAnsi"/>
        </w:rPr>
        <w:t>esponse policy-based lending</w:t>
      </w:r>
      <w:r>
        <w:rPr>
          <w:rFonts w:eastAsia="Times New Roman" w:cstheme="minorHAnsi"/>
        </w:rPr>
        <w:t xml:space="preserve"> (</w:t>
      </w:r>
      <w:r w:rsidRPr="00E56FB6">
        <w:rPr>
          <w:rFonts w:eastAsia="Times New Roman" w:cstheme="minorHAnsi"/>
        </w:rPr>
        <w:t>large scale support to address external or internal payment crises</w:t>
      </w:r>
      <w:r>
        <w:rPr>
          <w:rFonts w:eastAsia="Times New Roman" w:cstheme="minorHAnsi"/>
        </w:rPr>
        <w:t xml:space="preserve"> or</w:t>
      </w:r>
      <w:r w:rsidRPr="00E56FB6">
        <w:rPr>
          <w:rFonts w:eastAsia="Times New Roman" w:cstheme="minorHAnsi"/>
        </w:rPr>
        <w:t xml:space="preserve"> balance of payment</w:t>
      </w:r>
      <w:r>
        <w:rPr>
          <w:rFonts w:eastAsia="Times New Roman" w:cstheme="minorHAnsi"/>
        </w:rPr>
        <w:t xml:space="preserve"> crise</w:t>
      </w:r>
      <w:r w:rsidRPr="00E56FB6">
        <w:rPr>
          <w:rFonts w:eastAsia="Times New Roman" w:cstheme="minorHAnsi"/>
        </w:rPr>
        <w:t xml:space="preserve">s or </w:t>
      </w:r>
      <w:r>
        <w:rPr>
          <w:rFonts w:eastAsia="Times New Roman" w:cstheme="minorHAnsi"/>
        </w:rPr>
        <w:t xml:space="preserve">to provide </w:t>
      </w:r>
      <w:r w:rsidRPr="00E56FB6">
        <w:rPr>
          <w:rFonts w:eastAsia="Times New Roman" w:cstheme="minorHAnsi"/>
        </w:rPr>
        <w:t>countercyclical support during economic crisis</w:t>
      </w:r>
      <w:r>
        <w:rPr>
          <w:rFonts w:eastAsia="Times New Roman" w:cstheme="minorHAnsi"/>
        </w:rPr>
        <w:t>)</w:t>
      </w:r>
      <w:r w:rsidRPr="00E56FB6">
        <w:rPr>
          <w:rFonts w:eastAsia="Times New Roman" w:cstheme="minorHAnsi"/>
        </w:rPr>
        <w:t>.</w:t>
      </w:r>
      <w:r>
        <w:rPr>
          <w:rFonts w:eastAsia="Times New Roman" w:cstheme="minorHAnsi"/>
        </w:rPr>
        <w:t xml:space="preserve"> </w:t>
      </w:r>
      <w:r w:rsidRPr="00E56FB6">
        <w:rPr>
          <w:rFonts w:eastAsia="Times New Roman" w:cstheme="minorHAnsi"/>
        </w:rPr>
        <w:t>PBLs can also provide contingent disaster financing and policy-based guarantees</w:t>
      </w:r>
      <w:r>
        <w:rPr>
          <w:rFonts w:eastAsia="Times New Roman" w:cstheme="minorHAnsi"/>
        </w:rPr>
        <w:t>. The ADB can also provide a mix of investment and policy-based lending through Sector Development Programs (SDPs).</w:t>
      </w:r>
    </w:p>
    <w:p w14:paraId="6DC4910E" w14:textId="5286DD54" w:rsidR="00F9382E" w:rsidRDefault="00B501CE" w:rsidP="00F9382E">
      <w:pPr>
        <w:spacing w:after="120"/>
      </w:pPr>
      <w:r>
        <w:t xml:space="preserve">The </w:t>
      </w:r>
      <w:r w:rsidR="003458C8">
        <w:t xml:space="preserve">effective </w:t>
      </w:r>
      <w:r>
        <w:t xml:space="preserve">use of PBLs must satisfy a set of </w:t>
      </w:r>
      <w:r w:rsidR="003458C8">
        <w:t>desirable conditions</w:t>
      </w:r>
      <w:r>
        <w:t xml:space="preserve">. </w:t>
      </w:r>
      <w:r w:rsidR="003C70F4">
        <w:t>A</w:t>
      </w:r>
      <w:r w:rsidR="00F9382E">
        <w:t xml:space="preserve">ll PBLs require strong government ownership and commitment to reform. Policy actions must have sector or economy-wide impacts. Fiduciary arrangements ensuring the efficient use of resources should be in place. There must be close coordination with the </w:t>
      </w:r>
      <w:r w:rsidR="00E26B1E">
        <w:t>IMF</w:t>
      </w:r>
      <w:r w:rsidR="00F9382E">
        <w:t xml:space="preserve"> and other development partners on proposed reforms and macroeconomic analysis and to confirm the borrower’s macroeconomic conditions and policies are satisfactory.</w:t>
      </w:r>
    </w:p>
    <w:p w14:paraId="28FDC817" w14:textId="1154C6C6" w:rsidR="00F9382E" w:rsidRDefault="00F9382E" w:rsidP="00F9382E">
      <w:pPr>
        <w:spacing w:after="120"/>
      </w:pPr>
      <w:r>
        <w:t xml:space="preserve">PBLs have been deployed in the Pacific </w:t>
      </w:r>
      <w:r w:rsidR="00CB6A9A">
        <w:t xml:space="preserve">and Timor-Leste </w:t>
      </w:r>
      <w:r>
        <w:t xml:space="preserve">for over 40 </w:t>
      </w:r>
      <w:r w:rsidR="00E95DAE">
        <w:t>years since</w:t>
      </w:r>
      <w:r>
        <w:t xml:space="preserve"> the modality was first introduced in 1978. Between 1978 and 2017, the ADB delivered 53 PBL operations in the Pacific</w:t>
      </w:r>
      <w:r w:rsidR="00CB6A9A">
        <w:t xml:space="preserve"> and Timor-Leste</w:t>
      </w:r>
      <w:r>
        <w:t xml:space="preserve">, of which, just under a third were </w:t>
      </w:r>
      <w:r w:rsidR="003C70F4">
        <w:t>delivered in</w:t>
      </w:r>
      <w:r>
        <w:t xml:space="preserve"> Samoa and Tonga (</w:t>
      </w:r>
      <w:r w:rsidRPr="003C70F4">
        <w:rPr>
          <w:b/>
          <w:bCs/>
        </w:rPr>
        <w:t>Figure 5</w:t>
      </w:r>
      <w:r>
        <w:t>). Since 2017, there have been at least</w:t>
      </w:r>
      <w:r w:rsidR="003C70F4">
        <w:t xml:space="preserve"> a further</w:t>
      </w:r>
      <w:r>
        <w:t xml:space="preserve"> 20 PBLs for PICs.</w:t>
      </w:r>
      <w:r>
        <w:rPr>
          <w:rStyle w:val="FootnoteReference"/>
        </w:rPr>
        <w:footnoteReference w:id="9"/>
      </w:r>
    </w:p>
    <w:p w14:paraId="2AF1D387" w14:textId="01A85E6E" w:rsidR="00F9382E" w:rsidRDefault="00F9382E" w:rsidP="003C70F4">
      <w:pPr>
        <w:pStyle w:val="Heading4"/>
        <w:spacing w:before="0" w:after="120"/>
      </w:pPr>
      <w:r w:rsidRPr="003C70F4">
        <w:rPr>
          <w:b/>
          <w:bCs w:val="0"/>
        </w:rPr>
        <w:t>Figure 5</w:t>
      </w:r>
      <w:r>
        <w:t xml:space="preserve"> ADB budget support to PICs, 1978 to 2017</w:t>
      </w:r>
      <w:r w:rsidR="00FC5636">
        <w:rPr>
          <w:noProof/>
        </w:rPr>
        <w:drawing>
          <wp:inline distT="0" distB="0" distL="0" distR="0" wp14:anchorId="7594BDD4" wp14:editId="733DFE0B">
            <wp:extent cx="6334125" cy="1844702"/>
            <wp:effectExtent l="0" t="0" r="0" b="3175"/>
            <wp:docPr id="19" name="Picture 19" descr="Clustered column chart tallying the number of Asian Development Bank budget support operations to the Pacific from 1978 to 2017 disaggregated by country. Series one is 1978 to 1989; series two is 1990 to 1999; series three is 2000 to 2007; series four is 2008 to 2017. Operations increased across the region from 2008. The greatest number of operations have been in Tonga, Samoa, Solomon Islands and Tuva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lustered column chart tallying the number of Asian Development Bank budget support operations to the Pacific from 1978 to 2017 disaggregated by country. Series one is 1978 to 1989; series two is 1990 to 1999; series three is 2000 to 2007; series four is 2008 to 2017. Operations increased across the region from 2008. The greatest number of operations have been in Tonga, Samoa, Solomon Islands and Tuval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46068" cy="1848180"/>
                    </a:xfrm>
                    <a:prstGeom prst="rect">
                      <a:avLst/>
                    </a:prstGeom>
                    <a:noFill/>
                  </pic:spPr>
                </pic:pic>
              </a:graphicData>
            </a:graphic>
          </wp:inline>
        </w:drawing>
      </w:r>
    </w:p>
    <w:p w14:paraId="0E6DFCA4" w14:textId="56F1C3CD" w:rsidR="00F9382E" w:rsidRPr="00C43588" w:rsidRDefault="00F9382E" w:rsidP="008E181C">
      <w:pPr>
        <w:spacing w:before="0"/>
        <w:rPr>
          <w:sz w:val="18"/>
          <w:szCs w:val="18"/>
        </w:rPr>
      </w:pPr>
      <w:r w:rsidRPr="00C43588">
        <w:rPr>
          <w:sz w:val="18"/>
          <w:szCs w:val="18"/>
        </w:rPr>
        <w:t>Source</w:t>
      </w:r>
      <w:r w:rsidR="003C70F4">
        <w:rPr>
          <w:sz w:val="18"/>
          <w:szCs w:val="18"/>
        </w:rPr>
        <w:t>:</w:t>
      </w:r>
      <w:r w:rsidRPr="00C43588">
        <w:rPr>
          <w:sz w:val="18"/>
          <w:szCs w:val="18"/>
        </w:rPr>
        <w:t xml:space="preserve"> ADB </w:t>
      </w:r>
      <w:r>
        <w:rPr>
          <w:sz w:val="18"/>
          <w:szCs w:val="18"/>
        </w:rPr>
        <w:t>2020</w:t>
      </w:r>
    </w:p>
    <w:p w14:paraId="2C81CC16" w14:textId="0CC83A38" w:rsidR="00F9382E" w:rsidRDefault="00F9382E" w:rsidP="00C52749">
      <w:pPr>
        <w:pStyle w:val="Heading3"/>
      </w:pPr>
      <w:bookmarkStart w:id="37" w:name="_Toc108168320"/>
      <w:bookmarkStart w:id="38" w:name="_Toc120201416"/>
      <w:bookmarkStart w:id="39" w:name="_Toc120544523"/>
      <w:r>
        <w:lastRenderedPageBreak/>
        <w:t>Common themes</w:t>
      </w:r>
      <w:bookmarkEnd w:id="37"/>
      <w:bookmarkEnd w:id="38"/>
      <w:bookmarkEnd w:id="39"/>
    </w:p>
    <w:p w14:paraId="0A7F3DCA" w14:textId="335C96A4" w:rsidR="00F9382E" w:rsidRDefault="00F9382E" w:rsidP="006A20FC">
      <w:r w:rsidRPr="00DB3E22">
        <w:rPr>
          <w:b/>
          <w:bCs/>
        </w:rPr>
        <w:t xml:space="preserve">There has been a strong focus on </w:t>
      </w:r>
      <w:r w:rsidR="00E9732A">
        <w:rPr>
          <w:b/>
          <w:bCs/>
        </w:rPr>
        <w:t>PFM</w:t>
      </w:r>
      <w:r w:rsidRPr="00DB3E22">
        <w:rPr>
          <w:b/>
          <w:bCs/>
        </w:rPr>
        <w:t xml:space="preserve"> in operations, in PICs </w:t>
      </w:r>
      <w:r w:rsidR="001A1B2B">
        <w:rPr>
          <w:b/>
          <w:bCs/>
        </w:rPr>
        <w:t xml:space="preserve">and Timor-Leste </w:t>
      </w:r>
      <w:r w:rsidRPr="00DB3E22">
        <w:rPr>
          <w:b/>
          <w:bCs/>
        </w:rPr>
        <w:t xml:space="preserve">and </w:t>
      </w:r>
      <w:r w:rsidR="00AB74F6">
        <w:rPr>
          <w:b/>
          <w:bCs/>
        </w:rPr>
        <w:t>globally</w:t>
      </w:r>
      <w:r>
        <w:t>. This may be because:</w:t>
      </w:r>
    </w:p>
    <w:p w14:paraId="3AD6A5D0" w14:textId="5A10E9DF" w:rsidR="00AB74F6" w:rsidRDefault="00F9382E" w:rsidP="00853654">
      <w:pPr>
        <w:pStyle w:val="ListParagraph"/>
        <w:numPr>
          <w:ilvl w:val="0"/>
          <w:numId w:val="19"/>
        </w:numPr>
        <w:spacing w:after="0" w:line="240" w:lineRule="auto"/>
        <w:ind w:left="714" w:hanging="357"/>
        <w:contextualSpacing w:val="0"/>
        <w:rPr>
          <w:color w:val="495965" w:themeColor="text2"/>
          <w:lang w:val="en-US"/>
        </w:rPr>
      </w:pPr>
      <w:r w:rsidRPr="00B1542E">
        <w:rPr>
          <w:color w:val="495965" w:themeColor="text2"/>
          <w:lang w:val="en-US"/>
        </w:rPr>
        <w:t xml:space="preserve">from a fiduciary risk perspective, the </w:t>
      </w:r>
      <w:r w:rsidR="003C70F4">
        <w:rPr>
          <w:color w:val="495965" w:themeColor="text2"/>
          <w:lang w:val="en-US"/>
        </w:rPr>
        <w:t>World Bank</w:t>
      </w:r>
      <w:r w:rsidRPr="00B1542E">
        <w:rPr>
          <w:color w:val="495965" w:themeColor="text2"/>
          <w:lang w:val="en-US"/>
        </w:rPr>
        <w:t xml:space="preserve"> and ADB need to assure their shareholders that recipient PFM systems </w:t>
      </w:r>
      <w:r w:rsidR="00FF7048" w:rsidRPr="00B1542E">
        <w:rPr>
          <w:color w:val="495965" w:themeColor="text2"/>
          <w:lang w:val="en-US"/>
        </w:rPr>
        <w:t>can deliver</w:t>
      </w:r>
      <w:r w:rsidRPr="00B1542E">
        <w:rPr>
          <w:color w:val="495965" w:themeColor="text2"/>
          <w:lang w:val="en-US"/>
        </w:rPr>
        <w:t xml:space="preserve"> macroeconomic stability and ensu</w:t>
      </w:r>
      <w:r w:rsidR="003D4958">
        <w:rPr>
          <w:color w:val="495965" w:themeColor="text2"/>
          <w:lang w:val="en-US"/>
        </w:rPr>
        <w:t>re</w:t>
      </w:r>
      <w:r w:rsidRPr="00B1542E">
        <w:rPr>
          <w:color w:val="495965" w:themeColor="text2"/>
          <w:lang w:val="en-US"/>
        </w:rPr>
        <w:t xml:space="preserve"> that resources are used to pursue established development objectives</w:t>
      </w:r>
    </w:p>
    <w:p w14:paraId="0B6A2805" w14:textId="32B091D0" w:rsidR="00F9382E" w:rsidRPr="00AB74F6" w:rsidRDefault="00F9382E" w:rsidP="00853654">
      <w:pPr>
        <w:pStyle w:val="ListParagraph"/>
        <w:numPr>
          <w:ilvl w:val="0"/>
          <w:numId w:val="19"/>
        </w:numPr>
        <w:spacing w:after="0" w:line="240" w:lineRule="auto"/>
        <w:ind w:left="714" w:hanging="357"/>
        <w:contextualSpacing w:val="0"/>
        <w:rPr>
          <w:color w:val="495965" w:themeColor="text2"/>
          <w:lang w:val="en-US"/>
        </w:rPr>
      </w:pPr>
      <w:r w:rsidRPr="00AB74F6">
        <w:rPr>
          <w:color w:val="495965" w:themeColor="text2"/>
          <w:lang w:val="en-US"/>
        </w:rPr>
        <w:t xml:space="preserve">the public sector is a dominant part of the economy in </w:t>
      </w:r>
      <w:r w:rsidR="000B332B" w:rsidRPr="00AB74F6">
        <w:rPr>
          <w:color w:val="495965" w:themeColor="text2"/>
          <w:lang w:val="en-US"/>
        </w:rPr>
        <w:t>PICs and Timor-Leste</w:t>
      </w:r>
      <w:r w:rsidRPr="00AB74F6">
        <w:rPr>
          <w:color w:val="495965" w:themeColor="text2"/>
          <w:lang w:val="en-US"/>
        </w:rPr>
        <w:t>, so reforms to improve the efficiency and effectiveness of revenue and expenditure functions can play an important role in improving overall economic performance.</w:t>
      </w:r>
    </w:p>
    <w:p w14:paraId="028E01D1" w14:textId="741102BF" w:rsidR="00F9382E" w:rsidRPr="00237F1D" w:rsidRDefault="00F9382E" w:rsidP="00F9382E">
      <w:pPr>
        <w:spacing w:after="120"/>
        <w:rPr>
          <w:lang w:val="en-US"/>
        </w:rPr>
      </w:pPr>
      <w:r w:rsidRPr="00AB74F6">
        <w:rPr>
          <w:b/>
          <w:bCs/>
        </w:rPr>
        <w:t xml:space="preserve">Budget </w:t>
      </w:r>
      <w:r>
        <w:rPr>
          <w:b/>
          <w:bCs/>
        </w:rPr>
        <w:t>support operations can be effective in motivating macro-fiscal dialogue between governments and development partners.</w:t>
      </w:r>
      <w:r>
        <w:t xml:space="preserve"> </w:t>
      </w:r>
      <w:r w:rsidRPr="00773CB6">
        <w:t xml:space="preserve">The </w:t>
      </w:r>
      <w:r w:rsidR="003C70F4">
        <w:rPr>
          <w:lang w:val="en-US"/>
        </w:rPr>
        <w:t>World Bank</w:t>
      </w:r>
      <w:r w:rsidRPr="00237F1D">
        <w:rPr>
          <w:lang w:val="en-US"/>
        </w:rPr>
        <w:t xml:space="preserve"> estimates that between 2010 and 2015 the resources delivered by </w:t>
      </w:r>
      <w:r>
        <w:t>Pacific</w:t>
      </w:r>
      <w:r w:rsidRPr="004B30BA">
        <w:t xml:space="preserve"> DPOs amounted to an average of 5 </w:t>
      </w:r>
      <w:r w:rsidR="001F27CC">
        <w:t>per cent</w:t>
      </w:r>
      <w:r w:rsidRPr="004B30BA">
        <w:t xml:space="preserve"> of recipient government’s </w:t>
      </w:r>
      <w:r w:rsidRPr="008B427F">
        <w:t>recurrent expenditure</w:t>
      </w:r>
      <w:r w:rsidRPr="00990DE8">
        <w:t xml:space="preserve">. </w:t>
      </w:r>
      <w:r w:rsidRPr="00237F1D">
        <w:rPr>
          <w:lang w:val="en-US"/>
        </w:rPr>
        <w:t xml:space="preserve">While budget support allocations are small compared to flows from </w:t>
      </w:r>
      <w:r>
        <w:t xml:space="preserve">other </w:t>
      </w:r>
      <w:r w:rsidR="003C70F4">
        <w:t>World Bank</w:t>
      </w:r>
      <w:r w:rsidRPr="00237F1D">
        <w:rPr>
          <w:lang w:val="en-US"/>
        </w:rPr>
        <w:t xml:space="preserve"> operations, DPOs provide a useful amount of ‘freely useable’ finance</w:t>
      </w:r>
      <w:r w:rsidR="00596469">
        <w:rPr>
          <w:lang w:val="en-US"/>
        </w:rPr>
        <w:t xml:space="preserve"> to partner </w:t>
      </w:r>
      <w:r w:rsidR="00C35515">
        <w:rPr>
          <w:lang w:val="en-US"/>
        </w:rPr>
        <w:t>governments</w:t>
      </w:r>
      <w:r w:rsidRPr="00237F1D">
        <w:rPr>
          <w:lang w:val="en-US"/>
        </w:rPr>
        <w:t xml:space="preserve">. </w:t>
      </w:r>
      <w:r w:rsidR="00C35515">
        <w:rPr>
          <w:lang w:val="en-US"/>
        </w:rPr>
        <w:t xml:space="preserve">This proportion has only increased since the introduction of CAT-DDOs. </w:t>
      </w:r>
      <w:r w:rsidRPr="00237F1D">
        <w:rPr>
          <w:lang w:val="en-US"/>
        </w:rPr>
        <w:t>Finance ministries are usually well motivated to engage in the associated dialogue.</w:t>
      </w:r>
    </w:p>
    <w:p w14:paraId="1CE852AB" w14:textId="667BEEAF" w:rsidR="00F9382E" w:rsidRPr="007B0EE8" w:rsidRDefault="00F9382E" w:rsidP="00F9382E">
      <w:pPr>
        <w:spacing w:after="120"/>
      </w:pPr>
      <w:r w:rsidRPr="006151F9">
        <w:rPr>
          <w:b/>
          <w:bCs/>
        </w:rPr>
        <w:t xml:space="preserve">There is consensus that a programmatic </w:t>
      </w:r>
      <w:r>
        <w:rPr>
          <w:b/>
          <w:bCs/>
        </w:rPr>
        <w:t xml:space="preserve">(multi-year) </w:t>
      </w:r>
      <w:r w:rsidRPr="006151F9">
        <w:rPr>
          <w:b/>
          <w:bCs/>
        </w:rPr>
        <w:t>approach</w:t>
      </w:r>
      <w:r>
        <w:rPr>
          <w:b/>
          <w:bCs/>
        </w:rPr>
        <w:t>, with a series of closely related operations,</w:t>
      </w:r>
      <w:r w:rsidRPr="006151F9">
        <w:rPr>
          <w:b/>
          <w:bCs/>
        </w:rPr>
        <w:t xml:space="preserve"> is </w:t>
      </w:r>
      <w:r>
        <w:rPr>
          <w:b/>
          <w:bCs/>
        </w:rPr>
        <w:t>preferable to a stand-alone (one-year) approach.</w:t>
      </w:r>
      <w:r>
        <w:t xml:space="preserve"> </w:t>
      </w:r>
      <w:r w:rsidRPr="00773CB6">
        <w:t xml:space="preserve">Desirable reforms </w:t>
      </w:r>
      <w:r w:rsidR="00E76C74">
        <w:t xml:space="preserve">usually </w:t>
      </w:r>
      <w:r w:rsidRPr="00773CB6">
        <w:t xml:space="preserve">need to be delivered over a medium-term timeframe, given the need to build awareness, schedule and sequence changes </w:t>
      </w:r>
      <w:r w:rsidR="009037C2" w:rsidRPr="00773CB6">
        <w:t>considering</w:t>
      </w:r>
      <w:r w:rsidRPr="00773CB6">
        <w:t xml:space="preserve"> capacity constraints,</w:t>
      </w:r>
      <w:r w:rsidRPr="004B30BA">
        <w:t xml:space="preserve"> and </w:t>
      </w:r>
      <w:r>
        <w:t xml:space="preserve">deal with </w:t>
      </w:r>
      <w:r w:rsidRPr="004B30BA">
        <w:t xml:space="preserve">the </w:t>
      </w:r>
      <w:r w:rsidRPr="008B427F">
        <w:t>political economy of reforms.</w:t>
      </w:r>
      <w:r>
        <w:t xml:space="preserve"> </w:t>
      </w:r>
      <w:r w:rsidRPr="00773CB6">
        <w:t xml:space="preserve">A programmatic approach provides for continuity of engagement, an important consideration in the </w:t>
      </w:r>
      <w:r w:rsidRPr="008B427F">
        <w:t xml:space="preserve">Pacific </w:t>
      </w:r>
      <w:r w:rsidR="00CB6A9A">
        <w:t>and Timor-Leste</w:t>
      </w:r>
      <w:r w:rsidR="00CB6A9A" w:rsidRPr="008B427F">
        <w:t xml:space="preserve"> </w:t>
      </w:r>
      <w:r w:rsidRPr="008B427F">
        <w:t xml:space="preserve">where staff turnover </w:t>
      </w:r>
      <w:r w:rsidRPr="00990DE8">
        <w:t xml:space="preserve">in the </w:t>
      </w:r>
      <w:r w:rsidR="003C70F4">
        <w:t>World Bank</w:t>
      </w:r>
      <w:r w:rsidRPr="00990DE8">
        <w:t xml:space="preserve"> and ADB is high.</w:t>
      </w:r>
    </w:p>
    <w:p w14:paraId="17B83641" w14:textId="585B6B31" w:rsidR="00F9382E" w:rsidRPr="003043F5" w:rsidRDefault="00F9382E" w:rsidP="003C70F4">
      <w:r w:rsidRPr="007B0EE8">
        <w:rPr>
          <w:b/>
          <w:bCs/>
        </w:rPr>
        <w:t>Policy action matrices typically build on foundations created by other programs and technical assistance</w:t>
      </w:r>
      <w:r>
        <w:rPr>
          <w:b/>
          <w:bCs/>
        </w:rPr>
        <w:t>.</w:t>
      </w:r>
      <w:r>
        <w:t xml:space="preserve"> </w:t>
      </w:r>
      <w:r w:rsidR="003C70F4">
        <w:t>World Bank</w:t>
      </w:r>
      <w:r>
        <w:t xml:space="preserve"> and ADB </w:t>
      </w:r>
      <w:r w:rsidR="00E76C74">
        <w:t xml:space="preserve">staff </w:t>
      </w:r>
      <w:r>
        <w:t>resourcing for b</w:t>
      </w:r>
      <w:r w:rsidRPr="007B0EE8">
        <w:t xml:space="preserve">udget support operations </w:t>
      </w:r>
      <w:r>
        <w:t>is</w:t>
      </w:r>
      <w:r w:rsidRPr="007B0EE8">
        <w:t xml:space="preserve"> usually light</w:t>
      </w:r>
      <w:r>
        <w:t xml:space="preserve"> and in-region staff are spread very thin, so it is difficult to build agreement on proposed reforms unless staff draw on prior work. Technical assistance (TA) with DPO and PBL implementation is </w:t>
      </w:r>
      <w:r w:rsidR="00011BB8">
        <w:t xml:space="preserve">highly </w:t>
      </w:r>
      <w:r>
        <w:t>important in capacity-constrained PICs</w:t>
      </w:r>
      <w:r w:rsidR="00197C4D">
        <w:t xml:space="preserve"> and Timor-Leste</w:t>
      </w:r>
      <w:r>
        <w:t xml:space="preserve">. </w:t>
      </w:r>
      <w:r w:rsidR="00E76C74">
        <w:t xml:space="preserve">Well-designed </w:t>
      </w:r>
      <w:r w:rsidRPr="00773CB6">
        <w:t>TA</w:t>
      </w:r>
      <w:r w:rsidRPr="00237F1D">
        <w:rPr>
          <w:lang w:val="en-US"/>
        </w:rPr>
        <w:t xml:space="preserve"> can help to overcome the risk that policy actions do not align with the partner government’s key priorities and capacity for change</w:t>
      </w:r>
      <w:r>
        <w:t>.</w:t>
      </w:r>
    </w:p>
    <w:p w14:paraId="248A7719" w14:textId="77777777" w:rsidR="008F1260" w:rsidRDefault="008F1260">
      <w:pPr>
        <w:suppressAutoHyphens w:val="0"/>
        <w:spacing w:before="0" w:after="120" w:line="440" w:lineRule="atLeast"/>
        <w:rPr>
          <w:rFonts w:asciiTheme="majorHAnsi" w:eastAsiaTheme="majorEastAsia" w:hAnsiTheme="majorHAnsi" w:cstheme="majorBidi"/>
          <w:b/>
          <w:bCs/>
          <w:caps/>
          <w:sz w:val="38"/>
          <w:szCs w:val="28"/>
        </w:rPr>
      </w:pPr>
      <w:bookmarkStart w:id="40" w:name="_Toc108168321"/>
      <w:bookmarkStart w:id="41" w:name="_Toc120201417"/>
      <w:r>
        <w:br w:type="page"/>
      </w:r>
    </w:p>
    <w:p w14:paraId="110614B6" w14:textId="408AB690" w:rsidR="00F9382E" w:rsidRDefault="00950CA5" w:rsidP="00950CA5">
      <w:pPr>
        <w:pStyle w:val="Heading1"/>
      </w:pPr>
      <w:bookmarkStart w:id="42" w:name="_Toc120544524"/>
      <w:r>
        <w:lastRenderedPageBreak/>
        <w:t xml:space="preserve">3. </w:t>
      </w:r>
      <w:r w:rsidR="00F9382E">
        <w:t xml:space="preserve">Gender in </w:t>
      </w:r>
      <w:r w:rsidR="00762262">
        <w:t>multilateral bank</w:t>
      </w:r>
      <w:r w:rsidR="00F9382E">
        <w:t xml:space="preserve"> operations</w:t>
      </w:r>
      <w:bookmarkEnd w:id="40"/>
      <w:bookmarkEnd w:id="41"/>
      <w:bookmarkEnd w:id="42"/>
    </w:p>
    <w:p w14:paraId="31554D54" w14:textId="77777777" w:rsidR="00F9382E" w:rsidRDefault="00F9382E" w:rsidP="003C70F4">
      <w:pPr>
        <w:spacing w:after="120"/>
      </w:pPr>
      <w:r>
        <w:t>Both the World Bank and the ADB have been progressively strengthening the pursuit of gender equality objectives in their analytical and operational work. Both have developed markers for operations to track the pursuit of objectives in their gender strategies.</w:t>
      </w:r>
    </w:p>
    <w:p w14:paraId="6265FE41" w14:textId="539D2129" w:rsidR="00F9382E" w:rsidRDefault="00F9382E" w:rsidP="003C70F4">
      <w:pPr>
        <w:pStyle w:val="Heading3"/>
      </w:pPr>
      <w:bookmarkStart w:id="43" w:name="_Toc108168322"/>
      <w:bookmarkStart w:id="44" w:name="_Toc120201418"/>
      <w:bookmarkStart w:id="45" w:name="_Toc120544525"/>
      <w:r>
        <w:t>World Bank</w:t>
      </w:r>
      <w:bookmarkEnd w:id="43"/>
      <w:bookmarkEnd w:id="44"/>
      <w:bookmarkEnd w:id="45"/>
    </w:p>
    <w:p w14:paraId="7DD7FA25" w14:textId="52B79862" w:rsidR="00F9382E" w:rsidRPr="003C70F4" w:rsidRDefault="00F9382E" w:rsidP="003C70F4">
      <w:pPr>
        <w:contextualSpacing/>
      </w:pPr>
      <w:r>
        <w:t xml:space="preserve">The World Bank’s 2016-2023 Gender Strategy builds on the gender equality framework presented in its 2012 World Development Report (World Bank 2011), and enhances activities established under its 2006 Gender Action Plan </w:t>
      </w:r>
      <w:r w:rsidRPr="003C70F4">
        <w:t>(World Bank 2006). The strategy introduces an outcomes-focused, evidence-driven approach to closing gender gaps and focuses on pursuing achievements that:</w:t>
      </w:r>
    </w:p>
    <w:p w14:paraId="08E840F7" w14:textId="77777777" w:rsidR="005C269E" w:rsidRPr="005C269E" w:rsidRDefault="00F9382E" w:rsidP="00853654">
      <w:pPr>
        <w:pStyle w:val="ListParagraph"/>
        <w:numPr>
          <w:ilvl w:val="0"/>
          <w:numId w:val="27"/>
        </w:numPr>
        <w:spacing w:after="0" w:line="240" w:lineRule="auto"/>
        <w:ind w:left="765" w:hanging="357"/>
        <w:contextualSpacing w:val="0"/>
        <w:rPr>
          <w:color w:val="495965" w:themeColor="text2"/>
        </w:rPr>
      </w:pPr>
      <w:r w:rsidRPr="005C269E">
        <w:rPr>
          <w:color w:val="495965" w:themeColor="text2"/>
        </w:rPr>
        <w:t xml:space="preserve">improve human </w:t>
      </w:r>
      <w:proofErr w:type="gramStart"/>
      <w:r w:rsidRPr="005C269E">
        <w:rPr>
          <w:color w:val="495965" w:themeColor="text2"/>
        </w:rPr>
        <w:t>endowments;</w:t>
      </w:r>
      <w:proofErr w:type="gramEnd"/>
    </w:p>
    <w:p w14:paraId="516822F9" w14:textId="77777777" w:rsidR="005C269E" w:rsidRPr="005C269E" w:rsidRDefault="00F9382E" w:rsidP="00853654">
      <w:pPr>
        <w:pStyle w:val="ListParagraph"/>
        <w:numPr>
          <w:ilvl w:val="0"/>
          <w:numId w:val="27"/>
        </w:numPr>
        <w:spacing w:after="0" w:line="240" w:lineRule="auto"/>
        <w:ind w:left="765" w:hanging="357"/>
        <w:contextualSpacing w:val="0"/>
        <w:rPr>
          <w:color w:val="495965" w:themeColor="text2"/>
        </w:rPr>
      </w:pPr>
      <w:r w:rsidRPr="005C269E">
        <w:rPr>
          <w:color w:val="495965" w:themeColor="text2"/>
        </w:rPr>
        <w:t xml:space="preserve">remove constraints to more and better </w:t>
      </w:r>
      <w:proofErr w:type="gramStart"/>
      <w:r w:rsidRPr="005C269E">
        <w:rPr>
          <w:color w:val="495965" w:themeColor="text2"/>
        </w:rPr>
        <w:t>jobs;</w:t>
      </w:r>
      <w:proofErr w:type="gramEnd"/>
    </w:p>
    <w:p w14:paraId="7D9110BF" w14:textId="77777777" w:rsidR="005C269E" w:rsidRPr="005C269E" w:rsidRDefault="00F9382E" w:rsidP="00853654">
      <w:pPr>
        <w:pStyle w:val="ListParagraph"/>
        <w:numPr>
          <w:ilvl w:val="0"/>
          <w:numId w:val="27"/>
        </w:numPr>
        <w:spacing w:after="0" w:line="240" w:lineRule="auto"/>
        <w:ind w:left="765" w:hanging="357"/>
        <w:contextualSpacing w:val="0"/>
        <w:rPr>
          <w:color w:val="495965" w:themeColor="text2"/>
        </w:rPr>
      </w:pPr>
      <w:r w:rsidRPr="005C269E">
        <w:rPr>
          <w:color w:val="495965" w:themeColor="text2"/>
        </w:rPr>
        <w:t>remove barriers to women’s ownership of and control over assets; and</w:t>
      </w:r>
    </w:p>
    <w:p w14:paraId="5912669E" w14:textId="0CE30DB2" w:rsidR="00F9382E" w:rsidRPr="005C269E" w:rsidRDefault="00F9382E" w:rsidP="00853654">
      <w:pPr>
        <w:pStyle w:val="ListParagraph"/>
        <w:numPr>
          <w:ilvl w:val="0"/>
          <w:numId w:val="27"/>
        </w:numPr>
        <w:spacing w:after="0" w:line="240" w:lineRule="auto"/>
        <w:ind w:left="765" w:hanging="357"/>
        <w:contextualSpacing w:val="0"/>
        <w:rPr>
          <w:color w:val="495965" w:themeColor="text2"/>
        </w:rPr>
      </w:pPr>
      <w:r w:rsidRPr="005C269E">
        <w:rPr>
          <w:color w:val="495965" w:themeColor="text2"/>
        </w:rPr>
        <w:t>enhance women’s voice, agency</w:t>
      </w:r>
      <w:r w:rsidR="00547F9C" w:rsidRPr="005C269E">
        <w:rPr>
          <w:color w:val="495965" w:themeColor="text2"/>
        </w:rPr>
        <w:t>,</w:t>
      </w:r>
      <w:r w:rsidRPr="005C269E">
        <w:rPr>
          <w:color w:val="495965" w:themeColor="text2"/>
        </w:rPr>
        <w:t xml:space="preserve"> and engagement.</w:t>
      </w:r>
    </w:p>
    <w:p w14:paraId="31F792C4" w14:textId="341AD186" w:rsidR="00F9382E" w:rsidRPr="007B0C66" w:rsidRDefault="00F9382E" w:rsidP="003C70F4">
      <w:pPr>
        <w:rPr>
          <w:iCs/>
        </w:rPr>
      </w:pPr>
      <w:r w:rsidRPr="005C269E">
        <w:t>Success</w:t>
      </w:r>
      <w:r w:rsidRPr="007B0C66">
        <w:t xml:space="preserve">ive organisational commitments since the introduction of the strategy have incorporated consideration of gender gaps, most recently adopting outcome-focused gender gap targets. The </w:t>
      </w:r>
      <w:r w:rsidR="00E76C74">
        <w:t xml:space="preserve">most recent set of </w:t>
      </w:r>
      <w:r w:rsidRPr="007B0C66">
        <w:t xml:space="preserve">targets are multifaceted, covering the breadth of World Bank operations, including gender-based violence, employment, and land rights (see </w:t>
      </w:r>
      <w:r w:rsidRPr="003C70F4">
        <w:rPr>
          <w:b/>
          <w:bCs/>
        </w:rPr>
        <w:t>Annex C</w:t>
      </w:r>
      <w:r w:rsidRPr="007B0C66">
        <w:t xml:space="preserve"> for the full list of targets). The target most relevant to budget support operations is the </w:t>
      </w:r>
      <w:r w:rsidR="00E76C74">
        <w:t xml:space="preserve">commitment of the International Development Association (IDA) </w:t>
      </w:r>
      <w:r w:rsidRPr="007B0C66">
        <w:t xml:space="preserve">to support at least 10 developing countries to make their fiscal policy and budget system more inclusive and gender responsive. </w:t>
      </w:r>
    </w:p>
    <w:p w14:paraId="01C63B1B" w14:textId="7F6AFFE0" w:rsidR="00F9382E" w:rsidRDefault="00F9382E" w:rsidP="003C70F4">
      <w:r w:rsidRPr="006333A2">
        <w:t xml:space="preserve">In 2017, following publication of the gender strategy, the </w:t>
      </w:r>
      <w:r w:rsidR="003C70F4">
        <w:rPr>
          <w:iCs/>
        </w:rPr>
        <w:t>World Bank</w:t>
      </w:r>
      <w:r w:rsidRPr="006333A2">
        <w:t xml:space="preserve"> introduced a ‘gender-tagging’ system to monitor progress, strengthen links between gender equality objectives and operations, and identify operations that meaningfully narrow gender gaps. The tagging process is applied at the design stage, identifying projects with a clear results chain. The process prompts staff to assess the extent to which a project identifies gender gaps, addresses </w:t>
      </w:r>
      <w:r w:rsidR="00747977">
        <w:t xml:space="preserve">these </w:t>
      </w:r>
      <w:r w:rsidRPr="006333A2">
        <w:t>gaps through specific actions, and links actions to specific indicators in the results framework. The results of the tagging system are included in corporate reporting</w:t>
      </w:r>
      <w:r>
        <w:t>.</w:t>
      </w:r>
      <w:r>
        <w:rPr>
          <w:rStyle w:val="FootnoteReference"/>
        </w:rPr>
        <w:footnoteReference w:id="10"/>
      </w:r>
    </w:p>
    <w:p w14:paraId="2CD61C61" w14:textId="79F4FAF5" w:rsidR="00F9382E" w:rsidRPr="006333A2" w:rsidRDefault="00F9382E" w:rsidP="003C70F4">
      <w:r w:rsidRPr="006333A2">
        <w:t>The World Bank’s investment arm (the International Financial Corporation</w:t>
      </w:r>
      <w:r w:rsidR="007D1500">
        <w:t xml:space="preserve"> (IFC)</w:t>
      </w:r>
      <w:r w:rsidRPr="006333A2">
        <w:t>) also rolled out gender flags for its advisory and investment services.</w:t>
      </w:r>
    </w:p>
    <w:p w14:paraId="2D0B771B" w14:textId="77777777" w:rsidR="00F9382E" w:rsidRPr="006333A2" w:rsidRDefault="00F9382E" w:rsidP="003C70F4">
      <w:r w:rsidRPr="006333A2">
        <w:t>Because the gender tag serves an internal management function, the results of gender tagging exercises are not uniformly reported in publicly available documents.</w:t>
      </w:r>
    </w:p>
    <w:p w14:paraId="2BE50454" w14:textId="5F136D8C" w:rsidR="00F9382E" w:rsidRDefault="00F9382E" w:rsidP="003C70F4">
      <w:pPr>
        <w:pStyle w:val="Heading3"/>
      </w:pPr>
      <w:bookmarkStart w:id="46" w:name="_Toc108168323"/>
      <w:bookmarkStart w:id="47" w:name="_Toc120201419"/>
      <w:bookmarkStart w:id="48" w:name="_Toc120544526"/>
      <w:r>
        <w:t>Asian Development Bank</w:t>
      </w:r>
      <w:bookmarkEnd w:id="46"/>
      <w:bookmarkEnd w:id="47"/>
      <w:bookmarkEnd w:id="48"/>
    </w:p>
    <w:p w14:paraId="0BE3C2DD" w14:textId="64ADC2FD" w:rsidR="00F9382E" w:rsidRDefault="00F9382E" w:rsidP="00F9382E">
      <w:r>
        <w:t xml:space="preserve">The ADB’s current framework for pursuing gender equality is laid out in its operational plan for accelerating progress in gender equality (ADB 2019), one of the seven operational priorities under its long-term corporate strategy (ADB 2018). </w:t>
      </w:r>
      <w:r w:rsidRPr="003C70F4">
        <w:rPr>
          <w:b/>
          <w:bCs/>
        </w:rPr>
        <w:t>Annex C</w:t>
      </w:r>
      <w:r>
        <w:t xml:space="preserve"> summarises the overall approach presented in the plan. This plan is the latest in a series of expressions of intention regarding gender equality that began with a 1985 policy on the role of women in development (ADB 1988).</w:t>
      </w:r>
    </w:p>
    <w:p w14:paraId="3BB7628A" w14:textId="2F224B9B" w:rsidR="00F9382E" w:rsidRDefault="00F9382E" w:rsidP="00F9382E">
      <w:r>
        <w:t>As part of the plan, the ADB has committed to support gender equality through gender-inclusive project designs in at least 75</w:t>
      </w:r>
      <w:r w:rsidR="001F27CC">
        <w:t xml:space="preserve"> per cent</w:t>
      </w:r>
      <w:r>
        <w:t xml:space="preserve"> of its sovereign and non-sovereign operations by 2030.</w:t>
      </w:r>
    </w:p>
    <w:p w14:paraId="054C2233" w14:textId="02959AE6" w:rsidR="00F9382E" w:rsidRDefault="00F9382E" w:rsidP="00F9382E">
      <w:r>
        <w:lastRenderedPageBreak/>
        <w:t xml:space="preserve">The ADB employs a </w:t>
      </w:r>
      <w:r w:rsidR="00277210">
        <w:t>four-tier</w:t>
      </w:r>
      <w:r>
        <w:t xml:space="preserve"> gender category system to measure, count</w:t>
      </w:r>
      <w:r w:rsidR="00277210">
        <w:t>,</w:t>
      </w:r>
      <w:r>
        <w:t xml:space="preserve"> and report on the extent to which gender equality issues are integrated into a project’s design:</w:t>
      </w:r>
    </w:p>
    <w:p w14:paraId="54C8BEBD" w14:textId="60782A3C" w:rsidR="00F9382E" w:rsidRPr="003C70F4" w:rsidRDefault="00F9382E" w:rsidP="00853654">
      <w:pPr>
        <w:pStyle w:val="ListParagraph"/>
        <w:numPr>
          <w:ilvl w:val="0"/>
          <w:numId w:val="18"/>
        </w:numPr>
        <w:spacing w:before="0" w:after="120" w:line="240" w:lineRule="auto"/>
        <w:ind w:left="714" w:hanging="357"/>
        <w:rPr>
          <w:color w:val="495965" w:themeColor="text2"/>
        </w:rPr>
      </w:pPr>
      <w:r w:rsidRPr="003C70F4">
        <w:rPr>
          <w:b/>
          <w:bCs/>
          <w:color w:val="495965" w:themeColor="text2"/>
        </w:rPr>
        <w:t>Category 1 – gender equity theme:</w:t>
      </w:r>
      <w:r w:rsidRPr="003C70F4">
        <w:rPr>
          <w:color w:val="495965" w:themeColor="text2"/>
        </w:rPr>
        <w:t xml:space="preserve"> projects must have a gender analysis, at least one gender performance indicator at the </w:t>
      </w:r>
      <w:r w:rsidRPr="003C70F4">
        <w:rPr>
          <w:i/>
          <w:iCs/>
          <w:color w:val="495965" w:themeColor="text2"/>
        </w:rPr>
        <w:t>outcome</w:t>
      </w:r>
      <w:r w:rsidRPr="003C70F4">
        <w:rPr>
          <w:color w:val="495965" w:themeColor="text2"/>
        </w:rPr>
        <w:t xml:space="preserve"> and </w:t>
      </w:r>
      <w:r w:rsidRPr="003C70F4">
        <w:rPr>
          <w:i/>
          <w:iCs/>
          <w:color w:val="495965" w:themeColor="text2"/>
        </w:rPr>
        <w:t>output</w:t>
      </w:r>
      <w:r w:rsidRPr="003C70F4">
        <w:rPr>
          <w:color w:val="495965" w:themeColor="text2"/>
        </w:rPr>
        <w:t xml:space="preserve"> levels and a gender action plan, with a dedicated covenant in the loan or grant agreement to support plan implementation for sovereign operations.</w:t>
      </w:r>
    </w:p>
    <w:p w14:paraId="344A4C0D" w14:textId="25CAF3C7" w:rsidR="00F9382E" w:rsidRPr="003C70F4" w:rsidRDefault="00F9382E" w:rsidP="00853654">
      <w:pPr>
        <w:pStyle w:val="ListParagraph"/>
        <w:numPr>
          <w:ilvl w:val="0"/>
          <w:numId w:val="18"/>
        </w:numPr>
        <w:spacing w:before="0" w:after="120" w:line="240" w:lineRule="auto"/>
        <w:ind w:left="714" w:hanging="357"/>
        <w:rPr>
          <w:color w:val="495965" w:themeColor="text2"/>
        </w:rPr>
      </w:pPr>
      <w:r w:rsidRPr="003C70F4">
        <w:rPr>
          <w:b/>
          <w:bCs/>
          <w:color w:val="495965" w:themeColor="text2"/>
        </w:rPr>
        <w:t>Category 2 – effective gender mainstreaming</w:t>
      </w:r>
      <w:r w:rsidRPr="003C70F4">
        <w:rPr>
          <w:color w:val="495965" w:themeColor="text2"/>
        </w:rPr>
        <w:t xml:space="preserve">: projects must have a gender analysis, at least one gender performance indicator at the </w:t>
      </w:r>
      <w:r w:rsidRPr="003C70F4">
        <w:rPr>
          <w:i/>
          <w:iCs/>
          <w:color w:val="495965" w:themeColor="text2"/>
        </w:rPr>
        <w:t>output</w:t>
      </w:r>
      <w:r w:rsidRPr="003C70F4">
        <w:rPr>
          <w:color w:val="495965" w:themeColor="text2"/>
        </w:rPr>
        <w:t xml:space="preserve"> level in the majority (50</w:t>
      </w:r>
      <w:r w:rsidR="001F27CC">
        <w:rPr>
          <w:color w:val="495965" w:themeColor="text2"/>
        </w:rPr>
        <w:t xml:space="preserve"> per cent</w:t>
      </w:r>
      <w:r w:rsidRPr="003C70F4">
        <w:rPr>
          <w:color w:val="495965" w:themeColor="text2"/>
        </w:rPr>
        <w:t xml:space="preserve"> or more) of project outputs and a gender action plan, with a dedicated covenant in the loan or grant agreement to support plan implementation for sovereign operations.</w:t>
      </w:r>
    </w:p>
    <w:p w14:paraId="21545E13" w14:textId="00867846" w:rsidR="00F9382E" w:rsidRPr="003C70F4" w:rsidRDefault="00F9382E" w:rsidP="00853654">
      <w:pPr>
        <w:pStyle w:val="ListParagraph"/>
        <w:numPr>
          <w:ilvl w:val="0"/>
          <w:numId w:val="18"/>
        </w:numPr>
        <w:spacing w:before="0" w:after="120" w:line="240" w:lineRule="auto"/>
        <w:ind w:left="714" w:hanging="357"/>
        <w:rPr>
          <w:color w:val="495965" w:themeColor="text2"/>
        </w:rPr>
      </w:pPr>
      <w:r w:rsidRPr="003C70F4">
        <w:rPr>
          <w:b/>
          <w:bCs/>
          <w:color w:val="495965" w:themeColor="text2"/>
        </w:rPr>
        <w:t>Category 3 – some gender elements</w:t>
      </w:r>
      <w:r w:rsidRPr="003C70F4">
        <w:rPr>
          <w:color w:val="495965" w:themeColor="text2"/>
        </w:rPr>
        <w:t>: projects must have a gender analysis, one or more gender performance indicators in less than 50 per cent of project outputs.</w:t>
      </w:r>
    </w:p>
    <w:p w14:paraId="3CA9C017" w14:textId="0FA808ED" w:rsidR="00F9382E" w:rsidRPr="003C70F4" w:rsidRDefault="00F9382E" w:rsidP="00853654">
      <w:pPr>
        <w:pStyle w:val="ListParagraph"/>
        <w:numPr>
          <w:ilvl w:val="0"/>
          <w:numId w:val="18"/>
        </w:numPr>
        <w:spacing w:before="0" w:after="120" w:line="240" w:lineRule="auto"/>
        <w:ind w:left="714" w:hanging="357"/>
        <w:rPr>
          <w:color w:val="495965" w:themeColor="text2"/>
        </w:rPr>
      </w:pPr>
      <w:r w:rsidRPr="003C70F4">
        <w:rPr>
          <w:b/>
          <w:bCs/>
          <w:color w:val="495965" w:themeColor="text2"/>
        </w:rPr>
        <w:t>Category 4 – no gender elements</w:t>
      </w:r>
      <w:r w:rsidRPr="003C70F4">
        <w:rPr>
          <w:color w:val="495965" w:themeColor="text2"/>
        </w:rPr>
        <w:t xml:space="preserve">: a project is assigned to this category if it does not include a gender performance indicator. Actions </w:t>
      </w:r>
      <w:r w:rsidR="003C70F4">
        <w:rPr>
          <w:color w:val="495965" w:themeColor="text2"/>
        </w:rPr>
        <w:t xml:space="preserve">aimed at </w:t>
      </w:r>
      <w:r w:rsidRPr="003C70F4">
        <w:rPr>
          <w:color w:val="495965" w:themeColor="text2"/>
        </w:rPr>
        <w:t>mitigat</w:t>
      </w:r>
      <w:r w:rsidR="003C70F4">
        <w:rPr>
          <w:color w:val="495965" w:themeColor="text2"/>
        </w:rPr>
        <w:t>ing</w:t>
      </w:r>
      <w:r w:rsidRPr="003C70F4">
        <w:rPr>
          <w:color w:val="495965" w:themeColor="text2"/>
        </w:rPr>
        <w:t xml:space="preserve"> negative impacts on women and girls as part of environmental and social safeguard measures are not considered to be gender performance indicators.</w:t>
      </w:r>
    </w:p>
    <w:p w14:paraId="0F77EA07" w14:textId="56843C03" w:rsidR="00F9382E" w:rsidRDefault="00F9382E" w:rsidP="00F9382E">
      <w:r>
        <w:t xml:space="preserve">A gender action plan is not required for PBLs assigned to category 3 or </w:t>
      </w:r>
      <w:r w:rsidR="0066118B">
        <w:t>4;</w:t>
      </w:r>
      <w:r>
        <w:t xml:space="preserve"> however, the policy design and monitoring framework should have at least one gender related policy action or measure.</w:t>
      </w:r>
      <w:r w:rsidR="003C70F4">
        <w:t xml:space="preserve"> T</w:t>
      </w:r>
      <w:r>
        <w:t xml:space="preserve">he ADB </w:t>
      </w:r>
      <w:r w:rsidR="003C70F4">
        <w:t xml:space="preserve">publicly </w:t>
      </w:r>
      <w:r>
        <w:t>reports on the result of its category system in program documents.</w:t>
      </w:r>
    </w:p>
    <w:p w14:paraId="0659D49B" w14:textId="74CE14A7" w:rsidR="00F9382E" w:rsidRDefault="00F9382E" w:rsidP="003C70F4">
      <w:pPr>
        <w:pStyle w:val="Heading3"/>
      </w:pPr>
      <w:bookmarkStart w:id="49" w:name="_Toc108168324"/>
      <w:bookmarkStart w:id="50" w:name="_Toc120201420"/>
      <w:bookmarkStart w:id="51" w:name="_Toc120544527"/>
      <w:r>
        <w:t>International Monetary Fund</w:t>
      </w:r>
      <w:bookmarkEnd w:id="49"/>
      <w:bookmarkEnd w:id="50"/>
      <w:bookmarkEnd w:id="51"/>
    </w:p>
    <w:p w14:paraId="3F3DEB6A" w14:textId="29FF1A21" w:rsidR="00F9382E" w:rsidRDefault="00F9382E" w:rsidP="00F9382E">
      <w:r>
        <w:t xml:space="preserve">While the IMF does not provide explicit grant budget support, its programs can provide budget support implicitly, and these operations identify policy actions linked to disbursement of balance of payments support. By its own admission, the IMF is a latecomer to the issue of gender equality but </w:t>
      </w:r>
      <w:r w:rsidR="007D1500">
        <w:t xml:space="preserve">has recently adopted </w:t>
      </w:r>
      <w:r>
        <w:t>a strategy to mainstream gender throughout its program, surveillance</w:t>
      </w:r>
      <w:r w:rsidR="0066118B">
        <w:t>,</w:t>
      </w:r>
      <w:r>
        <w:t xml:space="preserve"> and capacity development activities.</w:t>
      </w:r>
      <w:r>
        <w:rPr>
          <w:rStyle w:val="FootnoteReference"/>
        </w:rPr>
        <w:footnoteReference w:id="11"/>
      </w:r>
      <w:r>
        <w:t xml:space="preserve"> Since 2015, the Fund has piloted then adopted an approach to operationalising gender in its country work and has been providing capacity development support on gender budgeting, including publication of some important working papers on the subject.</w:t>
      </w:r>
      <w:r>
        <w:rPr>
          <w:rStyle w:val="FootnoteReference"/>
        </w:rPr>
        <w:footnoteReference w:id="12"/>
      </w:r>
    </w:p>
    <w:p w14:paraId="457D28AF" w14:textId="0BA4A949" w:rsidR="00F9382E" w:rsidRPr="002E6A3E" w:rsidRDefault="00F9382E" w:rsidP="00F9382E">
      <w:r>
        <w:t>Going forward, the IMF intends to focus on the integration of gender analysis into macroeconomic and financial analysis and policies. The IMF’s analytical work (especially on debt and financial sustainability) plays an integral role in budget support - its debt sustainability assessments directly influence the type of budget support resources (grants or loans) that the World Bank and ADB can provide to Pacific countries</w:t>
      </w:r>
      <w:r w:rsidR="00534B75">
        <w:t xml:space="preserve"> and Timor-Leste</w:t>
      </w:r>
      <w:r>
        <w:t xml:space="preserve">. The IMF’s future contributions on gender equality should help to bolster </w:t>
      </w:r>
      <w:r w:rsidR="00534B75">
        <w:t xml:space="preserve">the </w:t>
      </w:r>
      <w:r>
        <w:t>dialogue on gender in Pacific policies.</w:t>
      </w:r>
    </w:p>
    <w:p w14:paraId="6D8E9FFB" w14:textId="77777777" w:rsidR="00F9382E" w:rsidRDefault="00F9382E" w:rsidP="00F9382E">
      <w:pPr>
        <w:pStyle w:val="Heading4"/>
      </w:pPr>
      <w:r>
        <w:t>Current directions for budget support operations</w:t>
      </w:r>
    </w:p>
    <w:p w14:paraId="139C5B4B" w14:textId="40B93EC5" w:rsidR="00F9382E" w:rsidRDefault="003C70F4" w:rsidP="00F9382E">
      <w:r>
        <w:t>As b</w:t>
      </w:r>
      <w:r w:rsidR="00F9382E">
        <w:t xml:space="preserve">udget support operations are included in the qualitative and quantitative gender objectives and targets set by the </w:t>
      </w:r>
      <w:r>
        <w:t>World Bank and ADB,</w:t>
      </w:r>
      <w:r w:rsidR="00F9382E">
        <w:t xml:space="preserve"> we expect to see an increasing proportion of operations with gender actions. In this regard, the World Bank has recently adopted a specific policy objective for budget support operations: </w:t>
      </w:r>
      <w:r>
        <w:t xml:space="preserve">all </w:t>
      </w:r>
      <w:r w:rsidR="00F9382E">
        <w:t>operations funded under the 20</w:t>
      </w:r>
      <w:r w:rsidR="00F9382E" w:rsidRPr="00DA420C">
        <w:rPr>
          <w:vertAlign w:val="superscript"/>
        </w:rPr>
        <w:t>th</w:t>
      </w:r>
      <w:r w:rsidR="00F9382E">
        <w:t xml:space="preserve"> IDA replenishment should average at least one gender action.</w:t>
      </w:r>
      <w:r w:rsidR="00F9382E">
        <w:rPr>
          <w:rStyle w:val="FootnoteReference"/>
        </w:rPr>
        <w:footnoteReference w:id="13"/>
      </w:r>
      <w:r w:rsidR="00F9382E">
        <w:t xml:space="preserve"> </w:t>
      </w:r>
    </w:p>
    <w:p w14:paraId="70671081" w14:textId="52D78B31" w:rsidR="00F9382E" w:rsidRDefault="00F9382E" w:rsidP="00F9382E">
      <w:r>
        <w:t xml:space="preserve">Both </w:t>
      </w:r>
      <w:r w:rsidR="003C70F4">
        <w:t>the World Bank and ADB</w:t>
      </w:r>
      <w:r>
        <w:t xml:space="preserve"> are operating under directives to minimise the use of ‘process’ actions in policy action matrices and focus rather on ‘harder’ actions, such as formal decisions, laws and regulations. As discussed later, this may hamper the use of budget support operations to progress the complex, multidimensional changes involved in the pursuit of gender equality.</w:t>
      </w:r>
    </w:p>
    <w:p w14:paraId="3CF110E9" w14:textId="2E6AFD8F" w:rsidR="00F9382E" w:rsidRPr="002A32C0" w:rsidRDefault="00F9382E" w:rsidP="00C1392D">
      <w:pPr>
        <w:pStyle w:val="Heading3"/>
      </w:pPr>
      <w:bookmarkStart w:id="52" w:name="_Toc108168325"/>
      <w:bookmarkStart w:id="53" w:name="_Toc120201421"/>
      <w:bookmarkStart w:id="54" w:name="_Toc120544528"/>
      <w:r>
        <w:lastRenderedPageBreak/>
        <w:t xml:space="preserve">Gender in Pacific </w:t>
      </w:r>
      <w:r w:rsidR="00B9101D">
        <w:t xml:space="preserve">and Timorese </w:t>
      </w:r>
      <w:r>
        <w:t>budget support operations</w:t>
      </w:r>
      <w:bookmarkEnd w:id="52"/>
      <w:bookmarkEnd w:id="53"/>
      <w:bookmarkEnd w:id="54"/>
    </w:p>
    <w:p w14:paraId="072291CA" w14:textId="6658F94F" w:rsidR="00F9382E" w:rsidRDefault="00F9382E" w:rsidP="003C70F4">
      <w:pPr>
        <w:spacing w:after="120"/>
      </w:pPr>
      <w:r>
        <w:t>Since around 2015, the World Bank and ADB have begun to take gender considerations into account in the design of budget support operations in the Pacific</w:t>
      </w:r>
      <w:r w:rsidR="007A0673">
        <w:t xml:space="preserve"> and Timor-Leste.</w:t>
      </w:r>
    </w:p>
    <w:p w14:paraId="543FAF60" w14:textId="779F1C4D" w:rsidR="00F9382E" w:rsidRDefault="00F9382E" w:rsidP="003C70F4">
      <w:r w:rsidRPr="003C70F4">
        <w:rPr>
          <w:b/>
          <w:bCs/>
        </w:rPr>
        <w:t xml:space="preserve">Annex </w:t>
      </w:r>
      <w:r w:rsidR="003C70F4">
        <w:rPr>
          <w:b/>
          <w:bCs/>
        </w:rPr>
        <w:t>D</w:t>
      </w:r>
      <w:r>
        <w:t xml:space="preserve"> presents an examination of the policy content of </w:t>
      </w:r>
      <w:r w:rsidR="003C70F4">
        <w:t>DPOs and PBLs</w:t>
      </w:r>
      <w:r>
        <w:t xml:space="preserve"> since 2015, identifying</w:t>
      </w:r>
      <w:r w:rsidR="00CD4B2D">
        <w:t xml:space="preserve"> actions</w:t>
      </w:r>
      <w:r>
        <w:t xml:space="preserve"> </w:t>
      </w:r>
      <w:r w:rsidR="00CD4B2D">
        <w:t xml:space="preserve">in </w:t>
      </w:r>
      <w:r>
        <w:t>operations</w:t>
      </w:r>
      <w:r w:rsidR="003550E6">
        <w:t xml:space="preserve"> </w:t>
      </w:r>
      <w:r w:rsidR="00CD4B2D">
        <w:t>with some degree of gender</w:t>
      </w:r>
      <w:r>
        <w:t>.</w:t>
      </w:r>
      <w:r>
        <w:rPr>
          <w:rStyle w:val="FootnoteReference"/>
        </w:rPr>
        <w:footnoteReference w:id="14"/>
      </w:r>
      <w:r>
        <w:t xml:space="preserve"> The examination found that:</w:t>
      </w:r>
    </w:p>
    <w:p w14:paraId="2A37CA2C" w14:textId="77777777" w:rsidR="00F9382E" w:rsidRPr="003C70F4" w:rsidRDefault="00F9382E" w:rsidP="00853654">
      <w:pPr>
        <w:pStyle w:val="ListParagraph"/>
        <w:numPr>
          <w:ilvl w:val="0"/>
          <w:numId w:val="14"/>
        </w:numPr>
        <w:spacing w:after="0" w:line="240" w:lineRule="auto"/>
        <w:ind w:left="714" w:hanging="357"/>
        <w:contextualSpacing w:val="0"/>
        <w:rPr>
          <w:color w:val="495965" w:themeColor="text2"/>
        </w:rPr>
      </w:pPr>
      <w:r w:rsidRPr="003C70F4">
        <w:rPr>
          <w:color w:val="495965" w:themeColor="text2"/>
        </w:rPr>
        <w:t>There had been around 69 budget support operations in PICs and Timor-Leste since 2005</w:t>
      </w:r>
    </w:p>
    <w:p w14:paraId="3953BAB9" w14:textId="77777777" w:rsidR="00F9382E" w:rsidRPr="003C70F4" w:rsidRDefault="00F9382E" w:rsidP="00853654">
      <w:pPr>
        <w:pStyle w:val="ListParagraph"/>
        <w:numPr>
          <w:ilvl w:val="1"/>
          <w:numId w:val="14"/>
        </w:numPr>
        <w:spacing w:after="0" w:line="240" w:lineRule="auto"/>
        <w:contextualSpacing w:val="0"/>
        <w:rPr>
          <w:color w:val="495965" w:themeColor="text2"/>
        </w:rPr>
      </w:pPr>
      <w:r w:rsidRPr="003C70F4">
        <w:rPr>
          <w:color w:val="495965" w:themeColor="text2"/>
        </w:rPr>
        <w:t>36 of these were World Bank DPOs, and 33 were ADB Policy Based Loans.</w:t>
      </w:r>
      <w:r w:rsidRPr="003C70F4">
        <w:rPr>
          <w:rStyle w:val="FootnoteReference"/>
          <w:color w:val="495965" w:themeColor="text2"/>
        </w:rPr>
        <w:footnoteReference w:id="15"/>
      </w:r>
    </w:p>
    <w:p w14:paraId="5C2F22A6" w14:textId="64EE402E" w:rsidR="00F9382E" w:rsidRPr="003C70F4" w:rsidRDefault="00F9382E" w:rsidP="00853654">
      <w:pPr>
        <w:pStyle w:val="ListParagraph"/>
        <w:numPr>
          <w:ilvl w:val="0"/>
          <w:numId w:val="14"/>
        </w:numPr>
        <w:spacing w:after="0" w:line="240" w:lineRule="auto"/>
        <w:contextualSpacing w:val="0"/>
        <w:rPr>
          <w:color w:val="495965" w:themeColor="text2"/>
        </w:rPr>
      </w:pPr>
      <w:r w:rsidRPr="003C70F4">
        <w:rPr>
          <w:color w:val="495965" w:themeColor="text2"/>
        </w:rPr>
        <w:t xml:space="preserve">28 operations (19 </w:t>
      </w:r>
      <w:r w:rsidR="003C70F4" w:rsidRPr="003C70F4">
        <w:rPr>
          <w:color w:val="495965" w:themeColor="text2"/>
        </w:rPr>
        <w:t>World Bank</w:t>
      </w:r>
      <w:r w:rsidRPr="003C70F4">
        <w:rPr>
          <w:color w:val="495965" w:themeColor="text2"/>
        </w:rPr>
        <w:t>, 9 ADB) or 40 per cent had policy actions with gender consequences.</w:t>
      </w:r>
    </w:p>
    <w:p w14:paraId="1751132C" w14:textId="77777777" w:rsidR="00F9382E" w:rsidRPr="003C70F4" w:rsidRDefault="00F9382E" w:rsidP="00853654">
      <w:pPr>
        <w:pStyle w:val="ListParagraph"/>
        <w:numPr>
          <w:ilvl w:val="1"/>
          <w:numId w:val="14"/>
        </w:numPr>
        <w:spacing w:after="0" w:line="240" w:lineRule="auto"/>
        <w:contextualSpacing w:val="0"/>
        <w:rPr>
          <w:color w:val="495965" w:themeColor="text2"/>
        </w:rPr>
      </w:pPr>
      <w:r w:rsidRPr="003C70F4">
        <w:rPr>
          <w:color w:val="495965" w:themeColor="text2"/>
        </w:rPr>
        <w:t>Of these, 16 had actions that explicitly targeted women or girls, and 12 had actions that implicitly affected gender equality (actions where women or girls were expected to be significant beneficiaries).</w:t>
      </w:r>
    </w:p>
    <w:p w14:paraId="1C5942CC" w14:textId="1798A20D" w:rsidR="00F9382E" w:rsidRPr="003C70F4" w:rsidRDefault="00F9382E" w:rsidP="00853654">
      <w:pPr>
        <w:pStyle w:val="ListParagraph"/>
        <w:numPr>
          <w:ilvl w:val="1"/>
          <w:numId w:val="14"/>
        </w:numPr>
        <w:spacing w:after="0" w:line="240" w:lineRule="auto"/>
        <w:contextualSpacing w:val="0"/>
        <w:rPr>
          <w:color w:val="495965" w:themeColor="text2"/>
        </w:rPr>
      </w:pPr>
      <w:r w:rsidRPr="003C70F4">
        <w:rPr>
          <w:color w:val="495965" w:themeColor="text2"/>
        </w:rPr>
        <w:t>Fiji, Kiribati, PNG, Samoa, Solomon Islands, Tonga, Tuvalu</w:t>
      </w:r>
      <w:r w:rsidR="006D78F1">
        <w:rPr>
          <w:color w:val="495965" w:themeColor="text2"/>
        </w:rPr>
        <w:t>,</w:t>
      </w:r>
      <w:r w:rsidRPr="003C70F4">
        <w:rPr>
          <w:color w:val="495965" w:themeColor="text2"/>
        </w:rPr>
        <w:t xml:space="preserve"> and Vanuatu had operations with gender actions.</w:t>
      </w:r>
    </w:p>
    <w:p w14:paraId="27644E59" w14:textId="5DB2B9D6" w:rsidR="00F9382E" w:rsidRPr="003C70F4" w:rsidRDefault="00F9382E" w:rsidP="00853654">
      <w:pPr>
        <w:pStyle w:val="ListParagraph"/>
        <w:numPr>
          <w:ilvl w:val="0"/>
          <w:numId w:val="14"/>
        </w:numPr>
        <w:spacing w:after="0" w:line="240" w:lineRule="auto"/>
        <w:contextualSpacing w:val="0"/>
        <w:rPr>
          <w:color w:val="495965" w:themeColor="text2"/>
        </w:rPr>
      </w:pPr>
      <w:r w:rsidRPr="003C70F4">
        <w:rPr>
          <w:color w:val="495965" w:themeColor="text2"/>
        </w:rPr>
        <w:t xml:space="preserve">The gender actions were in a range of policy domains (summarised in </w:t>
      </w:r>
      <w:r w:rsidRPr="003C70F4">
        <w:rPr>
          <w:b/>
          <w:bCs/>
          <w:color w:val="495965" w:themeColor="text2"/>
        </w:rPr>
        <w:t>Table 1</w:t>
      </w:r>
      <w:r w:rsidRPr="003C70F4">
        <w:rPr>
          <w:color w:val="495965" w:themeColor="text2"/>
        </w:rPr>
        <w:t xml:space="preserve">): tax, finance, building regulations, public financial management (including gender responsive budgeting), water, education, labour, disability, COVID relief, disaster risk management, procurement, competition and consumer protection, anti-corruption, </w:t>
      </w:r>
      <w:r w:rsidR="007D1500">
        <w:rPr>
          <w:color w:val="495965" w:themeColor="text2"/>
        </w:rPr>
        <w:t>s</w:t>
      </w:r>
      <w:r w:rsidRPr="003C70F4">
        <w:rPr>
          <w:color w:val="495965" w:themeColor="text2"/>
        </w:rPr>
        <w:t xml:space="preserve">tate </w:t>
      </w:r>
      <w:r w:rsidR="007D1500">
        <w:rPr>
          <w:color w:val="495965" w:themeColor="text2"/>
        </w:rPr>
        <w:t>o</w:t>
      </w:r>
      <w:r w:rsidRPr="003C70F4">
        <w:rPr>
          <w:color w:val="495965" w:themeColor="text2"/>
        </w:rPr>
        <w:t xml:space="preserve">wned </w:t>
      </w:r>
      <w:r w:rsidR="007D1500">
        <w:rPr>
          <w:color w:val="495965" w:themeColor="text2"/>
        </w:rPr>
        <w:t>e</w:t>
      </w:r>
      <w:r w:rsidRPr="003C70F4">
        <w:rPr>
          <w:color w:val="495965" w:themeColor="text2"/>
        </w:rPr>
        <w:t xml:space="preserve">nterprises </w:t>
      </w:r>
      <w:r w:rsidR="00C21C2C">
        <w:rPr>
          <w:color w:val="495965" w:themeColor="text2"/>
        </w:rPr>
        <w:t xml:space="preserve">(SOEs) </w:t>
      </w:r>
      <w:r w:rsidRPr="003C70F4">
        <w:rPr>
          <w:color w:val="495965" w:themeColor="text2"/>
        </w:rPr>
        <w:t>and health</w:t>
      </w:r>
    </w:p>
    <w:p w14:paraId="4E1E75B0" w14:textId="6619B0BD" w:rsidR="00F9382E" w:rsidRPr="003C70F4" w:rsidRDefault="00F9382E" w:rsidP="00853654">
      <w:pPr>
        <w:pStyle w:val="ListParagraph"/>
        <w:numPr>
          <w:ilvl w:val="1"/>
          <w:numId w:val="14"/>
        </w:numPr>
        <w:spacing w:after="0" w:line="240" w:lineRule="auto"/>
        <w:contextualSpacing w:val="0"/>
        <w:rPr>
          <w:color w:val="495965" w:themeColor="text2"/>
        </w:rPr>
      </w:pPr>
      <w:r w:rsidRPr="003C70F4">
        <w:rPr>
          <w:color w:val="495965" w:themeColor="text2"/>
        </w:rPr>
        <w:t>In some cases, policy actions reflected continued engagement in a programmatic approach over two or more years</w:t>
      </w:r>
      <w:r w:rsidR="007D1500">
        <w:rPr>
          <w:color w:val="495965" w:themeColor="text2"/>
        </w:rPr>
        <w:t>.</w:t>
      </w:r>
    </w:p>
    <w:p w14:paraId="0195B41D" w14:textId="43DAD882" w:rsidR="00F9382E" w:rsidRPr="003C70F4" w:rsidRDefault="00F9382E" w:rsidP="00853654">
      <w:pPr>
        <w:pStyle w:val="ListParagraph"/>
        <w:numPr>
          <w:ilvl w:val="1"/>
          <w:numId w:val="14"/>
        </w:numPr>
        <w:spacing w:after="0" w:line="240" w:lineRule="auto"/>
        <w:contextualSpacing w:val="0"/>
        <w:rPr>
          <w:color w:val="495965" w:themeColor="text2"/>
        </w:rPr>
      </w:pPr>
      <w:r w:rsidRPr="003C70F4">
        <w:rPr>
          <w:color w:val="495965" w:themeColor="text2"/>
        </w:rPr>
        <w:t xml:space="preserve">In some cases, similar or related actions were supported by </w:t>
      </w:r>
      <w:r w:rsidR="003C70F4" w:rsidRPr="003C70F4">
        <w:rPr>
          <w:color w:val="495965" w:themeColor="text2"/>
        </w:rPr>
        <w:t>World Bank</w:t>
      </w:r>
      <w:r w:rsidRPr="003C70F4">
        <w:rPr>
          <w:color w:val="495965" w:themeColor="text2"/>
        </w:rPr>
        <w:t xml:space="preserve"> and ADB operations.</w:t>
      </w:r>
    </w:p>
    <w:p w14:paraId="672B6179" w14:textId="77777777" w:rsidR="00F9382E" w:rsidRPr="003C70F4" w:rsidRDefault="00F9382E" w:rsidP="00853654">
      <w:pPr>
        <w:pStyle w:val="ListParagraph"/>
        <w:numPr>
          <w:ilvl w:val="0"/>
          <w:numId w:val="14"/>
        </w:numPr>
        <w:spacing w:after="0" w:line="240" w:lineRule="auto"/>
        <w:contextualSpacing w:val="0"/>
        <w:rPr>
          <w:color w:val="495965" w:themeColor="text2"/>
        </w:rPr>
      </w:pPr>
      <w:r w:rsidRPr="003C70F4">
        <w:rPr>
          <w:color w:val="495965" w:themeColor="text2"/>
        </w:rPr>
        <w:t>Some of these operations acknowledged DFAT co-financing.</w:t>
      </w:r>
    </w:p>
    <w:p w14:paraId="46FEF6D4" w14:textId="348DA571" w:rsidR="00F9382E" w:rsidRPr="000635F4" w:rsidRDefault="00F9382E" w:rsidP="003C70F4">
      <w:pPr>
        <w:spacing w:after="120"/>
      </w:pPr>
      <w:r>
        <w:t>It is difficult to identify what analytical and advisory services may have been drawn upon in the development of gender actions in policy matrices. The ADB has been involved in carrying out country gender assessments (Tonga 1998, Fiji 2006, PNG 2012, Timor-Leste 2014</w:t>
      </w:r>
      <w:r w:rsidR="001412F3">
        <w:t>,</w:t>
      </w:r>
      <w:r>
        <w:t xml:space="preserve"> and Solomon Islands 2015). While these may have assisted in identifying priorities for action, it is more likely that longer term engagements by other development partners, particularly those focused on gender mainstreaming have provided the basis for these actions (an ‘opportunistic’ more than a ‘strategic’ approach).</w:t>
      </w:r>
    </w:p>
    <w:p w14:paraId="3E4FEBEC" w14:textId="514DDB06" w:rsidR="00F9382E" w:rsidRPr="007A4B1E" w:rsidRDefault="00F9382E" w:rsidP="003C70F4">
      <w:pPr>
        <w:pStyle w:val="Heading4"/>
        <w:spacing w:after="120"/>
      </w:pPr>
      <w:r w:rsidRPr="003C70F4">
        <w:rPr>
          <w:b/>
          <w:bCs w:val="0"/>
        </w:rPr>
        <w:t>Table 1</w:t>
      </w:r>
      <w:r>
        <w:t xml:space="preserve"> Gender actions in recent World Bank and ADB budget support operations in the Pacific</w:t>
      </w:r>
    </w:p>
    <w:tbl>
      <w:tblPr>
        <w:tblStyle w:val="DFATTable1"/>
        <w:tblW w:w="5000" w:type="pct"/>
        <w:tblLook w:val="04A0" w:firstRow="1" w:lastRow="0" w:firstColumn="1" w:lastColumn="0" w:noHBand="0" w:noVBand="1"/>
      </w:tblPr>
      <w:tblGrid>
        <w:gridCol w:w="1103"/>
        <w:gridCol w:w="1197"/>
        <w:gridCol w:w="1699"/>
        <w:gridCol w:w="5973"/>
      </w:tblGrid>
      <w:tr w:rsidR="00F9382E" w:rsidRPr="002511DC" w14:paraId="4ECD865A" w14:textId="77777777" w:rsidTr="007A6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3" w:type="pct"/>
            <w:tcBorders>
              <w:bottom w:val="single" w:sz="4" w:space="0" w:color="495965" w:themeColor="text2"/>
            </w:tcBorders>
          </w:tcPr>
          <w:p w14:paraId="1B1A97ED" w14:textId="30954196" w:rsidR="00F9382E" w:rsidRPr="00C1392D" w:rsidRDefault="00C1392D" w:rsidP="003C70F4">
            <w:pPr>
              <w:spacing w:before="0"/>
              <w:rPr>
                <w:b/>
                <w:bCs/>
                <w:color w:val="FFFFFF" w:themeColor="background1"/>
                <w:sz w:val="20"/>
                <w:szCs w:val="20"/>
              </w:rPr>
            </w:pPr>
            <w:r w:rsidRPr="00C1392D">
              <w:rPr>
                <w:b/>
                <w:bCs/>
                <w:color w:val="FFFFFF" w:themeColor="background1"/>
                <w:sz w:val="20"/>
                <w:szCs w:val="20"/>
              </w:rPr>
              <w:t>COUNTRY</w:t>
            </w:r>
          </w:p>
        </w:tc>
        <w:tc>
          <w:tcPr>
            <w:tcW w:w="600" w:type="pct"/>
          </w:tcPr>
          <w:p w14:paraId="664314BF" w14:textId="0AD91873" w:rsidR="00F9382E" w:rsidRPr="00C1392D" w:rsidRDefault="00C1392D" w:rsidP="003C70F4">
            <w:pPr>
              <w:spacing w:before="0"/>
              <w:cnfStyle w:val="100000000000" w:firstRow="1" w:lastRow="0" w:firstColumn="0" w:lastColumn="0" w:oddVBand="0" w:evenVBand="0" w:oddHBand="0" w:evenHBand="0" w:firstRowFirstColumn="0" w:firstRowLastColumn="0" w:lastRowFirstColumn="0" w:lastRowLastColumn="0"/>
              <w:rPr>
                <w:b/>
                <w:bCs/>
                <w:color w:val="FFFFFF" w:themeColor="background1"/>
                <w:sz w:val="20"/>
                <w:szCs w:val="20"/>
              </w:rPr>
            </w:pPr>
            <w:r w:rsidRPr="00C1392D">
              <w:rPr>
                <w:b/>
                <w:bCs/>
                <w:color w:val="FFFFFF" w:themeColor="background1"/>
                <w:sz w:val="20"/>
                <w:szCs w:val="20"/>
              </w:rPr>
              <w:t>BANK</w:t>
            </w:r>
          </w:p>
        </w:tc>
        <w:tc>
          <w:tcPr>
            <w:tcW w:w="852" w:type="pct"/>
          </w:tcPr>
          <w:p w14:paraId="367FBF53" w14:textId="1BF7DF21" w:rsidR="00F9382E" w:rsidRPr="00C1392D" w:rsidRDefault="00C1392D" w:rsidP="003C70F4">
            <w:pPr>
              <w:spacing w:before="0"/>
              <w:cnfStyle w:val="100000000000" w:firstRow="1" w:lastRow="0" w:firstColumn="0" w:lastColumn="0" w:oddVBand="0" w:evenVBand="0" w:oddHBand="0" w:evenHBand="0" w:firstRowFirstColumn="0" w:firstRowLastColumn="0" w:lastRowFirstColumn="0" w:lastRowLastColumn="0"/>
              <w:rPr>
                <w:b/>
                <w:bCs/>
                <w:color w:val="FFFFFF" w:themeColor="background1"/>
                <w:sz w:val="20"/>
                <w:szCs w:val="20"/>
              </w:rPr>
            </w:pPr>
            <w:r w:rsidRPr="00C1392D">
              <w:rPr>
                <w:b/>
                <w:bCs/>
                <w:color w:val="FFFFFF" w:themeColor="background1"/>
                <w:sz w:val="20"/>
                <w:szCs w:val="20"/>
              </w:rPr>
              <w:t>YEARS</w:t>
            </w:r>
          </w:p>
        </w:tc>
        <w:tc>
          <w:tcPr>
            <w:tcW w:w="2995" w:type="pct"/>
          </w:tcPr>
          <w:p w14:paraId="5DDBA81F" w14:textId="67BF1273" w:rsidR="00F9382E" w:rsidRPr="00C1392D" w:rsidRDefault="00C1392D" w:rsidP="003C70F4">
            <w:pPr>
              <w:spacing w:before="0"/>
              <w:cnfStyle w:val="100000000000" w:firstRow="1" w:lastRow="0" w:firstColumn="0" w:lastColumn="0" w:oddVBand="0" w:evenVBand="0" w:oddHBand="0" w:evenHBand="0" w:firstRowFirstColumn="0" w:firstRowLastColumn="0" w:lastRowFirstColumn="0" w:lastRowLastColumn="0"/>
              <w:rPr>
                <w:b/>
                <w:bCs/>
                <w:color w:val="FFFFFF" w:themeColor="background1"/>
                <w:sz w:val="20"/>
                <w:szCs w:val="20"/>
              </w:rPr>
            </w:pPr>
            <w:r w:rsidRPr="00C1392D">
              <w:rPr>
                <w:b/>
                <w:bCs/>
                <w:color w:val="FFFFFF" w:themeColor="background1"/>
                <w:sz w:val="20"/>
                <w:szCs w:val="20"/>
              </w:rPr>
              <w:t>THEMATIC AREA AND ACTION TYPE</w:t>
            </w:r>
          </w:p>
        </w:tc>
      </w:tr>
      <w:tr w:rsidR="00C1392D" w:rsidRPr="002511DC" w14:paraId="5A8C42C0" w14:textId="77777777" w:rsidTr="007A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Borders>
              <w:bottom w:val="nil"/>
            </w:tcBorders>
          </w:tcPr>
          <w:p w14:paraId="3DA80369" w14:textId="77777777" w:rsidR="00C1392D" w:rsidRPr="00795DDB" w:rsidRDefault="00C1392D" w:rsidP="003C70F4">
            <w:pPr>
              <w:spacing w:before="0"/>
              <w:rPr>
                <w:b/>
                <w:bCs/>
                <w:color w:val="000000" w:themeColor="text1"/>
                <w:sz w:val="20"/>
                <w:szCs w:val="20"/>
              </w:rPr>
            </w:pPr>
            <w:r w:rsidRPr="00795DDB">
              <w:rPr>
                <w:b/>
                <w:bCs/>
                <w:color w:val="000000" w:themeColor="text1"/>
                <w:sz w:val="20"/>
                <w:szCs w:val="20"/>
              </w:rPr>
              <w:t>Fiji</w:t>
            </w:r>
          </w:p>
        </w:tc>
        <w:tc>
          <w:tcPr>
            <w:tcW w:w="600" w:type="pct"/>
          </w:tcPr>
          <w:p w14:paraId="7197AF61" w14:textId="40CC4CF6"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World Bank</w:t>
            </w:r>
          </w:p>
        </w:tc>
        <w:tc>
          <w:tcPr>
            <w:tcW w:w="852" w:type="pct"/>
          </w:tcPr>
          <w:p w14:paraId="63300D14" w14:textId="77777777"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sidRPr="002511DC">
              <w:rPr>
                <w:sz w:val="20"/>
                <w:szCs w:val="20"/>
              </w:rPr>
              <w:t>2018,2020, 2021</w:t>
            </w:r>
          </w:p>
        </w:tc>
        <w:tc>
          <w:tcPr>
            <w:tcW w:w="2995" w:type="pct"/>
          </w:tcPr>
          <w:p w14:paraId="4572A762" w14:textId="77777777"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Tax reform (I), Financial sector regulation - personal property securities legislation (I), GRB (E)</w:t>
            </w:r>
          </w:p>
        </w:tc>
      </w:tr>
      <w:tr w:rsidR="00C1392D" w:rsidRPr="002511DC" w14:paraId="01C568C1" w14:textId="77777777" w:rsidTr="007A6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Borders>
              <w:top w:val="nil"/>
              <w:bottom w:val="single" w:sz="4" w:space="0" w:color="495965" w:themeColor="text2"/>
            </w:tcBorders>
          </w:tcPr>
          <w:p w14:paraId="51E9AC05" w14:textId="15968391" w:rsidR="00C1392D" w:rsidRPr="00795DDB" w:rsidRDefault="00121741" w:rsidP="003C70F4">
            <w:pPr>
              <w:spacing w:before="0"/>
              <w:rPr>
                <w:b/>
                <w:bCs/>
                <w:color w:val="000000" w:themeColor="text1"/>
                <w:sz w:val="20"/>
                <w:szCs w:val="20"/>
              </w:rPr>
            </w:pPr>
            <w:r w:rsidRPr="00795DDB">
              <w:rPr>
                <w:b/>
                <w:bCs/>
                <w:color w:val="000000" w:themeColor="text1"/>
                <w:sz w:val="20"/>
                <w:szCs w:val="20"/>
              </w:rPr>
              <w:t>Fiji</w:t>
            </w:r>
          </w:p>
        </w:tc>
        <w:tc>
          <w:tcPr>
            <w:tcW w:w="600" w:type="pct"/>
          </w:tcPr>
          <w:p w14:paraId="0C7927B7"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ADB</w:t>
            </w:r>
          </w:p>
        </w:tc>
        <w:tc>
          <w:tcPr>
            <w:tcW w:w="852" w:type="pct"/>
          </w:tcPr>
          <w:p w14:paraId="1EF5608A"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2018, 2019, 2020, 2021</w:t>
            </w:r>
          </w:p>
        </w:tc>
        <w:tc>
          <w:tcPr>
            <w:tcW w:w="2995" w:type="pct"/>
          </w:tcPr>
          <w:p w14:paraId="4685456E"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Financial sector regulation - personal property securities legislation (I), Labour law (maternity and family care leave) (E), GRB (E), SOE governance reform (E), COVID Response Package (E), Competition and consumer law (E), Women’s economic empowerment (E)</w:t>
            </w:r>
          </w:p>
        </w:tc>
      </w:tr>
      <w:tr w:rsidR="00C1392D" w:rsidRPr="002511DC" w14:paraId="6FFA939A" w14:textId="77777777" w:rsidTr="007A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Borders>
              <w:bottom w:val="nil"/>
            </w:tcBorders>
          </w:tcPr>
          <w:p w14:paraId="0D5054C9" w14:textId="77777777" w:rsidR="00C1392D" w:rsidRPr="00795DDB" w:rsidRDefault="00C1392D" w:rsidP="003C70F4">
            <w:pPr>
              <w:spacing w:before="0"/>
              <w:rPr>
                <w:b/>
                <w:bCs/>
                <w:color w:val="000000" w:themeColor="text1"/>
                <w:sz w:val="20"/>
                <w:szCs w:val="20"/>
              </w:rPr>
            </w:pPr>
            <w:r w:rsidRPr="00795DDB">
              <w:rPr>
                <w:b/>
                <w:bCs/>
                <w:color w:val="000000" w:themeColor="text1"/>
                <w:sz w:val="20"/>
                <w:szCs w:val="20"/>
              </w:rPr>
              <w:t>Kiribati</w:t>
            </w:r>
          </w:p>
        </w:tc>
        <w:tc>
          <w:tcPr>
            <w:tcW w:w="600" w:type="pct"/>
          </w:tcPr>
          <w:p w14:paraId="5DD15DFD" w14:textId="47DFF242"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World Bank</w:t>
            </w:r>
          </w:p>
        </w:tc>
        <w:tc>
          <w:tcPr>
            <w:tcW w:w="852" w:type="pct"/>
          </w:tcPr>
          <w:p w14:paraId="440FA1DF" w14:textId="77777777"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2018, 2019, 2020</w:t>
            </w:r>
          </w:p>
        </w:tc>
        <w:tc>
          <w:tcPr>
            <w:tcW w:w="2995" w:type="pct"/>
          </w:tcPr>
          <w:p w14:paraId="26C1B2F1" w14:textId="77777777"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Water policy (I), Childcare legislation (E)</w:t>
            </w:r>
          </w:p>
        </w:tc>
      </w:tr>
      <w:tr w:rsidR="00C1392D" w:rsidRPr="002511DC" w14:paraId="183FC219" w14:textId="77777777" w:rsidTr="007A6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Borders>
              <w:top w:val="nil"/>
              <w:bottom w:val="single" w:sz="4" w:space="0" w:color="495965" w:themeColor="text2"/>
            </w:tcBorders>
          </w:tcPr>
          <w:p w14:paraId="7AFD62CB" w14:textId="36F65D96" w:rsidR="00C1392D" w:rsidRPr="00795DDB" w:rsidRDefault="00121741" w:rsidP="003C70F4">
            <w:pPr>
              <w:spacing w:before="0"/>
              <w:rPr>
                <w:b/>
                <w:bCs/>
                <w:color w:val="000000" w:themeColor="text1"/>
                <w:sz w:val="20"/>
                <w:szCs w:val="20"/>
              </w:rPr>
            </w:pPr>
            <w:r w:rsidRPr="00795DDB">
              <w:rPr>
                <w:b/>
                <w:bCs/>
                <w:color w:val="000000" w:themeColor="text1"/>
                <w:sz w:val="20"/>
                <w:szCs w:val="20"/>
              </w:rPr>
              <w:t>Kiribati</w:t>
            </w:r>
          </w:p>
        </w:tc>
        <w:tc>
          <w:tcPr>
            <w:tcW w:w="600" w:type="pct"/>
          </w:tcPr>
          <w:p w14:paraId="65C3FCA8"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ADB</w:t>
            </w:r>
          </w:p>
        </w:tc>
        <w:tc>
          <w:tcPr>
            <w:tcW w:w="852" w:type="pct"/>
          </w:tcPr>
          <w:p w14:paraId="2AC09D10"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2017</w:t>
            </w:r>
          </w:p>
        </w:tc>
        <w:tc>
          <w:tcPr>
            <w:tcW w:w="2995" w:type="pct"/>
          </w:tcPr>
          <w:p w14:paraId="3A563519"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Water policy (I)</w:t>
            </w:r>
          </w:p>
        </w:tc>
      </w:tr>
      <w:tr w:rsidR="00C1392D" w:rsidRPr="002511DC" w14:paraId="4FE2E83D" w14:textId="77777777" w:rsidTr="007A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Borders>
              <w:bottom w:val="nil"/>
            </w:tcBorders>
          </w:tcPr>
          <w:p w14:paraId="6105ED88" w14:textId="77777777" w:rsidR="00C1392D" w:rsidRPr="00795DDB" w:rsidRDefault="00C1392D" w:rsidP="003C70F4">
            <w:pPr>
              <w:spacing w:before="0"/>
              <w:rPr>
                <w:b/>
                <w:bCs/>
                <w:color w:val="000000" w:themeColor="text1"/>
                <w:sz w:val="20"/>
                <w:szCs w:val="20"/>
              </w:rPr>
            </w:pPr>
            <w:r w:rsidRPr="00795DDB">
              <w:rPr>
                <w:b/>
                <w:bCs/>
                <w:color w:val="000000" w:themeColor="text1"/>
                <w:sz w:val="20"/>
                <w:szCs w:val="20"/>
              </w:rPr>
              <w:lastRenderedPageBreak/>
              <w:t>PNG</w:t>
            </w:r>
          </w:p>
        </w:tc>
        <w:tc>
          <w:tcPr>
            <w:tcW w:w="600" w:type="pct"/>
          </w:tcPr>
          <w:p w14:paraId="3B7659F1" w14:textId="26E4789D"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World Bank</w:t>
            </w:r>
          </w:p>
        </w:tc>
        <w:tc>
          <w:tcPr>
            <w:tcW w:w="852" w:type="pct"/>
          </w:tcPr>
          <w:p w14:paraId="46653CBB" w14:textId="77777777"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2018, 2021</w:t>
            </w:r>
          </w:p>
        </w:tc>
        <w:tc>
          <w:tcPr>
            <w:tcW w:w="2995" w:type="pct"/>
          </w:tcPr>
          <w:p w14:paraId="34D7A508" w14:textId="77777777"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Financial inclusion (E), SOE governance reform (E)</w:t>
            </w:r>
          </w:p>
        </w:tc>
      </w:tr>
      <w:tr w:rsidR="00C1392D" w:rsidRPr="002511DC" w14:paraId="510620AE" w14:textId="77777777" w:rsidTr="007A6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Borders>
              <w:top w:val="nil"/>
            </w:tcBorders>
          </w:tcPr>
          <w:p w14:paraId="4EF45F2D" w14:textId="3992C2F6" w:rsidR="00C1392D" w:rsidRPr="00795DDB" w:rsidRDefault="00121741" w:rsidP="003C70F4">
            <w:pPr>
              <w:spacing w:before="0"/>
              <w:rPr>
                <w:b/>
                <w:bCs/>
                <w:color w:val="000000" w:themeColor="text1"/>
                <w:sz w:val="20"/>
                <w:szCs w:val="20"/>
              </w:rPr>
            </w:pPr>
            <w:r w:rsidRPr="00795DDB">
              <w:rPr>
                <w:b/>
                <w:bCs/>
                <w:color w:val="000000" w:themeColor="text1"/>
                <w:sz w:val="20"/>
                <w:szCs w:val="20"/>
              </w:rPr>
              <w:t>PNG</w:t>
            </w:r>
          </w:p>
        </w:tc>
        <w:tc>
          <w:tcPr>
            <w:tcW w:w="600" w:type="pct"/>
          </w:tcPr>
          <w:p w14:paraId="0FF41439"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ADB</w:t>
            </w:r>
          </w:p>
        </w:tc>
        <w:tc>
          <w:tcPr>
            <w:tcW w:w="852" w:type="pct"/>
          </w:tcPr>
          <w:p w14:paraId="21B87E24"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2020, 2021</w:t>
            </w:r>
          </w:p>
        </w:tc>
        <w:tc>
          <w:tcPr>
            <w:tcW w:w="2995" w:type="pct"/>
          </w:tcPr>
          <w:p w14:paraId="3DCBDDBB"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Health sector GRB (E), COVID Response Package (E), SOE governance reform (E), Competition and consumer law (E), Procurement law (E) Water policy (E)</w:t>
            </w:r>
          </w:p>
        </w:tc>
      </w:tr>
      <w:tr w:rsidR="00F9382E" w:rsidRPr="002511DC" w14:paraId="45B74C4E" w14:textId="77777777" w:rsidTr="00C1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73209391" w14:textId="77777777" w:rsidR="00F9382E" w:rsidRPr="00795DDB" w:rsidRDefault="00F9382E" w:rsidP="003C70F4">
            <w:pPr>
              <w:spacing w:before="0"/>
              <w:rPr>
                <w:b/>
                <w:bCs/>
                <w:color w:val="000000" w:themeColor="text1"/>
                <w:sz w:val="20"/>
                <w:szCs w:val="20"/>
              </w:rPr>
            </w:pPr>
            <w:r w:rsidRPr="00795DDB">
              <w:rPr>
                <w:b/>
                <w:bCs/>
                <w:color w:val="000000" w:themeColor="text1"/>
                <w:sz w:val="20"/>
                <w:szCs w:val="20"/>
              </w:rPr>
              <w:t>Samoa</w:t>
            </w:r>
          </w:p>
        </w:tc>
        <w:tc>
          <w:tcPr>
            <w:tcW w:w="600" w:type="pct"/>
          </w:tcPr>
          <w:p w14:paraId="43CA1225" w14:textId="1A0D0D28" w:rsidR="00F9382E" w:rsidRPr="002511DC" w:rsidRDefault="003C70F4"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World Bank</w:t>
            </w:r>
          </w:p>
        </w:tc>
        <w:tc>
          <w:tcPr>
            <w:tcW w:w="852" w:type="pct"/>
          </w:tcPr>
          <w:p w14:paraId="3A26E1A5" w14:textId="77777777" w:rsidR="00F9382E" w:rsidRPr="002511DC" w:rsidRDefault="00F9382E"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2017, 2019, 2021</w:t>
            </w:r>
          </w:p>
        </w:tc>
        <w:tc>
          <w:tcPr>
            <w:tcW w:w="2995" w:type="pct"/>
          </w:tcPr>
          <w:p w14:paraId="00AB465F" w14:textId="77777777" w:rsidR="00F9382E" w:rsidRPr="002511DC" w:rsidRDefault="00F9382E"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Financial sector regulation - personal property securities legislation (I), Labour market regulation (E) </w:t>
            </w:r>
          </w:p>
        </w:tc>
      </w:tr>
      <w:tr w:rsidR="00F9382E" w:rsidRPr="002511DC" w14:paraId="6A700554" w14:textId="77777777" w:rsidTr="007A6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Borders>
              <w:bottom w:val="single" w:sz="4" w:space="0" w:color="495965" w:themeColor="text2"/>
            </w:tcBorders>
          </w:tcPr>
          <w:p w14:paraId="23F7231B" w14:textId="14038DAE" w:rsidR="00F9382E" w:rsidRPr="00795DDB" w:rsidRDefault="00F9382E" w:rsidP="003C70F4">
            <w:pPr>
              <w:spacing w:before="0"/>
              <w:rPr>
                <w:b/>
                <w:bCs/>
                <w:color w:val="000000" w:themeColor="text1"/>
                <w:sz w:val="20"/>
                <w:szCs w:val="20"/>
              </w:rPr>
            </w:pPr>
            <w:r w:rsidRPr="00795DDB">
              <w:rPr>
                <w:b/>
                <w:bCs/>
                <w:color w:val="000000" w:themeColor="text1"/>
                <w:sz w:val="20"/>
                <w:szCs w:val="20"/>
              </w:rPr>
              <w:t>Solomon</w:t>
            </w:r>
            <w:r w:rsidR="003C70F4" w:rsidRPr="00795DDB">
              <w:rPr>
                <w:b/>
                <w:bCs/>
                <w:color w:val="000000" w:themeColor="text1"/>
                <w:sz w:val="20"/>
                <w:szCs w:val="20"/>
              </w:rPr>
              <w:t>s</w:t>
            </w:r>
          </w:p>
        </w:tc>
        <w:tc>
          <w:tcPr>
            <w:tcW w:w="600" w:type="pct"/>
          </w:tcPr>
          <w:p w14:paraId="5B0A8EC9" w14:textId="77777777" w:rsidR="00F9382E" w:rsidRPr="002511DC" w:rsidRDefault="00F9382E"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ADB</w:t>
            </w:r>
          </w:p>
        </w:tc>
        <w:tc>
          <w:tcPr>
            <w:tcW w:w="852" w:type="pct"/>
          </w:tcPr>
          <w:p w14:paraId="3F1495E7" w14:textId="77777777" w:rsidR="00F9382E" w:rsidRPr="002511DC" w:rsidRDefault="00F9382E"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2018</w:t>
            </w:r>
          </w:p>
        </w:tc>
        <w:tc>
          <w:tcPr>
            <w:tcW w:w="2995" w:type="pct"/>
          </w:tcPr>
          <w:p w14:paraId="13C79371" w14:textId="77777777" w:rsidR="00F9382E" w:rsidRPr="002511DC" w:rsidRDefault="00F9382E"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PFM reform (E), Anticorruption legislation (E)Tax policy (E), Competition and consumer law (E)</w:t>
            </w:r>
          </w:p>
        </w:tc>
      </w:tr>
      <w:tr w:rsidR="00C1392D" w:rsidRPr="002511DC" w14:paraId="1877483A" w14:textId="77777777" w:rsidTr="007A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Borders>
              <w:bottom w:val="nil"/>
            </w:tcBorders>
          </w:tcPr>
          <w:p w14:paraId="668958F4" w14:textId="77777777" w:rsidR="00C1392D" w:rsidRPr="00795DDB" w:rsidRDefault="00C1392D" w:rsidP="003C70F4">
            <w:pPr>
              <w:spacing w:before="0"/>
              <w:rPr>
                <w:b/>
                <w:bCs/>
                <w:color w:val="000000" w:themeColor="text1"/>
                <w:sz w:val="20"/>
                <w:szCs w:val="20"/>
              </w:rPr>
            </w:pPr>
            <w:r w:rsidRPr="00795DDB">
              <w:rPr>
                <w:b/>
                <w:bCs/>
                <w:color w:val="000000" w:themeColor="text1"/>
                <w:sz w:val="20"/>
                <w:szCs w:val="20"/>
              </w:rPr>
              <w:t>Tonga</w:t>
            </w:r>
          </w:p>
        </w:tc>
        <w:tc>
          <w:tcPr>
            <w:tcW w:w="600" w:type="pct"/>
          </w:tcPr>
          <w:p w14:paraId="3E2688FE" w14:textId="01443B98"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World Bank</w:t>
            </w:r>
          </w:p>
        </w:tc>
        <w:tc>
          <w:tcPr>
            <w:tcW w:w="852" w:type="pct"/>
          </w:tcPr>
          <w:p w14:paraId="676257E1" w14:textId="77777777"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2018, 2019, 2021</w:t>
            </w:r>
          </w:p>
        </w:tc>
        <w:tc>
          <w:tcPr>
            <w:tcW w:w="2995" w:type="pct"/>
          </w:tcPr>
          <w:p w14:paraId="42D24A40" w14:textId="77777777" w:rsidR="00C1392D" w:rsidRPr="002511DC" w:rsidRDefault="00C1392D"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Labour law (E), Vocational training policy (E), Labour mobility policy (E), School fee policy (I), Microcredit funding (I) </w:t>
            </w:r>
          </w:p>
        </w:tc>
      </w:tr>
      <w:tr w:rsidR="00C1392D" w:rsidRPr="002511DC" w14:paraId="738EDFDC" w14:textId="77777777" w:rsidTr="007A6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Borders>
              <w:top w:val="nil"/>
            </w:tcBorders>
          </w:tcPr>
          <w:p w14:paraId="331A9DC8" w14:textId="15EB8E29" w:rsidR="00C1392D" w:rsidRPr="00795DDB" w:rsidRDefault="00121741" w:rsidP="003C70F4">
            <w:pPr>
              <w:spacing w:before="0"/>
              <w:rPr>
                <w:b/>
                <w:bCs/>
                <w:color w:val="000000" w:themeColor="text1"/>
                <w:sz w:val="20"/>
                <w:szCs w:val="20"/>
              </w:rPr>
            </w:pPr>
            <w:r w:rsidRPr="00795DDB">
              <w:rPr>
                <w:b/>
                <w:bCs/>
                <w:color w:val="000000" w:themeColor="text1"/>
                <w:sz w:val="20"/>
                <w:szCs w:val="20"/>
              </w:rPr>
              <w:t>Tonga</w:t>
            </w:r>
          </w:p>
        </w:tc>
        <w:tc>
          <w:tcPr>
            <w:tcW w:w="600" w:type="pct"/>
          </w:tcPr>
          <w:p w14:paraId="1F23CACA"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ADB</w:t>
            </w:r>
          </w:p>
        </w:tc>
        <w:tc>
          <w:tcPr>
            <w:tcW w:w="852" w:type="pct"/>
          </w:tcPr>
          <w:p w14:paraId="3B2765A6"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2019, 2021</w:t>
            </w:r>
          </w:p>
        </w:tc>
        <w:tc>
          <w:tcPr>
            <w:tcW w:w="2995" w:type="pct"/>
          </w:tcPr>
          <w:p w14:paraId="717368F8" w14:textId="77777777" w:rsidR="00C1392D" w:rsidRPr="002511DC" w:rsidRDefault="00C1392D"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Private sector development strategy (E), GRB (E), COVID Response Package (E), Labour mobility policy (E),</w:t>
            </w:r>
          </w:p>
        </w:tc>
      </w:tr>
      <w:tr w:rsidR="00F9382E" w:rsidRPr="002511DC" w14:paraId="45F2F1F4" w14:textId="77777777" w:rsidTr="00C1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4B2EFF2C" w14:textId="77777777" w:rsidR="00F9382E" w:rsidRPr="00795DDB" w:rsidRDefault="00F9382E" w:rsidP="003C70F4">
            <w:pPr>
              <w:spacing w:before="0"/>
              <w:rPr>
                <w:b/>
                <w:bCs/>
                <w:color w:val="000000" w:themeColor="text1"/>
                <w:sz w:val="20"/>
                <w:szCs w:val="20"/>
              </w:rPr>
            </w:pPr>
            <w:r w:rsidRPr="00795DDB">
              <w:rPr>
                <w:b/>
                <w:bCs/>
                <w:color w:val="000000" w:themeColor="text1"/>
                <w:sz w:val="20"/>
                <w:szCs w:val="20"/>
              </w:rPr>
              <w:t>Tuvalu</w:t>
            </w:r>
          </w:p>
        </w:tc>
        <w:tc>
          <w:tcPr>
            <w:tcW w:w="600" w:type="pct"/>
          </w:tcPr>
          <w:p w14:paraId="65000563" w14:textId="1B515C7A" w:rsidR="00F9382E" w:rsidRPr="002511DC" w:rsidRDefault="003C70F4"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World Bank</w:t>
            </w:r>
          </w:p>
        </w:tc>
        <w:tc>
          <w:tcPr>
            <w:tcW w:w="852" w:type="pct"/>
          </w:tcPr>
          <w:p w14:paraId="4CDB8EF7" w14:textId="77777777" w:rsidR="00F9382E" w:rsidRPr="002511DC" w:rsidRDefault="00F9382E"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2015, 2017, 2018, 2020, 2021</w:t>
            </w:r>
          </w:p>
        </w:tc>
        <w:tc>
          <w:tcPr>
            <w:tcW w:w="2995" w:type="pct"/>
          </w:tcPr>
          <w:p w14:paraId="1E087811" w14:textId="77777777" w:rsidR="00F9382E" w:rsidRPr="002511DC" w:rsidRDefault="00F9382E" w:rsidP="003C70F4">
            <w:pPr>
              <w:spacing w:befor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Vocational training policy (E), School fee policy (I), Disability policy (I)</w:t>
            </w:r>
          </w:p>
        </w:tc>
      </w:tr>
      <w:tr w:rsidR="00F9382E" w:rsidRPr="002511DC" w14:paraId="3443FAC6" w14:textId="77777777" w:rsidTr="00C13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1438E5F3" w14:textId="77777777" w:rsidR="00F9382E" w:rsidRPr="00795DDB" w:rsidRDefault="00F9382E" w:rsidP="003C70F4">
            <w:pPr>
              <w:spacing w:before="0"/>
              <w:rPr>
                <w:b/>
                <w:bCs/>
                <w:color w:val="000000" w:themeColor="text1"/>
                <w:sz w:val="20"/>
                <w:szCs w:val="20"/>
              </w:rPr>
            </w:pPr>
            <w:r w:rsidRPr="00795DDB">
              <w:rPr>
                <w:b/>
                <w:bCs/>
                <w:color w:val="000000" w:themeColor="text1"/>
                <w:sz w:val="20"/>
                <w:szCs w:val="20"/>
              </w:rPr>
              <w:t>Vanuatu</w:t>
            </w:r>
          </w:p>
        </w:tc>
        <w:tc>
          <w:tcPr>
            <w:tcW w:w="600" w:type="pct"/>
          </w:tcPr>
          <w:p w14:paraId="65DA599E" w14:textId="3A00F63D" w:rsidR="00F9382E" w:rsidRPr="002511DC" w:rsidRDefault="003C70F4"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World Bank</w:t>
            </w:r>
          </w:p>
        </w:tc>
        <w:tc>
          <w:tcPr>
            <w:tcW w:w="852" w:type="pct"/>
          </w:tcPr>
          <w:p w14:paraId="04ACE109" w14:textId="77777777" w:rsidR="00F9382E" w:rsidRPr="002511DC" w:rsidRDefault="00F9382E"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2020</w:t>
            </w:r>
          </w:p>
        </w:tc>
        <w:tc>
          <w:tcPr>
            <w:tcW w:w="2995" w:type="pct"/>
          </w:tcPr>
          <w:p w14:paraId="7741D98D" w14:textId="77777777" w:rsidR="00F9382E" w:rsidRPr="002511DC" w:rsidRDefault="00F9382E" w:rsidP="003C70F4">
            <w:pPr>
              <w:spacing w:before="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Disaster Risk Management (I)</w:t>
            </w:r>
          </w:p>
        </w:tc>
      </w:tr>
    </w:tbl>
    <w:p w14:paraId="2D8EA8FD" w14:textId="77777777" w:rsidR="00C1392D" w:rsidRDefault="00F9382E" w:rsidP="00C1392D">
      <w:pPr>
        <w:spacing w:before="0" w:after="120"/>
        <w:rPr>
          <w:sz w:val="20"/>
          <w:szCs w:val="20"/>
        </w:rPr>
      </w:pPr>
      <w:r>
        <w:rPr>
          <w:sz w:val="20"/>
          <w:szCs w:val="20"/>
        </w:rPr>
        <w:t>Note: I – implicit actions, E explicit actions</w:t>
      </w:r>
    </w:p>
    <w:p w14:paraId="04695EFD" w14:textId="3C701559" w:rsidR="00F9382E" w:rsidRDefault="00F9382E" w:rsidP="00C1392D">
      <w:pPr>
        <w:spacing w:after="120"/>
      </w:pPr>
      <w:r>
        <w:t xml:space="preserve">A key observation from gender equality in </w:t>
      </w:r>
      <w:r w:rsidR="000B332B">
        <w:t>Pacific and Timorese</w:t>
      </w:r>
      <w:r>
        <w:t xml:space="preserve"> budget support operations is that governments have a range of instruments to advance public policy objectives (such as legislation, </w:t>
      </w:r>
      <w:r w:rsidR="00463969">
        <w:t>regulation,</w:t>
      </w:r>
      <w:r>
        <w:t xml:space="preserve"> and PFM)</w:t>
      </w:r>
      <w:r w:rsidR="00C21C2C">
        <w:t xml:space="preserve"> and </w:t>
      </w:r>
      <w:r>
        <w:t>development partners are involved in choosing which instrument to support in a particular country at a particular point in time. PFM, particular</w:t>
      </w:r>
      <w:r w:rsidR="00AB7892">
        <w:t>ly</w:t>
      </w:r>
      <w:r>
        <w:t xml:space="preserve"> public expenditure, is the most popular vehicle development partners opt for, accounting for </w:t>
      </w:r>
      <w:r w:rsidR="00463969">
        <w:t>most</w:t>
      </w:r>
      <w:r>
        <w:t xml:space="preserve"> actions in Pacific </w:t>
      </w:r>
      <w:r w:rsidR="00A40D5F">
        <w:t xml:space="preserve">and Timorese </w:t>
      </w:r>
      <w:r>
        <w:t>budget support operations. However, gender actions are by not constrained to PFM and may be better pursued in budget support operations with a different vehicle. As a 2018 study by the Overseas Development Institute observed:</w:t>
      </w:r>
    </w:p>
    <w:p w14:paraId="596DC961" w14:textId="77777777" w:rsidR="00F9382E" w:rsidRDefault="00F9382E" w:rsidP="00C1392D">
      <w:pPr>
        <w:spacing w:after="120"/>
        <w:ind w:left="720"/>
      </w:pPr>
      <w:r w:rsidRPr="00BF78BA">
        <w:rPr>
          <w:i/>
          <w:iCs/>
        </w:rPr>
        <w:t xml:space="preserve">Public spending may not always represent the most effective or efficient form of public policy intervention to support gender equality. Regulation and law may be a more important method of delivering gains in gender equality in some cases. For example, if there are extensive formal laws preventing women from undertaking certain activities on the same basis as men then regulatory and/or legal change may be more important for advancing gender equality. </w:t>
      </w:r>
      <w:r>
        <w:rPr>
          <w:i/>
          <w:iCs/>
        </w:rPr>
        <w:t>G</w:t>
      </w:r>
      <w:r w:rsidRPr="00C769AD">
        <w:rPr>
          <w:i/>
          <w:iCs/>
        </w:rPr>
        <w:t xml:space="preserve">ender responsive public expenditure management </w:t>
      </w:r>
      <w:r w:rsidRPr="00BF78BA">
        <w:rPr>
          <w:i/>
          <w:iCs/>
        </w:rPr>
        <w:t>practices are therefore perhaps best seen as part of a ‘package’ of legal, regulatory, expenditure, taxation, cultural and political reforms that will ultimately lead to government policy supporting a more gender-equal society</w:t>
      </w:r>
      <w:r>
        <w:rPr>
          <w:i/>
          <w:iCs/>
        </w:rPr>
        <w:t>.</w:t>
      </w:r>
      <w:r>
        <w:rPr>
          <w:rStyle w:val="FootnoteReference"/>
          <w:i/>
          <w:iCs/>
        </w:rPr>
        <w:footnoteReference w:id="16"/>
      </w:r>
    </w:p>
    <w:p w14:paraId="63D3744A" w14:textId="28F8BE03" w:rsidR="00F9382E" w:rsidRDefault="00F9382E" w:rsidP="00C1392D">
      <w:pPr>
        <w:spacing w:after="120"/>
      </w:pPr>
      <w:r>
        <w:t xml:space="preserve">Close examination of the policy actions shows </w:t>
      </w:r>
      <w:r w:rsidR="00C1392D">
        <w:t>a</w:t>
      </w:r>
      <w:r>
        <w:t xml:space="preserve"> range from ‘process’ actions, such as policy reviews or proposals, to ‘harder’ actions, such as presenting bills to Parliaments or revising regulations. ‘Process’ actions have often reflected the slow gestation of policy reforms, and the value of analysis and awareness building activities in the reform process. However, the World Bank and ADB have signalled an intent to eliminate ’process’ actions from policy matrices. </w:t>
      </w:r>
      <w:r w:rsidR="00C1392D">
        <w:t>B</w:t>
      </w:r>
      <w:r>
        <w:t>udget support operations can motivate process actions or include process considerations in dialogues</w:t>
      </w:r>
      <w:r w:rsidR="00C1392D">
        <w:t>,</w:t>
      </w:r>
      <w:r>
        <w:t xml:space="preserve"> but matrices cannot include </w:t>
      </w:r>
      <w:r w:rsidR="00C1392D">
        <w:t>process</w:t>
      </w:r>
      <w:r>
        <w:t xml:space="preserve"> actions. </w:t>
      </w:r>
    </w:p>
    <w:p w14:paraId="0C6974C2" w14:textId="65147A1A" w:rsidR="00F9382E" w:rsidRPr="008338D1" w:rsidRDefault="00C21C2C" w:rsidP="00C1392D">
      <w:r>
        <w:t>C</w:t>
      </w:r>
      <w:r w:rsidR="00C1392D">
        <w:t xml:space="preserve">onsultations </w:t>
      </w:r>
      <w:r>
        <w:t>for the study established</w:t>
      </w:r>
      <w:r w:rsidR="00F9382E">
        <w:t xml:space="preserve"> </w:t>
      </w:r>
      <w:r>
        <w:t xml:space="preserve">that </w:t>
      </w:r>
      <w:r w:rsidR="000B332B">
        <w:t>Pacific and Timorese</w:t>
      </w:r>
      <w:r w:rsidR="00F9382E">
        <w:t xml:space="preserve"> budget support operations have typically been opportunistic in their approach to including gender equality in their policy action matrices</w:t>
      </w:r>
      <w:r w:rsidR="00C1392D">
        <w:t xml:space="preserve">. </w:t>
      </w:r>
      <w:r w:rsidR="00F9382E">
        <w:t xml:space="preserve">To be more strategic, and to reorient policy action matrices away from ‘process’ actions, </w:t>
      </w:r>
      <w:r w:rsidR="00F9382E" w:rsidRPr="008338D1">
        <w:t xml:space="preserve">budget support operations will need to build </w:t>
      </w:r>
      <w:r w:rsidR="00F9382E" w:rsidRPr="008338D1">
        <w:lastRenderedPageBreak/>
        <w:t>on and be part of a longer and more multidimensional engagement that build</w:t>
      </w:r>
      <w:r w:rsidR="00F9382E">
        <w:t>s</w:t>
      </w:r>
      <w:r w:rsidR="00F9382E" w:rsidRPr="008338D1">
        <w:t xml:space="preserve"> consensus for change and recognises the internal processes involved in translating reform ideas into policy change</w:t>
      </w:r>
      <w:r w:rsidR="00F9382E">
        <w:t>s</w:t>
      </w:r>
      <w:r w:rsidR="00F9382E" w:rsidRPr="008338D1">
        <w:t>. In the Pacific</w:t>
      </w:r>
      <w:r w:rsidR="004753BE">
        <w:t xml:space="preserve"> and Timor-Leste</w:t>
      </w:r>
      <w:r w:rsidR="00F9382E" w:rsidRPr="008338D1">
        <w:t xml:space="preserve">, this </w:t>
      </w:r>
      <w:r w:rsidR="00F9382E">
        <w:t xml:space="preserve">will involve </w:t>
      </w:r>
      <w:r w:rsidR="00F9382E" w:rsidRPr="008338D1">
        <w:t>medium</w:t>
      </w:r>
      <w:r w:rsidR="00F9382E">
        <w:t>-</w:t>
      </w:r>
      <w:r w:rsidR="00F9382E" w:rsidRPr="008338D1">
        <w:t xml:space="preserve"> and long</w:t>
      </w:r>
      <w:r w:rsidR="00F9382E">
        <w:t>-</w:t>
      </w:r>
      <w:r w:rsidR="00F9382E" w:rsidRPr="008338D1">
        <w:t xml:space="preserve">term development partner cooperation, to draw on the </w:t>
      </w:r>
      <w:r w:rsidR="00F9382E">
        <w:t>strengths of each partner. T</w:t>
      </w:r>
      <w:r w:rsidR="00F9382E" w:rsidRPr="008338D1">
        <w:t xml:space="preserve">he </w:t>
      </w:r>
      <w:r w:rsidR="006F01FB">
        <w:t xml:space="preserve">development </w:t>
      </w:r>
      <w:r w:rsidR="00F9382E">
        <w:t>b</w:t>
      </w:r>
      <w:r w:rsidR="00F9382E" w:rsidRPr="008338D1">
        <w:t xml:space="preserve">anks </w:t>
      </w:r>
      <w:r w:rsidR="00F9382E">
        <w:t xml:space="preserve">tend to have stronger technical and analytical capabilities than bilateral partners but a </w:t>
      </w:r>
      <w:r w:rsidR="00F9382E" w:rsidRPr="008338D1">
        <w:t xml:space="preserve">limited in-country presence and fewer resources for sustained engagement. </w:t>
      </w:r>
    </w:p>
    <w:p w14:paraId="44B0F50B" w14:textId="77777777" w:rsidR="00F9382E" w:rsidRDefault="00F9382E" w:rsidP="00C1392D">
      <w:pPr>
        <w:pStyle w:val="Heading4"/>
      </w:pPr>
      <w:r>
        <w:t>Fiji case study</w:t>
      </w:r>
    </w:p>
    <w:p w14:paraId="53B5742C" w14:textId="6E0E02EC" w:rsidR="00F9382E" w:rsidRPr="00C1392D" w:rsidRDefault="00F9382E" w:rsidP="00F9382E">
      <w:r>
        <w:t>Fiji is a good case study on how budget support operations can draw on a broader range of immediate and longer-term efforts. Over the last four years in Fiji, there has been increased support for gender equality actions in budget su</w:t>
      </w:r>
      <w:r w:rsidRPr="00C1392D">
        <w:t xml:space="preserve">pport operations, most particularly, for gender responsive budgeting. </w:t>
      </w:r>
      <w:r w:rsidR="003C70F4" w:rsidRPr="00C1392D">
        <w:rPr>
          <w:b/>
          <w:bCs/>
        </w:rPr>
        <w:t>Annex E</w:t>
      </w:r>
      <w:r w:rsidRPr="00C1392D">
        <w:t xml:space="preserve"> presents a summary of the actions associated with this intensification of engagement with gender equality in Fiji. Key features of this development have been:</w:t>
      </w:r>
    </w:p>
    <w:p w14:paraId="73369944" w14:textId="77777777" w:rsidR="00F9382E" w:rsidRPr="00C1392D" w:rsidRDefault="00F9382E" w:rsidP="00853654">
      <w:pPr>
        <w:pStyle w:val="ListParagraph"/>
        <w:numPr>
          <w:ilvl w:val="0"/>
          <w:numId w:val="26"/>
        </w:numPr>
        <w:spacing w:after="0" w:line="240" w:lineRule="auto"/>
        <w:ind w:left="714" w:hanging="357"/>
        <w:contextualSpacing w:val="0"/>
        <w:rPr>
          <w:color w:val="495965" w:themeColor="text2"/>
        </w:rPr>
      </w:pPr>
      <w:r w:rsidRPr="00C1392D">
        <w:rPr>
          <w:color w:val="495965" w:themeColor="text2"/>
        </w:rPr>
        <w:t>The Ministry of Economy provided strong leadership and acceptance of the centrality of gender equality to macroeconomic policymaking and economic development.</w:t>
      </w:r>
    </w:p>
    <w:p w14:paraId="10A2CB61" w14:textId="2C4B3DB6" w:rsidR="00F9382E" w:rsidRPr="00C1392D" w:rsidRDefault="00F9382E" w:rsidP="00853654">
      <w:pPr>
        <w:pStyle w:val="ListParagraph"/>
        <w:numPr>
          <w:ilvl w:val="0"/>
          <w:numId w:val="26"/>
        </w:numPr>
        <w:spacing w:after="0" w:line="240" w:lineRule="auto"/>
        <w:contextualSpacing w:val="0"/>
        <w:rPr>
          <w:color w:val="495965" w:themeColor="text2"/>
        </w:rPr>
      </w:pPr>
      <w:r w:rsidRPr="00C1392D">
        <w:rPr>
          <w:color w:val="495965" w:themeColor="text2"/>
        </w:rPr>
        <w:t xml:space="preserve">Fiji’s need for exceptional budget financing during the pandemic, </w:t>
      </w:r>
      <w:r w:rsidR="00C21C2C">
        <w:rPr>
          <w:color w:val="495965" w:themeColor="text2"/>
        </w:rPr>
        <w:t xml:space="preserve">to which </w:t>
      </w:r>
      <w:r w:rsidRPr="00C1392D">
        <w:rPr>
          <w:color w:val="495965" w:themeColor="text2"/>
        </w:rPr>
        <w:t>development partners</w:t>
      </w:r>
      <w:r w:rsidR="00C21C2C">
        <w:rPr>
          <w:color w:val="495965" w:themeColor="text2"/>
        </w:rPr>
        <w:t xml:space="preserve"> responded with budget support operations</w:t>
      </w:r>
      <w:r w:rsidRPr="00C1392D">
        <w:rPr>
          <w:color w:val="495965" w:themeColor="text2"/>
        </w:rPr>
        <w:t>, played an important role in escalating gender equality as a central issue – in other words, the opportunity created by Fiji’s fiscal need made it possible to add gender actions, such as the introduction of GRB, into the policy action matrix.</w:t>
      </w:r>
    </w:p>
    <w:p w14:paraId="5060FD83" w14:textId="5F34F64E" w:rsidR="00F9382E" w:rsidRPr="00C1392D" w:rsidRDefault="00F9382E" w:rsidP="00853654">
      <w:pPr>
        <w:pStyle w:val="ListParagraph"/>
        <w:numPr>
          <w:ilvl w:val="0"/>
          <w:numId w:val="26"/>
        </w:numPr>
        <w:spacing w:after="0" w:line="240" w:lineRule="auto"/>
        <w:contextualSpacing w:val="0"/>
        <w:rPr>
          <w:color w:val="495965" w:themeColor="text2"/>
        </w:rPr>
      </w:pPr>
      <w:r w:rsidRPr="00C1392D">
        <w:rPr>
          <w:color w:val="495965" w:themeColor="text2"/>
        </w:rPr>
        <w:t>Continued engagement through DFAT’s governance and gender programs through well-connected and technically skilled staff at Post helped lay the groundwork, including through financing ADB-led technical assistance, continued and effective lobbying of key players, identifying and acting on opportunities,</w:t>
      </w:r>
      <w:r w:rsidRPr="00C1392D">
        <w:rPr>
          <w:color w:val="495965" w:themeColor="text2"/>
          <w:sz w:val="20"/>
          <w:szCs w:val="20"/>
        </w:rPr>
        <w:t xml:space="preserve"> </w:t>
      </w:r>
      <w:r w:rsidRPr="00C1392D">
        <w:rPr>
          <w:color w:val="495965" w:themeColor="text2"/>
        </w:rPr>
        <w:t xml:space="preserve">supporting </w:t>
      </w:r>
      <w:r w:rsidR="00C21C2C">
        <w:rPr>
          <w:color w:val="495965" w:themeColor="text2"/>
        </w:rPr>
        <w:t>ADB and World Bank</w:t>
      </w:r>
      <w:r w:rsidRPr="00C1392D">
        <w:rPr>
          <w:color w:val="495965" w:themeColor="text2"/>
        </w:rPr>
        <w:t xml:space="preserve"> staff with local </w:t>
      </w:r>
      <w:r w:rsidR="00C21C2C">
        <w:rPr>
          <w:color w:val="495965" w:themeColor="text2"/>
        </w:rPr>
        <w:t xml:space="preserve">insights into </w:t>
      </w:r>
      <w:r w:rsidRPr="00C1392D">
        <w:rPr>
          <w:color w:val="495965" w:themeColor="text2"/>
        </w:rPr>
        <w:t xml:space="preserve">the political economy, and supporting line ministries to implement structural and procedural changes. </w:t>
      </w:r>
    </w:p>
    <w:p w14:paraId="33EA6A0D" w14:textId="589A9643" w:rsidR="00F9382E" w:rsidRPr="00C1392D" w:rsidRDefault="00F9382E" w:rsidP="00853654">
      <w:pPr>
        <w:pStyle w:val="ListParagraph"/>
        <w:numPr>
          <w:ilvl w:val="1"/>
          <w:numId w:val="26"/>
        </w:numPr>
        <w:spacing w:after="0" w:line="240" w:lineRule="auto"/>
        <w:contextualSpacing w:val="0"/>
        <w:rPr>
          <w:color w:val="495965" w:themeColor="text2"/>
        </w:rPr>
      </w:pPr>
      <w:r w:rsidRPr="00C1392D">
        <w:rPr>
          <w:color w:val="495965" w:themeColor="text2"/>
        </w:rPr>
        <w:t>A longer-term engagement also enabled DFAT and other development partners to seize opportunities when they arose, such as the emergence of champions in key positions or quick wins in established programs that disproportionately benefit</w:t>
      </w:r>
      <w:r w:rsidR="00D913A5">
        <w:rPr>
          <w:color w:val="495965" w:themeColor="text2"/>
        </w:rPr>
        <w:t>ted</w:t>
      </w:r>
      <w:r w:rsidRPr="00C1392D">
        <w:rPr>
          <w:color w:val="495965" w:themeColor="text2"/>
        </w:rPr>
        <w:t xml:space="preserve"> men. For example, the World Bank identified some fishery programs with very few female beneficiaries. The Ministry of Fisheries assessed the imbalance </w:t>
      </w:r>
      <w:r w:rsidR="00C21C2C">
        <w:rPr>
          <w:color w:val="495965" w:themeColor="text2"/>
        </w:rPr>
        <w:t>to be</w:t>
      </w:r>
      <w:r w:rsidRPr="00C1392D">
        <w:rPr>
          <w:color w:val="495965" w:themeColor="text2"/>
        </w:rPr>
        <w:t xml:space="preserve"> due to the programs’ requirement for land ownership or high initial investments that women were far less likely to be able to provide. The World Bank’s budget support operation supported the Ministry to implement recommendations to improve the equity of the fishery programs by changing the eligibility criteria.</w:t>
      </w:r>
    </w:p>
    <w:p w14:paraId="42F337EF" w14:textId="77777777" w:rsidR="00F9382E" w:rsidRPr="00C1392D" w:rsidRDefault="00F9382E" w:rsidP="00853654">
      <w:pPr>
        <w:pStyle w:val="ListParagraph"/>
        <w:numPr>
          <w:ilvl w:val="1"/>
          <w:numId w:val="26"/>
        </w:numPr>
        <w:spacing w:after="0" w:line="240" w:lineRule="auto"/>
        <w:contextualSpacing w:val="0"/>
        <w:rPr>
          <w:color w:val="495965" w:themeColor="text2"/>
        </w:rPr>
      </w:pPr>
      <w:r w:rsidRPr="00C1392D">
        <w:rPr>
          <w:color w:val="495965" w:themeColor="text2"/>
        </w:rPr>
        <w:t>Post’s ability to continue to support and monitor progress was also important, given its permanent in-country presence.</w:t>
      </w:r>
    </w:p>
    <w:p w14:paraId="07B5A30B" w14:textId="6772F7CE" w:rsidR="00F9382E" w:rsidRPr="00C1392D" w:rsidRDefault="00F9382E" w:rsidP="00853654">
      <w:pPr>
        <w:pStyle w:val="ListParagraph"/>
        <w:numPr>
          <w:ilvl w:val="0"/>
          <w:numId w:val="26"/>
        </w:numPr>
        <w:spacing w:after="0" w:line="240" w:lineRule="auto"/>
        <w:contextualSpacing w:val="0"/>
        <w:rPr>
          <w:color w:val="495965" w:themeColor="text2"/>
          <w:sz w:val="20"/>
          <w:szCs w:val="20"/>
        </w:rPr>
      </w:pPr>
      <w:r w:rsidRPr="00C1392D">
        <w:rPr>
          <w:color w:val="495965" w:themeColor="text2"/>
        </w:rPr>
        <w:t>A common approach to policy actions matri</w:t>
      </w:r>
      <w:r w:rsidR="00C21C2C">
        <w:rPr>
          <w:color w:val="495965" w:themeColor="text2"/>
        </w:rPr>
        <w:t xml:space="preserve">ces </w:t>
      </w:r>
      <w:r w:rsidRPr="00C1392D">
        <w:rPr>
          <w:color w:val="495965" w:themeColor="text2"/>
        </w:rPr>
        <w:t xml:space="preserve">and continued cooperation among likeminded development partners was important to ensure consistency of engagement. In this regard, DFAT’s ability to shape </w:t>
      </w:r>
      <w:r w:rsidR="009236DE">
        <w:rPr>
          <w:color w:val="495965" w:themeColor="text2"/>
        </w:rPr>
        <w:t xml:space="preserve">development partner </w:t>
      </w:r>
      <w:r w:rsidRPr="00C1392D">
        <w:rPr>
          <w:color w:val="495965" w:themeColor="text2"/>
        </w:rPr>
        <w:t>engagement because of its on-the-ground presence and relationships and its long-term engagement on building capacity was important in providing credibility to a coordinated approach</w:t>
      </w:r>
      <w:r w:rsidRPr="00C1392D">
        <w:rPr>
          <w:color w:val="495965" w:themeColor="text2"/>
          <w:sz w:val="20"/>
          <w:szCs w:val="20"/>
        </w:rPr>
        <w:t>.</w:t>
      </w:r>
    </w:p>
    <w:p w14:paraId="5E3CA0F4" w14:textId="3856577C" w:rsidR="00F9382E" w:rsidRPr="00C1392D" w:rsidRDefault="00F9382E" w:rsidP="00853654">
      <w:pPr>
        <w:pStyle w:val="ListParagraph"/>
        <w:numPr>
          <w:ilvl w:val="0"/>
          <w:numId w:val="26"/>
        </w:numPr>
        <w:spacing w:after="0" w:line="240" w:lineRule="auto"/>
        <w:contextualSpacing w:val="0"/>
        <w:rPr>
          <w:color w:val="495965" w:themeColor="text2"/>
        </w:rPr>
      </w:pPr>
      <w:r w:rsidRPr="00C1392D">
        <w:rPr>
          <w:color w:val="495965" w:themeColor="text2"/>
        </w:rPr>
        <w:t xml:space="preserve">A staged approach to implementing process changes to PFM systems </w:t>
      </w:r>
      <w:r w:rsidR="00C21C2C">
        <w:rPr>
          <w:color w:val="495965" w:themeColor="text2"/>
        </w:rPr>
        <w:t>w</w:t>
      </w:r>
      <w:r w:rsidRPr="00C1392D">
        <w:rPr>
          <w:color w:val="495965" w:themeColor="text2"/>
        </w:rPr>
        <w:t xml:space="preserve">as important when capacity </w:t>
      </w:r>
      <w:r w:rsidR="00161622">
        <w:rPr>
          <w:color w:val="495965" w:themeColor="text2"/>
        </w:rPr>
        <w:t>wa</w:t>
      </w:r>
      <w:r w:rsidRPr="00C1392D">
        <w:rPr>
          <w:color w:val="495965" w:themeColor="text2"/>
        </w:rPr>
        <w:t>s constrained, and when senior officials need to see that reforms are feasible and will deliver effective change.</w:t>
      </w:r>
    </w:p>
    <w:p w14:paraId="75D550D2" w14:textId="51E3C03D" w:rsidR="00F9382E" w:rsidRPr="00C1392D" w:rsidRDefault="00F9382E" w:rsidP="00853654">
      <w:pPr>
        <w:pStyle w:val="ListParagraph"/>
        <w:numPr>
          <w:ilvl w:val="0"/>
          <w:numId w:val="26"/>
        </w:numPr>
        <w:spacing w:after="0" w:line="240" w:lineRule="auto"/>
        <w:contextualSpacing w:val="0"/>
        <w:rPr>
          <w:color w:val="495965" w:themeColor="text2"/>
        </w:rPr>
      </w:pPr>
      <w:r w:rsidRPr="00C1392D">
        <w:rPr>
          <w:color w:val="495965" w:themeColor="text2"/>
        </w:rPr>
        <w:t xml:space="preserve">Having a pre-existing strong </w:t>
      </w:r>
      <w:r w:rsidR="008978E2">
        <w:rPr>
          <w:color w:val="495965" w:themeColor="text2"/>
        </w:rPr>
        <w:t>PFM</w:t>
      </w:r>
      <w:r w:rsidRPr="00C1392D">
        <w:rPr>
          <w:color w:val="495965" w:themeColor="text2"/>
        </w:rPr>
        <w:t xml:space="preserve"> architecture, including for parliamentary oversight and prompt reporting and auditing of financial accounts, made it possible to introduce changes to PFM systems </w:t>
      </w:r>
      <w:r w:rsidR="00C21C2C">
        <w:rPr>
          <w:color w:val="495965" w:themeColor="text2"/>
        </w:rPr>
        <w:t xml:space="preserve">without unduly burdening staff </w:t>
      </w:r>
      <w:r w:rsidRPr="00C1392D">
        <w:rPr>
          <w:color w:val="495965" w:themeColor="text2"/>
        </w:rPr>
        <w:t xml:space="preserve">and </w:t>
      </w:r>
      <w:r w:rsidR="00C21C2C">
        <w:rPr>
          <w:color w:val="495965" w:themeColor="text2"/>
        </w:rPr>
        <w:t>to use</w:t>
      </w:r>
      <w:r w:rsidRPr="00C1392D">
        <w:rPr>
          <w:color w:val="495965" w:themeColor="text2"/>
        </w:rPr>
        <w:t xml:space="preserve"> local M&amp;E systems assess performance.</w:t>
      </w:r>
    </w:p>
    <w:p w14:paraId="7E690EFB" w14:textId="77777777" w:rsidR="00583BAE" w:rsidRDefault="00583BAE">
      <w:pPr>
        <w:suppressAutoHyphens w:val="0"/>
        <w:spacing w:before="0" w:after="120" w:line="440" w:lineRule="atLeast"/>
        <w:rPr>
          <w:rFonts w:asciiTheme="majorHAnsi" w:eastAsiaTheme="majorEastAsia" w:hAnsiTheme="majorHAnsi" w:cstheme="majorBidi"/>
          <w:b/>
          <w:bCs/>
          <w:caps/>
          <w:sz w:val="38"/>
          <w:szCs w:val="28"/>
        </w:rPr>
      </w:pPr>
      <w:r>
        <w:br w:type="page"/>
      </w:r>
    </w:p>
    <w:p w14:paraId="138A8293" w14:textId="32303054" w:rsidR="00F9382E" w:rsidRPr="007E7087" w:rsidRDefault="00950CA5" w:rsidP="00950CA5">
      <w:pPr>
        <w:pStyle w:val="Heading1"/>
      </w:pPr>
      <w:bookmarkStart w:id="55" w:name="_Toc108168326"/>
      <w:bookmarkStart w:id="56" w:name="_Toc120201422"/>
      <w:bookmarkStart w:id="57" w:name="_Toc120544529"/>
      <w:r>
        <w:lastRenderedPageBreak/>
        <w:t xml:space="preserve">4. </w:t>
      </w:r>
      <w:r w:rsidR="00F9382E">
        <w:t xml:space="preserve">Gender </w:t>
      </w:r>
      <w:r w:rsidR="008C1A71">
        <w:t xml:space="preserve">in Pacific </w:t>
      </w:r>
      <w:r w:rsidR="00B9101D">
        <w:t xml:space="preserve">and TIMORESE </w:t>
      </w:r>
      <w:r w:rsidR="00EC1EB1">
        <w:t>b</w:t>
      </w:r>
      <w:r w:rsidR="008C1A71">
        <w:t>udgets and PFM</w:t>
      </w:r>
      <w:bookmarkEnd w:id="55"/>
      <w:bookmarkEnd w:id="56"/>
      <w:bookmarkEnd w:id="57"/>
    </w:p>
    <w:p w14:paraId="2DD765C9" w14:textId="5206E0EC" w:rsidR="00C1392D" w:rsidRDefault="00F9382E" w:rsidP="00C1392D">
      <w:pPr>
        <w:spacing w:after="120"/>
      </w:pPr>
      <w:r>
        <w:t xml:space="preserve">The opportunities to use budget support to further gender equality in the Pacific </w:t>
      </w:r>
      <w:r w:rsidR="00CB6A9A">
        <w:t xml:space="preserve">and Timor-Leste </w:t>
      </w:r>
      <w:r>
        <w:t xml:space="preserve">are shaped by several factors, including the ability </w:t>
      </w:r>
      <w:r w:rsidR="002D0C0E">
        <w:t>of</w:t>
      </w:r>
      <w:r>
        <w:t xml:space="preserve"> budget support operations to promote change, and the enabling factors required for budget support operations to progress gender equality.</w:t>
      </w:r>
    </w:p>
    <w:p w14:paraId="702B28D2" w14:textId="32EDF572" w:rsidR="002D0C0E" w:rsidRDefault="00F9382E" w:rsidP="00C1392D">
      <w:pPr>
        <w:spacing w:after="120"/>
      </w:pPr>
      <w:r>
        <w:t xml:space="preserve">As indicated in </w:t>
      </w:r>
      <w:r w:rsidR="001E1FF5" w:rsidRPr="001E1FF5">
        <w:rPr>
          <w:b/>
          <w:bCs/>
        </w:rPr>
        <w:t>C</w:t>
      </w:r>
      <w:r w:rsidRPr="001E1FF5">
        <w:rPr>
          <w:b/>
          <w:bCs/>
        </w:rPr>
        <w:t>hapter 2</w:t>
      </w:r>
      <w:r>
        <w:t>, World Bank and ADB budget support operations in the region have focused strongly on PFM. Budget support operations support policy dialogue</w:t>
      </w:r>
      <w:r w:rsidR="00901879">
        <w:t>s</w:t>
      </w:r>
      <w:r>
        <w:t xml:space="preserve"> and help to ensure </w:t>
      </w:r>
      <w:r w:rsidR="002D0C0E">
        <w:t xml:space="preserve">that </w:t>
      </w:r>
      <w:r>
        <w:t>government resources are effectively and efficiently used in the pursuit of national development objectives.</w:t>
      </w:r>
      <w:r w:rsidR="002D0C0E">
        <w:t xml:space="preserve"> This points to the need to consider how these </w:t>
      </w:r>
      <w:r>
        <w:t xml:space="preserve">operations can best support the integration of gender into PFM systems. To do this, one option (of many) is to provide support to introduce gender responsive budgeting into budget processes. </w:t>
      </w:r>
    </w:p>
    <w:p w14:paraId="55D1960B" w14:textId="7FC24999" w:rsidR="00F9382E" w:rsidRDefault="00F9382E" w:rsidP="00C1392D">
      <w:pPr>
        <w:spacing w:after="120"/>
      </w:pPr>
      <w:r>
        <w:t>This chapter discusses efforts made in PICs</w:t>
      </w:r>
      <w:r w:rsidR="000B332B">
        <w:t xml:space="preserve"> and Timor-Leste</w:t>
      </w:r>
      <w:r>
        <w:t xml:space="preserve"> to introduce GRB, the lessons that can be drawn from </w:t>
      </w:r>
      <w:r w:rsidR="001412F3">
        <w:t>experience</w:t>
      </w:r>
      <w:r>
        <w:t>, and issue</w:t>
      </w:r>
      <w:r w:rsidR="00C1392D">
        <w:t>s</w:t>
      </w:r>
      <w:r>
        <w:t xml:space="preserve"> to consider </w:t>
      </w:r>
      <w:r w:rsidR="00C1392D">
        <w:t>when</w:t>
      </w:r>
      <w:r>
        <w:t xml:space="preserve"> using budget support to promote GRB. For example, partner governments’ and development partners’ budgetary responses to the pandemic recognised and sought to address the unequal effects of the pandemic, with Pacific women disproportionately impacted by the economic shocks induced by COVID.</w:t>
      </w:r>
    </w:p>
    <w:p w14:paraId="6475F96A" w14:textId="1CE6864A" w:rsidR="00F9382E" w:rsidRDefault="00F9382E" w:rsidP="00C1392D">
      <w:pPr>
        <w:pStyle w:val="Heading3"/>
      </w:pPr>
      <w:bookmarkStart w:id="58" w:name="_Toc108168327"/>
      <w:bookmarkStart w:id="59" w:name="_Toc120201423"/>
      <w:bookmarkStart w:id="60" w:name="_Toc120544530"/>
      <w:r>
        <w:t>Gender responsive budgeting in the Pacific</w:t>
      </w:r>
      <w:bookmarkEnd w:id="58"/>
      <w:bookmarkEnd w:id="59"/>
      <w:r w:rsidR="00901879">
        <w:t xml:space="preserve"> and Timor-Leste</w:t>
      </w:r>
      <w:bookmarkEnd w:id="60"/>
    </w:p>
    <w:p w14:paraId="1CEE340C" w14:textId="77777777" w:rsidR="00F9382E" w:rsidRDefault="00F9382E" w:rsidP="00F9382E">
      <w:pPr>
        <w:pStyle w:val="Heading4"/>
      </w:pPr>
      <w:r>
        <w:t>Country initiatives</w:t>
      </w:r>
    </w:p>
    <w:p w14:paraId="794F7058" w14:textId="2A8DEB7F" w:rsidR="00F9382E" w:rsidRDefault="00F9382E" w:rsidP="00C1392D">
      <w:pPr>
        <w:spacing w:after="120"/>
      </w:pPr>
      <w:r>
        <w:t xml:space="preserve">Initiatives aimed at promoting the integration of </w:t>
      </w:r>
      <w:r w:rsidR="002D0C0E">
        <w:t>GRB</w:t>
      </w:r>
      <w:r>
        <w:t xml:space="preserve"> in the Pacific </w:t>
      </w:r>
      <w:r w:rsidR="00CB6A9A">
        <w:t xml:space="preserve">and Timor-Leste </w:t>
      </w:r>
      <w:r>
        <w:t xml:space="preserve">date back to the late 1990s - the Commonwealth Secretariat included Fiji in a piloting exercise in 1995. There was a more concerted effort in the early 2000s, when UNIFEM (now UN Women) and the ADB trialled GRB in </w:t>
      </w:r>
      <w:r w:rsidR="001412F3">
        <w:t>several</w:t>
      </w:r>
      <w:r>
        <w:t xml:space="preserve"> PICs, including Samoa, Marshall Islands and Fiji (UN Women 2018). The Government of Tuvalu </w:t>
      </w:r>
      <w:r w:rsidRPr="00BE7010">
        <w:t>announced its commitment to implement gender mainstreaming across budgeting and planning in the mid‐2000s</w:t>
      </w:r>
      <w:r>
        <w:t xml:space="preserve"> and received some support from the Secretariat of the Pacific Community and UNDP (Costa and Sharp 2011). </w:t>
      </w:r>
      <w:r w:rsidRPr="006B1532">
        <w:t xml:space="preserve"> These</w:t>
      </w:r>
      <w:r>
        <w:t xml:space="preserve"> were followed in </w:t>
      </w:r>
      <w:r w:rsidRPr="004C5CBE">
        <w:t>2009</w:t>
      </w:r>
      <w:r>
        <w:t xml:space="preserve"> by </w:t>
      </w:r>
      <w:r w:rsidRPr="004C5CBE">
        <w:t>UNIFEM</w:t>
      </w:r>
      <w:r>
        <w:t xml:space="preserve"> providing support </w:t>
      </w:r>
      <w:r w:rsidRPr="004C5CBE">
        <w:t>for gender responsive budgeting in PNG as part of</w:t>
      </w:r>
      <w:r>
        <w:t xml:space="preserve"> </w:t>
      </w:r>
      <w:r w:rsidRPr="004C5CBE">
        <w:t xml:space="preserve">the </w:t>
      </w:r>
      <w:r w:rsidR="000877C6">
        <w:t>EU</w:t>
      </w:r>
      <w:r w:rsidR="008133D4">
        <w:t>-</w:t>
      </w:r>
      <w:r w:rsidRPr="004C5CBE">
        <w:t>UN Partnership on Gender Equality</w:t>
      </w:r>
      <w:r>
        <w:t xml:space="preserve"> </w:t>
      </w:r>
      <w:r w:rsidRPr="004C5CBE">
        <w:t>for Development and Peace</w:t>
      </w:r>
      <w:r>
        <w:t xml:space="preserve">. </w:t>
      </w:r>
      <w:r w:rsidR="001412F3">
        <w:t>Except for</w:t>
      </w:r>
      <w:r>
        <w:t xml:space="preserve"> Marshall Islands, these pilots did not lead to sustained change. </w:t>
      </w:r>
    </w:p>
    <w:p w14:paraId="7795E4D0" w14:textId="77777777" w:rsidR="00F9382E" w:rsidRDefault="00F9382E" w:rsidP="00F9382E">
      <w:pPr>
        <w:pStyle w:val="Heading4"/>
      </w:pPr>
      <w:r>
        <w:t>Regional initiatives</w:t>
      </w:r>
    </w:p>
    <w:p w14:paraId="4C7801B6" w14:textId="3CB376A9" w:rsidR="00F9382E" w:rsidRDefault="00F9382E" w:rsidP="00C1392D">
      <w:pPr>
        <w:spacing w:after="120"/>
      </w:pPr>
      <w:r>
        <w:t xml:space="preserve">More recently, work on GRB has received political support at the regional level, as Finance and Economic Ministers of members </w:t>
      </w:r>
      <w:r w:rsidR="002D0C0E">
        <w:t xml:space="preserve">of the Pacific Islands Forum (PIF) </w:t>
      </w:r>
      <w:r>
        <w:t>have tasked the PIF Secretariat ‘in consultation with relevant development partners t</w:t>
      </w:r>
      <w:r w:rsidRPr="003E6EF7">
        <w:t>o develop a methodology to adequately capture and track budgetary allocations towards women’s economic empowerment, as well as conducting some analysis around benchmarks for gender responsive budgets</w:t>
      </w:r>
      <w:r>
        <w:t>’.</w:t>
      </w:r>
      <w:r>
        <w:rPr>
          <w:rStyle w:val="FootnoteReference"/>
        </w:rPr>
        <w:footnoteReference w:id="17"/>
      </w:r>
      <w:r>
        <w:t xml:space="preserve"> In 2020, the Secretariat reported on progress on this task, noting that it was working with the Pacific Financial Technical Assistance Centre (PFTAC), Pacific Women’s Shaping Pacific Development program and UN Women, and identified a number of efforts underway and plans in the pipeline. The report committed the Secretariat to further collaborate with partners to assess models that member countries could adapt to suit their national contexts.</w:t>
      </w:r>
    </w:p>
    <w:p w14:paraId="32E69097" w14:textId="77777777" w:rsidR="00F9382E" w:rsidRDefault="00F9382E" w:rsidP="00F9382E">
      <w:pPr>
        <w:pStyle w:val="Heading4"/>
      </w:pPr>
      <w:r>
        <w:t>Reviews of GRB initiatives</w:t>
      </w:r>
    </w:p>
    <w:p w14:paraId="5245B2CB" w14:textId="2621757A" w:rsidR="00F9382E" w:rsidRPr="00C1392D" w:rsidRDefault="001412F3" w:rsidP="00F9382E">
      <w:r>
        <w:t>Several</w:t>
      </w:r>
      <w:r w:rsidR="00F9382E">
        <w:t xml:space="preserve"> </w:t>
      </w:r>
      <w:r w:rsidR="00F9382E" w:rsidRPr="00C1392D">
        <w:t xml:space="preserve">reviews have drawn key lessons from GRB initiatives in </w:t>
      </w:r>
      <w:r w:rsidR="00CB6A9A">
        <w:t>the Pacific and Timor-Leste</w:t>
      </w:r>
      <w:r w:rsidR="008868D5">
        <w:t xml:space="preserve"> </w:t>
      </w:r>
      <w:r w:rsidR="00F9382E" w:rsidRPr="00C1392D">
        <w:t>(and globally)</w:t>
      </w:r>
      <w:r w:rsidR="006C42DB">
        <w:t>:</w:t>
      </w:r>
      <w:r w:rsidR="006C42DB">
        <w:rPr>
          <w:rStyle w:val="FootnoteReference"/>
        </w:rPr>
        <w:footnoteReference w:id="18"/>
      </w:r>
    </w:p>
    <w:p w14:paraId="56E8E997" w14:textId="77777777" w:rsidR="00F9382E" w:rsidRPr="00C1392D" w:rsidRDefault="00F9382E" w:rsidP="00853654">
      <w:pPr>
        <w:pStyle w:val="ListParagraph"/>
        <w:numPr>
          <w:ilvl w:val="0"/>
          <w:numId w:val="21"/>
        </w:numPr>
        <w:spacing w:after="0" w:line="240" w:lineRule="auto"/>
        <w:rPr>
          <w:color w:val="495965" w:themeColor="text2"/>
        </w:rPr>
      </w:pPr>
      <w:r w:rsidRPr="00C1392D">
        <w:rPr>
          <w:color w:val="495965" w:themeColor="text2"/>
        </w:rPr>
        <w:t xml:space="preserve">‘The majority of gender budgeting efforts seem not to have gone far, reflecting several factors, including a lack of commitment of fiscal policymakers and government bureaucracies and weaknesses in the </w:t>
      </w:r>
      <w:r w:rsidRPr="00C1392D">
        <w:rPr>
          <w:color w:val="495965" w:themeColor="text2"/>
        </w:rPr>
        <w:lastRenderedPageBreak/>
        <w:t>structure and implementation of the initiatives.’ (</w:t>
      </w:r>
      <w:proofErr w:type="spellStart"/>
      <w:r w:rsidRPr="00C1392D">
        <w:rPr>
          <w:color w:val="495965" w:themeColor="text2"/>
        </w:rPr>
        <w:t>Stotsky</w:t>
      </w:r>
      <w:proofErr w:type="spellEnd"/>
      <w:r w:rsidRPr="00C1392D">
        <w:rPr>
          <w:color w:val="495965" w:themeColor="text2"/>
        </w:rPr>
        <w:t>, 2006) In most cases, GRB has failed to take hold and become part of the institutional fabric (</w:t>
      </w:r>
      <w:proofErr w:type="spellStart"/>
      <w:r w:rsidRPr="00C1392D">
        <w:rPr>
          <w:color w:val="495965" w:themeColor="text2"/>
        </w:rPr>
        <w:t>Nallari</w:t>
      </w:r>
      <w:proofErr w:type="spellEnd"/>
      <w:r w:rsidRPr="00C1392D">
        <w:rPr>
          <w:color w:val="495965" w:themeColor="text2"/>
        </w:rPr>
        <w:t xml:space="preserve"> and Griffith, 2011).</w:t>
      </w:r>
    </w:p>
    <w:p w14:paraId="40562983" w14:textId="39E245B6" w:rsidR="00F9382E" w:rsidRPr="00C1392D" w:rsidRDefault="00F9382E" w:rsidP="00853654">
      <w:pPr>
        <w:pStyle w:val="ListParagraph"/>
        <w:numPr>
          <w:ilvl w:val="1"/>
          <w:numId w:val="21"/>
        </w:numPr>
        <w:spacing w:after="0" w:line="240" w:lineRule="auto"/>
        <w:rPr>
          <w:color w:val="495965" w:themeColor="text2"/>
        </w:rPr>
      </w:pPr>
      <w:r w:rsidRPr="00C1392D">
        <w:rPr>
          <w:color w:val="495965" w:themeColor="text2"/>
        </w:rPr>
        <w:t xml:space="preserve">Within the classic </w:t>
      </w:r>
      <w:r w:rsidR="00120227">
        <w:rPr>
          <w:color w:val="495965" w:themeColor="text2"/>
        </w:rPr>
        <w:t>three</w:t>
      </w:r>
      <w:r w:rsidRPr="00C1392D">
        <w:rPr>
          <w:color w:val="495965" w:themeColor="text2"/>
        </w:rPr>
        <w:t xml:space="preserve">-phases of a GRB initiative (awareness, </w:t>
      </w:r>
      <w:proofErr w:type="gramStart"/>
      <w:r w:rsidRPr="00C1392D">
        <w:rPr>
          <w:color w:val="495965" w:themeColor="text2"/>
        </w:rPr>
        <w:t>accountability</w:t>
      </w:r>
      <w:proofErr w:type="gramEnd"/>
      <w:r w:rsidRPr="00C1392D">
        <w:rPr>
          <w:color w:val="495965" w:themeColor="text2"/>
        </w:rPr>
        <w:t xml:space="preserve"> and change),</w:t>
      </w:r>
      <w:r w:rsidRPr="00C1392D">
        <w:rPr>
          <w:rStyle w:val="FootnoteReference"/>
          <w:color w:val="495965" w:themeColor="text2"/>
        </w:rPr>
        <w:footnoteReference w:id="19"/>
      </w:r>
      <w:r w:rsidRPr="00C1392D">
        <w:rPr>
          <w:color w:val="495965" w:themeColor="text2"/>
        </w:rPr>
        <w:t xml:space="preserve"> many initiatives struggle to move from analysis to gender-sensitive budget formulation, since this involves changes in budgetary processes</w:t>
      </w:r>
      <w:r w:rsidR="002D0C0E">
        <w:rPr>
          <w:color w:val="495965" w:themeColor="text2"/>
        </w:rPr>
        <w:t>.</w:t>
      </w:r>
    </w:p>
    <w:p w14:paraId="44835065" w14:textId="77777777" w:rsidR="00F9382E" w:rsidRPr="00C1392D" w:rsidRDefault="00F9382E" w:rsidP="00853654">
      <w:pPr>
        <w:pStyle w:val="ListParagraph"/>
        <w:numPr>
          <w:ilvl w:val="0"/>
          <w:numId w:val="21"/>
        </w:numPr>
        <w:spacing w:after="0" w:line="240" w:lineRule="auto"/>
        <w:rPr>
          <w:color w:val="495965" w:themeColor="text2"/>
        </w:rPr>
      </w:pPr>
      <w:r w:rsidRPr="00C1392D">
        <w:rPr>
          <w:color w:val="495965" w:themeColor="text2"/>
        </w:rPr>
        <w:t>It is hard to identify the impact of GRB on gender outcomes and government resource distribution in developing countries (</w:t>
      </w:r>
      <w:proofErr w:type="spellStart"/>
      <w:r w:rsidRPr="00C1392D">
        <w:rPr>
          <w:color w:val="495965" w:themeColor="text2"/>
        </w:rPr>
        <w:t>Cambaz</w:t>
      </w:r>
      <w:proofErr w:type="spellEnd"/>
      <w:r w:rsidRPr="00C1392D">
        <w:rPr>
          <w:color w:val="495965" w:themeColor="text2"/>
        </w:rPr>
        <w:t xml:space="preserve"> 2013b), due to limited evidence of impact and the intrinsic difficulty of assessing impact. This is likely attributable to the long-term and upstream nature of changes in PFM systems (and their complex causal links to impact) and to the limited resources allocated to GRB initiatives. There is no evidence of negative impact. Positive impacts have included:</w:t>
      </w:r>
    </w:p>
    <w:p w14:paraId="7CB0094E" w14:textId="61AB6B14" w:rsidR="00F9382E" w:rsidRPr="00C1392D" w:rsidRDefault="00F9382E" w:rsidP="00853654">
      <w:pPr>
        <w:pStyle w:val="ListParagraph"/>
        <w:numPr>
          <w:ilvl w:val="1"/>
          <w:numId w:val="21"/>
        </w:numPr>
        <w:spacing w:after="0" w:line="240" w:lineRule="auto"/>
        <w:rPr>
          <w:color w:val="495965" w:themeColor="text2"/>
        </w:rPr>
      </w:pPr>
      <w:r w:rsidRPr="00C1392D">
        <w:rPr>
          <w:color w:val="495965" w:themeColor="text2"/>
        </w:rPr>
        <w:t>better dynamics for gender equality in budget processes – where awareness, capacities, data, transparency, accountability, and participation have improved</w:t>
      </w:r>
      <w:r w:rsidR="002D0C0E">
        <w:rPr>
          <w:color w:val="495965" w:themeColor="text2"/>
        </w:rPr>
        <w:t>; and</w:t>
      </w:r>
    </w:p>
    <w:p w14:paraId="0861F4A5" w14:textId="77777777" w:rsidR="00F9382E" w:rsidRPr="00C1392D" w:rsidRDefault="00F9382E" w:rsidP="00853654">
      <w:pPr>
        <w:pStyle w:val="ListParagraph"/>
        <w:numPr>
          <w:ilvl w:val="1"/>
          <w:numId w:val="21"/>
        </w:numPr>
        <w:spacing w:after="120" w:line="240" w:lineRule="auto"/>
        <w:rPr>
          <w:color w:val="495965" w:themeColor="text2"/>
        </w:rPr>
      </w:pPr>
      <w:r w:rsidRPr="00C1392D">
        <w:rPr>
          <w:color w:val="495965" w:themeColor="text2"/>
        </w:rPr>
        <w:t>improved gender outcomes in budgets, policies, and service delivery, when GRB is used in conjunction with other gender equality strategies.</w:t>
      </w:r>
    </w:p>
    <w:p w14:paraId="30F3026F" w14:textId="77777777" w:rsidR="00F9382E" w:rsidRDefault="00F9382E" w:rsidP="00F9382E">
      <w:pPr>
        <w:pStyle w:val="Heading4"/>
      </w:pPr>
      <w:r>
        <w:t>Timor-Leste case study</w:t>
      </w:r>
    </w:p>
    <w:p w14:paraId="75B12168" w14:textId="6662E69E" w:rsidR="00F9382E" w:rsidRDefault="00F9382E" w:rsidP="00C1392D">
      <w:pPr>
        <w:spacing w:after="120"/>
      </w:pPr>
      <w:r>
        <w:t>In contrast with the ad hoc efforts discussed above, Fiji and Timor-Leste provide examples where sustained effort, with strong and enduring commitment from political leaders, can drive the adoption of GRB and gender equality objectives into government and central agency operations. The previous chapter discussed Fiji’s experience and the process of implementing GRB in budget support operations. In Fiji’s case, budget support operations largely built on longer</w:t>
      </w:r>
      <w:r w:rsidR="00321F31">
        <w:t>-</w:t>
      </w:r>
      <w:r>
        <w:t>term engagements and brought gender equality issues into existing dialogues with central agencies and economic ministers. In Timor-Leste’s case, budget support operations played a limited role in building dialogues between development partners and the government or incentivising government action on gender equality: rather, strong political commitment and sustained development partner support over two decades has driven the adoption of initiatives to change financial management systems.</w:t>
      </w:r>
    </w:p>
    <w:p w14:paraId="275B7EC1" w14:textId="38EA728E" w:rsidR="00F9382E" w:rsidRDefault="00F9382E" w:rsidP="00C1392D">
      <w:pPr>
        <w:spacing w:after="120"/>
      </w:pPr>
      <w:r w:rsidRPr="003C70F4">
        <w:rPr>
          <w:b/>
          <w:bCs/>
        </w:rPr>
        <w:t xml:space="preserve">Annex </w:t>
      </w:r>
      <w:r w:rsidR="003C70F4" w:rsidRPr="003C70F4">
        <w:rPr>
          <w:b/>
          <w:bCs/>
        </w:rPr>
        <w:t>F</w:t>
      </w:r>
      <w:r>
        <w:t xml:space="preserve"> summarises the steps taken by the Government of Timor-Leste that are culminating in the adoption of </w:t>
      </w:r>
      <w:r w:rsidR="002D0C0E">
        <w:t>GRB</w:t>
      </w:r>
      <w:r>
        <w:t xml:space="preserve">. </w:t>
      </w:r>
      <w:r w:rsidRPr="008726DE">
        <w:rPr>
          <w:b/>
          <w:bCs/>
        </w:rPr>
        <w:t xml:space="preserve">Box </w:t>
      </w:r>
      <w:r w:rsidR="008E3624">
        <w:rPr>
          <w:b/>
          <w:bCs/>
        </w:rPr>
        <w:t>1</w:t>
      </w:r>
      <w:r>
        <w:t xml:space="preserve"> lays out some observations on this process.</w:t>
      </w:r>
    </w:p>
    <w:p w14:paraId="0F49CDAB" w14:textId="11CCDCFD" w:rsidR="00F9382E" w:rsidRDefault="00DA7D97" w:rsidP="00C1392D">
      <w:pPr>
        <w:spacing w:after="120"/>
      </w:pPr>
      <w:r>
        <w:t>Prima facie</w:t>
      </w:r>
      <w:r w:rsidR="00F9382E">
        <w:t>, Timor-Leste has taken the process of adopting GRB much farther than any PIC. However, the evidence suggests that implementation remains a daunting challenge, and changes in political leadership c</w:t>
      </w:r>
      <w:r w:rsidR="00D73D9E">
        <w:t>ould</w:t>
      </w:r>
      <w:r w:rsidR="00F9382E">
        <w:t xml:space="preserve"> erode the momentum for sustained action</w:t>
      </w:r>
      <w:r w:rsidR="0070063C">
        <w:t xml:space="preserve">, </w:t>
      </w:r>
      <w:r w:rsidR="00F40411">
        <w:t>particularly</w:t>
      </w:r>
      <w:r w:rsidR="0070063C">
        <w:t xml:space="preserve"> pertinent </w:t>
      </w:r>
      <w:r w:rsidR="00F40411">
        <w:t>due to the forthcoming parliamentary election in 2023.</w:t>
      </w:r>
      <w:r w:rsidR="00F9382E">
        <w:t xml:space="preserve"> The capacity and capability constraints are much more severe in Timor-Leste than Fiji</w:t>
      </w:r>
      <w:r w:rsidR="00DF6E82">
        <w:t>, and t</w:t>
      </w:r>
      <w:r w:rsidR="00F9382E">
        <w:t>he efforts in Fiji seem more likely to be sustainable without ongoing development partner support.</w:t>
      </w:r>
    </w:p>
    <w:p w14:paraId="1D63DD02" w14:textId="72168FC9" w:rsidR="00F9382E" w:rsidRDefault="00F9382E" w:rsidP="003671C3">
      <w:pPr>
        <w:pStyle w:val="Heading4"/>
        <w:pBdr>
          <w:top w:val="single" w:sz="12" w:space="1" w:color="65C5B4" w:themeColor="accent1"/>
          <w:left w:val="single" w:sz="12" w:space="4" w:color="65C5B4" w:themeColor="accent1"/>
          <w:bottom w:val="single" w:sz="12" w:space="1" w:color="65C5B4" w:themeColor="accent1"/>
          <w:right w:val="single" w:sz="12" w:space="4" w:color="65C5B4" w:themeColor="accent1"/>
        </w:pBdr>
        <w:spacing w:before="0" w:after="120"/>
      </w:pPr>
      <w:r w:rsidRPr="00C1392D">
        <w:rPr>
          <w:b/>
          <w:bCs w:val="0"/>
        </w:rPr>
        <w:t xml:space="preserve">Box </w:t>
      </w:r>
      <w:r w:rsidR="008E3624">
        <w:rPr>
          <w:b/>
          <w:bCs w:val="0"/>
        </w:rPr>
        <w:t>1</w:t>
      </w:r>
      <w:r>
        <w:t xml:space="preserve"> Lessons from Timor-Leste</w:t>
      </w:r>
    </w:p>
    <w:p w14:paraId="6EDDF6EE" w14:textId="77777777" w:rsidR="000B725F" w:rsidRDefault="000B725F" w:rsidP="003671C3">
      <w:pPr>
        <w:pBdr>
          <w:top w:val="single" w:sz="12" w:space="1" w:color="65C5B4" w:themeColor="accent1"/>
          <w:left w:val="single" w:sz="12" w:space="4" w:color="65C5B4" w:themeColor="accent1"/>
          <w:bottom w:val="single" w:sz="12" w:space="1" w:color="65C5B4" w:themeColor="accent1"/>
          <w:right w:val="single" w:sz="12" w:space="4" w:color="65C5B4" w:themeColor="accent1"/>
        </w:pBdr>
        <w:spacing w:after="120"/>
        <w:rPr>
          <w:sz w:val="20"/>
          <w:szCs w:val="20"/>
        </w:rPr>
      </w:pPr>
      <w:r>
        <w:rPr>
          <w:sz w:val="20"/>
          <w:szCs w:val="20"/>
        </w:rPr>
        <w:t xml:space="preserve">Work on gender mainstreaming began in the early stages of Timor-Leste’s independence (2002). A series of national commitments have complemented the country’s accession to key international conventions. These include: national action plans on gender based violence, transforming unequal relations between men and women (e.g., the plan on Women, Peace, and Security), gender and the private sector; ‘the </w:t>
      </w:r>
      <w:proofErr w:type="spellStart"/>
      <w:r>
        <w:rPr>
          <w:sz w:val="20"/>
          <w:szCs w:val="20"/>
        </w:rPr>
        <w:t>Maubisse</w:t>
      </w:r>
      <w:proofErr w:type="spellEnd"/>
      <w:r>
        <w:rPr>
          <w:sz w:val="20"/>
          <w:szCs w:val="20"/>
        </w:rPr>
        <w:t xml:space="preserve"> declaration’ to hold the government accountable for removing discrimination against rural women; and ‘the Dili </w:t>
      </w:r>
      <w:proofErr w:type="spellStart"/>
      <w:r>
        <w:rPr>
          <w:sz w:val="20"/>
          <w:szCs w:val="20"/>
        </w:rPr>
        <w:t>Komprimisu</w:t>
      </w:r>
      <w:proofErr w:type="spellEnd"/>
      <w:r>
        <w:rPr>
          <w:sz w:val="20"/>
          <w:szCs w:val="20"/>
        </w:rPr>
        <w:t>’ pledging action on introducing GRB, eliminating violence against women and girls, promoting equal access to resources, and developing gender-sensitive social policies.</w:t>
      </w:r>
    </w:p>
    <w:p w14:paraId="042CBB72" w14:textId="77777777" w:rsidR="003671C3" w:rsidRDefault="000B725F" w:rsidP="003671C3">
      <w:pPr>
        <w:pBdr>
          <w:top w:val="single" w:sz="12" w:space="1" w:color="65C5B4" w:themeColor="accent1"/>
          <w:left w:val="single" w:sz="12" w:space="4" w:color="65C5B4" w:themeColor="accent1"/>
          <w:bottom w:val="single" w:sz="12" w:space="1" w:color="65C5B4" w:themeColor="accent1"/>
          <w:right w:val="single" w:sz="12" w:space="4" w:color="65C5B4" w:themeColor="accent1"/>
        </w:pBdr>
        <w:spacing w:after="120"/>
        <w:rPr>
          <w:sz w:val="20"/>
          <w:szCs w:val="20"/>
        </w:rPr>
      </w:pPr>
      <w:r>
        <w:rPr>
          <w:sz w:val="20"/>
          <w:szCs w:val="20"/>
        </w:rPr>
        <w:t xml:space="preserve">An important element of mainstreaming has been the work to adopt GRB, starting with gender aware reviews of ministerial action plans and selected investments in 2006, to the </w:t>
      </w:r>
      <w:r w:rsidRPr="00416C4D">
        <w:rPr>
          <w:sz w:val="20"/>
          <w:szCs w:val="20"/>
        </w:rPr>
        <w:t xml:space="preserve">Prime Minister’s Office 2017 request for GRB to be implemented and mainstreamed in the Budgetary Governance Reform Roadmap, </w:t>
      </w:r>
      <w:r>
        <w:rPr>
          <w:sz w:val="20"/>
          <w:szCs w:val="20"/>
        </w:rPr>
        <w:t xml:space="preserve">the </w:t>
      </w:r>
      <w:r w:rsidRPr="00416C4D">
        <w:rPr>
          <w:sz w:val="20"/>
          <w:szCs w:val="20"/>
        </w:rPr>
        <w:t>Medium</w:t>
      </w:r>
      <w:r>
        <w:rPr>
          <w:sz w:val="20"/>
          <w:szCs w:val="20"/>
        </w:rPr>
        <w:t>-</w:t>
      </w:r>
      <w:r w:rsidRPr="00416C4D">
        <w:rPr>
          <w:sz w:val="20"/>
          <w:szCs w:val="20"/>
        </w:rPr>
        <w:t xml:space="preserve">Term Expenditure Framework, and </w:t>
      </w:r>
      <w:r>
        <w:rPr>
          <w:sz w:val="20"/>
          <w:szCs w:val="20"/>
        </w:rPr>
        <w:t xml:space="preserve">all </w:t>
      </w:r>
      <w:r w:rsidRPr="00416C4D">
        <w:rPr>
          <w:sz w:val="20"/>
          <w:szCs w:val="20"/>
        </w:rPr>
        <w:t xml:space="preserve">Program </w:t>
      </w:r>
      <w:r w:rsidRPr="00416C4D">
        <w:rPr>
          <w:sz w:val="20"/>
          <w:szCs w:val="20"/>
        </w:rPr>
        <w:lastRenderedPageBreak/>
        <w:t xml:space="preserve">Budgeting. </w:t>
      </w:r>
      <w:r>
        <w:rPr>
          <w:sz w:val="20"/>
          <w:szCs w:val="20"/>
        </w:rPr>
        <w:t xml:space="preserve">More recently, the Government has been implementing a 2018 comprehensive </w:t>
      </w:r>
      <w:r w:rsidRPr="00C1392D">
        <w:rPr>
          <w:sz w:val="20"/>
          <w:szCs w:val="20"/>
        </w:rPr>
        <w:t>program of actions to implement GRB.</w:t>
      </w:r>
    </w:p>
    <w:p w14:paraId="70C21047" w14:textId="77777777" w:rsidR="003671C3" w:rsidRPr="003671C3" w:rsidRDefault="000B725F" w:rsidP="003671C3">
      <w:pPr>
        <w:pBdr>
          <w:top w:val="single" w:sz="12" w:space="1" w:color="65C5B4" w:themeColor="accent1"/>
          <w:left w:val="single" w:sz="12" w:space="4" w:color="65C5B4" w:themeColor="accent1"/>
          <w:bottom w:val="single" w:sz="12" w:space="1" w:color="65C5B4" w:themeColor="accent1"/>
          <w:right w:val="single" w:sz="12" w:space="4" w:color="65C5B4" w:themeColor="accent1"/>
        </w:pBdr>
        <w:spacing w:after="120"/>
        <w:rPr>
          <w:sz w:val="20"/>
          <w:szCs w:val="20"/>
        </w:rPr>
      </w:pPr>
      <w:r w:rsidRPr="00C1392D">
        <w:rPr>
          <w:sz w:val="20"/>
          <w:szCs w:val="20"/>
        </w:rPr>
        <w:t>Key fea</w:t>
      </w:r>
      <w:r w:rsidRPr="003671C3">
        <w:rPr>
          <w:sz w:val="20"/>
          <w:szCs w:val="20"/>
        </w:rPr>
        <w:t>tures:</w:t>
      </w:r>
    </w:p>
    <w:p w14:paraId="10158653" w14:textId="77777777" w:rsidR="003671C3" w:rsidRPr="003671C3" w:rsidRDefault="000B725F" w:rsidP="00853654">
      <w:pPr>
        <w:pStyle w:val="ListParagraph"/>
        <w:numPr>
          <w:ilvl w:val="0"/>
          <w:numId w:val="35"/>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after="120"/>
        <w:rPr>
          <w:color w:val="495965" w:themeColor="text2"/>
          <w:sz w:val="20"/>
          <w:szCs w:val="20"/>
        </w:rPr>
      </w:pPr>
      <w:r w:rsidRPr="003671C3">
        <w:rPr>
          <w:color w:val="495965" w:themeColor="text2"/>
          <w:sz w:val="20"/>
          <w:szCs w:val="20"/>
        </w:rPr>
        <w:t>There has been very strong political support for the process, associated with a strong commitment to the pursuit of gender equality and the creation of Parliamentary and inter-ministerial groups to guide and coordinate activities has been effective.</w:t>
      </w:r>
    </w:p>
    <w:p w14:paraId="757C08AC" w14:textId="77777777" w:rsidR="003671C3" w:rsidRPr="003671C3" w:rsidRDefault="000B725F" w:rsidP="00853654">
      <w:pPr>
        <w:pStyle w:val="ListParagraph"/>
        <w:numPr>
          <w:ilvl w:val="0"/>
          <w:numId w:val="35"/>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after="120"/>
        <w:rPr>
          <w:color w:val="495965" w:themeColor="text2"/>
          <w:sz w:val="20"/>
          <w:szCs w:val="20"/>
        </w:rPr>
      </w:pPr>
      <w:r w:rsidRPr="003671C3">
        <w:rPr>
          <w:color w:val="495965" w:themeColor="text2"/>
          <w:sz w:val="20"/>
          <w:szCs w:val="20"/>
        </w:rPr>
        <w:t>Because the PFM system is relatively new and under development, GRB has been introduced into system development (rather than trying to change long-established practices with systemic and personal inertia).</w:t>
      </w:r>
      <w:r w:rsidR="003671C3" w:rsidRPr="003671C3">
        <w:rPr>
          <w:color w:val="495965" w:themeColor="text2"/>
          <w:sz w:val="20"/>
          <w:szCs w:val="20"/>
        </w:rPr>
        <w:t xml:space="preserve"> </w:t>
      </w:r>
      <w:r w:rsidRPr="003671C3">
        <w:rPr>
          <w:color w:val="495965" w:themeColor="text2"/>
          <w:sz w:val="20"/>
          <w:szCs w:val="20"/>
        </w:rPr>
        <w:t>This has allowed early institutionalisation of gender budgeting, establishing the legal basis for GRB, producing gender statements in budget documents, and adopting gender-sensitive budget circulars.</w:t>
      </w:r>
    </w:p>
    <w:p w14:paraId="75A62482" w14:textId="77777777" w:rsidR="003671C3" w:rsidRPr="003671C3" w:rsidRDefault="000B725F" w:rsidP="00853654">
      <w:pPr>
        <w:pStyle w:val="ListParagraph"/>
        <w:numPr>
          <w:ilvl w:val="0"/>
          <w:numId w:val="35"/>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after="120"/>
        <w:rPr>
          <w:color w:val="495965" w:themeColor="text2"/>
          <w:sz w:val="20"/>
          <w:szCs w:val="20"/>
        </w:rPr>
      </w:pPr>
      <w:r w:rsidRPr="003671C3">
        <w:rPr>
          <w:color w:val="495965" w:themeColor="text2"/>
          <w:sz w:val="20"/>
          <w:szCs w:val="20"/>
        </w:rPr>
        <w:t>The GRB process has been facilitated by the Constitutional mandate on equality between men and women in all areas of family, political, economic, social, and cultural life and for no discrimination on grounds of gender.</w:t>
      </w:r>
      <w:r w:rsidRPr="003671C3">
        <w:rPr>
          <w:rStyle w:val="FootnoteReference"/>
          <w:color w:val="495965" w:themeColor="text2"/>
          <w:sz w:val="20"/>
          <w:szCs w:val="20"/>
        </w:rPr>
        <w:footnoteReference w:id="20"/>
      </w:r>
    </w:p>
    <w:p w14:paraId="7907B9C8" w14:textId="77777777" w:rsidR="003671C3" w:rsidRPr="003671C3" w:rsidRDefault="000B725F" w:rsidP="00853654">
      <w:pPr>
        <w:pStyle w:val="ListParagraph"/>
        <w:numPr>
          <w:ilvl w:val="0"/>
          <w:numId w:val="35"/>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after="120"/>
        <w:rPr>
          <w:color w:val="495965" w:themeColor="text2"/>
          <w:sz w:val="20"/>
          <w:szCs w:val="20"/>
        </w:rPr>
      </w:pPr>
      <w:r w:rsidRPr="003671C3">
        <w:rPr>
          <w:color w:val="495965" w:themeColor="text2"/>
          <w:sz w:val="20"/>
          <w:szCs w:val="20"/>
        </w:rPr>
        <w:t>The integration of gender into Annual Action Plans, which are central documents in the budget process for all ministries and state institutions, has been a central achievement of the GRB initiative. The women’s machinery reviews all these plans.</w:t>
      </w:r>
    </w:p>
    <w:p w14:paraId="1C80932E" w14:textId="77777777" w:rsidR="003671C3" w:rsidRPr="003671C3" w:rsidRDefault="000B725F" w:rsidP="00853654">
      <w:pPr>
        <w:pStyle w:val="ListParagraph"/>
        <w:numPr>
          <w:ilvl w:val="0"/>
          <w:numId w:val="35"/>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after="120"/>
        <w:rPr>
          <w:color w:val="495965" w:themeColor="text2"/>
          <w:sz w:val="20"/>
          <w:szCs w:val="20"/>
        </w:rPr>
      </w:pPr>
      <w:r w:rsidRPr="003671C3">
        <w:rPr>
          <w:color w:val="495965" w:themeColor="text2"/>
          <w:sz w:val="20"/>
          <w:szCs w:val="20"/>
        </w:rPr>
        <w:t xml:space="preserve">However, </w:t>
      </w:r>
      <w:bookmarkStart w:id="61" w:name="_Hlk120436723"/>
      <w:r w:rsidRPr="003671C3">
        <w:rPr>
          <w:color w:val="495965" w:themeColor="text2"/>
          <w:sz w:val="20"/>
          <w:szCs w:val="20"/>
        </w:rPr>
        <w:t>while the Government plans to develop a roadmap for PFM reform, it currently does not have a comprehensive roadmap like most PICs</w:t>
      </w:r>
      <w:bookmarkEnd w:id="61"/>
      <w:r w:rsidRPr="003671C3">
        <w:rPr>
          <w:color w:val="495965" w:themeColor="text2"/>
          <w:sz w:val="20"/>
          <w:szCs w:val="20"/>
        </w:rPr>
        <w:t>,</w:t>
      </w:r>
      <w:r w:rsidRPr="003671C3">
        <w:rPr>
          <w:rStyle w:val="FootnoteReference"/>
          <w:color w:val="495965" w:themeColor="text2"/>
          <w:sz w:val="20"/>
          <w:szCs w:val="20"/>
        </w:rPr>
        <w:footnoteReference w:id="21"/>
      </w:r>
      <w:r w:rsidRPr="003671C3">
        <w:rPr>
          <w:color w:val="495965" w:themeColor="text2"/>
          <w:sz w:val="20"/>
          <w:szCs w:val="20"/>
        </w:rPr>
        <w:t xml:space="preserve"> so it is hard to assess how well the GRB initiatives are integrated into broader PFM reform processes.</w:t>
      </w:r>
      <w:r w:rsidR="003671C3" w:rsidRPr="003671C3">
        <w:rPr>
          <w:color w:val="495965" w:themeColor="text2"/>
          <w:sz w:val="20"/>
          <w:szCs w:val="20"/>
        </w:rPr>
        <w:t xml:space="preserve"> </w:t>
      </w:r>
      <w:r w:rsidRPr="003671C3">
        <w:rPr>
          <w:color w:val="495965" w:themeColor="text2"/>
          <w:sz w:val="20"/>
          <w:szCs w:val="20"/>
        </w:rPr>
        <w:t>Adoption of GRB has been helped by the Government’s decision to move to program-based budgeting but there are concerns that program-based budgeting is an ambitious reform that is straining government capacity.</w:t>
      </w:r>
    </w:p>
    <w:p w14:paraId="29329400" w14:textId="77777777" w:rsidR="003671C3" w:rsidRPr="003671C3" w:rsidRDefault="000B725F" w:rsidP="00853654">
      <w:pPr>
        <w:pStyle w:val="ListParagraph"/>
        <w:numPr>
          <w:ilvl w:val="0"/>
          <w:numId w:val="35"/>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after="120"/>
        <w:rPr>
          <w:color w:val="495965" w:themeColor="text2"/>
          <w:sz w:val="20"/>
          <w:szCs w:val="20"/>
        </w:rPr>
      </w:pPr>
      <w:r w:rsidRPr="003671C3">
        <w:rPr>
          <w:color w:val="495965" w:themeColor="text2"/>
          <w:sz w:val="20"/>
          <w:szCs w:val="20"/>
        </w:rPr>
        <w:t xml:space="preserve">Support from development partners has been strong and sustained, but there has been a degree of fragmentation and a lack of transparency around the assistance provided through the country’s </w:t>
      </w:r>
      <w:proofErr w:type="spellStart"/>
      <w:r w:rsidRPr="003671C3">
        <w:rPr>
          <w:color w:val="495965" w:themeColor="text2"/>
          <w:sz w:val="20"/>
          <w:szCs w:val="20"/>
        </w:rPr>
        <w:t>lusophone</w:t>
      </w:r>
      <w:proofErr w:type="spellEnd"/>
      <w:r w:rsidRPr="003671C3">
        <w:rPr>
          <w:color w:val="495965" w:themeColor="text2"/>
          <w:sz w:val="20"/>
          <w:szCs w:val="20"/>
        </w:rPr>
        <w:t xml:space="preserve"> linkages and directly contracted advisory services. The support has been working across the key dimensions of awareness, accountability, and change, and building on strong processes for dialogue - without drawing on the convening facility of budget support operations. However, some commentators have noted that the actual implementation of gender-sensitive policies has been heavily driven by development partners with initiative often coming to a halt when external funding ceases.</w:t>
      </w:r>
      <w:r w:rsidRPr="003671C3">
        <w:rPr>
          <w:color w:val="495965" w:themeColor="text2"/>
          <w:vertAlign w:val="superscript"/>
        </w:rPr>
        <w:footnoteReference w:id="22"/>
      </w:r>
    </w:p>
    <w:p w14:paraId="1D3755A9" w14:textId="7B5C90F9" w:rsidR="000B725F" w:rsidRPr="003671C3" w:rsidRDefault="000B725F" w:rsidP="00853654">
      <w:pPr>
        <w:pStyle w:val="ListParagraph"/>
        <w:numPr>
          <w:ilvl w:val="0"/>
          <w:numId w:val="35"/>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after="120"/>
        <w:rPr>
          <w:color w:val="495965" w:themeColor="text2"/>
          <w:sz w:val="20"/>
          <w:szCs w:val="20"/>
        </w:rPr>
      </w:pPr>
      <w:r w:rsidRPr="003671C3">
        <w:rPr>
          <w:color w:val="495965" w:themeColor="text2"/>
          <w:sz w:val="20"/>
          <w:szCs w:val="20"/>
        </w:rPr>
        <w:t>Continued high levels of support are likely to be needed over a protracted period to implement the dual program- and gender-budgeting initiatives.</w:t>
      </w:r>
    </w:p>
    <w:p w14:paraId="6ACF79C5" w14:textId="6A06AD68" w:rsidR="00F9382E" w:rsidRDefault="00F9382E" w:rsidP="00C1392D">
      <w:pPr>
        <w:pStyle w:val="Heading4"/>
        <w:spacing w:before="120"/>
      </w:pPr>
      <w:r w:rsidRPr="00C1392D">
        <w:t>Limiting</w:t>
      </w:r>
      <w:r>
        <w:t xml:space="preserve"> GRB to parts of the budget cycle</w:t>
      </w:r>
    </w:p>
    <w:p w14:paraId="347F657D" w14:textId="161189D5" w:rsidR="00F9382E" w:rsidRDefault="009A6228" w:rsidP="00F9382E">
      <w:r>
        <w:t xml:space="preserve">Initiatives do not have to engage with </w:t>
      </w:r>
      <w:r w:rsidRPr="00C30395">
        <w:rPr>
          <w:i/>
          <w:iCs/>
        </w:rPr>
        <w:t>all</w:t>
      </w:r>
      <w:r>
        <w:t xml:space="preserve"> stages of the budget cycle simultaneously, or across all sectors, programs</w:t>
      </w:r>
      <w:r w:rsidR="00E67E2F">
        <w:t>,</w:t>
      </w:r>
      <w:r>
        <w:t xml:space="preserve"> and agencies.</w:t>
      </w:r>
      <w:r>
        <w:rPr>
          <w:rStyle w:val="FootnoteReference"/>
        </w:rPr>
        <w:footnoteReference w:id="23"/>
      </w:r>
      <w:r>
        <w:t xml:space="preserve"> </w:t>
      </w:r>
      <w:r w:rsidR="00F9382E">
        <w:t xml:space="preserve">Both Fiji and Timor-Leste present examples of attempts to introduce GRB into </w:t>
      </w:r>
      <w:r w:rsidR="00F9382E" w:rsidRPr="009A6228">
        <w:rPr>
          <w:b/>
          <w:bCs/>
          <w:i/>
          <w:iCs/>
        </w:rPr>
        <w:t>all</w:t>
      </w:r>
      <w:r w:rsidR="00F9382E">
        <w:t xml:space="preserve"> </w:t>
      </w:r>
      <w:r w:rsidR="00E67E2F">
        <w:t>PFM</w:t>
      </w:r>
      <w:r w:rsidR="00F9382E">
        <w:t xml:space="preserve"> systems and processes. </w:t>
      </w:r>
      <w:r>
        <w:t>A</w:t>
      </w:r>
      <w:r w:rsidR="00F9382E">
        <w:t xml:space="preserve">n alternative approach </w:t>
      </w:r>
      <w:r>
        <w:t>is</w:t>
      </w:r>
      <w:r w:rsidR="00F9382E">
        <w:t xml:space="preserve"> to work selectively with different stages of the budgeting and public expenditure management cycle</w:t>
      </w:r>
      <w:r w:rsidR="00E67E2F">
        <w:t>.</w:t>
      </w:r>
    </w:p>
    <w:p w14:paraId="427924E2" w14:textId="171814C1" w:rsidR="00583BAE" w:rsidRDefault="00F9382E" w:rsidP="00DF6E82">
      <w:pPr>
        <w:rPr>
          <w:b/>
          <w:bCs/>
        </w:rPr>
      </w:pPr>
      <w:r w:rsidRPr="003C70F4">
        <w:rPr>
          <w:b/>
          <w:bCs/>
        </w:rPr>
        <w:t>Table 2</w:t>
      </w:r>
      <w:r>
        <w:t xml:space="preserve"> presents a summary from a recent Overseas Development Institute </w:t>
      </w:r>
      <w:r w:rsidR="006E20CB">
        <w:t xml:space="preserve">(ODI) </w:t>
      </w:r>
      <w:r>
        <w:t xml:space="preserve">publication discussing </w:t>
      </w:r>
      <w:r w:rsidR="00DF6E82">
        <w:t xml:space="preserve">how different tools could be deployed to introduce gender considerations into different parts of the public expenditure management system </w:t>
      </w:r>
      <w:r>
        <w:t xml:space="preserve">(the </w:t>
      </w:r>
      <w:r w:rsidR="00AE5F0B">
        <w:t>area</w:t>
      </w:r>
      <w:r>
        <w:t xml:space="preserve"> of PFM where most GRB efforts have been focused). </w:t>
      </w:r>
      <w:r w:rsidR="00BF42E6">
        <w:t>Note, however, t</w:t>
      </w:r>
      <w:r w:rsidR="009A6228">
        <w:t xml:space="preserve">he argument against </w:t>
      </w:r>
      <w:r w:rsidR="008C77B1">
        <w:t>limiting GRB to selective parts of the budget cycle is that</w:t>
      </w:r>
      <w:r>
        <w:t xml:space="preserve"> if GRB is not </w:t>
      </w:r>
      <w:r w:rsidRPr="00ED2F25">
        <w:rPr>
          <w:i/>
          <w:iCs/>
        </w:rPr>
        <w:t>fully</w:t>
      </w:r>
      <w:r>
        <w:t xml:space="preserve"> integrated into the budget process, it may not be sustainable.</w:t>
      </w:r>
      <w:r>
        <w:rPr>
          <w:rStyle w:val="FootnoteReference"/>
        </w:rPr>
        <w:footnoteReference w:id="24"/>
      </w:r>
    </w:p>
    <w:p w14:paraId="476FC979" w14:textId="1F70B915" w:rsidR="00F9382E" w:rsidRDefault="00F9382E" w:rsidP="00F23A44">
      <w:pPr>
        <w:pStyle w:val="Heading4"/>
        <w:spacing w:before="120" w:after="120"/>
      </w:pPr>
      <w:r w:rsidRPr="003C70F4">
        <w:rPr>
          <w:b/>
          <w:bCs w:val="0"/>
        </w:rPr>
        <w:lastRenderedPageBreak/>
        <w:t>Table 2</w:t>
      </w:r>
      <w:r>
        <w:t xml:space="preserve"> Examples of gender-focused tools in the public expenditure management cycle</w:t>
      </w:r>
    </w:p>
    <w:tbl>
      <w:tblPr>
        <w:tblStyle w:val="DFATTable1"/>
        <w:tblW w:w="5000" w:type="pct"/>
        <w:tblLook w:val="04A0" w:firstRow="1" w:lastRow="0" w:firstColumn="1" w:lastColumn="0" w:noHBand="0" w:noVBand="1"/>
      </w:tblPr>
      <w:tblGrid>
        <w:gridCol w:w="2409"/>
        <w:gridCol w:w="7563"/>
      </w:tblGrid>
      <w:tr w:rsidR="00C1392D" w:rsidRPr="00795DDB" w14:paraId="419DE753" w14:textId="77777777" w:rsidTr="001766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08" w:type="pct"/>
          </w:tcPr>
          <w:p w14:paraId="2690F9C1" w14:textId="66954294" w:rsidR="00F9382E" w:rsidRPr="00795DDB" w:rsidRDefault="00C1392D" w:rsidP="00C1392D">
            <w:pPr>
              <w:widowControl w:val="0"/>
              <w:autoSpaceDE w:val="0"/>
              <w:autoSpaceDN w:val="0"/>
              <w:adjustRightInd w:val="0"/>
              <w:spacing w:before="0"/>
              <w:contextualSpacing/>
              <w:rPr>
                <w:rFonts w:cs="Calibri"/>
                <w:b/>
                <w:bCs/>
                <w:color w:val="FFFFFF" w:themeColor="background1"/>
                <w:spacing w:val="-7"/>
                <w:w w:val="93"/>
                <w:sz w:val="20"/>
                <w:szCs w:val="20"/>
              </w:rPr>
            </w:pPr>
            <w:r w:rsidRPr="00795DDB">
              <w:rPr>
                <w:rFonts w:cs="Calibri"/>
                <w:b/>
                <w:bCs/>
                <w:color w:val="FFFFFF" w:themeColor="background1"/>
                <w:spacing w:val="-7"/>
                <w:w w:val="93"/>
                <w:sz w:val="20"/>
                <w:szCs w:val="20"/>
              </w:rPr>
              <w:t xml:space="preserve">AREA OF </w:t>
            </w:r>
            <w:r w:rsidR="001B5944" w:rsidRPr="00795DDB">
              <w:rPr>
                <w:rFonts w:cs="Calibri"/>
                <w:b/>
                <w:bCs/>
                <w:color w:val="FFFFFF" w:themeColor="background1"/>
                <w:spacing w:val="-7"/>
                <w:w w:val="93"/>
                <w:sz w:val="20"/>
                <w:szCs w:val="20"/>
              </w:rPr>
              <w:t>EXPENDITURE</w:t>
            </w:r>
            <w:r w:rsidRPr="00795DDB">
              <w:rPr>
                <w:rFonts w:cs="Calibri"/>
                <w:b/>
                <w:bCs/>
                <w:color w:val="FFFFFF" w:themeColor="background1"/>
                <w:spacing w:val="-7"/>
                <w:w w:val="93"/>
                <w:sz w:val="20"/>
                <w:szCs w:val="20"/>
              </w:rPr>
              <w:t xml:space="preserve"> CYCLE</w:t>
            </w:r>
          </w:p>
        </w:tc>
        <w:tc>
          <w:tcPr>
            <w:tcW w:w="3792" w:type="pct"/>
          </w:tcPr>
          <w:p w14:paraId="22CA2FF1" w14:textId="0E435210" w:rsidR="00F9382E" w:rsidRPr="00795DDB" w:rsidRDefault="00C1392D" w:rsidP="00C1392D">
            <w:pPr>
              <w:widowControl w:val="0"/>
              <w:autoSpaceDE w:val="0"/>
              <w:autoSpaceDN w:val="0"/>
              <w:adjustRightInd w:val="0"/>
              <w:spacing w:before="0"/>
              <w:contextualSpacing/>
              <w:cnfStyle w:val="100000000000" w:firstRow="1" w:lastRow="0" w:firstColumn="0" w:lastColumn="0" w:oddVBand="0" w:evenVBand="0" w:oddHBand="0" w:evenHBand="0" w:firstRowFirstColumn="0" w:firstRowLastColumn="0" w:lastRowFirstColumn="0" w:lastRowLastColumn="0"/>
              <w:rPr>
                <w:rFonts w:cs="Calibri"/>
                <w:b/>
                <w:bCs/>
                <w:color w:val="FFFFFF" w:themeColor="background1"/>
                <w:spacing w:val="-7"/>
                <w:w w:val="89"/>
                <w:sz w:val="18"/>
                <w:szCs w:val="18"/>
              </w:rPr>
            </w:pPr>
            <w:r w:rsidRPr="00795DDB">
              <w:rPr>
                <w:rFonts w:cs="Calibri"/>
                <w:b/>
                <w:bCs/>
                <w:color w:val="FFFFFF" w:themeColor="background1"/>
                <w:spacing w:val="-7"/>
                <w:w w:val="93"/>
                <w:sz w:val="20"/>
                <w:szCs w:val="20"/>
              </w:rPr>
              <w:t>SPECIFIC TOOLS</w:t>
            </w:r>
          </w:p>
        </w:tc>
      </w:tr>
      <w:tr w:rsidR="00C1392D" w:rsidRPr="00795DDB" w14:paraId="4F4AF0A8" w14:textId="77777777" w:rsidTr="00BF42E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208" w:type="pct"/>
          </w:tcPr>
          <w:p w14:paraId="61C02C86" w14:textId="77777777" w:rsidR="00F9382E" w:rsidRPr="00795DDB" w:rsidRDefault="00F9382E" w:rsidP="00C1392D">
            <w:pPr>
              <w:widowControl w:val="0"/>
              <w:autoSpaceDE w:val="0"/>
              <w:autoSpaceDN w:val="0"/>
              <w:adjustRightInd w:val="0"/>
              <w:spacing w:before="0"/>
              <w:contextualSpacing/>
              <w:rPr>
                <w:rFonts w:cs="Calibri"/>
                <w:b/>
                <w:bCs/>
                <w:color w:val="000000" w:themeColor="text1"/>
                <w:spacing w:val="-7"/>
                <w:w w:val="93"/>
                <w:sz w:val="20"/>
                <w:szCs w:val="20"/>
              </w:rPr>
            </w:pPr>
            <w:r w:rsidRPr="00795DDB">
              <w:rPr>
                <w:rFonts w:cs="Calibri"/>
                <w:b/>
                <w:bCs/>
                <w:color w:val="000000" w:themeColor="text1"/>
                <w:spacing w:val="-7"/>
                <w:w w:val="86"/>
                <w:sz w:val="20"/>
                <w:szCs w:val="20"/>
              </w:rPr>
              <w:t>1. Policy development and budget preparation</w:t>
            </w:r>
          </w:p>
        </w:tc>
        <w:tc>
          <w:tcPr>
            <w:tcW w:w="3792" w:type="pct"/>
          </w:tcPr>
          <w:p w14:paraId="2478F490" w14:textId="7BA2686B" w:rsidR="00F9382E" w:rsidRPr="00795DDB" w:rsidRDefault="00F9382E" w:rsidP="00853654">
            <w:pPr>
              <w:pStyle w:val="ListParagraph"/>
              <w:widowControl w:val="0"/>
              <w:numPr>
                <w:ilvl w:val="0"/>
                <w:numId w:val="28"/>
              </w:numPr>
              <w:autoSpaceDE w:val="0"/>
              <w:autoSpaceDN w:val="0"/>
              <w:adjustRightInd w:val="0"/>
              <w:spacing w:before="0" w:after="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Calibri"/>
                <w:spacing w:val="-7"/>
                <w:w w:val="93"/>
                <w:sz w:val="20"/>
                <w:szCs w:val="20"/>
              </w:rPr>
            </w:pPr>
            <w:r w:rsidRPr="00795DDB">
              <w:rPr>
                <w:rFonts w:cs="Calibri"/>
                <w:color w:val="495965" w:themeColor="text2"/>
                <w:spacing w:val="-7"/>
                <w:w w:val="86"/>
                <w:sz w:val="20"/>
                <w:szCs w:val="20"/>
              </w:rPr>
              <w:t>Review the National Development Plan for its treatment and focus of gender-related policies</w:t>
            </w:r>
            <w:r w:rsidR="00C1392D" w:rsidRPr="00795DDB">
              <w:rPr>
                <w:rFonts w:cs="Calibri"/>
                <w:color w:val="495965" w:themeColor="text2"/>
                <w:spacing w:val="-7"/>
                <w:w w:val="86"/>
                <w:sz w:val="20"/>
                <w:szCs w:val="20"/>
              </w:rPr>
              <w:t>.</w:t>
            </w:r>
            <w:r w:rsidRPr="00795DDB">
              <w:rPr>
                <w:rFonts w:cs="Calibri"/>
                <w:color w:val="495965" w:themeColor="text2"/>
                <w:spacing w:val="-7"/>
                <w:w w:val="86"/>
                <w:sz w:val="20"/>
                <w:szCs w:val="20"/>
              </w:rPr>
              <w:t xml:space="preserve"> </w:t>
            </w:r>
          </w:p>
        </w:tc>
      </w:tr>
      <w:tr w:rsidR="00C1392D" w:rsidRPr="00795DDB" w14:paraId="10B803BA" w14:textId="77777777" w:rsidTr="00BF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08FF4DA7" w14:textId="77777777" w:rsidR="00F9382E" w:rsidRPr="00795DDB" w:rsidRDefault="00F9382E" w:rsidP="00C1392D">
            <w:pPr>
              <w:widowControl w:val="0"/>
              <w:autoSpaceDE w:val="0"/>
              <w:autoSpaceDN w:val="0"/>
              <w:adjustRightInd w:val="0"/>
              <w:spacing w:before="0"/>
              <w:contextualSpacing/>
              <w:rPr>
                <w:rFonts w:cs="Calibri"/>
                <w:b/>
                <w:bCs/>
                <w:color w:val="000000" w:themeColor="text1"/>
                <w:spacing w:val="-7"/>
                <w:w w:val="93"/>
                <w:sz w:val="20"/>
                <w:szCs w:val="20"/>
              </w:rPr>
            </w:pPr>
            <w:r w:rsidRPr="00795DDB">
              <w:rPr>
                <w:rFonts w:cs="Calibri"/>
                <w:b/>
                <w:bCs/>
                <w:color w:val="000000" w:themeColor="text1"/>
                <w:spacing w:val="-7"/>
                <w:w w:val="87"/>
                <w:sz w:val="20"/>
                <w:szCs w:val="20"/>
              </w:rPr>
              <w:t>2. Setting budget framework</w:t>
            </w:r>
          </w:p>
        </w:tc>
        <w:tc>
          <w:tcPr>
            <w:tcW w:w="3792" w:type="pct"/>
          </w:tcPr>
          <w:p w14:paraId="4552B35E" w14:textId="05C1A5A0" w:rsidR="00F9382E" w:rsidRPr="00795DDB" w:rsidRDefault="00F9382E" w:rsidP="00853654">
            <w:pPr>
              <w:pStyle w:val="ListParagraph"/>
              <w:widowControl w:val="0"/>
              <w:numPr>
                <w:ilvl w:val="0"/>
                <w:numId w:val="28"/>
              </w:numPr>
              <w:autoSpaceDE w:val="0"/>
              <w:autoSpaceDN w:val="0"/>
              <w:adjustRightInd w:val="0"/>
              <w:spacing w:before="0" w:after="0" w:line="257" w:lineRule="auto"/>
              <w:ind w:left="357" w:hanging="357"/>
              <w:contextualSpacing w:val="0"/>
              <w:cnfStyle w:val="000000010000" w:firstRow="0" w:lastRow="0" w:firstColumn="0" w:lastColumn="0" w:oddVBand="0" w:evenVBand="0" w:oddHBand="0" w:evenHBand="1" w:firstRowFirstColumn="0" w:firstRowLastColumn="0" w:lastRowFirstColumn="0" w:lastRowLastColumn="0"/>
              <w:rPr>
                <w:rFonts w:cs="Calibri"/>
                <w:spacing w:val="-7"/>
                <w:w w:val="93"/>
                <w:sz w:val="20"/>
                <w:szCs w:val="20"/>
              </w:rPr>
            </w:pPr>
            <w:r w:rsidRPr="00795DDB">
              <w:rPr>
                <w:rFonts w:cs="Calibri"/>
                <w:color w:val="495965" w:themeColor="text2"/>
                <w:spacing w:val="-7"/>
                <w:w w:val="86"/>
                <w:sz w:val="20"/>
                <w:szCs w:val="20"/>
              </w:rPr>
              <w:t xml:space="preserve">Identify possible specific </w:t>
            </w:r>
            <w:r w:rsidR="009236DE">
              <w:rPr>
                <w:rFonts w:cs="Calibri"/>
                <w:color w:val="495965" w:themeColor="text2"/>
                <w:spacing w:val="-7"/>
                <w:w w:val="86"/>
                <w:sz w:val="20"/>
                <w:szCs w:val="20"/>
              </w:rPr>
              <w:t xml:space="preserve">development partner </w:t>
            </w:r>
            <w:r w:rsidRPr="00795DDB">
              <w:rPr>
                <w:rFonts w:cs="Calibri"/>
                <w:color w:val="495965" w:themeColor="text2"/>
                <w:spacing w:val="-7"/>
                <w:w w:val="86"/>
                <w:sz w:val="20"/>
                <w:szCs w:val="20"/>
              </w:rPr>
              <w:t>funding for gender-related program</w:t>
            </w:r>
            <w:r w:rsidR="00FF37ED" w:rsidRPr="00795DDB">
              <w:rPr>
                <w:rFonts w:cs="Calibri"/>
                <w:color w:val="495965" w:themeColor="text2"/>
                <w:spacing w:val="-7"/>
                <w:w w:val="86"/>
                <w:sz w:val="20"/>
                <w:szCs w:val="20"/>
              </w:rPr>
              <w:t>s</w:t>
            </w:r>
            <w:r w:rsidR="00C1392D" w:rsidRPr="00795DDB">
              <w:rPr>
                <w:rFonts w:cs="Calibri"/>
                <w:color w:val="495965" w:themeColor="text2"/>
                <w:spacing w:val="-7"/>
                <w:w w:val="86"/>
                <w:sz w:val="20"/>
                <w:szCs w:val="20"/>
              </w:rPr>
              <w:t>.</w:t>
            </w:r>
          </w:p>
        </w:tc>
      </w:tr>
      <w:tr w:rsidR="00C1392D" w:rsidRPr="00795DDB" w14:paraId="7B59A1A2" w14:textId="77777777" w:rsidTr="00BF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7E73C398" w14:textId="77777777" w:rsidR="00F9382E" w:rsidRPr="00795DDB" w:rsidRDefault="00F9382E" w:rsidP="00C1392D">
            <w:pPr>
              <w:widowControl w:val="0"/>
              <w:autoSpaceDE w:val="0"/>
              <w:autoSpaceDN w:val="0"/>
              <w:adjustRightInd w:val="0"/>
              <w:spacing w:before="0"/>
              <w:contextualSpacing/>
              <w:rPr>
                <w:rFonts w:cs="Calibri"/>
                <w:b/>
                <w:bCs/>
                <w:color w:val="000000" w:themeColor="text1"/>
                <w:spacing w:val="-7"/>
                <w:w w:val="93"/>
                <w:sz w:val="20"/>
                <w:szCs w:val="20"/>
              </w:rPr>
            </w:pPr>
            <w:r w:rsidRPr="00795DDB">
              <w:rPr>
                <w:rFonts w:cs="Calibri"/>
                <w:b/>
                <w:bCs/>
                <w:color w:val="000000" w:themeColor="text1"/>
                <w:spacing w:val="-7"/>
                <w:w w:val="86"/>
                <w:sz w:val="20"/>
                <w:szCs w:val="20"/>
              </w:rPr>
              <w:t>3. Preparing the budget</w:t>
            </w:r>
          </w:p>
        </w:tc>
        <w:tc>
          <w:tcPr>
            <w:tcW w:w="3792" w:type="pct"/>
          </w:tcPr>
          <w:p w14:paraId="7F1E161F" w14:textId="0B66DEBE" w:rsidR="00787E69" w:rsidRPr="00795DDB" w:rsidRDefault="00F9382E" w:rsidP="00853654">
            <w:pPr>
              <w:pStyle w:val="ListParagraph"/>
              <w:widowControl w:val="0"/>
              <w:numPr>
                <w:ilvl w:val="0"/>
                <w:numId w:val="28"/>
              </w:numPr>
              <w:autoSpaceDE w:val="0"/>
              <w:autoSpaceDN w:val="0"/>
              <w:adjustRightInd w:val="0"/>
              <w:spacing w:before="0" w:after="0" w:line="257"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Calibri"/>
                <w:color w:val="495965" w:themeColor="text2"/>
                <w:spacing w:val="-7"/>
                <w:w w:val="86"/>
                <w:sz w:val="20"/>
                <w:szCs w:val="20"/>
              </w:rPr>
            </w:pPr>
            <w:r w:rsidRPr="00795DDB">
              <w:rPr>
                <w:rFonts w:cs="Calibri"/>
                <w:color w:val="495965" w:themeColor="text2"/>
                <w:spacing w:val="-7"/>
                <w:w w:val="86"/>
                <w:sz w:val="20"/>
                <w:szCs w:val="20"/>
              </w:rPr>
              <w:t xml:space="preserve">Review proposed </w:t>
            </w:r>
            <w:r w:rsidR="009236DE">
              <w:rPr>
                <w:rFonts w:cs="Calibri"/>
                <w:color w:val="495965" w:themeColor="text2"/>
                <w:spacing w:val="-7"/>
                <w:w w:val="86"/>
                <w:sz w:val="20"/>
                <w:szCs w:val="20"/>
              </w:rPr>
              <w:t xml:space="preserve">development partner </w:t>
            </w:r>
            <w:r w:rsidRPr="00795DDB">
              <w:rPr>
                <w:rFonts w:cs="Calibri"/>
                <w:color w:val="495965" w:themeColor="text2"/>
                <w:spacing w:val="-7"/>
                <w:w w:val="86"/>
                <w:sz w:val="20"/>
                <w:szCs w:val="20"/>
              </w:rPr>
              <w:t>funding for the budget for impact on gender-equality objectives</w:t>
            </w:r>
            <w:r w:rsidR="00C1392D" w:rsidRPr="00795DDB">
              <w:rPr>
                <w:rFonts w:cs="Calibri"/>
                <w:color w:val="495965" w:themeColor="text2"/>
                <w:spacing w:val="-7"/>
                <w:w w:val="86"/>
                <w:sz w:val="20"/>
                <w:szCs w:val="20"/>
              </w:rPr>
              <w:t>.</w:t>
            </w:r>
          </w:p>
          <w:p w14:paraId="73E39164" w14:textId="6DEAB559" w:rsidR="001B5944" w:rsidRPr="00795DDB" w:rsidRDefault="00F9382E" w:rsidP="00853654">
            <w:pPr>
              <w:pStyle w:val="ListParagraph"/>
              <w:widowControl w:val="0"/>
              <w:numPr>
                <w:ilvl w:val="0"/>
                <w:numId w:val="28"/>
              </w:numPr>
              <w:autoSpaceDE w:val="0"/>
              <w:autoSpaceDN w:val="0"/>
              <w:adjustRightInd w:val="0"/>
              <w:spacing w:before="0" w:after="0" w:line="257"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Calibri"/>
                <w:color w:val="495965" w:themeColor="text2"/>
                <w:spacing w:val="-7"/>
                <w:w w:val="86"/>
                <w:sz w:val="20"/>
                <w:szCs w:val="20"/>
              </w:rPr>
            </w:pPr>
            <w:r w:rsidRPr="00795DDB">
              <w:rPr>
                <w:rFonts w:cs="Calibri"/>
                <w:color w:val="495965" w:themeColor="text2"/>
                <w:spacing w:val="-7"/>
                <w:w w:val="86"/>
                <w:sz w:val="20"/>
                <w:szCs w:val="20"/>
              </w:rPr>
              <w:t>Review and/or amend sector/ministry policy objectives to recognise gender inequalities within their sector and the role of publicly funded programs in reducing them</w:t>
            </w:r>
            <w:r w:rsidR="00C1392D" w:rsidRPr="00795DDB">
              <w:rPr>
                <w:rFonts w:cs="Calibri"/>
                <w:color w:val="495965" w:themeColor="text2"/>
                <w:spacing w:val="-7"/>
                <w:w w:val="86"/>
                <w:sz w:val="20"/>
                <w:szCs w:val="20"/>
              </w:rPr>
              <w:t>.</w:t>
            </w:r>
          </w:p>
          <w:p w14:paraId="4A07E2A4" w14:textId="77777777" w:rsidR="001B5944" w:rsidRPr="00795DDB" w:rsidRDefault="00F9382E" w:rsidP="00853654">
            <w:pPr>
              <w:pStyle w:val="ListParagraph"/>
              <w:widowControl w:val="0"/>
              <w:numPr>
                <w:ilvl w:val="0"/>
                <w:numId w:val="28"/>
              </w:numPr>
              <w:autoSpaceDE w:val="0"/>
              <w:autoSpaceDN w:val="0"/>
              <w:adjustRightInd w:val="0"/>
              <w:spacing w:before="0" w:after="0" w:line="257"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Calibri"/>
                <w:color w:val="495965" w:themeColor="text2"/>
                <w:spacing w:val="-7"/>
                <w:w w:val="86"/>
                <w:sz w:val="20"/>
                <w:szCs w:val="20"/>
              </w:rPr>
            </w:pPr>
            <w:r w:rsidRPr="00795DDB">
              <w:rPr>
                <w:rFonts w:cs="Calibri"/>
                <w:color w:val="495965" w:themeColor="text2"/>
                <w:spacing w:val="-7"/>
                <w:w w:val="86"/>
                <w:sz w:val="20"/>
                <w:szCs w:val="20"/>
              </w:rPr>
              <w:t>Inform sector and sub-sector allocations using information gathered through</w:t>
            </w:r>
            <w:r w:rsidR="00787E69" w:rsidRPr="00795DDB">
              <w:rPr>
                <w:rFonts w:cs="Calibri"/>
                <w:color w:val="495965" w:themeColor="text2"/>
                <w:spacing w:val="-7"/>
                <w:w w:val="86"/>
                <w:sz w:val="20"/>
                <w:szCs w:val="20"/>
              </w:rPr>
              <w:t xml:space="preserve"> </w:t>
            </w:r>
            <w:r w:rsidRPr="00795DDB">
              <w:rPr>
                <w:rFonts w:cs="Calibri"/>
                <w:color w:val="495965" w:themeColor="text2"/>
                <w:spacing w:val="-7"/>
                <w:w w:val="86"/>
                <w:sz w:val="20"/>
                <w:szCs w:val="20"/>
              </w:rPr>
              <w:t>public expenditure incidence analysis disaggregated by gender</w:t>
            </w:r>
            <w:r w:rsidR="00787E69" w:rsidRPr="00795DDB">
              <w:rPr>
                <w:rFonts w:cs="Calibri"/>
                <w:color w:val="495965" w:themeColor="text2"/>
                <w:spacing w:val="-7"/>
                <w:w w:val="86"/>
                <w:sz w:val="20"/>
                <w:szCs w:val="20"/>
              </w:rPr>
              <w:t xml:space="preserve">, </w:t>
            </w:r>
            <w:r w:rsidRPr="00795DDB">
              <w:rPr>
                <w:rFonts w:cs="Calibri"/>
                <w:color w:val="495965" w:themeColor="text2"/>
                <w:spacing w:val="-7"/>
                <w:w w:val="86"/>
                <w:sz w:val="20"/>
                <w:szCs w:val="20"/>
              </w:rPr>
              <w:t>gender-aware beneficiary assessments</w:t>
            </w:r>
            <w:r w:rsidR="00787E69" w:rsidRPr="00795DDB">
              <w:rPr>
                <w:rFonts w:cs="Calibri"/>
                <w:color w:val="495965" w:themeColor="text2"/>
                <w:spacing w:val="-7"/>
                <w:w w:val="86"/>
                <w:sz w:val="20"/>
                <w:szCs w:val="20"/>
              </w:rPr>
              <w:t xml:space="preserve">, </w:t>
            </w:r>
            <w:r w:rsidRPr="00795DDB">
              <w:rPr>
                <w:rFonts w:cs="Calibri"/>
                <w:color w:val="495965" w:themeColor="text2"/>
                <w:spacing w:val="-7"/>
                <w:w w:val="86"/>
                <w:sz w:val="20"/>
                <w:szCs w:val="20"/>
              </w:rPr>
              <w:t>gender-disaggregated analysis of budget impact on time use by gender</w:t>
            </w:r>
            <w:r w:rsidR="001B5944" w:rsidRPr="00795DDB">
              <w:rPr>
                <w:rFonts w:cs="Calibri"/>
                <w:color w:val="495965" w:themeColor="text2"/>
                <w:spacing w:val="-7"/>
                <w:w w:val="86"/>
                <w:sz w:val="20"/>
                <w:szCs w:val="20"/>
              </w:rPr>
              <w:t xml:space="preserve">, or </w:t>
            </w:r>
            <w:r w:rsidRPr="00795DDB">
              <w:rPr>
                <w:rFonts w:cs="Calibri"/>
                <w:color w:val="495965" w:themeColor="text2"/>
                <w:spacing w:val="-7"/>
                <w:w w:val="86"/>
                <w:sz w:val="20"/>
                <w:szCs w:val="20"/>
              </w:rPr>
              <w:t>gender-disaggregated analysis of user charges/fees</w:t>
            </w:r>
            <w:r w:rsidR="001B5944" w:rsidRPr="00795DDB">
              <w:rPr>
                <w:rFonts w:cs="Calibri"/>
                <w:color w:val="495965" w:themeColor="text2"/>
                <w:spacing w:val="-7"/>
                <w:w w:val="86"/>
                <w:sz w:val="20"/>
                <w:szCs w:val="20"/>
              </w:rPr>
              <w:t>.</w:t>
            </w:r>
          </w:p>
          <w:p w14:paraId="2626B591" w14:textId="5D35C629" w:rsidR="001B5944" w:rsidRPr="00795DDB" w:rsidRDefault="00F9382E" w:rsidP="00853654">
            <w:pPr>
              <w:pStyle w:val="ListParagraph"/>
              <w:widowControl w:val="0"/>
              <w:numPr>
                <w:ilvl w:val="0"/>
                <w:numId w:val="28"/>
              </w:numPr>
              <w:autoSpaceDE w:val="0"/>
              <w:autoSpaceDN w:val="0"/>
              <w:adjustRightInd w:val="0"/>
              <w:spacing w:before="0" w:after="0" w:line="257"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Calibri"/>
                <w:color w:val="495965" w:themeColor="text2"/>
                <w:spacing w:val="-7"/>
                <w:w w:val="86"/>
                <w:sz w:val="20"/>
                <w:szCs w:val="20"/>
              </w:rPr>
            </w:pPr>
            <w:r w:rsidRPr="00795DDB">
              <w:rPr>
                <w:rFonts w:cs="Calibri"/>
                <w:color w:val="495965" w:themeColor="text2"/>
                <w:spacing w:val="-7"/>
                <w:w w:val="86"/>
                <w:sz w:val="20"/>
                <w:szCs w:val="20"/>
              </w:rPr>
              <w:t>Support the relevant legislative committee of Parliament to undertake gender-focused scrutiny</w:t>
            </w:r>
            <w:r w:rsidRPr="00795DDB">
              <w:rPr>
                <w:rFonts w:cs="Calibri"/>
                <w:color w:val="495965" w:themeColor="text2"/>
                <w:spacing w:val="-7"/>
                <w:w w:val="86"/>
                <w:sz w:val="20"/>
                <w:szCs w:val="20"/>
              </w:rPr>
              <w:br/>
              <w:t>of the budget</w:t>
            </w:r>
            <w:r w:rsidR="001B5944" w:rsidRPr="00795DDB">
              <w:rPr>
                <w:rFonts w:cs="Calibri"/>
                <w:color w:val="495965" w:themeColor="text2"/>
                <w:spacing w:val="-7"/>
                <w:w w:val="86"/>
                <w:sz w:val="20"/>
                <w:szCs w:val="20"/>
              </w:rPr>
              <w:t>.</w:t>
            </w:r>
          </w:p>
          <w:p w14:paraId="01CB9D2E" w14:textId="5AD7DC2E" w:rsidR="00F9382E" w:rsidRPr="00795DDB" w:rsidRDefault="00F9382E" w:rsidP="00853654">
            <w:pPr>
              <w:pStyle w:val="ListParagraph"/>
              <w:widowControl w:val="0"/>
              <w:numPr>
                <w:ilvl w:val="0"/>
                <w:numId w:val="28"/>
              </w:numPr>
              <w:autoSpaceDE w:val="0"/>
              <w:autoSpaceDN w:val="0"/>
              <w:adjustRightInd w:val="0"/>
              <w:spacing w:before="0" w:after="0" w:line="257"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Calibri"/>
                <w:color w:val="495965" w:themeColor="text2"/>
                <w:spacing w:val="-7"/>
                <w:w w:val="86"/>
                <w:sz w:val="20"/>
                <w:szCs w:val="20"/>
              </w:rPr>
            </w:pPr>
            <w:r w:rsidRPr="00795DDB">
              <w:rPr>
                <w:rFonts w:cs="Calibri"/>
                <w:color w:val="495965" w:themeColor="text2"/>
                <w:spacing w:val="-7"/>
                <w:w w:val="86"/>
                <w:sz w:val="20"/>
                <w:szCs w:val="20"/>
              </w:rPr>
              <w:t>Support civil society to engage on gender-related issues in public budget debates and consultations</w:t>
            </w:r>
            <w:r w:rsidR="00C1392D" w:rsidRPr="00795DDB">
              <w:rPr>
                <w:rFonts w:cs="Calibri"/>
                <w:color w:val="495965" w:themeColor="text2"/>
                <w:spacing w:val="-7"/>
                <w:w w:val="86"/>
                <w:sz w:val="20"/>
                <w:szCs w:val="20"/>
              </w:rPr>
              <w:t>.</w:t>
            </w:r>
          </w:p>
        </w:tc>
      </w:tr>
      <w:tr w:rsidR="00C1392D" w:rsidRPr="00795DDB" w14:paraId="76D7A96C" w14:textId="77777777" w:rsidTr="00BF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389ABF56" w14:textId="77777777" w:rsidR="00F9382E" w:rsidRPr="00795DDB" w:rsidRDefault="00F9382E" w:rsidP="00C1392D">
            <w:pPr>
              <w:widowControl w:val="0"/>
              <w:autoSpaceDE w:val="0"/>
              <w:autoSpaceDN w:val="0"/>
              <w:adjustRightInd w:val="0"/>
              <w:spacing w:before="0"/>
              <w:contextualSpacing/>
              <w:rPr>
                <w:rFonts w:cs="Calibri"/>
                <w:b/>
                <w:bCs/>
                <w:color w:val="000000" w:themeColor="text1"/>
                <w:spacing w:val="-7"/>
                <w:w w:val="93"/>
                <w:sz w:val="20"/>
                <w:szCs w:val="20"/>
              </w:rPr>
            </w:pPr>
            <w:r w:rsidRPr="00795DDB">
              <w:rPr>
                <w:rFonts w:cs="Calibri"/>
                <w:b/>
                <w:bCs/>
                <w:color w:val="000000" w:themeColor="text1"/>
                <w:spacing w:val="-7"/>
                <w:w w:val="87"/>
                <w:sz w:val="20"/>
                <w:szCs w:val="20"/>
              </w:rPr>
              <w:t>4. Implementation of the budget</w:t>
            </w:r>
          </w:p>
        </w:tc>
        <w:tc>
          <w:tcPr>
            <w:tcW w:w="3792" w:type="pct"/>
          </w:tcPr>
          <w:p w14:paraId="23AB1DFC" w14:textId="3936DE55" w:rsidR="00F9382E" w:rsidRPr="00795DDB" w:rsidRDefault="00F9382E" w:rsidP="00853654">
            <w:pPr>
              <w:pStyle w:val="ListParagraph"/>
              <w:widowControl w:val="0"/>
              <w:numPr>
                <w:ilvl w:val="0"/>
                <w:numId w:val="29"/>
              </w:numPr>
              <w:tabs>
                <w:tab w:val="left" w:pos="3127"/>
              </w:tabs>
              <w:autoSpaceDE w:val="0"/>
              <w:autoSpaceDN w:val="0"/>
              <w:adjustRightInd w:val="0"/>
              <w:spacing w:before="0"/>
              <w:cnfStyle w:val="000000010000" w:firstRow="0" w:lastRow="0" w:firstColumn="0" w:lastColumn="0" w:oddVBand="0" w:evenVBand="0" w:oddHBand="0" w:evenHBand="1" w:firstRowFirstColumn="0" w:firstRowLastColumn="0" w:lastRowFirstColumn="0" w:lastRowLastColumn="0"/>
              <w:rPr>
                <w:rFonts w:cs="Calibri"/>
                <w:color w:val="495965" w:themeColor="text2"/>
                <w:spacing w:val="-7"/>
                <w:w w:val="86"/>
                <w:sz w:val="20"/>
                <w:szCs w:val="20"/>
              </w:rPr>
            </w:pPr>
            <w:r w:rsidRPr="00795DDB">
              <w:rPr>
                <w:rFonts w:cs="Calibri"/>
                <w:color w:val="495965" w:themeColor="text2"/>
                <w:spacing w:val="-7"/>
                <w:w w:val="86"/>
                <w:sz w:val="20"/>
                <w:szCs w:val="20"/>
              </w:rPr>
              <w:t>Use budget execution information to track the credibility of spending against specific gender-related budget activities and/or budget lines</w:t>
            </w:r>
            <w:r w:rsidR="00C1392D" w:rsidRPr="00795DDB">
              <w:rPr>
                <w:rFonts w:cs="Calibri"/>
                <w:color w:val="495965" w:themeColor="text2"/>
                <w:spacing w:val="-7"/>
                <w:w w:val="86"/>
                <w:sz w:val="20"/>
                <w:szCs w:val="20"/>
              </w:rPr>
              <w:t>.</w:t>
            </w:r>
          </w:p>
          <w:p w14:paraId="76AA1AEB" w14:textId="4FD4AEF7" w:rsidR="00F9382E" w:rsidRPr="00795DDB" w:rsidRDefault="00F9382E" w:rsidP="00853654">
            <w:pPr>
              <w:pStyle w:val="ListParagraph"/>
              <w:widowControl w:val="0"/>
              <w:numPr>
                <w:ilvl w:val="0"/>
                <w:numId w:val="29"/>
              </w:numPr>
              <w:autoSpaceDE w:val="0"/>
              <w:autoSpaceDN w:val="0"/>
              <w:adjustRightInd w:val="0"/>
              <w:spacing w:before="0" w:after="0" w:line="257" w:lineRule="auto"/>
              <w:ind w:left="357" w:hanging="357"/>
              <w:contextualSpacing w:val="0"/>
              <w:cnfStyle w:val="000000010000" w:firstRow="0" w:lastRow="0" w:firstColumn="0" w:lastColumn="0" w:oddVBand="0" w:evenVBand="0" w:oddHBand="0" w:evenHBand="1" w:firstRowFirstColumn="0" w:firstRowLastColumn="0" w:lastRowFirstColumn="0" w:lastRowLastColumn="0"/>
              <w:rPr>
                <w:rFonts w:cs="Calibri"/>
                <w:spacing w:val="-7"/>
                <w:w w:val="88"/>
                <w:sz w:val="20"/>
                <w:szCs w:val="20"/>
              </w:rPr>
            </w:pPr>
            <w:r w:rsidRPr="00795DDB">
              <w:rPr>
                <w:rFonts w:cs="Calibri"/>
                <w:color w:val="495965" w:themeColor="text2"/>
                <w:spacing w:val="-7"/>
                <w:w w:val="86"/>
                <w:sz w:val="20"/>
                <w:szCs w:val="20"/>
              </w:rPr>
              <w:t>Include specific gender-equal employment opportunities requirements in government contracts</w:t>
            </w:r>
            <w:r w:rsidR="00C1392D" w:rsidRPr="00795DDB">
              <w:rPr>
                <w:rFonts w:cs="Calibri"/>
                <w:color w:val="495965" w:themeColor="text2"/>
                <w:spacing w:val="-7"/>
                <w:w w:val="86"/>
                <w:sz w:val="20"/>
                <w:szCs w:val="20"/>
              </w:rPr>
              <w:t>.</w:t>
            </w:r>
          </w:p>
        </w:tc>
      </w:tr>
      <w:tr w:rsidR="00C1392D" w:rsidRPr="00795DDB" w14:paraId="13D0F011" w14:textId="77777777" w:rsidTr="00BF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4A8B7E68" w14:textId="77777777" w:rsidR="00F9382E" w:rsidRPr="00795DDB" w:rsidRDefault="00F9382E" w:rsidP="00C1392D">
            <w:pPr>
              <w:widowControl w:val="0"/>
              <w:autoSpaceDE w:val="0"/>
              <w:autoSpaceDN w:val="0"/>
              <w:adjustRightInd w:val="0"/>
              <w:spacing w:before="0"/>
              <w:contextualSpacing/>
              <w:rPr>
                <w:rFonts w:cs="Calibri"/>
                <w:b/>
                <w:bCs/>
                <w:color w:val="000000" w:themeColor="text1"/>
                <w:spacing w:val="-7"/>
                <w:w w:val="93"/>
                <w:sz w:val="20"/>
                <w:szCs w:val="20"/>
              </w:rPr>
            </w:pPr>
            <w:r w:rsidRPr="00795DDB">
              <w:rPr>
                <w:rFonts w:cs="Calibri"/>
                <w:b/>
                <w:bCs/>
                <w:color w:val="000000" w:themeColor="text1"/>
                <w:spacing w:val="-7"/>
                <w:w w:val="86"/>
                <w:sz w:val="20"/>
                <w:szCs w:val="20"/>
              </w:rPr>
              <w:t>5. Monitor and account</w:t>
            </w:r>
          </w:p>
        </w:tc>
        <w:tc>
          <w:tcPr>
            <w:tcW w:w="3792" w:type="pct"/>
          </w:tcPr>
          <w:p w14:paraId="647D4474" w14:textId="2D490808" w:rsidR="00F9382E" w:rsidRPr="00795DDB" w:rsidRDefault="00F9382E" w:rsidP="00853654">
            <w:pPr>
              <w:pStyle w:val="ListParagraph"/>
              <w:widowControl w:val="0"/>
              <w:numPr>
                <w:ilvl w:val="0"/>
                <w:numId w:val="30"/>
              </w:numPr>
              <w:tabs>
                <w:tab w:val="left" w:pos="3127"/>
              </w:tabs>
              <w:autoSpaceDE w:val="0"/>
              <w:autoSpaceDN w:val="0"/>
              <w:adjustRightInd w:val="0"/>
              <w:spacing w:before="0" w:after="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Calibri"/>
                <w:color w:val="495965" w:themeColor="text2"/>
                <w:spacing w:val="-7"/>
                <w:w w:val="86"/>
                <w:sz w:val="20"/>
                <w:szCs w:val="20"/>
              </w:rPr>
            </w:pPr>
            <w:r w:rsidRPr="00795DDB">
              <w:rPr>
                <w:rFonts w:cs="Calibri"/>
                <w:color w:val="495965" w:themeColor="text2"/>
                <w:spacing w:val="-7"/>
                <w:w w:val="86"/>
                <w:sz w:val="20"/>
                <w:szCs w:val="20"/>
              </w:rPr>
              <w:t>Use gender-disaggregated public expenditure incidence analysis to inform in-year expenditure management</w:t>
            </w:r>
            <w:r w:rsidR="00C1392D" w:rsidRPr="00795DDB">
              <w:rPr>
                <w:rFonts w:cs="Calibri"/>
                <w:color w:val="495965" w:themeColor="text2"/>
                <w:spacing w:val="-7"/>
                <w:w w:val="86"/>
                <w:sz w:val="20"/>
                <w:szCs w:val="20"/>
              </w:rPr>
              <w:t>.</w:t>
            </w:r>
          </w:p>
          <w:p w14:paraId="34B80CD4" w14:textId="753A0157" w:rsidR="00F9382E" w:rsidRPr="00795DDB" w:rsidRDefault="00F9382E" w:rsidP="00853654">
            <w:pPr>
              <w:pStyle w:val="ListParagraph"/>
              <w:widowControl w:val="0"/>
              <w:numPr>
                <w:ilvl w:val="0"/>
                <w:numId w:val="30"/>
              </w:numPr>
              <w:autoSpaceDE w:val="0"/>
              <w:autoSpaceDN w:val="0"/>
              <w:adjustRightInd w:val="0"/>
              <w:spacing w:before="0" w:after="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Calibri"/>
                <w:spacing w:val="-7"/>
                <w:w w:val="88"/>
                <w:sz w:val="20"/>
                <w:szCs w:val="20"/>
              </w:rPr>
            </w:pPr>
            <w:r w:rsidRPr="00795DDB">
              <w:rPr>
                <w:rFonts w:cs="Calibri"/>
                <w:color w:val="495965" w:themeColor="text2"/>
                <w:spacing w:val="-7"/>
                <w:w w:val="86"/>
                <w:sz w:val="20"/>
                <w:szCs w:val="20"/>
              </w:rPr>
              <w:t>Build in a gender-related focus to general public-service management information systems</w:t>
            </w:r>
            <w:r w:rsidR="00C1392D" w:rsidRPr="00795DDB">
              <w:rPr>
                <w:rFonts w:cs="Calibri"/>
                <w:color w:val="495965" w:themeColor="text2"/>
                <w:spacing w:val="-7"/>
                <w:w w:val="86"/>
                <w:sz w:val="20"/>
                <w:szCs w:val="20"/>
              </w:rPr>
              <w:t>.</w:t>
            </w:r>
          </w:p>
        </w:tc>
      </w:tr>
      <w:tr w:rsidR="00C1392D" w:rsidRPr="00795DDB" w14:paraId="0328618B" w14:textId="77777777" w:rsidTr="00BF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519687DA" w14:textId="77777777" w:rsidR="00F9382E" w:rsidRPr="00795DDB" w:rsidRDefault="00F9382E" w:rsidP="00C1392D">
            <w:pPr>
              <w:widowControl w:val="0"/>
              <w:autoSpaceDE w:val="0"/>
              <w:autoSpaceDN w:val="0"/>
              <w:adjustRightInd w:val="0"/>
              <w:spacing w:before="0"/>
              <w:contextualSpacing/>
              <w:rPr>
                <w:rFonts w:cs="Calibri"/>
                <w:b/>
                <w:bCs/>
                <w:color w:val="000000" w:themeColor="text1"/>
                <w:spacing w:val="-7"/>
                <w:w w:val="93"/>
                <w:sz w:val="20"/>
                <w:szCs w:val="20"/>
              </w:rPr>
            </w:pPr>
            <w:r w:rsidRPr="00795DDB">
              <w:rPr>
                <w:rFonts w:cs="Calibri"/>
                <w:b/>
                <w:bCs/>
                <w:color w:val="000000" w:themeColor="text1"/>
                <w:spacing w:val="-7"/>
                <w:w w:val="86"/>
                <w:sz w:val="20"/>
                <w:szCs w:val="20"/>
              </w:rPr>
              <w:t>6. Evaluate and audit</w:t>
            </w:r>
          </w:p>
        </w:tc>
        <w:tc>
          <w:tcPr>
            <w:tcW w:w="3792" w:type="pct"/>
          </w:tcPr>
          <w:p w14:paraId="16E6A192" w14:textId="4D526E3A" w:rsidR="00F9382E" w:rsidRPr="00795DDB" w:rsidRDefault="00F9382E" w:rsidP="00853654">
            <w:pPr>
              <w:pStyle w:val="ListParagraph"/>
              <w:widowControl w:val="0"/>
              <w:numPr>
                <w:ilvl w:val="0"/>
                <w:numId w:val="30"/>
              </w:numPr>
              <w:tabs>
                <w:tab w:val="left" w:pos="3127"/>
              </w:tabs>
              <w:autoSpaceDE w:val="0"/>
              <w:autoSpaceDN w:val="0"/>
              <w:adjustRightInd w:val="0"/>
              <w:spacing w:before="0" w:after="0" w:line="240" w:lineRule="auto"/>
              <w:ind w:left="357" w:hanging="357"/>
              <w:contextualSpacing w:val="0"/>
              <w:cnfStyle w:val="000000010000" w:firstRow="0" w:lastRow="0" w:firstColumn="0" w:lastColumn="0" w:oddVBand="0" w:evenVBand="0" w:oddHBand="0" w:evenHBand="1" w:firstRowFirstColumn="0" w:firstRowLastColumn="0" w:lastRowFirstColumn="0" w:lastRowLastColumn="0"/>
              <w:rPr>
                <w:rFonts w:cs="Calibri"/>
                <w:color w:val="495965" w:themeColor="text2"/>
                <w:spacing w:val="-7"/>
                <w:w w:val="86"/>
                <w:sz w:val="20"/>
                <w:szCs w:val="20"/>
              </w:rPr>
            </w:pPr>
            <w:r w:rsidRPr="00795DDB">
              <w:rPr>
                <w:rFonts w:cs="Calibri"/>
                <w:color w:val="495965" w:themeColor="text2"/>
                <w:spacing w:val="-7"/>
                <w:w w:val="86"/>
                <w:sz w:val="20"/>
                <w:szCs w:val="20"/>
              </w:rPr>
              <w:t>Undertake general monitoring and review of government services that particularly affect women</w:t>
            </w:r>
            <w:r w:rsidR="00C1392D" w:rsidRPr="00795DDB">
              <w:rPr>
                <w:rFonts w:cs="Calibri"/>
                <w:color w:val="495965" w:themeColor="text2"/>
                <w:spacing w:val="-7"/>
                <w:w w:val="86"/>
                <w:sz w:val="20"/>
                <w:szCs w:val="20"/>
              </w:rPr>
              <w:t>.</w:t>
            </w:r>
          </w:p>
          <w:p w14:paraId="28D11CAE" w14:textId="09CC90F9" w:rsidR="00F9382E" w:rsidRPr="00795DDB" w:rsidRDefault="00F9382E" w:rsidP="00853654">
            <w:pPr>
              <w:pStyle w:val="ListParagraph"/>
              <w:widowControl w:val="0"/>
              <w:numPr>
                <w:ilvl w:val="0"/>
                <w:numId w:val="30"/>
              </w:numPr>
              <w:tabs>
                <w:tab w:val="left" w:pos="3127"/>
              </w:tabs>
              <w:autoSpaceDE w:val="0"/>
              <w:autoSpaceDN w:val="0"/>
              <w:adjustRightInd w:val="0"/>
              <w:spacing w:before="0" w:after="0" w:line="240" w:lineRule="auto"/>
              <w:ind w:left="357" w:hanging="357"/>
              <w:contextualSpacing w:val="0"/>
              <w:cnfStyle w:val="000000010000" w:firstRow="0" w:lastRow="0" w:firstColumn="0" w:lastColumn="0" w:oddVBand="0" w:evenVBand="0" w:oddHBand="0" w:evenHBand="1" w:firstRowFirstColumn="0" w:firstRowLastColumn="0" w:lastRowFirstColumn="0" w:lastRowLastColumn="0"/>
              <w:rPr>
                <w:rFonts w:cs="Calibri"/>
                <w:color w:val="495965" w:themeColor="text2"/>
                <w:spacing w:val="-7"/>
                <w:w w:val="86"/>
                <w:sz w:val="20"/>
                <w:szCs w:val="20"/>
              </w:rPr>
            </w:pPr>
            <w:r w:rsidRPr="00795DDB">
              <w:rPr>
                <w:rFonts w:cs="Calibri"/>
                <w:color w:val="495965" w:themeColor="text2"/>
                <w:spacing w:val="-7"/>
                <w:w w:val="86"/>
                <w:sz w:val="20"/>
                <w:szCs w:val="20"/>
              </w:rPr>
              <w:t>Carry out specific evaluation of particularly gender-relevant programmes and services</w:t>
            </w:r>
            <w:r w:rsidR="00C1392D" w:rsidRPr="00795DDB">
              <w:rPr>
                <w:rFonts w:cs="Calibri"/>
                <w:color w:val="495965" w:themeColor="text2"/>
                <w:spacing w:val="-7"/>
                <w:w w:val="86"/>
                <w:sz w:val="20"/>
                <w:szCs w:val="20"/>
              </w:rPr>
              <w:t>.</w:t>
            </w:r>
          </w:p>
          <w:p w14:paraId="7946135A" w14:textId="11D9A1D5" w:rsidR="00F9382E" w:rsidRPr="00795DDB" w:rsidRDefault="00F9382E" w:rsidP="00853654">
            <w:pPr>
              <w:pStyle w:val="ListParagraph"/>
              <w:widowControl w:val="0"/>
              <w:numPr>
                <w:ilvl w:val="0"/>
                <w:numId w:val="30"/>
              </w:numPr>
              <w:tabs>
                <w:tab w:val="left" w:pos="3127"/>
              </w:tabs>
              <w:autoSpaceDE w:val="0"/>
              <w:autoSpaceDN w:val="0"/>
              <w:adjustRightInd w:val="0"/>
              <w:spacing w:before="0" w:after="0" w:line="240" w:lineRule="auto"/>
              <w:ind w:left="357" w:hanging="357"/>
              <w:contextualSpacing w:val="0"/>
              <w:cnfStyle w:val="000000010000" w:firstRow="0" w:lastRow="0" w:firstColumn="0" w:lastColumn="0" w:oddVBand="0" w:evenVBand="0" w:oddHBand="0" w:evenHBand="1" w:firstRowFirstColumn="0" w:firstRowLastColumn="0" w:lastRowFirstColumn="0" w:lastRowLastColumn="0"/>
              <w:rPr>
                <w:rFonts w:cs="Calibri"/>
                <w:color w:val="495965" w:themeColor="text2"/>
                <w:spacing w:val="-7"/>
                <w:w w:val="86"/>
                <w:sz w:val="20"/>
                <w:szCs w:val="20"/>
              </w:rPr>
            </w:pPr>
            <w:r w:rsidRPr="00795DDB">
              <w:rPr>
                <w:rFonts w:cs="Calibri"/>
                <w:color w:val="495965" w:themeColor="text2"/>
                <w:spacing w:val="-7"/>
                <w:w w:val="86"/>
                <w:sz w:val="20"/>
                <w:szCs w:val="20"/>
              </w:rPr>
              <w:t>Support citizen report cards that focus on the gender-differentiated impact of public spending</w:t>
            </w:r>
            <w:r w:rsidR="00C1392D" w:rsidRPr="00795DDB">
              <w:rPr>
                <w:rFonts w:cs="Calibri"/>
                <w:color w:val="495965" w:themeColor="text2"/>
                <w:spacing w:val="-7"/>
                <w:w w:val="86"/>
                <w:sz w:val="20"/>
                <w:szCs w:val="20"/>
              </w:rPr>
              <w:t>.</w:t>
            </w:r>
            <w:r w:rsidRPr="00795DDB">
              <w:rPr>
                <w:rFonts w:cs="Calibri"/>
                <w:color w:val="495965" w:themeColor="text2"/>
                <w:spacing w:val="-7"/>
                <w:w w:val="86"/>
                <w:sz w:val="20"/>
                <w:szCs w:val="20"/>
              </w:rPr>
              <w:t xml:space="preserve"> </w:t>
            </w:r>
          </w:p>
          <w:p w14:paraId="1061633A" w14:textId="009EE5B6" w:rsidR="00F9382E" w:rsidRPr="00795DDB" w:rsidRDefault="00F9382E" w:rsidP="00853654">
            <w:pPr>
              <w:pStyle w:val="ListParagraph"/>
              <w:widowControl w:val="0"/>
              <w:numPr>
                <w:ilvl w:val="0"/>
                <w:numId w:val="30"/>
              </w:numPr>
              <w:tabs>
                <w:tab w:val="left" w:pos="3127"/>
              </w:tabs>
              <w:autoSpaceDE w:val="0"/>
              <w:autoSpaceDN w:val="0"/>
              <w:adjustRightInd w:val="0"/>
              <w:spacing w:before="0" w:after="0" w:line="240" w:lineRule="auto"/>
              <w:ind w:left="357" w:hanging="357"/>
              <w:contextualSpacing w:val="0"/>
              <w:cnfStyle w:val="000000010000" w:firstRow="0" w:lastRow="0" w:firstColumn="0" w:lastColumn="0" w:oddVBand="0" w:evenVBand="0" w:oddHBand="0" w:evenHBand="1" w:firstRowFirstColumn="0" w:firstRowLastColumn="0" w:lastRowFirstColumn="0" w:lastRowLastColumn="0"/>
              <w:rPr>
                <w:rFonts w:cs="Calibri"/>
                <w:spacing w:val="-7"/>
                <w:w w:val="93"/>
                <w:sz w:val="20"/>
                <w:szCs w:val="20"/>
              </w:rPr>
            </w:pPr>
            <w:r w:rsidRPr="00795DDB">
              <w:rPr>
                <w:rFonts w:cs="Calibri"/>
                <w:color w:val="495965" w:themeColor="text2"/>
                <w:spacing w:val="-7"/>
                <w:w w:val="86"/>
                <w:sz w:val="20"/>
                <w:szCs w:val="20"/>
              </w:rPr>
              <w:t>Use gender audits on specific areas of spending, including potentially making a request from government to the independent auditor to undertake this work</w:t>
            </w:r>
            <w:r w:rsidR="00C1392D" w:rsidRPr="00795DDB">
              <w:rPr>
                <w:rFonts w:cs="Calibri"/>
                <w:color w:val="495965" w:themeColor="text2"/>
                <w:spacing w:val="-7"/>
                <w:w w:val="86"/>
                <w:sz w:val="20"/>
                <w:szCs w:val="20"/>
              </w:rPr>
              <w:t>.</w:t>
            </w:r>
          </w:p>
        </w:tc>
      </w:tr>
    </w:tbl>
    <w:p w14:paraId="3F32D12F" w14:textId="7DAC87B5" w:rsidR="00F9382E" w:rsidRPr="00007063" w:rsidRDefault="00F9382E" w:rsidP="00C1392D">
      <w:pPr>
        <w:spacing w:before="0"/>
        <w:rPr>
          <w:sz w:val="18"/>
          <w:szCs w:val="18"/>
        </w:rPr>
      </w:pPr>
      <w:r w:rsidRPr="00007063">
        <w:rPr>
          <w:sz w:val="18"/>
          <w:szCs w:val="18"/>
        </w:rPr>
        <w:t>Source</w:t>
      </w:r>
      <w:r w:rsidR="00C1392D">
        <w:rPr>
          <w:sz w:val="18"/>
          <w:szCs w:val="18"/>
        </w:rPr>
        <w:t>:</w:t>
      </w:r>
      <w:r w:rsidRPr="00007063">
        <w:rPr>
          <w:sz w:val="18"/>
          <w:szCs w:val="18"/>
        </w:rPr>
        <w:t xml:space="preserve"> ODI 2018</w:t>
      </w:r>
    </w:p>
    <w:p w14:paraId="1B8FE10E" w14:textId="4B62030D" w:rsidR="00F9382E" w:rsidRDefault="00F9382E" w:rsidP="00C1392D">
      <w:pPr>
        <w:pStyle w:val="Heading3"/>
      </w:pPr>
      <w:bookmarkStart w:id="62" w:name="_Toc108168328"/>
      <w:bookmarkStart w:id="63" w:name="_Toc120201424"/>
      <w:bookmarkStart w:id="64" w:name="_Toc120544531"/>
      <w:r>
        <w:t>Enabling factors for effective GRB in the Pacific</w:t>
      </w:r>
      <w:bookmarkEnd w:id="62"/>
      <w:bookmarkEnd w:id="63"/>
      <w:r w:rsidR="00B9101D">
        <w:t xml:space="preserve"> and Timor-Leste</w:t>
      </w:r>
      <w:bookmarkEnd w:id="64"/>
    </w:p>
    <w:p w14:paraId="79B98C8E" w14:textId="0A440ACF" w:rsidR="00F9382E" w:rsidRDefault="003A4D47" w:rsidP="00182A21">
      <w:pPr>
        <w:spacing w:after="60"/>
      </w:pPr>
      <w:r>
        <w:t>International experience has identified general pre-conditions for the successful adoption of GRB</w:t>
      </w:r>
      <w:r w:rsidR="00521F0E">
        <w:t>.</w:t>
      </w:r>
      <w:r>
        <w:t xml:space="preserve"> A</w:t>
      </w:r>
      <w:r w:rsidR="00C95EC6">
        <w:t xml:space="preserve"> recent</w:t>
      </w:r>
      <w:r>
        <w:t xml:space="preserve"> </w:t>
      </w:r>
      <w:r w:rsidR="006E20CB">
        <w:t>Oxfam</w:t>
      </w:r>
      <w:r>
        <w:t xml:space="preserve"> paper</w:t>
      </w:r>
      <w:r w:rsidR="00C95EC6">
        <w:rPr>
          <w:rStyle w:val="FootnoteReference"/>
        </w:rPr>
        <w:footnoteReference w:id="25"/>
      </w:r>
      <w:r>
        <w:t xml:space="preserve"> summarised this experience, and pointed out that GRB works best where</w:t>
      </w:r>
      <w:r w:rsidR="00C95EC6">
        <w:t>:</w:t>
      </w:r>
    </w:p>
    <w:p w14:paraId="38C72C67" w14:textId="77777777" w:rsidR="00C95EC6" w:rsidRPr="00F23A44" w:rsidRDefault="00C95EC6" w:rsidP="00853654">
      <w:pPr>
        <w:pStyle w:val="ListParagraph"/>
        <w:numPr>
          <w:ilvl w:val="0"/>
          <w:numId w:val="21"/>
        </w:numPr>
        <w:spacing w:after="0" w:line="240" w:lineRule="auto"/>
        <w:ind w:left="714" w:hanging="357"/>
        <w:contextualSpacing w:val="0"/>
        <w:rPr>
          <w:color w:val="495965" w:themeColor="text2"/>
        </w:rPr>
      </w:pPr>
      <w:r w:rsidRPr="00F23A44">
        <w:rPr>
          <w:color w:val="495965" w:themeColor="text2"/>
        </w:rPr>
        <w:t xml:space="preserve">there is a strategy for translating gender analysis into policy </w:t>
      </w:r>
      <w:proofErr w:type="gramStart"/>
      <w:r w:rsidRPr="00F23A44">
        <w:rPr>
          <w:color w:val="495965" w:themeColor="text2"/>
        </w:rPr>
        <w:t>change;</w:t>
      </w:r>
      <w:proofErr w:type="gramEnd"/>
    </w:p>
    <w:p w14:paraId="4BFF2C4E" w14:textId="77777777" w:rsidR="00C95EC6" w:rsidRPr="00F23A44" w:rsidRDefault="00C95EC6" w:rsidP="00853654">
      <w:pPr>
        <w:pStyle w:val="ListParagraph"/>
        <w:numPr>
          <w:ilvl w:val="0"/>
          <w:numId w:val="21"/>
        </w:numPr>
        <w:spacing w:after="0" w:line="240" w:lineRule="auto"/>
        <w:ind w:left="714" w:hanging="357"/>
        <w:contextualSpacing w:val="0"/>
        <w:rPr>
          <w:color w:val="495965" w:themeColor="text2"/>
        </w:rPr>
      </w:pPr>
      <w:r w:rsidRPr="00F23A44">
        <w:rPr>
          <w:color w:val="495965" w:themeColor="text2"/>
        </w:rPr>
        <w:t xml:space="preserve">actions are adapted to the political and economic </w:t>
      </w:r>
      <w:proofErr w:type="gramStart"/>
      <w:r w:rsidRPr="00F23A44">
        <w:rPr>
          <w:color w:val="495965" w:themeColor="text2"/>
        </w:rPr>
        <w:t>context;</w:t>
      </w:r>
      <w:proofErr w:type="gramEnd"/>
    </w:p>
    <w:p w14:paraId="175391B7" w14:textId="13FA9BE7" w:rsidR="00C95EC6" w:rsidRDefault="00C95EC6" w:rsidP="00853654">
      <w:pPr>
        <w:pStyle w:val="ListParagraph"/>
        <w:numPr>
          <w:ilvl w:val="0"/>
          <w:numId w:val="21"/>
        </w:numPr>
        <w:spacing w:after="0" w:line="240" w:lineRule="auto"/>
        <w:ind w:left="714" w:hanging="357"/>
        <w:contextualSpacing w:val="0"/>
        <w:rPr>
          <w:color w:val="495965" w:themeColor="text2"/>
        </w:rPr>
      </w:pPr>
      <w:r w:rsidRPr="00F23A44">
        <w:rPr>
          <w:color w:val="495965" w:themeColor="text2"/>
        </w:rPr>
        <w:t xml:space="preserve">there is political commitment and leadership at the highest level of government to making budgets work for gender </w:t>
      </w:r>
      <w:proofErr w:type="gramStart"/>
      <w:r w:rsidRPr="00F23A44">
        <w:rPr>
          <w:color w:val="495965" w:themeColor="text2"/>
        </w:rPr>
        <w:t>justice;</w:t>
      </w:r>
      <w:proofErr w:type="gramEnd"/>
    </w:p>
    <w:p w14:paraId="3A60D139" w14:textId="77777777" w:rsidR="00C95EC6" w:rsidRPr="00F23A44" w:rsidRDefault="00C95EC6" w:rsidP="00853654">
      <w:pPr>
        <w:pStyle w:val="ListParagraph"/>
        <w:numPr>
          <w:ilvl w:val="0"/>
          <w:numId w:val="21"/>
        </w:numPr>
        <w:spacing w:after="0" w:line="240" w:lineRule="auto"/>
        <w:ind w:left="714" w:hanging="357"/>
        <w:contextualSpacing w:val="0"/>
        <w:rPr>
          <w:color w:val="495965" w:themeColor="text2"/>
        </w:rPr>
      </w:pPr>
      <w:r w:rsidRPr="00F23A44">
        <w:rPr>
          <w:color w:val="495965" w:themeColor="text2"/>
        </w:rPr>
        <w:t xml:space="preserve">there are champions and allies within parliament and at every level among public </w:t>
      </w:r>
      <w:proofErr w:type="gramStart"/>
      <w:r w:rsidRPr="00F23A44">
        <w:rPr>
          <w:color w:val="495965" w:themeColor="text2"/>
        </w:rPr>
        <w:t>servants;</w:t>
      </w:r>
      <w:proofErr w:type="gramEnd"/>
    </w:p>
    <w:p w14:paraId="2F47525F" w14:textId="77777777" w:rsidR="00C95EC6" w:rsidRPr="00F23A44" w:rsidRDefault="00C95EC6" w:rsidP="00853654">
      <w:pPr>
        <w:pStyle w:val="ListParagraph"/>
        <w:numPr>
          <w:ilvl w:val="0"/>
          <w:numId w:val="21"/>
        </w:numPr>
        <w:spacing w:after="0" w:line="240" w:lineRule="auto"/>
        <w:ind w:left="714" w:hanging="357"/>
        <w:contextualSpacing w:val="0"/>
        <w:rPr>
          <w:color w:val="495965" w:themeColor="text2"/>
        </w:rPr>
      </w:pPr>
      <w:r w:rsidRPr="00F23A44">
        <w:rPr>
          <w:color w:val="495965" w:themeColor="text2"/>
        </w:rPr>
        <w:t xml:space="preserve">initiatives involve civil society, including women’s rights </w:t>
      </w:r>
      <w:proofErr w:type="gramStart"/>
      <w:r w:rsidRPr="00F23A44">
        <w:rPr>
          <w:color w:val="495965" w:themeColor="text2"/>
        </w:rPr>
        <w:t>organisations;</w:t>
      </w:r>
      <w:proofErr w:type="gramEnd"/>
    </w:p>
    <w:p w14:paraId="5E2FD81B" w14:textId="77777777" w:rsidR="00C95EC6" w:rsidRPr="00F23A44" w:rsidRDefault="00C95EC6" w:rsidP="00853654">
      <w:pPr>
        <w:pStyle w:val="ListParagraph"/>
        <w:numPr>
          <w:ilvl w:val="0"/>
          <w:numId w:val="21"/>
        </w:numPr>
        <w:spacing w:after="0" w:line="240" w:lineRule="auto"/>
        <w:ind w:left="714" w:hanging="357"/>
        <w:contextualSpacing w:val="0"/>
        <w:rPr>
          <w:color w:val="495965" w:themeColor="text2"/>
        </w:rPr>
      </w:pPr>
      <w:r w:rsidRPr="00F23A44">
        <w:rPr>
          <w:color w:val="495965" w:themeColor="text2"/>
        </w:rPr>
        <w:t xml:space="preserve">key players, including Ministers, officials, parliamentarians, and civil society, have sufficient awareness and capacity to deliver </w:t>
      </w:r>
      <w:proofErr w:type="gramStart"/>
      <w:r w:rsidRPr="00F23A44">
        <w:rPr>
          <w:color w:val="495965" w:themeColor="text2"/>
        </w:rPr>
        <w:t>GRB;</w:t>
      </w:r>
      <w:proofErr w:type="gramEnd"/>
    </w:p>
    <w:p w14:paraId="6C827C97" w14:textId="5C6D7211" w:rsidR="00C95EC6" w:rsidRPr="00F23A44" w:rsidRDefault="00C95EC6" w:rsidP="00853654">
      <w:pPr>
        <w:pStyle w:val="ListParagraph"/>
        <w:numPr>
          <w:ilvl w:val="0"/>
          <w:numId w:val="21"/>
        </w:numPr>
        <w:spacing w:after="0" w:line="240" w:lineRule="auto"/>
        <w:ind w:left="714" w:hanging="357"/>
        <w:contextualSpacing w:val="0"/>
        <w:rPr>
          <w:color w:val="495965" w:themeColor="text2"/>
        </w:rPr>
      </w:pPr>
      <w:r w:rsidRPr="00F23A44">
        <w:rPr>
          <w:color w:val="495965" w:themeColor="text2"/>
        </w:rPr>
        <w:t>organisations working on GRB are seen as credible by decisionmakers;</w:t>
      </w:r>
      <w:r>
        <w:rPr>
          <w:color w:val="495965" w:themeColor="text2"/>
        </w:rPr>
        <w:t xml:space="preserve"> and</w:t>
      </w:r>
    </w:p>
    <w:p w14:paraId="103BAAE3" w14:textId="64F2A590" w:rsidR="00C95EC6" w:rsidRPr="00F23A44" w:rsidRDefault="00C95EC6" w:rsidP="00853654">
      <w:pPr>
        <w:pStyle w:val="ListParagraph"/>
        <w:numPr>
          <w:ilvl w:val="0"/>
          <w:numId w:val="21"/>
        </w:numPr>
        <w:spacing w:after="0" w:line="240" w:lineRule="auto"/>
        <w:ind w:left="714" w:hanging="357"/>
        <w:contextualSpacing w:val="0"/>
        <w:rPr>
          <w:color w:val="495965" w:themeColor="text2"/>
        </w:rPr>
      </w:pPr>
      <w:r w:rsidRPr="00F23A44">
        <w:rPr>
          <w:color w:val="495965" w:themeColor="text2"/>
        </w:rPr>
        <w:t>gender-disaggregated statistics and other data are available.</w:t>
      </w:r>
    </w:p>
    <w:p w14:paraId="781FB622" w14:textId="6BE6CCC3" w:rsidR="00F9382E" w:rsidRDefault="00F9382E" w:rsidP="00C1392D">
      <w:pPr>
        <w:spacing w:after="120"/>
      </w:pPr>
      <w:r>
        <w:lastRenderedPageBreak/>
        <w:t xml:space="preserve">Across the various enabling factors </w:t>
      </w:r>
      <w:r w:rsidR="00C95EC6">
        <w:t>for successful adoption of</w:t>
      </w:r>
      <w:r>
        <w:t xml:space="preserve"> GRB, two seem particularly pertinent in the Pacific</w:t>
      </w:r>
      <w:r w:rsidR="0007405C">
        <w:t xml:space="preserve"> and Timor-Leste</w:t>
      </w:r>
      <w:r>
        <w:t xml:space="preserve">: the strength of community and political commitment to gender equality, and the capacity of PFM systems and practitioners to implement </w:t>
      </w:r>
      <w:r w:rsidR="00AA158C">
        <w:t>change</w:t>
      </w:r>
      <w:r>
        <w:t>.</w:t>
      </w:r>
    </w:p>
    <w:p w14:paraId="739B2E29" w14:textId="77777777" w:rsidR="00F9382E" w:rsidRDefault="00F9382E" w:rsidP="00F9382E">
      <w:pPr>
        <w:pStyle w:val="Heading4"/>
      </w:pPr>
      <w:r>
        <w:t>Community and leadership support for gender equality</w:t>
      </w:r>
    </w:p>
    <w:p w14:paraId="2346C5D2" w14:textId="02FDF30C" w:rsidR="00F9382E" w:rsidRDefault="00F9382E" w:rsidP="00C1392D">
      <w:pPr>
        <w:spacing w:after="120"/>
      </w:pPr>
      <w:r>
        <w:t>One way of exploring the depth of community and political support for gender equality is to consider the progress made by development partner efforts to mainstream gender in the Pacific</w:t>
      </w:r>
      <w:r w:rsidR="00B9101D">
        <w:t xml:space="preserve"> and Timor-Leste</w:t>
      </w:r>
      <w:r>
        <w:t>.</w:t>
      </w:r>
    </w:p>
    <w:p w14:paraId="6D1FC48E" w14:textId="32B65DDE" w:rsidR="00F9382E" w:rsidRDefault="00F9382E" w:rsidP="00C1392D">
      <w:r>
        <w:t>A 2016 review of the DFAT-funded Progressing Gender Equality in the Pacific (PGEP) project</w:t>
      </w:r>
      <w:r w:rsidR="00262407">
        <w:rPr>
          <w:rStyle w:val="FootnoteReference"/>
        </w:rPr>
        <w:footnoteReference w:id="26"/>
      </w:r>
      <w:r>
        <w:t xml:space="preserve"> assesse</w:t>
      </w:r>
      <w:r w:rsidR="00C95EC6">
        <w:t>d</w:t>
      </w:r>
      <w:r>
        <w:t xml:space="preserve"> 13 </w:t>
      </w:r>
      <w:proofErr w:type="spellStart"/>
      <w:r>
        <w:t>PICs’</w:t>
      </w:r>
      <w:proofErr w:type="spellEnd"/>
      <w:r>
        <w:t xml:space="preserve"> capacity to achieve gender equality across 19 variables in six domains (legal/policy framework, political will, organisational culture, accountability mechanisms, technical capacity</w:t>
      </w:r>
      <w:r w:rsidR="00CD79A3">
        <w:t>,</w:t>
      </w:r>
      <w:r>
        <w:t xml:space="preserve"> and financing for gender equality). Key results are presented in </w:t>
      </w:r>
      <w:r w:rsidRPr="003C70F4">
        <w:rPr>
          <w:b/>
          <w:bCs/>
        </w:rPr>
        <w:t xml:space="preserve">Annex </w:t>
      </w:r>
      <w:r w:rsidR="003C70F4" w:rsidRPr="003C70F4">
        <w:rPr>
          <w:b/>
          <w:bCs/>
        </w:rPr>
        <w:t>G</w:t>
      </w:r>
      <w:r>
        <w:t>. The analysis concluded that:</w:t>
      </w:r>
    </w:p>
    <w:p w14:paraId="76C46F6C" w14:textId="77777777" w:rsidR="00F9382E" w:rsidRPr="00C1392D" w:rsidRDefault="00F9382E" w:rsidP="00853654">
      <w:pPr>
        <w:pStyle w:val="ListParagraph"/>
        <w:numPr>
          <w:ilvl w:val="0"/>
          <w:numId w:val="21"/>
        </w:numPr>
        <w:spacing w:after="0" w:line="240" w:lineRule="auto"/>
        <w:ind w:left="714" w:hanging="357"/>
        <w:contextualSpacing w:val="0"/>
        <w:rPr>
          <w:color w:val="495965" w:themeColor="text2"/>
        </w:rPr>
      </w:pPr>
      <w:r w:rsidRPr="00C1392D">
        <w:rPr>
          <w:color w:val="495965" w:themeColor="text2"/>
        </w:rPr>
        <w:t>forty-three per cent of all 247 ratings were assigned the lowest level – ‘only mildly demonstrated</w:t>
      </w:r>
      <w:proofErr w:type="gramStart"/>
      <w:r w:rsidRPr="00C1392D">
        <w:rPr>
          <w:color w:val="495965" w:themeColor="text2"/>
        </w:rPr>
        <w:t>’;</w:t>
      </w:r>
      <w:proofErr w:type="gramEnd"/>
    </w:p>
    <w:p w14:paraId="68F37B8B" w14:textId="28961FD2" w:rsidR="00F9382E" w:rsidRPr="00C1392D" w:rsidRDefault="00F9382E" w:rsidP="00853654">
      <w:pPr>
        <w:pStyle w:val="ListParagraph"/>
        <w:numPr>
          <w:ilvl w:val="0"/>
          <w:numId w:val="21"/>
        </w:numPr>
        <w:spacing w:after="0" w:line="240" w:lineRule="auto"/>
        <w:ind w:left="714" w:hanging="357"/>
        <w:contextualSpacing w:val="0"/>
        <w:rPr>
          <w:color w:val="495965" w:themeColor="text2"/>
        </w:rPr>
      </w:pPr>
      <w:r w:rsidRPr="00C1392D">
        <w:rPr>
          <w:color w:val="495965" w:themeColor="text2"/>
        </w:rPr>
        <w:t>the highest level, ‘significantly demonstrated’, was only assigned to one domain</w:t>
      </w:r>
      <w:r w:rsidR="00C30CED">
        <w:rPr>
          <w:color w:val="495965" w:themeColor="text2"/>
        </w:rPr>
        <w:t>:</w:t>
      </w:r>
      <w:r w:rsidRPr="00C1392D">
        <w:rPr>
          <w:color w:val="495965" w:themeColor="text2"/>
        </w:rPr>
        <w:t xml:space="preserve"> legal policy frameworks. Five countries received this rating: Cook Islands, Fiji, Nauru, PNG and </w:t>
      </w:r>
      <w:proofErr w:type="gramStart"/>
      <w:r w:rsidRPr="00C1392D">
        <w:rPr>
          <w:color w:val="495965" w:themeColor="text2"/>
        </w:rPr>
        <w:t>Samoa;</w:t>
      </w:r>
      <w:proofErr w:type="gramEnd"/>
    </w:p>
    <w:p w14:paraId="5FD76055" w14:textId="77777777" w:rsidR="00F9382E" w:rsidRPr="00C1392D" w:rsidRDefault="00F9382E" w:rsidP="00853654">
      <w:pPr>
        <w:pStyle w:val="ListParagraph"/>
        <w:numPr>
          <w:ilvl w:val="0"/>
          <w:numId w:val="21"/>
        </w:numPr>
        <w:spacing w:after="0" w:line="240" w:lineRule="auto"/>
        <w:ind w:left="714" w:hanging="357"/>
        <w:contextualSpacing w:val="0"/>
        <w:rPr>
          <w:color w:val="495965" w:themeColor="text2"/>
        </w:rPr>
      </w:pPr>
      <w:r w:rsidRPr="00C1392D">
        <w:rPr>
          <w:color w:val="495965" w:themeColor="text2"/>
        </w:rPr>
        <w:t>financing for gender equality was rated at the lowest level for all PICs (bar Samoa</w:t>
      </w:r>
      <w:proofErr w:type="gramStart"/>
      <w:r w:rsidRPr="00C1392D">
        <w:rPr>
          <w:color w:val="495965" w:themeColor="text2"/>
        </w:rPr>
        <w:t>);</w:t>
      </w:r>
      <w:proofErr w:type="gramEnd"/>
    </w:p>
    <w:p w14:paraId="649778BD" w14:textId="374FCFF9" w:rsidR="00F9382E" w:rsidRPr="00C1392D" w:rsidRDefault="00F9382E" w:rsidP="00853654">
      <w:pPr>
        <w:pStyle w:val="ListParagraph"/>
        <w:numPr>
          <w:ilvl w:val="0"/>
          <w:numId w:val="21"/>
        </w:numPr>
        <w:spacing w:after="0" w:line="240" w:lineRule="auto"/>
        <w:ind w:left="714" w:hanging="357"/>
        <w:contextualSpacing w:val="0"/>
        <w:rPr>
          <w:color w:val="495965" w:themeColor="text2"/>
        </w:rPr>
      </w:pPr>
      <w:r w:rsidRPr="00C1392D">
        <w:rPr>
          <w:color w:val="495965" w:themeColor="text2"/>
        </w:rPr>
        <w:t xml:space="preserve">national </w:t>
      </w:r>
      <w:r w:rsidR="00C30CED">
        <w:rPr>
          <w:color w:val="495965" w:themeColor="text2"/>
        </w:rPr>
        <w:t>w</w:t>
      </w:r>
      <w:r w:rsidRPr="00C1392D">
        <w:rPr>
          <w:color w:val="495965" w:themeColor="text2"/>
        </w:rPr>
        <w:t xml:space="preserve">omen’s </w:t>
      </w:r>
      <w:r w:rsidR="00C30CED">
        <w:rPr>
          <w:color w:val="495965" w:themeColor="text2"/>
        </w:rPr>
        <w:t>m</w:t>
      </w:r>
      <w:r w:rsidRPr="00C1392D">
        <w:rPr>
          <w:color w:val="495965" w:themeColor="text2"/>
        </w:rPr>
        <w:t xml:space="preserve">achineries were typically small and </w:t>
      </w:r>
      <w:proofErr w:type="gramStart"/>
      <w:r w:rsidRPr="00C1392D">
        <w:rPr>
          <w:color w:val="495965" w:themeColor="text2"/>
        </w:rPr>
        <w:t>peripheral;</w:t>
      </w:r>
      <w:proofErr w:type="gramEnd"/>
    </w:p>
    <w:p w14:paraId="21FFDF07" w14:textId="24EF7D79" w:rsidR="00F9382E" w:rsidRPr="00C1392D" w:rsidRDefault="00993928" w:rsidP="00853654">
      <w:pPr>
        <w:pStyle w:val="ListParagraph"/>
        <w:numPr>
          <w:ilvl w:val="0"/>
          <w:numId w:val="21"/>
        </w:numPr>
        <w:spacing w:after="0" w:line="240" w:lineRule="auto"/>
        <w:ind w:left="714" w:hanging="357"/>
        <w:contextualSpacing w:val="0"/>
        <w:rPr>
          <w:color w:val="495965" w:themeColor="text2"/>
        </w:rPr>
      </w:pPr>
      <w:r>
        <w:rPr>
          <w:color w:val="495965" w:themeColor="text2"/>
        </w:rPr>
        <w:t>many</w:t>
      </w:r>
      <w:r w:rsidR="00F9382E" w:rsidRPr="00C1392D">
        <w:rPr>
          <w:color w:val="495965" w:themeColor="text2"/>
        </w:rPr>
        <w:t xml:space="preserve"> countries demonstrated limited political will, often driven by sociocultural perceptions around gender, with limited understanding of gender mainstreaming and will to implement gender </w:t>
      </w:r>
      <w:proofErr w:type="gramStart"/>
      <w:r w:rsidR="00F9382E" w:rsidRPr="00C1392D">
        <w:rPr>
          <w:color w:val="495965" w:themeColor="text2"/>
        </w:rPr>
        <w:t>policies;</w:t>
      </w:r>
      <w:proofErr w:type="gramEnd"/>
    </w:p>
    <w:p w14:paraId="701BC663" w14:textId="77777777" w:rsidR="00F9382E" w:rsidRPr="00C1392D" w:rsidRDefault="00F9382E" w:rsidP="00853654">
      <w:pPr>
        <w:pStyle w:val="ListParagraph"/>
        <w:numPr>
          <w:ilvl w:val="0"/>
          <w:numId w:val="21"/>
        </w:numPr>
        <w:spacing w:after="0" w:line="240" w:lineRule="auto"/>
        <w:ind w:left="714" w:hanging="357"/>
        <w:contextualSpacing w:val="0"/>
        <w:rPr>
          <w:color w:val="495965" w:themeColor="text2"/>
        </w:rPr>
      </w:pPr>
      <w:r w:rsidRPr="00C1392D">
        <w:rPr>
          <w:color w:val="495965" w:themeColor="text2"/>
        </w:rPr>
        <w:t>virtually no countries had gender analysis in their planning or guidance tools, and use of sex-disaggregated data in planning was rare; and</w:t>
      </w:r>
    </w:p>
    <w:p w14:paraId="7496C2AA" w14:textId="77777777" w:rsidR="00F9382E" w:rsidRPr="00C1392D" w:rsidRDefault="00F9382E" w:rsidP="00853654">
      <w:pPr>
        <w:pStyle w:val="ListParagraph"/>
        <w:numPr>
          <w:ilvl w:val="0"/>
          <w:numId w:val="21"/>
        </w:numPr>
        <w:spacing w:after="120" w:line="240" w:lineRule="auto"/>
        <w:ind w:left="714" w:hanging="357"/>
        <w:contextualSpacing w:val="0"/>
        <w:rPr>
          <w:color w:val="495965" w:themeColor="text2"/>
        </w:rPr>
      </w:pPr>
      <w:r w:rsidRPr="00C1392D">
        <w:rPr>
          <w:color w:val="495965" w:themeColor="text2"/>
        </w:rPr>
        <w:t>virtually no countries had solid accountability mechanisms in place to support gender mainstreaming.</w:t>
      </w:r>
    </w:p>
    <w:p w14:paraId="56B6F9F4" w14:textId="0656A09B" w:rsidR="00F9382E" w:rsidRDefault="00F9382E" w:rsidP="00C1392D">
      <w:pPr>
        <w:spacing w:after="120"/>
      </w:pPr>
      <w:r>
        <w:t xml:space="preserve">The review observed that the experience in </w:t>
      </w:r>
      <w:r w:rsidR="00CB6A9A">
        <w:t xml:space="preserve">the Pacific </w:t>
      </w:r>
      <w:r>
        <w:t xml:space="preserve">was that gender mainstreaming and gender equality did not go </w:t>
      </w:r>
      <w:r w:rsidR="00BA0FB0">
        <w:t>together</w:t>
      </w:r>
      <w:r>
        <w:t xml:space="preserve">, seeing countries where progress on gender equality was outpacing the development of gender mainstreaming institutional mechanisms, while other countries where there was significant progress mainstreaming gender across government but limited progress in gender equality societally. This poses questions </w:t>
      </w:r>
      <w:r w:rsidR="004B60D5">
        <w:t>around</w:t>
      </w:r>
      <w:r>
        <w:t xml:space="preserve"> efforts focused on changing institutional mechanisms in government and making real change: a question that also arises with respect to PFM. The program did not approach</w:t>
      </w:r>
      <w:r w:rsidR="006E6E7B">
        <w:t xml:space="preserve"> gender</w:t>
      </w:r>
      <w:r>
        <w:t xml:space="preserve"> mainstreaming as a technocratic problem, but its attempts to work politically</w:t>
      </w:r>
      <w:r w:rsidR="006E6E7B">
        <w:t>,</w:t>
      </w:r>
      <w:r>
        <w:t xml:space="preserve"> by building coalitions and working with local leadership, invariably meant convincing male elites that disproportionately hold political positions across PICs</w:t>
      </w:r>
      <w:r w:rsidR="006C0AA9">
        <w:t xml:space="preserve"> and Timor-Leste</w:t>
      </w:r>
      <w:r>
        <w:t>. Consequently, ‘</w:t>
      </w:r>
      <w:r w:rsidRPr="006C1BE2">
        <w:t>discriminatory norms and attitudes among leaders</w:t>
      </w:r>
      <w:r>
        <w:t xml:space="preserve"> [were]</w:t>
      </w:r>
      <w:r w:rsidRPr="006C1BE2">
        <w:t xml:space="preserve"> persistent barriers to progress on gender</w:t>
      </w:r>
      <w:r>
        <w:t xml:space="preserve"> </w:t>
      </w:r>
      <w:r w:rsidRPr="006C1BE2">
        <w:t xml:space="preserve">mainstreaming and gender equality </w:t>
      </w:r>
      <w:proofErr w:type="gramStart"/>
      <w:r w:rsidRPr="006C1BE2">
        <w:t>efforts</w:t>
      </w:r>
      <w:r>
        <w:t>’</w:t>
      </w:r>
      <w:proofErr w:type="gramEnd"/>
      <w:r w:rsidRPr="006C1BE2">
        <w:t>.</w:t>
      </w:r>
    </w:p>
    <w:p w14:paraId="449FEBC5" w14:textId="474662C9" w:rsidR="00F9382E" w:rsidRDefault="00F9382E" w:rsidP="00C1392D">
      <w:pPr>
        <w:spacing w:after="120"/>
      </w:pPr>
      <w:r>
        <w:t xml:space="preserve">The review raised issues concerning the sustainability of changes in </w:t>
      </w:r>
      <w:r w:rsidR="00284193">
        <w:t>low-capacity</w:t>
      </w:r>
      <w:r>
        <w:t xml:space="preserve"> PICs</w:t>
      </w:r>
      <w:r w:rsidR="006C0AA9">
        <w:t xml:space="preserve"> and Timor-Leste</w:t>
      </w:r>
      <w:r>
        <w:t>, where</w:t>
      </w:r>
      <w:r w:rsidRPr="007A3FAB">
        <w:t xml:space="preserve"> progress is dependent on one or two</w:t>
      </w:r>
      <w:r>
        <w:t xml:space="preserve"> </w:t>
      </w:r>
      <w:r w:rsidRPr="007A3FAB">
        <w:t>skilled individuals and vulnerable to high staff turnover</w:t>
      </w:r>
      <w:r>
        <w:t xml:space="preserve">. The review pointed to </w:t>
      </w:r>
      <w:r w:rsidRPr="007628E8">
        <w:t xml:space="preserve">persistent capacity gaps </w:t>
      </w:r>
      <w:r>
        <w:t xml:space="preserve">in </w:t>
      </w:r>
      <w:r w:rsidRPr="007628E8">
        <w:t>statistics analysis,</w:t>
      </w:r>
      <w:r>
        <w:t xml:space="preserve"> </w:t>
      </w:r>
      <w:r w:rsidRPr="007628E8">
        <w:t>synthesis, reporting</w:t>
      </w:r>
      <w:r w:rsidR="00E379A7">
        <w:t>,</w:t>
      </w:r>
      <w:r w:rsidRPr="007628E8">
        <w:t xml:space="preserve"> and utilisation. </w:t>
      </w:r>
    </w:p>
    <w:p w14:paraId="4624AE25" w14:textId="77777777" w:rsidR="00F9382E" w:rsidRDefault="00F9382E" w:rsidP="00F9382E">
      <w:pPr>
        <w:pStyle w:val="Heading4"/>
      </w:pPr>
      <w:r>
        <w:t>Capacity of PFM systems and practitioners</w:t>
      </w:r>
    </w:p>
    <w:p w14:paraId="0839A985" w14:textId="12AD46C1" w:rsidR="00F9382E" w:rsidRPr="00747E8D" w:rsidRDefault="00F9382E" w:rsidP="00C1392D">
      <w:pPr>
        <w:spacing w:after="120"/>
      </w:pPr>
      <w:r>
        <w:t xml:space="preserve">The quality and capacity of PFM systems varies considerably across the region, as shown by scores from the </w:t>
      </w:r>
      <w:r w:rsidR="003C70F4">
        <w:t>World Bank</w:t>
      </w:r>
      <w:r>
        <w:t xml:space="preserve">-managed </w:t>
      </w:r>
      <w:r w:rsidRPr="007C77A6">
        <w:rPr>
          <w:b/>
          <w:bCs/>
          <w:i/>
          <w:iCs/>
        </w:rPr>
        <w:t>Public Expenditure and Financial Accountability</w:t>
      </w:r>
      <w:r>
        <w:t xml:space="preserve"> program (</w:t>
      </w:r>
      <w:r w:rsidRPr="003C70F4">
        <w:rPr>
          <w:b/>
          <w:bCs/>
        </w:rPr>
        <w:t>Figure 6</w:t>
      </w:r>
      <w:r>
        <w:t>). The average score for the region is lower than comparable countr</w:t>
      </w:r>
      <w:r w:rsidR="00E17463">
        <w:t>y groupings</w:t>
      </w:r>
      <w:r>
        <w:t xml:space="preserve">, with significantly lower scores in fiscal strategy and </w:t>
      </w:r>
      <w:r w:rsidR="00E17463">
        <w:t>budgeting</w:t>
      </w:r>
      <w:r>
        <w:t xml:space="preserve">, which are relevant to GRB. </w:t>
      </w:r>
      <w:r w:rsidR="00FA455F">
        <w:t>O</w:t>
      </w:r>
      <w:r>
        <w:t xml:space="preserve">ur consultations indicated </w:t>
      </w:r>
      <w:r w:rsidR="00FA455F">
        <w:t xml:space="preserve">program-based budgeting enables </w:t>
      </w:r>
      <w:r>
        <w:t>GRB</w:t>
      </w:r>
      <w:r w:rsidR="007C77A6">
        <w:t>,</w:t>
      </w:r>
      <w:r w:rsidR="00165E5D">
        <w:t xml:space="preserve"> but f</w:t>
      </w:r>
      <w:r>
        <w:t xml:space="preserve">ew PICs </w:t>
      </w:r>
      <w:r w:rsidR="001A1B2B">
        <w:t xml:space="preserve">and Timor-Leste </w:t>
      </w:r>
      <w:r>
        <w:t xml:space="preserve">have </w:t>
      </w:r>
      <w:r w:rsidR="00165E5D">
        <w:t>shifted</w:t>
      </w:r>
      <w:r>
        <w:t xml:space="preserve"> to </w:t>
      </w:r>
      <w:r w:rsidR="00FA455F">
        <w:t>program-based budgets</w:t>
      </w:r>
      <w:r>
        <w:t>, despite urging from development partners.</w:t>
      </w:r>
    </w:p>
    <w:p w14:paraId="4A34315A" w14:textId="77777777" w:rsidR="00FC5636" w:rsidRDefault="00F9382E" w:rsidP="00C1392D">
      <w:pPr>
        <w:pStyle w:val="Heading4"/>
        <w:spacing w:after="120"/>
      </w:pPr>
      <w:r w:rsidRPr="00C1392D">
        <w:rPr>
          <w:b/>
          <w:bCs w:val="0"/>
        </w:rPr>
        <w:lastRenderedPageBreak/>
        <w:t>Figure 6</w:t>
      </w:r>
      <w:r>
        <w:t xml:space="preserve"> Assessing </w:t>
      </w:r>
      <w:r w:rsidR="000B332B">
        <w:t>Pacific and Timorese</w:t>
      </w:r>
      <w:r>
        <w:t xml:space="preserve"> PFM systems using PEFA scores</w:t>
      </w:r>
    </w:p>
    <w:p w14:paraId="3EFC7883" w14:textId="3E3F0EF0" w:rsidR="00FC5636" w:rsidRDefault="00FC5636" w:rsidP="00C1392D">
      <w:pPr>
        <w:pStyle w:val="Heading4"/>
        <w:spacing w:after="120"/>
      </w:pPr>
      <w:r>
        <w:rPr>
          <w:noProof/>
        </w:rPr>
        <w:drawing>
          <wp:inline distT="0" distB="0" distL="0" distR="0" wp14:anchorId="75F72FFA" wp14:editId="75D02B74">
            <wp:extent cx="6120765" cy="1786255"/>
            <wp:effectExtent l="0" t="0" r="0" b="4445"/>
            <wp:docPr id="20" name="Picture 20" descr="Column chart showing the most recent Public Expenditure and Financial Accountability score for each Pacific country and Timor-Leste. Most countries have a score around 2.5 out of 4; while, scores are markedly lower for RMI, Nauru a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lumn chart showing the most recent Public Expenditure and Financial Accountability score for each Pacific country and Timor-Leste. Most countries have a score around 2.5 out of 4; while, scores are markedly lower for RMI, Nauru and 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786255"/>
                    </a:xfrm>
                    <a:prstGeom prst="rect">
                      <a:avLst/>
                    </a:prstGeom>
                    <a:noFill/>
                  </pic:spPr>
                </pic:pic>
              </a:graphicData>
            </a:graphic>
          </wp:inline>
        </w:drawing>
      </w:r>
    </w:p>
    <w:p w14:paraId="27291242" w14:textId="0799B132" w:rsidR="00F9382E" w:rsidRDefault="00FC5636" w:rsidP="00C1392D">
      <w:pPr>
        <w:pStyle w:val="Heading4"/>
        <w:spacing w:after="120"/>
      </w:pPr>
      <w:r>
        <w:rPr>
          <w:noProof/>
        </w:rPr>
        <w:drawing>
          <wp:inline distT="0" distB="0" distL="0" distR="0" wp14:anchorId="618F2A80" wp14:editId="1A06A4F3">
            <wp:extent cx="6120765" cy="1786255"/>
            <wp:effectExtent l="0" t="0" r="0" b="4445"/>
            <wp:docPr id="21" name="Picture 21" descr="Clustered bar chart showing Public Expenditure and Financial Accountability scores disaggregated by reporting area for various country groupings. Series one is the average for Pacific countries; series two is the average for emerging market countries; series three is the average for low income countries. The Pacific is lower than comparable country groupings, with significantly lower scores in the areas of fiscal strategy and budg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lustered bar chart showing Public Expenditure and Financial Accountability scores disaggregated by reporting area for various country groupings. Series one is the average for Pacific countries; series two is the average for emerging market countries; series three is the average for low income countries. The Pacific is lower than comparable country groupings, with significantly lower scores in the areas of fiscal strategy and budget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1786255"/>
                    </a:xfrm>
                    <a:prstGeom prst="rect">
                      <a:avLst/>
                    </a:prstGeom>
                    <a:noFill/>
                  </pic:spPr>
                </pic:pic>
              </a:graphicData>
            </a:graphic>
          </wp:inline>
        </w:drawing>
      </w:r>
    </w:p>
    <w:p w14:paraId="09F92369" w14:textId="04128561" w:rsidR="00F9382E" w:rsidRPr="007F6947" w:rsidRDefault="00F9382E" w:rsidP="00C1392D">
      <w:pPr>
        <w:autoSpaceDE w:val="0"/>
        <w:autoSpaceDN w:val="0"/>
        <w:adjustRightInd w:val="0"/>
        <w:spacing w:before="0" w:after="120"/>
        <w:rPr>
          <w:sz w:val="18"/>
          <w:szCs w:val="18"/>
        </w:rPr>
      </w:pPr>
      <w:r w:rsidRPr="007F6947">
        <w:rPr>
          <w:sz w:val="18"/>
          <w:szCs w:val="18"/>
        </w:rPr>
        <w:t xml:space="preserve">Source: </w:t>
      </w:r>
      <w:hyperlink r:id="rId25" w:history="1">
        <w:r w:rsidR="006C2B0F" w:rsidRPr="005F71F1">
          <w:rPr>
            <w:rStyle w:val="Hyperlink"/>
            <w:color w:val="0000EE"/>
            <w:sz w:val="18"/>
            <w:szCs w:val="18"/>
          </w:rPr>
          <w:t>Public Expenditure and Financial Accountability</w:t>
        </w:r>
      </w:hyperlink>
      <w:r>
        <w:rPr>
          <w:sz w:val="18"/>
          <w:szCs w:val="18"/>
        </w:rPr>
        <w:t>, Allen et al 2020.</w:t>
      </w:r>
    </w:p>
    <w:p w14:paraId="352FB303" w14:textId="1EB0A6EB" w:rsidR="0095386F" w:rsidRDefault="007C77A6" w:rsidP="006858B3">
      <w:pPr>
        <w:pStyle w:val="Heading4"/>
        <w:spacing w:before="240"/>
      </w:pPr>
      <w:r>
        <w:t xml:space="preserve">Gender responsive PEFA </w:t>
      </w:r>
      <w:r w:rsidR="001048E5">
        <w:t>assessments</w:t>
      </w:r>
    </w:p>
    <w:p w14:paraId="0B866909" w14:textId="70FABB48" w:rsidR="00F9382E" w:rsidRDefault="00F9382E" w:rsidP="00C1392D">
      <w:pPr>
        <w:spacing w:after="120"/>
      </w:pPr>
      <w:r>
        <w:t xml:space="preserve">The PEFA program has recently introduced a tool to assess the gender-responsiveness of PFM systems. This tool, the </w:t>
      </w:r>
      <w:r w:rsidRPr="001048E5">
        <w:rPr>
          <w:b/>
          <w:bCs/>
          <w:i/>
          <w:iCs/>
        </w:rPr>
        <w:t>Gender Responsive Public Financial Management</w:t>
      </w:r>
      <w:r>
        <w:t xml:space="preserve"> (GRPFM)</w:t>
      </w:r>
      <w:r w:rsidR="001048E5">
        <w:t xml:space="preserve"> framework</w:t>
      </w:r>
      <w:r>
        <w:t>, employs nine indicators that</w:t>
      </w:r>
      <w:r w:rsidR="001048E5">
        <w:t xml:space="preserve"> measure</w:t>
      </w:r>
      <w:r>
        <w:t xml:space="preserve"> a country’s PFM systems </w:t>
      </w:r>
      <w:r w:rsidR="00D36403">
        <w:t>ability to ‘</w:t>
      </w:r>
      <w:r>
        <w:t xml:space="preserve">address the government’s goals </w:t>
      </w:r>
      <w:r w:rsidR="00CB72BF">
        <w:t>around</w:t>
      </w:r>
      <w:r>
        <w:t xml:space="preserve"> acknowledging different needs of men and women, and different subgroups of these categories, and promoting gender equality’.</w:t>
      </w:r>
      <w:r w:rsidRPr="0007039E">
        <w:rPr>
          <w:vertAlign w:val="superscript"/>
        </w:rPr>
        <w:footnoteReference w:id="27"/>
      </w:r>
      <w:r w:rsidRPr="0007039E">
        <w:rPr>
          <w:vertAlign w:val="superscript"/>
        </w:rPr>
        <w:t xml:space="preserve"> </w:t>
      </w:r>
      <w:r w:rsidRPr="003C70F4">
        <w:rPr>
          <w:b/>
          <w:bCs/>
        </w:rPr>
        <w:t>Figure 7</w:t>
      </w:r>
      <w:r>
        <w:t xml:space="preserve"> </w:t>
      </w:r>
      <w:r w:rsidR="00FC5636">
        <w:t xml:space="preserve">(overleaf) </w:t>
      </w:r>
      <w:r>
        <w:t>presents the nine indicators.</w:t>
      </w:r>
    </w:p>
    <w:p w14:paraId="42C518A2" w14:textId="77777777" w:rsidR="00FC5636" w:rsidRDefault="00FC5636" w:rsidP="00FC5636">
      <w:pPr>
        <w:spacing w:after="120"/>
      </w:pPr>
      <w:r>
        <w:t xml:space="preserve">In 2020, Tonga and Fiji participated in GRPFM pilots and Tonga’s assessment was made publicly available. Tonga scored well on two indicators (GRPFM 4 and 8), mediocre on two indicators (GRPFM 2 and 5) and poorly on all other indicators. Given that Tonga’s general PEFA score is the highest in the Pacific and Timor-Leste (with Samoa), it is reasonable to assume other PICs and Timor-Leste would achieve similar or worse GRPFM ratings (except for perhaps Fiji and Timor-Leste). While the GRPFM framework is useful for benchmarking the gender responsiveness of PFM systems, it does not attempt to identify reasons behind ratings or policy responses to improve ratings. </w:t>
      </w:r>
    </w:p>
    <w:p w14:paraId="5E816D78" w14:textId="77777777" w:rsidR="00FC5636" w:rsidRDefault="00FC5636" w:rsidP="00FC5636">
      <w:pPr>
        <w:pStyle w:val="Heading4"/>
      </w:pPr>
      <w:r>
        <w:t>PFM roadmaps</w:t>
      </w:r>
    </w:p>
    <w:p w14:paraId="26518583" w14:textId="77777777" w:rsidR="00FC5636" w:rsidRDefault="00FC5636" w:rsidP="00FC5636">
      <w:pPr>
        <w:spacing w:after="120"/>
      </w:pPr>
      <w:r>
        <w:t xml:space="preserve">Most PICs have been implementing PFM reforms under roadmaps that have been developed - and revised - in partnership with PFTAC and other development partners. Timor-Leste does not currently have a comprehensive roadmap like most PICs (but </w:t>
      </w:r>
      <w:r w:rsidRPr="00F21A7F">
        <w:t xml:space="preserve">the Government </w:t>
      </w:r>
      <w:r>
        <w:t xml:space="preserve">plans to develop one). These roadmaps lay out three- to five-year comprehensive action plans for PFM reform, prepared by government, and drawing on PEFA assessments (see </w:t>
      </w:r>
      <w:r w:rsidRPr="008726DE">
        <w:rPr>
          <w:b/>
          <w:bCs/>
        </w:rPr>
        <w:lastRenderedPageBreak/>
        <w:t xml:space="preserve">Box </w:t>
      </w:r>
      <w:r>
        <w:rPr>
          <w:b/>
          <w:bCs/>
        </w:rPr>
        <w:t>2</w:t>
      </w:r>
      <w:r>
        <w:t>). In some cases, these roadmaps have been linked to policy actions underpinning budget support disbursements.</w:t>
      </w:r>
    </w:p>
    <w:p w14:paraId="3E782EF9" w14:textId="244EEBEF" w:rsidR="00F9382E" w:rsidRDefault="00F9382E" w:rsidP="00C1392D">
      <w:pPr>
        <w:pStyle w:val="Heading4"/>
        <w:spacing w:before="0"/>
      </w:pPr>
      <w:r w:rsidRPr="00C1392D">
        <w:rPr>
          <w:b/>
          <w:bCs w:val="0"/>
        </w:rPr>
        <w:t>Figure 7</w:t>
      </w:r>
      <w:r>
        <w:t xml:space="preserve"> PEFA’s nine GRPFM indicators</w:t>
      </w:r>
    </w:p>
    <w:p w14:paraId="048C1C68" w14:textId="434420A5" w:rsidR="00C1392D" w:rsidRDefault="00072168" w:rsidP="00C1392D">
      <w:pPr>
        <w:autoSpaceDE w:val="0"/>
        <w:autoSpaceDN w:val="0"/>
        <w:adjustRightInd w:val="0"/>
        <w:spacing w:before="0"/>
        <w:jc w:val="center"/>
      </w:pPr>
      <w:r>
        <w:rPr>
          <w:noProof/>
        </w:rPr>
        <w:drawing>
          <wp:inline distT="0" distB="0" distL="0" distR="0" wp14:anchorId="27A53415" wp14:editId="32653CBE">
            <wp:extent cx="6249905" cy="6055182"/>
            <wp:effectExtent l="0" t="0" r="0" b="3175"/>
            <wp:docPr id="7" name="Picture 7" descr="Schematic diagram showing the nine indicators used in the gender responsive public financial management assessment. Indicator one is gender impact analysis of budget policy proposals; indicator two is gender responsive public investment management; indicator three is gender responsive budget circular; indicator four is gender responsive budget proposal documentation; indicator five is sex-disaggregated performance information for service delivery; indicator six is tracking budget expenditure for gender equality; indicator seven is gender responsive reporting; indicator eight is evaluation of gender impacts of service delivery; indicator nine is legislative scrutiny of gender impacts of the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hematic diagram showing the nine indicators used in the gender responsive public financial management assessment. Indicator one is gender impact analysis of budget policy proposals; indicator two is gender responsive public investment management; indicator three is gender responsive budget circular; indicator four is gender responsive budget proposal documentation; indicator five is sex-disaggregated performance information for service delivery; indicator six is tracking budget expenditure for gender equality; indicator seven is gender responsive reporting; indicator eight is evaluation of gender impacts of service delivery; indicator nine is legislative scrutiny of gender impacts of the budg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73149" cy="6077702"/>
                    </a:xfrm>
                    <a:prstGeom prst="rect">
                      <a:avLst/>
                    </a:prstGeom>
                    <a:noFill/>
                    <a:ln>
                      <a:noFill/>
                    </a:ln>
                  </pic:spPr>
                </pic:pic>
              </a:graphicData>
            </a:graphic>
          </wp:inline>
        </w:drawing>
      </w:r>
    </w:p>
    <w:p w14:paraId="644A2815" w14:textId="405F07B4" w:rsidR="00F9382E" w:rsidRPr="0095386F" w:rsidRDefault="00F9382E" w:rsidP="00C1602E">
      <w:pPr>
        <w:autoSpaceDE w:val="0"/>
        <w:autoSpaceDN w:val="0"/>
        <w:adjustRightInd w:val="0"/>
        <w:spacing w:before="0"/>
        <w:rPr>
          <w:sz w:val="18"/>
          <w:szCs w:val="18"/>
        </w:rPr>
      </w:pPr>
      <w:r w:rsidRPr="00C1392D">
        <w:rPr>
          <w:sz w:val="18"/>
          <w:szCs w:val="18"/>
        </w:rPr>
        <w:t>Source:</w:t>
      </w:r>
      <w:r w:rsidR="006D44BF" w:rsidRPr="006D44BF">
        <w:rPr>
          <w:color w:val="0000EE"/>
        </w:rPr>
        <w:t xml:space="preserve"> </w:t>
      </w:r>
      <w:hyperlink r:id="rId27" w:history="1">
        <w:r w:rsidR="006D44BF" w:rsidRPr="006D44BF">
          <w:rPr>
            <w:rStyle w:val="Hyperlink"/>
            <w:color w:val="0000EE"/>
            <w:sz w:val="16"/>
            <w:szCs w:val="16"/>
          </w:rPr>
          <w:t>Supplementary Framework for Assessing Gender Responsive Public Financial Management</w:t>
        </w:r>
      </w:hyperlink>
    </w:p>
    <w:p w14:paraId="5CC6C8F8" w14:textId="3C69F688" w:rsidR="00F9382E" w:rsidRDefault="00F9382E" w:rsidP="00C1392D">
      <w:pPr>
        <w:spacing w:after="120"/>
      </w:pPr>
      <w:r>
        <w:t>The directions embedded in PFM roadmaps, and the implicit prioritisation, has been the subject of considerable debate, echoing a broader discussion of how to approach PFM reform.</w:t>
      </w:r>
      <w:r>
        <w:rPr>
          <w:rStyle w:val="FootnoteReference"/>
        </w:rPr>
        <w:footnoteReference w:id="28"/>
      </w:r>
      <w:r w:rsidRPr="00911952">
        <w:t xml:space="preserve"> </w:t>
      </w:r>
      <w:r w:rsidR="00761F21">
        <w:t>T</w:t>
      </w:r>
      <w:r>
        <w:t xml:space="preserve">he World Bank’s guidance note on PFM </w:t>
      </w:r>
      <w:r w:rsidR="00761F21">
        <w:t xml:space="preserve">in the Pacific </w:t>
      </w:r>
      <w:r>
        <w:t>states</w:t>
      </w:r>
      <w:r w:rsidR="00761F21">
        <w:t>:</w:t>
      </w:r>
      <w:r>
        <w:t xml:space="preserve"> ‘PFM reforms, especially those involving changes to established processes and </w:t>
      </w:r>
      <w:r>
        <w:lastRenderedPageBreak/>
        <w:t>systems, are notoriously effort-intensive and time-consuming. Limited resources and capacity mean the scope of achievable reforms will be constrained and prioriti</w:t>
      </w:r>
      <w:r w:rsidR="00761F21">
        <w:t>s</w:t>
      </w:r>
      <w:r>
        <w:t>ation across possible PFM reforms is necessary’.</w:t>
      </w:r>
      <w:r>
        <w:rPr>
          <w:rStyle w:val="FootnoteReference"/>
        </w:rPr>
        <w:footnoteReference w:id="29"/>
      </w:r>
    </w:p>
    <w:p w14:paraId="5118A856" w14:textId="2B0AC20F" w:rsidR="00F9382E" w:rsidRDefault="00F9382E" w:rsidP="00B355DE">
      <w:pPr>
        <w:pStyle w:val="Heading4"/>
        <w:spacing w:before="0" w:after="120"/>
      </w:pPr>
      <w:r w:rsidRPr="00761F21">
        <w:rPr>
          <w:b/>
          <w:bCs w:val="0"/>
        </w:rPr>
        <w:t xml:space="preserve">Box </w:t>
      </w:r>
      <w:r w:rsidR="008E3624">
        <w:rPr>
          <w:b/>
          <w:bCs w:val="0"/>
        </w:rPr>
        <w:t>2</w:t>
      </w:r>
      <w:r>
        <w:t xml:space="preserve"> PFM </w:t>
      </w:r>
      <w:r w:rsidR="00761F21">
        <w:t>r</w:t>
      </w:r>
      <w:r>
        <w:t>oadmaps</w:t>
      </w:r>
      <w:r w:rsidR="00761F21">
        <w:t xml:space="preserve"> and PEFA scores</w:t>
      </w:r>
    </w:p>
    <w:p w14:paraId="41962989" w14:textId="77777777" w:rsidR="007E6D77" w:rsidRDefault="007E6D77" w:rsidP="007E6D77">
      <w:pPr>
        <w:pBdr>
          <w:top w:val="single" w:sz="12" w:space="1" w:color="65C5B4" w:themeColor="accent1"/>
          <w:left w:val="single" w:sz="12" w:space="4" w:color="65C5B4" w:themeColor="accent1"/>
          <w:bottom w:val="single" w:sz="12" w:space="1" w:color="65C5B4" w:themeColor="accent1"/>
          <w:right w:val="single" w:sz="12" w:space="4" w:color="65C5B4" w:themeColor="accent1"/>
        </w:pBdr>
        <w:autoSpaceDE w:val="0"/>
        <w:autoSpaceDN w:val="0"/>
        <w:adjustRightInd w:val="0"/>
        <w:spacing w:after="120"/>
        <w:rPr>
          <w:rFonts w:cstheme="minorHAnsi"/>
          <w:sz w:val="20"/>
          <w:szCs w:val="20"/>
        </w:rPr>
      </w:pPr>
      <w:r w:rsidRPr="00A64CEC">
        <w:rPr>
          <w:rFonts w:cstheme="minorHAnsi"/>
          <w:sz w:val="20"/>
          <w:szCs w:val="20"/>
        </w:rPr>
        <w:t xml:space="preserve">The initiative to develop PFM roadmaps based on PEFA </w:t>
      </w:r>
      <w:r>
        <w:rPr>
          <w:rFonts w:cstheme="minorHAnsi"/>
          <w:sz w:val="20"/>
          <w:szCs w:val="20"/>
        </w:rPr>
        <w:t xml:space="preserve">assessments </w:t>
      </w:r>
      <w:r w:rsidRPr="00A64CEC">
        <w:rPr>
          <w:rFonts w:cstheme="minorHAnsi"/>
          <w:sz w:val="20"/>
          <w:szCs w:val="20"/>
        </w:rPr>
        <w:t>came from an agreement at the 40</w:t>
      </w:r>
      <w:r w:rsidRPr="00761F21">
        <w:rPr>
          <w:rFonts w:cstheme="minorHAnsi"/>
          <w:sz w:val="20"/>
          <w:szCs w:val="20"/>
          <w:vertAlign w:val="superscript"/>
        </w:rPr>
        <w:t>th</w:t>
      </w:r>
      <w:r w:rsidRPr="00A64CEC">
        <w:rPr>
          <w:rFonts w:cstheme="minorHAnsi"/>
          <w:sz w:val="20"/>
          <w:szCs w:val="20"/>
        </w:rPr>
        <w:t xml:space="preserve"> </w:t>
      </w:r>
      <w:r>
        <w:rPr>
          <w:rFonts w:cstheme="minorHAnsi"/>
          <w:sz w:val="20"/>
          <w:szCs w:val="20"/>
        </w:rPr>
        <w:t>PIF</w:t>
      </w:r>
      <w:r w:rsidRPr="00A64CEC">
        <w:rPr>
          <w:rFonts w:cstheme="minorHAnsi"/>
          <w:sz w:val="20"/>
          <w:szCs w:val="20"/>
        </w:rPr>
        <w:t xml:space="preserve"> Leaders Meeting (Cairns, 2009) to facilitate improved economic and development performance in the region. </w:t>
      </w:r>
      <w:r>
        <w:rPr>
          <w:rFonts w:cstheme="minorHAnsi"/>
          <w:sz w:val="20"/>
          <w:szCs w:val="20"/>
        </w:rPr>
        <w:t xml:space="preserve">At the following Forum Economic Ministers Meeting (FEMM), ministers </w:t>
      </w:r>
      <w:r w:rsidRPr="00A64CEC">
        <w:rPr>
          <w:rFonts w:cstheme="minorHAnsi"/>
          <w:sz w:val="20"/>
          <w:szCs w:val="20"/>
        </w:rPr>
        <w:t xml:space="preserve">endorsed a recommendation to develop a regional </w:t>
      </w:r>
      <w:r>
        <w:rPr>
          <w:rFonts w:cstheme="minorHAnsi"/>
          <w:sz w:val="20"/>
          <w:szCs w:val="20"/>
        </w:rPr>
        <w:t>r</w:t>
      </w:r>
      <w:r w:rsidRPr="00A64CEC">
        <w:rPr>
          <w:rFonts w:cstheme="minorHAnsi"/>
          <w:sz w:val="20"/>
          <w:szCs w:val="20"/>
        </w:rPr>
        <w:t xml:space="preserve">oadmap to strengthen </w:t>
      </w:r>
      <w:r>
        <w:rPr>
          <w:rFonts w:cstheme="minorHAnsi"/>
          <w:sz w:val="20"/>
          <w:szCs w:val="20"/>
        </w:rPr>
        <w:t>PIF members’</w:t>
      </w:r>
      <w:r w:rsidRPr="00A64CEC">
        <w:rPr>
          <w:rFonts w:cstheme="minorHAnsi"/>
          <w:sz w:val="20"/>
          <w:szCs w:val="20"/>
        </w:rPr>
        <w:t xml:space="preserve"> PFM</w:t>
      </w:r>
      <w:r>
        <w:rPr>
          <w:rFonts w:cstheme="minorHAnsi"/>
          <w:sz w:val="20"/>
          <w:szCs w:val="20"/>
        </w:rPr>
        <w:t xml:space="preserve"> systems</w:t>
      </w:r>
      <w:r w:rsidRPr="00A64CEC">
        <w:rPr>
          <w:rFonts w:cstheme="minorHAnsi"/>
          <w:sz w:val="20"/>
          <w:szCs w:val="20"/>
        </w:rPr>
        <w:t>. PFTAC w</w:t>
      </w:r>
      <w:r>
        <w:rPr>
          <w:rFonts w:cstheme="minorHAnsi"/>
          <w:sz w:val="20"/>
          <w:szCs w:val="20"/>
        </w:rPr>
        <w:t xml:space="preserve">as tasked with </w:t>
      </w:r>
      <w:r w:rsidRPr="00A64CEC">
        <w:rPr>
          <w:rFonts w:cstheme="minorHAnsi"/>
          <w:sz w:val="20"/>
          <w:szCs w:val="20"/>
        </w:rPr>
        <w:t>coordination</w:t>
      </w:r>
      <w:r>
        <w:rPr>
          <w:rFonts w:cstheme="minorHAnsi"/>
          <w:sz w:val="20"/>
          <w:szCs w:val="20"/>
        </w:rPr>
        <w:t>,</w:t>
      </w:r>
      <w:r w:rsidRPr="00A64CEC">
        <w:rPr>
          <w:rFonts w:cstheme="minorHAnsi"/>
          <w:sz w:val="20"/>
          <w:szCs w:val="20"/>
        </w:rPr>
        <w:t xml:space="preserve"> quality control</w:t>
      </w:r>
      <w:r>
        <w:rPr>
          <w:rFonts w:cstheme="minorHAnsi"/>
          <w:sz w:val="20"/>
          <w:szCs w:val="20"/>
        </w:rPr>
        <w:t xml:space="preserve"> and</w:t>
      </w:r>
      <w:r w:rsidRPr="00A64CEC">
        <w:rPr>
          <w:rFonts w:cstheme="minorHAnsi"/>
          <w:sz w:val="20"/>
          <w:szCs w:val="20"/>
        </w:rPr>
        <w:t xml:space="preserve"> technical support for PEFA assessments and the development of </w:t>
      </w:r>
      <w:r>
        <w:rPr>
          <w:rFonts w:cstheme="minorHAnsi"/>
          <w:sz w:val="20"/>
          <w:szCs w:val="20"/>
        </w:rPr>
        <w:t xml:space="preserve">country </w:t>
      </w:r>
      <w:r w:rsidRPr="00A64CEC">
        <w:rPr>
          <w:rFonts w:cstheme="minorHAnsi"/>
          <w:sz w:val="20"/>
          <w:szCs w:val="20"/>
        </w:rPr>
        <w:t>roadmaps.</w:t>
      </w:r>
    </w:p>
    <w:p w14:paraId="5CE07BBE" w14:textId="77777777" w:rsidR="007E6D77" w:rsidRDefault="007E6D77" w:rsidP="007E6D77">
      <w:pPr>
        <w:pBdr>
          <w:top w:val="single" w:sz="12" w:space="1" w:color="65C5B4" w:themeColor="accent1"/>
          <w:left w:val="single" w:sz="12" w:space="4" w:color="65C5B4" w:themeColor="accent1"/>
          <w:bottom w:val="single" w:sz="12" w:space="1" w:color="65C5B4" w:themeColor="accent1"/>
          <w:right w:val="single" w:sz="12" w:space="4" w:color="65C5B4" w:themeColor="accent1"/>
        </w:pBdr>
        <w:spacing w:before="0"/>
        <w:rPr>
          <w:rFonts w:cstheme="minorHAnsi"/>
          <w:sz w:val="20"/>
          <w:szCs w:val="20"/>
        </w:rPr>
      </w:pPr>
      <w:r w:rsidRPr="00A64CEC">
        <w:rPr>
          <w:rFonts w:cstheme="minorHAnsi"/>
          <w:sz w:val="20"/>
          <w:szCs w:val="20"/>
        </w:rPr>
        <w:t>It was agreed that the roadmaps were to cover expenditure management, revenue</w:t>
      </w:r>
      <w:r>
        <w:rPr>
          <w:rFonts w:cstheme="minorHAnsi"/>
          <w:sz w:val="20"/>
          <w:szCs w:val="20"/>
        </w:rPr>
        <w:t>, and</w:t>
      </w:r>
      <w:r w:rsidRPr="00A64CEC">
        <w:rPr>
          <w:rFonts w:cstheme="minorHAnsi"/>
          <w:sz w:val="20"/>
          <w:szCs w:val="20"/>
        </w:rPr>
        <w:t xml:space="preserve"> procurement to </w:t>
      </w:r>
      <w:r>
        <w:rPr>
          <w:rFonts w:cstheme="minorHAnsi"/>
          <w:sz w:val="20"/>
          <w:szCs w:val="20"/>
        </w:rPr>
        <w:t>improve</w:t>
      </w:r>
      <w:r w:rsidRPr="00A64CEC">
        <w:rPr>
          <w:rFonts w:cstheme="minorHAnsi"/>
          <w:sz w:val="20"/>
          <w:szCs w:val="20"/>
        </w:rPr>
        <w:t xml:space="preserve"> delivery of development resources. Emphasis was on improving service delivery</w:t>
      </w:r>
      <w:r>
        <w:rPr>
          <w:rFonts w:cstheme="minorHAnsi"/>
          <w:sz w:val="20"/>
          <w:szCs w:val="20"/>
        </w:rPr>
        <w:t xml:space="preserve"> and </w:t>
      </w:r>
      <w:r w:rsidRPr="00A64CEC">
        <w:rPr>
          <w:rFonts w:cstheme="minorHAnsi"/>
          <w:sz w:val="20"/>
          <w:szCs w:val="20"/>
        </w:rPr>
        <w:t xml:space="preserve">development outcomes. </w:t>
      </w:r>
      <w:r>
        <w:rPr>
          <w:rFonts w:cstheme="minorHAnsi"/>
          <w:sz w:val="20"/>
          <w:szCs w:val="20"/>
        </w:rPr>
        <w:t>PFTAC developed</w:t>
      </w:r>
      <w:r w:rsidRPr="00A64CEC">
        <w:rPr>
          <w:rFonts w:cstheme="minorHAnsi"/>
          <w:sz w:val="20"/>
          <w:szCs w:val="20"/>
        </w:rPr>
        <w:t xml:space="preserve"> a PFM Workbook to provide hands-on guidance to P</w:t>
      </w:r>
      <w:r>
        <w:rPr>
          <w:rFonts w:cstheme="minorHAnsi"/>
          <w:sz w:val="20"/>
          <w:szCs w:val="20"/>
        </w:rPr>
        <w:t>acific</w:t>
      </w:r>
      <w:r w:rsidRPr="00A64CEC">
        <w:rPr>
          <w:rFonts w:cstheme="minorHAnsi"/>
          <w:sz w:val="20"/>
          <w:szCs w:val="20"/>
        </w:rPr>
        <w:t xml:space="preserve"> governments in developing their own roadmap</w:t>
      </w:r>
      <w:r>
        <w:rPr>
          <w:rFonts w:cstheme="minorHAnsi"/>
          <w:sz w:val="20"/>
          <w:szCs w:val="20"/>
        </w:rPr>
        <w:t>s</w:t>
      </w:r>
      <w:r w:rsidRPr="00A64CEC">
        <w:rPr>
          <w:rFonts w:cstheme="minorHAnsi"/>
          <w:sz w:val="20"/>
          <w:szCs w:val="20"/>
        </w:rPr>
        <w:t>.</w:t>
      </w:r>
    </w:p>
    <w:p w14:paraId="3BB85E7A" w14:textId="2C5F3E29" w:rsidR="00B355DE" w:rsidRDefault="00B355DE" w:rsidP="007E6D77">
      <w:pPr>
        <w:spacing w:before="0"/>
        <w:rPr>
          <w:sz w:val="18"/>
          <w:szCs w:val="18"/>
        </w:rPr>
      </w:pPr>
      <w:r w:rsidRPr="00D871E9">
        <w:rPr>
          <w:sz w:val="18"/>
          <w:szCs w:val="18"/>
        </w:rPr>
        <w:t>Source</w:t>
      </w:r>
      <w:r>
        <w:rPr>
          <w:sz w:val="18"/>
          <w:szCs w:val="18"/>
        </w:rPr>
        <w:t>:</w:t>
      </w:r>
      <w:r w:rsidRPr="00D871E9">
        <w:rPr>
          <w:sz w:val="18"/>
          <w:szCs w:val="18"/>
        </w:rPr>
        <w:t xml:space="preserve"> World Bank 2013</w:t>
      </w:r>
    </w:p>
    <w:p w14:paraId="5637DB0B" w14:textId="24287C70" w:rsidR="00F9382E" w:rsidRDefault="00F9382E" w:rsidP="00F9382E">
      <w:r>
        <w:t>Drawn from recent World Bank</w:t>
      </w:r>
      <w:r>
        <w:rPr>
          <w:rStyle w:val="FootnoteReference"/>
        </w:rPr>
        <w:footnoteReference w:id="30"/>
      </w:r>
      <w:r>
        <w:t xml:space="preserve"> and IMF</w:t>
      </w:r>
      <w:r>
        <w:rPr>
          <w:rStyle w:val="FootnoteReference"/>
        </w:rPr>
        <w:footnoteReference w:id="31"/>
      </w:r>
      <w:r>
        <w:t xml:space="preserve"> reviews, some important observations of PFM reforms in </w:t>
      </w:r>
      <w:r w:rsidR="00CB6A9A">
        <w:t>the Pacific and Timor-Leste</w:t>
      </w:r>
      <w:r w:rsidR="007925D5">
        <w:t xml:space="preserve"> </w:t>
      </w:r>
      <w:r>
        <w:t>over the last decade include:</w:t>
      </w:r>
    </w:p>
    <w:p w14:paraId="37DB0698" w14:textId="2976A5E7" w:rsidR="00F9382E" w:rsidRPr="0039404C" w:rsidRDefault="00F9382E" w:rsidP="00853654">
      <w:pPr>
        <w:pStyle w:val="ListParagraph"/>
        <w:numPr>
          <w:ilvl w:val="0"/>
          <w:numId w:val="25"/>
        </w:numPr>
        <w:spacing w:after="0" w:line="240" w:lineRule="auto"/>
        <w:ind w:left="714" w:hanging="357"/>
        <w:contextualSpacing w:val="0"/>
        <w:jc w:val="both"/>
        <w:rPr>
          <w:color w:val="495965" w:themeColor="text2"/>
        </w:rPr>
      </w:pPr>
      <w:r w:rsidRPr="0039404C">
        <w:rPr>
          <w:rFonts w:cstheme="minorHAnsi"/>
          <w:b/>
          <w:bCs/>
          <w:color w:val="495965" w:themeColor="text2"/>
        </w:rPr>
        <w:t xml:space="preserve">While capacity constraints in PICs </w:t>
      </w:r>
      <w:r w:rsidR="006C0AA9">
        <w:rPr>
          <w:rFonts w:cstheme="minorHAnsi"/>
          <w:b/>
          <w:bCs/>
          <w:color w:val="495965" w:themeColor="text2"/>
        </w:rPr>
        <w:t xml:space="preserve">and Timor-Leste </w:t>
      </w:r>
      <w:r w:rsidRPr="0039404C">
        <w:rPr>
          <w:rFonts w:cstheme="minorHAnsi"/>
          <w:b/>
          <w:bCs/>
          <w:color w:val="495965" w:themeColor="text2"/>
        </w:rPr>
        <w:t>are severe and well known, they have not always been adequately reflected in the design of PFM reforms</w:t>
      </w:r>
      <w:r w:rsidRPr="0039404C">
        <w:rPr>
          <w:rFonts w:cstheme="minorHAnsi"/>
          <w:b/>
          <w:color w:val="495965" w:themeColor="text2"/>
        </w:rPr>
        <w:t>.</w:t>
      </w:r>
      <w:r w:rsidRPr="0039404C">
        <w:rPr>
          <w:rFonts w:cstheme="minorHAnsi"/>
          <w:color w:val="495965" w:themeColor="text2"/>
        </w:rPr>
        <w:t xml:space="preserve"> With limited pools of human resources, PICs </w:t>
      </w:r>
      <w:r w:rsidR="00652D5E" w:rsidRPr="00652D5E">
        <w:rPr>
          <w:rFonts w:cstheme="minorHAnsi"/>
          <w:color w:val="495965" w:themeColor="text2"/>
        </w:rPr>
        <w:t xml:space="preserve">and Timor-Leste </w:t>
      </w:r>
      <w:r w:rsidRPr="0039404C">
        <w:rPr>
          <w:rFonts w:cstheme="minorHAnsi"/>
          <w:color w:val="495965" w:themeColor="text2"/>
        </w:rPr>
        <w:t xml:space="preserve">are often unable to access the skills required for specialised PFM functions. Often, there are </w:t>
      </w:r>
      <w:r w:rsidR="007925D5">
        <w:rPr>
          <w:rFonts w:cstheme="minorHAnsi"/>
          <w:color w:val="495965" w:themeColor="text2"/>
        </w:rPr>
        <w:t xml:space="preserve">insufficient human resources to </w:t>
      </w:r>
      <w:r w:rsidRPr="0039404C">
        <w:rPr>
          <w:rFonts w:cstheme="minorHAnsi"/>
          <w:color w:val="495965" w:themeColor="text2"/>
        </w:rPr>
        <w:t xml:space="preserve">complete all the functions required in a </w:t>
      </w:r>
      <w:r w:rsidR="00282807">
        <w:rPr>
          <w:rFonts w:cstheme="minorHAnsi"/>
          <w:color w:val="495965" w:themeColor="text2"/>
        </w:rPr>
        <w:t>sophisticated</w:t>
      </w:r>
      <w:r w:rsidRPr="0039404C">
        <w:rPr>
          <w:rFonts w:cstheme="minorHAnsi"/>
          <w:color w:val="495965" w:themeColor="text2"/>
        </w:rPr>
        <w:t xml:space="preserve"> PFM system, with available staff stretched across a wide range of functions.</w:t>
      </w:r>
      <w:r w:rsidRPr="0039404C">
        <w:rPr>
          <w:rStyle w:val="FootnoteReference"/>
          <w:rFonts w:cstheme="minorHAnsi"/>
          <w:color w:val="495965" w:themeColor="text2"/>
        </w:rPr>
        <w:footnoteReference w:id="32"/>
      </w:r>
      <w:r w:rsidRPr="0039404C">
        <w:rPr>
          <w:rFonts w:cstheme="minorHAnsi"/>
          <w:color w:val="495965" w:themeColor="text2"/>
        </w:rPr>
        <w:t xml:space="preserve"> </w:t>
      </w:r>
      <w:r w:rsidR="00652D5E">
        <w:rPr>
          <w:rFonts w:cstheme="minorHAnsi"/>
          <w:color w:val="495965" w:themeColor="text2"/>
        </w:rPr>
        <w:t>PICs and Timor-Leste</w:t>
      </w:r>
      <w:r w:rsidRPr="0039404C">
        <w:rPr>
          <w:rFonts w:cstheme="minorHAnsi"/>
          <w:color w:val="495965" w:themeColor="text2"/>
        </w:rPr>
        <w:t xml:space="preserve"> have often been encouraged to achieve progress a broad range of reforms regardless of the extent to which these areas are constraining the achievement of development objectives. This often comes at the expense of making progress on more essential reforms.</w:t>
      </w:r>
      <w:r w:rsidRPr="0039404C">
        <w:rPr>
          <w:rStyle w:val="FootnoteReference"/>
          <w:rFonts w:cstheme="minorHAnsi"/>
          <w:color w:val="495965" w:themeColor="text2"/>
        </w:rPr>
        <w:footnoteReference w:id="33"/>
      </w:r>
    </w:p>
    <w:p w14:paraId="6898C7A3" w14:textId="253374DD" w:rsidR="00F9382E" w:rsidRPr="0039404C" w:rsidRDefault="00F9382E" w:rsidP="00853654">
      <w:pPr>
        <w:pStyle w:val="ListParagraph"/>
        <w:numPr>
          <w:ilvl w:val="0"/>
          <w:numId w:val="25"/>
        </w:numPr>
        <w:spacing w:after="0" w:line="240" w:lineRule="auto"/>
        <w:ind w:left="714" w:hanging="357"/>
        <w:contextualSpacing w:val="0"/>
        <w:jc w:val="both"/>
        <w:rPr>
          <w:rFonts w:cstheme="minorHAnsi"/>
          <w:color w:val="495965" w:themeColor="text2"/>
          <w:lang w:val="en-GB"/>
        </w:rPr>
      </w:pPr>
      <w:r w:rsidRPr="0039404C">
        <w:rPr>
          <w:rFonts w:cstheme="minorHAnsi"/>
          <w:b/>
          <w:bCs/>
          <w:color w:val="495965" w:themeColor="text2"/>
        </w:rPr>
        <w:t xml:space="preserve">Planning of PFM reforms has not always been sufficiently formalised and recognised by development partners. </w:t>
      </w:r>
      <w:r w:rsidR="002C5FA6" w:rsidRPr="0039404C">
        <w:rPr>
          <w:rFonts w:cstheme="minorHAnsi"/>
          <w:color w:val="495965" w:themeColor="text2"/>
        </w:rPr>
        <w:t>Consequently</w:t>
      </w:r>
      <w:r w:rsidRPr="0039404C">
        <w:rPr>
          <w:rFonts w:cstheme="minorHAnsi"/>
          <w:color w:val="495965" w:themeColor="text2"/>
        </w:rPr>
        <w:t>, development partners have often provided technical assistance on a ‘supply-driven’ basis, encouraging</w:t>
      </w:r>
      <w:r w:rsidRPr="0039404C">
        <w:rPr>
          <w:rFonts w:cstheme="minorHAnsi"/>
          <w:color w:val="495965" w:themeColor="text2"/>
          <w:lang w:val="en-GB"/>
        </w:rPr>
        <w:t xml:space="preserve"> agencies or individuals to implement the reforms without consideration of whether the planned assistance aligns with government priorities. Government agencies in </w:t>
      </w:r>
      <w:r w:rsidR="00652D5E">
        <w:rPr>
          <w:rFonts w:cstheme="minorHAnsi"/>
          <w:color w:val="495965" w:themeColor="text2"/>
          <w:lang w:val="en-GB"/>
        </w:rPr>
        <w:t>PICs and Timor-Leste</w:t>
      </w:r>
      <w:r w:rsidRPr="0039404C">
        <w:rPr>
          <w:rFonts w:cstheme="minorHAnsi"/>
          <w:color w:val="495965" w:themeColor="text2"/>
          <w:lang w:val="en-GB"/>
        </w:rPr>
        <w:t xml:space="preserve"> are often reluctant to turn down assistance of any kind, citing the need to maintain good relationships with development partners and avoid the risk of ‘losing’ access to specialist assistance in any area. Poorly coordinated and weakly prioritised PFM reform programs are a natural outcome of these patterns.</w:t>
      </w:r>
    </w:p>
    <w:p w14:paraId="482FB0ED" w14:textId="166E8934" w:rsidR="00F9382E" w:rsidRPr="0039404C" w:rsidRDefault="00F9382E" w:rsidP="00853654">
      <w:pPr>
        <w:pStyle w:val="ListParagraph"/>
        <w:numPr>
          <w:ilvl w:val="0"/>
          <w:numId w:val="25"/>
        </w:numPr>
        <w:spacing w:after="0" w:line="240" w:lineRule="auto"/>
        <w:ind w:left="714" w:hanging="357"/>
        <w:contextualSpacing w:val="0"/>
        <w:jc w:val="both"/>
        <w:rPr>
          <w:rFonts w:cstheme="minorHAnsi"/>
          <w:color w:val="495965" w:themeColor="text2"/>
          <w:lang w:val="en-GB"/>
        </w:rPr>
      </w:pPr>
      <w:r w:rsidRPr="0039404C">
        <w:rPr>
          <w:rFonts w:cstheme="minorHAnsi"/>
          <w:b/>
          <w:bCs/>
          <w:color w:val="495965" w:themeColor="text2"/>
        </w:rPr>
        <w:t>Reforms need strong ownership and political leadership, long timeframes, and clear roles to be effective.</w:t>
      </w:r>
      <w:r w:rsidRPr="0039404C">
        <w:rPr>
          <w:rFonts w:cstheme="minorHAnsi"/>
          <w:color w:val="495965" w:themeColor="text2"/>
          <w:lang w:val="en-GB"/>
        </w:rPr>
        <w:t xml:space="preserve"> Explicit risk identification and mitigation measures are necessary for far-reaching reform processes that may limit the discretion and power over resource allocation of political and commercial elites.</w:t>
      </w:r>
      <w:r w:rsidR="00AB6E61">
        <w:rPr>
          <w:rFonts w:cstheme="minorHAnsi"/>
          <w:color w:val="495965" w:themeColor="text2"/>
          <w:lang w:val="en-GB"/>
        </w:rPr>
        <w:t xml:space="preserve"> Institutional leadership from with the public administration system is also important. </w:t>
      </w:r>
      <w:r w:rsidR="002C5FA6">
        <w:rPr>
          <w:rFonts w:cstheme="minorHAnsi"/>
          <w:color w:val="495965" w:themeColor="text2"/>
          <w:lang w:val="en-GB"/>
        </w:rPr>
        <w:t xml:space="preserve">Without support </w:t>
      </w:r>
      <w:r w:rsidR="002F4424">
        <w:rPr>
          <w:rFonts w:cstheme="minorHAnsi"/>
          <w:color w:val="495965" w:themeColor="text2"/>
          <w:lang w:val="en-GB"/>
        </w:rPr>
        <w:t xml:space="preserve">of proposed reforms </w:t>
      </w:r>
      <w:r w:rsidR="002C5FA6">
        <w:rPr>
          <w:rFonts w:cstheme="minorHAnsi"/>
          <w:color w:val="495965" w:themeColor="text2"/>
          <w:lang w:val="en-GB"/>
        </w:rPr>
        <w:t>from the finance ministry</w:t>
      </w:r>
      <w:r w:rsidR="00AB6E61">
        <w:rPr>
          <w:rFonts w:cstheme="minorHAnsi"/>
          <w:color w:val="495965" w:themeColor="text2"/>
          <w:lang w:val="en-GB"/>
        </w:rPr>
        <w:t xml:space="preserve">, the chances of successful implementation </w:t>
      </w:r>
      <w:r w:rsidR="00366F16">
        <w:rPr>
          <w:rFonts w:cstheme="minorHAnsi"/>
          <w:color w:val="495965" w:themeColor="text2"/>
          <w:lang w:val="en-GB"/>
        </w:rPr>
        <w:t>of a new reform</w:t>
      </w:r>
      <w:r w:rsidR="00AB6E61">
        <w:rPr>
          <w:rFonts w:cstheme="minorHAnsi"/>
          <w:color w:val="495965" w:themeColor="text2"/>
          <w:lang w:val="en-GB"/>
        </w:rPr>
        <w:t>, such as may be required to introduce GRB, may be quite low</w:t>
      </w:r>
      <w:r w:rsidR="00366F16">
        <w:rPr>
          <w:rFonts w:cstheme="minorHAnsi"/>
          <w:color w:val="495965" w:themeColor="text2"/>
          <w:lang w:val="en-GB"/>
        </w:rPr>
        <w:t>.</w:t>
      </w:r>
      <w:r w:rsidR="00BF6EA1">
        <w:rPr>
          <w:rStyle w:val="FootnoteReference"/>
          <w:rFonts w:cstheme="minorHAnsi"/>
          <w:color w:val="495965" w:themeColor="text2"/>
          <w:lang w:val="en-GB"/>
        </w:rPr>
        <w:footnoteReference w:id="34"/>
      </w:r>
    </w:p>
    <w:p w14:paraId="68A33F79" w14:textId="09E6FD16" w:rsidR="00F9382E" w:rsidRPr="0039404C" w:rsidRDefault="00F9382E" w:rsidP="00853654">
      <w:pPr>
        <w:pStyle w:val="ListParagraph"/>
        <w:numPr>
          <w:ilvl w:val="0"/>
          <w:numId w:val="25"/>
        </w:numPr>
        <w:spacing w:after="0" w:line="240" w:lineRule="auto"/>
        <w:ind w:left="714" w:hanging="357"/>
        <w:contextualSpacing w:val="0"/>
        <w:jc w:val="both"/>
        <w:rPr>
          <w:rFonts w:cstheme="minorHAnsi"/>
          <w:color w:val="495965" w:themeColor="text2"/>
          <w:lang w:val="en-GB"/>
        </w:rPr>
      </w:pPr>
      <w:r w:rsidRPr="0039404C">
        <w:rPr>
          <w:rFonts w:cstheme="minorHAnsi"/>
          <w:b/>
          <w:bCs/>
          <w:color w:val="495965" w:themeColor="text2"/>
        </w:rPr>
        <w:t>While PEFA assessments provide a powerful diagnostic tool, they do not necessarily lead to appropriate prioritisation of reforms.</w:t>
      </w:r>
      <w:r w:rsidRPr="0039404C">
        <w:rPr>
          <w:rFonts w:cstheme="minorHAnsi"/>
          <w:color w:val="495965" w:themeColor="text2"/>
          <w:lang w:val="en-GB"/>
        </w:rPr>
        <w:t xml:space="preserve"> PEFA assessments rate performance against good practice across a wide range </w:t>
      </w:r>
      <w:r w:rsidRPr="0039404C">
        <w:rPr>
          <w:rFonts w:cstheme="minorHAnsi"/>
          <w:color w:val="495965" w:themeColor="text2"/>
          <w:lang w:val="en-GB"/>
        </w:rPr>
        <w:lastRenderedPageBreak/>
        <w:t xml:space="preserve">of PFM functions. In </w:t>
      </w:r>
      <w:r w:rsidR="00652D5E">
        <w:rPr>
          <w:rFonts w:cstheme="minorHAnsi"/>
          <w:color w:val="495965" w:themeColor="text2"/>
          <w:lang w:val="en-GB"/>
        </w:rPr>
        <w:t>PICs and Timor-Leste</w:t>
      </w:r>
      <w:r w:rsidRPr="0039404C">
        <w:rPr>
          <w:rFonts w:cstheme="minorHAnsi"/>
          <w:color w:val="495965" w:themeColor="text2"/>
          <w:lang w:val="en-GB"/>
        </w:rPr>
        <w:t>, the emphasis may need to be on achieving ‘good enough’ practice in a limited number of functions that are critical to improving development outcomes.</w:t>
      </w:r>
    </w:p>
    <w:p w14:paraId="59C6FAD1" w14:textId="645DD933" w:rsidR="00F9382E" w:rsidRPr="0039404C" w:rsidRDefault="00F9382E" w:rsidP="00853654">
      <w:pPr>
        <w:pStyle w:val="ListParagraph"/>
        <w:numPr>
          <w:ilvl w:val="0"/>
          <w:numId w:val="25"/>
        </w:numPr>
        <w:spacing w:after="0" w:line="240" w:lineRule="auto"/>
        <w:ind w:left="714" w:hanging="357"/>
        <w:contextualSpacing w:val="0"/>
        <w:jc w:val="both"/>
        <w:rPr>
          <w:rFonts w:cstheme="minorHAnsi"/>
          <w:color w:val="495965" w:themeColor="text2"/>
          <w:lang w:val="en-GB"/>
        </w:rPr>
      </w:pPr>
      <w:r w:rsidRPr="0039404C">
        <w:rPr>
          <w:rFonts w:cstheme="minorHAnsi"/>
          <w:b/>
          <w:bCs/>
          <w:color w:val="495965" w:themeColor="text2"/>
        </w:rPr>
        <w:t>Capacity building may not be the most effective way of addressing capacity constraints.</w:t>
      </w:r>
      <w:r w:rsidRPr="0039404C">
        <w:rPr>
          <w:rFonts w:cstheme="minorHAnsi"/>
          <w:color w:val="495965" w:themeColor="text2"/>
          <w:lang w:val="en-GB"/>
        </w:rPr>
        <w:t xml:space="preserve"> Given the population constraint in many </w:t>
      </w:r>
      <w:r w:rsidR="00652D5E">
        <w:rPr>
          <w:rFonts w:cstheme="minorHAnsi"/>
          <w:color w:val="495965" w:themeColor="text2"/>
          <w:lang w:val="en-GB"/>
        </w:rPr>
        <w:t>PICs and Timor-Leste</w:t>
      </w:r>
      <w:r w:rsidRPr="0039404C">
        <w:rPr>
          <w:rFonts w:cstheme="minorHAnsi"/>
          <w:color w:val="495965" w:themeColor="text2"/>
          <w:lang w:val="en-GB"/>
        </w:rPr>
        <w:t>, more creative ways of addressing capacity challenges may be required, including capacity supplementation and substitution. Regional institutions can provide opportunities for economies of scale in capacity supplementation.</w:t>
      </w:r>
    </w:p>
    <w:p w14:paraId="4191196A" w14:textId="7E0D61D0" w:rsidR="00F9382E" w:rsidRPr="0039404C" w:rsidRDefault="00F9382E" w:rsidP="00853654">
      <w:pPr>
        <w:pStyle w:val="ListParagraph"/>
        <w:numPr>
          <w:ilvl w:val="0"/>
          <w:numId w:val="25"/>
        </w:numPr>
        <w:spacing w:after="0" w:line="240" w:lineRule="auto"/>
        <w:ind w:left="714" w:hanging="357"/>
        <w:contextualSpacing w:val="0"/>
        <w:rPr>
          <w:color w:val="495965" w:themeColor="text2"/>
          <w:lang w:val="en-GB"/>
        </w:rPr>
      </w:pPr>
      <w:r w:rsidRPr="0039404C">
        <w:rPr>
          <w:b/>
          <w:bCs/>
          <w:color w:val="495965" w:themeColor="text2"/>
          <w:lang w:val="en-GB"/>
        </w:rPr>
        <w:t xml:space="preserve">Reforms that go beyond the reach of finance ministries face </w:t>
      </w:r>
      <w:r w:rsidR="00302E0F">
        <w:rPr>
          <w:b/>
          <w:bCs/>
          <w:color w:val="495965" w:themeColor="text2"/>
          <w:lang w:val="en-GB"/>
        </w:rPr>
        <w:t>additional</w:t>
      </w:r>
      <w:r w:rsidRPr="0039404C">
        <w:rPr>
          <w:b/>
          <w:bCs/>
          <w:color w:val="495965" w:themeColor="text2"/>
          <w:lang w:val="en-GB"/>
        </w:rPr>
        <w:t xml:space="preserve"> challenges. </w:t>
      </w:r>
      <w:r w:rsidR="00652D5E">
        <w:rPr>
          <w:color w:val="495965" w:themeColor="text2"/>
          <w:lang w:val="en-GB"/>
        </w:rPr>
        <w:t>PICs and Timor-Leste</w:t>
      </w:r>
      <w:r w:rsidRPr="0039404C">
        <w:rPr>
          <w:color w:val="495965" w:themeColor="text2"/>
          <w:lang w:val="en-GB"/>
        </w:rPr>
        <w:t xml:space="preserve"> have typically</w:t>
      </w:r>
      <w:r w:rsidRPr="0039404C">
        <w:rPr>
          <w:b/>
          <w:bCs/>
          <w:color w:val="495965" w:themeColor="text2"/>
          <w:lang w:val="en-GB"/>
        </w:rPr>
        <w:t xml:space="preserve"> </w:t>
      </w:r>
      <w:r w:rsidRPr="0039404C">
        <w:rPr>
          <w:color w:val="495965" w:themeColor="text2"/>
          <w:lang w:val="en-GB"/>
        </w:rPr>
        <w:t>been able to implement reforms related to the functions of central agencies better than those that require coordination across line agencies.</w:t>
      </w:r>
    </w:p>
    <w:p w14:paraId="34C0CA8D" w14:textId="53DF8D51" w:rsidR="00F9382E" w:rsidRPr="00331D33" w:rsidRDefault="00F9382E" w:rsidP="00853654">
      <w:pPr>
        <w:pStyle w:val="ListParagraph"/>
        <w:numPr>
          <w:ilvl w:val="0"/>
          <w:numId w:val="25"/>
        </w:numPr>
        <w:spacing w:after="0" w:line="240" w:lineRule="auto"/>
        <w:ind w:left="714" w:hanging="357"/>
        <w:contextualSpacing w:val="0"/>
        <w:jc w:val="both"/>
        <w:rPr>
          <w:rFonts w:cstheme="minorHAnsi"/>
          <w:color w:val="495965" w:themeColor="text2"/>
          <w:lang w:val="en-GB"/>
        </w:rPr>
      </w:pPr>
      <w:r w:rsidRPr="0039404C">
        <w:rPr>
          <w:rFonts w:cstheme="minorHAnsi"/>
          <w:b/>
          <w:bCs/>
          <w:color w:val="495965" w:themeColor="text2"/>
          <w:lang w:val="en-GB"/>
        </w:rPr>
        <w:t>Linkages between roadmaps and policy dialogue</w:t>
      </w:r>
      <w:r w:rsidRPr="0039404C">
        <w:rPr>
          <w:rFonts w:cstheme="minorHAnsi"/>
          <w:color w:val="495965" w:themeColor="text2"/>
          <w:lang w:val="en-GB"/>
        </w:rPr>
        <w:t xml:space="preserve"> as represented in budget support operations and policy action matrices need to be strengthened to optimise impact.</w:t>
      </w:r>
      <w:r>
        <w:br w:type="page"/>
      </w:r>
    </w:p>
    <w:p w14:paraId="6327515F" w14:textId="56809D34" w:rsidR="00F9382E" w:rsidRPr="00331D33" w:rsidRDefault="008C1A71" w:rsidP="00331D33">
      <w:pPr>
        <w:pStyle w:val="Heading1"/>
      </w:pPr>
      <w:bookmarkStart w:id="65" w:name="_Toc108168329"/>
      <w:bookmarkStart w:id="66" w:name="_Toc120201425"/>
      <w:bookmarkStart w:id="67" w:name="_Toc120544532"/>
      <w:r>
        <w:lastRenderedPageBreak/>
        <w:t>5</w:t>
      </w:r>
      <w:r w:rsidR="00331D33">
        <w:t xml:space="preserve">. </w:t>
      </w:r>
      <w:r w:rsidR="00F9382E">
        <w:t>Conclusion</w:t>
      </w:r>
      <w:bookmarkEnd w:id="65"/>
      <w:bookmarkEnd w:id="66"/>
      <w:bookmarkEnd w:id="67"/>
    </w:p>
    <w:p w14:paraId="310E4958" w14:textId="4BDD54F3" w:rsidR="007F3D8C" w:rsidRDefault="000B1562" w:rsidP="00C37410">
      <w:pPr>
        <w:pStyle w:val="Heading3"/>
      </w:pPr>
      <w:bookmarkStart w:id="68" w:name="_Toc108168330"/>
      <w:bookmarkStart w:id="69" w:name="_Toc120201426"/>
      <w:bookmarkStart w:id="70" w:name="_Toc120544533"/>
      <w:r>
        <w:t>Key takeaways</w:t>
      </w:r>
      <w:bookmarkEnd w:id="68"/>
      <w:bookmarkEnd w:id="69"/>
      <w:bookmarkEnd w:id="70"/>
    </w:p>
    <w:p w14:paraId="07D5B989" w14:textId="7E1C2B54" w:rsidR="00765C92" w:rsidRDefault="00765C92" w:rsidP="00765C92">
      <w:pPr>
        <w:pStyle w:val="Heading4"/>
      </w:pPr>
      <w:r>
        <w:t>Budget support operations and gender</w:t>
      </w:r>
    </w:p>
    <w:p w14:paraId="0EB70827" w14:textId="4DC5D8ED" w:rsidR="00765C92" w:rsidRDefault="00765C92" w:rsidP="00765C92">
      <w:r>
        <w:t>Australia</w:t>
      </w:r>
      <w:r w:rsidR="00DD46E9">
        <w:t>n</w:t>
      </w:r>
      <w:r>
        <w:t xml:space="preserve"> budget support to </w:t>
      </w:r>
      <w:r w:rsidR="00DD46E9">
        <w:t xml:space="preserve">the Pacific </w:t>
      </w:r>
      <w:r w:rsidR="00652D5E">
        <w:t>and Timor-Leste</w:t>
      </w:r>
      <w:r>
        <w:t xml:space="preserve"> saw a</w:t>
      </w:r>
      <w:r w:rsidR="00DD46E9">
        <w:t xml:space="preserve"> sharp uptick in</w:t>
      </w:r>
      <w:r>
        <w:t xml:space="preserve"> 2010, likely associated with the step up in World Bank engagement in the region</w:t>
      </w:r>
      <w:r w:rsidR="00C51606">
        <w:t xml:space="preserve"> and its </w:t>
      </w:r>
      <w:r>
        <w:t xml:space="preserve">development policy operations </w:t>
      </w:r>
      <w:r w:rsidR="00C51606">
        <w:t>that provide a vehicle for other</w:t>
      </w:r>
      <w:r>
        <w:t xml:space="preserve"> development partners </w:t>
      </w:r>
      <w:r w:rsidR="00C51606">
        <w:t>to disburse against</w:t>
      </w:r>
      <w:r>
        <w:t xml:space="preserve">. </w:t>
      </w:r>
      <w:r w:rsidR="00BB2FEA">
        <w:t xml:space="preserve">However, budget support to the region gradually receded </w:t>
      </w:r>
      <w:r w:rsidR="001F049A">
        <w:t>over the following decade.</w:t>
      </w:r>
      <w:r w:rsidR="001F5A98">
        <w:t xml:space="preserve"> </w:t>
      </w:r>
      <w:r>
        <w:t xml:space="preserve">The emergence of the COVID-19 pandemic has prompted a significant expansion in Australian budget support in the last </w:t>
      </w:r>
      <w:r w:rsidR="00FB69AE">
        <w:t>three</w:t>
      </w:r>
      <w:r>
        <w:t xml:space="preserve"> years, typically </w:t>
      </w:r>
      <w:r w:rsidR="00FB69AE">
        <w:t>contributing to</w:t>
      </w:r>
      <w:r>
        <w:t xml:space="preserve"> World Bank or ADB operations.</w:t>
      </w:r>
    </w:p>
    <w:p w14:paraId="41FB94B4" w14:textId="4862BB7B" w:rsidR="00765C92" w:rsidRPr="00D97AC7" w:rsidRDefault="000B332B" w:rsidP="00765C92">
      <w:r>
        <w:t>Since 2015,</w:t>
      </w:r>
      <w:r w:rsidR="00765C92">
        <w:t xml:space="preserve"> there has been a </w:t>
      </w:r>
      <w:r w:rsidR="00CF7824">
        <w:t xml:space="preserve">notable </w:t>
      </w:r>
      <w:r w:rsidR="00765C92">
        <w:t>increase in</w:t>
      </w:r>
      <w:r w:rsidR="00C506BC">
        <w:t xml:space="preserve"> the</w:t>
      </w:r>
      <w:r w:rsidR="00765C92">
        <w:t xml:space="preserve"> </w:t>
      </w:r>
      <w:r w:rsidR="00C506BC">
        <w:t>inclusion</w:t>
      </w:r>
      <w:r w:rsidR="008C37D4">
        <w:t xml:space="preserve"> of </w:t>
      </w:r>
      <w:r w:rsidR="00765C92">
        <w:t>gender in policy action matrices</w:t>
      </w:r>
      <w:r w:rsidR="00C506BC">
        <w:t xml:space="preserve"> underpinning </w:t>
      </w:r>
      <w:r w:rsidR="008C37D4">
        <w:t>budget support operations in the Pacific and Timor-Leste</w:t>
      </w:r>
      <w:r w:rsidR="00765C92">
        <w:t>.</w:t>
      </w:r>
      <w:r w:rsidR="00155AD5">
        <w:t xml:space="preserve"> Internal directives</w:t>
      </w:r>
      <w:r w:rsidR="006F68CD">
        <w:t xml:space="preserve"> at the World Bank and ADB</w:t>
      </w:r>
      <w:r w:rsidR="00155AD5">
        <w:t xml:space="preserve"> indicate that their </w:t>
      </w:r>
      <w:r w:rsidR="00155AD5" w:rsidRPr="00D97AC7">
        <w:t xml:space="preserve">managements expect to see gender-related actions in policy matrices for an in increasing number of </w:t>
      </w:r>
      <w:r w:rsidR="00862FD6">
        <w:t>Pacific and Timorese</w:t>
      </w:r>
      <w:r w:rsidR="00155AD5" w:rsidRPr="00D97AC7">
        <w:t xml:space="preserve"> budget support operations.</w:t>
      </w:r>
    </w:p>
    <w:p w14:paraId="55EC4376" w14:textId="58747ED1" w:rsidR="00155AD5" w:rsidRPr="00D97AC7" w:rsidRDefault="00155AD5" w:rsidP="00765C92">
      <w:r w:rsidRPr="00D97AC7">
        <w:t>Recent experiences of embedding gender in budget support operations</w:t>
      </w:r>
      <w:r w:rsidR="00865DF6" w:rsidRPr="00D97AC7">
        <w:t xml:space="preserve"> in which DFAT has participated</w:t>
      </w:r>
      <w:r w:rsidRPr="00D97AC7">
        <w:t xml:space="preserve"> suggest</w:t>
      </w:r>
      <w:r w:rsidR="00781E90">
        <w:t>s:</w:t>
      </w:r>
    </w:p>
    <w:p w14:paraId="24ABBDAD" w14:textId="6D243D5C" w:rsidR="00213128" w:rsidRPr="00D97AC7" w:rsidRDefault="00155AD5" w:rsidP="00853654">
      <w:pPr>
        <w:pStyle w:val="ListParagraph"/>
        <w:numPr>
          <w:ilvl w:val="0"/>
          <w:numId w:val="25"/>
        </w:numPr>
        <w:spacing w:after="0" w:line="259" w:lineRule="auto"/>
        <w:ind w:left="714" w:hanging="357"/>
        <w:contextualSpacing w:val="0"/>
        <w:jc w:val="both"/>
        <w:rPr>
          <w:color w:val="495965" w:themeColor="text2"/>
        </w:rPr>
      </w:pPr>
      <w:r w:rsidRPr="00D97AC7">
        <w:rPr>
          <w:color w:val="495965" w:themeColor="text2"/>
        </w:rPr>
        <w:t xml:space="preserve">It is essential to secure strong support from central economic ministries for action </w:t>
      </w:r>
      <w:r w:rsidR="00093413">
        <w:rPr>
          <w:color w:val="495965" w:themeColor="text2"/>
        </w:rPr>
        <w:t>towards</w:t>
      </w:r>
      <w:r w:rsidRPr="00D97AC7">
        <w:rPr>
          <w:color w:val="495965" w:themeColor="text2"/>
        </w:rPr>
        <w:t xml:space="preserve"> gender equality</w:t>
      </w:r>
      <w:r w:rsidR="00213128" w:rsidRPr="00D97AC7">
        <w:rPr>
          <w:color w:val="495965" w:themeColor="text2"/>
        </w:rPr>
        <w:t xml:space="preserve">, and this can hinge on </w:t>
      </w:r>
      <w:r w:rsidR="00093413">
        <w:rPr>
          <w:color w:val="495965" w:themeColor="text2"/>
        </w:rPr>
        <w:t xml:space="preserve">establishing </w:t>
      </w:r>
      <w:r w:rsidR="00213128" w:rsidRPr="00D97AC7">
        <w:rPr>
          <w:color w:val="495965" w:themeColor="text2"/>
        </w:rPr>
        <w:t>the case for the centrality of gender equality to macroeconomic development</w:t>
      </w:r>
      <w:r w:rsidR="00720BCD">
        <w:rPr>
          <w:color w:val="495965" w:themeColor="text2"/>
        </w:rPr>
        <w:t>.</w:t>
      </w:r>
    </w:p>
    <w:p w14:paraId="6B985A7B" w14:textId="2C2BBD85" w:rsidR="00213128" w:rsidRPr="00D97AC7" w:rsidRDefault="00213128" w:rsidP="00853654">
      <w:pPr>
        <w:pStyle w:val="ListParagraph"/>
        <w:numPr>
          <w:ilvl w:val="0"/>
          <w:numId w:val="25"/>
        </w:numPr>
        <w:spacing w:after="0" w:line="259" w:lineRule="auto"/>
        <w:ind w:left="714" w:hanging="357"/>
        <w:contextualSpacing w:val="0"/>
        <w:jc w:val="both"/>
        <w:rPr>
          <w:color w:val="495965" w:themeColor="text2"/>
        </w:rPr>
      </w:pPr>
      <w:r w:rsidRPr="00D97AC7">
        <w:rPr>
          <w:color w:val="495965" w:themeColor="text2"/>
        </w:rPr>
        <w:t>A shared commitment from development partners participating in budget support operations plays an important role in escalating gender equality as a central issue for these operations</w:t>
      </w:r>
      <w:r w:rsidR="005667BE">
        <w:rPr>
          <w:color w:val="495965" w:themeColor="text2"/>
        </w:rPr>
        <w:t xml:space="preserve"> and </w:t>
      </w:r>
      <w:r w:rsidR="00EA5425" w:rsidRPr="00D97AC7">
        <w:rPr>
          <w:color w:val="495965" w:themeColor="text2"/>
        </w:rPr>
        <w:t xml:space="preserve">use of a common policy matrix helps </w:t>
      </w:r>
      <w:r w:rsidR="005667BE">
        <w:rPr>
          <w:color w:val="495965" w:themeColor="text2"/>
        </w:rPr>
        <w:t>reduce the administrative burden on partner governments, freeing up space for the inclusion of gender</w:t>
      </w:r>
      <w:r w:rsidRPr="00D97AC7">
        <w:rPr>
          <w:color w:val="495965" w:themeColor="text2"/>
        </w:rPr>
        <w:t>.</w:t>
      </w:r>
    </w:p>
    <w:p w14:paraId="4ED40935" w14:textId="64140417" w:rsidR="00213128" w:rsidRPr="00D97AC7" w:rsidRDefault="00213128" w:rsidP="00853654">
      <w:pPr>
        <w:pStyle w:val="ListParagraph"/>
        <w:numPr>
          <w:ilvl w:val="0"/>
          <w:numId w:val="25"/>
        </w:numPr>
        <w:spacing w:after="0" w:line="259" w:lineRule="auto"/>
        <w:ind w:left="714" w:hanging="357"/>
        <w:contextualSpacing w:val="0"/>
        <w:jc w:val="both"/>
        <w:rPr>
          <w:color w:val="495965" w:themeColor="text2"/>
        </w:rPr>
      </w:pPr>
      <w:r w:rsidRPr="00D97AC7">
        <w:rPr>
          <w:color w:val="495965" w:themeColor="text2"/>
        </w:rPr>
        <w:t>DFAT’s governance and gender programs</w:t>
      </w:r>
      <w:r w:rsidR="00D9663A">
        <w:rPr>
          <w:color w:val="495965" w:themeColor="text2"/>
        </w:rPr>
        <w:t xml:space="preserve">, </w:t>
      </w:r>
      <w:r w:rsidR="00AC18CF">
        <w:rPr>
          <w:color w:val="495965" w:themeColor="text2"/>
        </w:rPr>
        <w:t>implemented</w:t>
      </w:r>
      <w:r w:rsidRPr="00D97AC7">
        <w:rPr>
          <w:color w:val="495965" w:themeColor="text2"/>
        </w:rPr>
        <w:t xml:space="preserve"> by well-connected and technically skilled staff at Post</w:t>
      </w:r>
      <w:r w:rsidR="00AC18CF">
        <w:rPr>
          <w:color w:val="495965" w:themeColor="text2"/>
        </w:rPr>
        <w:t>,</w:t>
      </w:r>
      <w:r w:rsidRPr="00D97AC7">
        <w:rPr>
          <w:color w:val="495965" w:themeColor="text2"/>
        </w:rPr>
        <w:t xml:space="preserve"> </w:t>
      </w:r>
      <w:r w:rsidR="00771ECE" w:rsidRPr="00D97AC7">
        <w:rPr>
          <w:color w:val="495965" w:themeColor="text2"/>
        </w:rPr>
        <w:t>can help</w:t>
      </w:r>
      <w:r w:rsidRPr="00D97AC7">
        <w:rPr>
          <w:color w:val="495965" w:themeColor="text2"/>
        </w:rPr>
        <w:t xml:space="preserve"> lay the groundwork </w:t>
      </w:r>
      <w:r w:rsidR="00771ECE" w:rsidRPr="00D97AC7">
        <w:rPr>
          <w:color w:val="495965" w:themeColor="text2"/>
        </w:rPr>
        <w:t>for</w:t>
      </w:r>
      <w:r w:rsidR="00AC18CF">
        <w:rPr>
          <w:color w:val="495965" w:themeColor="text2"/>
        </w:rPr>
        <w:t xml:space="preserve"> </w:t>
      </w:r>
      <w:r w:rsidR="00AC18CF" w:rsidRPr="00D97AC7">
        <w:rPr>
          <w:color w:val="495965" w:themeColor="text2"/>
        </w:rPr>
        <w:t>gender-related policy initiatives</w:t>
      </w:r>
      <w:r w:rsidR="00AC18CF">
        <w:rPr>
          <w:color w:val="495965" w:themeColor="text2"/>
        </w:rPr>
        <w:t xml:space="preserve"> and </w:t>
      </w:r>
      <w:r w:rsidRPr="00D97AC7">
        <w:rPr>
          <w:color w:val="495965" w:themeColor="text2"/>
        </w:rPr>
        <w:t xml:space="preserve">support </w:t>
      </w:r>
      <w:r w:rsidR="00771ECE" w:rsidRPr="00D97AC7">
        <w:rPr>
          <w:color w:val="495965" w:themeColor="text2"/>
        </w:rPr>
        <w:t xml:space="preserve">development </w:t>
      </w:r>
      <w:r w:rsidRPr="00D97AC7">
        <w:rPr>
          <w:color w:val="495965" w:themeColor="text2"/>
        </w:rPr>
        <w:t>and implementation</w:t>
      </w:r>
      <w:r w:rsidR="00CF3FB2">
        <w:rPr>
          <w:color w:val="495965" w:themeColor="text2"/>
        </w:rPr>
        <w:t>.</w:t>
      </w:r>
    </w:p>
    <w:p w14:paraId="4A949935" w14:textId="36EB20ED" w:rsidR="00213128" w:rsidRPr="00D97AC7" w:rsidRDefault="00213128" w:rsidP="00853654">
      <w:pPr>
        <w:pStyle w:val="ListParagraph"/>
        <w:numPr>
          <w:ilvl w:val="0"/>
          <w:numId w:val="25"/>
        </w:numPr>
        <w:spacing w:after="0" w:line="259" w:lineRule="auto"/>
        <w:ind w:left="714" w:hanging="357"/>
        <w:contextualSpacing w:val="0"/>
        <w:jc w:val="both"/>
        <w:rPr>
          <w:color w:val="495965" w:themeColor="text2"/>
        </w:rPr>
      </w:pPr>
      <w:r w:rsidRPr="00D97AC7">
        <w:rPr>
          <w:color w:val="495965" w:themeColor="text2"/>
        </w:rPr>
        <w:t xml:space="preserve">A staged approach to implementing </w:t>
      </w:r>
      <w:r w:rsidR="00B30BB9">
        <w:rPr>
          <w:color w:val="495965" w:themeColor="text2"/>
        </w:rPr>
        <w:t xml:space="preserve">the </w:t>
      </w:r>
      <w:r w:rsidRPr="00D97AC7">
        <w:rPr>
          <w:color w:val="495965" w:themeColor="text2"/>
        </w:rPr>
        <w:t xml:space="preserve">system changes needed </w:t>
      </w:r>
      <w:r w:rsidR="00B30BB9">
        <w:rPr>
          <w:color w:val="495965" w:themeColor="text2"/>
        </w:rPr>
        <w:t>for</w:t>
      </w:r>
      <w:r w:rsidRPr="00D97AC7">
        <w:rPr>
          <w:color w:val="495965" w:themeColor="text2"/>
        </w:rPr>
        <w:t xml:space="preserve"> gender-related policy actions</w:t>
      </w:r>
      <w:r w:rsidR="00771ECE" w:rsidRPr="00D97AC7">
        <w:rPr>
          <w:color w:val="495965" w:themeColor="text2"/>
        </w:rPr>
        <w:t xml:space="preserve"> </w:t>
      </w:r>
      <w:r w:rsidRPr="00D97AC7">
        <w:rPr>
          <w:color w:val="495965" w:themeColor="text2"/>
        </w:rPr>
        <w:t>is important when capacity is limited.</w:t>
      </w:r>
    </w:p>
    <w:p w14:paraId="67A25E10" w14:textId="676F7D9B" w:rsidR="00213128" w:rsidRPr="00D97AC7" w:rsidRDefault="00213128" w:rsidP="00853654">
      <w:pPr>
        <w:pStyle w:val="ListParagraph"/>
        <w:numPr>
          <w:ilvl w:val="0"/>
          <w:numId w:val="25"/>
        </w:numPr>
        <w:spacing w:after="0" w:line="259" w:lineRule="auto"/>
        <w:ind w:left="714" w:hanging="357"/>
        <w:contextualSpacing w:val="0"/>
        <w:jc w:val="both"/>
        <w:rPr>
          <w:color w:val="495965" w:themeColor="text2"/>
        </w:rPr>
      </w:pPr>
      <w:r w:rsidRPr="00D97AC7">
        <w:rPr>
          <w:color w:val="495965" w:themeColor="text2"/>
        </w:rPr>
        <w:t xml:space="preserve">An active, </w:t>
      </w:r>
      <w:r w:rsidR="00865DF6" w:rsidRPr="00D97AC7">
        <w:rPr>
          <w:color w:val="495965" w:themeColor="text2"/>
        </w:rPr>
        <w:t>connected,</w:t>
      </w:r>
      <w:r w:rsidRPr="00D97AC7">
        <w:rPr>
          <w:color w:val="495965" w:themeColor="text2"/>
        </w:rPr>
        <w:t xml:space="preserve"> and well-informed civil society focus on gender equality plays an important role in keeping politicians and public servants focused on gender-</w:t>
      </w:r>
      <w:r w:rsidR="00B30BB9">
        <w:rPr>
          <w:color w:val="495965" w:themeColor="text2"/>
        </w:rPr>
        <w:t>related</w:t>
      </w:r>
      <w:r w:rsidRPr="00D97AC7">
        <w:rPr>
          <w:color w:val="495965" w:themeColor="text2"/>
        </w:rPr>
        <w:t xml:space="preserve"> system change.</w:t>
      </w:r>
    </w:p>
    <w:p w14:paraId="18DA680F" w14:textId="469309B5" w:rsidR="000C0D30" w:rsidRDefault="00213128" w:rsidP="00853654">
      <w:pPr>
        <w:pStyle w:val="ListParagraph"/>
        <w:numPr>
          <w:ilvl w:val="0"/>
          <w:numId w:val="25"/>
        </w:numPr>
        <w:spacing w:after="120" w:line="259" w:lineRule="auto"/>
        <w:ind w:left="714" w:hanging="357"/>
        <w:contextualSpacing w:val="0"/>
        <w:jc w:val="both"/>
        <w:rPr>
          <w:color w:val="495965" w:themeColor="text2"/>
        </w:rPr>
      </w:pPr>
      <w:r w:rsidRPr="00D97AC7">
        <w:rPr>
          <w:color w:val="495965" w:themeColor="text2"/>
        </w:rPr>
        <w:t>Supporting a process</w:t>
      </w:r>
      <w:r w:rsidR="008716AB">
        <w:rPr>
          <w:color w:val="495965" w:themeColor="text2"/>
        </w:rPr>
        <w:t xml:space="preserve"> or </w:t>
      </w:r>
      <w:r w:rsidRPr="00D97AC7">
        <w:rPr>
          <w:color w:val="495965" w:themeColor="text2"/>
        </w:rPr>
        <w:t>system change to enhance</w:t>
      </w:r>
      <w:r w:rsidR="003C5A58">
        <w:rPr>
          <w:color w:val="495965" w:themeColor="text2"/>
        </w:rPr>
        <w:t xml:space="preserve"> the</w:t>
      </w:r>
      <w:r w:rsidRPr="00D97AC7">
        <w:rPr>
          <w:color w:val="495965" w:themeColor="text2"/>
        </w:rPr>
        <w:t xml:space="preserve"> treatment of gender </w:t>
      </w:r>
      <w:r w:rsidR="008716AB">
        <w:rPr>
          <w:color w:val="495965" w:themeColor="text2"/>
        </w:rPr>
        <w:t xml:space="preserve">in </w:t>
      </w:r>
      <w:r w:rsidR="00F5301C">
        <w:rPr>
          <w:color w:val="495965" w:themeColor="text2"/>
        </w:rPr>
        <w:t>macro</w:t>
      </w:r>
      <w:r w:rsidR="0076081F">
        <w:rPr>
          <w:color w:val="495965" w:themeColor="text2"/>
        </w:rPr>
        <w:t>-</w:t>
      </w:r>
      <w:r w:rsidR="008716AB">
        <w:rPr>
          <w:color w:val="495965" w:themeColor="text2"/>
        </w:rPr>
        <w:t xml:space="preserve">policy </w:t>
      </w:r>
      <w:r w:rsidR="00F5301C">
        <w:rPr>
          <w:color w:val="495965" w:themeColor="text2"/>
        </w:rPr>
        <w:t>objectives</w:t>
      </w:r>
      <w:r w:rsidR="008716AB">
        <w:rPr>
          <w:color w:val="495965" w:themeColor="text2"/>
        </w:rPr>
        <w:t xml:space="preserve"> </w:t>
      </w:r>
      <w:r w:rsidRPr="00D97AC7">
        <w:rPr>
          <w:color w:val="495965" w:themeColor="text2"/>
        </w:rPr>
        <w:t>requires a longer-term perspective on bringing about development impacts</w:t>
      </w:r>
      <w:r w:rsidR="00E63447">
        <w:rPr>
          <w:color w:val="495965" w:themeColor="text2"/>
        </w:rPr>
        <w:t>.</w:t>
      </w:r>
    </w:p>
    <w:p w14:paraId="525F95EF" w14:textId="6AA7B9A6" w:rsidR="00213128" w:rsidRPr="00D97AC7" w:rsidRDefault="008B5E58" w:rsidP="00853654">
      <w:pPr>
        <w:pStyle w:val="ListParagraph"/>
        <w:numPr>
          <w:ilvl w:val="0"/>
          <w:numId w:val="25"/>
        </w:numPr>
        <w:spacing w:after="120" w:line="259" w:lineRule="auto"/>
        <w:contextualSpacing w:val="0"/>
        <w:jc w:val="both"/>
        <w:rPr>
          <w:color w:val="495965" w:themeColor="text2"/>
        </w:rPr>
      </w:pPr>
      <w:r>
        <w:rPr>
          <w:color w:val="495965" w:themeColor="text2"/>
        </w:rPr>
        <w:t>B</w:t>
      </w:r>
      <w:r w:rsidR="00213128" w:rsidRPr="00D97AC7">
        <w:rPr>
          <w:color w:val="495965" w:themeColor="text2"/>
        </w:rPr>
        <w:t xml:space="preserve">udget support operations </w:t>
      </w:r>
      <w:r>
        <w:rPr>
          <w:color w:val="495965" w:themeColor="text2"/>
        </w:rPr>
        <w:t xml:space="preserve">can be used </w:t>
      </w:r>
      <w:r w:rsidR="00213128" w:rsidRPr="00D97AC7">
        <w:rPr>
          <w:color w:val="495965" w:themeColor="text2"/>
        </w:rPr>
        <w:t>to ensure that gender-critical programs are funded and given careful consideration in periods of fiscal consolidation.</w:t>
      </w:r>
    </w:p>
    <w:p w14:paraId="0A8AB7F1" w14:textId="438411C3" w:rsidR="00765C92" w:rsidRPr="00D97AC7" w:rsidRDefault="00765C92" w:rsidP="00302E0F">
      <w:pPr>
        <w:pStyle w:val="Heading4"/>
      </w:pPr>
      <w:r w:rsidRPr="00D97AC7">
        <w:t>Gender responsive budgeting</w:t>
      </w:r>
    </w:p>
    <w:p w14:paraId="1FD4F20B" w14:textId="0784680D" w:rsidR="00AA408B" w:rsidRDefault="00331D33" w:rsidP="00925C9A">
      <w:r w:rsidRPr="00D97AC7">
        <w:t xml:space="preserve">The experience to-date of gender </w:t>
      </w:r>
      <w:r>
        <w:t xml:space="preserve">mainstreaming </w:t>
      </w:r>
      <w:r w:rsidR="00EB2A42">
        <w:t xml:space="preserve">in Pacific budgets and PFM systems </w:t>
      </w:r>
      <w:r>
        <w:t>point</w:t>
      </w:r>
      <w:r w:rsidR="001546F8">
        <w:t>s</w:t>
      </w:r>
      <w:r>
        <w:t xml:space="preserve"> to </w:t>
      </w:r>
      <w:r w:rsidR="000B1562">
        <w:t>f</w:t>
      </w:r>
      <w:r w:rsidR="00C37410">
        <w:t>our</w:t>
      </w:r>
      <w:r w:rsidR="000B1562">
        <w:t xml:space="preserve"> key takeaways for </w:t>
      </w:r>
      <w:r w:rsidR="003D4E4C">
        <w:t xml:space="preserve">promoting </w:t>
      </w:r>
      <w:r w:rsidRPr="0039404C">
        <w:t xml:space="preserve">GRB in budget </w:t>
      </w:r>
      <w:r w:rsidRPr="000B1562">
        <w:t>support operations</w:t>
      </w:r>
      <w:r w:rsidR="0076081F">
        <w:t>:</w:t>
      </w:r>
    </w:p>
    <w:p w14:paraId="48165510" w14:textId="189E58C1" w:rsidR="0006136F" w:rsidRPr="0076081F" w:rsidRDefault="00AA408B" w:rsidP="00853654">
      <w:pPr>
        <w:pStyle w:val="ListParagraph"/>
        <w:numPr>
          <w:ilvl w:val="0"/>
          <w:numId w:val="34"/>
        </w:numPr>
        <w:spacing w:after="0" w:line="257" w:lineRule="auto"/>
        <w:ind w:left="714" w:hanging="357"/>
        <w:contextualSpacing w:val="0"/>
        <w:rPr>
          <w:color w:val="495965" w:themeColor="text2"/>
        </w:rPr>
      </w:pPr>
      <w:r w:rsidRPr="0076081F">
        <w:rPr>
          <w:b/>
          <w:bCs/>
          <w:color w:val="495965" w:themeColor="text2"/>
        </w:rPr>
        <w:t>T</w:t>
      </w:r>
      <w:r w:rsidR="00331D33" w:rsidRPr="0076081F">
        <w:rPr>
          <w:b/>
          <w:bCs/>
          <w:color w:val="495965" w:themeColor="text2"/>
        </w:rPr>
        <w:t xml:space="preserve">here is no single blueprint or approach that can be applied to all </w:t>
      </w:r>
      <w:r w:rsidR="00EB2A42" w:rsidRPr="0076081F">
        <w:rPr>
          <w:b/>
          <w:bCs/>
          <w:color w:val="495965" w:themeColor="text2"/>
        </w:rPr>
        <w:t>Pacific countries and Timor-Leste.</w:t>
      </w:r>
      <w:r w:rsidRPr="0076081F">
        <w:rPr>
          <w:color w:val="495965" w:themeColor="text2"/>
        </w:rPr>
        <w:t xml:space="preserve"> </w:t>
      </w:r>
      <w:r w:rsidR="00E10335" w:rsidRPr="0076081F">
        <w:rPr>
          <w:color w:val="495965" w:themeColor="text2"/>
        </w:rPr>
        <w:t>While t</w:t>
      </w:r>
      <w:r w:rsidR="0006136F" w:rsidRPr="0076081F">
        <w:rPr>
          <w:color w:val="495965" w:themeColor="text2"/>
        </w:rPr>
        <w:t>he examples of Fiji and Timor-Leste shared some commonalities – such as</w:t>
      </w:r>
      <w:r w:rsidR="00E10335" w:rsidRPr="0076081F">
        <w:rPr>
          <w:color w:val="495965" w:themeColor="text2"/>
        </w:rPr>
        <w:t>,</w:t>
      </w:r>
      <w:r w:rsidR="0006136F" w:rsidRPr="0076081F">
        <w:rPr>
          <w:color w:val="495965" w:themeColor="text2"/>
        </w:rPr>
        <w:t xml:space="preserve"> strong political </w:t>
      </w:r>
      <w:r w:rsidR="00E10335" w:rsidRPr="0076081F">
        <w:rPr>
          <w:color w:val="495965" w:themeColor="text2"/>
        </w:rPr>
        <w:t xml:space="preserve">and community support and coordinated, ongoing support from development partners </w:t>
      </w:r>
      <w:r w:rsidR="001A5297" w:rsidRPr="0076081F">
        <w:rPr>
          <w:color w:val="495965" w:themeColor="text2"/>
        </w:rPr>
        <w:t>–</w:t>
      </w:r>
      <w:r w:rsidR="00E10335" w:rsidRPr="0076081F">
        <w:rPr>
          <w:color w:val="495965" w:themeColor="text2"/>
        </w:rPr>
        <w:t xml:space="preserve"> </w:t>
      </w:r>
      <w:r w:rsidR="001A5297" w:rsidRPr="0076081F">
        <w:rPr>
          <w:color w:val="495965" w:themeColor="text2"/>
        </w:rPr>
        <w:t xml:space="preserve">key differences could also be identified. Fiji benefitted from its </w:t>
      </w:r>
      <w:r w:rsidRPr="0076081F">
        <w:rPr>
          <w:color w:val="495965" w:themeColor="text2"/>
        </w:rPr>
        <w:t xml:space="preserve">strong, </w:t>
      </w:r>
      <w:r w:rsidR="001A5297" w:rsidRPr="0076081F">
        <w:rPr>
          <w:color w:val="495965" w:themeColor="text2"/>
        </w:rPr>
        <w:t xml:space="preserve">established PFM systems, while Timor-Leste benefitted from nascent institutions and early </w:t>
      </w:r>
      <w:r w:rsidRPr="0076081F">
        <w:rPr>
          <w:color w:val="495965" w:themeColor="text2"/>
        </w:rPr>
        <w:t xml:space="preserve">identification of gender as a priority in institutional </w:t>
      </w:r>
      <w:r w:rsidRPr="0076081F">
        <w:rPr>
          <w:color w:val="495965" w:themeColor="text2"/>
        </w:rPr>
        <w:lastRenderedPageBreak/>
        <w:t>development.</w:t>
      </w:r>
      <w:r w:rsidR="001A5297" w:rsidRPr="0076081F">
        <w:rPr>
          <w:color w:val="495965" w:themeColor="text2"/>
        </w:rPr>
        <w:t xml:space="preserve"> Fiji’s exceptional need for fiscal support during the pandemic created the opportunity for change in PFM systems, while Timor-Leste’s </w:t>
      </w:r>
      <w:r w:rsidRPr="0076081F">
        <w:rPr>
          <w:color w:val="495965" w:themeColor="text2"/>
        </w:rPr>
        <w:t xml:space="preserve">reforms were not motivated by fiscal need </w:t>
      </w:r>
      <w:r w:rsidR="006E31B2">
        <w:rPr>
          <w:color w:val="495965" w:themeColor="text2"/>
        </w:rPr>
        <w:t>due to its</w:t>
      </w:r>
      <w:r w:rsidRPr="0076081F">
        <w:rPr>
          <w:color w:val="495965" w:themeColor="text2"/>
        </w:rPr>
        <w:t xml:space="preserve"> healthy sovereign wealth fund offering a large buffer against fiscal distress.</w:t>
      </w:r>
    </w:p>
    <w:p w14:paraId="1032EA05" w14:textId="664FAC61" w:rsidR="00925C9A" w:rsidRPr="0076081F" w:rsidRDefault="00331D33" w:rsidP="00853654">
      <w:pPr>
        <w:pStyle w:val="ListParagraph"/>
        <w:numPr>
          <w:ilvl w:val="0"/>
          <w:numId w:val="34"/>
        </w:numPr>
        <w:spacing w:after="0" w:line="257" w:lineRule="auto"/>
        <w:ind w:left="714" w:hanging="357"/>
        <w:contextualSpacing w:val="0"/>
        <w:rPr>
          <w:color w:val="495965" w:themeColor="text2"/>
        </w:rPr>
      </w:pPr>
      <w:r w:rsidRPr="0076081F">
        <w:rPr>
          <w:b/>
          <w:bCs/>
          <w:color w:val="495965" w:themeColor="text2"/>
        </w:rPr>
        <w:t xml:space="preserve">GRB initiatives need to be built into </w:t>
      </w:r>
      <w:r w:rsidR="00D9342F" w:rsidRPr="0076081F">
        <w:rPr>
          <w:b/>
          <w:bCs/>
          <w:color w:val="495965" w:themeColor="text2"/>
        </w:rPr>
        <w:t xml:space="preserve">existing reform processes, especially </w:t>
      </w:r>
      <w:r w:rsidRPr="0076081F">
        <w:rPr>
          <w:b/>
          <w:bCs/>
          <w:color w:val="495965" w:themeColor="text2"/>
        </w:rPr>
        <w:t>PFM roadmaps</w:t>
      </w:r>
      <w:r w:rsidR="00D9342F" w:rsidRPr="0076081F">
        <w:rPr>
          <w:b/>
          <w:bCs/>
          <w:color w:val="495965" w:themeColor="text2"/>
        </w:rPr>
        <w:t>.</w:t>
      </w:r>
      <w:r w:rsidRPr="0076081F">
        <w:rPr>
          <w:color w:val="495965" w:themeColor="text2"/>
        </w:rPr>
        <w:t xml:space="preserve"> </w:t>
      </w:r>
      <w:r w:rsidR="008531DB" w:rsidRPr="0076081F">
        <w:rPr>
          <w:color w:val="495965" w:themeColor="text2"/>
        </w:rPr>
        <w:t>D</w:t>
      </w:r>
      <w:r w:rsidR="00D9342F" w:rsidRPr="0076081F">
        <w:rPr>
          <w:color w:val="495965" w:themeColor="text2"/>
        </w:rPr>
        <w:t>evelopment partners need to carefully coordinate and prioritise reform</w:t>
      </w:r>
      <w:r w:rsidR="00BC67CB">
        <w:rPr>
          <w:color w:val="495965" w:themeColor="text2"/>
        </w:rPr>
        <w:t>s</w:t>
      </w:r>
      <w:r w:rsidR="00D9342F" w:rsidRPr="0076081F">
        <w:rPr>
          <w:color w:val="495965" w:themeColor="text2"/>
        </w:rPr>
        <w:t xml:space="preserve"> </w:t>
      </w:r>
      <w:r w:rsidR="008531DB" w:rsidRPr="0076081F">
        <w:rPr>
          <w:color w:val="495965" w:themeColor="text2"/>
        </w:rPr>
        <w:t xml:space="preserve">with partner governments </w:t>
      </w:r>
      <w:r w:rsidR="00D9342F" w:rsidRPr="0076081F">
        <w:rPr>
          <w:color w:val="495965" w:themeColor="text2"/>
        </w:rPr>
        <w:t>due to pronounced capacity limitations in the Pacific</w:t>
      </w:r>
      <w:r w:rsidR="007C0A82" w:rsidRPr="0076081F">
        <w:rPr>
          <w:color w:val="495965" w:themeColor="text2"/>
        </w:rPr>
        <w:t xml:space="preserve"> and Timor-Leste</w:t>
      </w:r>
      <w:r w:rsidR="00D9342F" w:rsidRPr="0076081F">
        <w:rPr>
          <w:color w:val="495965" w:themeColor="text2"/>
        </w:rPr>
        <w:t xml:space="preserve">. </w:t>
      </w:r>
      <w:r w:rsidR="00771ECE" w:rsidRPr="0076081F">
        <w:rPr>
          <w:color w:val="495965" w:themeColor="text2"/>
        </w:rPr>
        <w:t>To</w:t>
      </w:r>
      <w:r w:rsidR="00D9342F" w:rsidRPr="0076081F">
        <w:rPr>
          <w:color w:val="495965" w:themeColor="text2"/>
        </w:rPr>
        <w:t xml:space="preserve"> ensure gender is properly considered in reform</w:t>
      </w:r>
      <w:r w:rsidR="00BC67CB">
        <w:rPr>
          <w:color w:val="495965" w:themeColor="text2"/>
        </w:rPr>
        <w:t>s</w:t>
      </w:r>
      <w:r w:rsidR="00D9342F" w:rsidRPr="0076081F">
        <w:rPr>
          <w:color w:val="495965" w:themeColor="text2"/>
        </w:rPr>
        <w:t xml:space="preserve">, </w:t>
      </w:r>
      <w:r w:rsidR="00C31674" w:rsidRPr="0076081F">
        <w:rPr>
          <w:color w:val="495965" w:themeColor="text2"/>
        </w:rPr>
        <w:t>it needs to be considered within the context of broader PFM reform</w:t>
      </w:r>
      <w:r w:rsidR="00B93C55">
        <w:rPr>
          <w:color w:val="495965" w:themeColor="text2"/>
        </w:rPr>
        <w:t>, not</w:t>
      </w:r>
      <w:r w:rsidRPr="0076081F">
        <w:rPr>
          <w:color w:val="495965" w:themeColor="text2"/>
        </w:rPr>
        <w:t xml:space="preserve"> separately from </w:t>
      </w:r>
      <w:r w:rsidR="000B1562" w:rsidRPr="0076081F">
        <w:rPr>
          <w:color w:val="495965" w:themeColor="text2"/>
        </w:rPr>
        <w:t xml:space="preserve">central </w:t>
      </w:r>
      <w:r w:rsidRPr="0076081F">
        <w:rPr>
          <w:color w:val="495965" w:themeColor="text2"/>
        </w:rPr>
        <w:t>processes around PFM roadmaps.</w:t>
      </w:r>
    </w:p>
    <w:p w14:paraId="2173772D" w14:textId="2250DF53" w:rsidR="00331D33" w:rsidRPr="0076081F" w:rsidRDefault="00A01DCC" w:rsidP="00853654">
      <w:pPr>
        <w:pStyle w:val="ListParagraph"/>
        <w:numPr>
          <w:ilvl w:val="0"/>
          <w:numId w:val="34"/>
        </w:numPr>
        <w:spacing w:after="0" w:line="257" w:lineRule="auto"/>
        <w:ind w:left="714" w:hanging="357"/>
        <w:contextualSpacing w:val="0"/>
        <w:rPr>
          <w:color w:val="495965" w:themeColor="text2"/>
        </w:rPr>
      </w:pPr>
      <w:r>
        <w:rPr>
          <w:b/>
          <w:bCs/>
          <w:color w:val="495965" w:themeColor="text2"/>
        </w:rPr>
        <w:t>D</w:t>
      </w:r>
      <w:r w:rsidR="00331D33" w:rsidRPr="0076081F">
        <w:rPr>
          <w:b/>
          <w:bCs/>
          <w:color w:val="495965" w:themeColor="text2"/>
        </w:rPr>
        <w:t>evelopment partner</w:t>
      </w:r>
      <w:r w:rsidR="00B147AE" w:rsidRPr="0076081F">
        <w:rPr>
          <w:b/>
          <w:bCs/>
          <w:color w:val="495965" w:themeColor="text2"/>
        </w:rPr>
        <w:t>s</w:t>
      </w:r>
      <w:r w:rsidR="00331D33" w:rsidRPr="0076081F">
        <w:rPr>
          <w:b/>
          <w:bCs/>
          <w:color w:val="495965" w:themeColor="text2"/>
        </w:rPr>
        <w:t xml:space="preserve"> </w:t>
      </w:r>
      <w:r>
        <w:rPr>
          <w:b/>
          <w:bCs/>
          <w:color w:val="495965" w:themeColor="text2"/>
        </w:rPr>
        <w:t>can</w:t>
      </w:r>
      <w:r w:rsidR="00331D33" w:rsidRPr="0076081F">
        <w:rPr>
          <w:b/>
          <w:bCs/>
          <w:color w:val="495965" w:themeColor="text2"/>
        </w:rPr>
        <w:t xml:space="preserve"> nurture enabling factors for GRB, which would also support the development of gender sensitive policies and programs more broadly.</w:t>
      </w:r>
      <w:r w:rsidR="00331D33" w:rsidRPr="0076081F">
        <w:rPr>
          <w:color w:val="495965" w:themeColor="text2"/>
        </w:rPr>
        <w:t xml:space="preserve"> This </w:t>
      </w:r>
      <w:r w:rsidR="00B147AE" w:rsidRPr="0076081F">
        <w:rPr>
          <w:color w:val="495965" w:themeColor="text2"/>
        </w:rPr>
        <w:t>c</w:t>
      </w:r>
      <w:r w:rsidR="00331D33" w:rsidRPr="0076081F">
        <w:rPr>
          <w:color w:val="495965" w:themeColor="text2"/>
        </w:rPr>
        <w:t xml:space="preserve">ould include </w:t>
      </w:r>
      <w:r w:rsidR="00B147AE" w:rsidRPr="0076081F">
        <w:rPr>
          <w:color w:val="495965" w:themeColor="text2"/>
        </w:rPr>
        <w:t>supporting</w:t>
      </w:r>
      <w:r w:rsidR="00331D33" w:rsidRPr="0076081F">
        <w:rPr>
          <w:color w:val="495965" w:themeColor="text2"/>
        </w:rPr>
        <w:t xml:space="preserve"> the collection, </w:t>
      </w:r>
      <w:r w:rsidR="00771ECE" w:rsidRPr="0076081F">
        <w:rPr>
          <w:color w:val="495965" w:themeColor="text2"/>
        </w:rPr>
        <w:t>analysis,</w:t>
      </w:r>
      <w:r w:rsidR="00331D33" w:rsidRPr="0076081F">
        <w:rPr>
          <w:color w:val="495965" w:themeColor="text2"/>
        </w:rPr>
        <w:t xml:space="preserve"> and dissemination of gender-disaggregated data, conducting gender-lensed assessments of budgets and </w:t>
      </w:r>
      <w:r w:rsidR="00EC4A7F">
        <w:rPr>
          <w:color w:val="495965" w:themeColor="text2"/>
        </w:rPr>
        <w:t xml:space="preserve">fiscal </w:t>
      </w:r>
      <w:r w:rsidR="00331D33" w:rsidRPr="0076081F">
        <w:rPr>
          <w:color w:val="495965" w:themeColor="text2"/>
        </w:rPr>
        <w:t>plans, and developing, implementing</w:t>
      </w:r>
      <w:r w:rsidR="00EC4A7F">
        <w:rPr>
          <w:color w:val="495965" w:themeColor="text2"/>
        </w:rPr>
        <w:t>,</w:t>
      </w:r>
      <w:r w:rsidR="00331D33" w:rsidRPr="0076081F">
        <w:rPr>
          <w:color w:val="495965" w:themeColor="text2"/>
        </w:rPr>
        <w:t xml:space="preserve"> and monitoring service standards that ensure the different needs and responsibilities of men and women are adequately reflected.</w:t>
      </w:r>
    </w:p>
    <w:p w14:paraId="76DBBA47" w14:textId="378A9557" w:rsidR="00C37410" w:rsidRPr="00783F18" w:rsidRDefault="00C37410" w:rsidP="00853654">
      <w:pPr>
        <w:pStyle w:val="ListParagraph"/>
        <w:numPr>
          <w:ilvl w:val="0"/>
          <w:numId w:val="34"/>
        </w:numPr>
        <w:spacing w:after="120" w:line="257" w:lineRule="auto"/>
        <w:ind w:left="714" w:hanging="357"/>
        <w:contextualSpacing w:val="0"/>
        <w:rPr>
          <w:color w:val="495965" w:themeColor="text2"/>
        </w:rPr>
      </w:pPr>
      <w:r w:rsidRPr="0076081F">
        <w:rPr>
          <w:b/>
          <w:bCs/>
          <w:color w:val="495965" w:themeColor="text2"/>
        </w:rPr>
        <w:t xml:space="preserve">In some countries, prior work </w:t>
      </w:r>
      <w:r w:rsidR="009236FD">
        <w:rPr>
          <w:b/>
          <w:bCs/>
          <w:color w:val="495965" w:themeColor="text2"/>
        </w:rPr>
        <w:t xml:space="preserve">is needed to build </w:t>
      </w:r>
      <w:r w:rsidR="00F57D54">
        <w:rPr>
          <w:b/>
          <w:bCs/>
          <w:color w:val="495965" w:themeColor="text2"/>
        </w:rPr>
        <w:t xml:space="preserve">consensus around </w:t>
      </w:r>
      <w:r w:rsidRPr="0076081F">
        <w:rPr>
          <w:b/>
          <w:bCs/>
          <w:color w:val="495965" w:themeColor="text2"/>
        </w:rPr>
        <w:t xml:space="preserve">gender equality and gender mainstreaming before GRB reforms can be proposed. </w:t>
      </w:r>
      <w:r w:rsidRPr="0076081F">
        <w:rPr>
          <w:color w:val="495965" w:themeColor="text2"/>
        </w:rPr>
        <w:t>A careful assessment of capacity implications, and the demand on political and institutional capital that a push for GRB would require, should precede any efforts to</w:t>
      </w:r>
      <w:r w:rsidR="006A5D99">
        <w:rPr>
          <w:color w:val="495965" w:themeColor="text2"/>
        </w:rPr>
        <w:t xml:space="preserve"> introduce</w:t>
      </w:r>
      <w:r w:rsidRPr="0076081F">
        <w:rPr>
          <w:color w:val="495965" w:themeColor="text2"/>
        </w:rPr>
        <w:t xml:space="preserve"> GRB. </w:t>
      </w:r>
      <w:r w:rsidR="00EA5425" w:rsidRPr="0076081F">
        <w:rPr>
          <w:color w:val="495965" w:themeColor="text2"/>
        </w:rPr>
        <w:t>C</w:t>
      </w:r>
      <w:r w:rsidRPr="0076081F">
        <w:rPr>
          <w:color w:val="495965" w:themeColor="text2"/>
        </w:rPr>
        <w:t xml:space="preserve">onsultations </w:t>
      </w:r>
      <w:r w:rsidR="00EA5425" w:rsidRPr="0076081F">
        <w:rPr>
          <w:color w:val="495965" w:themeColor="text2"/>
        </w:rPr>
        <w:t xml:space="preserve">for the study </w:t>
      </w:r>
      <w:r w:rsidRPr="0076081F">
        <w:rPr>
          <w:color w:val="495965" w:themeColor="text2"/>
        </w:rPr>
        <w:t xml:space="preserve">identified some concerns around the priority that should be given to </w:t>
      </w:r>
      <w:r w:rsidR="006A5D99">
        <w:rPr>
          <w:color w:val="495965" w:themeColor="text2"/>
        </w:rPr>
        <w:t xml:space="preserve">GRB presently, </w:t>
      </w:r>
      <w:r w:rsidR="00D74975">
        <w:rPr>
          <w:color w:val="495965" w:themeColor="text2"/>
        </w:rPr>
        <w:t xml:space="preserve">given </w:t>
      </w:r>
      <w:r w:rsidR="00265E72">
        <w:rPr>
          <w:color w:val="495965" w:themeColor="text2"/>
        </w:rPr>
        <w:t xml:space="preserve">the focus on </w:t>
      </w:r>
      <w:r w:rsidR="00265E72" w:rsidRPr="00783F18">
        <w:rPr>
          <w:color w:val="495965" w:themeColor="text2"/>
        </w:rPr>
        <w:t>recovering from the pandemic, various natural disasters, global inflationary pressures</w:t>
      </w:r>
      <w:r w:rsidR="00783F18" w:rsidRPr="00783F18">
        <w:rPr>
          <w:color w:val="495965" w:themeColor="text2"/>
        </w:rPr>
        <w:t>,</w:t>
      </w:r>
      <w:r w:rsidR="00265E72" w:rsidRPr="00783F18">
        <w:rPr>
          <w:color w:val="495965" w:themeColor="text2"/>
        </w:rPr>
        <w:t xml:space="preserve"> and droughts.</w:t>
      </w:r>
      <w:r w:rsidR="00783F18" w:rsidRPr="00783F18">
        <w:rPr>
          <w:color w:val="495965" w:themeColor="text2"/>
        </w:rPr>
        <w:t xml:space="preserve"> </w:t>
      </w:r>
      <w:r w:rsidR="00856E8A" w:rsidRPr="00783F18">
        <w:rPr>
          <w:color w:val="495965" w:themeColor="text2"/>
        </w:rPr>
        <w:t xml:space="preserve">International experience suggests that </w:t>
      </w:r>
      <w:r w:rsidR="00771ECE" w:rsidRPr="00783F18">
        <w:rPr>
          <w:color w:val="495965" w:themeColor="text2"/>
        </w:rPr>
        <w:t xml:space="preserve">DFAT </w:t>
      </w:r>
      <w:r w:rsidRPr="00783F18">
        <w:rPr>
          <w:color w:val="495965" w:themeColor="text2"/>
        </w:rPr>
        <w:t>need</w:t>
      </w:r>
      <w:r w:rsidR="00771ECE" w:rsidRPr="00783F18">
        <w:rPr>
          <w:color w:val="495965" w:themeColor="text2"/>
        </w:rPr>
        <w:t>s</w:t>
      </w:r>
      <w:r w:rsidRPr="00783F18">
        <w:rPr>
          <w:color w:val="495965" w:themeColor="text2"/>
        </w:rPr>
        <w:t xml:space="preserve"> to be </w:t>
      </w:r>
      <w:r w:rsidR="00771ECE" w:rsidRPr="00783F18">
        <w:rPr>
          <w:color w:val="495965" w:themeColor="text2"/>
        </w:rPr>
        <w:t xml:space="preserve">open to the potential for </w:t>
      </w:r>
      <w:r w:rsidRPr="00783F18">
        <w:rPr>
          <w:color w:val="495965" w:themeColor="text2"/>
        </w:rPr>
        <w:t xml:space="preserve">other more effective opportunities to advance gender equality </w:t>
      </w:r>
      <w:r w:rsidR="00856E8A" w:rsidRPr="00783F18">
        <w:rPr>
          <w:color w:val="495965" w:themeColor="text2"/>
        </w:rPr>
        <w:t>in budget support operations</w:t>
      </w:r>
      <w:r w:rsidR="00787D9C" w:rsidRPr="00783F18">
        <w:rPr>
          <w:color w:val="495965" w:themeColor="text2"/>
        </w:rPr>
        <w:t>, especially since international experience shows that introducing GRB does not necessarily lead to better gender outcomes</w:t>
      </w:r>
      <w:r w:rsidRPr="00783F18">
        <w:rPr>
          <w:color w:val="495965" w:themeColor="text2"/>
        </w:rPr>
        <w:t>.</w:t>
      </w:r>
    </w:p>
    <w:p w14:paraId="44103D4B" w14:textId="2B5DF859" w:rsidR="00F9382E" w:rsidRDefault="00F9382E" w:rsidP="00C37410">
      <w:pPr>
        <w:pStyle w:val="Heading3"/>
      </w:pPr>
      <w:bookmarkStart w:id="71" w:name="_Toc108168331"/>
      <w:bookmarkStart w:id="72" w:name="_Toc120201427"/>
      <w:bookmarkStart w:id="73" w:name="_Toc120544534"/>
      <w:r>
        <w:t>Suggestions for DFAT</w:t>
      </w:r>
      <w:bookmarkEnd w:id="71"/>
      <w:bookmarkEnd w:id="72"/>
      <w:bookmarkEnd w:id="73"/>
    </w:p>
    <w:p w14:paraId="234CFB75" w14:textId="43D7E308" w:rsidR="00E46D4F" w:rsidRDefault="00F9382E" w:rsidP="005A7782">
      <w:pPr>
        <w:spacing w:after="120"/>
      </w:pPr>
      <w:r w:rsidRPr="007417A9">
        <w:rPr>
          <w:b/>
          <w:bCs/>
        </w:rPr>
        <w:t xml:space="preserve">The way forward for DFAT depends heavily on the </w:t>
      </w:r>
      <w:r w:rsidR="00BB1224" w:rsidRPr="007417A9">
        <w:rPr>
          <w:b/>
          <w:bCs/>
        </w:rPr>
        <w:t xml:space="preserve">longevity </w:t>
      </w:r>
      <w:r w:rsidRPr="007417A9">
        <w:rPr>
          <w:b/>
          <w:bCs/>
        </w:rPr>
        <w:t>of Australia’s interest in delivering budget support to the region</w:t>
      </w:r>
      <w:r w:rsidR="00F44BDD" w:rsidRPr="007417A9">
        <w:rPr>
          <w:b/>
          <w:bCs/>
        </w:rPr>
        <w:t>.</w:t>
      </w:r>
      <w:r w:rsidR="007417A9" w:rsidRPr="007417A9">
        <w:rPr>
          <w:b/>
          <w:bCs/>
        </w:rPr>
        <w:t xml:space="preserve"> </w:t>
      </w:r>
      <w:r w:rsidR="007417A9" w:rsidRPr="007417A9">
        <w:t>The evidence is clear that successful budget support operations build on sustained engagement over a significant period</w:t>
      </w:r>
      <w:r w:rsidR="00C62030">
        <w:t xml:space="preserve"> to </w:t>
      </w:r>
      <w:r w:rsidR="00881B95">
        <w:t>identify, build consensus for, and implement</w:t>
      </w:r>
      <w:r>
        <w:t xml:space="preserve"> policy </w:t>
      </w:r>
      <w:r w:rsidR="008B185D">
        <w:t>reforms</w:t>
      </w:r>
      <w:r>
        <w:t>.</w:t>
      </w:r>
      <w:r w:rsidR="00162855">
        <w:t xml:space="preserve"> </w:t>
      </w:r>
      <w:r w:rsidR="00E66209">
        <w:t xml:space="preserve">DFAT </w:t>
      </w:r>
      <w:r w:rsidR="00E46D4F">
        <w:t>is well-placed to support a</w:t>
      </w:r>
      <w:r w:rsidR="008B185D">
        <w:t>n ongoing,</w:t>
      </w:r>
      <w:r w:rsidR="00E46D4F">
        <w:t xml:space="preserve"> multidimensional process </w:t>
      </w:r>
      <w:r w:rsidR="008B185D">
        <w:t>to</w:t>
      </w:r>
      <w:r w:rsidR="00E46D4F">
        <w:t xml:space="preserve"> nurture </w:t>
      </w:r>
      <w:r w:rsidR="000B05B6">
        <w:t xml:space="preserve">real </w:t>
      </w:r>
      <w:r w:rsidR="00E46D4F">
        <w:t>commitment to gender-related policy change.</w:t>
      </w:r>
      <w:r w:rsidR="00E46D4F" w:rsidRPr="00D504D5">
        <w:t xml:space="preserve"> </w:t>
      </w:r>
      <w:r w:rsidR="00E46D4F">
        <w:t>A longer-term commitment to policy dialogue and reform</w:t>
      </w:r>
      <w:r w:rsidR="00657863">
        <w:t xml:space="preserve"> through budget support would enable a more purposive approach to furthering gender equality objectives.</w:t>
      </w:r>
      <w:r w:rsidR="00E46D4F">
        <w:t xml:space="preserve"> Otherwise, the pursuit of gender equality in budget support operations is likely to remain largely opportunistic.</w:t>
      </w:r>
    </w:p>
    <w:p w14:paraId="52C667A3" w14:textId="68BD12BE" w:rsidR="009B307F" w:rsidRDefault="009B307F" w:rsidP="005A7782">
      <w:pPr>
        <w:spacing w:after="120"/>
      </w:pPr>
      <w:r w:rsidRPr="009B307F">
        <w:rPr>
          <w:b/>
          <w:bCs/>
        </w:rPr>
        <w:t>Given its in-country presence across 13 Pacific countries</w:t>
      </w:r>
      <w:r w:rsidR="00A65663">
        <w:rPr>
          <w:b/>
          <w:bCs/>
        </w:rPr>
        <w:t xml:space="preserve"> and Timor-Leste</w:t>
      </w:r>
      <w:r w:rsidRPr="009B307F">
        <w:rPr>
          <w:b/>
          <w:bCs/>
        </w:rPr>
        <w:t>, DFAT needs to be positioned to take a more proactive role in multi-donor budget support operations.</w:t>
      </w:r>
      <w:r>
        <w:t xml:space="preserve"> F</w:t>
      </w:r>
      <w:r w:rsidRPr="005F2F37">
        <w:t>or the foreseeable future, DFAT’s general budget support in the Pacific and Timor-Leste</w:t>
      </w:r>
      <w:r w:rsidR="00BA7B28">
        <w:t xml:space="preserve"> will </w:t>
      </w:r>
      <w:r w:rsidRPr="005F2F37">
        <w:t xml:space="preserve">involve </w:t>
      </w:r>
      <w:r>
        <w:t xml:space="preserve">the World Bank and ADB </w:t>
      </w:r>
      <w:r w:rsidRPr="005F2F37">
        <w:t>leading the policy dialogue.</w:t>
      </w:r>
      <w:r w:rsidRPr="006B332F">
        <w:t xml:space="preserve"> </w:t>
      </w:r>
      <w:r>
        <w:t xml:space="preserve">Both organisations – with the IMF – have a comparative advantage in leading analytical and technical advisory work. </w:t>
      </w:r>
      <w:r w:rsidR="002412DD">
        <w:t xml:space="preserve">But in most cases, DFAT and other bilateral partners </w:t>
      </w:r>
      <w:r w:rsidR="00EA1506">
        <w:t xml:space="preserve">with longer-term programs and stronger in-country presences are well placed to </w:t>
      </w:r>
      <w:r>
        <w:t xml:space="preserve">help </w:t>
      </w:r>
      <w:r w:rsidRPr="006B332F">
        <w:t>identify reforms</w:t>
      </w:r>
      <w:r>
        <w:t xml:space="preserve"> and provide long</w:t>
      </w:r>
      <w:r w:rsidR="00EA1506">
        <w:t>er</w:t>
      </w:r>
      <w:r>
        <w:t xml:space="preserve">-term technical </w:t>
      </w:r>
      <w:r w:rsidR="00EA1506">
        <w:t>assistance to support implementation</w:t>
      </w:r>
      <w:r w:rsidRPr="006B332F">
        <w:t>.</w:t>
      </w:r>
    </w:p>
    <w:p w14:paraId="26E7768A" w14:textId="1FD129DE" w:rsidR="00713552" w:rsidRDefault="00C85D19" w:rsidP="00713552">
      <w:r w:rsidRPr="00C85D19">
        <w:rPr>
          <w:b/>
          <w:bCs/>
        </w:rPr>
        <w:t xml:space="preserve">DFAT should maintain a concerted engagement with the World Bank </w:t>
      </w:r>
      <w:r w:rsidR="00787D9C">
        <w:rPr>
          <w:b/>
          <w:bCs/>
        </w:rPr>
        <w:t xml:space="preserve">and the ADB </w:t>
      </w:r>
      <w:r w:rsidRPr="00C85D19">
        <w:rPr>
          <w:b/>
          <w:bCs/>
        </w:rPr>
        <w:t>to develop a joint approach to strengthening the incorporation of gender equality into budget support operations.</w:t>
      </w:r>
      <w:r>
        <w:t xml:space="preserve"> </w:t>
      </w:r>
      <w:r w:rsidRPr="00F9479E">
        <w:t>The IMF could perhaps be included in this effort, along with other development partners with a shared interest in budget support</w:t>
      </w:r>
      <w:r w:rsidR="00B327C9">
        <w:t>, PFM,</w:t>
      </w:r>
      <w:r w:rsidRPr="00F9479E">
        <w:t xml:space="preserve"> and gender equality</w:t>
      </w:r>
      <w:r>
        <w:t xml:space="preserve"> – such as the European Union and New Zealand. </w:t>
      </w:r>
      <w:r w:rsidR="00EA1506">
        <w:t xml:space="preserve"> </w:t>
      </w:r>
      <w:r w:rsidR="00F9382E">
        <w:t xml:space="preserve">One useful agenda item for this effort could be to pursue a </w:t>
      </w:r>
      <w:r w:rsidR="000B332B">
        <w:t xml:space="preserve">Pacific and Timorese </w:t>
      </w:r>
      <w:r w:rsidR="00F9382E">
        <w:t>– or perhaps small island developing state – exemption from the exclusion of process-related actions from policy action matrices</w:t>
      </w:r>
      <w:r w:rsidR="00423490">
        <w:t xml:space="preserve"> mandated by the World Bank and ADB internal </w:t>
      </w:r>
      <w:r w:rsidR="00423490">
        <w:lastRenderedPageBreak/>
        <w:t>policies</w:t>
      </w:r>
      <w:r w:rsidR="00F9382E">
        <w:t>.</w:t>
      </w:r>
      <w:r w:rsidR="00EA1506">
        <w:t xml:space="preserve"> </w:t>
      </w:r>
      <w:r w:rsidR="00F9382E">
        <w:t xml:space="preserve">Such process </w:t>
      </w:r>
      <w:r w:rsidR="00437C13">
        <w:t xml:space="preserve">actions </w:t>
      </w:r>
      <w:r w:rsidR="00F9382E">
        <w:t>could form the building blocks of policy change in the future and could include activities such as: conducting gender-aware analysis of specific budget policies and of the impacts of expenditure programs; work to build understanding of impediments to women’s economic empowerment, or of the economic costs of prevailing norms and cultural practices; or initiation of pre-budget consultations with women’s groups.</w:t>
      </w:r>
      <w:r w:rsidR="00713552">
        <w:t xml:space="preserve"> </w:t>
      </w:r>
      <w:r w:rsidR="00F9382E">
        <w:t>There could also be collaboration to ensure that every budget operation includes a gender analysis, and to develop gender-specific indicators for all policy actions.</w:t>
      </w:r>
    </w:p>
    <w:p w14:paraId="208B7DFB" w14:textId="0A78098D" w:rsidR="00713552" w:rsidRDefault="00713552" w:rsidP="00713552">
      <w:r w:rsidRPr="002E02E3">
        <w:rPr>
          <w:b/>
          <w:bCs/>
        </w:rPr>
        <w:t>DFAT should e</w:t>
      </w:r>
      <w:r w:rsidR="00F9382E" w:rsidRPr="002E02E3">
        <w:rPr>
          <w:b/>
          <w:bCs/>
        </w:rPr>
        <w:t>ngage with stakeholders to recast PFM roadmaps to inject context-specific approaches to gender-informed PF</w:t>
      </w:r>
      <w:r w:rsidR="002E02E3" w:rsidRPr="002E02E3">
        <w:rPr>
          <w:b/>
          <w:bCs/>
        </w:rPr>
        <w:t>M</w:t>
      </w:r>
      <w:r w:rsidR="002E02E3">
        <w:rPr>
          <w:b/>
          <w:bCs/>
        </w:rPr>
        <w:t xml:space="preserve"> </w:t>
      </w:r>
      <w:r w:rsidR="00F9382E">
        <w:t>and ensure PFM</w:t>
      </w:r>
      <w:r w:rsidR="002E02E3">
        <w:t>-</w:t>
      </w:r>
      <w:r w:rsidR="00F9382E">
        <w:t>related technical assistance and capacity development focus</w:t>
      </w:r>
      <w:r w:rsidR="00CC4A55">
        <w:t>es</w:t>
      </w:r>
      <w:r w:rsidR="00F9382E">
        <w:t xml:space="preserve"> on </w:t>
      </w:r>
      <w:r w:rsidR="00CC4A55">
        <w:t xml:space="preserve">the </w:t>
      </w:r>
      <w:r w:rsidR="00F9382E">
        <w:t>skills and capabilities</w:t>
      </w:r>
      <w:r w:rsidR="00CC4A55">
        <w:t xml:space="preserve"> required</w:t>
      </w:r>
      <w:r w:rsidR="00F9382E">
        <w:t xml:space="preserve"> to inject gender </w:t>
      </w:r>
      <w:r w:rsidR="00CC4A55">
        <w:t>considerations into the</w:t>
      </w:r>
      <w:r w:rsidR="00F9382E">
        <w:t xml:space="preserve"> PFM processes.</w:t>
      </w:r>
      <w:r>
        <w:t xml:space="preserve"> </w:t>
      </w:r>
      <w:r w:rsidR="00F9382E">
        <w:t xml:space="preserve">This process should build on the start made by Pacific Finance and Economic Ministers in their 2017 tasking of the </w:t>
      </w:r>
      <w:r w:rsidR="00CC4A55">
        <w:t xml:space="preserve">PIF </w:t>
      </w:r>
      <w:r w:rsidR="00F9382E">
        <w:t>Secretariat to develop indicators around gender responsive budgeting.</w:t>
      </w:r>
    </w:p>
    <w:p w14:paraId="0A06561C" w14:textId="05AB506E" w:rsidR="00713552" w:rsidRDefault="00CC4A55" w:rsidP="00713552">
      <w:r>
        <w:rPr>
          <w:b/>
          <w:bCs/>
        </w:rPr>
        <w:t>Leverage</w:t>
      </w:r>
      <w:r w:rsidR="00F9382E" w:rsidRPr="00CC4A55">
        <w:rPr>
          <w:b/>
          <w:bCs/>
        </w:rPr>
        <w:t xml:space="preserve"> existing gender programs - regional and country level – to accelerate progress on gender mainstreaming</w:t>
      </w:r>
      <w:r w:rsidR="00713552" w:rsidRPr="00CC4A55">
        <w:rPr>
          <w:b/>
          <w:bCs/>
        </w:rPr>
        <w:t xml:space="preserve">. </w:t>
      </w:r>
      <w:r w:rsidR="000215C3">
        <w:t xml:space="preserve">DFAT could do more to consult with its regional and country-level gender programs to see if there are policy initiatives in the pipeline or recently introduced that could be supported by </w:t>
      </w:r>
      <w:r w:rsidR="00030507">
        <w:t xml:space="preserve">a </w:t>
      </w:r>
      <w:r w:rsidR="000215C3">
        <w:t xml:space="preserve">budget support operation. </w:t>
      </w:r>
      <w:r w:rsidR="00B17EFA">
        <w:t>It could</w:t>
      </w:r>
      <w:r w:rsidR="000215C3">
        <w:t xml:space="preserve"> pursue an</w:t>
      </w:r>
      <w:r w:rsidR="00F9382E">
        <w:t xml:space="preserve"> update of the gender mainstreaming stocktake carried out by the </w:t>
      </w:r>
      <w:r w:rsidR="00883032" w:rsidRPr="00883032">
        <w:t xml:space="preserve">Progressing Gender Equality in the Pacific </w:t>
      </w:r>
      <w:r w:rsidR="00883032">
        <w:t>project</w:t>
      </w:r>
      <w:r w:rsidR="00F9382E">
        <w:t xml:space="preserve"> to identify the status of deficiencies and stumbling blocks</w:t>
      </w:r>
      <w:r w:rsidR="00B17EFA">
        <w:t xml:space="preserve"> in each country</w:t>
      </w:r>
      <w:r w:rsidR="00F9382E">
        <w:t>.</w:t>
      </w:r>
      <w:r w:rsidR="00713552">
        <w:t xml:space="preserve"> </w:t>
      </w:r>
      <w:r w:rsidR="00F9382E">
        <w:t>It could include support to undertake some of the process-based changes discussed above, and to promote the collection and dissemination of gender-disaggregated data.</w:t>
      </w:r>
    </w:p>
    <w:p w14:paraId="513DFE18" w14:textId="58394CD6" w:rsidR="00F9382E" w:rsidRPr="00713552" w:rsidRDefault="00F9382E" w:rsidP="00F9382E">
      <w:r w:rsidRPr="00883032">
        <w:rPr>
          <w:b/>
          <w:bCs/>
        </w:rPr>
        <w:t>Use economic diplomacy and broader strategic engagement in the region to further incentivise political support</w:t>
      </w:r>
      <w:r w:rsidR="00883032" w:rsidRPr="00883032">
        <w:rPr>
          <w:b/>
          <w:bCs/>
        </w:rPr>
        <w:t>, especially Finance Ministers,</w:t>
      </w:r>
      <w:r w:rsidRPr="00883032">
        <w:rPr>
          <w:b/>
          <w:bCs/>
        </w:rPr>
        <w:t xml:space="preserve"> for gender mainstreaming</w:t>
      </w:r>
      <w:r w:rsidR="00883032">
        <w:t>.</w:t>
      </w:r>
      <w:r>
        <w:t xml:space="preserve"> This could make use of existing regional machineries and institutions</w:t>
      </w:r>
      <w:r w:rsidR="00847242">
        <w:t xml:space="preserve"> to</w:t>
      </w:r>
      <w:r>
        <w:t xml:space="preserve"> assist with making progress on the 2017 expression of interest of Pacific Finance and Economic Ministers to develop a methodology to adequately capture and track budget allocations towards women’s economic empowerment and conducting</w:t>
      </w:r>
      <w:r w:rsidR="00847242">
        <w:t xml:space="preserve"> a</w:t>
      </w:r>
      <w:r>
        <w:t>nalysis around benchmarks for gender responsive budgets.</w:t>
      </w:r>
      <w:r w:rsidR="00713552">
        <w:t xml:space="preserve"> </w:t>
      </w:r>
      <w:r>
        <w:t xml:space="preserve">Now that PEFA has developed a tool to assess the quality of Gender Related PFM, DFAT and other development partners should develop an approach to deciding when to encourage </w:t>
      </w:r>
      <w:r w:rsidR="00652D5E">
        <w:t>PICs and Timor-Leste</w:t>
      </w:r>
      <w:r>
        <w:t xml:space="preserve"> to undertake an assessment using the tool, and guidance on how to prioritise actions to promote adoption of GRPFM. This should learn from the discussions around how best to prioritise PFM reforms in the Pacific</w:t>
      </w:r>
      <w:r w:rsidR="007C0A82">
        <w:t xml:space="preserve"> and Timor-Leste</w:t>
      </w:r>
      <w:r>
        <w:t>, and the role that PEFA assessments play in that process.</w:t>
      </w:r>
    </w:p>
    <w:p w14:paraId="03F7A8C5" w14:textId="77777777" w:rsidR="00883032" w:rsidRDefault="00883032">
      <w:pPr>
        <w:suppressAutoHyphens w:val="0"/>
        <w:spacing w:before="0" w:after="120" w:line="440" w:lineRule="atLeast"/>
        <w:rPr>
          <w:rFonts w:asciiTheme="majorHAnsi" w:eastAsiaTheme="majorEastAsia" w:hAnsiTheme="majorHAnsi" w:cstheme="majorBidi"/>
          <w:b/>
          <w:bCs/>
          <w:caps/>
          <w:sz w:val="38"/>
          <w:szCs w:val="28"/>
        </w:rPr>
      </w:pPr>
      <w:bookmarkStart w:id="74" w:name="_Toc108168332"/>
      <w:r>
        <w:br w:type="page"/>
      </w:r>
    </w:p>
    <w:p w14:paraId="5249BA48" w14:textId="395478EB" w:rsidR="00F9382E" w:rsidRDefault="00F9382E" w:rsidP="00F9382E">
      <w:pPr>
        <w:pStyle w:val="Heading1"/>
      </w:pPr>
      <w:bookmarkStart w:id="75" w:name="_Toc120201428"/>
      <w:bookmarkStart w:id="76" w:name="_Toc120544535"/>
      <w:r>
        <w:lastRenderedPageBreak/>
        <w:t>Annex A Terms of Reference</w:t>
      </w:r>
      <w:bookmarkEnd w:id="74"/>
      <w:bookmarkEnd w:id="75"/>
      <w:bookmarkEnd w:id="76"/>
    </w:p>
    <w:p w14:paraId="717C34A5" w14:textId="77777777" w:rsidR="00F9382E" w:rsidRPr="006E0B61" w:rsidRDefault="00F9382E" w:rsidP="00AC2325">
      <w:pPr>
        <w:pStyle w:val="Heading4"/>
      </w:pPr>
      <w:r w:rsidRPr="006E0B61">
        <w:t>Introduction</w:t>
      </w:r>
    </w:p>
    <w:p w14:paraId="2785C30F" w14:textId="29459F8F" w:rsidR="00F9382E" w:rsidRPr="009812A0" w:rsidRDefault="00F9382E" w:rsidP="00AC2325">
      <w:r w:rsidRPr="009812A0">
        <w:t xml:space="preserve">DFAT’s Office of the Pacific (OTP) is building its capacity to assess and respond to the profound economic shock to </w:t>
      </w:r>
      <w:r w:rsidR="00CB6A9A">
        <w:t>the Pacific and Timor-Leste</w:t>
      </w:r>
      <w:r w:rsidR="007C0A82">
        <w:t xml:space="preserve"> </w:t>
      </w:r>
      <w:r w:rsidRPr="009812A0">
        <w:t xml:space="preserve">arising from the COVID-19 pandemic, including through the delivery of the $304.7 million </w:t>
      </w:r>
      <w:r w:rsidRPr="009812A0">
        <w:rPr>
          <w:i/>
          <w:iCs/>
        </w:rPr>
        <w:t>Pacific and Timor-Leste COVID-19 Response Package</w:t>
      </w:r>
      <w:r w:rsidRPr="009812A0">
        <w:t xml:space="preserve"> over 2020-21 and 2021-22. The Response Package will assist Pacific countries and Timor-Leste to weather the economic impacts of COVID-19 and better position them for recovery. In recognition that the pandemic is exacerbating </w:t>
      </w:r>
      <w:r>
        <w:t>gender</w:t>
      </w:r>
      <w:r w:rsidRPr="009812A0">
        <w:t xml:space="preserve"> inequalities and hardships faced by already vulnerable groups, the </w:t>
      </w:r>
      <w:r w:rsidRPr="00F165B1">
        <w:t>Response Package</w:t>
      </w:r>
      <w:r w:rsidRPr="009812A0">
        <w:t xml:space="preserve"> commits to ensuring that women and girls, youth, people with disabilities and those from disadvantaged groups directly benefit</w:t>
      </w:r>
      <w:r>
        <w:t xml:space="preserve"> equitably</w:t>
      </w:r>
      <w:r w:rsidRPr="009812A0">
        <w:t xml:space="preserve"> from Australia’s support. </w:t>
      </w:r>
    </w:p>
    <w:p w14:paraId="5198DDEE" w14:textId="77777777" w:rsidR="00F9382E" w:rsidRPr="009812A0" w:rsidRDefault="00F9382E" w:rsidP="00AC2325">
      <w:r w:rsidRPr="009812A0">
        <w:t xml:space="preserve">The Response Package will provide </w:t>
      </w:r>
      <w:r>
        <w:t xml:space="preserve">approximately </w:t>
      </w:r>
      <w:r w:rsidRPr="009812A0">
        <w:t>$</w:t>
      </w:r>
      <w:r>
        <w:t xml:space="preserve">175 </w:t>
      </w:r>
      <w:r w:rsidRPr="009812A0">
        <w:t>m</w:t>
      </w:r>
      <w:r>
        <w:t>illion</w:t>
      </w:r>
      <w:r w:rsidRPr="009812A0">
        <w:t xml:space="preserve"> through budget support, including in countries where this modality has not been widely used by Australia in recent years.  In some countries, budget support will open new opportunities for policy dialogue and deeper engagement with partner governments, allowing Australia to advocate for economic reforms that align with our priorities.  These include gender-</w:t>
      </w:r>
      <w:r>
        <w:t>responsi</w:t>
      </w:r>
      <w:r w:rsidRPr="009812A0">
        <w:t xml:space="preserve">ve budgeting </w:t>
      </w:r>
      <w:r>
        <w:t>and other tools to promote gender equality in and through public financial management</w:t>
      </w:r>
      <w:r w:rsidRPr="009812A0">
        <w:t>.</w:t>
      </w:r>
    </w:p>
    <w:p w14:paraId="7086D83D" w14:textId="7290CCEC" w:rsidR="00F9382E" w:rsidRPr="009812A0" w:rsidRDefault="00F9382E" w:rsidP="00AC2325">
      <w:proofErr w:type="gramStart"/>
      <w:r w:rsidRPr="009812A0">
        <w:t>In order to</w:t>
      </w:r>
      <w:proofErr w:type="gramEnd"/>
      <w:r w:rsidRPr="009812A0">
        <w:t xml:space="preserve"> better understand the ways in which DFAT and development partners can advocate for and integrate gender equality and women’s empowerment in current and future economic reforms, DFAT wishes to undertake analysis of economic reform initiatives</w:t>
      </w:r>
      <w:r w:rsidR="009D707D">
        <w:t xml:space="preserve"> funded by development partners</w:t>
      </w:r>
      <w:r>
        <w:t>, with specific focus on efforts to integrate gender equality in budget support and public financial management</w:t>
      </w:r>
      <w:r w:rsidRPr="009812A0">
        <w:t xml:space="preserve">. </w:t>
      </w:r>
    </w:p>
    <w:p w14:paraId="46D8FB5E" w14:textId="1BD2C961" w:rsidR="00F9382E" w:rsidRPr="009812A0" w:rsidRDefault="00F9382E" w:rsidP="00AC2325">
      <w:r w:rsidRPr="009812A0">
        <w:t>The Response Package Support Unit is seeking a suitably qualified individual</w:t>
      </w:r>
      <w:r>
        <w:t>(s)</w:t>
      </w:r>
      <w:r w:rsidRPr="009812A0">
        <w:t xml:space="preserve"> to undertake this analysis, in consultation with DFAT staff</w:t>
      </w:r>
      <w:r>
        <w:t xml:space="preserve"> </w:t>
      </w:r>
      <w:r w:rsidRPr="009812A0">
        <w:t>and other stakeholders.</w:t>
      </w:r>
      <w:r w:rsidR="00AC2325">
        <w:t xml:space="preserve"> </w:t>
      </w:r>
      <w:r>
        <w:t xml:space="preserve">It is envisaged that one consultant will have primary responsibility for the deliverables below.  A second consultant may be appointed by DFAT, if required, to provide strategic and technical advice at key points in the process of analysis and drafting.  </w:t>
      </w:r>
    </w:p>
    <w:p w14:paraId="0D3023B6" w14:textId="77777777" w:rsidR="00F9382E" w:rsidRPr="006E0B61" w:rsidRDefault="00F9382E" w:rsidP="00AC2325">
      <w:pPr>
        <w:pStyle w:val="Heading4"/>
      </w:pPr>
      <w:r w:rsidRPr="006E0B61">
        <w:t>Purpose of the analysis</w:t>
      </w:r>
    </w:p>
    <w:p w14:paraId="0AD6C7D3" w14:textId="77777777" w:rsidR="00F9382E" w:rsidRPr="009812A0" w:rsidRDefault="00F9382E" w:rsidP="00AC2325">
      <w:pPr>
        <w:rPr>
          <w:rFonts w:asciiTheme="majorHAnsi" w:hAnsiTheme="majorHAnsi" w:cstheme="majorHAnsi"/>
        </w:rPr>
      </w:pPr>
      <w:r w:rsidRPr="00B106A7">
        <w:t>The Response Package Design Framework states that this analysis will</w:t>
      </w:r>
      <w:r w:rsidRPr="009812A0">
        <w:rPr>
          <w:rFonts w:asciiTheme="majorHAnsi" w:hAnsiTheme="majorHAnsi" w:cstheme="majorHAnsi"/>
        </w:rPr>
        <w:t>:</w:t>
      </w:r>
    </w:p>
    <w:p w14:paraId="6CBCA0CC" w14:textId="25A2B4DB" w:rsidR="00F9382E" w:rsidRPr="0072519F" w:rsidRDefault="00F9382E" w:rsidP="00853654">
      <w:pPr>
        <w:pStyle w:val="ListParagraph"/>
        <w:numPr>
          <w:ilvl w:val="0"/>
          <w:numId w:val="31"/>
        </w:numPr>
        <w:spacing w:before="0" w:after="120" w:line="240" w:lineRule="auto"/>
        <w:rPr>
          <w:rFonts w:cstheme="minorHAnsi"/>
          <w:color w:val="495965" w:themeColor="text2"/>
        </w:rPr>
      </w:pPr>
      <w:r w:rsidRPr="0072519F">
        <w:rPr>
          <w:rFonts w:cstheme="minorHAnsi"/>
          <w:color w:val="495965" w:themeColor="text2"/>
        </w:rPr>
        <w:t>help us to understand the impacts of changes in PIC budgets on women and girls</w:t>
      </w:r>
    </w:p>
    <w:p w14:paraId="1B71A653" w14:textId="77777777" w:rsidR="00F9382E" w:rsidRPr="0072519F" w:rsidRDefault="00F9382E" w:rsidP="00853654">
      <w:pPr>
        <w:pStyle w:val="ListParagraph"/>
        <w:numPr>
          <w:ilvl w:val="0"/>
          <w:numId w:val="31"/>
        </w:numPr>
        <w:spacing w:before="0" w:after="120" w:line="240" w:lineRule="auto"/>
        <w:rPr>
          <w:rFonts w:cstheme="minorHAnsi"/>
          <w:color w:val="495965" w:themeColor="text2"/>
        </w:rPr>
      </w:pPr>
      <w:r w:rsidRPr="0072519F">
        <w:rPr>
          <w:rFonts w:cstheme="minorHAnsi"/>
          <w:color w:val="495965" w:themeColor="text2"/>
        </w:rPr>
        <w:t>help us to identify and progress opportunities for economic policies and responses that contribute to gender equality</w:t>
      </w:r>
    </w:p>
    <w:p w14:paraId="72068D80" w14:textId="77777777" w:rsidR="00F9382E" w:rsidRPr="0072519F" w:rsidRDefault="00F9382E" w:rsidP="00853654">
      <w:pPr>
        <w:pStyle w:val="ListParagraph"/>
        <w:numPr>
          <w:ilvl w:val="0"/>
          <w:numId w:val="31"/>
        </w:numPr>
        <w:spacing w:before="0" w:after="120" w:line="240" w:lineRule="auto"/>
        <w:rPr>
          <w:rFonts w:cstheme="minorHAnsi"/>
          <w:color w:val="495965" w:themeColor="text2"/>
        </w:rPr>
      </w:pPr>
      <w:r w:rsidRPr="0072519F">
        <w:rPr>
          <w:rFonts w:cstheme="minorHAnsi"/>
          <w:color w:val="495965" w:themeColor="text2"/>
        </w:rPr>
        <w:t xml:space="preserve">focus on </w:t>
      </w:r>
      <w:bookmarkStart w:id="77" w:name="_Hlk77175579"/>
      <w:r w:rsidRPr="0072519F">
        <w:rPr>
          <w:rFonts w:cstheme="minorHAnsi"/>
          <w:color w:val="495965" w:themeColor="text2"/>
        </w:rPr>
        <w:t>supplementary budgets, stimulus packages and other policy measures (and resulting program responses) that respond to the economic shock of COVID-19</w:t>
      </w:r>
      <w:bookmarkEnd w:id="77"/>
    </w:p>
    <w:p w14:paraId="006F4F0E" w14:textId="77777777" w:rsidR="00F9382E" w:rsidRPr="0072519F" w:rsidRDefault="00F9382E" w:rsidP="00853654">
      <w:pPr>
        <w:pStyle w:val="ListParagraph"/>
        <w:numPr>
          <w:ilvl w:val="0"/>
          <w:numId w:val="31"/>
        </w:numPr>
        <w:spacing w:before="0" w:after="120" w:line="240" w:lineRule="auto"/>
        <w:ind w:left="714" w:hanging="357"/>
        <w:rPr>
          <w:rFonts w:cstheme="minorHAnsi"/>
          <w:color w:val="495965" w:themeColor="text2"/>
        </w:rPr>
      </w:pPr>
      <w:r w:rsidRPr="0072519F">
        <w:rPr>
          <w:rFonts w:cstheme="minorHAnsi"/>
          <w:color w:val="495965" w:themeColor="text2"/>
        </w:rPr>
        <w:t>be undertaken in collaboration with DFAT’s Office of the Chief Economist.</w:t>
      </w:r>
    </w:p>
    <w:p w14:paraId="493880C3" w14:textId="77777777" w:rsidR="00F9382E" w:rsidRPr="006E0B61" w:rsidRDefault="00F9382E" w:rsidP="00AC2325">
      <w:pPr>
        <w:pStyle w:val="Heading4"/>
      </w:pPr>
      <w:r w:rsidRPr="006E0B61">
        <w:t>Deliverables</w:t>
      </w:r>
    </w:p>
    <w:p w14:paraId="17B086EB" w14:textId="77777777" w:rsidR="00F9382E" w:rsidRPr="009812A0" w:rsidRDefault="00F9382E" w:rsidP="00AC2325">
      <w:r w:rsidRPr="009812A0">
        <w:t>The consultant will produce</w:t>
      </w:r>
      <w:r>
        <w:t xml:space="preserve"> the following three outputs through a phased approach</w:t>
      </w:r>
      <w:r w:rsidRPr="009812A0">
        <w:t>:</w:t>
      </w:r>
    </w:p>
    <w:p w14:paraId="6A34AEA6" w14:textId="77777777" w:rsidR="00F9382E" w:rsidRPr="00E505B6" w:rsidRDefault="00F9382E" w:rsidP="00853654">
      <w:pPr>
        <w:pStyle w:val="ListParagraph"/>
        <w:numPr>
          <w:ilvl w:val="0"/>
          <w:numId w:val="12"/>
        </w:numPr>
        <w:spacing w:after="120" w:line="240" w:lineRule="auto"/>
        <w:ind w:left="357" w:hanging="357"/>
        <w:rPr>
          <w:rFonts w:cstheme="minorHAnsi"/>
          <w:color w:val="495965" w:themeColor="text2"/>
        </w:rPr>
      </w:pPr>
      <w:r w:rsidRPr="00E505B6">
        <w:rPr>
          <w:rFonts w:cstheme="minorHAnsi"/>
          <w:b/>
          <w:bCs/>
          <w:color w:val="495965" w:themeColor="text2"/>
        </w:rPr>
        <w:t xml:space="preserve">A key issues paper </w:t>
      </w:r>
      <w:r w:rsidRPr="00E505B6">
        <w:rPr>
          <w:rFonts w:cstheme="minorHAnsi"/>
          <w:color w:val="495965" w:themeColor="text2"/>
        </w:rPr>
        <w:t>(due 10 Nov 2021) that will:</w:t>
      </w:r>
    </w:p>
    <w:p w14:paraId="021D08E0" w14:textId="77777777" w:rsidR="00F9382E" w:rsidRPr="00E505B6" w:rsidRDefault="00F9382E" w:rsidP="00853654">
      <w:pPr>
        <w:pStyle w:val="ListParagraph"/>
        <w:numPr>
          <w:ilvl w:val="1"/>
          <w:numId w:val="12"/>
        </w:numPr>
        <w:spacing w:after="120" w:line="240" w:lineRule="auto"/>
        <w:rPr>
          <w:rFonts w:cstheme="minorHAnsi"/>
          <w:color w:val="495965" w:themeColor="text2"/>
        </w:rPr>
      </w:pPr>
      <w:r w:rsidRPr="00E505B6">
        <w:rPr>
          <w:rFonts w:cstheme="minorHAnsi"/>
          <w:color w:val="495965" w:themeColor="text2"/>
        </w:rPr>
        <w:t>be informed by an initial round of consultations (primarily DFAT officers in Canberra) and an initial scan of the literature.</w:t>
      </w:r>
    </w:p>
    <w:p w14:paraId="2EEA2270" w14:textId="77777777" w:rsidR="00F9382E" w:rsidRPr="00E505B6" w:rsidRDefault="00F9382E" w:rsidP="00853654">
      <w:pPr>
        <w:pStyle w:val="ListParagraph"/>
        <w:numPr>
          <w:ilvl w:val="1"/>
          <w:numId w:val="12"/>
        </w:numPr>
        <w:spacing w:after="120" w:line="240" w:lineRule="auto"/>
        <w:rPr>
          <w:rFonts w:cstheme="minorHAnsi"/>
          <w:color w:val="495965" w:themeColor="text2"/>
        </w:rPr>
      </w:pPr>
      <w:r w:rsidRPr="00E505B6">
        <w:rPr>
          <w:rFonts w:cstheme="minorHAnsi"/>
          <w:color w:val="495965" w:themeColor="text2"/>
        </w:rPr>
        <w:t>provide a summary of the key issues identified.</w:t>
      </w:r>
    </w:p>
    <w:p w14:paraId="6737EAD8" w14:textId="77777777" w:rsidR="00F9382E" w:rsidRPr="00E505B6" w:rsidRDefault="00F9382E" w:rsidP="00853654">
      <w:pPr>
        <w:pStyle w:val="ListParagraph"/>
        <w:numPr>
          <w:ilvl w:val="1"/>
          <w:numId w:val="12"/>
        </w:numPr>
        <w:spacing w:after="120" w:line="240" w:lineRule="auto"/>
        <w:rPr>
          <w:rFonts w:cstheme="minorHAnsi"/>
          <w:color w:val="495965" w:themeColor="text2"/>
        </w:rPr>
      </w:pPr>
      <w:r w:rsidRPr="00E505B6">
        <w:rPr>
          <w:rFonts w:cstheme="minorHAnsi"/>
          <w:color w:val="495965" w:themeColor="text2"/>
        </w:rPr>
        <w:t>recommend a structure for the main report.</w:t>
      </w:r>
    </w:p>
    <w:p w14:paraId="67394E3D" w14:textId="77777777" w:rsidR="00F9382E" w:rsidRPr="00E505B6" w:rsidRDefault="00F9382E" w:rsidP="00853654">
      <w:pPr>
        <w:pStyle w:val="ListParagraph"/>
        <w:numPr>
          <w:ilvl w:val="1"/>
          <w:numId w:val="12"/>
        </w:numPr>
        <w:spacing w:after="120" w:line="240" w:lineRule="auto"/>
        <w:rPr>
          <w:rFonts w:cstheme="minorHAnsi"/>
          <w:color w:val="495965" w:themeColor="text2"/>
        </w:rPr>
      </w:pPr>
      <w:r w:rsidRPr="00E505B6">
        <w:rPr>
          <w:rFonts w:cstheme="minorHAnsi"/>
          <w:color w:val="495965" w:themeColor="text2"/>
        </w:rPr>
        <w:t>recommend additional people that should be consulted.</w:t>
      </w:r>
    </w:p>
    <w:p w14:paraId="42EAAED1" w14:textId="0C233E97" w:rsidR="00F9382E" w:rsidRPr="00AC2325" w:rsidRDefault="00F9382E" w:rsidP="00853654">
      <w:pPr>
        <w:pStyle w:val="ListParagraph"/>
        <w:numPr>
          <w:ilvl w:val="1"/>
          <w:numId w:val="12"/>
        </w:numPr>
        <w:spacing w:after="60" w:line="240" w:lineRule="auto"/>
        <w:ind w:left="1077" w:hanging="357"/>
        <w:contextualSpacing w:val="0"/>
        <w:rPr>
          <w:rFonts w:cstheme="minorHAnsi"/>
          <w:color w:val="495965" w:themeColor="text2"/>
        </w:rPr>
      </w:pPr>
      <w:r w:rsidRPr="00E505B6">
        <w:rPr>
          <w:rFonts w:cstheme="minorHAnsi"/>
          <w:color w:val="495965" w:themeColor="text2"/>
        </w:rPr>
        <w:t xml:space="preserve">other points of relevance, as determined by Bob Warner. </w:t>
      </w:r>
    </w:p>
    <w:p w14:paraId="40416D14" w14:textId="77777777" w:rsidR="00F9382E" w:rsidRPr="00E505B6" w:rsidRDefault="00F9382E" w:rsidP="00853654">
      <w:pPr>
        <w:pStyle w:val="ListParagraph"/>
        <w:numPr>
          <w:ilvl w:val="0"/>
          <w:numId w:val="12"/>
        </w:numPr>
        <w:spacing w:after="0" w:line="240" w:lineRule="auto"/>
        <w:ind w:left="357" w:hanging="357"/>
        <w:contextualSpacing w:val="0"/>
        <w:rPr>
          <w:rFonts w:cstheme="minorHAnsi"/>
          <w:color w:val="495965" w:themeColor="text2"/>
        </w:rPr>
      </w:pPr>
      <w:r w:rsidRPr="00E505B6">
        <w:rPr>
          <w:rFonts w:cstheme="minorHAnsi"/>
          <w:b/>
          <w:bCs/>
          <w:color w:val="495965" w:themeColor="text2"/>
        </w:rPr>
        <w:t>A desk-based report</w:t>
      </w:r>
      <w:r w:rsidRPr="00E505B6">
        <w:rPr>
          <w:rFonts w:cstheme="minorHAnsi"/>
          <w:color w:val="495965" w:themeColor="text2"/>
        </w:rPr>
        <w:t xml:space="preserve"> (due 30 Nov 2021, up to 15 pages plus annexes) that:</w:t>
      </w:r>
    </w:p>
    <w:p w14:paraId="29027A59" w14:textId="77777777" w:rsidR="00F9382E" w:rsidRPr="00E505B6" w:rsidRDefault="00F9382E" w:rsidP="00853654">
      <w:pPr>
        <w:pStyle w:val="CommentText"/>
        <w:numPr>
          <w:ilvl w:val="0"/>
          <w:numId w:val="13"/>
        </w:numPr>
        <w:suppressAutoHyphens w:val="0"/>
        <w:spacing w:before="0" w:after="120"/>
        <w:ind w:left="714" w:hanging="357"/>
        <w:contextualSpacing/>
        <w:rPr>
          <w:rFonts w:cstheme="minorHAnsi"/>
          <w:sz w:val="22"/>
          <w:szCs w:val="22"/>
        </w:rPr>
      </w:pPr>
      <w:r w:rsidRPr="00E505B6">
        <w:rPr>
          <w:rFonts w:cstheme="minorHAnsi"/>
          <w:sz w:val="22"/>
          <w:szCs w:val="22"/>
        </w:rPr>
        <w:t xml:space="preserve">undertakes a review and analysis of PIC budgets over the last two to three years examining the ways that budgets do, or do not, consider the gendered impacts.  This analysis will provide a baseline with which to develop recommendations for areas of reform.  </w:t>
      </w:r>
    </w:p>
    <w:p w14:paraId="5F1C7941" w14:textId="77777777" w:rsidR="00F9382E" w:rsidRPr="00E505B6" w:rsidRDefault="00F9382E" w:rsidP="00853654">
      <w:pPr>
        <w:pStyle w:val="CommentText"/>
        <w:numPr>
          <w:ilvl w:val="0"/>
          <w:numId w:val="13"/>
        </w:numPr>
        <w:suppressAutoHyphens w:val="0"/>
        <w:spacing w:after="120"/>
        <w:contextualSpacing/>
        <w:rPr>
          <w:rFonts w:cstheme="minorHAnsi"/>
          <w:sz w:val="22"/>
          <w:szCs w:val="22"/>
        </w:rPr>
      </w:pPr>
      <w:r w:rsidRPr="00E505B6">
        <w:rPr>
          <w:rFonts w:cstheme="minorHAnsi"/>
          <w:sz w:val="22"/>
          <w:szCs w:val="22"/>
        </w:rPr>
        <w:lastRenderedPageBreak/>
        <w:t xml:space="preserve">examines the policy decisions and practice of the relevant international financial institutions </w:t>
      </w:r>
      <w:proofErr w:type="gramStart"/>
      <w:r w:rsidRPr="00E505B6">
        <w:rPr>
          <w:rFonts w:cstheme="minorHAnsi"/>
          <w:sz w:val="22"/>
          <w:szCs w:val="22"/>
        </w:rPr>
        <w:t>in regards to</w:t>
      </w:r>
      <w:proofErr w:type="gramEnd"/>
      <w:r w:rsidRPr="00E505B6">
        <w:rPr>
          <w:rFonts w:cstheme="minorHAnsi"/>
          <w:sz w:val="22"/>
          <w:szCs w:val="22"/>
        </w:rPr>
        <w:t xml:space="preserve"> gender equality in budget support operations </w:t>
      </w:r>
    </w:p>
    <w:p w14:paraId="587D18DE" w14:textId="77777777" w:rsidR="00E505B6" w:rsidRPr="00E505B6" w:rsidRDefault="00F9382E" w:rsidP="00853654">
      <w:pPr>
        <w:pStyle w:val="CommentText"/>
        <w:numPr>
          <w:ilvl w:val="0"/>
          <w:numId w:val="13"/>
        </w:numPr>
        <w:suppressAutoHyphens w:val="0"/>
        <w:ind w:left="714" w:hanging="357"/>
        <w:contextualSpacing/>
        <w:rPr>
          <w:rFonts w:cstheme="minorHAnsi"/>
          <w:sz w:val="22"/>
          <w:szCs w:val="22"/>
        </w:rPr>
      </w:pPr>
      <w:r w:rsidRPr="00E505B6">
        <w:rPr>
          <w:rFonts w:cstheme="minorHAnsi"/>
          <w:sz w:val="22"/>
          <w:szCs w:val="22"/>
        </w:rPr>
        <w:t>undertakes a stocktake and analysis of budget support operations across the Pacific and Timor-Leste, including but not limited to Response Package budget support, to assess their responsiveness to gender equality</w:t>
      </w:r>
    </w:p>
    <w:p w14:paraId="6F97F942" w14:textId="77777777" w:rsidR="00E505B6" w:rsidRPr="00E505B6" w:rsidRDefault="00F9382E" w:rsidP="00853654">
      <w:pPr>
        <w:pStyle w:val="CommentText"/>
        <w:numPr>
          <w:ilvl w:val="0"/>
          <w:numId w:val="13"/>
        </w:numPr>
        <w:suppressAutoHyphens w:val="0"/>
        <w:ind w:left="714" w:hanging="357"/>
        <w:contextualSpacing/>
        <w:rPr>
          <w:rFonts w:cstheme="minorHAnsi"/>
          <w:sz w:val="22"/>
          <w:szCs w:val="22"/>
        </w:rPr>
      </w:pPr>
      <w:r w:rsidRPr="00E505B6">
        <w:rPr>
          <w:rFonts w:cstheme="minorHAnsi"/>
          <w:sz w:val="22"/>
          <w:szCs w:val="22"/>
        </w:rPr>
        <w:t>presents an assessment of practice and what good practice looks like, drawing on existing analysis and budget support operations in other regions</w:t>
      </w:r>
    </w:p>
    <w:p w14:paraId="32E9DE8E" w14:textId="77777777" w:rsidR="00E505B6" w:rsidRPr="00E505B6" w:rsidRDefault="00F9382E" w:rsidP="00853654">
      <w:pPr>
        <w:pStyle w:val="CommentText"/>
        <w:numPr>
          <w:ilvl w:val="0"/>
          <w:numId w:val="13"/>
        </w:numPr>
        <w:suppressAutoHyphens w:val="0"/>
        <w:ind w:left="714" w:hanging="357"/>
        <w:contextualSpacing/>
        <w:rPr>
          <w:rFonts w:cstheme="minorHAnsi"/>
          <w:sz w:val="22"/>
          <w:szCs w:val="22"/>
        </w:rPr>
      </w:pPr>
      <w:r w:rsidRPr="00E505B6">
        <w:rPr>
          <w:rFonts w:cstheme="minorHAnsi"/>
          <w:sz w:val="22"/>
          <w:szCs w:val="22"/>
        </w:rPr>
        <w:t>makes recommendations for integrating gender equality into ongoing Response Package budget support operations</w:t>
      </w:r>
    </w:p>
    <w:p w14:paraId="25B62BB6" w14:textId="6C707FF6" w:rsidR="00F9382E" w:rsidRPr="00E505B6" w:rsidRDefault="00F9382E" w:rsidP="00853654">
      <w:pPr>
        <w:pStyle w:val="CommentText"/>
        <w:numPr>
          <w:ilvl w:val="0"/>
          <w:numId w:val="13"/>
        </w:numPr>
        <w:suppressAutoHyphens w:val="0"/>
        <w:spacing w:before="0"/>
        <w:ind w:left="714" w:hanging="357"/>
        <w:contextualSpacing/>
        <w:rPr>
          <w:rFonts w:cstheme="minorHAnsi"/>
          <w:sz w:val="22"/>
          <w:szCs w:val="22"/>
        </w:rPr>
      </w:pPr>
      <w:r w:rsidRPr="00E505B6">
        <w:rPr>
          <w:rFonts w:cstheme="minorHAnsi"/>
          <w:sz w:val="22"/>
          <w:szCs w:val="22"/>
        </w:rPr>
        <w:t>includes two or more case studies from the region that illustrate lessons learnt for DFAT on integrating gender equality in budget support.</w:t>
      </w:r>
    </w:p>
    <w:p w14:paraId="58B7ADDF" w14:textId="77777777" w:rsidR="00F9382E" w:rsidRPr="00E505B6" w:rsidRDefault="00F9382E" w:rsidP="00853654">
      <w:pPr>
        <w:pStyle w:val="ListParagraph"/>
        <w:numPr>
          <w:ilvl w:val="0"/>
          <w:numId w:val="12"/>
        </w:numPr>
        <w:spacing w:after="120" w:line="240" w:lineRule="auto"/>
        <w:ind w:left="357" w:hanging="357"/>
        <w:contextualSpacing w:val="0"/>
        <w:rPr>
          <w:rFonts w:cstheme="minorHAnsi"/>
          <w:color w:val="495965" w:themeColor="text2"/>
        </w:rPr>
      </w:pPr>
      <w:r w:rsidRPr="00E505B6">
        <w:rPr>
          <w:rFonts w:cstheme="minorHAnsi"/>
          <w:b/>
          <w:bCs/>
          <w:color w:val="495965" w:themeColor="text2"/>
        </w:rPr>
        <w:t xml:space="preserve">Depending on results from the first stage, a gender equality and women’s empowerment budget support toolkit or contributions to a draft document produced by DFAT </w:t>
      </w:r>
      <w:r w:rsidRPr="00E505B6">
        <w:rPr>
          <w:rFonts w:cstheme="minorHAnsi"/>
          <w:color w:val="495965" w:themeColor="text2"/>
        </w:rPr>
        <w:t>(due 31 Jan 2022 and up to 4 pages): Practical and engaging guidance that will support DFAT staff and others working on budget support initiatives to advocate for gender-responsive budgeting and integrate gender-relevant reforms into budget support operations.</w:t>
      </w:r>
    </w:p>
    <w:p w14:paraId="19962C2A" w14:textId="77777777" w:rsidR="00F9382E" w:rsidRPr="006E0B61" w:rsidRDefault="00F9382E" w:rsidP="00AC2325">
      <w:pPr>
        <w:pStyle w:val="Heading4"/>
      </w:pPr>
      <w:r w:rsidRPr="006E0B61">
        <w:t>Scope of work</w:t>
      </w:r>
    </w:p>
    <w:p w14:paraId="31290D2B" w14:textId="77777777" w:rsidR="00F9382E" w:rsidRPr="00B106A7" w:rsidRDefault="00F9382E" w:rsidP="00AC2325">
      <w:pPr>
        <w:rPr>
          <w:rFonts w:cstheme="minorHAnsi"/>
        </w:rPr>
      </w:pPr>
      <w:r w:rsidRPr="00B106A7">
        <w:rPr>
          <w:rFonts w:cstheme="minorHAnsi"/>
        </w:rPr>
        <w:t>The analysis will be undertaken in consultation with:</w:t>
      </w:r>
    </w:p>
    <w:p w14:paraId="0EEAF028" w14:textId="77777777" w:rsidR="00F9382E" w:rsidRPr="00E505B6" w:rsidRDefault="00F9382E" w:rsidP="00853654">
      <w:pPr>
        <w:pStyle w:val="ListParagraph"/>
        <w:numPr>
          <w:ilvl w:val="0"/>
          <w:numId w:val="32"/>
        </w:numPr>
        <w:spacing w:before="0" w:after="120" w:line="240" w:lineRule="auto"/>
        <w:ind w:left="714" w:hanging="357"/>
        <w:rPr>
          <w:rFonts w:cstheme="minorHAnsi"/>
          <w:color w:val="495965" w:themeColor="text2"/>
        </w:rPr>
      </w:pPr>
      <w:r w:rsidRPr="00E505B6">
        <w:rPr>
          <w:rFonts w:cstheme="minorHAnsi"/>
          <w:color w:val="495965" w:themeColor="text2"/>
        </w:rPr>
        <w:t>DFAT staff in Canberra and at posts, including but not limited to representatives from:</w:t>
      </w:r>
    </w:p>
    <w:p w14:paraId="660BF796" w14:textId="77777777" w:rsidR="00F9382E" w:rsidRPr="00E505B6" w:rsidRDefault="00F9382E" w:rsidP="00853654">
      <w:pPr>
        <w:pStyle w:val="ListParagraph"/>
        <w:numPr>
          <w:ilvl w:val="1"/>
          <w:numId w:val="32"/>
        </w:numPr>
        <w:spacing w:after="120" w:line="240" w:lineRule="auto"/>
        <w:rPr>
          <w:rFonts w:cstheme="minorHAnsi"/>
          <w:color w:val="495965" w:themeColor="text2"/>
        </w:rPr>
      </w:pPr>
      <w:r w:rsidRPr="00E505B6">
        <w:rPr>
          <w:rFonts w:cstheme="minorHAnsi"/>
          <w:color w:val="495965" w:themeColor="text2"/>
        </w:rPr>
        <w:t>OTP’s economic and gender sections</w:t>
      </w:r>
    </w:p>
    <w:p w14:paraId="74261326" w14:textId="77777777" w:rsidR="00F9382E" w:rsidRPr="00E505B6" w:rsidRDefault="00F9382E" w:rsidP="00853654">
      <w:pPr>
        <w:pStyle w:val="ListParagraph"/>
        <w:numPr>
          <w:ilvl w:val="1"/>
          <w:numId w:val="32"/>
        </w:numPr>
        <w:spacing w:after="120" w:line="240" w:lineRule="auto"/>
        <w:rPr>
          <w:rFonts w:cstheme="minorHAnsi"/>
          <w:color w:val="495965" w:themeColor="text2"/>
        </w:rPr>
      </w:pPr>
      <w:r w:rsidRPr="00E505B6">
        <w:rPr>
          <w:rFonts w:cstheme="minorHAnsi"/>
          <w:color w:val="495965" w:themeColor="text2"/>
        </w:rPr>
        <w:t xml:space="preserve">DFAT’s Gender Equality Branch </w:t>
      </w:r>
    </w:p>
    <w:p w14:paraId="73B99AF4" w14:textId="77777777" w:rsidR="00F9382E" w:rsidRPr="00E505B6" w:rsidRDefault="00F9382E" w:rsidP="00853654">
      <w:pPr>
        <w:pStyle w:val="ListParagraph"/>
        <w:numPr>
          <w:ilvl w:val="1"/>
          <w:numId w:val="32"/>
        </w:numPr>
        <w:spacing w:after="120" w:line="240" w:lineRule="auto"/>
        <w:rPr>
          <w:rFonts w:cstheme="minorHAnsi"/>
          <w:color w:val="495965" w:themeColor="text2"/>
        </w:rPr>
      </w:pPr>
      <w:r w:rsidRPr="00E505B6">
        <w:rPr>
          <w:rFonts w:cstheme="minorHAnsi"/>
          <w:color w:val="495965" w:themeColor="text2"/>
        </w:rPr>
        <w:t>DFAT’s Office of the Chief Economist</w:t>
      </w:r>
    </w:p>
    <w:p w14:paraId="327A701D" w14:textId="77777777" w:rsidR="00F9382E" w:rsidRPr="00E505B6" w:rsidRDefault="00F9382E" w:rsidP="00853654">
      <w:pPr>
        <w:pStyle w:val="ListParagraph"/>
        <w:numPr>
          <w:ilvl w:val="1"/>
          <w:numId w:val="32"/>
        </w:numPr>
        <w:spacing w:after="120" w:line="240" w:lineRule="auto"/>
        <w:rPr>
          <w:rFonts w:cstheme="minorHAnsi"/>
          <w:color w:val="495965" w:themeColor="text2"/>
        </w:rPr>
      </w:pPr>
      <w:r w:rsidRPr="00E505B6">
        <w:rPr>
          <w:rFonts w:cstheme="minorHAnsi"/>
          <w:color w:val="495965" w:themeColor="text2"/>
        </w:rPr>
        <w:t>Gender focal points and gender program officers at posts</w:t>
      </w:r>
    </w:p>
    <w:p w14:paraId="1E2BCA8D" w14:textId="77777777" w:rsidR="00F9382E" w:rsidRPr="00E505B6" w:rsidRDefault="00F9382E" w:rsidP="00853654">
      <w:pPr>
        <w:pStyle w:val="ListParagraph"/>
        <w:numPr>
          <w:ilvl w:val="1"/>
          <w:numId w:val="32"/>
        </w:numPr>
        <w:spacing w:after="120" w:line="240" w:lineRule="auto"/>
        <w:rPr>
          <w:rFonts w:cstheme="minorHAnsi"/>
          <w:color w:val="495965" w:themeColor="text2"/>
        </w:rPr>
      </w:pPr>
      <w:r w:rsidRPr="00E505B6">
        <w:rPr>
          <w:rFonts w:cstheme="minorHAnsi"/>
          <w:color w:val="495965" w:themeColor="text2"/>
        </w:rPr>
        <w:t>DFAT officers at post with responsibility for managing budget support.</w:t>
      </w:r>
    </w:p>
    <w:p w14:paraId="110637AD" w14:textId="77777777" w:rsidR="00F9382E" w:rsidRPr="00E505B6" w:rsidRDefault="00F9382E" w:rsidP="00853654">
      <w:pPr>
        <w:pStyle w:val="ListParagraph"/>
        <w:numPr>
          <w:ilvl w:val="0"/>
          <w:numId w:val="32"/>
        </w:numPr>
        <w:spacing w:after="120" w:line="240" w:lineRule="auto"/>
        <w:rPr>
          <w:rFonts w:cstheme="minorHAnsi"/>
          <w:color w:val="495965" w:themeColor="text2"/>
        </w:rPr>
      </w:pPr>
      <w:r w:rsidRPr="00E505B6">
        <w:rPr>
          <w:rFonts w:cstheme="minorHAnsi"/>
          <w:color w:val="495965" w:themeColor="text2"/>
        </w:rPr>
        <w:t>Partner government counterparts</w:t>
      </w:r>
    </w:p>
    <w:p w14:paraId="3692A105" w14:textId="6F07076A" w:rsidR="00F9382E" w:rsidRPr="00E505B6" w:rsidRDefault="00F9382E" w:rsidP="00853654">
      <w:pPr>
        <w:pStyle w:val="ListParagraph"/>
        <w:numPr>
          <w:ilvl w:val="0"/>
          <w:numId w:val="32"/>
        </w:numPr>
        <w:spacing w:after="120" w:line="240" w:lineRule="auto"/>
        <w:ind w:left="714" w:hanging="357"/>
        <w:rPr>
          <w:rFonts w:cstheme="minorHAnsi"/>
          <w:color w:val="495965" w:themeColor="text2"/>
        </w:rPr>
      </w:pPr>
      <w:r w:rsidRPr="00E505B6">
        <w:rPr>
          <w:rFonts w:cstheme="minorHAnsi"/>
          <w:color w:val="495965" w:themeColor="text2"/>
        </w:rPr>
        <w:t>Relevant development partners, including the World Bank and ADB, UN Women, and women’s organisations and civil society groups in the Pacific, Timor-Leste</w:t>
      </w:r>
      <w:r w:rsidR="007C0A82">
        <w:rPr>
          <w:rFonts w:cstheme="minorHAnsi"/>
          <w:color w:val="495965" w:themeColor="text2"/>
        </w:rPr>
        <w:t>,</w:t>
      </w:r>
      <w:r w:rsidRPr="00E505B6">
        <w:rPr>
          <w:rFonts w:cstheme="minorHAnsi"/>
          <w:color w:val="495965" w:themeColor="text2"/>
        </w:rPr>
        <w:t xml:space="preserve"> and Australia.</w:t>
      </w:r>
    </w:p>
    <w:p w14:paraId="2A7137BC" w14:textId="32051867" w:rsidR="00F9382E" w:rsidRPr="00B106A7" w:rsidRDefault="00F9382E" w:rsidP="00AC2325">
      <w:pPr>
        <w:spacing w:after="120"/>
        <w:rPr>
          <w:rFonts w:cstheme="minorHAnsi"/>
        </w:rPr>
      </w:pPr>
      <w:r w:rsidRPr="00B106A7">
        <w:rPr>
          <w:rFonts w:cstheme="minorHAnsi"/>
        </w:rPr>
        <w:t>The Response Package Support Unit will facilitate engagement with posts to source documents and make introductions to relevant stakeholders in-country. Representatives from the Support Unit and posts may choose to participate in consultations.  No consultations should be held without the prior knowledge of the Support Unit and the relevant contact points at post</w:t>
      </w:r>
      <w:r w:rsidR="00AC2325">
        <w:rPr>
          <w:rFonts w:cstheme="minorHAnsi"/>
        </w:rPr>
        <w:t xml:space="preserve">. </w:t>
      </w:r>
      <w:r w:rsidRPr="00B106A7">
        <w:rPr>
          <w:rFonts w:cstheme="minorHAnsi"/>
        </w:rPr>
        <w:t xml:space="preserve">The Support Unit will arrange for the report and toolkit to be professionally formatted if necessary, </w:t>
      </w:r>
      <w:proofErr w:type="gramStart"/>
      <w:r w:rsidRPr="00B106A7">
        <w:rPr>
          <w:rFonts w:cstheme="minorHAnsi"/>
        </w:rPr>
        <w:t>so as to</w:t>
      </w:r>
      <w:proofErr w:type="gramEnd"/>
      <w:r w:rsidRPr="00B106A7">
        <w:rPr>
          <w:rFonts w:cstheme="minorHAnsi"/>
        </w:rPr>
        <w:t xml:space="preserve"> be suitable for publication and dissemination.</w:t>
      </w:r>
    </w:p>
    <w:p w14:paraId="7E237280" w14:textId="77777777" w:rsidR="00F9382E" w:rsidRPr="00E505B6" w:rsidRDefault="00F9382E" w:rsidP="00AC2325">
      <w:pPr>
        <w:pStyle w:val="Heading4"/>
        <w:spacing w:after="60"/>
      </w:pPr>
      <w:r w:rsidRPr="008B39DC">
        <w:t>Indicative timeframes</w:t>
      </w:r>
    </w:p>
    <w:tbl>
      <w:tblPr>
        <w:tblStyle w:val="TableGrid"/>
        <w:tblW w:w="5000" w:type="pct"/>
        <w:tblLook w:val="04A0" w:firstRow="1" w:lastRow="0" w:firstColumn="1" w:lastColumn="0" w:noHBand="0" w:noVBand="1"/>
      </w:tblPr>
      <w:tblGrid>
        <w:gridCol w:w="6698"/>
        <w:gridCol w:w="3264"/>
      </w:tblGrid>
      <w:tr w:rsidR="00F9382E" w:rsidRPr="00C71496" w14:paraId="4F129E1C" w14:textId="77777777" w:rsidTr="00176635">
        <w:trPr>
          <w:tblHeader/>
        </w:trPr>
        <w:tc>
          <w:tcPr>
            <w:tcW w:w="3362" w:type="pct"/>
          </w:tcPr>
          <w:p w14:paraId="30EC91BC" w14:textId="77777777" w:rsidR="00F9382E" w:rsidRPr="00AC2325" w:rsidRDefault="00F9382E" w:rsidP="00AC2325">
            <w:pPr>
              <w:spacing w:before="0"/>
              <w:rPr>
                <w:rFonts w:cstheme="minorHAnsi"/>
                <w:b/>
                <w:bCs/>
              </w:rPr>
            </w:pPr>
            <w:r w:rsidRPr="00AC2325">
              <w:rPr>
                <w:rFonts w:cstheme="minorHAnsi"/>
                <w:b/>
                <w:bCs/>
              </w:rPr>
              <w:t xml:space="preserve">Task </w:t>
            </w:r>
          </w:p>
        </w:tc>
        <w:tc>
          <w:tcPr>
            <w:tcW w:w="1638" w:type="pct"/>
          </w:tcPr>
          <w:p w14:paraId="7E9FAF3C" w14:textId="77777777" w:rsidR="00F9382E" w:rsidRPr="00AC2325" w:rsidRDefault="00F9382E" w:rsidP="00AC2325">
            <w:pPr>
              <w:spacing w:before="0"/>
              <w:jc w:val="center"/>
              <w:rPr>
                <w:rFonts w:cstheme="minorHAnsi"/>
                <w:b/>
                <w:bCs/>
              </w:rPr>
            </w:pPr>
            <w:r w:rsidRPr="00AC2325">
              <w:rPr>
                <w:rFonts w:cstheme="minorHAnsi"/>
                <w:b/>
                <w:bCs/>
              </w:rPr>
              <w:t>Approx. number of days</w:t>
            </w:r>
          </w:p>
        </w:tc>
      </w:tr>
      <w:tr w:rsidR="00F9382E" w:rsidRPr="00C71496" w14:paraId="0389B7DF" w14:textId="77777777" w:rsidTr="00AC2325">
        <w:tc>
          <w:tcPr>
            <w:tcW w:w="3362" w:type="pct"/>
          </w:tcPr>
          <w:p w14:paraId="18488831" w14:textId="77777777" w:rsidR="00F9382E" w:rsidRPr="00AC2325" w:rsidRDefault="00F9382E" w:rsidP="00AC2325">
            <w:pPr>
              <w:spacing w:before="0"/>
              <w:rPr>
                <w:rFonts w:cstheme="minorHAnsi"/>
              </w:rPr>
            </w:pPr>
            <w:r w:rsidRPr="00AC2325">
              <w:rPr>
                <w:rFonts w:cstheme="minorHAnsi"/>
              </w:rPr>
              <w:t>Consultations with Canberra-based staff (with the possibility of a workshop with DFAT staff, to be held in Canberra)</w:t>
            </w:r>
          </w:p>
        </w:tc>
        <w:tc>
          <w:tcPr>
            <w:tcW w:w="1638" w:type="pct"/>
          </w:tcPr>
          <w:p w14:paraId="319D887C" w14:textId="77777777" w:rsidR="00F9382E" w:rsidRPr="00AC2325" w:rsidRDefault="00F9382E" w:rsidP="00AC2325">
            <w:pPr>
              <w:spacing w:before="0"/>
              <w:jc w:val="center"/>
              <w:rPr>
                <w:rFonts w:cstheme="minorHAnsi"/>
              </w:rPr>
            </w:pPr>
            <w:r w:rsidRPr="00AC2325">
              <w:rPr>
                <w:rFonts w:cstheme="minorHAnsi"/>
              </w:rPr>
              <w:t>Up to 4 days</w:t>
            </w:r>
          </w:p>
        </w:tc>
      </w:tr>
      <w:tr w:rsidR="00F9382E" w:rsidRPr="00C71496" w14:paraId="036F1218" w14:textId="77777777" w:rsidTr="00AC2325">
        <w:tc>
          <w:tcPr>
            <w:tcW w:w="3362" w:type="pct"/>
          </w:tcPr>
          <w:p w14:paraId="555F89AD" w14:textId="77777777" w:rsidR="00F9382E" w:rsidRPr="00AC2325" w:rsidRDefault="00F9382E" w:rsidP="00AC2325">
            <w:pPr>
              <w:spacing w:before="0"/>
              <w:rPr>
                <w:rFonts w:cstheme="minorHAnsi"/>
              </w:rPr>
            </w:pPr>
            <w:r w:rsidRPr="00AC2325">
              <w:rPr>
                <w:rFonts w:cstheme="minorHAnsi"/>
              </w:rPr>
              <w:t>Consultations with DFAT staff at posts</w:t>
            </w:r>
          </w:p>
        </w:tc>
        <w:tc>
          <w:tcPr>
            <w:tcW w:w="1638" w:type="pct"/>
          </w:tcPr>
          <w:p w14:paraId="4D319D5F" w14:textId="77777777" w:rsidR="00F9382E" w:rsidRPr="00AC2325" w:rsidRDefault="00F9382E" w:rsidP="00AC2325">
            <w:pPr>
              <w:spacing w:before="0"/>
              <w:jc w:val="center"/>
              <w:rPr>
                <w:rFonts w:cstheme="minorHAnsi"/>
              </w:rPr>
            </w:pPr>
            <w:r w:rsidRPr="00AC2325">
              <w:rPr>
                <w:rFonts w:cstheme="minorHAnsi"/>
              </w:rPr>
              <w:t>Up to 3 days</w:t>
            </w:r>
          </w:p>
        </w:tc>
      </w:tr>
      <w:tr w:rsidR="00F9382E" w:rsidRPr="00C71496" w14:paraId="7F41B477" w14:textId="77777777" w:rsidTr="00AC2325">
        <w:tc>
          <w:tcPr>
            <w:tcW w:w="3362" w:type="pct"/>
          </w:tcPr>
          <w:p w14:paraId="5715C842" w14:textId="77777777" w:rsidR="00F9382E" w:rsidRPr="00AC2325" w:rsidRDefault="00F9382E" w:rsidP="00AC2325">
            <w:pPr>
              <w:spacing w:before="0"/>
              <w:rPr>
                <w:rFonts w:cstheme="minorHAnsi"/>
              </w:rPr>
            </w:pPr>
            <w:r w:rsidRPr="00AC2325">
              <w:rPr>
                <w:rFonts w:cstheme="minorHAnsi"/>
              </w:rPr>
              <w:t>Consultations with partner governments</w:t>
            </w:r>
          </w:p>
        </w:tc>
        <w:tc>
          <w:tcPr>
            <w:tcW w:w="1638" w:type="pct"/>
          </w:tcPr>
          <w:p w14:paraId="79B065E3" w14:textId="77777777" w:rsidR="00F9382E" w:rsidRPr="00AC2325" w:rsidRDefault="00F9382E" w:rsidP="00AC2325">
            <w:pPr>
              <w:spacing w:before="0"/>
              <w:jc w:val="center"/>
              <w:rPr>
                <w:rFonts w:cstheme="minorHAnsi"/>
              </w:rPr>
            </w:pPr>
            <w:r w:rsidRPr="00AC2325">
              <w:rPr>
                <w:rFonts w:cstheme="minorHAnsi"/>
              </w:rPr>
              <w:t>Up to 3 days</w:t>
            </w:r>
          </w:p>
        </w:tc>
      </w:tr>
      <w:tr w:rsidR="00F9382E" w:rsidRPr="00C71496" w14:paraId="21D8A676" w14:textId="77777777" w:rsidTr="00AC2325">
        <w:tc>
          <w:tcPr>
            <w:tcW w:w="3362" w:type="pct"/>
          </w:tcPr>
          <w:p w14:paraId="16B534F1" w14:textId="77777777" w:rsidR="00F9382E" w:rsidRPr="00AC2325" w:rsidRDefault="00F9382E" w:rsidP="00AC2325">
            <w:pPr>
              <w:spacing w:before="0"/>
              <w:rPr>
                <w:rFonts w:cstheme="minorHAnsi"/>
              </w:rPr>
            </w:pPr>
            <w:r w:rsidRPr="00AC2325">
              <w:rPr>
                <w:rFonts w:cstheme="minorHAnsi"/>
              </w:rPr>
              <w:t>Consultations with other stakeholders</w:t>
            </w:r>
          </w:p>
        </w:tc>
        <w:tc>
          <w:tcPr>
            <w:tcW w:w="1638" w:type="pct"/>
          </w:tcPr>
          <w:p w14:paraId="40BCB0D5" w14:textId="77777777" w:rsidR="00F9382E" w:rsidRPr="00AC2325" w:rsidRDefault="00F9382E" w:rsidP="00AC2325">
            <w:pPr>
              <w:spacing w:before="0"/>
              <w:jc w:val="center"/>
              <w:rPr>
                <w:rFonts w:cstheme="minorHAnsi"/>
              </w:rPr>
            </w:pPr>
            <w:r w:rsidRPr="00AC2325">
              <w:rPr>
                <w:rFonts w:cstheme="minorHAnsi"/>
              </w:rPr>
              <w:t>Up to 3 days</w:t>
            </w:r>
          </w:p>
        </w:tc>
      </w:tr>
      <w:tr w:rsidR="00F9382E" w:rsidRPr="00C71496" w14:paraId="406ACDC0" w14:textId="77777777" w:rsidTr="00AC2325">
        <w:tc>
          <w:tcPr>
            <w:tcW w:w="3362" w:type="pct"/>
          </w:tcPr>
          <w:p w14:paraId="0F76B07F" w14:textId="77777777" w:rsidR="00F9382E" w:rsidRPr="00AC2325" w:rsidRDefault="00F9382E" w:rsidP="00AC2325">
            <w:pPr>
              <w:spacing w:before="0"/>
              <w:rPr>
                <w:rFonts w:cstheme="minorHAnsi"/>
              </w:rPr>
            </w:pPr>
            <w:r w:rsidRPr="00AC2325">
              <w:rPr>
                <w:rFonts w:cstheme="minorHAnsi"/>
              </w:rPr>
              <w:t>Analysis and drafting of report</w:t>
            </w:r>
          </w:p>
        </w:tc>
        <w:tc>
          <w:tcPr>
            <w:tcW w:w="1638" w:type="pct"/>
          </w:tcPr>
          <w:p w14:paraId="575DB161" w14:textId="77777777" w:rsidR="00F9382E" w:rsidRPr="00AC2325" w:rsidRDefault="00F9382E" w:rsidP="00AC2325">
            <w:pPr>
              <w:spacing w:before="0"/>
              <w:jc w:val="center"/>
              <w:rPr>
                <w:rFonts w:cstheme="minorHAnsi"/>
              </w:rPr>
            </w:pPr>
            <w:r w:rsidRPr="00AC2325">
              <w:rPr>
                <w:rFonts w:cstheme="minorHAnsi"/>
              </w:rPr>
              <w:t>Up to 10 days</w:t>
            </w:r>
          </w:p>
        </w:tc>
      </w:tr>
      <w:tr w:rsidR="00F9382E" w:rsidRPr="00C71496" w14:paraId="1C5A5C4A" w14:textId="77777777" w:rsidTr="00AC2325">
        <w:tc>
          <w:tcPr>
            <w:tcW w:w="3362" w:type="pct"/>
          </w:tcPr>
          <w:p w14:paraId="5C640DB9" w14:textId="77777777" w:rsidR="00F9382E" w:rsidRPr="00AC2325" w:rsidRDefault="00F9382E" w:rsidP="00AC2325">
            <w:pPr>
              <w:spacing w:before="0"/>
              <w:rPr>
                <w:rFonts w:cstheme="minorHAnsi"/>
              </w:rPr>
            </w:pPr>
            <w:r w:rsidRPr="00AC2325">
              <w:rPr>
                <w:rFonts w:cstheme="minorHAnsi"/>
              </w:rPr>
              <w:t>Drafting of toolkit</w:t>
            </w:r>
          </w:p>
        </w:tc>
        <w:tc>
          <w:tcPr>
            <w:tcW w:w="1638" w:type="pct"/>
          </w:tcPr>
          <w:p w14:paraId="056F5D49" w14:textId="77777777" w:rsidR="00F9382E" w:rsidRPr="00AC2325" w:rsidRDefault="00F9382E" w:rsidP="00AC2325">
            <w:pPr>
              <w:spacing w:before="0"/>
              <w:jc w:val="center"/>
              <w:rPr>
                <w:rFonts w:cstheme="minorHAnsi"/>
              </w:rPr>
            </w:pPr>
            <w:r w:rsidRPr="00AC2325">
              <w:rPr>
                <w:rFonts w:cstheme="minorHAnsi"/>
              </w:rPr>
              <w:t>Up to 3 days</w:t>
            </w:r>
          </w:p>
        </w:tc>
      </w:tr>
      <w:tr w:rsidR="00F9382E" w:rsidRPr="00C71496" w14:paraId="73CBB75C" w14:textId="77777777" w:rsidTr="00AC2325">
        <w:tc>
          <w:tcPr>
            <w:tcW w:w="3362" w:type="pct"/>
          </w:tcPr>
          <w:p w14:paraId="51934126" w14:textId="77777777" w:rsidR="00F9382E" w:rsidRPr="00AC2325" w:rsidRDefault="00F9382E" w:rsidP="00AC2325">
            <w:pPr>
              <w:spacing w:before="0"/>
              <w:rPr>
                <w:rFonts w:cstheme="minorHAnsi"/>
              </w:rPr>
            </w:pPr>
            <w:r w:rsidRPr="00AC2325">
              <w:rPr>
                <w:rFonts w:cstheme="minorHAnsi"/>
              </w:rPr>
              <w:t>Revisions to report and toolkit following feedback</w:t>
            </w:r>
          </w:p>
        </w:tc>
        <w:tc>
          <w:tcPr>
            <w:tcW w:w="1638" w:type="pct"/>
          </w:tcPr>
          <w:p w14:paraId="19372679" w14:textId="77777777" w:rsidR="00F9382E" w:rsidRPr="00AC2325" w:rsidRDefault="00F9382E" w:rsidP="00AC2325">
            <w:pPr>
              <w:spacing w:before="0"/>
              <w:jc w:val="center"/>
              <w:rPr>
                <w:rFonts w:cstheme="minorHAnsi"/>
              </w:rPr>
            </w:pPr>
            <w:r w:rsidRPr="00AC2325">
              <w:rPr>
                <w:rFonts w:cstheme="minorHAnsi"/>
              </w:rPr>
              <w:t>Up to 2 days</w:t>
            </w:r>
          </w:p>
        </w:tc>
      </w:tr>
      <w:tr w:rsidR="00F9382E" w:rsidRPr="00C71496" w14:paraId="069E7AB5" w14:textId="77777777" w:rsidTr="00AC2325">
        <w:tc>
          <w:tcPr>
            <w:tcW w:w="3362" w:type="pct"/>
          </w:tcPr>
          <w:p w14:paraId="69464898" w14:textId="77777777" w:rsidR="00F9382E" w:rsidRPr="00AC2325" w:rsidRDefault="00F9382E" w:rsidP="00AC2325">
            <w:pPr>
              <w:spacing w:before="0"/>
              <w:rPr>
                <w:rFonts w:cstheme="minorHAnsi"/>
                <w:b/>
                <w:bCs/>
              </w:rPr>
            </w:pPr>
            <w:r w:rsidRPr="00AC2325">
              <w:rPr>
                <w:rFonts w:cstheme="minorHAnsi"/>
                <w:b/>
                <w:bCs/>
              </w:rPr>
              <w:t>Total days</w:t>
            </w:r>
          </w:p>
        </w:tc>
        <w:tc>
          <w:tcPr>
            <w:tcW w:w="1638" w:type="pct"/>
          </w:tcPr>
          <w:p w14:paraId="485BD8F1" w14:textId="77777777" w:rsidR="00F9382E" w:rsidRPr="00AC2325" w:rsidRDefault="00F9382E" w:rsidP="00AC2325">
            <w:pPr>
              <w:spacing w:before="0"/>
              <w:jc w:val="center"/>
              <w:rPr>
                <w:rFonts w:cstheme="minorHAnsi"/>
                <w:b/>
                <w:bCs/>
              </w:rPr>
            </w:pPr>
            <w:r w:rsidRPr="00AC2325">
              <w:rPr>
                <w:rFonts w:cstheme="minorHAnsi"/>
                <w:b/>
                <w:bCs/>
              </w:rPr>
              <w:t>Up to 28 days</w:t>
            </w:r>
          </w:p>
        </w:tc>
      </w:tr>
    </w:tbl>
    <w:p w14:paraId="08D62D7A" w14:textId="77777777" w:rsidR="00F9382E" w:rsidRDefault="00F9382E" w:rsidP="00AC2325">
      <w:pPr>
        <w:autoSpaceDE w:val="0"/>
        <w:autoSpaceDN w:val="0"/>
        <w:adjustRightInd w:val="0"/>
      </w:pPr>
    </w:p>
    <w:p w14:paraId="2FBAD72C" w14:textId="660658B2" w:rsidR="00F9382E" w:rsidRDefault="00F9382E" w:rsidP="00B212C3">
      <w:pPr>
        <w:pStyle w:val="Heading1"/>
        <w:spacing w:after="120"/>
      </w:pPr>
      <w:bookmarkStart w:id="78" w:name="_Toc108168333"/>
      <w:bookmarkStart w:id="79" w:name="_Toc120201429"/>
      <w:bookmarkStart w:id="80" w:name="_Toc120544536"/>
      <w:r>
        <w:lastRenderedPageBreak/>
        <w:t>Annex B Key informants interviewed</w:t>
      </w:r>
      <w:bookmarkEnd w:id="78"/>
      <w:bookmarkEnd w:id="79"/>
      <w:bookmarkEnd w:id="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F9382E" w14:paraId="33FE8056" w14:textId="77777777" w:rsidTr="00B072B6">
        <w:tc>
          <w:tcPr>
            <w:tcW w:w="2425" w:type="dxa"/>
          </w:tcPr>
          <w:p w14:paraId="2DDD840F" w14:textId="77777777" w:rsidR="00F9382E" w:rsidRPr="00871213" w:rsidRDefault="00F9382E" w:rsidP="003C70F4">
            <w:pPr>
              <w:rPr>
                <w:b/>
                <w:bCs/>
                <w:sz w:val="20"/>
                <w:szCs w:val="20"/>
              </w:rPr>
            </w:pPr>
            <w:r w:rsidRPr="00871213">
              <w:rPr>
                <w:b/>
                <w:bCs/>
                <w:sz w:val="20"/>
                <w:szCs w:val="20"/>
              </w:rPr>
              <w:t xml:space="preserve">Name </w:t>
            </w:r>
          </w:p>
        </w:tc>
        <w:tc>
          <w:tcPr>
            <w:tcW w:w="6925" w:type="dxa"/>
          </w:tcPr>
          <w:p w14:paraId="261FFB75" w14:textId="77777777" w:rsidR="00F9382E" w:rsidRPr="00871213" w:rsidRDefault="00F9382E" w:rsidP="003C70F4">
            <w:pPr>
              <w:rPr>
                <w:b/>
                <w:bCs/>
                <w:sz w:val="20"/>
                <w:szCs w:val="20"/>
              </w:rPr>
            </w:pPr>
            <w:r w:rsidRPr="00871213">
              <w:rPr>
                <w:b/>
                <w:bCs/>
                <w:sz w:val="20"/>
                <w:szCs w:val="20"/>
              </w:rPr>
              <w:t>Institution</w:t>
            </w:r>
          </w:p>
        </w:tc>
      </w:tr>
      <w:tr w:rsidR="00F9382E" w14:paraId="3A8FB44B" w14:textId="77777777" w:rsidTr="00B072B6">
        <w:tc>
          <w:tcPr>
            <w:tcW w:w="2425" w:type="dxa"/>
          </w:tcPr>
          <w:p w14:paraId="458E2BFF" w14:textId="77777777" w:rsidR="00F9382E" w:rsidRDefault="00F9382E" w:rsidP="003C70F4">
            <w:r>
              <w:rPr>
                <w:sz w:val="18"/>
                <w:szCs w:val="18"/>
              </w:rPr>
              <w:t>Anthony Higgins</w:t>
            </w:r>
          </w:p>
        </w:tc>
        <w:tc>
          <w:tcPr>
            <w:tcW w:w="6925" w:type="dxa"/>
          </w:tcPr>
          <w:p w14:paraId="7A3ABDC9" w14:textId="77777777" w:rsidR="00F9382E" w:rsidRDefault="00F9382E" w:rsidP="003C70F4">
            <w:r>
              <w:rPr>
                <w:sz w:val="18"/>
                <w:szCs w:val="18"/>
              </w:rPr>
              <w:t>Independent PFM expert</w:t>
            </w:r>
          </w:p>
        </w:tc>
      </w:tr>
      <w:tr w:rsidR="00F9382E" w14:paraId="035EC0AC" w14:textId="77777777" w:rsidTr="00B072B6">
        <w:tc>
          <w:tcPr>
            <w:tcW w:w="2425" w:type="dxa"/>
          </w:tcPr>
          <w:p w14:paraId="360466DB" w14:textId="77777777" w:rsidR="00F9382E" w:rsidRDefault="00F9382E" w:rsidP="003C70F4">
            <w:r>
              <w:rPr>
                <w:sz w:val="18"/>
                <w:szCs w:val="18"/>
              </w:rPr>
              <w:t xml:space="preserve">Brigitte </w:t>
            </w:r>
            <w:proofErr w:type="spellStart"/>
            <w:r>
              <w:rPr>
                <w:sz w:val="18"/>
                <w:szCs w:val="18"/>
              </w:rPr>
              <w:t>LeDuc</w:t>
            </w:r>
            <w:proofErr w:type="spellEnd"/>
          </w:p>
        </w:tc>
        <w:tc>
          <w:tcPr>
            <w:tcW w:w="6925" w:type="dxa"/>
          </w:tcPr>
          <w:p w14:paraId="61EAAF95" w14:textId="77777777" w:rsidR="00F9382E" w:rsidRPr="00871213" w:rsidRDefault="00F9382E" w:rsidP="003C70F4">
            <w:pPr>
              <w:rPr>
                <w:sz w:val="18"/>
                <w:szCs w:val="18"/>
              </w:rPr>
            </w:pPr>
            <w:r w:rsidRPr="00871213">
              <w:rPr>
                <w:sz w:val="18"/>
                <w:szCs w:val="18"/>
              </w:rPr>
              <w:t>Gender Equality and Social Inclusion Adviser</w:t>
            </w:r>
            <w:r>
              <w:rPr>
                <w:sz w:val="18"/>
                <w:szCs w:val="18"/>
              </w:rPr>
              <w:t>, Pacific Women</w:t>
            </w:r>
          </w:p>
        </w:tc>
      </w:tr>
      <w:tr w:rsidR="00F9382E" w14:paraId="0CFF7FA3" w14:textId="77777777" w:rsidTr="00B072B6">
        <w:tc>
          <w:tcPr>
            <w:tcW w:w="2425" w:type="dxa"/>
          </w:tcPr>
          <w:p w14:paraId="65123C48" w14:textId="77777777" w:rsidR="00F9382E" w:rsidRDefault="00F9382E" w:rsidP="003C70F4">
            <w:r>
              <w:rPr>
                <w:sz w:val="18"/>
                <w:szCs w:val="18"/>
              </w:rPr>
              <w:t xml:space="preserve">Corinne </w:t>
            </w:r>
            <w:proofErr w:type="spellStart"/>
            <w:r>
              <w:rPr>
                <w:sz w:val="18"/>
                <w:szCs w:val="18"/>
              </w:rPr>
              <w:t>Tarnawsky</w:t>
            </w:r>
            <w:proofErr w:type="spellEnd"/>
          </w:p>
        </w:tc>
        <w:tc>
          <w:tcPr>
            <w:tcW w:w="6925" w:type="dxa"/>
          </w:tcPr>
          <w:p w14:paraId="079F8009" w14:textId="77777777" w:rsidR="00F9382E" w:rsidRPr="00871213" w:rsidRDefault="00F9382E" w:rsidP="003C70F4">
            <w:pPr>
              <w:rPr>
                <w:sz w:val="18"/>
                <w:szCs w:val="18"/>
              </w:rPr>
            </w:pPr>
            <w:r>
              <w:rPr>
                <w:sz w:val="18"/>
                <w:szCs w:val="18"/>
              </w:rPr>
              <w:t>Pacific Gender and Regional Development Section OTP, DFAT</w:t>
            </w:r>
          </w:p>
        </w:tc>
      </w:tr>
      <w:tr w:rsidR="00F9382E" w14:paraId="71625FD8" w14:textId="77777777" w:rsidTr="00B072B6">
        <w:tc>
          <w:tcPr>
            <w:tcW w:w="2425" w:type="dxa"/>
          </w:tcPr>
          <w:p w14:paraId="40D043B1" w14:textId="77777777" w:rsidR="00F9382E" w:rsidRDefault="00F9382E" w:rsidP="003C70F4">
            <w:r>
              <w:rPr>
                <w:sz w:val="18"/>
                <w:szCs w:val="18"/>
              </w:rPr>
              <w:t>Jane Bastin-Sikimeti</w:t>
            </w:r>
          </w:p>
        </w:tc>
        <w:tc>
          <w:tcPr>
            <w:tcW w:w="6925" w:type="dxa"/>
          </w:tcPr>
          <w:p w14:paraId="10C1AEFA" w14:textId="77777777" w:rsidR="00F9382E" w:rsidRDefault="00F9382E" w:rsidP="003C70F4">
            <w:r>
              <w:rPr>
                <w:sz w:val="18"/>
                <w:szCs w:val="18"/>
              </w:rPr>
              <w:t>Pacific Gender and Regional Development Section OTP, DFAT</w:t>
            </w:r>
          </w:p>
        </w:tc>
      </w:tr>
      <w:tr w:rsidR="00F9382E" w14:paraId="432E9BDE" w14:textId="77777777" w:rsidTr="00B072B6">
        <w:tc>
          <w:tcPr>
            <w:tcW w:w="2425" w:type="dxa"/>
          </w:tcPr>
          <w:p w14:paraId="6603D60E" w14:textId="77777777" w:rsidR="00F9382E" w:rsidRDefault="00F9382E" w:rsidP="003C70F4">
            <w:r>
              <w:rPr>
                <w:sz w:val="18"/>
                <w:szCs w:val="18"/>
              </w:rPr>
              <w:t>Annemarie Reerink</w:t>
            </w:r>
          </w:p>
        </w:tc>
        <w:tc>
          <w:tcPr>
            <w:tcW w:w="6925" w:type="dxa"/>
          </w:tcPr>
          <w:p w14:paraId="3C37C934" w14:textId="77777777" w:rsidR="00F9382E" w:rsidRDefault="00F9382E" w:rsidP="003C70F4">
            <w:r w:rsidRPr="007D1A55">
              <w:rPr>
                <w:sz w:val="18"/>
                <w:szCs w:val="18"/>
              </w:rPr>
              <w:t>Gender Strategy, Effectiveness and Performance Unit</w:t>
            </w:r>
            <w:r>
              <w:rPr>
                <w:sz w:val="18"/>
                <w:szCs w:val="18"/>
              </w:rPr>
              <w:t>, DFAT</w:t>
            </w:r>
          </w:p>
        </w:tc>
      </w:tr>
      <w:tr w:rsidR="00F9382E" w14:paraId="61ABAEBD" w14:textId="77777777" w:rsidTr="00B072B6">
        <w:tc>
          <w:tcPr>
            <w:tcW w:w="2425" w:type="dxa"/>
          </w:tcPr>
          <w:p w14:paraId="6E1E7487" w14:textId="77777777" w:rsidR="00F9382E" w:rsidRDefault="00F9382E" w:rsidP="003C70F4">
            <w:r>
              <w:rPr>
                <w:sz w:val="18"/>
                <w:szCs w:val="18"/>
              </w:rPr>
              <w:t>Sam Porter</w:t>
            </w:r>
          </w:p>
        </w:tc>
        <w:tc>
          <w:tcPr>
            <w:tcW w:w="6925" w:type="dxa"/>
          </w:tcPr>
          <w:p w14:paraId="216959ED" w14:textId="77777777" w:rsidR="00F9382E" w:rsidRDefault="00F9382E" w:rsidP="003C70F4">
            <w:r>
              <w:rPr>
                <w:sz w:val="18"/>
                <w:szCs w:val="18"/>
              </w:rPr>
              <w:t>Office of the Chief Economist</w:t>
            </w:r>
          </w:p>
        </w:tc>
      </w:tr>
      <w:tr w:rsidR="00F9382E" w14:paraId="6571AEEE" w14:textId="77777777" w:rsidTr="00B072B6">
        <w:tc>
          <w:tcPr>
            <w:tcW w:w="2425" w:type="dxa"/>
          </w:tcPr>
          <w:p w14:paraId="125B7A1B" w14:textId="77777777" w:rsidR="00F9382E" w:rsidRDefault="00F9382E" w:rsidP="003C70F4">
            <w:pPr>
              <w:rPr>
                <w:sz w:val="18"/>
                <w:szCs w:val="18"/>
              </w:rPr>
            </w:pPr>
            <w:r>
              <w:rPr>
                <w:sz w:val="18"/>
                <w:szCs w:val="18"/>
              </w:rPr>
              <w:t>Clinton Pobke</w:t>
            </w:r>
          </w:p>
        </w:tc>
        <w:tc>
          <w:tcPr>
            <w:tcW w:w="6925" w:type="dxa"/>
          </w:tcPr>
          <w:p w14:paraId="5A68116F" w14:textId="77777777" w:rsidR="00F9382E" w:rsidRDefault="00F9382E" w:rsidP="003C70F4">
            <w:pPr>
              <w:rPr>
                <w:sz w:val="18"/>
                <w:szCs w:val="18"/>
              </w:rPr>
            </w:pPr>
            <w:r>
              <w:rPr>
                <w:sz w:val="18"/>
                <w:szCs w:val="18"/>
              </w:rPr>
              <w:t>A/G Lead Economist, OTP Economics, DFAT</w:t>
            </w:r>
          </w:p>
        </w:tc>
      </w:tr>
      <w:tr w:rsidR="00F9382E" w14:paraId="0120790A" w14:textId="77777777" w:rsidTr="00B072B6">
        <w:tc>
          <w:tcPr>
            <w:tcW w:w="2425" w:type="dxa"/>
          </w:tcPr>
          <w:p w14:paraId="5550D7F8" w14:textId="77777777" w:rsidR="00F9382E" w:rsidRDefault="00F9382E" w:rsidP="003C70F4">
            <w:pPr>
              <w:rPr>
                <w:sz w:val="18"/>
                <w:szCs w:val="18"/>
              </w:rPr>
            </w:pPr>
            <w:r>
              <w:rPr>
                <w:sz w:val="18"/>
                <w:szCs w:val="18"/>
              </w:rPr>
              <w:t>Matthew Harding</w:t>
            </w:r>
          </w:p>
        </w:tc>
        <w:tc>
          <w:tcPr>
            <w:tcW w:w="6925" w:type="dxa"/>
          </w:tcPr>
          <w:p w14:paraId="197A3A6F" w14:textId="77777777" w:rsidR="00F9382E" w:rsidRDefault="00F9382E" w:rsidP="003C70F4">
            <w:pPr>
              <w:rPr>
                <w:sz w:val="18"/>
                <w:szCs w:val="18"/>
              </w:rPr>
            </w:pPr>
            <w:r w:rsidRPr="004C43FC">
              <w:rPr>
                <w:sz w:val="18"/>
                <w:szCs w:val="18"/>
              </w:rPr>
              <w:t>Economic Policy and Programming Section</w:t>
            </w:r>
            <w:r>
              <w:rPr>
                <w:sz w:val="18"/>
                <w:szCs w:val="18"/>
              </w:rPr>
              <w:t>, OTP</w:t>
            </w:r>
          </w:p>
        </w:tc>
      </w:tr>
      <w:tr w:rsidR="00F9382E" w14:paraId="4D6E84B4" w14:textId="77777777" w:rsidTr="00B072B6">
        <w:tc>
          <w:tcPr>
            <w:tcW w:w="2425" w:type="dxa"/>
          </w:tcPr>
          <w:p w14:paraId="55D01766" w14:textId="77777777" w:rsidR="00F9382E" w:rsidRDefault="00F9382E" w:rsidP="003C70F4">
            <w:pPr>
              <w:rPr>
                <w:sz w:val="18"/>
                <w:szCs w:val="18"/>
              </w:rPr>
            </w:pPr>
            <w:r>
              <w:rPr>
                <w:sz w:val="18"/>
                <w:szCs w:val="18"/>
              </w:rPr>
              <w:t xml:space="preserve">Sophie </w:t>
            </w:r>
            <w:proofErr w:type="spellStart"/>
            <w:r>
              <w:rPr>
                <w:sz w:val="18"/>
                <w:szCs w:val="18"/>
              </w:rPr>
              <w:t>Mckinnon</w:t>
            </w:r>
            <w:proofErr w:type="spellEnd"/>
          </w:p>
        </w:tc>
        <w:tc>
          <w:tcPr>
            <w:tcW w:w="6925" w:type="dxa"/>
          </w:tcPr>
          <w:p w14:paraId="2B1E88B0" w14:textId="77777777" w:rsidR="00F9382E" w:rsidRPr="004C43FC" w:rsidRDefault="00F9382E" w:rsidP="003C70F4">
            <w:pPr>
              <w:rPr>
                <w:sz w:val="18"/>
                <w:szCs w:val="18"/>
              </w:rPr>
            </w:pPr>
            <w:r>
              <w:rPr>
                <w:sz w:val="18"/>
                <w:szCs w:val="18"/>
              </w:rPr>
              <w:t>OTP Economics, DFAT</w:t>
            </w:r>
          </w:p>
        </w:tc>
      </w:tr>
      <w:tr w:rsidR="00F9382E" w14:paraId="73154DD0" w14:textId="77777777" w:rsidTr="00B072B6">
        <w:tc>
          <w:tcPr>
            <w:tcW w:w="2425" w:type="dxa"/>
          </w:tcPr>
          <w:p w14:paraId="23E5D325" w14:textId="77777777" w:rsidR="00F9382E" w:rsidRDefault="00F9382E" w:rsidP="003C70F4">
            <w:pPr>
              <w:rPr>
                <w:sz w:val="18"/>
                <w:szCs w:val="18"/>
              </w:rPr>
            </w:pPr>
            <w:proofErr w:type="spellStart"/>
            <w:r>
              <w:rPr>
                <w:sz w:val="18"/>
                <w:szCs w:val="18"/>
              </w:rPr>
              <w:t>Pranil</w:t>
            </w:r>
            <w:proofErr w:type="spellEnd"/>
            <w:r>
              <w:rPr>
                <w:sz w:val="18"/>
                <w:szCs w:val="18"/>
              </w:rPr>
              <w:t xml:space="preserve"> Singh</w:t>
            </w:r>
          </w:p>
        </w:tc>
        <w:tc>
          <w:tcPr>
            <w:tcW w:w="6925" w:type="dxa"/>
          </w:tcPr>
          <w:p w14:paraId="42E1FF8B" w14:textId="77777777" w:rsidR="00F9382E" w:rsidRDefault="00F9382E" w:rsidP="003C70F4">
            <w:pPr>
              <w:rPr>
                <w:sz w:val="18"/>
                <w:szCs w:val="18"/>
              </w:rPr>
            </w:pPr>
            <w:r>
              <w:rPr>
                <w:sz w:val="18"/>
                <w:szCs w:val="18"/>
              </w:rPr>
              <w:t>Australian High Commission, Suva</w:t>
            </w:r>
          </w:p>
        </w:tc>
      </w:tr>
      <w:tr w:rsidR="00F9382E" w14:paraId="3405289F" w14:textId="77777777" w:rsidTr="00B072B6">
        <w:tc>
          <w:tcPr>
            <w:tcW w:w="2425" w:type="dxa"/>
          </w:tcPr>
          <w:p w14:paraId="135707FF" w14:textId="77777777" w:rsidR="00F9382E" w:rsidRDefault="00F9382E" w:rsidP="003C70F4">
            <w:pPr>
              <w:rPr>
                <w:sz w:val="18"/>
                <w:szCs w:val="18"/>
              </w:rPr>
            </w:pPr>
            <w:r>
              <w:rPr>
                <w:sz w:val="18"/>
                <w:szCs w:val="18"/>
              </w:rPr>
              <w:t>Nick Murphy</w:t>
            </w:r>
          </w:p>
        </w:tc>
        <w:tc>
          <w:tcPr>
            <w:tcW w:w="6925" w:type="dxa"/>
          </w:tcPr>
          <w:p w14:paraId="0CDA769D" w14:textId="77777777" w:rsidR="00F9382E" w:rsidRDefault="00F9382E" w:rsidP="003C70F4">
            <w:pPr>
              <w:rPr>
                <w:sz w:val="18"/>
                <w:szCs w:val="18"/>
              </w:rPr>
            </w:pPr>
            <w:r>
              <w:rPr>
                <w:sz w:val="18"/>
                <w:szCs w:val="18"/>
              </w:rPr>
              <w:t>Australian High Commission, N</w:t>
            </w:r>
            <w:r w:rsidRPr="009F2614">
              <w:rPr>
                <w:sz w:val="18"/>
                <w:szCs w:val="18"/>
              </w:rPr>
              <w:t>uku'alofa</w:t>
            </w:r>
          </w:p>
        </w:tc>
      </w:tr>
      <w:tr w:rsidR="00F9382E" w14:paraId="727D69C0" w14:textId="77777777" w:rsidTr="00B072B6">
        <w:tc>
          <w:tcPr>
            <w:tcW w:w="2425" w:type="dxa"/>
          </w:tcPr>
          <w:p w14:paraId="44F42F75" w14:textId="77777777" w:rsidR="00F9382E" w:rsidRDefault="00F9382E" w:rsidP="003C70F4">
            <w:pPr>
              <w:rPr>
                <w:sz w:val="18"/>
                <w:szCs w:val="18"/>
              </w:rPr>
            </w:pPr>
            <w:r>
              <w:rPr>
                <w:sz w:val="18"/>
                <w:szCs w:val="18"/>
              </w:rPr>
              <w:t>Trina Mohit</w:t>
            </w:r>
          </w:p>
        </w:tc>
        <w:tc>
          <w:tcPr>
            <w:tcW w:w="6925" w:type="dxa"/>
          </w:tcPr>
          <w:p w14:paraId="66CD7138" w14:textId="77777777" w:rsidR="00F9382E" w:rsidRDefault="00F9382E" w:rsidP="003C70F4">
            <w:pPr>
              <w:rPr>
                <w:sz w:val="18"/>
                <w:szCs w:val="18"/>
              </w:rPr>
            </w:pPr>
            <w:r>
              <w:rPr>
                <w:sz w:val="18"/>
                <w:szCs w:val="18"/>
              </w:rPr>
              <w:t>Australian High Commission, N</w:t>
            </w:r>
            <w:r w:rsidRPr="009F2614">
              <w:rPr>
                <w:sz w:val="18"/>
                <w:szCs w:val="18"/>
              </w:rPr>
              <w:t>uku'alofa</w:t>
            </w:r>
          </w:p>
        </w:tc>
      </w:tr>
      <w:tr w:rsidR="00F9382E" w14:paraId="62BEFDFD" w14:textId="77777777" w:rsidTr="00B072B6">
        <w:tc>
          <w:tcPr>
            <w:tcW w:w="2425" w:type="dxa"/>
          </w:tcPr>
          <w:p w14:paraId="504EE6FB" w14:textId="77777777" w:rsidR="00F9382E" w:rsidRDefault="00F9382E" w:rsidP="003C70F4">
            <w:pPr>
              <w:rPr>
                <w:sz w:val="18"/>
                <w:szCs w:val="18"/>
              </w:rPr>
            </w:pPr>
            <w:r>
              <w:rPr>
                <w:sz w:val="18"/>
                <w:szCs w:val="18"/>
              </w:rPr>
              <w:t>Ana Baker</w:t>
            </w:r>
          </w:p>
        </w:tc>
        <w:tc>
          <w:tcPr>
            <w:tcW w:w="6925" w:type="dxa"/>
          </w:tcPr>
          <w:p w14:paraId="7E000B50" w14:textId="77777777" w:rsidR="00F9382E" w:rsidRDefault="00F9382E" w:rsidP="003C70F4">
            <w:pPr>
              <w:rPr>
                <w:sz w:val="18"/>
                <w:szCs w:val="18"/>
              </w:rPr>
            </w:pPr>
            <w:r>
              <w:rPr>
                <w:sz w:val="18"/>
                <w:szCs w:val="18"/>
              </w:rPr>
              <w:t>Australian High Commission, N</w:t>
            </w:r>
            <w:r w:rsidRPr="009F2614">
              <w:rPr>
                <w:sz w:val="18"/>
                <w:szCs w:val="18"/>
              </w:rPr>
              <w:t>uku'alofa</w:t>
            </w:r>
          </w:p>
        </w:tc>
      </w:tr>
      <w:tr w:rsidR="00F9382E" w14:paraId="3D715160" w14:textId="77777777" w:rsidTr="00B072B6">
        <w:tc>
          <w:tcPr>
            <w:tcW w:w="2425" w:type="dxa"/>
          </w:tcPr>
          <w:p w14:paraId="5422AB8D" w14:textId="77777777" w:rsidR="00F9382E" w:rsidRDefault="00F9382E" w:rsidP="003C70F4">
            <w:pPr>
              <w:rPr>
                <w:sz w:val="18"/>
                <w:szCs w:val="18"/>
              </w:rPr>
            </w:pPr>
            <w:proofErr w:type="spellStart"/>
            <w:r w:rsidRPr="009F2614">
              <w:rPr>
                <w:sz w:val="18"/>
                <w:szCs w:val="18"/>
              </w:rPr>
              <w:t>Aulola</w:t>
            </w:r>
            <w:proofErr w:type="spellEnd"/>
            <w:r w:rsidRPr="009F2614">
              <w:rPr>
                <w:sz w:val="18"/>
                <w:szCs w:val="18"/>
              </w:rPr>
              <w:t xml:space="preserve"> Ake</w:t>
            </w:r>
          </w:p>
        </w:tc>
        <w:tc>
          <w:tcPr>
            <w:tcW w:w="6925" w:type="dxa"/>
          </w:tcPr>
          <w:p w14:paraId="511C157E" w14:textId="77777777" w:rsidR="00F9382E" w:rsidRDefault="00F9382E" w:rsidP="003C70F4">
            <w:pPr>
              <w:rPr>
                <w:sz w:val="18"/>
                <w:szCs w:val="18"/>
              </w:rPr>
            </w:pPr>
            <w:r>
              <w:rPr>
                <w:sz w:val="18"/>
                <w:szCs w:val="18"/>
              </w:rPr>
              <w:t>Australian High Commission, N</w:t>
            </w:r>
            <w:r w:rsidRPr="009F2614">
              <w:rPr>
                <w:sz w:val="18"/>
                <w:szCs w:val="18"/>
              </w:rPr>
              <w:t>uku'alofa</w:t>
            </w:r>
          </w:p>
        </w:tc>
      </w:tr>
      <w:tr w:rsidR="00F9382E" w14:paraId="5C6EB440" w14:textId="77777777" w:rsidTr="00B072B6">
        <w:tc>
          <w:tcPr>
            <w:tcW w:w="2425" w:type="dxa"/>
          </w:tcPr>
          <w:p w14:paraId="3F4B981B" w14:textId="77777777" w:rsidR="00F9382E" w:rsidRDefault="00F9382E" w:rsidP="003C70F4">
            <w:pPr>
              <w:rPr>
                <w:sz w:val="18"/>
                <w:szCs w:val="18"/>
              </w:rPr>
            </w:pPr>
            <w:r>
              <w:rPr>
                <w:sz w:val="18"/>
                <w:szCs w:val="18"/>
              </w:rPr>
              <w:t xml:space="preserve">Flora </w:t>
            </w:r>
            <w:proofErr w:type="spellStart"/>
            <w:r>
              <w:rPr>
                <w:sz w:val="18"/>
                <w:szCs w:val="18"/>
              </w:rPr>
              <w:t>Brytes</w:t>
            </w:r>
            <w:proofErr w:type="spellEnd"/>
          </w:p>
        </w:tc>
        <w:tc>
          <w:tcPr>
            <w:tcW w:w="6925" w:type="dxa"/>
          </w:tcPr>
          <w:p w14:paraId="5217218B" w14:textId="77777777" w:rsidR="00F9382E" w:rsidRDefault="00F9382E" w:rsidP="003C70F4">
            <w:pPr>
              <w:rPr>
                <w:sz w:val="18"/>
                <w:szCs w:val="18"/>
              </w:rPr>
            </w:pPr>
            <w:r>
              <w:rPr>
                <w:sz w:val="18"/>
                <w:szCs w:val="18"/>
              </w:rPr>
              <w:t>Governance for Development Program, Dili</w:t>
            </w:r>
          </w:p>
        </w:tc>
      </w:tr>
      <w:tr w:rsidR="00F9382E" w14:paraId="628D0C68" w14:textId="77777777" w:rsidTr="00B072B6">
        <w:tc>
          <w:tcPr>
            <w:tcW w:w="2425" w:type="dxa"/>
          </w:tcPr>
          <w:p w14:paraId="1E05E487" w14:textId="77777777" w:rsidR="00F9382E" w:rsidRDefault="00F9382E" w:rsidP="003C70F4">
            <w:pPr>
              <w:rPr>
                <w:sz w:val="18"/>
                <w:szCs w:val="18"/>
              </w:rPr>
            </w:pPr>
            <w:r>
              <w:rPr>
                <w:sz w:val="18"/>
                <w:szCs w:val="18"/>
              </w:rPr>
              <w:t>Francisco Soares</w:t>
            </w:r>
          </w:p>
        </w:tc>
        <w:tc>
          <w:tcPr>
            <w:tcW w:w="6925" w:type="dxa"/>
          </w:tcPr>
          <w:p w14:paraId="631CCA62" w14:textId="77777777" w:rsidR="00F9382E" w:rsidRDefault="00F9382E" w:rsidP="003C70F4">
            <w:pPr>
              <w:rPr>
                <w:sz w:val="18"/>
                <w:szCs w:val="18"/>
              </w:rPr>
            </w:pPr>
            <w:r>
              <w:rPr>
                <w:sz w:val="18"/>
                <w:szCs w:val="18"/>
              </w:rPr>
              <w:t>Australian Embassy, Dilli</w:t>
            </w:r>
          </w:p>
        </w:tc>
      </w:tr>
      <w:tr w:rsidR="00F9382E" w14:paraId="602AF606" w14:textId="77777777" w:rsidTr="00B072B6">
        <w:tc>
          <w:tcPr>
            <w:tcW w:w="2425" w:type="dxa"/>
          </w:tcPr>
          <w:p w14:paraId="5821E6D1" w14:textId="77777777" w:rsidR="00F9382E" w:rsidRPr="00A40A39" w:rsidRDefault="00F9382E" w:rsidP="003C70F4">
            <w:pPr>
              <w:rPr>
                <w:sz w:val="18"/>
                <w:szCs w:val="18"/>
              </w:rPr>
            </w:pPr>
            <w:r>
              <w:rPr>
                <w:sz w:val="18"/>
                <w:szCs w:val="18"/>
              </w:rPr>
              <w:t>Gillian Brown</w:t>
            </w:r>
          </w:p>
        </w:tc>
        <w:tc>
          <w:tcPr>
            <w:tcW w:w="6925" w:type="dxa"/>
          </w:tcPr>
          <w:p w14:paraId="27A0D57D" w14:textId="77777777" w:rsidR="00F9382E" w:rsidRPr="00A40A39" w:rsidRDefault="00F9382E" w:rsidP="003C70F4">
            <w:pPr>
              <w:rPr>
                <w:sz w:val="18"/>
                <w:szCs w:val="18"/>
              </w:rPr>
            </w:pPr>
            <w:r>
              <w:rPr>
                <w:sz w:val="18"/>
                <w:szCs w:val="18"/>
              </w:rPr>
              <w:t>Gender Specialist, review of the Covid Response Package</w:t>
            </w:r>
          </w:p>
        </w:tc>
      </w:tr>
      <w:tr w:rsidR="00F9382E" w14:paraId="34411A65" w14:textId="77777777" w:rsidTr="00B072B6">
        <w:tc>
          <w:tcPr>
            <w:tcW w:w="2425" w:type="dxa"/>
          </w:tcPr>
          <w:p w14:paraId="6B2D274F" w14:textId="77777777" w:rsidR="00F9382E" w:rsidRPr="00A40A39" w:rsidRDefault="00F9382E" w:rsidP="003C70F4">
            <w:pPr>
              <w:rPr>
                <w:sz w:val="18"/>
                <w:szCs w:val="18"/>
              </w:rPr>
            </w:pPr>
            <w:proofErr w:type="spellStart"/>
            <w:r>
              <w:rPr>
                <w:sz w:val="18"/>
                <w:szCs w:val="18"/>
              </w:rPr>
              <w:t>Fareeha</w:t>
            </w:r>
            <w:proofErr w:type="spellEnd"/>
            <w:r>
              <w:rPr>
                <w:sz w:val="18"/>
                <w:szCs w:val="18"/>
              </w:rPr>
              <w:t xml:space="preserve"> Ibrahim</w:t>
            </w:r>
          </w:p>
        </w:tc>
        <w:tc>
          <w:tcPr>
            <w:tcW w:w="6925" w:type="dxa"/>
          </w:tcPr>
          <w:p w14:paraId="3E49E774" w14:textId="77777777" w:rsidR="00F9382E" w:rsidRPr="00A40A39" w:rsidRDefault="00F9382E" w:rsidP="003C70F4">
            <w:pPr>
              <w:rPr>
                <w:sz w:val="18"/>
                <w:szCs w:val="18"/>
              </w:rPr>
            </w:pPr>
            <w:r>
              <w:rPr>
                <w:sz w:val="18"/>
                <w:szCs w:val="18"/>
              </w:rPr>
              <w:t>Gender Advisor, Pacific Recovery Economic Support Program</w:t>
            </w:r>
          </w:p>
        </w:tc>
      </w:tr>
      <w:tr w:rsidR="00F9382E" w14:paraId="7CB3746F" w14:textId="77777777" w:rsidTr="00B072B6">
        <w:tc>
          <w:tcPr>
            <w:tcW w:w="2425" w:type="dxa"/>
          </w:tcPr>
          <w:p w14:paraId="409E5295" w14:textId="77777777" w:rsidR="00F9382E" w:rsidRPr="00A40A39" w:rsidRDefault="00F9382E" w:rsidP="003C70F4">
            <w:pPr>
              <w:rPr>
                <w:sz w:val="18"/>
                <w:szCs w:val="18"/>
              </w:rPr>
            </w:pPr>
            <w:r w:rsidRPr="002246D1">
              <w:rPr>
                <w:sz w:val="18"/>
                <w:szCs w:val="18"/>
              </w:rPr>
              <w:t xml:space="preserve">Ananya </w:t>
            </w:r>
            <w:proofErr w:type="spellStart"/>
            <w:r w:rsidRPr="002246D1">
              <w:rPr>
                <w:sz w:val="18"/>
                <w:szCs w:val="18"/>
              </w:rPr>
              <w:t>Basu</w:t>
            </w:r>
            <w:proofErr w:type="spellEnd"/>
          </w:p>
        </w:tc>
        <w:tc>
          <w:tcPr>
            <w:tcW w:w="6925" w:type="dxa"/>
          </w:tcPr>
          <w:p w14:paraId="14D2F952" w14:textId="77777777" w:rsidR="00F9382E" w:rsidRPr="00A40A39" w:rsidRDefault="00F9382E" w:rsidP="003C70F4">
            <w:pPr>
              <w:rPr>
                <w:sz w:val="18"/>
                <w:szCs w:val="18"/>
              </w:rPr>
            </w:pPr>
            <w:r w:rsidRPr="00557983">
              <w:rPr>
                <w:sz w:val="18"/>
                <w:szCs w:val="18"/>
              </w:rPr>
              <w:t>Director, Social Sectors and Public Sector Management Division, Pacific Departmen</w:t>
            </w:r>
            <w:r>
              <w:rPr>
                <w:sz w:val="18"/>
                <w:szCs w:val="18"/>
              </w:rPr>
              <w:t>t ADB</w:t>
            </w:r>
          </w:p>
        </w:tc>
      </w:tr>
      <w:tr w:rsidR="00F9382E" w14:paraId="34A78CAE" w14:textId="77777777" w:rsidTr="00B072B6">
        <w:tc>
          <w:tcPr>
            <w:tcW w:w="2425" w:type="dxa"/>
          </w:tcPr>
          <w:p w14:paraId="0B86C8A1" w14:textId="77777777" w:rsidR="00F9382E" w:rsidRPr="00A40A39" w:rsidRDefault="00F9382E" w:rsidP="003C70F4">
            <w:pPr>
              <w:rPr>
                <w:sz w:val="18"/>
                <w:szCs w:val="18"/>
              </w:rPr>
            </w:pPr>
            <w:r>
              <w:rPr>
                <w:sz w:val="18"/>
                <w:szCs w:val="18"/>
              </w:rPr>
              <w:t>Cindy Bryson</w:t>
            </w:r>
          </w:p>
        </w:tc>
        <w:tc>
          <w:tcPr>
            <w:tcW w:w="6925" w:type="dxa"/>
          </w:tcPr>
          <w:p w14:paraId="4CCB772B" w14:textId="77777777" w:rsidR="00F9382E" w:rsidRPr="00A40A39" w:rsidRDefault="00F9382E" w:rsidP="003C70F4">
            <w:pPr>
              <w:rPr>
                <w:sz w:val="18"/>
                <w:szCs w:val="18"/>
              </w:rPr>
            </w:pPr>
            <w:r>
              <w:rPr>
                <w:sz w:val="18"/>
                <w:szCs w:val="18"/>
              </w:rPr>
              <w:t>Social Development Specialist, Pacific Department, ADB</w:t>
            </w:r>
          </w:p>
        </w:tc>
      </w:tr>
      <w:tr w:rsidR="00F9382E" w14:paraId="2B7F0CBC" w14:textId="77777777" w:rsidTr="00B072B6">
        <w:tc>
          <w:tcPr>
            <w:tcW w:w="2425" w:type="dxa"/>
          </w:tcPr>
          <w:p w14:paraId="1ACCC3CF" w14:textId="77777777" w:rsidR="00F9382E" w:rsidRPr="00A40A39" w:rsidRDefault="00F9382E" w:rsidP="003C70F4">
            <w:pPr>
              <w:rPr>
                <w:sz w:val="18"/>
                <w:szCs w:val="18"/>
              </w:rPr>
            </w:pPr>
            <w:r>
              <w:rPr>
                <w:sz w:val="18"/>
                <w:szCs w:val="18"/>
              </w:rPr>
              <w:t>Ingrid FitzGerald</w:t>
            </w:r>
          </w:p>
        </w:tc>
        <w:tc>
          <w:tcPr>
            <w:tcW w:w="6925" w:type="dxa"/>
          </w:tcPr>
          <w:p w14:paraId="3C809273" w14:textId="77777777" w:rsidR="00F9382E" w:rsidRPr="00A40A39" w:rsidRDefault="00F9382E" w:rsidP="003C70F4">
            <w:pPr>
              <w:rPr>
                <w:sz w:val="18"/>
                <w:szCs w:val="18"/>
              </w:rPr>
            </w:pPr>
            <w:r>
              <w:rPr>
                <w:sz w:val="18"/>
                <w:szCs w:val="18"/>
              </w:rPr>
              <w:t>Pacific Liaison and Coordination Office, ADB</w:t>
            </w:r>
          </w:p>
        </w:tc>
      </w:tr>
      <w:tr w:rsidR="00F9382E" w14:paraId="38775697" w14:textId="77777777" w:rsidTr="00B072B6">
        <w:tc>
          <w:tcPr>
            <w:tcW w:w="2425" w:type="dxa"/>
          </w:tcPr>
          <w:p w14:paraId="441862A9" w14:textId="77777777" w:rsidR="00F9382E" w:rsidRDefault="00F9382E" w:rsidP="003C70F4">
            <w:pPr>
              <w:rPr>
                <w:sz w:val="18"/>
                <w:szCs w:val="18"/>
              </w:rPr>
            </w:pPr>
            <w:proofErr w:type="spellStart"/>
            <w:r w:rsidRPr="00A40A39">
              <w:rPr>
                <w:sz w:val="18"/>
                <w:szCs w:val="18"/>
              </w:rPr>
              <w:t>Melinia</w:t>
            </w:r>
            <w:proofErr w:type="spellEnd"/>
            <w:r w:rsidRPr="00A40A39">
              <w:rPr>
                <w:sz w:val="18"/>
                <w:szCs w:val="18"/>
              </w:rPr>
              <w:t xml:space="preserve"> </w:t>
            </w:r>
            <w:proofErr w:type="spellStart"/>
            <w:r w:rsidRPr="00A40A39">
              <w:rPr>
                <w:sz w:val="18"/>
                <w:szCs w:val="18"/>
              </w:rPr>
              <w:t>Nawadra</w:t>
            </w:r>
            <w:proofErr w:type="spellEnd"/>
          </w:p>
        </w:tc>
        <w:tc>
          <w:tcPr>
            <w:tcW w:w="6925" w:type="dxa"/>
          </w:tcPr>
          <w:p w14:paraId="768DC97A" w14:textId="77777777" w:rsidR="00F9382E" w:rsidRDefault="00F9382E" w:rsidP="003C70F4">
            <w:pPr>
              <w:rPr>
                <w:sz w:val="18"/>
                <w:szCs w:val="18"/>
              </w:rPr>
            </w:pPr>
            <w:r w:rsidRPr="00A40A39">
              <w:rPr>
                <w:sz w:val="18"/>
                <w:szCs w:val="18"/>
              </w:rPr>
              <w:t>Social Inclusion Adviser</w:t>
            </w:r>
            <w:r>
              <w:rPr>
                <w:sz w:val="18"/>
                <w:szCs w:val="18"/>
              </w:rPr>
              <w:t>, Pacific Islands Forum Secretariat</w:t>
            </w:r>
          </w:p>
        </w:tc>
      </w:tr>
      <w:tr w:rsidR="00F9382E" w14:paraId="619657C0" w14:textId="77777777" w:rsidTr="00B072B6">
        <w:tc>
          <w:tcPr>
            <w:tcW w:w="2425" w:type="dxa"/>
          </w:tcPr>
          <w:p w14:paraId="5541AFB4" w14:textId="77777777" w:rsidR="00F9382E" w:rsidRDefault="00F9382E" w:rsidP="003C70F4">
            <w:pPr>
              <w:rPr>
                <w:sz w:val="18"/>
                <w:szCs w:val="18"/>
              </w:rPr>
            </w:pPr>
            <w:proofErr w:type="spellStart"/>
            <w:r>
              <w:rPr>
                <w:sz w:val="18"/>
                <w:szCs w:val="18"/>
              </w:rPr>
              <w:t>Neamu</w:t>
            </w:r>
            <w:proofErr w:type="spellEnd"/>
            <w:r>
              <w:rPr>
                <w:sz w:val="18"/>
                <w:szCs w:val="18"/>
              </w:rPr>
              <w:t xml:space="preserve"> </w:t>
            </w:r>
            <w:proofErr w:type="spellStart"/>
            <w:r>
              <w:rPr>
                <w:sz w:val="18"/>
                <w:szCs w:val="18"/>
              </w:rPr>
              <w:t>Marvuakula</w:t>
            </w:r>
            <w:proofErr w:type="spellEnd"/>
          </w:p>
        </w:tc>
        <w:tc>
          <w:tcPr>
            <w:tcW w:w="6925" w:type="dxa"/>
          </w:tcPr>
          <w:p w14:paraId="53FE65DB" w14:textId="77777777" w:rsidR="00F9382E" w:rsidRDefault="00F9382E" w:rsidP="003C70F4">
            <w:pPr>
              <w:rPr>
                <w:sz w:val="18"/>
                <w:szCs w:val="18"/>
              </w:rPr>
            </w:pPr>
            <w:r>
              <w:rPr>
                <w:sz w:val="18"/>
                <w:szCs w:val="18"/>
              </w:rPr>
              <w:t>Governance and Institutional Strengthening Lead, Secretariat to the Pacific Community</w:t>
            </w:r>
          </w:p>
        </w:tc>
      </w:tr>
      <w:tr w:rsidR="00F9382E" w14:paraId="59E34D05" w14:textId="77777777" w:rsidTr="00B072B6">
        <w:tc>
          <w:tcPr>
            <w:tcW w:w="2425" w:type="dxa"/>
          </w:tcPr>
          <w:p w14:paraId="5FB14EBE" w14:textId="77777777" w:rsidR="00F9382E" w:rsidRDefault="00F9382E" w:rsidP="003C70F4">
            <w:pPr>
              <w:rPr>
                <w:sz w:val="18"/>
                <w:szCs w:val="18"/>
              </w:rPr>
            </w:pPr>
            <w:r>
              <w:rPr>
                <w:sz w:val="18"/>
                <w:szCs w:val="18"/>
              </w:rPr>
              <w:t>Tara Chetty</w:t>
            </w:r>
          </w:p>
        </w:tc>
        <w:tc>
          <w:tcPr>
            <w:tcW w:w="6925" w:type="dxa"/>
          </w:tcPr>
          <w:p w14:paraId="3026C1BD" w14:textId="77777777" w:rsidR="00F9382E" w:rsidRDefault="00F9382E" w:rsidP="003C70F4">
            <w:pPr>
              <w:rPr>
                <w:sz w:val="18"/>
                <w:szCs w:val="18"/>
              </w:rPr>
            </w:pPr>
            <w:r>
              <w:rPr>
                <w:sz w:val="18"/>
                <w:szCs w:val="18"/>
              </w:rPr>
              <w:t>Program Manager, Pacific Women Lead, Secretariat to the Pacific Community</w:t>
            </w:r>
          </w:p>
        </w:tc>
      </w:tr>
      <w:tr w:rsidR="00F9382E" w14:paraId="588C64A1" w14:textId="77777777" w:rsidTr="00B072B6">
        <w:tc>
          <w:tcPr>
            <w:tcW w:w="2425" w:type="dxa"/>
          </w:tcPr>
          <w:p w14:paraId="000E9F19" w14:textId="77777777" w:rsidR="00F9382E" w:rsidRDefault="00F9382E" w:rsidP="003C70F4">
            <w:pPr>
              <w:rPr>
                <w:sz w:val="18"/>
                <w:szCs w:val="18"/>
              </w:rPr>
            </w:pPr>
            <w:r>
              <w:rPr>
                <w:sz w:val="18"/>
                <w:szCs w:val="18"/>
              </w:rPr>
              <w:t xml:space="preserve">Sala </w:t>
            </w:r>
            <w:proofErr w:type="spellStart"/>
            <w:r>
              <w:rPr>
                <w:sz w:val="18"/>
                <w:szCs w:val="18"/>
              </w:rPr>
              <w:t>Tapu</w:t>
            </w:r>
            <w:proofErr w:type="spellEnd"/>
          </w:p>
        </w:tc>
        <w:tc>
          <w:tcPr>
            <w:tcW w:w="6925" w:type="dxa"/>
          </w:tcPr>
          <w:p w14:paraId="4BFA333C" w14:textId="77777777" w:rsidR="00F9382E" w:rsidRDefault="00F9382E" w:rsidP="003C70F4">
            <w:pPr>
              <w:rPr>
                <w:sz w:val="18"/>
                <w:szCs w:val="18"/>
              </w:rPr>
            </w:pPr>
            <w:r>
              <w:rPr>
                <w:sz w:val="18"/>
                <w:szCs w:val="18"/>
              </w:rPr>
              <w:t>Program Coordination, Pacific Women Lead, Secretariat to the Pacific Community</w:t>
            </w:r>
          </w:p>
        </w:tc>
      </w:tr>
      <w:tr w:rsidR="00F9382E" w14:paraId="4D1BC51B" w14:textId="77777777" w:rsidTr="00B072B6">
        <w:tc>
          <w:tcPr>
            <w:tcW w:w="2425" w:type="dxa"/>
          </w:tcPr>
          <w:p w14:paraId="1CFD682E" w14:textId="77777777" w:rsidR="00F9382E" w:rsidRDefault="00F9382E" w:rsidP="003C70F4">
            <w:pPr>
              <w:rPr>
                <w:sz w:val="18"/>
                <w:szCs w:val="18"/>
              </w:rPr>
            </w:pPr>
            <w:r>
              <w:rPr>
                <w:sz w:val="18"/>
                <w:szCs w:val="18"/>
              </w:rPr>
              <w:t>Miles Young</w:t>
            </w:r>
          </w:p>
        </w:tc>
        <w:tc>
          <w:tcPr>
            <w:tcW w:w="6925" w:type="dxa"/>
          </w:tcPr>
          <w:p w14:paraId="40927192" w14:textId="77777777" w:rsidR="00F9382E" w:rsidRDefault="00F9382E" w:rsidP="003C70F4">
            <w:pPr>
              <w:rPr>
                <w:sz w:val="18"/>
                <w:szCs w:val="18"/>
              </w:rPr>
            </w:pPr>
            <w:r>
              <w:rPr>
                <w:sz w:val="18"/>
                <w:szCs w:val="18"/>
              </w:rPr>
              <w:t>Head, Human Development Division, Secretariat to the Pacific Community</w:t>
            </w:r>
          </w:p>
        </w:tc>
      </w:tr>
      <w:tr w:rsidR="00F9382E" w14:paraId="5C4B537E" w14:textId="77777777" w:rsidTr="00B072B6">
        <w:tc>
          <w:tcPr>
            <w:tcW w:w="2425" w:type="dxa"/>
          </w:tcPr>
          <w:p w14:paraId="3D657932" w14:textId="77777777" w:rsidR="00F9382E" w:rsidRDefault="00F9382E" w:rsidP="003C70F4">
            <w:pPr>
              <w:rPr>
                <w:sz w:val="18"/>
                <w:szCs w:val="18"/>
              </w:rPr>
            </w:pPr>
            <w:r>
              <w:rPr>
                <w:sz w:val="18"/>
                <w:szCs w:val="18"/>
              </w:rPr>
              <w:t>Rebecca Pope</w:t>
            </w:r>
          </w:p>
        </w:tc>
        <w:tc>
          <w:tcPr>
            <w:tcW w:w="6925" w:type="dxa"/>
          </w:tcPr>
          <w:p w14:paraId="78E74B94" w14:textId="77777777" w:rsidR="00F9382E" w:rsidRDefault="00F9382E" w:rsidP="003C70F4">
            <w:pPr>
              <w:rPr>
                <w:sz w:val="18"/>
                <w:szCs w:val="18"/>
              </w:rPr>
            </w:pPr>
            <w:r>
              <w:rPr>
                <w:sz w:val="18"/>
                <w:szCs w:val="18"/>
              </w:rPr>
              <w:t xml:space="preserve">Partnerships Officer, Secretariat to the Pacific Community, </w:t>
            </w:r>
            <w:proofErr w:type="spellStart"/>
            <w:r>
              <w:rPr>
                <w:sz w:val="18"/>
                <w:szCs w:val="18"/>
              </w:rPr>
              <w:t>Noumea</w:t>
            </w:r>
            <w:proofErr w:type="spellEnd"/>
          </w:p>
        </w:tc>
      </w:tr>
      <w:tr w:rsidR="00F9382E" w14:paraId="0E1C0166" w14:textId="77777777" w:rsidTr="00B072B6">
        <w:tc>
          <w:tcPr>
            <w:tcW w:w="2425" w:type="dxa"/>
          </w:tcPr>
          <w:p w14:paraId="50CEE3D0" w14:textId="77777777" w:rsidR="00F9382E" w:rsidRDefault="00F9382E" w:rsidP="003C70F4">
            <w:pPr>
              <w:rPr>
                <w:sz w:val="18"/>
                <w:szCs w:val="18"/>
              </w:rPr>
            </w:pPr>
            <w:r>
              <w:rPr>
                <w:sz w:val="18"/>
                <w:szCs w:val="18"/>
              </w:rPr>
              <w:t xml:space="preserve">Angie </w:t>
            </w:r>
            <w:proofErr w:type="spellStart"/>
            <w:r>
              <w:rPr>
                <w:sz w:val="18"/>
                <w:szCs w:val="18"/>
              </w:rPr>
              <w:t>Fatiali</w:t>
            </w:r>
            <w:proofErr w:type="spellEnd"/>
          </w:p>
        </w:tc>
        <w:tc>
          <w:tcPr>
            <w:tcW w:w="6925" w:type="dxa"/>
          </w:tcPr>
          <w:p w14:paraId="2C0670A4" w14:textId="77777777" w:rsidR="00F9382E" w:rsidRDefault="00F9382E" w:rsidP="003C70F4">
            <w:pPr>
              <w:rPr>
                <w:sz w:val="18"/>
                <w:szCs w:val="18"/>
              </w:rPr>
            </w:pPr>
            <w:r>
              <w:rPr>
                <w:sz w:val="18"/>
                <w:szCs w:val="18"/>
              </w:rPr>
              <w:t>Gender Specialist, SPC Suva</w:t>
            </w:r>
          </w:p>
        </w:tc>
      </w:tr>
      <w:tr w:rsidR="00F9382E" w14:paraId="05693ADC" w14:textId="77777777" w:rsidTr="00B072B6">
        <w:tc>
          <w:tcPr>
            <w:tcW w:w="2425" w:type="dxa"/>
          </w:tcPr>
          <w:p w14:paraId="636E53E9" w14:textId="77777777" w:rsidR="00F9382E" w:rsidRDefault="00F9382E" w:rsidP="003C70F4">
            <w:pPr>
              <w:rPr>
                <w:sz w:val="18"/>
                <w:szCs w:val="18"/>
              </w:rPr>
            </w:pPr>
            <w:r>
              <w:rPr>
                <w:sz w:val="18"/>
                <w:szCs w:val="18"/>
              </w:rPr>
              <w:t>Sean O’Grady</w:t>
            </w:r>
          </w:p>
        </w:tc>
        <w:tc>
          <w:tcPr>
            <w:tcW w:w="6925" w:type="dxa"/>
          </w:tcPr>
          <w:p w14:paraId="1A95F1C8" w14:textId="77777777" w:rsidR="00F9382E" w:rsidRDefault="00F9382E" w:rsidP="003C70F4">
            <w:pPr>
              <w:rPr>
                <w:sz w:val="18"/>
                <w:szCs w:val="18"/>
              </w:rPr>
            </w:pPr>
            <w:r>
              <w:rPr>
                <w:sz w:val="18"/>
                <w:szCs w:val="18"/>
              </w:rPr>
              <w:t>Independent PFM expert</w:t>
            </w:r>
          </w:p>
        </w:tc>
      </w:tr>
      <w:tr w:rsidR="00F9382E" w14:paraId="20BF1DEE" w14:textId="77777777" w:rsidTr="00B072B6">
        <w:tc>
          <w:tcPr>
            <w:tcW w:w="2425" w:type="dxa"/>
          </w:tcPr>
          <w:p w14:paraId="3103BC0D" w14:textId="77777777" w:rsidR="00F9382E" w:rsidRDefault="00F9382E" w:rsidP="003C70F4">
            <w:pPr>
              <w:rPr>
                <w:sz w:val="18"/>
                <w:szCs w:val="18"/>
              </w:rPr>
            </w:pPr>
            <w:proofErr w:type="spellStart"/>
            <w:r>
              <w:rPr>
                <w:sz w:val="18"/>
                <w:szCs w:val="18"/>
              </w:rPr>
              <w:t>Giorgia</w:t>
            </w:r>
            <w:proofErr w:type="spellEnd"/>
            <w:r>
              <w:rPr>
                <w:sz w:val="18"/>
                <w:szCs w:val="18"/>
              </w:rPr>
              <w:t xml:space="preserve"> </w:t>
            </w:r>
            <w:proofErr w:type="spellStart"/>
            <w:r>
              <w:rPr>
                <w:sz w:val="18"/>
                <w:szCs w:val="18"/>
              </w:rPr>
              <w:t>Demarchi</w:t>
            </w:r>
            <w:proofErr w:type="spellEnd"/>
          </w:p>
        </w:tc>
        <w:tc>
          <w:tcPr>
            <w:tcW w:w="6925" w:type="dxa"/>
          </w:tcPr>
          <w:p w14:paraId="7752060D" w14:textId="77777777" w:rsidR="00F9382E" w:rsidRDefault="00F9382E" w:rsidP="003C70F4">
            <w:pPr>
              <w:rPr>
                <w:sz w:val="18"/>
                <w:szCs w:val="18"/>
              </w:rPr>
            </w:pPr>
            <w:r>
              <w:rPr>
                <w:sz w:val="18"/>
                <w:szCs w:val="18"/>
              </w:rPr>
              <w:t>Senior Social Development Specialist, World Bank, Washington</w:t>
            </w:r>
          </w:p>
        </w:tc>
      </w:tr>
      <w:tr w:rsidR="00F9382E" w14:paraId="7552EA02" w14:textId="77777777" w:rsidTr="00B072B6">
        <w:tc>
          <w:tcPr>
            <w:tcW w:w="2425" w:type="dxa"/>
          </w:tcPr>
          <w:p w14:paraId="5EEBFB04" w14:textId="77777777" w:rsidR="00F9382E" w:rsidRDefault="00F9382E" w:rsidP="003C70F4">
            <w:pPr>
              <w:rPr>
                <w:sz w:val="18"/>
                <w:szCs w:val="18"/>
              </w:rPr>
            </w:pPr>
            <w:proofErr w:type="spellStart"/>
            <w:r w:rsidRPr="00F6463A">
              <w:rPr>
                <w:sz w:val="18"/>
                <w:szCs w:val="18"/>
              </w:rPr>
              <w:t>Dimitria</w:t>
            </w:r>
            <w:proofErr w:type="spellEnd"/>
            <w:r w:rsidRPr="00F6463A">
              <w:rPr>
                <w:sz w:val="18"/>
                <w:szCs w:val="18"/>
              </w:rPr>
              <w:t xml:space="preserve"> </w:t>
            </w:r>
            <w:proofErr w:type="spellStart"/>
            <w:r w:rsidRPr="00F6463A">
              <w:rPr>
                <w:sz w:val="18"/>
                <w:szCs w:val="18"/>
              </w:rPr>
              <w:t>Gavalyugova</w:t>
            </w:r>
            <w:proofErr w:type="spellEnd"/>
          </w:p>
        </w:tc>
        <w:tc>
          <w:tcPr>
            <w:tcW w:w="6925" w:type="dxa"/>
          </w:tcPr>
          <w:p w14:paraId="1E09B434" w14:textId="77777777" w:rsidR="00F9382E" w:rsidRDefault="00F9382E" w:rsidP="003C70F4">
            <w:pPr>
              <w:rPr>
                <w:sz w:val="18"/>
                <w:szCs w:val="18"/>
              </w:rPr>
            </w:pPr>
            <w:r>
              <w:rPr>
                <w:sz w:val="18"/>
                <w:szCs w:val="18"/>
              </w:rPr>
              <w:t>Gender Specialist, World Bank Office, Sydney</w:t>
            </w:r>
          </w:p>
        </w:tc>
      </w:tr>
      <w:tr w:rsidR="00F9382E" w14:paraId="2D870C1F" w14:textId="77777777" w:rsidTr="00B072B6">
        <w:tc>
          <w:tcPr>
            <w:tcW w:w="2425" w:type="dxa"/>
          </w:tcPr>
          <w:p w14:paraId="08E834A2" w14:textId="77777777" w:rsidR="00F9382E" w:rsidRDefault="00F9382E" w:rsidP="003C70F4">
            <w:pPr>
              <w:rPr>
                <w:sz w:val="18"/>
                <w:szCs w:val="18"/>
              </w:rPr>
            </w:pPr>
            <w:r>
              <w:rPr>
                <w:sz w:val="18"/>
                <w:szCs w:val="18"/>
              </w:rPr>
              <w:t>David Gould</w:t>
            </w:r>
          </w:p>
        </w:tc>
        <w:tc>
          <w:tcPr>
            <w:tcW w:w="6925" w:type="dxa"/>
          </w:tcPr>
          <w:p w14:paraId="4F37DF87" w14:textId="77777777" w:rsidR="00F9382E" w:rsidRDefault="00F9382E" w:rsidP="003C70F4">
            <w:pPr>
              <w:rPr>
                <w:sz w:val="18"/>
                <w:szCs w:val="18"/>
              </w:rPr>
            </w:pPr>
            <w:r>
              <w:rPr>
                <w:sz w:val="18"/>
                <w:szCs w:val="18"/>
              </w:rPr>
              <w:t>Lead Economist, World Bank Office, Sydney</w:t>
            </w:r>
          </w:p>
        </w:tc>
      </w:tr>
      <w:tr w:rsidR="00F9382E" w14:paraId="05F2132F" w14:textId="77777777" w:rsidTr="00B072B6">
        <w:tc>
          <w:tcPr>
            <w:tcW w:w="2425" w:type="dxa"/>
          </w:tcPr>
          <w:p w14:paraId="30E8BF14" w14:textId="77777777" w:rsidR="00F9382E" w:rsidRDefault="00F9382E" w:rsidP="003C70F4">
            <w:pPr>
              <w:rPr>
                <w:sz w:val="18"/>
                <w:szCs w:val="18"/>
              </w:rPr>
            </w:pPr>
            <w:r w:rsidRPr="005C0CB5">
              <w:rPr>
                <w:sz w:val="18"/>
                <w:szCs w:val="18"/>
              </w:rPr>
              <w:t xml:space="preserve">Julieta </w:t>
            </w:r>
            <w:proofErr w:type="spellStart"/>
            <w:r w:rsidRPr="005C0CB5">
              <w:rPr>
                <w:sz w:val="18"/>
                <w:szCs w:val="18"/>
              </w:rPr>
              <w:t>Sevene</w:t>
            </w:r>
            <w:proofErr w:type="spellEnd"/>
          </w:p>
        </w:tc>
        <w:tc>
          <w:tcPr>
            <w:tcW w:w="6925" w:type="dxa"/>
          </w:tcPr>
          <w:p w14:paraId="6BF7367C" w14:textId="77777777" w:rsidR="00F9382E" w:rsidRDefault="00F9382E" w:rsidP="003C70F4">
            <w:pPr>
              <w:rPr>
                <w:sz w:val="18"/>
                <w:szCs w:val="18"/>
              </w:rPr>
            </w:pPr>
            <w:r>
              <w:rPr>
                <w:sz w:val="18"/>
                <w:szCs w:val="18"/>
              </w:rPr>
              <w:t>UN Women</w:t>
            </w:r>
          </w:p>
        </w:tc>
      </w:tr>
      <w:tr w:rsidR="00F9382E" w14:paraId="54628EF5" w14:textId="77777777" w:rsidTr="00B072B6">
        <w:tc>
          <w:tcPr>
            <w:tcW w:w="2425" w:type="dxa"/>
          </w:tcPr>
          <w:p w14:paraId="32D6A759" w14:textId="77777777" w:rsidR="00F9382E" w:rsidRPr="005C0CB5" w:rsidRDefault="00F9382E" w:rsidP="003C70F4">
            <w:pPr>
              <w:rPr>
                <w:sz w:val="18"/>
                <w:szCs w:val="18"/>
              </w:rPr>
            </w:pPr>
            <w:r w:rsidRPr="005C0CB5">
              <w:rPr>
                <w:sz w:val="18"/>
                <w:szCs w:val="18"/>
              </w:rPr>
              <w:t>Kaushal Priya Sharma</w:t>
            </w:r>
          </w:p>
        </w:tc>
        <w:tc>
          <w:tcPr>
            <w:tcW w:w="6925" w:type="dxa"/>
          </w:tcPr>
          <w:p w14:paraId="6FDEE0CA" w14:textId="77777777" w:rsidR="00F9382E" w:rsidRDefault="00F9382E" w:rsidP="003C70F4">
            <w:pPr>
              <w:rPr>
                <w:sz w:val="18"/>
                <w:szCs w:val="18"/>
              </w:rPr>
            </w:pPr>
            <w:r>
              <w:rPr>
                <w:sz w:val="18"/>
                <w:szCs w:val="18"/>
              </w:rPr>
              <w:t>UN Women</w:t>
            </w:r>
          </w:p>
        </w:tc>
      </w:tr>
      <w:tr w:rsidR="00F9382E" w14:paraId="1A597430" w14:textId="77777777" w:rsidTr="00B072B6">
        <w:tc>
          <w:tcPr>
            <w:tcW w:w="2425" w:type="dxa"/>
          </w:tcPr>
          <w:p w14:paraId="6413244B" w14:textId="77777777" w:rsidR="00F9382E" w:rsidRDefault="00F9382E" w:rsidP="003C70F4">
            <w:pPr>
              <w:rPr>
                <w:sz w:val="18"/>
                <w:szCs w:val="18"/>
              </w:rPr>
            </w:pPr>
            <w:r w:rsidRPr="005C0CB5">
              <w:rPr>
                <w:sz w:val="18"/>
                <w:szCs w:val="18"/>
              </w:rPr>
              <w:t xml:space="preserve">Mele </w:t>
            </w:r>
            <w:proofErr w:type="spellStart"/>
            <w:r w:rsidRPr="005C0CB5">
              <w:rPr>
                <w:sz w:val="18"/>
                <w:szCs w:val="18"/>
              </w:rPr>
              <w:t>Maualaivao</w:t>
            </w:r>
            <w:proofErr w:type="spellEnd"/>
          </w:p>
        </w:tc>
        <w:tc>
          <w:tcPr>
            <w:tcW w:w="6925" w:type="dxa"/>
          </w:tcPr>
          <w:p w14:paraId="4D64428A" w14:textId="77777777" w:rsidR="00F9382E" w:rsidRDefault="00F9382E" w:rsidP="003C70F4">
            <w:pPr>
              <w:rPr>
                <w:sz w:val="18"/>
                <w:szCs w:val="18"/>
              </w:rPr>
            </w:pPr>
            <w:r>
              <w:rPr>
                <w:sz w:val="18"/>
                <w:szCs w:val="18"/>
              </w:rPr>
              <w:t>UN Women</w:t>
            </w:r>
          </w:p>
        </w:tc>
      </w:tr>
      <w:tr w:rsidR="00F9382E" w14:paraId="34D8A83B" w14:textId="77777777" w:rsidTr="00B072B6">
        <w:tc>
          <w:tcPr>
            <w:tcW w:w="2425" w:type="dxa"/>
          </w:tcPr>
          <w:p w14:paraId="74CB16EC" w14:textId="77777777" w:rsidR="00F9382E" w:rsidRDefault="00F9382E" w:rsidP="003C70F4">
            <w:pPr>
              <w:rPr>
                <w:sz w:val="18"/>
                <w:szCs w:val="18"/>
              </w:rPr>
            </w:pPr>
            <w:r w:rsidRPr="005C0CB5">
              <w:rPr>
                <w:sz w:val="18"/>
                <w:szCs w:val="18"/>
              </w:rPr>
              <w:t xml:space="preserve">Melissa </w:t>
            </w:r>
            <w:proofErr w:type="spellStart"/>
            <w:r w:rsidRPr="005C0CB5">
              <w:rPr>
                <w:sz w:val="18"/>
                <w:szCs w:val="18"/>
              </w:rPr>
              <w:t>Stutsel</w:t>
            </w:r>
            <w:proofErr w:type="spellEnd"/>
          </w:p>
        </w:tc>
        <w:tc>
          <w:tcPr>
            <w:tcW w:w="6925" w:type="dxa"/>
          </w:tcPr>
          <w:p w14:paraId="2E3B527F" w14:textId="77777777" w:rsidR="00F9382E" w:rsidRDefault="00F9382E" w:rsidP="003C70F4">
            <w:pPr>
              <w:rPr>
                <w:sz w:val="18"/>
                <w:szCs w:val="18"/>
              </w:rPr>
            </w:pPr>
            <w:r>
              <w:rPr>
                <w:sz w:val="18"/>
                <w:szCs w:val="18"/>
              </w:rPr>
              <w:t>UN Women</w:t>
            </w:r>
          </w:p>
        </w:tc>
      </w:tr>
      <w:tr w:rsidR="00F9382E" w14:paraId="76EA3D6B" w14:textId="77777777" w:rsidTr="00B072B6">
        <w:tc>
          <w:tcPr>
            <w:tcW w:w="2425" w:type="dxa"/>
          </w:tcPr>
          <w:p w14:paraId="76BAADF5" w14:textId="77777777" w:rsidR="00F9382E" w:rsidRPr="005C0CB5" w:rsidRDefault="00F9382E" w:rsidP="003C70F4">
            <w:pPr>
              <w:rPr>
                <w:sz w:val="18"/>
                <w:szCs w:val="18"/>
              </w:rPr>
            </w:pPr>
            <w:r w:rsidRPr="005C0CB5">
              <w:rPr>
                <w:sz w:val="18"/>
                <w:szCs w:val="18"/>
              </w:rPr>
              <w:t xml:space="preserve">Sandra </w:t>
            </w:r>
            <w:proofErr w:type="spellStart"/>
            <w:r w:rsidRPr="005C0CB5">
              <w:rPr>
                <w:sz w:val="18"/>
                <w:szCs w:val="18"/>
              </w:rPr>
              <w:t>Bernklau</w:t>
            </w:r>
            <w:proofErr w:type="spellEnd"/>
          </w:p>
        </w:tc>
        <w:tc>
          <w:tcPr>
            <w:tcW w:w="6925" w:type="dxa"/>
          </w:tcPr>
          <w:p w14:paraId="72B077A1" w14:textId="77777777" w:rsidR="00F9382E" w:rsidRDefault="00F9382E" w:rsidP="003C70F4">
            <w:pPr>
              <w:rPr>
                <w:sz w:val="18"/>
                <w:szCs w:val="18"/>
              </w:rPr>
            </w:pPr>
            <w:r>
              <w:rPr>
                <w:sz w:val="18"/>
                <w:szCs w:val="18"/>
              </w:rPr>
              <w:t>UN Women</w:t>
            </w:r>
          </w:p>
        </w:tc>
      </w:tr>
      <w:tr w:rsidR="00F9382E" w14:paraId="592105E6" w14:textId="77777777" w:rsidTr="00B072B6">
        <w:tc>
          <w:tcPr>
            <w:tcW w:w="2425" w:type="dxa"/>
          </w:tcPr>
          <w:p w14:paraId="13431B4C" w14:textId="77777777" w:rsidR="00F9382E" w:rsidRPr="005C0CB5" w:rsidRDefault="00F9382E" w:rsidP="003C70F4">
            <w:pPr>
              <w:rPr>
                <w:sz w:val="18"/>
                <w:szCs w:val="18"/>
              </w:rPr>
            </w:pPr>
            <w:proofErr w:type="spellStart"/>
            <w:r w:rsidRPr="00B17325">
              <w:rPr>
                <w:sz w:val="18"/>
                <w:szCs w:val="18"/>
              </w:rPr>
              <w:t>Asenaca</w:t>
            </w:r>
            <w:proofErr w:type="spellEnd"/>
            <w:r w:rsidRPr="00B17325">
              <w:rPr>
                <w:sz w:val="18"/>
                <w:szCs w:val="18"/>
              </w:rPr>
              <w:t xml:space="preserve"> </w:t>
            </w:r>
            <w:proofErr w:type="spellStart"/>
            <w:r w:rsidRPr="00B17325">
              <w:rPr>
                <w:sz w:val="18"/>
                <w:szCs w:val="18"/>
              </w:rPr>
              <w:t>Vakacegu</w:t>
            </w:r>
            <w:proofErr w:type="spellEnd"/>
          </w:p>
        </w:tc>
        <w:tc>
          <w:tcPr>
            <w:tcW w:w="6925" w:type="dxa"/>
          </w:tcPr>
          <w:p w14:paraId="107AFBF8" w14:textId="77777777" w:rsidR="00F9382E" w:rsidRDefault="00F9382E" w:rsidP="003C70F4">
            <w:pPr>
              <w:rPr>
                <w:sz w:val="18"/>
                <w:szCs w:val="18"/>
              </w:rPr>
            </w:pPr>
            <w:r>
              <w:rPr>
                <w:sz w:val="18"/>
                <w:szCs w:val="18"/>
              </w:rPr>
              <w:t>UN Women</w:t>
            </w:r>
          </w:p>
        </w:tc>
      </w:tr>
      <w:tr w:rsidR="00F9382E" w14:paraId="7472A867" w14:textId="77777777" w:rsidTr="00B072B6">
        <w:tc>
          <w:tcPr>
            <w:tcW w:w="2425" w:type="dxa"/>
          </w:tcPr>
          <w:p w14:paraId="62EC3A38" w14:textId="77777777" w:rsidR="00F9382E" w:rsidRPr="00B17325" w:rsidRDefault="00F9382E" w:rsidP="003C70F4">
            <w:pPr>
              <w:rPr>
                <w:sz w:val="18"/>
                <w:szCs w:val="18"/>
              </w:rPr>
            </w:pPr>
            <w:proofErr w:type="spellStart"/>
            <w:r>
              <w:rPr>
                <w:sz w:val="18"/>
                <w:szCs w:val="18"/>
              </w:rPr>
              <w:t>Fareeha</w:t>
            </w:r>
            <w:proofErr w:type="spellEnd"/>
            <w:r>
              <w:rPr>
                <w:sz w:val="18"/>
                <w:szCs w:val="18"/>
              </w:rPr>
              <w:t xml:space="preserve"> Ibrahim</w:t>
            </w:r>
          </w:p>
        </w:tc>
        <w:tc>
          <w:tcPr>
            <w:tcW w:w="6925" w:type="dxa"/>
          </w:tcPr>
          <w:p w14:paraId="1B82653D" w14:textId="77777777" w:rsidR="00F9382E" w:rsidRDefault="00F9382E" w:rsidP="003C70F4">
            <w:pPr>
              <w:rPr>
                <w:sz w:val="18"/>
                <w:szCs w:val="18"/>
              </w:rPr>
            </w:pPr>
            <w:r>
              <w:rPr>
                <w:sz w:val="18"/>
                <w:szCs w:val="18"/>
              </w:rPr>
              <w:t>GEDSI Lead, Pacific Economic Recovery Support Program</w:t>
            </w:r>
          </w:p>
        </w:tc>
      </w:tr>
    </w:tbl>
    <w:p w14:paraId="17DE8DA6" w14:textId="77777777" w:rsidR="00F9382E" w:rsidRDefault="00F9382E" w:rsidP="00F9382E">
      <w:r>
        <w:br w:type="page"/>
      </w:r>
    </w:p>
    <w:p w14:paraId="4FECD493" w14:textId="2F036BA2" w:rsidR="00F9382E" w:rsidRDefault="00F9382E" w:rsidP="00F9382E">
      <w:pPr>
        <w:pStyle w:val="Heading1"/>
      </w:pPr>
      <w:bookmarkStart w:id="81" w:name="_Toc108168334"/>
      <w:bookmarkStart w:id="82" w:name="_Toc120201430"/>
      <w:bookmarkStart w:id="83" w:name="_Toc120544537"/>
      <w:r>
        <w:lastRenderedPageBreak/>
        <w:t>Annex C World Bank and ADB gender commitments</w:t>
      </w:r>
      <w:bookmarkEnd w:id="81"/>
      <w:bookmarkEnd w:id="82"/>
      <w:bookmarkEnd w:id="83"/>
      <w:r>
        <w:t xml:space="preserve"> </w:t>
      </w:r>
    </w:p>
    <w:p w14:paraId="67C40288" w14:textId="104A73A6" w:rsidR="00F9382E" w:rsidRPr="00041E6F" w:rsidRDefault="00F9382E" w:rsidP="00041E6F">
      <w:pPr>
        <w:rPr>
          <w:rFonts w:asciiTheme="majorHAnsi" w:hAnsiTheme="majorHAnsi"/>
          <w:sz w:val="30"/>
          <w:szCs w:val="30"/>
        </w:rPr>
      </w:pPr>
      <w:r w:rsidRPr="00041E6F">
        <w:rPr>
          <w:rFonts w:asciiTheme="majorHAnsi" w:hAnsiTheme="majorHAnsi"/>
          <w:sz w:val="30"/>
          <w:szCs w:val="30"/>
        </w:rPr>
        <w:t>Latest World Bank Group gender equality commitments</w:t>
      </w:r>
    </w:p>
    <w:p w14:paraId="1BF2A5D4" w14:textId="77777777" w:rsidR="00853654" w:rsidRPr="00846F17" w:rsidRDefault="00853654" w:rsidP="00853654">
      <w:pPr>
        <w:spacing w:after="120"/>
        <w:rPr>
          <w:b/>
          <w:bCs/>
        </w:rPr>
      </w:pPr>
      <w:r w:rsidRPr="00846F17">
        <w:rPr>
          <w:b/>
          <w:bCs/>
        </w:rPr>
        <w:t xml:space="preserve">International Development Association – </w:t>
      </w:r>
      <w:r w:rsidRPr="00C5202E">
        <w:rPr>
          <w:b/>
          <w:bCs/>
        </w:rPr>
        <w:t>IDA</w:t>
      </w:r>
      <w:r w:rsidRPr="00846F17">
        <w:rPr>
          <w:b/>
          <w:bCs/>
        </w:rPr>
        <w:t>20 replenishment commitment</w:t>
      </w:r>
    </w:p>
    <w:p w14:paraId="46D074E1" w14:textId="77777777" w:rsidR="00853654" w:rsidRPr="00C5202E" w:rsidRDefault="00853654" w:rsidP="00853654">
      <w:pPr>
        <w:spacing w:after="120"/>
        <w:rPr>
          <w:sz w:val="20"/>
          <w:szCs w:val="20"/>
        </w:rPr>
      </w:pPr>
      <w:r w:rsidRPr="00506738">
        <w:rPr>
          <w:sz w:val="20"/>
          <w:szCs w:val="20"/>
        </w:rPr>
        <w:t>The Executive Directors</w:t>
      </w:r>
      <w:r>
        <w:rPr>
          <w:sz w:val="20"/>
          <w:szCs w:val="20"/>
        </w:rPr>
        <w:t xml:space="preserve"> of</w:t>
      </w:r>
      <w:r w:rsidRPr="00506738">
        <w:rPr>
          <w:sz w:val="20"/>
          <w:szCs w:val="20"/>
        </w:rPr>
        <w:t xml:space="preserve"> IDA made the following gender related commitments in their report on the 20th replenishment (World Bank 2022).</w:t>
      </w:r>
    </w:p>
    <w:p w14:paraId="4620C4CA" w14:textId="77777777" w:rsidR="00853654" w:rsidRPr="00180283" w:rsidRDefault="00853654" w:rsidP="00853654">
      <w:pPr>
        <w:pStyle w:val="ListParagraph"/>
        <w:numPr>
          <w:ilvl w:val="0"/>
          <w:numId w:val="16"/>
        </w:numPr>
        <w:autoSpaceDE w:val="0"/>
        <w:autoSpaceDN w:val="0"/>
        <w:adjustRightInd w:val="0"/>
        <w:spacing w:after="0" w:line="240" w:lineRule="auto"/>
        <w:rPr>
          <w:color w:val="495965" w:themeColor="text2"/>
          <w:sz w:val="20"/>
          <w:szCs w:val="20"/>
        </w:rPr>
      </w:pPr>
      <w:r w:rsidRPr="00180283">
        <w:rPr>
          <w:color w:val="495965" w:themeColor="text2"/>
          <w:sz w:val="20"/>
          <w:szCs w:val="20"/>
        </w:rPr>
        <w:t>Investing in women’s empowerment: Support women’s empowerment, through restoring and expanding access to quality and affordable sexual and reproductive, adolescent, and maternal health services, in at least 30 IDA countries, of which 15 countries with the lowest HCI.</w:t>
      </w:r>
    </w:p>
    <w:p w14:paraId="722A462E" w14:textId="77777777" w:rsidR="00853654" w:rsidRPr="00180283" w:rsidRDefault="00853654" w:rsidP="00853654">
      <w:pPr>
        <w:pStyle w:val="ListParagraph"/>
        <w:numPr>
          <w:ilvl w:val="0"/>
          <w:numId w:val="16"/>
        </w:numPr>
        <w:autoSpaceDE w:val="0"/>
        <w:autoSpaceDN w:val="0"/>
        <w:adjustRightInd w:val="0"/>
        <w:spacing w:after="0" w:line="240" w:lineRule="auto"/>
        <w:rPr>
          <w:color w:val="495965" w:themeColor="text2"/>
          <w:sz w:val="20"/>
          <w:szCs w:val="20"/>
        </w:rPr>
      </w:pPr>
      <w:r w:rsidRPr="00180283">
        <w:rPr>
          <w:color w:val="495965" w:themeColor="text2"/>
          <w:sz w:val="20"/>
          <w:szCs w:val="20"/>
        </w:rPr>
        <w:t>Scaling productive economic inclusion: Incorporate specific productive economic inclusion components (e.g., producer cooperatives/associations, digital finance/savings and service delivery, entrepreneurship support, social care services, regulatory frameworks, and/or links to market support) for women in at least 35 IDA social protection/jobs, agriculture, urban, and/or community development projects.</w:t>
      </w:r>
    </w:p>
    <w:p w14:paraId="5AD359E1" w14:textId="77777777" w:rsidR="00853654" w:rsidRPr="00180283" w:rsidRDefault="00853654" w:rsidP="00853654">
      <w:pPr>
        <w:pStyle w:val="ListParagraph"/>
        <w:numPr>
          <w:ilvl w:val="0"/>
          <w:numId w:val="16"/>
        </w:numPr>
        <w:autoSpaceDE w:val="0"/>
        <w:autoSpaceDN w:val="0"/>
        <w:adjustRightInd w:val="0"/>
        <w:spacing w:after="0" w:line="240" w:lineRule="auto"/>
        <w:rPr>
          <w:color w:val="495965" w:themeColor="text2"/>
          <w:sz w:val="20"/>
          <w:szCs w:val="20"/>
        </w:rPr>
      </w:pPr>
      <w:r w:rsidRPr="00180283">
        <w:rPr>
          <w:color w:val="495965" w:themeColor="text2"/>
          <w:sz w:val="20"/>
          <w:szCs w:val="20"/>
        </w:rPr>
        <w:t>Expanding childcare: Support at least 15 IDA countries to expand access to quality, affordable childcare, especially for low-income parents.</w:t>
      </w:r>
    </w:p>
    <w:p w14:paraId="792C00A6" w14:textId="77777777" w:rsidR="00853654" w:rsidRPr="00180283" w:rsidRDefault="00853654" w:rsidP="00853654">
      <w:pPr>
        <w:pStyle w:val="ListParagraph"/>
        <w:numPr>
          <w:ilvl w:val="0"/>
          <w:numId w:val="16"/>
        </w:numPr>
        <w:autoSpaceDE w:val="0"/>
        <w:autoSpaceDN w:val="0"/>
        <w:adjustRightInd w:val="0"/>
        <w:spacing w:after="0" w:line="240" w:lineRule="auto"/>
        <w:rPr>
          <w:color w:val="495965" w:themeColor="text2"/>
          <w:sz w:val="20"/>
          <w:szCs w:val="20"/>
        </w:rPr>
      </w:pPr>
      <w:r w:rsidRPr="00180283">
        <w:rPr>
          <w:color w:val="495965" w:themeColor="text2"/>
          <w:sz w:val="20"/>
          <w:szCs w:val="20"/>
        </w:rPr>
        <w:t xml:space="preserve">Supporting medium and high skilled employment opportunities for women: At least 35 </w:t>
      </w:r>
      <w:r>
        <w:rPr>
          <w:color w:val="495965" w:themeColor="text2"/>
          <w:sz w:val="20"/>
          <w:szCs w:val="20"/>
        </w:rPr>
        <w:t>per cent</w:t>
      </w:r>
      <w:r w:rsidRPr="00180283">
        <w:rPr>
          <w:color w:val="495965" w:themeColor="text2"/>
          <w:sz w:val="20"/>
          <w:szCs w:val="20"/>
        </w:rPr>
        <w:t xml:space="preserve"> of IDA20 infrastructure operations (transport, energy, and water) will include actions to create employment opportunities for women in medium and high skilled jobs in these sectors. </w:t>
      </w:r>
    </w:p>
    <w:p w14:paraId="2821E06F" w14:textId="77777777" w:rsidR="00853654" w:rsidRPr="00180283" w:rsidRDefault="00853654" w:rsidP="00853654">
      <w:pPr>
        <w:pStyle w:val="ListParagraph"/>
        <w:numPr>
          <w:ilvl w:val="0"/>
          <w:numId w:val="16"/>
        </w:numPr>
        <w:autoSpaceDE w:val="0"/>
        <w:autoSpaceDN w:val="0"/>
        <w:adjustRightInd w:val="0"/>
        <w:spacing w:after="0" w:line="240" w:lineRule="auto"/>
        <w:rPr>
          <w:color w:val="495965" w:themeColor="text2"/>
          <w:sz w:val="20"/>
          <w:szCs w:val="20"/>
        </w:rPr>
      </w:pPr>
      <w:r w:rsidRPr="00180283">
        <w:rPr>
          <w:color w:val="495965" w:themeColor="text2"/>
          <w:sz w:val="20"/>
          <w:szCs w:val="20"/>
        </w:rPr>
        <w:t>Closing gaps in digital technology: At least 30 IDA20 operations in digital development, financial inclusion, and agriculture will increase women’s access to and usage of digital technology to close gender gaps in access and usage.</w:t>
      </w:r>
    </w:p>
    <w:p w14:paraId="36ABCD2E" w14:textId="77777777" w:rsidR="00853654" w:rsidRPr="00180283" w:rsidRDefault="00853654" w:rsidP="00853654">
      <w:pPr>
        <w:pStyle w:val="ListParagraph"/>
        <w:numPr>
          <w:ilvl w:val="0"/>
          <w:numId w:val="16"/>
        </w:numPr>
        <w:autoSpaceDE w:val="0"/>
        <w:autoSpaceDN w:val="0"/>
        <w:adjustRightInd w:val="0"/>
        <w:spacing w:after="0" w:line="240" w:lineRule="auto"/>
        <w:rPr>
          <w:color w:val="495965" w:themeColor="text2"/>
          <w:sz w:val="20"/>
          <w:szCs w:val="20"/>
        </w:rPr>
      </w:pPr>
      <w:r w:rsidRPr="00180283">
        <w:rPr>
          <w:color w:val="495965" w:themeColor="text2"/>
          <w:sz w:val="20"/>
          <w:szCs w:val="20"/>
        </w:rPr>
        <w:t xml:space="preserve">Strengthening women’s land rights: At least 70 </w:t>
      </w:r>
      <w:r>
        <w:rPr>
          <w:color w:val="495965" w:themeColor="text2"/>
          <w:sz w:val="20"/>
          <w:szCs w:val="20"/>
        </w:rPr>
        <w:t>per cent</w:t>
      </w:r>
      <w:r w:rsidRPr="00180283">
        <w:rPr>
          <w:color w:val="495965" w:themeColor="text2"/>
          <w:sz w:val="20"/>
          <w:szCs w:val="20"/>
        </w:rPr>
        <w:t xml:space="preserve"> of IDA20 operations with land activities in (</w:t>
      </w:r>
      <w:proofErr w:type="spellStart"/>
      <w:r w:rsidRPr="00180283">
        <w:rPr>
          <w:color w:val="495965" w:themeColor="text2"/>
          <w:sz w:val="20"/>
          <w:szCs w:val="20"/>
        </w:rPr>
        <w:t>i</w:t>
      </w:r>
      <w:proofErr w:type="spellEnd"/>
      <w:r w:rsidRPr="00180283">
        <w:rPr>
          <w:color w:val="495965" w:themeColor="text2"/>
          <w:sz w:val="20"/>
          <w:szCs w:val="20"/>
        </w:rPr>
        <w:t>) land administration, (ii) post-disaster reconstruction and resilient recovery, and (iii) urban development will include specific actions to strengthen women’s land rights.</w:t>
      </w:r>
    </w:p>
    <w:p w14:paraId="77EB22CB" w14:textId="77777777" w:rsidR="00853654" w:rsidRPr="00180283" w:rsidRDefault="00853654" w:rsidP="00853654">
      <w:pPr>
        <w:pStyle w:val="ListParagraph"/>
        <w:numPr>
          <w:ilvl w:val="0"/>
          <w:numId w:val="16"/>
        </w:numPr>
        <w:autoSpaceDE w:val="0"/>
        <w:autoSpaceDN w:val="0"/>
        <w:adjustRightInd w:val="0"/>
        <w:spacing w:after="0" w:line="240" w:lineRule="auto"/>
        <w:rPr>
          <w:color w:val="495965" w:themeColor="text2"/>
          <w:sz w:val="20"/>
          <w:szCs w:val="20"/>
        </w:rPr>
      </w:pPr>
      <w:r w:rsidRPr="00180283">
        <w:rPr>
          <w:color w:val="495965" w:themeColor="text2"/>
          <w:sz w:val="20"/>
          <w:szCs w:val="20"/>
        </w:rPr>
        <w:t>Increasing support to prevention of and response to GBV: Support at least 10 IDA countries to strengthen national policy frameworks for prevention of and response to GBV, and in at least 15 IDA countries, of which five are FCS, support GBV related services in health systems, and implement GBV prevention and response protocols as part of safe and inclusive educational institutions.</w:t>
      </w:r>
    </w:p>
    <w:p w14:paraId="12A2B1B9" w14:textId="77777777" w:rsidR="00853654" w:rsidRPr="00180283" w:rsidRDefault="00853654" w:rsidP="00853654">
      <w:pPr>
        <w:pStyle w:val="ListParagraph"/>
        <w:numPr>
          <w:ilvl w:val="0"/>
          <w:numId w:val="16"/>
        </w:numPr>
        <w:autoSpaceDE w:val="0"/>
        <w:autoSpaceDN w:val="0"/>
        <w:adjustRightInd w:val="0"/>
        <w:spacing w:after="0" w:line="240" w:lineRule="auto"/>
        <w:rPr>
          <w:color w:val="495965" w:themeColor="text2"/>
          <w:sz w:val="20"/>
          <w:szCs w:val="20"/>
        </w:rPr>
      </w:pPr>
      <w:r w:rsidRPr="00180283">
        <w:rPr>
          <w:color w:val="495965" w:themeColor="text2"/>
          <w:sz w:val="20"/>
          <w:szCs w:val="20"/>
        </w:rPr>
        <w:t>Implementing fiscal policy and budget systems to close gender gaps: Support at least 10 IDA countries to make their fiscal policy and budget systems more inclusive and gender responsive by, for example, budget reforms, removing discriminatory provisions from tax legislation and/or monitoring the effectiveness of public spending, including where appropriate through fiscal incidence analysis for equality policies.</w:t>
      </w:r>
    </w:p>
    <w:p w14:paraId="0688AFF2" w14:textId="77777777" w:rsidR="00853654" w:rsidRPr="00636504" w:rsidRDefault="00853654" w:rsidP="00853654">
      <w:pPr>
        <w:rPr>
          <w:b/>
          <w:bCs/>
        </w:rPr>
      </w:pPr>
      <w:r w:rsidRPr="00636504">
        <w:rPr>
          <w:b/>
          <w:bCs/>
        </w:rPr>
        <w:t xml:space="preserve">World Bank Group Capital Package </w:t>
      </w:r>
    </w:p>
    <w:p w14:paraId="44D2910F" w14:textId="77777777" w:rsidR="00853654" w:rsidRPr="00180283" w:rsidRDefault="00853654" w:rsidP="00853654">
      <w:pPr>
        <w:autoSpaceDE w:val="0"/>
        <w:autoSpaceDN w:val="0"/>
        <w:adjustRightInd w:val="0"/>
        <w:ind w:right="220"/>
        <w:rPr>
          <w:sz w:val="20"/>
          <w:szCs w:val="20"/>
        </w:rPr>
      </w:pPr>
      <w:r w:rsidRPr="00180283">
        <w:rPr>
          <w:sz w:val="20"/>
          <w:szCs w:val="20"/>
        </w:rPr>
        <w:t>The 2018 decision of World Bank Group shareholders to increase the capital for the IBRD and the IFC included specific commitments to mean</w:t>
      </w:r>
      <w:r w:rsidRPr="00180283">
        <w:rPr>
          <w:sz w:val="20"/>
          <w:szCs w:val="20"/>
        </w:rPr>
        <w:softHyphen/>
        <w:t xml:space="preserve">ingfully narrow gender gaps (World Bank 2019). </w:t>
      </w:r>
    </w:p>
    <w:p w14:paraId="5D13C47D" w14:textId="77777777" w:rsidR="00853654" w:rsidRPr="00180283" w:rsidRDefault="00853654" w:rsidP="00853654">
      <w:pPr>
        <w:pStyle w:val="ListParagraph"/>
        <w:numPr>
          <w:ilvl w:val="0"/>
          <w:numId w:val="15"/>
        </w:numPr>
        <w:autoSpaceDE w:val="0"/>
        <w:autoSpaceDN w:val="0"/>
        <w:adjustRightInd w:val="0"/>
        <w:spacing w:after="0" w:line="240" w:lineRule="auto"/>
        <w:rPr>
          <w:color w:val="495965" w:themeColor="text2"/>
          <w:sz w:val="20"/>
          <w:szCs w:val="20"/>
        </w:rPr>
      </w:pPr>
      <w:r w:rsidRPr="00180283">
        <w:rPr>
          <w:color w:val="495965" w:themeColor="text2"/>
          <w:sz w:val="20"/>
          <w:szCs w:val="20"/>
        </w:rPr>
        <w:t>International Bank for Reconstruction and Development: Increasing the propor</w:t>
      </w:r>
      <w:r w:rsidRPr="00180283">
        <w:rPr>
          <w:color w:val="495965" w:themeColor="text2"/>
          <w:sz w:val="20"/>
          <w:szCs w:val="20"/>
        </w:rPr>
        <w:softHyphen/>
        <w:t>tion of its operations that close gender gaps from 42 to 55 per cent by fiscal year 2023</w:t>
      </w:r>
    </w:p>
    <w:p w14:paraId="134367D2" w14:textId="5A65D9A8" w:rsidR="00853654" w:rsidRPr="00853654" w:rsidRDefault="00853654" w:rsidP="00853654">
      <w:r w:rsidRPr="00180283">
        <w:rPr>
          <w:sz w:val="20"/>
          <w:szCs w:val="20"/>
        </w:rPr>
        <w:t>International Finance Corporation: By 2030, quadrupling the amount of annual financing dedicated to women and women-led small and medium enterprises, increasing annual commitments to financial intermediaries targeting women, and doubling the share of women directors that it nominates to boards of companies; by 2020, flagging all projects with gender components.</w:t>
      </w:r>
    </w:p>
    <w:p w14:paraId="2B984284" w14:textId="4FE7B6AB" w:rsidR="00960DFB" w:rsidRPr="00041E6F" w:rsidRDefault="00F9382E" w:rsidP="00041E6F">
      <w:pPr>
        <w:rPr>
          <w:rFonts w:asciiTheme="majorHAnsi" w:hAnsiTheme="majorHAnsi"/>
          <w:sz w:val="30"/>
          <w:szCs w:val="30"/>
        </w:rPr>
      </w:pPr>
      <w:r w:rsidRPr="00041E6F">
        <w:rPr>
          <w:rFonts w:asciiTheme="majorHAnsi" w:hAnsiTheme="majorHAnsi"/>
          <w:sz w:val="30"/>
          <w:szCs w:val="30"/>
        </w:rPr>
        <w:t>Latest ADB gender equality priorities and approaches</w:t>
      </w:r>
    </w:p>
    <w:p w14:paraId="4553D6B7" w14:textId="77777777" w:rsidR="00853654" w:rsidRPr="002713AD" w:rsidRDefault="00853654" w:rsidP="00853654">
      <w:pPr>
        <w:spacing w:after="120"/>
        <w:rPr>
          <w:sz w:val="20"/>
          <w:szCs w:val="20"/>
        </w:rPr>
      </w:pPr>
      <w:r w:rsidRPr="002713AD">
        <w:rPr>
          <w:sz w:val="20"/>
          <w:szCs w:val="20"/>
        </w:rPr>
        <w:t>ADB’s operational plan for accelerating progress in gender equality (ADB 2019) present five strategic priorities and five approaches for its efforts to contribute to gender equality.</w:t>
      </w:r>
    </w:p>
    <w:p w14:paraId="3C60F1BD" w14:textId="77777777" w:rsidR="00853654" w:rsidRPr="002713AD" w:rsidRDefault="00853654" w:rsidP="00853654">
      <w:pPr>
        <w:rPr>
          <w:sz w:val="20"/>
          <w:szCs w:val="20"/>
        </w:rPr>
      </w:pPr>
      <w:r w:rsidRPr="002713AD">
        <w:rPr>
          <w:sz w:val="20"/>
          <w:szCs w:val="20"/>
        </w:rPr>
        <w:t>The strategic priorities are:</w:t>
      </w:r>
    </w:p>
    <w:p w14:paraId="6E26AF88" w14:textId="77777777" w:rsidR="00853654" w:rsidRPr="00180283" w:rsidRDefault="00853654" w:rsidP="00853654">
      <w:pPr>
        <w:pStyle w:val="ListParagraph"/>
        <w:numPr>
          <w:ilvl w:val="0"/>
          <w:numId w:val="17"/>
        </w:numPr>
        <w:spacing w:before="0" w:after="0" w:line="240" w:lineRule="auto"/>
        <w:ind w:left="765" w:hanging="357"/>
        <w:rPr>
          <w:color w:val="495965" w:themeColor="text2"/>
          <w:sz w:val="20"/>
          <w:szCs w:val="20"/>
        </w:rPr>
      </w:pPr>
      <w:r w:rsidRPr="00180283">
        <w:rPr>
          <w:color w:val="495965" w:themeColor="text2"/>
          <w:sz w:val="20"/>
          <w:szCs w:val="20"/>
        </w:rPr>
        <w:t xml:space="preserve">women’s economic empowerment </w:t>
      </w:r>
      <w:proofErr w:type="gramStart"/>
      <w:r w:rsidRPr="00180283">
        <w:rPr>
          <w:color w:val="495965" w:themeColor="text2"/>
          <w:sz w:val="20"/>
          <w:szCs w:val="20"/>
        </w:rPr>
        <w:t>increased;</w:t>
      </w:r>
      <w:proofErr w:type="gramEnd"/>
    </w:p>
    <w:p w14:paraId="5D28E65F" w14:textId="77777777" w:rsidR="00853654" w:rsidRPr="00180283" w:rsidRDefault="00853654" w:rsidP="00853654">
      <w:pPr>
        <w:pStyle w:val="ListParagraph"/>
        <w:numPr>
          <w:ilvl w:val="0"/>
          <w:numId w:val="17"/>
        </w:numPr>
        <w:spacing w:before="0" w:after="0" w:line="240" w:lineRule="auto"/>
        <w:ind w:left="765" w:hanging="357"/>
        <w:rPr>
          <w:color w:val="495965" w:themeColor="text2"/>
          <w:sz w:val="20"/>
          <w:szCs w:val="20"/>
        </w:rPr>
      </w:pPr>
      <w:r w:rsidRPr="00180283">
        <w:rPr>
          <w:color w:val="495965" w:themeColor="text2"/>
          <w:sz w:val="20"/>
          <w:szCs w:val="20"/>
        </w:rPr>
        <w:t xml:space="preserve">gender equality in human development </w:t>
      </w:r>
      <w:proofErr w:type="gramStart"/>
      <w:r w:rsidRPr="00180283">
        <w:rPr>
          <w:color w:val="495965" w:themeColor="text2"/>
          <w:sz w:val="20"/>
          <w:szCs w:val="20"/>
        </w:rPr>
        <w:t>enhanced;</w:t>
      </w:r>
      <w:proofErr w:type="gramEnd"/>
      <w:r w:rsidRPr="00180283">
        <w:rPr>
          <w:color w:val="495965" w:themeColor="text2"/>
          <w:sz w:val="20"/>
          <w:szCs w:val="20"/>
        </w:rPr>
        <w:t xml:space="preserve"> </w:t>
      </w:r>
    </w:p>
    <w:p w14:paraId="051AAEFF" w14:textId="77777777" w:rsidR="00853654" w:rsidRPr="00180283" w:rsidRDefault="00853654" w:rsidP="00853654">
      <w:pPr>
        <w:pStyle w:val="ListParagraph"/>
        <w:numPr>
          <w:ilvl w:val="0"/>
          <w:numId w:val="17"/>
        </w:numPr>
        <w:spacing w:before="0" w:after="0" w:line="240" w:lineRule="auto"/>
        <w:ind w:left="765" w:hanging="357"/>
        <w:rPr>
          <w:color w:val="495965" w:themeColor="text2"/>
          <w:sz w:val="20"/>
          <w:szCs w:val="20"/>
        </w:rPr>
      </w:pPr>
      <w:r w:rsidRPr="00180283">
        <w:rPr>
          <w:color w:val="495965" w:themeColor="text2"/>
          <w:sz w:val="20"/>
          <w:szCs w:val="20"/>
        </w:rPr>
        <w:lastRenderedPageBreak/>
        <w:t xml:space="preserve">gender equality in decision making and leadership </w:t>
      </w:r>
      <w:proofErr w:type="gramStart"/>
      <w:r w:rsidRPr="00180283">
        <w:rPr>
          <w:color w:val="495965" w:themeColor="text2"/>
          <w:sz w:val="20"/>
          <w:szCs w:val="20"/>
        </w:rPr>
        <w:t>enhanced;</w:t>
      </w:r>
      <w:proofErr w:type="gramEnd"/>
      <w:r w:rsidRPr="00180283">
        <w:rPr>
          <w:color w:val="495965" w:themeColor="text2"/>
          <w:sz w:val="20"/>
          <w:szCs w:val="20"/>
        </w:rPr>
        <w:t xml:space="preserve"> </w:t>
      </w:r>
    </w:p>
    <w:p w14:paraId="6BB81000" w14:textId="77777777" w:rsidR="00853654" w:rsidRPr="00180283" w:rsidRDefault="00853654" w:rsidP="00853654">
      <w:pPr>
        <w:pStyle w:val="ListParagraph"/>
        <w:numPr>
          <w:ilvl w:val="0"/>
          <w:numId w:val="17"/>
        </w:numPr>
        <w:spacing w:before="0" w:after="0" w:line="240" w:lineRule="auto"/>
        <w:ind w:left="765" w:hanging="357"/>
        <w:rPr>
          <w:color w:val="495965" w:themeColor="text2"/>
          <w:sz w:val="20"/>
          <w:szCs w:val="20"/>
        </w:rPr>
      </w:pPr>
      <w:r w:rsidRPr="00180283">
        <w:rPr>
          <w:color w:val="495965" w:themeColor="text2"/>
          <w:sz w:val="20"/>
          <w:szCs w:val="20"/>
        </w:rPr>
        <w:t xml:space="preserve">women’s time poverty and drudgery reduced; and </w:t>
      </w:r>
    </w:p>
    <w:p w14:paraId="0F4AC604" w14:textId="77777777" w:rsidR="00853654" w:rsidRPr="00180283" w:rsidRDefault="00853654" w:rsidP="00853654">
      <w:pPr>
        <w:pStyle w:val="ListParagraph"/>
        <w:numPr>
          <w:ilvl w:val="0"/>
          <w:numId w:val="17"/>
        </w:numPr>
        <w:spacing w:before="0" w:after="0" w:line="240" w:lineRule="auto"/>
        <w:ind w:left="765" w:hanging="357"/>
        <w:rPr>
          <w:color w:val="495965" w:themeColor="text2"/>
          <w:sz w:val="20"/>
          <w:szCs w:val="20"/>
        </w:rPr>
      </w:pPr>
      <w:r w:rsidRPr="00180283">
        <w:rPr>
          <w:color w:val="495965" w:themeColor="text2"/>
          <w:sz w:val="20"/>
          <w:szCs w:val="20"/>
        </w:rPr>
        <w:t>women’s resilience to external shocks strengthened</w:t>
      </w:r>
    </w:p>
    <w:p w14:paraId="429B3E3A" w14:textId="77777777" w:rsidR="00853654" w:rsidRDefault="00853654" w:rsidP="00853654">
      <w:pPr>
        <w:ind w:left="49"/>
        <w:rPr>
          <w:sz w:val="20"/>
          <w:szCs w:val="20"/>
        </w:rPr>
      </w:pPr>
      <w:r>
        <w:rPr>
          <w:sz w:val="20"/>
          <w:szCs w:val="20"/>
        </w:rPr>
        <w:t>The five approaches are:</w:t>
      </w:r>
    </w:p>
    <w:p w14:paraId="58AF0871" w14:textId="77777777" w:rsidR="00853654" w:rsidRPr="00180283" w:rsidRDefault="00853654" w:rsidP="00853654">
      <w:pPr>
        <w:pStyle w:val="ListParagraph"/>
        <w:numPr>
          <w:ilvl w:val="0"/>
          <w:numId w:val="17"/>
        </w:numPr>
        <w:spacing w:before="0" w:after="0" w:line="240" w:lineRule="auto"/>
        <w:ind w:left="765" w:hanging="357"/>
        <w:contextualSpacing w:val="0"/>
        <w:rPr>
          <w:color w:val="495965" w:themeColor="text2"/>
          <w:sz w:val="20"/>
          <w:szCs w:val="20"/>
        </w:rPr>
      </w:pPr>
      <w:r w:rsidRPr="00180283">
        <w:rPr>
          <w:color w:val="495965" w:themeColor="text2"/>
          <w:sz w:val="20"/>
          <w:szCs w:val="20"/>
        </w:rPr>
        <w:t xml:space="preserve">scaling up gender mainstreaming in operations across sectors and </w:t>
      </w:r>
      <w:proofErr w:type="gramStart"/>
      <w:r w:rsidRPr="00180283">
        <w:rPr>
          <w:color w:val="495965" w:themeColor="text2"/>
          <w:sz w:val="20"/>
          <w:szCs w:val="20"/>
        </w:rPr>
        <w:t>themes;</w:t>
      </w:r>
      <w:proofErr w:type="gramEnd"/>
      <w:r w:rsidRPr="00180283">
        <w:rPr>
          <w:color w:val="495965" w:themeColor="text2"/>
          <w:sz w:val="20"/>
          <w:szCs w:val="20"/>
        </w:rPr>
        <w:t xml:space="preserve"> </w:t>
      </w:r>
    </w:p>
    <w:p w14:paraId="4DE3BAEE" w14:textId="77777777" w:rsidR="00853654" w:rsidRPr="00180283" w:rsidRDefault="00853654" w:rsidP="00853654">
      <w:pPr>
        <w:pStyle w:val="ListParagraph"/>
        <w:numPr>
          <w:ilvl w:val="0"/>
          <w:numId w:val="17"/>
        </w:numPr>
        <w:spacing w:before="0" w:after="0" w:line="240" w:lineRule="auto"/>
        <w:ind w:left="765" w:hanging="357"/>
        <w:contextualSpacing w:val="0"/>
        <w:rPr>
          <w:color w:val="495965" w:themeColor="text2"/>
          <w:sz w:val="20"/>
          <w:szCs w:val="20"/>
        </w:rPr>
      </w:pPr>
      <w:r w:rsidRPr="00180283">
        <w:rPr>
          <w:color w:val="495965" w:themeColor="text2"/>
          <w:sz w:val="20"/>
          <w:szCs w:val="20"/>
        </w:rPr>
        <w:t xml:space="preserve">integrating Sustainable Development Goal 5’s transformative gender agenda, including eliminating violence against women and girls; recognizing, reducing, and redistributing unpaid care and domestic work; emphasizing sexual and reproductive health and rights; encouraging women’s participation in decision making and leadership; creating access to economic and productive resources, information and communication technology, and legal or institutional reforms for protecting women’s rights; and changing gendered social norms; </w:t>
      </w:r>
    </w:p>
    <w:p w14:paraId="34871B2C" w14:textId="77777777" w:rsidR="00853654" w:rsidRPr="00180283" w:rsidRDefault="00853654" w:rsidP="00853654">
      <w:pPr>
        <w:pStyle w:val="ListParagraph"/>
        <w:numPr>
          <w:ilvl w:val="0"/>
          <w:numId w:val="17"/>
        </w:numPr>
        <w:spacing w:before="0" w:after="0" w:line="240" w:lineRule="auto"/>
        <w:ind w:left="765" w:hanging="357"/>
        <w:contextualSpacing w:val="0"/>
        <w:rPr>
          <w:color w:val="495965" w:themeColor="text2"/>
          <w:sz w:val="20"/>
          <w:szCs w:val="20"/>
        </w:rPr>
      </w:pPr>
      <w:r w:rsidRPr="00180283">
        <w:rPr>
          <w:color w:val="495965" w:themeColor="text2"/>
          <w:sz w:val="20"/>
          <w:szCs w:val="20"/>
        </w:rPr>
        <w:t>enhancing gender mainstreaming in non</w:t>
      </w:r>
      <w:r>
        <w:rPr>
          <w:color w:val="495965" w:themeColor="text2"/>
          <w:sz w:val="20"/>
          <w:szCs w:val="20"/>
        </w:rPr>
        <w:t>-</w:t>
      </w:r>
      <w:r w:rsidRPr="00180283">
        <w:rPr>
          <w:color w:val="495965" w:themeColor="text2"/>
          <w:sz w:val="20"/>
          <w:szCs w:val="20"/>
        </w:rPr>
        <w:t xml:space="preserve">sovereign </w:t>
      </w:r>
      <w:proofErr w:type="gramStart"/>
      <w:r w:rsidRPr="00180283">
        <w:rPr>
          <w:color w:val="495965" w:themeColor="text2"/>
          <w:sz w:val="20"/>
          <w:szCs w:val="20"/>
        </w:rPr>
        <w:t>operations;</w:t>
      </w:r>
      <w:proofErr w:type="gramEnd"/>
      <w:r w:rsidRPr="00180283">
        <w:rPr>
          <w:color w:val="495965" w:themeColor="text2"/>
          <w:sz w:val="20"/>
          <w:szCs w:val="20"/>
        </w:rPr>
        <w:t xml:space="preserve"> </w:t>
      </w:r>
    </w:p>
    <w:p w14:paraId="3B694D81" w14:textId="4DBB1121" w:rsidR="001207A3" w:rsidRDefault="00853654" w:rsidP="00AE2BE9">
      <w:r w:rsidRPr="00180283">
        <w:rPr>
          <w:sz w:val="20"/>
          <w:szCs w:val="20"/>
        </w:rPr>
        <w:t>tackling multiple gender inequalities simultaneously through integrated solutions; and developing the capacity of developing member countries and clients.</w:t>
      </w:r>
    </w:p>
    <w:p w14:paraId="10B7B2A6" w14:textId="77777777" w:rsidR="001207A3" w:rsidRDefault="001207A3">
      <w:pPr>
        <w:suppressAutoHyphens w:val="0"/>
        <w:spacing w:before="0" w:after="120" w:line="440" w:lineRule="atLeast"/>
        <w:rPr>
          <w:rFonts w:asciiTheme="majorHAnsi" w:eastAsiaTheme="majorEastAsia" w:hAnsiTheme="majorHAnsi" w:cstheme="majorBidi"/>
          <w:b/>
          <w:bCs/>
          <w:caps/>
          <w:sz w:val="38"/>
          <w:szCs w:val="28"/>
        </w:rPr>
      </w:pPr>
      <w:r>
        <w:br w:type="page"/>
      </w:r>
    </w:p>
    <w:p w14:paraId="1DCA4CAD" w14:textId="77777777" w:rsidR="00633A66" w:rsidRDefault="00633A66" w:rsidP="00960DFB">
      <w:pPr>
        <w:pStyle w:val="Heading1"/>
        <w:sectPr w:rsidR="00633A66" w:rsidSect="008F34D6">
          <w:headerReference w:type="even" r:id="rId28"/>
          <w:headerReference w:type="default" r:id="rId29"/>
          <w:footerReference w:type="even" r:id="rId30"/>
          <w:footerReference w:type="default" r:id="rId31"/>
          <w:headerReference w:type="first" r:id="rId32"/>
          <w:footerReference w:type="first" r:id="rId33"/>
          <w:endnotePr>
            <w:numFmt w:val="decimal"/>
          </w:endnotePr>
          <w:pgSz w:w="12240" w:h="15840" w:code="1"/>
          <w:pgMar w:top="1701" w:right="1134" w:bottom="1418" w:left="1134" w:header="397" w:footer="482" w:gutter="0"/>
          <w:cols w:space="397"/>
          <w:docGrid w:linePitch="360"/>
        </w:sectPr>
      </w:pPr>
    </w:p>
    <w:p w14:paraId="7E19DD7C" w14:textId="6950EB8F" w:rsidR="00960DFB" w:rsidRDefault="00960DFB" w:rsidP="00960DFB">
      <w:pPr>
        <w:pStyle w:val="Heading1"/>
      </w:pPr>
      <w:bookmarkStart w:id="84" w:name="_Toc108168335"/>
      <w:bookmarkStart w:id="85" w:name="_Toc120201431"/>
      <w:bookmarkStart w:id="86" w:name="_Toc120544538"/>
      <w:r>
        <w:lastRenderedPageBreak/>
        <w:t>Annex D Gender actions in budget support operations</w:t>
      </w:r>
      <w:bookmarkEnd w:id="84"/>
      <w:bookmarkEnd w:id="85"/>
      <w:bookmarkEnd w:id="86"/>
    </w:p>
    <w:p w14:paraId="4152CF90" w14:textId="1F168284" w:rsidR="00960DFB" w:rsidRPr="006D4B56" w:rsidRDefault="00960DFB" w:rsidP="006D4B56">
      <w:r w:rsidRPr="006D4B56">
        <w:t>The following tables present gender-related policy actions in recent (2015 onwards) World Bank Development Policy Operations and ADB Policy Based Loans in the Pacific</w:t>
      </w:r>
      <w:r w:rsidR="006D4B56" w:rsidRPr="006D4B56">
        <w:t xml:space="preserve">. </w:t>
      </w:r>
      <w:r w:rsidRPr="006D4B56">
        <w:t>Actions are classified as:</w:t>
      </w:r>
    </w:p>
    <w:p w14:paraId="20F1A859" w14:textId="3D99B3C8" w:rsidR="00960DFB" w:rsidRPr="006D4B56" w:rsidRDefault="00960DFB" w:rsidP="00853654">
      <w:pPr>
        <w:pStyle w:val="ListParagraph"/>
        <w:numPr>
          <w:ilvl w:val="0"/>
          <w:numId w:val="11"/>
        </w:numPr>
        <w:spacing w:before="0" w:after="120" w:line="240" w:lineRule="auto"/>
        <w:ind w:left="714" w:hanging="357"/>
        <w:rPr>
          <w:color w:val="495965" w:themeColor="text2"/>
        </w:rPr>
      </w:pPr>
      <w:r w:rsidRPr="006D4B56">
        <w:rPr>
          <w:i/>
          <w:iCs/>
          <w:color w:val="495965" w:themeColor="text2"/>
        </w:rPr>
        <w:t>explicit</w:t>
      </w:r>
      <w:r w:rsidRPr="006D4B56">
        <w:rPr>
          <w:color w:val="495965" w:themeColor="text2"/>
        </w:rPr>
        <w:t xml:space="preserve"> if the action mentions ‘gender’ or ‘women’ and ‘girls’; and</w:t>
      </w:r>
    </w:p>
    <w:p w14:paraId="71D41A6C" w14:textId="77777777" w:rsidR="00960DFB" w:rsidRPr="006D4B56" w:rsidRDefault="00960DFB" w:rsidP="00853654">
      <w:pPr>
        <w:pStyle w:val="ListParagraph"/>
        <w:numPr>
          <w:ilvl w:val="0"/>
          <w:numId w:val="11"/>
        </w:numPr>
        <w:spacing w:after="0" w:line="240" w:lineRule="auto"/>
        <w:rPr>
          <w:color w:val="495965" w:themeColor="text2"/>
        </w:rPr>
      </w:pPr>
      <w:r w:rsidRPr="006D4B56">
        <w:rPr>
          <w:i/>
          <w:iCs/>
          <w:color w:val="495965" w:themeColor="text2"/>
        </w:rPr>
        <w:t>implicit</w:t>
      </w:r>
      <w:r w:rsidRPr="006D4B56">
        <w:rPr>
          <w:color w:val="495965" w:themeColor="text2"/>
        </w:rPr>
        <w:t xml:space="preserve"> if the text on operation documents indicates that the action is expected to particularly benefit women and girls.</w:t>
      </w:r>
    </w:p>
    <w:p w14:paraId="710694FF" w14:textId="58485749" w:rsidR="00960DFB" w:rsidRDefault="00960DFB" w:rsidP="000A2DC8">
      <w:pPr>
        <w:pStyle w:val="Caption"/>
        <w:keepNext/>
        <w:spacing w:before="60" w:after="120" w:line="240" w:lineRule="auto"/>
        <w:contextualSpacing w:val="0"/>
      </w:pPr>
      <w:r>
        <w:t xml:space="preserve">Table D. </w:t>
      </w:r>
      <w:r>
        <w:fldChar w:fldCharType="begin"/>
      </w:r>
      <w:r>
        <w:instrText xml:space="preserve"> SEQ Table \* ARABIC </w:instrText>
      </w:r>
      <w:r>
        <w:fldChar w:fldCharType="separate"/>
      </w:r>
      <w:r w:rsidR="00A76C2B">
        <w:rPr>
          <w:noProof/>
        </w:rPr>
        <w:t>1</w:t>
      </w:r>
      <w:r>
        <w:rPr>
          <w:noProof/>
        </w:rPr>
        <w:fldChar w:fldCharType="end"/>
      </w:r>
      <w:r>
        <w:t xml:space="preserve"> </w:t>
      </w:r>
      <w:r w:rsidRPr="00AE2BE9">
        <w:rPr>
          <w:b w:val="0"/>
          <w:bCs/>
        </w:rPr>
        <w:t>Policy actions related to gender equality in World Bank Development Policy Operations</w:t>
      </w:r>
    </w:p>
    <w:tbl>
      <w:tblPr>
        <w:tblStyle w:val="TableGrid"/>
        <w:tblW w:w="0" w:type="auto"/>
        <w:tblLook w:val="04A0" w:firstRow="1" w:lastRow="0" w:firstColumn="1" w:lastColumn="0" w:noHBand="0" w:noVBand="1"/>
      </w:tblPr>
      <w:tblGrid>
        <w:gridCol w:w="825"/>
        <w:gridCol w:w="951"/>
        <w:gridCol w:w="845"/>
        <w:gridCol w:w="8832"/>
        <w:gridCol w:w="873"/>
        <w:gridCol w:w="1236"/>
      </w:tblGrid>
      <w:tr w:rsidR="00BD3DF3" w:rsidRPr="00BD3DF3" w14:paraId="6A9DDD6B" w14:textId="77777777" w:rsidTr="00B93B1E">
        <w:trPr>
          <w:trHeight w:val="510"/>
          <w:tblHeader/>
        </w:trPr>
        <w:tc>
          <w:tcPr>
            <w:tcW w:w="0" w:type="auto"/>
          </w:tcPr>
          <w:p w14:paraId="248EECE8" w14:textId="77777777" w:rsidR="00960DFB" w:rsidRPr="00BD3DF3" w:rsidRDefault="00960DFB" w:rsidP="00B93B1E">
            <w:pPr>
              <w:spacing w:before="0"/>
              <w:rPr>
                <w:rFonts w:cstheme="minorHAnsi"/>
                <w:b/>
                <w:bCs/>
                <w:sz w:val="18"/>
                <w:szCs w:val="18"/>
              </w:rPr>
            </w:pPr>
            <w:r w:rsidRPr="00BD3DF3">
              <w:rPr>
                <w:rFonts w:cstheme="minorHAnsi"/>
                <w:b/>
                <w:bCs/>
                <w:sz w:val="18"/>
                <w:szCs w:val="18"/>
              </w:rPr>
              <w:t>Country</w:t>
            </w:r>
          </w:p>
        </w:tc>
        <w:tc>
          <w:tcPr>
            <w:tcW w:w="951" w:type="dxa"/>
          </w:tcPr>
          <w:p w14:paraId="1A2333E9" w14:textId="77777777" w:rsidR="00960DFB" w:rsidRPr="00BD3DF3" w:rsidRDefault="00960DFB" w:rsidP="00B93B1E">
            <w:pPr>
              <w:spacing w:before="0"/>
              <w:rPr>
                <w:rFonts w:cstheme="minorHAnsi"/>
                <w:b/>
                <w:bCs/>
                <w:sz w:val="18"/>
                <w:szCs w:val="18"/>
              </w:rPr>
            </w:pPr>
            <w:r w:rsidRPr="00BD3DF3">
              <w:rPr>
                <w:rFonts w:cstheme="minorHAnsi"/>
                <w:b/>
                <w:bCs/>
                <w:sz w:val="18"/>
                <w:szCs w:val="18"/>
              </w:rPr>
              <w:t>Operation Number</w:t>
            </w:r>
          </w:p>
        </w:tc>
        <w:tc>
          <w:tcPr>
            <w:tcW w:w="845" w:type="dxa"/>
          </w:tcPr>
          <w:p w14:paraId="538B2AE4" w14:textId="77777777" w:rsidR="00960DFB" w:rsidRPr="00BD3DF3" w:rsidRDefault="00960DFB" w:rsidP="00B93B1E">
            <w:pPr>
              <w:spacing w:before="0"/>
              <w:rPr>
                <w:rFonts w:cstheme="minorHAnsi"/>
                <w:b/>
                <w:bCs/>
                <w:sz w:val="18"/>
                <w:szCs w:val="18"/>
              </w:rPr>
            </w:pPr>
            <w:r w:rsidRPr="00BD3DF3">
              <w:rPr>
                <w:rFonts w:cstheme="minorHAnsi"/>
                <w:b/>
                <w:bCs/>
                <w:sz w:val="18"/>
                <w:szCs w:val="18"/>
              </w:rPr>
              <w:t>Year Effective</w:t>
            </w:r>
          </w:p>
        </w:tc>
        <w:tc>
          <w:tcPr>
            <w:tcW w:w="8998" w:type="dxa"/>
          </w:tcPr>
          <w:p w14:paraId="1CF93DFA" w14:textId="77777777" w:rsidR="00960DFB" w:rsidRPr="00BD3DF3" w:rsidRDefault="00960DFB" w:rsidP="00B93B1E">
            <w:pPr>
              <w:spacing w:before="0"/>
              <w:rPr>
                <w:rFonts w:cstheme="minorHAnsi"/>
                <w:b/>
                <w:bCs/>
                <w:sz w:val="18"/>
                <w:szCs w:val="18"/>
              </w:rPr>
            </w:pPr>
            <w:r w:rsidRPr="00BD3DF3">
              <w:rPr>
                <w:rFonts w:cstheme="minorHAnsi"/>
                <w:b/>
                <w:bCs/>
                <w:sz w:val="18"/>
                <w:szCs w:val="18"/>
              </w:rPr>
              <w:t>Prior Action</w:t>
            </w:r>
          </w:p>
        </w:tc>
        <w:tc>
          <w:tcPr>
            <w:tcW w:w="328" w:type="dxa"/>
          </w:tcPr>
          <w:p w14:paraId="20CB6ECC" w14:textId="77777777" w:rsidR="00960DFB" w:rsidRPr="00BD3DF3" w:rsidRDefault="00960DFB" w:rsidP="00B93B1E">
            <w:pPr>
              <w:spacing w:before="0"/>
              <w:rPr>
                <w:rFonts w:cstheme="minorHAnsi"/>
                <w:b/>
                <w:bCs/>
                <w:sz w:val="18"/>
                <w:szCs w:val="18"/>
              </w:rPr>
            </w:pPr>
            <w:r w:rsidRPr="00BD3DF3">
              <w:rPr>
                <w:rFonts w:cstheme="minorHAnsi"/>
                <w:b/>
                <w:bCs/>
                <w:sz w:val="18"/>
                <w:szCs w:val="18"/>
              </w:rPr>
              <w:t>Gender targeting</w:t>
            </w:r>
          </w:p>
        </w:tc>
        <w:tc>
          <w:tcPr>
            <w:tcW w:w="0" w:type="auto"/>
          </w:tcPr>
          <w:p w14:paraId="37664CD2" w14:textId="77777777" w:rsidR="00960DFB" w:rsidRPr="00BD3DF3" w:rsidRDefault="00960DFB" w:rsidP="00B93B1E">
            <w:pPr>
              <w:spacing w:before="0"/>
              <w:rPr>
                <w:rFonts w:cstheme="minorHAnsi"/>
                <w:b/>
                <w:bCs/>
                <w:sz w:val="18"/>
                <w:szCs w:val="18"/>
              </w:rPr>
            </w:pPr>
            <w:r w:rsidRPr="00BD3DF3">
              <w:rPr>
                <w:rFonts w:cstheme="minorHAnsi"/>
                <w:b/>
                <w:bCs/>
                <w:sz w:val="18"/>
                <w:szCs w:val="18"/>
              </w:rPr>
              <w:t>Gender analysis, disaggregated indicators</w:t>
            </w:r>
          </w:p>
        </w:tc>
      </w:tr>
      <w:tr w:rsidR="00BD3DF3" w:rsidRPr="00BD3DF3" w14:paraId="4C394343" w14:textId="77777777" w:rsidTr="00B93B1E">
        <w:trPr>
          <w:trHeight w:val="510"/>
        </w:trPr>
        <w:tc>
          <w:tcPr>
            <w:tcW w:w="0" w:type="auto"/>
          </w:tcPr>
          <w:p w14:paraId="45443680" w14:textId="77777777" w:rsidR="00960DFB" w:rsidRPr="00BD3DF3" w:rsidRDefault="00960DFB" w:rsidP="00B93B1E">
            <w:pPr>
              <w:spacing w:before="0"/>
              <w:rPr>
                <w:rFonts w:cstheme="minorHAnsi"/>
                <w:sz w:val="18"/>
                <w:szCs w:val="18"/>
              </w:rPr>
            </w:pPr>
            <w:r w:rsidRPr="00BD3DF3">
              <w:rPr>
                <w:rFonts w:cstheme="minorHAnsi"/>
                <w:sz w:val="18"/>
                <w:szCs w:val="18"/>
              </w:rPr>
              <w:t>Fiji</w:t>
            </w:r>
          </w:p>
        </w:tc>
        <w:tc>
          <w:tcPr>
            <w:tcW w:w="951" w:type="dxa"/>
          </w:tcPr>
          <w:p w14:paraId="64EBA42A" w14:textId="77777777" w:rsidR="00960DFB" w:rsidRPr="00BD3DF3" w:rsidRDefault="00960DFB" w:rsidP="00B93B1E">
            <w:pPr>
              <w:spacing w:before="0"/>
              <w:rPr>
                <w:rFonts w:cstheme="minorHAnsi"/>
                <w:sz w:val="18"/>
                <w:szCs w:val="18"/>
              </w:rPr>
            </w:pPr>
            <w:r w:rsidRPr="00BD3DF3">
              <w:rPr>
                <w:rFonts w:cstheme="minorHAnsi"/>
                <w:sz w:val="18"/>
                <w:szCs w:val="18"/>
              </w:rPr>
              <w:t>P165276</w:t>
            </w:r>
          </w:p>
        </w:tc>
        <w:tc>
          <w:tcPr>
            <w:tcW w:w="845" w:type="dxa"/>
          </w:tcPr>
          <w:p w14:paraId="3F05CD07" w14:textId="77777777" w:rsidR="00960DFB" w:rsidRPr="00BD3DF3" w:rsidRDefault="00960DFB" w:rsidP="00B93B1E">
            <w:pPr>
              <w:spacing w:before="0"/>
              <w:rPr>
                <w:rFonts w:cstheme="minorHAnsi"/>
                <w:sz w:val="18"/>
                <w:szCs w:val="18"/>
              </w:rPr>
            </w:pPr>
            <w:r w:rsidRPr="00BD3DF3">
              <w:rPr>
                <w:rFonts w:cstheme="minorHAnsi"/>
                <w:sz w:val="18"/>
                <w:szCs w:val="18"/>
              </w:rPr>
              <w:t>2018</w:t>
            </w:r>
          </w:p>
        </w:tc>
        <w:tc>
          <w:tcPr>
            <w:tcW w:w="8998" w:type="dxa"/>
          </w:tcPr>
          <w:p w14:paraId="5C97635A" w14:textId="35A407C4" w:rsidR="00960DFB" w:rsidRPr="00BD3DF3" w:rsidRDefault="00960DFB" w:rsidP="00B93B1E">
            <w:pPr>
              <w:autoSpaceDE w:val="0"/>
              <w:autoSpaceDN w:val="0"/>
              <w:adjustRightInd w:val="0"/>
              <w:spacing w:before="0"/>
              <w:rPr>
                <w:rFonts w:cstheme="minorHAnsi"/>
                <w:sz w:val="18"/>
                <w:szCs w:val="18"/>
              </w:rPr>
            </w:pPr>
            <w:r w:rsidRPr="00BD3DF3">
              <w:rPr>
                <w:rFonts w:cstheme="minorHAnsi"/>
                <w:sz w:val="18"/>
                <w:szCs w:val="18"/>
              </w:rPr>
              <w:t>Prior Action 1</w:t>
            </w:r>
            <w:r w:rsidR="00BD3DF3" w:rsidRPr="00BD3DF3">
              <w:rPr>
                <w:rFonts w:cstheme="minorHAnsi"/>
                <w:sz w:val="18"/>
                <w:szCs w:val="18"/>
              </w:rPr>
              <w:t>:</w:t>
            </w:r>
            <w:r w:rsidRPr="00BD3DF3">
              <w:rPr>
                <w:rFonts w:cstheme="minorHAnsi"/>
                <w:sz w:val="18"/>
                <w:szCs w:val="18"/>
              </w:rPr>
              <w:t xml:space="preserve"> The Borrower, through its Parliament, has: (a) eliminated the dividend taxation regime; (b) raised the minimum income‐tax threshold for its male and female residents from F$16,000 to F$30,000 per annum; (c) increased the Environment and Climate Adaptation Levy from 6 to 10 </w:t>
            </w:r>
            <w:r w:rsidR="001F27CC">
              <w:rPr>
                <w:rFonts w:cstheme="minorHAnsi"/>
                <w:sz w:val="18"/>
                <w:szCs w:val="18"/>
              </w:rPr>
              <w:t>per cent</w:t>
            </w:r>
            <w:r w:rsidRPr="00BD3DF3">
              <w:rPr>
                <w:rFonts w:cstheme="minorHAnsi"/>
                <w:sz w:val="18"/>
                <w:szCs w:val="18"/>
              </w:rPr>
              <w:t xml:space="preserve">; (d) introduced a F$0.10c charge per bag on plastic bags at retail outlets; and (e) increased fiscal duties on cigarettes, tobacco, and alcohol by 15 </w:t>
            </w:r>
            <w:r w:rsidR="001F27CC">
              <w:rPr>
                <w:rFonts w:cstheme="minorHAnsi"/>
                <w:sz w:val="18"/>
                <w:szCs w:val="18"/>
              </w:rPr>
              <w:t>per cent</w:t>
            </w:r>
            <w:r w:rsidRPr="00BD3DF3">
              <w:rPr>
                <w:rFonts w:cstheme="minorHAnsi"/>
                <w:sz w:val="18"/>
                <w:szCs w:val="18"/>
              </w:rPr>
              <w:t>.</w:t>
            </w:r>
          </w:p>
        </w:tc>
        <w:tc>
          <w:tcPr>
            <w:tcW w:w="328" w:type="dxa"/>
          </w:tcPr>
          <w:p w14:paraId="36CB5D6C" w14:textId="77777777" w:rsidR="00960DFB" w:rsidRPr="00BD3DF3" w:rsidRDefault="00960DFB" w:rsidP="00B93B1E">
            <w:pPr>
              <w:spacing w:before="0"/>
              <w:rPr>
                <w:rFonts w:cstheme="minorHAnsi"/>
                <w:sz w:val="18"/>
                <w:szCs w:val="18"/>
              </w:rPr>
            </w:pPr>
            <w:r w:rsidRPr="00BD3DF3">
              <w:rPr>
                <w:rFonts w:cstheme="minorHAnsi"/>
                <w:sz w:val="18"/>
                <w:szCs w:val="18"/>
              </w:rPr>
              <w:t>Implicit</w:t>
            </w:r>
          </w:p>
        </w:tc>
        <w:tc>
          <w:tcPr>
            <w:tcW w:w="0" w:type="auto"/>
          </w:tcPr>
          <w:p w14:paraId="32CBB707" w14:textId="77777777" w:rsidR="00960DFB" w:rsidRPr="00BD3DF3" w:rsidRDefault="00960DFB" w:rsidP="00B93B1E">
            <w:pPr>
              <w:spacing w:before="0"/>
              <w:rPr>
                <w:rFonts w:cstheme="minorHAnsi"/>
                <w:sz w:val="18"/>
                <w:szCs w:val="18"/>
              </w:rPr>
            </w:pPr>
            <w:r w:rsidRPr="00BD3DF3">
              <w:rPr>
                <w:rFonts w:cstheme="minorHAnsi"/>
                <w:sz w:val="18"/>
                <w:szCs w:val="18"/>
              </w:rPr>
              <w:t>No</w:t>
            </w:r>
          </w:p>
        </w:tc>
      </w:tr>
      <w:tr w:rsidR="00BD3DF3" w:rsidRPr="00BD3DF3" w14:paraId="4CC166F1" w14:textId="77777777" w:rsidTr="00B93B1E">
        <w:trPr>
          <w:trHeight w:val="510"/>
        </w:trPr>
        <w:tc>
          <w:tcPr>
            <w:tcW w:w="0" w:type="auto"/>
          </w:tcPr>
          <w:p w14:paraId="4BD63243" w14:textId="77777777" w:rsidR="00960DFB" w:rsidRPr="00BD3DF3" w:rsidRDefault="00960DFB" w:rsidP="00B93B1E">
            <w:pPr>
              <w:spacing w:before="0"/>
              <w:rPr>
                <w:rFonts w:cstheme="minorHAnsi"/>
                <w:sz w:val="18"/>
                <w:szCs w:val="18"/>
              </w:rPr>
            </w:pPr>
            <w:r w:rsidRPr="00BD3DF3">
              <w:rPr>
                <w:rFonts w:cstheme="minorHAnsi"/>
                <w:sz w:val="18"/>
                <w:szCs w:val="18"/>
              </w:rPr>
              <w:t>Fiji</w:t>
            </w:r>
          </w:p>
        </w:tc>
        <w:tc>
          <w:tcPr>
            <w:tcW w:w="951" w:type="dxa"/>
          </w:tcPr>
          <w:p w14:paraId="735314C5" w14:textId="77777777" w:rsidR="00960DFB" w:rsidRPr="00BD3DF3" w:rsidRDefault="00960DFB" w:rsidP="00B93B1E">
            <w:pPr>
              <w:spacing w:before="0"/>
              <w:rPr>
                <w:rFonts w:cstheme="minorHAnsi"/>
                <w:sz w:val="18"/>
                <w:szCs w:val="18"/>
              </w:rPr>
            </w:pPr>
            <w:r w:rsidRPr="00BD3DF3">
              <w:rPr>
                <w:rFonts w:cstheme="minorHAnsi"/>
                <w:sz w:val="18"/>
                <w:szCs w:val="18"/>
              </w:rPr>
              <w:t>P168402</w:t>
            </w:r>
          </w:p>
        </w:tc>
        <w:tc>
          <w:tcPr>
            <w:tcW w:w="845" w:type="dxa"/>
          </w:tcPr>
          <w:p w14:paraId="5550C100" w14:textId="77777777" w:rsidR="00960DFB" w:rsidRPr="00BD3DF3" w:rsidRDefault="00960DFB" w:rsidP="00B93B1E">
            <w:pPr>
              <w:spacing w:before="0"/>
              <w:rPr>
                <w:rFonts w:cstheme="minorHAnsi"/>
                <w:sz w:val="18"/>
                <w:szCs w:val="18"/>
              </w:rPr>
            </w:pPr>
            <w:r w:rsidRPr="00BD3DF3">
              <w:rPr>
                <w:rFonts w:cstheme="minorHAnsi"/>
                <w:sz w:val="18"/>
                <w:szCs w:val="18"/>
              </w:rPr>
              <w:t>2020</w:t>
            </w:r>
          </w:p>
        </w:tc>
        <w:tc>
          <w:tcPr>
            <w:tcW w:w="8998" w:type="dxa"/>
          </w:tcPr>
          <w:p w14:paraId="16090B86" w14:textId="77777777" w:rsidR="00960DFB" w:rsidRPr="00BD3DF3" w:rsidRDefault="00960DFB" w:rsidP="00B93B1E">
            <w:pPr>
              <w:autoSpaceDE w:val="0"/>
              <w:autoSpaceDN w:val="0"/>
              <w:adjustRightInd w:val="0"/>
              <w:spacing w:before="0"/>
              <w:rPr>
                <w:rFonts w:cstheme="minorHAnsi"/>
                <w:sz w:val="18"/>
                <w:szCs w:val="18"/>
              </w:rPr>
            </w:pPr>
            <w:r w:rsidRPr="00BD3DF3">
              <w:rPr>
                <w:rFonts w:cstheme="minorHAnsi"/>
                <w:sz w:val="18"/>
                <w:szCs w:val="18"/>
              </w:rPr>
              <w:t>Prior Action 5: The Recipient, through the Ministry of Economy, has established the regulatory framework and institutions necessary to allow moveable property to be used more securely as collateral for credit purposes by: (a) the commencement of the Personal Property Securities Act 2017; (b) the publication and commencement of the Personal Property Securities Regulations 2019; (c) the appointment of the Reserve Bank of Fiji as the Registrar and administrator of the Personal Property Securities Registry.</w:t>
            </w:r>
          </w:p>
          <w:p w14:paraId="740BC415" w14:textId="77777777" w:rsidR="00960DFB" w:rsidRPr="00BD3DF3" w:rsidRDefault="00960DFB" w:rsidP="00B93B1E">
            <w:pPr>
              <w:autoSpaceDE w:val="0"/>
              <w:autoSpaceDN w:val="0"/>
              <w:adjustRightInd w:val="0"/>
              <w:spacing w:before="0"/>
              <w:rPr>
                <w:rFonts w:cstheme="minorHAnsi"/>
                <w:sz w:val="18"/>
                <w:szCs w:val="18"/>
              </w:rPr>
            </w:pPr>
            <w:r w:rsidRPr="00BD3DF3">
              <w:rPr>
                <w:rFonts w:cstheme="minorHAnsi"/>
                <w:sz w:val="18"/>
                <w:szCs w:val="18"/>
              </w:rPr>
              <w:t>Prior Action 6: The Recipient, through its Cabinet, has approved Resilient Building Guidelines that: (</w:t>
            </w:r>
            <w:proofErr w:type="spellStart"/>
            <w:r w:rsidRPr="00BD3DF3">
              <w:rPr>
                <w:rFonts w:cstheme="minorHAnsi"/>
                <w:sz w:val="18"/>
                <w:szCs w:val="18"/>
              </w:rPr>
              <w:t>i</w:t>
            </w:r>
            <w:proofErr w:type="spellEnd"/>
            <w:r w:rsidRPr="00BD3DF3">
              <w:rPr>
                <w:rFonts w:cstheme="minorHAnsi"/>
                <w:sz w:val="18"/>
                <w:szCs w:val="18"/>
              </w:rPr>
              <w:t>) strengthen new single-story schools and residential housing on native lands against climate-related risks and earthquakes aligned with the National Building Code - Fiji requirements; and (ii) form contents of training for building practitioners in rural areas.</w:t>
            </w:r>
          </w:p>
        </w:tc>
        <w:tc>
          <w:tcPr>
            <w:tcW w:w="328" w:type="dxa"/>
          </w:tcPr>
          <w:p w14:paraId="026E4082" w14:textId="77777777" w:rsidR="00960DFB" w:rsidRPr="00BD3DF3" w:rsidRDefault="00960DFB" w:rsidP="00B93B1E">
            <w:pPr>
              <w:spacing w:before="0"/>
              <w:rPr>
                <w:rFonts w:cstheme="minorHAnsi"/>
                <w:sz w:val="18"/>
                <w:szCs w:val="18"/>
              </w:rPr>
            </w:pPr>
            <w:r w:rsidRPr="00BD3DF3">
              <w:rPr>
                <w:rFonts w:cstheme="minorHAnsi"/>
                <w:sz w:val="18"/>
                <w:szCs w:val="18"/>
              </w:rPr>
              <w:t>Implicit</w:t>
            </w:r>
          </w:p>
        </w:tc>
        <w:tc>
          <w:tcPr>
            <w:tcW w:w="0" w:type="auto"/>
          </w:tcPr>
          <w:p w14:paraId="5AAD7DD6" w14:textId="77777777" w:rsidR="00960DFB" w:rsidRPr="00BD3DF3" w:rsidRDefault="00960DFB" w:rsidP="00B93B1E">
            <w:pPr>
              <w:spacing w:before="0"/>
              <w:rPr>
                <w:rFonts w:cstheme="minorHAnsi"/>
                <w:sz w:val="18"/>
                <w:szCs w:val="18"/>
              </w:rPr>
            </w:pPr>
            <w:r w:rsidRPr="00BD3DF3">
              <w:rPr>
                <w:rFonts w:cstheme="minorHAnsi"/>
                <w:sz w:val="18"/>
                <w:szCs w:val="18"/>
              </w:rPr>
              <w:t>Yes, plus gender annex</w:t>
            </w:r>
          </w:p>
        </w:tc>
      </w:tr>
      <w:tr w:rsidR="00BD3DF3" w:rsidRPr="00BD3DF3" w14:paraId="548F703F" w14:textId="77777777" w:rsidTr="00B93B1E">
        <w:trPr>
          <w:trHeight w:val="510"/>
        </w:trPr>
        <w:tc>
          <w:tcPr>
            <w:tcW w:w="0" w:type="auto"/>
          </w:tcPr>
          <w:p w14:paraId="3297011F" w14:textId="77777777" w:rsidR="00960DFB" w:rsidRPr="00BD3DF3" w:rsidRDefault="00960DFB" w:rsidP="00B93B1E">
            <w:pPr>
              <w:spacing w:before="0"/>
              <w:rPr>
                <w:rFonts w:cstheme="minorHAnsi"/>
                <w:sz w:val="18"/>
                <w:szCs w:val="18"/>
              </w:rPr>
            </w:pPr>
            <w:r w:rsidRPr="00BD3DF3">
              <w:rPr>
                <w:rFonts w:cstheme="minorHAnsi"/>
                <w:sz w:val="18"/>
                <w:szCs w:val="18"/>
              </w:rPr>
              <w:t>Fiji</w:t>
            </w:r>
          </w:p>
        </w:tc>
        <w:tc>
          <w:tcPr>
            <w:tcW w:w="951" w:type="dxa"/>
          </w:tcPr>
          <w:p w14:paraId="6612C65F" w14:textId="77777777" w:rsidR="00960DFB" w:rsidRPr="00BD3DF3" w:rsidRDefault="00960DFB" w:rsidP="00B93B1E">
            <w:pPr>
              <w:spacing w:before="0"/>
              <w:rPr>
                <w:rFonts w:cstheme="minorHAnsi"/>
                <w:sz w:val="18"/>
                <w:szCs w:val="18"/>
              </w:rPr>
            </w:pPr>
            <w:r w:rsidRPr="00BD3DF3">
              <w:rPr>
                <w:rFonts w:cstheme="minorHAnsi"/>
                <w:sz w:val="18"/>
                <w:szCs w:val="18"/>
              </w:rPr>
              <w:t>P173558</w:t>
            </w:r>
          </w:p>
        </w:tc>
        <w:tc>
          <w:tcPr>
            <w:tcW w:w="845" w:type="dxa"/>
          </w:tcPr>
          <w:p w14:paraId="7951089E" w14:textId="77777777" w:rsidR="00960DFB" w:rsidRPr="00BD3DF3" w:rsidRDefault="00960DFB" w:rsidP="00B93B1E">
            <w:pPr>
              <w:spacing w:before="0"/>
              <w:rPr>
                <w:rFonts w:cstheme="minorHAnsi"/>
                <w:sz w:val="18"/>
                <w:szCs w:val="18"/>
              </w:rPr>
            </w:pPr>
          </w:p>
        </w:tc>
        <w:tc>
          <w:tcPr>
            <w:tcW w:w="8998" w:type="dxa"/>
          </w:tcPr>
          <w:p w14:paraId="34C49AFF" w14:textId="77777777" w:rsidR="00960DFB" w:rsidRPr="00BD3DF3" w:rsidRDefault="00960DFB" w:rsidP="00B93B1E">
            <w:pPr>
              <w:autoSpaceDE w:val="0"/>
              <w:autoSpaceDN w:val="0"/>
              <w:adjustRightInd w:val="0"/>
              <w:spacing w:before="0"/>
              <w:rPr>
                <w:rFonts w:cstheme="minorHAnsi"/>
                <w:sz w:val="18"/>
                <w:szCs w:val="18"/>
              </w:rPr>
            </w:pPr>
            <w:r w:rsidRPr="00BD3DF3">
              <w:rPr>
                <w:rFonts w:cstheme="minorHAnsi"/>
                <w:sz w:val="18"/>
                <w:szCs w:val="18"/>
              </w:rPr>
              <w:t>Prior Action 7: To strengthen public financial management, the Recipient, through its Cabinet, has: (</w:t>
            </w:r>
            <w:proofErr w:type="spellStart"/>
            <w:r w:rsidRPr="00BD3DF3">
              <w:rPr>
                <w:rFonts w:cstheme="minorHAnsi"/>
                <w:sz w:val="18"/>
                <w:szCs w:val="18"/>
              </w:rPr>
              <w:t>i</w:t>
            </w:r>
            <w:proofErr w:type="spellEnd"/>
            <w:r w:rsidRPr="00BD3DF3">
              <w:rPr>
                <w:rFonts w:cstheme="minorHAnsi"/>
                <w:sz w:val="18"/>
                <w:szCs w:val="18"/>
              </w:rPr>
              <w:t>) approved the Financial Management (Amendment) Bill 2021; (ii) applied Gender Responsive Budgeting principles in its FY2020-2021 budget process with regard to two pilot ministries, namely, the Ministry of Commerce, Trade, Tourism and Transport and the Ministry of Fisheries; and (iii) agreed that Gender Responsive Budgeting principles will be rolled out to other ministries in the future.</w:t>
            </w:r>
          </w:p>
        </w:tc>
        <w:tc>
          <w:tcPr>
            <w:tcW w:w="328" w:type="dxa"/>
          </w:tcPr>
          <w:p w14:paraId="757AFD61" w14:textId="77777777" w:rsidR="00960DFB" w:rsidRPr="00BD3DF3" w:rsidRDefault="00960DFB" w:rsidP="00B93B1E">
            <w:pPr>
              <w:spacing w:before="0"/>
              <w:rPr>
                <w:rFonts w:cstheme="minorHAnsi"/>
                <w:sz w:val="18"/>
                <w:szCs w:val="18"/>
              </w:rPr>
            </w:pPr>
            <w:r w:rsidRPr="00BD3DF3">
              <w:rPr>
                <w:rFonts w:cstheme="minorHAnsi"/>
                <w:sz w:val="18"/>
                <w:szCs w:val="18"/>
              </w:rPr>
              <w:t>Explicit</w:t>
            </w:r>
          </w:p>
        </w:tc>
        <w:tc>
          <w:tcPr>
            <w:tcW w:w="0" w:type="auto"/>
          </w:tcPr>
          <w:p w14:paraId="0A575CCA" w14:textId="77777777" w:rsidR="00960DFB" w:rsidRPr="00BD3DF3" w:rsidRDefault="00960DFB" w:rsidP="00B93B1E">
            <w:pPr>
              <w:spacing w:before="0"/>
              <w:rPr>
                <w:rFonts w:cstheme="minorHAnsi"/>
                <w:sz w:val="18"/>
                <w:szCs w:val="18"/>
              </w:rPr>
            </w:pPr>
            <w:r w:rsidRPr="00BD3DF3">
              <w:rPr>
                <w:rFonts w:cstheme="minorHAnsi"/>
                <w:sz w:val="18"/>
                <w:szCs w:val="18"/>
              </w:rPr>
              <w:t>Yes, plus annex on WEE and GRB</w:t>
            </w:r>
          </w:p>
        </w:tc>
      </w:tr>
      <w:tr w:rsidR="00BD3DF3" w:rsidRPr="00BD3DF3" w14:paraId="218417D6" w14:textId="77777777" w:rsidTr="00B93B1E">
        <w:trPr>
          <w:trHeight w:val="510"/>
        </w:trPr>
        <w:tc>
          <w:tcPr>
            <w:tcW w:w="0" w:type="auto"/>
          </w:tcPr>
          <w:p w14:paraId="1DD209F0" w14:textId="77777777" w:rsidR="00960DFB" w:rsidRPr="00BD3DF3" w:rsidRDefault="00960DFB" w:rsidP="00B93B1E">
            <w:pPr>
              <w:spacing w:before="0"/>
              <w:rPr>
                <w:rFonts w:cstheme="minorHAnsi"/>
                <w:sz w:val="18"/>
                <w:szCs w:val="18"/>
              </w:rPr>
            </w:pPr>
            <w:r w:rsidRPr="00BD3DF3">
              <w:rPr>
                <w:rFonts w:cstheme="minorHAnsi"/>
                <w:sz w:val="18"/>
                <w:szCs w:val="18"/>
              </w:rPr>
              <w:t>Kiribati</w:t>
            </w:r>
          </w:p>
        </w:tc>
        <w:tc>
          <w:tcPr>
            <w:tcW w:w="951" w:type="dxa"/>
          </w:tcPr>
          <w:p w14:paraId="1DD408FE" w14:textId="77777777" w:rsidR="00960DFB" w:rsidRPr="00BD3DF3" w:rsidRDefault="00960DFB" w:rsidP="00B93B1E">
            <w:pPr>
              <w:spacing w:before="0"/>
              <w:rPr>
                <w:rFonts w:cstheme="minorHAnsi"/>
                <w:sz w:val="18"/>
                <w:szCs w:val="18"/>
              </w:rPr>
            </w:pPr>
            <w:r w:rsidRPr="00BD3DF3">
              <w:rPr>
                <w:rFonts w:cstheme="minorHAnsi"/>
                <w:sz w:val="18"/>
                <w:szCs w:val="18"/>
              </w:rPr>
              <w:t>P167263</w:t>
            </w:r>
          </w:p>
        </w:tc>
        <w:tc>
          <w:tcPr>
            <w:tcW w:w="845" w:type="dxa"/>
          </w:tcPr>
          <w:p w14:paraId="6A69B2B7" w14:textId="77777777" w:rsidR="00960DFB" w:rsidRPr="00BD3DF3" w:rsidRDefault="00960DFB" w:rsidP="00B93B1E">
            <w:pPr>
              <w:spacing w:before="0"/>
              <w:rPr>
                <w:rFonts w:cstheme="minorHAnsi"/>
                <w:sz w:val="18"/>
                <w:szCs w:val="18"/>
              </w:rPr>
            </w:pPr>
            <w:r w:rsidRPr="00BD3DF3">
              <w:rPr>
                <w:rFonts w:cstheme="minorHAnsi"/>
                <w:sz w:val="18"/>
                <w:szCs w:val="18"/>
              </w:rPr>
              <w:t>2018</w:t>
            </w:r>
          </w:p>
        </w:tc>
        <w:tc>
          <w:tcPr>
            <w:tcW w:w="8998" w:type="dxa"/>
          </w:tcPr>
          <w:p w14:paraId="73FA0A64" w14:textId="3CBF4980" w:rsidR="00960DFB" w:rsidRPr="00BD3DF3" w:rsidRDefault="00960DFB" w:rsidP="00B93B1E">
            <w:pPr>
              <w:autoSpaceDE w:val="0"/>
              <w:autoSpaceDN w:val="0"/>
              <w:adjustRightInd w:val="0"/>
              <w:spacing w:before="0"/>
              <w:rPr>
                <w:rFonts w:cstheme="minorHAnsi"/>
                <w:sz w:val="18"/>
                <w:szCs w:val="18"/>
              </w:rPr>
            </w:pPr>
            <w:r w:rsidRPr="00BD3DF3">
              <w:rPr>
                <w:rFonts w:cstheme="minorHAnsi"/>
                <w:sz w:val="18"/>
                <w:szCs w:val="18"/>
              </w:rPr>
              <w:t>Prior Action 5</w:t>
            </w:r>
            <w:r w:rsidR="00BD3DF3" w:rsidRPr="00BD3DF3">
              <w:rPr>
                <w:rFonts w:cstheme="minorHAnsi"/>
                <w:sz w:val="18"/>
                <w:szCs w:val="18"/>
              </w:rPr>
              <w:t>:</w:t>
            </w:r>
            <w:r w:rsidRPr="00BD3DF3">
              <w:rPr>
                <w:rFonts w:cstheme="minorHAnsi"/>
                <w:sz w:val="18"/>
                <w:szCs w:val="18"/>
              </w:rPr>
              <w:t xml:space="preserve"> The Recipient, through its Cabinet, has approved the introduction of a tariff for residential water use for the three pilot areas of South Tarawa where households are provided with reticulated water 24 hours a day, 7 days a week, a decision critical for the Public Utilities Board to develop and sustain safe water supply services to </w:t>
            </w:r>
            <w:proofErr w:type="gramStart"/>
            <w:r w:rsidRPr="00BD3DF3">
              <w:rPr>
                <w:rFonts w:cstheme="minorHAnsi"/>
                <w:sz w:val="18"/>
                <w:szCs w:val="18"/>
              </w:rPr>
              <w:t>all of</w:t>
            </w:r>
            <w:proofErr w:type="gramEnd"/>
            <w:r w:rsidRPr="00BD3DF3">
              <w:rPr>
                <w:rFonts w:cstheme="minorHAnsi"/>
                <w:sz w:val="18"/>
                <w:szCs w:val="18"/>
              </w:rPr>
              <w:t xml:space="preserve"> South Tarawa, thereby reducing the associated burden on women and girls. </w:t>
            </w:r>
          </w:p>
          <w:p w14:paraId="5A6D9E74" w14:textId="77777777" w:rsidR="00960DFB" w:rsidRPr="00BD3DF3" w:rsidRDefault="00960DFB" w:rsidP="00B93B1E">
            <w:pPr>
              <w:autoSpaceDE w:val="0"/>
              <w:autoSpaceDN w:val="0"/>
              <w:adjustRightInd w:val="0"/>
              <w:spacing w:before="0"/>
              <w:rPr>
                <w:rFonts w:cstheme="minorHAnsi"/>
                <w:sz w:val="18"/>
                <w:szCs w:val="18"/>
              </w:rPr>
            </w:pPr>
            <w:r w:rsidRPr="00BD3DF3">
              <w:rPr>
                <w:rFonts w:cstheme="minorHAnsi"/>
                <w:sz w:val="18"/>
                <w:szCs w:val="18"/>
              </w:rPr>
              <w:t xml:space="preserve">Prior Action 6 The Recipient, through its Parliament, has enacted the Early Childhood Care and Education Act 2017, for the regulation, facilitation and support of early childhood care and education and preschool programs and services at national and local government levels. </w:t>
            </w:r>
          </w:p>
        </w:tc>
        <w:tc>
          <w:tcPr>
            <w:tcW w:w="328" w:type="dxa"/>
          </w:tcPr>
          <w:p w14:paraId="3A64B95C" w14:textId="77777777" w:rsidR="00960DFB" w:rsidRPr="00BD3DF3" w:rsidRDefault="00960DFB" w:rsidP="00B93B1E">
            <w:pPr>
              <w:spacing w:before="0"/>
              <w:rPr>
                <w:rFonts w:cstheme="minorHAnsi"/>
                <w:sz w:val="18"/>
                <w:szCs w:val="18"/>
              </w:rPr>
            </w:pPr>
            <w:r w:rsidRPr="00BD3DF3">
              <w:rPr>
                <w:rFonts w:cstheme="minorHAnsi"/>
                <w:sz w:val="18"/>
                <w:szCs w:val="18"/>
              </w:rPr>
              <w:t>Implicit, Explicit</w:t>
            </w:r>
          </w:p>
        </w:tc>
        <w:tc>
          <w:tcPr>
            <w:tcW w:w="0" w:type="auto"/>
          </w:tcPr>
          <w:p w14:paraId="4527C381" w14:textId="77777777" w:rsidR="00960DFB" w:rsidRPr="00BD3DF3" w:rsidRDefault="00960DFB" w:rsidP="00B93B1E">
            <w:pPr>
              <w:spacing w:before="0"/>
              <w:rPr>
                <w:rFonts w:cstheme="minorHAnsi"/>
                <w:sz w:val="18"/>
                <w:szCs w:val="18"/>
              </w:rPr>
            </w:pPr>
            <w:r w:rsidRPr="00BD3DF3">
              <w:rPr>
                <w:rFonts w:cstheme="minorHAnsi"/>
                <w:sz w:val="18"/>
                <w:szCs w:val="18"/>
              </w:rPr>
              <w:t>Yes</w:t>
            </w:r>
          </w:p>
        </w:tc>
      </w:tr>
      <w:tr w:rsidR="00BD3DF3" w:rsidRPr="00BD3DF3" w14:paraId="364775DA" w14:textId="77777777" w:rsidTr="00B93B1E">
        <w:trPr>
          <w:trHeight w:val="510"/>
        </w:trPr>
        <w:tc>
          <w:tcPr>
            <w:tcW w:w="0" w:type="auto"/>
          </w:tcPr>
          <w:p w14:paraId="63933CC4" w14:textId="77777777" w:rsidR="00960DFB" w:rsidRPr="00BD3DF3" w:rsidRDefault="00960DFB" w:rsidP="00B93B1E">
            <w:pPr>
              <w:spacing w:before="0"/>
              <w:rPr>
                <w:rFonts w:cstheme="minorHAnsi"/>
                <w:sz w:val="18"/>
                <w:szCs w:val="18"/>
              </w:rPr>
            </w:pPr>
            <w:r w:rsidRPr="00BD3DF3">
              <w:rPr>
                <w:rFonts w:cstheme="minorHAnsi"/>
                <w:sz w:val="18"/>
                <w:szCs w:val="18"/>
              </w:rPr>
              <w:t>Kiribati</w:t>
            </w:r>
          </w:p>
        </w:tc>
        <w:tc>
          <w:tcPr>
            <w:tcW w:w="951" w:type="dxa"/>
          </w:tcPr>
          <w:p w14:paraId="228F04BF" w14:textId="77777777" w:rsidR="00960DFB" w:rsidRPr="00BD3DF3" w:rsidRDefault="00960DFB" w:rsidP="00B93B1E">
            <w:pPr>
              <w:spacing w:before="0"/>
              <w:rPr>
                <w:rFonts w:cstheme="minorHAnsi"/>
                <w:sz w:val="18"/>
                <w:szCs w:val="18"/>
              </w:rPr>
            </w:pPr>
            <w:r w:rsidRPr="00BD3DF3">
              <w:rPr>
                <w:rFonts w:cstheme="minorHAnsi"/>
                <w:sz w:val="18"/>
                <w:szCs w:val="18"/>
              </w:rPr>
              <w:t>P169179</w:t>
            </w:r>
          </w:p>
        </w:tc>
        <w:tc>
          <w:tcPr>
            <w:tcW w:w="845" w:type="dxa"/>
          </w:tcPr>
          <w:p w14:paraId="63B5C92F" w14:textId="77777777" w:rsidR="00960DFB" w:rsidRPr="00BD3DF3" w:rsidRDefault="00960DFB" w:rsidP="00B93B1E">
            <w:pPr>
              <w:spacing w:before="0"/>
              <w:rPr>
                <w:rFonts w:cstheme="minorHAnsi"/>
                <w:sz w:val="18"/>
                <w:szCs w:val="18"/>
              </w:rPr>
            </w:pPr>
            <w:r w:rsidRPr="00BD3DF3">
              <w:rPr>
                <w:rFonts w:cstheme="minorHAnsi"/>
                <w:sz w:val="18"/>
                <w:szCs w:val="18"/>
              </w:rPr>
              <w:t>2021</w:t>
            </w:r>
          </w:p>
        </w:tc>
        <w:tc>
          <w:tcPr>
            <w:tcW w:w="8998" w:type="dxa"/>
          </w:tcPr>
          <w:p w14:paraId="4FF3F9F2" w14:textId="18109F25" w:rsidR="00960DFB" w:rsidRPr="00BD3DF3" w:rsidRDefault="00960DFB" w:rsidP="00B93B1E">
            <w:pPr>
              <w:autoSpaceDE w:val="0"/>
              <w:autoSpaceDN w:val="0"/>
              <w:adjustRightInd w:val="0"/>
              <w:spacing w:before="0"/>
              <w:rPr>
                <w:rFonts w:cstheme="minorHAnsi"/>
                <w:sz w:val="18"/>
                <w:szCs w:val="18"/>
              </w:rPr>
            </w:pPr>
            <w:r w:rsidRPr="00BD3DF3">
              <w:rPr>
                <w:rFonts w:cstheme="minorHAnsi"/>
                <w:sz w:val="18"/>
                <w:szCs w:val="18"/>
              </w:rPr>
              <w:t>Prior Action 5</w:t>
            </w:r>
            <w:r w:rsidR="00BD3DF3" w:rsidRPr="00BD3DF3">
              <w:rPr>
                <w:rFonts w:cstheme="minorHAnsi"/>
                <w:sz w:val="18"/>
                <w:szCs w:val="18"/>
              </w:rPr>
              <w:t>:</w:t>
            </w:r>
            <w:r w:rsidRPr="00BD3DF3">
              <w:rPr>
                <w:rFonts w:cstheme="minorHAnsi"/>
                <w:sz w:val="18"/>
                <w:szCs w:val="18"/>
              </w:rPr>
              <w:t xml:space="preserve"> The Recipient, through its Cabinet, has approved a tariff and community service obligation framework for the roll-out of climate-resilient piped water and sanitation services across </w:t>
            </w:r>
            <w:proofErr w:type="gramStart"/>
            <w:r w:rsidRPr="00BD3DF3">
              <w:rPr>
                <w:rFonts w:cstheme="minorHAnsi"/>
                <w:sz w:val="18"/>
                <w:szCs w:val="18"/>
              </w:rPr>
              <w:t>all of</w:t>
            </w:r>
            <w:proofErr w:type="gramEnd"/>
            <w:r w:rsidRPr="00BD3DF3">
              <w:rPr>
                <w:rFonts w:cstheme="minorHAnsi"/>
                <w:sz w:val="18"/>
                <w:szCs w:val="18"/>
              </w:rPr>
              <w:t xml:space="preserve"> South Tarawa, based on the results in pilot areas.</w:t>
            </w:r>
          </w:p>
          <w:p w14:paraId="5DC8AC01" w14:textId="1FD97B37" w:rsidR="00960DFB" w:rsidRPr="00BD3DF3" w:rsidRDefault="00960DFB" w:rsidP="00B93B1E">
            <w:pPr>
              <w:autoSpaceDE w:val="0"/>
              <w:autoSpaceDN w:val="0"/>
              <w:adjustRightInd w:val="0"/>
              <w:spacing w:before="0"/>
              <w:rPr>
                <w:rFonts w:cstheme="minorHAnsi"/>
                <w:sz w:val="18"/>
                <w:szCs w:val="18"/>
              </w:rPr>
            </w:pPr>
            <w:r w:rsidRPr="00BD3DF3">
              <w:rPr>
                <w:rFonts w:cstheme="minorHAnsi"/>
                <w:sz w:val="18"/>
                <w:szCs w:val="18"/>
              </w:rPr>
              <w:lastRenderedPageBreak/>
              <w:t>Prior Action 6</w:t>
            </w:r>
            <w:r w:rsidR="00BD3DF3" w:rsidRPr="00BD3DF3">
              <w:rPr>
                <w:rFonts w:cstheme="minorHAnsi"/>
                <w:sz w:val="18"/>
                <w:szCs w:val="18"/>
              </w:rPr>
              <w:t>:</w:t>
            </w:r>
            <w:r w:rsidRPr="00BD3DF3">
              <w:rPr>
                <w:rFonts w:cstheme="minorHAnsi"/>
                <w:sz w:val="18"/>
                <w:szCs w:val="18"/>
              </w:rPr>
              <w:t xml:space="preserve"> The Recipient, through its Ministry of Education, has promulgated the Registration and Administration of Service Providers and Premises Regulations 2020, to boost quality and access to early childhood education and facilitate women’s </w:t>
            </w:r>
            <w:r w:rsidR="00BD3DF3" w:rsidRPr="00BD3DF3">
              <w:rPr>
                <w:rFonts w:cstheme="minorHAnsi"/>
                <w:sz w:val="18"/>
                <w:szCs w:val="18"/>
              </w:rPr>
              <w:t>labour</w:t>
            </w:r>
            <w:r w:rsidRPr="00BD3DF3">
              <w:rPr>
                <w:rFonts w:cstheme="minorHAnsi"/>
                <w:sz w:val="18"/>
                <w:szCs w:val="18"/>
              </w:rPr>
              <w:t xml:space="preserve"> force participation</w:t>
            </w:r>
          </w:p>
        </w:tc>
        <w:tc>
          <w:tcPr>
            <w:tcW w:w="328" w:type="dxa"/>
          </w:tcPr>
          <w:p w14:paraId="767B7C33" w14:textId="77777777" w:rsidR="00960DFB" w:rsidRPr="00BD3DF3" w:rsidRDefault="00960DFB" w:rsidP="00B93B1E">
            <w:pPr>
              <w:spacing w:before="0"/>
              <w:rPr>
                <w:rFonts w:cstheme="minorHAnsi"/>
                <w:sz w:val="18"/>
                <w:szCs w:val="18"/>
              </w:rPr>
            </w:pPr>
            <w:r w:rsidRPr="00BD3DF3">
              <w:rPr>
                <w:rFonts w:cstheme="minorHAnsi"/>
                <w:sz w:val="18"/>
                <w:szCs w:val="18"/>
              </w:rPr>
              <w:lastRenderedPageBreak/>
              <w:t>Implicit, Explicit</w:t>
            </w:r>
          </w:p>
        </w:tc>
        <w:tc>
          <w:tcPr>
            <w:tcW w:w="0" w:type="auto"/>
          </w:tcPr>
          <w:p w14:paraId="7A58A88F" w14:textId="77777777" w:rsidR="00960DFB" w:rsidRPr="00BD3DF3" w:rsidRDefault="00960DFB" w:rsidP="00B93B1E">
            <w:pPr>
              <w:spacing w:before="0"/>
              <w:rPr>
                <w:rFonts w:cstheme="minorHAnsi"/>
                <w:sz w:val="18"/>
                <w:szCs w:val="18"/>
              </w:rPr>
            </w:pPr>
          </w:p>
        </w:tc>
      </w:tr>
      <w:tr w:rsidR="00BD3DF3" w:rsidRPr="00BD3DF3" w14:paraId="0F530BAE" w14:textId="77777777" w:rsidTr="00B93B1E">
        <w:trPr>
          <w:trHeight w:val="510"/>
        </w:trPr>
        <w:tc>
          <w:tcPr>
            <w:tcW w:w="0" w:type="auto"/>
          </w:tcPr>
          <w:p w14:paraId="23A49680" w14:textId="77777777" w:rsidR="00960DFB" w:rsidRPr="00BD3DF3" w:rsidRDefault="00960DFB" w:rsidP="00B93B1E">
            <w:pPr>
              <w:spacing w:before="0"/>
              <w:rPr>
                <w:rFonts w:cstheme="minorHAnsi"/>
                <w:sz w:val="18"/>
                <w:szCs w:val="18"/>
              </w:rPr>
            </w:pPr>
            <w:r w:rsidRPr="00BD3DF3">
              <w:rPr>
                <w:rFonts w:cstheme="minorHAnsi"/>
                <w:sz w:val="18"/>
                <w:szCs w:val="18"/>
              </w:rPr>
              <w:t>PNG</w:t>
            </w:r>
          </w:p>
        </w:tc>
        <w:tc>
          <w:tcPr>
            <w:tcW w:w="951" w:type="dxa"/>
          </w:tcPr>
          <w:p w14:paraId="7C2E61EC" w14:textId="77777777" w:rsidR="00960DFB" w:rsidRPr="00BD3DF3" w:rsidRDefault="00960DFB" w:rsidP="00B93B1E">
            <w:pPr>
              <w:spacing w:before="0"/>
              <w:rPr>
                <w:rFonts w:cstheme="minorHAnsi"/>
                <w:sz w:val="18"/>
                <w:szCs w:val="18"/>
              </w:rPr>
            </w:pPr>
            <w:r w:rsidRPr="00BD3DF3">
              <w:rPr>
                <w:rFonts w:cstheme="minorHAnsi"/>
                <w:sz w:val="18"/>
                <w:szCs w:val="18"/>
              </w:rPr>
              <w:t>P165717</w:t>
            </w:r>
          </w:p>
        </w:tc>
        <w:tc>
          <w:tcPr>
            <w:tcW w:w="845" w:type="dxa"/>
          </w:tcPr>
          <w:p w14:paraId="1A6F8822" w14:textId="77777777" w:rsidR="00960DFB" w:rsidRPr="00BD3DF3" w:rsidRDefault="00960DFB" w:rsidP="00B93B1E">
            <w:pPr>
              <w:spacing w:before="0"/>
              <w:rPr>
                <w:rFonts w:cstheme="minorHAnsi"/>
                <w:sz w:val="18"/>
                <w:szCs w:val="18"/>
              </w:rPr>
            </w:pPr>
            <w:r w:rsidRPr="00BD3DF3">
              <w:rPr>
                <w:rFonts w:cstheme="minorHAnsi"/>
                <w:sz w:val="18"/>
                <w:szCs w:val="18"/>
              </w:rPr>
              <w:t>2018</w:t>
            </w:r>
          </w:p>
          <w:p w14:paraId="43C63B52" w14:textId="77777777" w:rsidR="00960DFB" w:rsidRPr="00BD3DF3" w:rsidRDefault="00960DFB" w:rsidP="00B93B1E">
            <w:pPr>
              <w:spacing w:before="0"/>
              <w:rPr>
                <w:rFonts w:cstheme="minorHAnsi"/>
                <w:sz w:val="18"/>
                <w:szCs w:val="18"/>
              </w:rPr>
            </w:pPr>
          </w:p>
        </w:tc>
        <w:tc>
          <w:tcPr>
            <w:tcW w:w="8998" w:type="dxa"/>
          </w:tcPr>
          <w:p w14:paraId="26DE90C2" w14:textId="77777777" w:rsidR="00960DFB" w:rsidRPr="00BD3DF3" w:rsidRDefault="00960DFB" w:rsidP="00B93B1E">
            <w:pPr>
              <w:autoSpaceDE w:val="0"/>
              <w:autoSpaceDN w:val="0"/>
              <w:adjustRightInd w:val="0"/>
              <w:spacing w:before="0"/>
              <w:rPr>
                <w:rFonts w:cstheme="minorHAnsi"/>
                <w:sz w:val="18"/>
                <w:szCs w:val="18"/>
              </w:rPr>
            </w:pPr>
            <w:r w:rsidRPr="00BD3DF3">
              <w:rPr>
                <w:rFonts w:cstheme="minorHAnsi"/>
                <w:sz w:val="18"/>
                <w:szCs w:val="18"/>
              </w:rPr>
              <w:t>Prior Action 6: (</w:t>
            </w:r>
            <w:proofErr w:type="spellStart"/>
            <w:r w:rsidRPr="00BD3DF3">
              <w:rPr>
                <w:rFonts w:cstheme="minorHAnsi"/>
                <w:sz w:val="18"/>
                <w:szCs w:val="18"/>
              </w:rPr>
              <w:t>i</w:t>
            </w:r>
            <w:proofErr w:type="spellEnd"/>
            <w:r w:rsidRPr="00BD3DF3">
              <w:rPr>
                <w:rFonts w:cstheme="minorHAnsi"/>
                <w:sz w:val="18"/>
                <w:szCs w:val="18"/>
              </w:rPr>
              <w:t>) To support increased financial inclusion, the Recipient’s National Executive Council has approved the Financial Sector Development Strategy and the National Financial Inclusion Policy; and (ii) to increase women’s financial inclusion, the Recipient, through the Bank of Papua New Guinea, has launched the Gender Equity and Social Inclusion (GESI) Policy for Microfinance Institutions.</w:t>
            </w:r>
          </w:p>
        </w:tc>
        <w:tc>
          <w:tcPr>
            <w:tcW w:w="328" w:type="dxa"/>
          </w:tcPr>
          <w:p w14:paraId="43641F65" w14:textId="77777777" w:rsidR="00960DFB" w:rsidRPr="00BD3DF3" w:rsidRDefault="00960DFB" w:rsidP="00B93B1E">
            <w:pPr>
              <w:spacing w:before="0"/>
              <w:rPr>
                <w:rFonts w:cstheme="minorHAnsi"/>
                <w:sz w:val="18"/>
                <w:szCs w:val="18"/>
              </w:rPr>
            </w:pPr>
            <w:r w:rsidRPr="00BD3DF3">
              <w:rPr>
                <w:rFonts w:cstheme="minorHAnsi"/>
                <w:sz w:val="18"/>
                <w:szCs w:val="18"/>
              </w:rPr>
              <w:t>Explicit</w:t>
            </w:r>
          </w:p>
        </w:tc>
        <w:tc>
          <w:tcPr>
            <w:tcW w:w="0" w:type="auto"/>
          </w:tcPr>
          <w:p w14:paraId="73153304" w14:textId="77777777" w:rsidR="00960DFB" w:rsidRPr="00BD3DF3" w:rsidRDefault="00960DFB" w:rsidP="00B93B1E">
            <w:pPr>
              <w:spacing w:before="0"/>
              <w:rPr>
                <w:rFonts w:cstheme="minorHAnsi"/>
                <w:sz w:val="18"/>
                <w:szCs w:val="18"/>
              </w:rPr>
            </w:pPr>
            <w:r w:rsidRPr="00BD3DF3">
              <w:rPr>
                <w:rFonts w:cstheme="minorHAnsi"/>
                <w:sz w:val="18"/>
                <w:szCs w:val="18"/>
              </w:rPr>
              <w:t>Yes</w:t>
            </w:r>
          </w:p>
        </w:tc>
      </w:tr>
      <w:tr w:rsidR="00BD3DF3" w:rsidRPr="00BD3DF3" w14:paraId="6E07169C" w14:textId="77777777" w:rsidTr="00B93B1E">
        <w:trPr>
          <w:trHeight w:val="510"/>
        </w:trPr>
        <w:tc>
          <w:tcPr>
            <w:tcW w:w="0" w:type="auto"/>
          </w:tcPr>
          <w:p w14:paraId="7FF3C2FC" w14:textId="77777777" w:rsidR="00960DFB" w:rsidRPr="00BD3DF3" w:rsidRDefault="00960DFB" w:rsidP="00B93B1E">
            <w:pPr>
              <w:spacing w:before="0"/>
              <w:rPr>
                <w:rFonts w:cstheme="minorHAnsi"/>
                <w:sz w:val="18"/>
                <w:szCs w:val="18"/>
              </w:rPr>
            </w:pPr>
            <w:r w:rsidRPr="00BD3DF3">
              <w:rPr>
                <w:rFonts w:cstheme="minorHAnsi"/>
                <w:sz w:val="18"/>
                <w:szCs w:val="18"/>
              </w:rPr>
              <w:t>PNG</w:t>
            </w:r>
          </w:p>
        </w:tc>
        <w:tc>
          <w:tcPr>
            <w:tcW w:w="951" w:type="dxa"/>
          </w:tcPr>
          <w:p w14:paraId="458C4744" w14:textId="77777777" w:rsidR="00960DFB" w:rsidRPr="00BD3DF3" w:rsidRDefault="00960DFB" w:rsidP="00B93B1E">
            <w:pPr>
              <w:spacing w:before="0"/>
              <w:rPr>
                <w:rFonts w:cstheme="minorHAnsi"/>
                <w:sz w:val="18"/>
                <w:szCs w:val="18"/>
              </w:rPr>
            </w:pPr>
            <w:r w:rsidRPr="00BD3DF3">
              <w:rPr>
                <w:rFonts w:cstheme="minorHAnsi"/>
                <w:sz w:val="18"/>
                <w:szCs w:val="18"/>
              </w:rPr>
              <w:t>P174347</w:t>
            </w:r>
          </w:p>
        </w:tc>
        <w:tc>
          <w:tcPr>
            <w:tcW w:w="845" w:type="dxa"/>
          </w:tcPr>
          <w:p w14:paraId="3196D026" w14:textId="77777777" w:rsidR="00960DFB" w:rsidRPr="00BD3DF3" w:rsidRDefault="00960DFB" w:rsidP="00B93B1E">
            <w:pPr>
              <w:spacing w:before="0"/>
              <w:rPr>
                <w:rFonts w:cstheme="minorHAnsi"/>
                <w:sz w:val="18"/>
                <w:szCs w:val="18"/>
              </w:rPr>
            </w:pPr>
            <w:r w:rsidRPr="00BD3DF3">
              <w:rPr>
                <w:rFonts w:cstheme="minorHAnsi"/>
                <w:sz w:val="18"/>
                <w:szCs w:val="18"/>
              </w:rPr>
              <w:t>2021</w:t>
            </w:r>
          </w:p>
        </w:tc>
        <w:tc>
          <w:tcPr>
            <w:tcW w:w="8998" w:type="dxa"/>
          </w:tcPr>
          <w:p w14:paraId="01BC107C" w14:textId="47B5BE7B" w:rsidR="00960DFB" w:rsidRPr="00BD3DF3" w:rsidRDefault="00960DFB" w:rsidP="00B93B1E">
            <w:pPr>
              <w:autoSpaceDE w:val="0"/>
              <w:autoSpaceDN w:val="0"/>
              <w:adjustRightInd w:val="0"/>
              <w:spacing w:before="0"/>
              <w:rPr>
                <w:rFonts w:cstheme="minorHAnsi"/>
                <w:sz w:val="18"/>
                <w:szCs w:val="18"/>
              </w:rPr>
            </w:pPr>
            <w:r w:rsidRPr="00BD3DF3">
              <w:rPr>
                <w:rFonts w:cstheme="minorHAnsi"/>
                <w:sz w:val="18"/>
                <w:szCs w:val="18"/>
              </w:rPr>
              <w:t>Prior Action 5</w:t>
            </w:r>
            <w:r w:rsidR="00BD3DF3" w:rsidRPr="00BD3DF3">
              <w:rPr>
                <w:rFonts w:cstheme="minorHAnsi"/>
                <w:sz w:val="18"/>
                <w:szCs w:val="18"/>
              </w:rPr>
              <w:t>:</w:t>
            </w:r>
            <w:r w:rsidRPr="00BD3DF3">
              <w:rPr>
                <w:rFonts w:cstheme="minorHAnsi"/>
                <w:sz w:val="18"/>
                <w:szCs w:val="18"/>
              </w:rPr>
              <w:t xml:space="preserve"> To enhance women’s voice and opportunities in decision making, the Recipient’s National Executive Council has endorsed the PNG SOE Ownership and Reform Policy, laying out key principles of ownership, governance, and performance, including initiatives to increase women’s representation on the boards of non-resource sector state-owned enterprises</w:t>
            </w:r>
          </w:p>
        </w:tc>
        <w:tc>
          <w:tcPr>
            <w:tcW w:w="328" w:type="dxa"/>
          </w:tcPr>
          <w:p w14:paraId="26D10DE2" w14:textId="77777777" w:rsidR="00960DFB" w:rsidRPr="00BD3DF3" w:rsidRDefault="00960DFB" w:rsidP="00B93B1E">
            <w:pPr>
              <w:spacing w:before="0"/>
              <w:rPr>
                <w:rFonts w:cstheme="minorHAnsi"/>
                <w:sz w:val="18"/>
                <w:szCs w:val="18"/>
              </w:rPr>
            </w:pPr>
            <w:r w:rsidRPr="00BD3DF3">
              <w:rPr>
                <w:rFonts w:cstheme="minorHAnsi"/>
                <w:sz w:val="18"/>
                <w:szCs w:val="18"/>
              </w:rPr>
              <w:t>Explicit</w:t>
            </w:r>
          </w:p>
        </w:tc>
        <w:tc>
          <w:tcPr>
            <w:tcW w:w="0" w:type="auto"/>
          </w:tcPr>
          <w:p w14:paraId="3D0E70B8" w14:textId="77777777" w:rsidR="00960DFB" w:rsidRPr="00BD3DF3" w:rsidRDefault="00960DFB" w:rsidP="00B93B1E">
            <w:pPr>
              <w:spacing w:before="0"/>
              <w:rPr>
                <w:rFonts w:cstheme="minorHAnsi"/>
                <w:sz w:val="18"/>
                <w:szCs w:val="18"/>
              </w:rPr>
            </w:pPr>
            <w:r w:rsidRPr="00BD3DF3">
              <w:rPr>
                <w:rFonts w:cstheme="minorHAnsi"/>
                <w:sz w:val="18"/>
                <w:szCs w:val="18"/>
              </w:rPr>
              <w:t>Yes</w:t>
            </w:r>
          </w:p>
        </w:tc>
      </w:tr>
      <w:tr w:rsidR="00BD3DF3" w:rsidRPr="00BD3DF3" w14:paraId="6CCE34AA" w14:textId="77777777" w:rsidTr="00B93B1E">
        <w:trPr>
          <w:trHeight w:val="510"/>
        </w:trPr>
        <w:tc>
          <w:tcPr>
            <w:tcW w:w="0" w:type="auto"/>
          </w:tcPr>
          <w:p w14:paraId="20FB61B9" w14:textId="77777777" w:rsidR="00960DFB" w:rsidRPr="00BD3DF3" w:rsidRDefault="00960DFB" w:rsidP="00B93B1E">
            <w:pPr>
              <w:spacing w:before="0"/>
              <w:rPr>
                <w:rFonts w:cstheme="minorHAnsi"/>
                <w:sz w:val="18"/>
                <w:szCs w:val="18"/>
              </w:rPr>
            </w:pPr>
            <w:r w:rsidRPr="00BD3DF3">
              <w:rPr>
                <w:rFonts w:cstheme="minorHAnsi"/>
                <w:sz w:val="18"/>
                <w:szCs w:val="18"/>
              </w:rPr>
              <w:t>Samoa</w:t>
            </w:r>
          </w:p>
        </w:tc>
        <w:tc>
          <w:tcPr>
            <w:tcW w:w="951" w:type="dxa"/>
          </w:tcPr>
          <w:p w14:paraId="66E0C435" w14:textId="77777777" w:rsidR="00960DFB" w:rsidRPr="00BD3DF3" w:rsidRDefault="00960DFB" w:rsidP="00B93B1E">
            <w:pPr>
              <w:spacing w:before="0"/>
              <w:rPr>
                <w:rFonts w:cstheme="minorHAnsi"/>
                <w:sz w:val="18"/>
                <w:szCs w:val="18"/>
              </w:rPr>
            </w:pPr>
            <w:r w:rsidRPr="00BD3DF3">
              <w:rPr>
                <w:rFonts w:cstheme="minorHAnsi"/>
                <w:sz w:val="18"/>
                <w:szCs w:val="18"/>
              </w:rPr>
              <w:t>P162104</w:t>
            </w:r>
          </w:p>
        </w:tc>
        <w:tc>
          <w:tcPr>
            <w:tcW w:w="845" w:type="dxa"/>
          </w:tcPr>
          <w:p w14:paraId="57D40277" w14:textId="77777777" w:rsidR="00960DFB" w:rsidRPr="00BD3DF3" w:rsidRDefault="00960DFB" w:rsidP="00B93B1E">
            <w:pPr>
              <w:spacing w:before="0"/>
              <w:rPr>
                <w:rFonts w:cstheme="minorHAnsi"/>
                <w:sz w:val="18"/>
                <w:szCs w:val="18"/>
              </w:rPr>
            </w:pPr>
            <w:r w:rsidRPr="00BD3DF3">
              <w:rPr>
                <w:rFonts w:cstheme="minorHAnsi"/>
                <w:sz w:val="18"/>
                <w:szCs w:val="18"/>
              </w:rPr>
              <w:t>2017</w:t>
            </w:r>
          </w:p>
          <w:p w14:paraId="7B6F6791" w14:textId="77777777" w:rsidR="00960DFB" w:rsidRPr="00BD3DF3" w:rsidRDefault="00960DFB" w:rsidP="00B93B1E">
            <w:pPr>
              <w:spacing w:before="0"/>
              <w:rPr>
                <w:rFonts w:cstheme="minorHAnsi"/>
                <w:sz w:val="18"/>
                <w:szCs w:val="18"/>
              </w:rPr>
            </w:pPr>
          </w:p>
        </w:tc>
        <w:tc>
          <w:tcPr>
            <w:tcW w:w="8998" w:type="dxa"/>
          </w:tcPr>
          <w:p w14:paraId="7BE52BCB" w14:textId="77777777" w:rsidR="00960DFB" w:rsidRPr="00BD3DF3" w:rsidRDefault="00960DFB" w:rsidP="00B93B1E">
            <w:pPr>
              <w:autoSpaceDE w:val="0"/>
              <w:autoSpaceDN w:val="0"/>
              <w:adjustRightInd w:val="0"/>
              <w:spacing w:before="0"/>
              <w:rPr>
                <w:rFonts w:cstheme="minorHAnsi"/>
                <w:sz w:val="18"/>
                <w:szCs w:val="18"/>
              </w:rPr>
            </w:pPr>
            <w:r w:rsidRPr="00BD3DF3">
              <w:rPr>
                <w:rFonts w:cstheme="minorHAnsi"/>
                <w:sz w:val="18"/>
                <w:szCs w:val="18"/>
              </w:rPr>
              <w:t>Prior Action 3: The Recipient, through its Ministry of Commerce, Industry, and Labour, has: (a) commenced the Personal Property Securities Act; and (b) launched the Personal Properties Securities Registry, to improve access to finance by allowing movable property to be used as collateral for loans.</w:t>
            </w:r>
          </w:p>
        </w:tc>
        <w:tc>
          <w:tcPr>
            <w:tcW w:w="328" w:type="dxa"/>
          </w:tcPr>
          <w:p w14:paraId="21CE1058" w14:textId="77777777" w:rsidR="00960DFB" w:rsidRPr="00BD3DF3" w:rsidRDefault="00960DFB" w:rsidP="00B93B1E">
            <w:pPr>
              <w:spacing w:before="0"/>
              <w:rPr>
                <w:rFonts w:cstheme="minorHAnsi"/>
                <w:sz w:val="18"/>
                <w:szCs w:val="18"/>
              </w:rPr>
            </w:pPr>
            <w:r w:rsidRPr="00BD3DF3">
              <w:rPr>
                <w:rFonts w:cstheme="minorHAnsi"/>
                <w:sz w:val="18"/>
                <w:szCs w:val="18"/>
              </w:rPr>
              <w:t>Implicit</w:t>
            </w:r>
          </w:p>
        </w:tc>
        <w:tc>
          <w:tcPr>
            <w:tcW w:w="0" w:type="auto"/>
          </w:tcPr>
          <w:p w14:paraId="7955D4B6" w14:textId="77777777" w:rsidR="00960DFB" w:rsidRPr="00BD3DF3" w:rsidRDefault="00960DFB" w:rsidP="00B93B1E">
            <w:pPr>
              <w:spacing w:before="0"/>
              <w:rPr>
                <w:rFonts w:cstheme="minorHAnsi"/>
                <w:sz w:val="18"/>
                <w:szCs w:val="18"/>
              </w:rPr>
            </w:pPr>
            <w:r w:rsidRPr="00BD3DF3">
              <w:rPr>
                <w:rFonts w:cstheme="minorHAnsi"/>
                <w:sz w:val="18"/>
                <w:szCs w:val="18"/>
              </w:rPr>
              <w:t>Yes</w:t>
            </w:r>
          </w:p>
        </w:tc>
      </w:tr>
      <w:tr w:rsidR="00BD3DF3" w:rsidRPr="00BD3DF3" w14:paraId="3CA92092" w14:textId="77777777" w:rsidTr="00B93B1E">
        <w:trPr>
          <w:trHeight w:val="510"/>
        </w:trPr>
        <w:tc>
          <w:tcPr>
            <w:tcW w:w="0" w:type="auto"/>
          </w:tcPr>
          <w:p w14:paraId="3DC742FD" w14:textId="77777777" w:rsidR="00960DFB" w:rsidRPr="00BD3DF3" w:rsidRDefault="00960DFB" w:rsidP="00B93B1E">
            <w:pPr>
              <w:spacing w:before="0"/>
              <w:rPr>
                <w:rFonts w:cstheme="minorHAnsi"/>
                <w:sz w:val="18"/>
                <w:szCs w:val="18"/>
              </w:rPr>
            </w:pPr>
            <w:r w:rsidRPr="00BD3DF3">
              <w:rPr>
                <w:rFonts w:cstheme="minorHAnsi"/>
                <w:sz w:val="18"/>
                <w:szCs w:val="18"/>
              </w:rPr>
              <w:t>Samoa</w:t>
            </w:r>
          </w:p>
        </w:tc>
        <w:tc>
          <w:tcPr>
            <w:tcW w:w="951" w:type="dxa"/>
          </w:tcPr>
          <w:p w14:paraId="2061A6AC" w14:textId="77777777" w:rsidR="00960DFB" w:rsidRPr="00BD3DF3" w:rsidRDefault="00960DFB" w:rsidP="00B93B1E">
            <w:pPr>
              <w:spacing w:before="0"/>
              <w:rPr>
                <w:rFonts w:cstheme="minorHAnsi"/>
                <w:sz w:val="18"/>
                <w:szCs w:val="18"/>
              </w:rPr>
            </w:pPr>
            <w:r w:rsidRPr="00BD3DF3">
              <w:rPr>
                <w:rFonts w:cstheme="minorHAnsi"/>
                <w:sz w:val="18"/>
                <w:szCs w:val="18"/>
              </w:rPr>
              <w:t>P165928</w:t>
            </w:r>
          </w:p>
        </w:tc>
        <w:tc>
          <w:tcPr>
            <w:tcW w:w="845" w:type="dxa"/>
          </w:tcPr>
          <w:p w14:paraId="5D43E841" w14:textId="77777777" w:rsidR="00960DFB" w:rsidRPr="00BD3DF3" w:rsidRDefault="00960DFB" w:rsidP="00B93B1E">
            <w:pPr>
              <w:spacing w:before="0"/>
              <w:rPr>
                <w:rFonts w:cstheme="minorHAnsi"/>
                <w:sz w:val="18"/>
                <w:szCs w:val="18"/>
              </w:rPr>
            </w:pPr>
            <w:r w:rsidRPr="00BD3DF3">
              <w:rPr>
                <w:rFonts w:cstheme="minorHAnsi"/>
                <w:sz w:val="18"/>
                <w:szCs w:val="18"/>
              </w:rPr>
              <w:t>2019</w:t>
            </w:r>
          </w:p>
        </w:tc>
        <w:tc>
          <w:tcPr>
            <w:tcW w:w="8998" w:type="dxa"/>
          </w:tcPr>
          <w:p w14:paraId="1131E24E" w14:textId="77777777" w:rsidR="00960DFB" w:rsidRPr="00BD3DF3" w:rsidRDefault="00960DFB" w:rsidP="00B93B1E">
            <w:pPr>
              <w:spacing w:before="0"/>
              <w:rPr>
                <w:rFonts w:cstheme="minorHAnsi"/>
                <w:sz w:val="18"/>
                <w:szCs w:val="18"/>
              </w:rPr>
            </w:pPr>
            <w:r w:rsidRPr="00BD3DF3">
              <w:rPr>
                <w:rFonts w:cstheme="minorHAnsi"/>
                <w:sz w:val="18"/>
                <w:szCs w:val="18"/>
              </w:rPr>
              <w:t>No specific actions</w:t>
            </w:r>
          </w:p>
        </w:tc>
        <w:tc>
          <w:tcPr>
            <w:tcW w:w="328" w:type="dxa"/>
          </w:tcPr>
          <w:p w14:paraId="41C371E6" w14:textId="77777777" w:rsidR="00960DFB" w:rsidRPr="00BD3DF3" w:rsidRDefault="00960DFB" w:rsidP="00B93B1E">
            <w:pPr>
              <w:spacing w:before="0"/>
              <w:rPr>
                <w:rFonts w:cstheme="minorHAnsi"/>
                <w:sz w:val="18"/>
                <w:szCs w:val="18"/>
              </w:rPr>
            </w:pPr>
          </w:p>
        </w:tc>
        <w:tc>
          <w:tcPr>
            <w:tcW w:w="0" w:type="auto"/>
          </w:tcPr>
          <w:p w14:paraId="01F55ACD" w14:textId="77777777" w:rsidR="00960DFB" w:rsidRPr="00BD3DF3" w:rsidRDefault="00960DFB" w:rsidP="00B93B1E">
            <w:pPr>
              <w:spacing w:before="0"/>
              <w:rPr>
                <w:rFonts w:cstheme="minorHAnsi"/>
                <w:sz w:val="18"/>
                <w:szCs w:val="18"/>
              </w:rPr>
            </w:pPr>
            <w:r w:rsidRPr="00BD3DF3">
              <w:rPr>
                <w:rFonts w:cstheme="minorHAnsi"/>
                <w:sz w:val="18"/>
                <w:szCs w:val="18"/>
              </w:rPr>
              <w:t>Yes, plus gender annex</w:t>
            </w:r>
          </w:p>
        </w:tc>
      </w:tr>
      <w:tr w:rsidR="00BD3DF3" w:rsidRPr="00BD3DF3" w14:paraId="04ED2056" w14:textId="77777777" w:rsidTr="00B93B1E">
        <w:trPr>
          <w:trHeight w:val="510"/>
        </w:trPr>
        <w:tc>
          <w:tcPr>
            <w:tcW w:w="0" w:type="auto"/>
          </w:tcPr>
          <w:p w14:paraId="3F53606D" w14:textId="77777777" w:rsidR="00960DFB" w:rsidRPr="00BD3DF3" w:rsidRDefault="00960DFB" w:rsidP="00B93B1E">
            <w:pPr>
              <w:spacing w:before="0"/>
              <w:rPr>
                <w:rFonts w:cstheme="minorHAnsi"/>
                <w:sz w:val="18"/>
                <w:szCs w:val="18"/>
              </w:rPr>
            </w:pPr>
            <w:r w:rsidRPr="00BD3DF3">
              <w:rPr>
                <w:rFonts w:cstheme="minorHAnsi"/>
                <w:sz w:val="18"/>
                <w:szCs w:val="18"/>
              </w:rPr>
              <w:t>Samoa</w:t>
            </w:r>
          </w:p>
        </w:tc>
        <w:tc>
          <w:tcPr>
            <w:tcW w:w="951" w:type="dxa"/>
          </w:tcPr>
          <w:p w14:paraId="7CA708D7" w14:textId="77777777" w:rsidR="00960DFB" w:rsidRPr="00BD3DF3" w:rsidRDefault="00960DFB" w:rsidP="00B93B1E">
            <w:pPr>
              <w:spacing w:before="0"/>
              <w:rPr>
                <w:rFonts w:cstheme="minorHAnsi"/>
                <w:sz w:val="18"/>
                <w:szCs w:val="18"/>
              </w:rPr>
            </w:pPr>
            <w:r w:rsidRPr="00BD3DF3">
              <w:rPr>
                <w:rFonts w:cstheme="minorHAnsi"/>
                <w:sz w:val="18"/>
                <w:szCs w:val="18"/>
              </w:rPr>
              <w:t>P171764</w:t>
            </w:r>
          </w:p>
        </w:tc>
        <w:tc>
          <w:tcPr>
            <w:tcW w:w="845" w:type="dxa"/>
          </w:tcPr>
          <w:p w14:paraId="2F0B18BE" w14:textId="77777777" w:rsidR="00960DFB" w:rsidRPr="00BD3DF3" w:rsidRDefault="00960DFB" w:rsidP="00B93B1E">
            <w:pPr>
              <w:spacing w:before="0"/>
              <w:rPr>
                <w:rFonts w:cstheme="minorHAnsi"/>
                <w:sz w:val="18"/>
                <w:szCs w:val="18"/>
              </w:rPr>
            </w:pPr>
            <w:r w:rsidRPr="00BD3DF3">
              <w:rPr>
                <w:rFonts w:cstheme="minorHAnsi"/>
                <w:sz w:val="18"/>
                <w:szCs w:val="18"/>
              </w:rPr>
              <w:t>2021</w:t>
            </w:r>
          </w:p>
        </w:tc>
        <w:tc>
          <w:tcPr>
            <w:tcW w:w="8998" w:type="dxa"/>
          </w:tcPr>
          <w:p w14:paraId="57C0F595" w14:textId="77777777"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 xml:space="preserve">Indicative Trigger 3 (for next operation): To strengthen provisions against discrimination and child </w:t>
            </w:r>
            <w:proofErr w:type="spellStart"/>
            <w:r w:rsidRPr="00BD3DF3">
              <w:rPr>
                <w:rFonts w:asciiTheme="minorHAnsi" w:hAnsiTheme="minorHAnsi" w:cstheme="minorHAnsi"/>
                <w:color w:val="495965" w:themeColor="text2"/>
                <w:sz w:val="18"/>
                <w:szCs w:val="18"/>
              </w:rPr>
              <w:t>labour</w:t>
            </w:r>
            <w:proofErr w:type="spellEnd"/>
            <w:r w:rsidRPr="00BD3DF3">
              <w:rPr>
                <w:rFonts w:asciiTheme="minorHAnsi" w:hAnsiTheme="minorHAnsi" w:cstheme="minorHAnsi"/>
                <w:color w:val="495965" w:themeColor="text2"/>
                <w:sz w:val="18"/>
                <w:szCs w:val="18"/>
              </w:rPr>
              <w:t xml:space="preserve">, and clarify the process for adjusting minimum wages, the Recipient, through its Cabinet, has approved a revised </w:t>
            </w:r>
            <w:proofErr w:type="spellStart"/>
            <w:r w:rsidRPr="00BD3DF3">
              <w:rPr>
                <w:rFonts w:asciiTheme="minorHAnsi" w:hAnsiTheme="minorHAnsi" w:cstheme="minorHAnsi"/>
                <w:color w:val="495965" w:themeColor="text2"/>
                <w:sz w:val="18"/>
                <w:szCs w:val="18"/>
              </w:rPr>
              <w:t>Labour</w:t>
            </w:r>
            <w:proofErr w:type="spellEnd"/>
            <w:r w:rsidRPr="00BD3DF3">
              <w:rPr>
                <w:rFonts w:asciiTheme="minorHAnsi" w:hAnsiTheme="minorHAnsi" w:cstheme="minorHAnsi"/>
                <w:color w:val="495965" w:themeColor="text2"/>
                <w:sz w:val="18"/>
                <w:szCs w:val="18"/>
              </w:rPr>
              <w:t xml:space="preserve"> and Employment Relations Act. </w:t>
            </w:r>
          </w:p>
        </w:tc>
        <w:tc>
          <w:tcPr>
            <w:tcW w:w="328" w:type="dxa"/>
          </w:tcPr>
          <w:p w14:paraId="209A36B0" w14:textId="77777777" w:rsidR="00960DFB" w:rsidRPr="00BD3DF3" w:rsidRDefault="00960DFB" w:rsidP="00B93B1E">
            <w:pPr>
              <w:spacing w:before="0"/>
              <w:rPr>
                <w:rFonts w:cstheme="minorHAnsi"/>
                <w:sz w:val="18"/>
                <w:szCs w:val="18"/>
              </w:rPr>
            </w:pPr>
            <w:r w:rsidRPr="00BD3DF3">
              <w:rPr>
                <w:rFonts w:cstheme="minorHAnsi"/>
                <w:sz w:val="18"/>
                <w:szCs w:val="18"/>
              </w:rPr>
              <w:t>Explicit</w:t>
            </w:r>
          </w:p>
        </w:tc>
        <w:tc>
          <w:tcPr>
            <w:tcW w:w="0" w:type="auto"/>
          </w:tcPr>
          <w:p w14:paraId="5730C472" w14:textId="77777777" w:rsidR="00960DFB" w:rsidRPr="00BD3DF3" w:rsidRDefault="00960DFB" w:rsidP="00B93B1E">
            <w:pPr>
              <w:spacing w:before="0"/>
              <w:rPr>
                <w:rFonts w:cstheme="minorHAnsi"/>
                <w:sz w:val="18"/>
                <w:szCs w:val="18"/>
              </w:rPr>
            </w:pPr>
            <w:r w:rsidRPr="00BD3DF3">
              <w:rPr>
                <w:rFonts w:cstheme="minorHAnsi"/>
                <w:sz w:val="18"/>
                <w:szCs w:val="18"/>
              </w:rPr>
              <w:t>Yes</w:t>
            </w:r>
          </w:p>
        </w:tc>
      </w:tr>
      <w:tr w:rsidR="00BD3DF3" w:rsidRPr="00BD3DF3" w14:paraId="075EDD32" w14:textId="77777777" w:rsidTr="00B93B1E">
        <w:trPr>
          <w:trHeight w:val="510"/>
        </w:trPr>
        <w:tc>
          <w:tcPr>
            <w:tcW w:w="0" w:type="auto"/>
          </w:tcPr>
          <w:p w14:paraId="17FE2B55" w14:textId="77777777" w:rsidR="00960DFB" w:rsidRPr="00BD3DF3" w:rsidRDefault="00960DFB" w:rsidP="00B93B1E">
            <w:pPr>
              <w:spacing w:before="0"/>
              <w:rPr>
                <w:rFonts w:cstheme="minorHAnsi"/>
                <w:sz w:val="18"/>
                <w:szCs w:val="18"/>
              </w:rPr>
            </w:pPr>
            <w:r w:rsidRPr="00BD3DF3">
              <w:rPr>
                <w:rFonts w:cstheme="minorHAnsi"/>
                <w:sz w:val="18"/>
                <w:szCs w:val="18"/>
              </w:rPr>
              <w:t>Tonga</w:t>
            </w:r>
          </w:p>
        </w:tc>
        <w:tc>
          <w:tcPr>
            <w:tcW w:w="951" w:type="dxa"/>
          </w:tcPr>
          <w:p w14:paraId="0CD1162D" w14:textId="77777777" w:rsidR="00960DFB" w:rsidRPr="00BD3DF3" w:rsidRDefault="00960DFB" w:rsidP="00B93B1E">
            <w:pPr>
              <w:spacing w:before="0"/>
              <w:rPr>
                <w:rFonts w:cstheme="minorHAnsi"/>
                <w:sz w:val="18"/>
                <w:szCs w:val="18"/>
              </w:rPr>
            </w:pPr>
            <w:r w:rsidRPr="00BD3DF3">
              <w:rPr>
                <w:rFonts w:cstheme="minorHAnsi"/>
                <w:sz w:val="18"/>
                <w:szCs w:val="18"/>
              </w:rPr>
              <w:t>P159262</w:t>
            </w:r>
          </w:p>
          <w:p w14:paraId="4C4C7BF6" w14:textId="77777777" w:rsidR="00960DFB" w:rsidRPr="00BD3DF3" w:rsidRDefault="00960DFB" w:rsidP="00B93B1E">
            <w:pPr>
              <w:spacing w:before="0"/>
              <w:rPr>
                <w:rFonts w:cstheme="minorHAnsi"/>
                <w:sz w:val="18"/>
                <w:szCs w:val="18"/>
              </w:rPr>
            </w:pPr>
          </w:p>
        </w:tc>
        <w:tc>
          <w:tcPr>
            <w:tcW w:w="845" w:type="dxa"/>
          </w:tcPr>
          <w:p w14:paraId="2D3C6E60" w14:textId="77777777" w:rsidR="00960DFB" w:rsidRPr="00BD3DF3" w:rsidRDefault="00960DFB" w:rsidP="00B93B1E">
            <w:pPr>
              <w:spacing w:before="0"/>
              <w:rPr>
                <w:rFonts w:cstheme="minorHAnsi"/>
                <w:sz w:val="18"/>
                <w:szCs w:val="18"/>
              </w:rPr>
            </w:pPr>
            <w:r w:rsidRPr="00BD3DF3">
              <w:rPr>
                <w:rFonts w:cstheme="minorHAnsi"/>
                <w:sz w:val="18"/>
                <w:szCs w:val="18"/>
              </w:rPr>
              <w:t>2018</w:t>
            </w:r>
          </w:p>
        </w:tc>
        <w:tc>
          <w:tcPr>
            <w:tcW w:w="8998" w:type="dxa"/>
          </w:tcPr>
          <w:p w14:paraId="026322D5" w14:textId="7558AB51"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Prior Action 5: The Recipient’s Cabinet has approved for submission to Parliament the Employment Relations Bill, which will ensure fundamental labor rights are enshrined in domestic law</w:t>
            </w:r>
          </w:p>
        </w:tc>
        <w:tc>
          <w:tcPr>
            <w:tcW w:w="328" w:type="dxa"/>
          </w:tcPr>
          <w:p w14:paraId="303C0392" w14:textId="77777777" w:rsidR="00960DFB" w:rsidRPr="00BD3DF3" w:rsidRDefault="00960DFB" w:rsidP="00B93B1E">
            <w:pPr>
              <w:spacing w:before="0"/>
              <w:rPr>
                <w:rFonts w:cstheme="minorHAnsi"/>
                <w:sz w:val="18"/>
                <w:szCs w:val="18"/>
              </w:rPr>
            </w:pPr>
            <w:r w:rsidRPr="00BD3DF3">
              <w:rPr>
                <w:rFonts w:cstheme="minorHAnsi"/>
                <w:sz w:val="18"/>
                <w:szCs w:val="18"/>
              </w:rPr>
              <w:t>Explicit</w:t>
            </w:r>
          </w:p>
        </w:tc>
        <w:tc>
          <w:tcPr>
            <w:tcW w:w="0" w:type="auto"/>
          </w:tcPr>
          <w:p w14:paraId="0961C8BE" w14:textId="77777777" w:rsidR="00960DFB" w:rsidRPr="00BD3DF3" w:rsidRDefault="00960DFB" w:rsidP="00B93B1E">
            <w:pPr>
              <w:spacing w:before="0"/>
              <w:rPr>
                <w:rFonts w:cstheme="minorHAnsi"/>
                <w:sz w:val="18"/>
                <w:szCs w:val="18"/>
              </w:rPr>
            </w:pPr>
            <w:r w:rsidRPr="00BD3DF3">
              <w:rPr>
                <w:rFonts w:cstheme="minorHAnsi"/>
                <w:sz w:val="18"/>
                <w:szCs w:val="18"/>
              </w:rPr>
              <w:t>Yes</w:t>
            </w:r>
          </w:p>
        </w:tc>
      </w:tr>
      <w:tr w:rsidR="00BD3DF3" w:rsidRPr="00BD3DF3" w14:paraId="7E928978" w14:textId="77777777" w:rsidTr="00B93B1E">
        <w:trPr>
          <w:trHeight w:val="510"/>
        </w:trPr>
        <w:tc>
          <w:tcPr>
            <w:tcW w:w="0" w:type="auto"/>
          </w:tcPr>
          <w:p w14:paraId="5D58752B" w14:textId="77777777" w:rsidR="00960DFB" w:rsidRPr="00BD3DF3" w:rsidRDefault="00960DFB" w:rsidP="00B93B1E">
            <w:pPr>
              <w:spacing w:before="0"/>
              <w:rPr>
                <w:rFonts w:cstheme="minorHAnsi"/>
                <w:sz w:val="18"/>
                <w:szCs w:val="18"/>
              </w:rPr>
            </w:pPr>
            <w:r w:rsidRPr="00BD3DF3">
              <w:rPr>
                <w:rFonts w:cstheme="minorHAnsi"/>
                <w:sz w:val="18"/>
                <w:szCs w:val="18"/>
              </w:rPr>
              <w:t>Tonga</w:t>
            </w:r>
          </w:p>
        </w:tc>
        <w:tc>
          <w:tcPr>
            <w:tcW w:w="951" w:type="dxa"/>
          </w:tcPr>
          <w:p w14:paraId="2593E0B1" w14:textId="77777777" w:rsidR="00960DFB" w:rsidRPr="00BD3DF3" w:rsidRDefault="00960DFB" w:rsidP="00B93B1E">
            <w:pPr>
              <w:spacing w:before="0"/>
              <w:rPr>
                <w:rFonts w:cstheme="minorHAnsi"/>
                <w:sz w:val="18"/>
                <w:szCs w:val="18"/>
              </w:rPr>
            </w:pPr>
            <w:r w:rsidRPr="00BD3DF3">
              <w:rPr>
                <w:rFonts w:cstheme="minorHAnsi"/>
                <w:sz w:val="18"/>
                <w:szCs w:val="18"/>
              </w:rPr>
              <w:t>P171071</w:t>
            </w:r>
          </w:p>
        </w:tc>
        <w:tc>
          <w:tcPr>
            <w:tcW w:w="845" w:type="dxa"/>
          </w:tcPr>
          <w:p w14:paraId="351FB99F" w14:textId="77777777" w:rsidR="00960DFB" w:rsidRPr="00BD3DF3" w:rsidRDefault="00960DFB" w:rsidP="00B93B1E">
            <w:pPr>
              <w:spacing w:before="0"/>
              <w:rPr>
                <w:rFonts w:cstheme="minorHAnsi"/>
                <w:sz w:val="18"/>
                <w:szCs w:val="18"/>
              </w:rPr>
            </w:pPr>
            <w:r w:rsidRPr="00BD3DF3">
              <w:rPr>
                <w:rFonts w:cstheme="minorHAnsi"/>
                <w:sz w:val="18"/>
                <w:szCs w:val="18"/>
              </w:rPr>
              <w:t>2020</w:t>
            </w:r>
          </w:p>
        </w:tc>
        <w:tc>
          <w:tcPr>
            <w:tcW w:w="8998" w:type="dxa"/>
          </w:tcPr>
          <w:p w14:paraId="1D20E201" w14:textId="77777777"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 xml:space="preserve">Prior action 6: The Recipient, through its Cabinet, has approved a technical and vocational education and training sector policy framework to enhance the quality and relevance of skills training. </w:t>
            </w:r>
          </w:p>
          <w:p w14:paraId="118B00A8" w14:textId="65B1476C"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 xml:space="preserve">Prior Action 7: The Recipient, through its Cabinet, has approved a labor mobility policy framework to foster greater participation and gender equity in access to overseas employment opportunities  </w:t>
            </w:r>
          </w:p>
        </w:tc>
        <w:tc>
          <w:tcPr>
            <w:tcW w:w="328" w:type="dxa"/>
          </w:tcPr>
          <w:p w14:paraId="1CA4DAAA" w14:textId="77777777" w:rsidR="00960DFB" w:rsidRPr="00BD3DF3" w:rsidRDefault="00960DFB" w:rsidP="00B93B1E">
            <w:pPr>
              <w:spacing w:before="0"/>
              <w:rPr>
                <w:rFonts w:cstheme="minorHAnsi"/>
                <w:sz w:val="18"/>
                <w:szCs w:val="18"/>
              </w:rPr>
            </w:pPr>
            <w:r w:rsidRPr="00BD3DF3">
              <w:rPr>
                <w:rFonts w:cstheme="minorHAnsi"/>
                <w:sz w:val="18"/>
                <w:szCs w:val="18"/>
              </w:rPr>
              <w:t>Explicit</w:t>
            </w:r>
          </w:p>
        </w:tc>
        <w:tc>
          <w:tcPr>
            <w:tcW w:w="0" w:type="auto"/>
          </w:tcPr>
          <w:p w14:paraId="7B6576FC" w14:textId="77777777" w:rsidR="00960DFB" w:rsidRPr="00BD3DF3" w:rsidRDefault="00960DFB" w:rsidP="00B93B1E">
            <w:pPr>
              <w:spacing w:before="0"/>
              <w:rPr>
                <w:rFonts w:cstheme="minorHAnsi"/>
                <w:sz w:val="18"/>
                <w:szCs w:val="18"/>
              </w:rPr>
            </w:pPr>
            <w:r w:rsidRPr="00BD3DF3">
              <w:rPr>
                <w:rFonts w:cstheme="minorHAnsi"/>
                <w:sz w:val="18"/>
                <w:szCs w:val="18"/>
              </w:rPr>
              <w:t>No</w:t>
            </w:r>
          </w:p>
        </w:tc>
      </w:tr>
      <w:tr w:rsidR="00BD3DF3" w:rsidRPr="00BD3DF3" w14:paraId="305A64F6" w14:textId="77777777" w:rsidTr="00B93B1E">
        <w:trPr>
          <w:trHeight w:val="510"/>
        </w:trPr>
        <w:tc>
          <w:tcPr>
            <w:tcW w:w="0" w:type="auto"/>
          </w:tcPr>
          <w:p w14:paraId="56B0BE66" w14:textId="77777777" w:rsidR="00960DFB" w:rsidRPr="00BD3DF3" w:rsidRDefault="00960DFB" w:rsidP="00B93B1E">
            <w:pPr>
              <w:spacing w:before="0"/>
              <w:rPr>
                <w:rFonts w:cstheme="minorHAnsi"/>
                <w:sz w:val="18"/>
                <w:szCs w:val="18"/>
              </w:rPr>
            </w:pPr>
            <w:r w:rsidRPr="00BD3DF3">
              <w:rPr>
                <w:rFonts w:cstheme="minorHAnsi"/>
                <w:sz w:val="18"/>
                <w:szCs w:val="18"/>
              </w:rPr>
              <w:t>Tonga</w:t>
            </w:r>
          </w:p>
        </w:tc>
        <w:tc>
          <w:tcPr>
            <w:tcW w:w="951" w:type="dxa"/>
          </w:tcPr>
          <w:p w14:paraId="558527FE" w14:textId="77777777" w:rsidR="00960DFB" w:rsidRPr="00BD3DF3" w:rsidRDefault="00960DFB" w:rsidP="00B93B1E">
            <w:pPr>
              <w:spacing w:before="0"/>
              <w:rPr>
                <w:rFonts w:cstheme="minorHAnsi"/>
                <w:sz w:val="18"/>
                <w:szCs w:val="18"/>
              </w:rPr>
            </w:pPr>
            <w:r w:rsidRPr="00BD3DF3">
              <w:rPr>
                <w:rFonts w:cstheme="minorHAnsi"/>
                <w:sz w:val="18"/>
                <w:szCs w:val="18"/>
              </w:rPr>
              <w:t>P174683</w:t>
            </w:r>
          </w:p>
        </w:tc>
        <w:tc>
          <w:tcPr>
            <w:tcW w:w="845" w:type="dxa"/>
          </w:tcPr>
          <w:p w14:paraId="705C2C6A" w14:textId="77777777" w:rsidR="00960DFB" w:rsidRPr="00BD3DF3" w:rsidRDefault="00960DFB" w:rsidP="00B93B1E">
            <w:pPr>
              <w:spacing w:before="0"/>
              <w:rPr>
                <w:rFonts w:cstheme="minorHAnsi"/>
                <w:sz w:val="18"/>
                <w:szCs w:val="18"/>
              </w:rPr>
            </w:pPr>
            <w:r w:rsidRPr="00BD3DF3">
              <w:rPr>
                <w:rFonts w:cstheme="minorHAnsi"/>
                <w:sz w:val="18"/>
                <w:szCs w:val="18"/>
              </w:rPr>
              <w:t>2021</w:t>
            </w:r>
          </w:p>
        </w:tc>
        <w:tc>
          <w:tcPr>
            <w:tcW w:w="8998" w:type="dxa"/>
          </w:tcPr>
          <w:p w14:paraId="1B20C2FD" w14:textId="30EFC142"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P</w:t>
            </w:r>
            <w:r w:rsidR="00BD3DF3">
              <w:rPr>
                <w:rFonts w:asciiTheme="minorHAnsi" w:hAnsiTheme="minorHAnsi" w:cstheme="minorHAnsi"/>
                <w:color w:val="495965" w:themeColor="text2"/>
                <w:sz w:val="18"/>
                <w:szCs w:val="18"/>
              </w:rPr>
              <w:t xml:space="preserve">rior Action </w:t>
            </w:r>
            <w:r w:rsidRPr="00BD3DF3">
              <w:rPr>
                <w:rFonts w:asciiTheme="minorHAnsi" w:hAnsiTheme="minorHAnsi" w:cstheme="minorHAnsi"/>
                <w:color w:val="495965" w:themeColor="text2"/>
                <w:sz w:val="18"/>
                <w:szCs w:val="18"/>
              </w:rPr>
              <w:t>1: To support livelihoods and household investments in human capital, the Recipient, through its Cabinet, has approved an economic and social stimulus package which provides school fee relief and targeted crisis-responsive social protection payments drawing on newly developed social registries and using new electronic payment methods</w:t>
            </w:r>
          </w:p>
          <w:p w14:paraId="52E52DB7" w14:textId="2E83704E" w:rsidR="00960DFB" w:rsidRPr="00BD3DF3" w:rsidRDefault="00BD3DF3"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P</w:t>
            </w:r>
            <w:r>
              <w:rPr>
                <w:rFonts w:asciiTheme="minorHAnsi" w:hAnsiTheme="minorHAnsi" w:cstheme="minorHAnsi"/>
                <w:color w:val="495965" w:themeColor="text2"/>
                <w:sz w:val="18"/>
                <w:szCs w:val="18"/>
              </w:rPr>
              <w:t xml:space="preserve">rior Action </w:t>
            </w:r>
            <w:r w:rsidR="00960DFB" w:rsidRPr="00BD3DF3">
              <w:rPr>
                <w:rFonts w:asciiTheme="minorHAnsi" w:hAnsiTheme="minorHAnsi" w:cstheme="minorHAnsi"/>
                <w:color w:val="495965" w:themeColor="text2"/>
                <w:sz w:val="18"/>
                <w:szCs w:val="18"/>
              </w:rPr>
              <w:t>4: To facilitate increased access to microcredit for micro, small and medium enterprises, the Recipient has expanded and extended the Government Development Loan Scheme.</w:t>
            </w:r>
          </w:p>
        </w:tc>
        <w:tc>
          <w:tcPr>
            <w:tcW w:w="328" w:type="dxa"/>
          </w:tcPr>
          <w:p w14:paraId="3D179C19" w14:textId="77777777" w:rsidR="00960DFB" w:rsidRPr="00BD3DF3" w:rsidRDefault="00960DFB" w:rsidP="00B93B1E">
            <w:pPr>
              <w:spacing w:before="0"/>
              <w:rPr>
                <w:rFonts w:cstheme="minorHAnsi"/>
                <w:sz w:val="18"/>
                <w:szCs w:val="18"/>
              </w:rPr>
            </w:pPr>
            <w:r w:rsidRPr="00BD3DF3">
              <w:rPr>
                <w:rFonts w:cstheme="minorHAnsi"/>
                <w:sz w:val="18"/>
                <w:szCs w:val="18"/>
              </w:rPr>
              <w:t>Implicit</w:t>
            </w:r>
          </w:p>
        </w:tc>
        <w:tc>
          <w:tcPr>
            <w:tcW w:w="0" w:type="auto"/>
          </w:tcPr>
          <w:p w14:paraId="4DCC4405" w14:textId="77777777" w:rsidR="00960DFB" w:rsidRPr="00BD3DF3" w:rsidRDefault="00960DFB" w:rsidP="00B93B1E">
            <w:pPr>
              <w:spacing w:before="0"/>
              <w:rPr>
                <w:rFonts w:cstheme="minorHAnsi"/>
                <w:sz w:val="18"/>
                <w:szCs w:val="18"/>
              </w:rPr>
            </w:pPr>
            <w:r w:rsidRPr="00BD3DF3">
              <w:rPr>
                <w:rFonts w:cstheme="minorHAnsi"/>
                <w:sz w:val="18"/>
                <w:szCs w:val="18"/>
              </w:rPr>
              <w:t>No</w:t>
            </w:r>
          </w:p>
        </w:tc>
      </w:tr>
      <w:tr w:rsidR="00BD3DF3" w:rsidRPr="00BD3DF3" w14:paraId="31E21499" w14:textId="77777777" w:rsidTr="00B93B1E">
        <w:trPr>
          <w:trHeight w:val="510"/>
        </w:trPr>
        <w:tc>
          <w:tcPr>
            <w:tcW w:w="0" w:type="auto"/>
          </w:tcPr>
          <w:p w14:paraId="789E8634" w14:textId="77777777" w:rsidR="00960DFB" w:rsidRPr="00BD3DF3" w:rsidRDefault="00960DFB" w:rsidP="00B93B1E">
            <w:pPr>
              <w:spacing w:before="0"/>
              <w:rPr>
                <w:rFonts w:cstheme="minorHAnsi"/>
                <w:sz w:val="18"/>
                <w:szCs w:val="18"/>
              </w:rPr>
            </w:pPr>
            <w:r w:rsidRPr="00BD3DF3">
              <w:rPr>
                <w:rFonts w:cstheme="minorHAnsi"/>
                <w:sz w:val="18"/>
                <w:szCs w:val="18"/>
              </w:rPr>
              <w:t>Tuvalu</w:t>
            </w:r>
          </w:p>
        </w:tc>
        <w:tc>
          <w:tcPr>
            <w:tcW w:w="951" w:type="dxa"/>
          </w:tcPr>
          <w:p w14:paraId="748F7E8F" w14:textId="77777777" w:rsidR="00960DFB" w:rsidRPr="00BD3DF3" w:rsidRDefault="00960DFB" w:rsidP="00B93B1E">
            <w:pPr>
              <w:spacing w:before="0"/>
              <w:rPr>
                <w:rFonts w:cstheme="minorHAnsi"/>
                <w:sz w:val="18"/>
                <w:szCs w:val="18"/>
              </w:rPr>
            </w:pPr>
            <w:r w:rsidRPr="00BD3DF3">
              <w:rPr>
                <w:rFonts w:cstheme="minorHAnsi"/>
                <w:sz w:val="18"/>
                <w:szCs w:val="18"/>
              </w:rPr>
              <w:t>P150194</w:t>
            </w:r>
          </w:p>
        </w:tc>
        <w:tc>
          <w:tcPr>
            <w:tcW w:w="845" w:type="dxa"/>
          </w:tcPr>
          <w:p w14:paraId="3FF735F3" w14:textId="77777777" w:rsidR="00960DFB" w:rsidRPr="00BD3DF3" w:rsidRDefault="00960DFB" w:rsidP="00B93B1E">
            <w:pPr>
              <w:spacing w:before="0"/>
              <w:rPr>
                <w:rFonts w:cstheme="minorHAnsi"/>
                <w:sz w:val="18"/>
                <w:szCs w:val="18"/>
              </w:rPr>
            </w:pPr>
            <w:r w:rsidRPr="00BD3DF3">
              <w:rPr>
                <w:rFonts w:cstheme="minorHAnsi"/>
                <w:sz w:val="18"/>
                <w:szCs w:val="18"/>
              </w:rPr>
              <w:t>2015</w:t>
            </w:r>
          </w:p>
        </w:tc>
        <w:tc>
          <w:tcPr>
            <w:tcW w:w="8998" w:type="dxa"/>
          </w:tcPr>
          <w:p w14:paraId="09DD8AD1" w14:textId="77777777"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The Recipient, through its Ministry of Education and the Tuvalu Maritime Training Institute, has broadened vocational training programs to increase post-primary education opportunities, particularly for Tuvaluan women.</w:t>
            </w:r>
          </w:p>
        </w:tc>
        <w:tc>
          <w:tcPr>
            <w:tcW w:w="328" w:type="dxa"/>
          </w:tcPr>
          <w:p w14:paraId="132317BF" w14:textId="77777777" w:rsidR="00960DFB" w:rsidRPr="00BD3DF3" w:rsidRDefault="00960DFB" w:rsidP="00B93B1E">
            <w:pPr>
              <w:spacing w:before="0"/>
              <w:rPr>
                <w:rFonts w:cstheme="minorHAnsi"/>
                <w:sz w:val="18"/>
                <w:szCs w:val="18"/>
              </w:rPr>
            </w:pPr>
            <w:r w:rsidRPr="00BD3DF3">
              <w:rPr>
                <w:rFonts w:cstheme="minorHAnsi"/>
                <w:sz w:val="18"/>
                <w:szCs w:val="18"/>
              </w:rPr>
              <w:t>Explicit</w:t>
            </w:r>
          </w:p>
        </w:tc>
        <w:tc>
          <w:tcPr>
            <w:tcW w:w="0" w:type="auto"/>
          </w:tcPr>
          <w:p w14:paraId="4452A71E" w14:textId="77777777" w:rsidR="00960DFB" w:rsidRPr="00BD3DF3" w:rsidRDefault="00960DFB" w:rsidP="00B93B1E">
            <w:pPr>
              <w:spacing w:before="0"/>
              <w:rPr>
                <w:rFonts w:cstheme="minorHAnsi"/>
                <w:sz w:val="18"/>
                <w:szCs w:val="18"/>
              </w:rPr>
            </w:pPr>
            <w:r w:rsidRPr="00BD3DF3">
              <w:rPr>
                <w:rFonts w:cstheme="minorHAnsi"/>
                <w:sz w:val="18"/>
                <w:szCs w:val="18"/>
              </w:rPr>
              <w:t>Yes</w:t>
            </w:r>
          </w:p>
        </w:tc>
      </w:tr>
      <w:tr w:rsidR="00BD3DF3" w:rsidRPr="00BD3DF3" w14:paraId="4CE8CA9C" w14:textId="77777777" w:rsidTr="00B93B1E">
        <w:trPr>
          <w:trHeight w:val="510"/>
        </w:trPr>
        <w:tc>
          <w:tcPr>
            <w:tcW w:w="0" w:type="auto"/>
          </w:tcPr>
          <w:p w14:paraId="493CFE3C" w14:textId="77777777" w:rsidR="00960DFB" w:rsidRPr="00BD3DF3" w:rsidRDefault="00960DFB" w:rsidP="00B93B1E">
            <w:pPr>
              <w:spacing w:before="0"/>
              <w:rPr>
                <w:rFonts w:cstheme="minorHAnsi"/>
                <w:sz w:val="18"/>
                <w:szCs w:val="18"/>
              </w:rPr>
            </w:pPr>
            <w:r w:rsidRPr="00BD3DF3">
              <w:rPr>
                <w:rFonts w:cstheme="minorHAnsi"/>
                <w:sz w:val="18"/>
                <w:szCs w:val="18"/>
              </w:rPr>
              <w:t>Tuvalu</w:t>
            </w:r>
          </w:p>
        </w:tc>
        <w:tc>
          <w:tcPr>
            <w:tcW w:w="951" w:type="dxa"/>
          </w:tcPr>
          <w:p w14:paraId="43F216AB" w14:textId="77777777" w:rsidR="00960DFB" w:rsidRPr="00BD3DF3" w:rsidRDefault="00960DFB" w:rsidP="00B93B1E">
            <w:pPr>
              <w:spacing w:before="0"/>
              <w:rPr>
                <w:rFonts w:cstheme="minorHAnsi"/>
                <w:sz w:val="18"/>
                <w:szCs w:val="18"/>
              </w:rPr>
            </w:pPr>
            <w:r w:rsidRPr="00BD3DF3">
              <w:rPr>
                <w:rFonts w:cstheme="minorHAnsi"/>
                <w:sz w:val="18"/>
                <w:szCs w:val="18"/>
              </w:rPr>
              <w:t>P155066</w:t>
            </w:r>
          </w:p>
        </w:tc>
        <w:tc>
          <w:tcPr>
            <w:tcW w:w="845" w:type="dxa"/>
          </w:tcPr>
          <w:p w14:paraId="395C73EA" w14:textId="77777777" w:rsidR="00960DFB" w:rsidRPr="00BD3DF3" w:rsidRDefault="00960DFB" w:rsidP="00B93B1E">
            <w:pPr>
              <w:spacing w:before="0"/>
              <w:rPr>
                <w:rFonts w:cstheme="minorHAnsi"/>
                <w:sz w:val="18"/>
                <w:szCs w:val="18"/>
              </w:rPr>
            </w:pPr>
            <w:r w:rsidRPr="00BD3DF3">
              <w:rPr>
                <w:rFonts w:cstheme="minorHAnsi"/>
                <w:sz w:val="18"/>
                <w:szCs w:val="18"/>
              </w:rPr>
              <w:t>2017</w:t>
            </w:r>
          </w:p>
        </w:tc>
        <w:tc>
          <w:tcPr>
            <w:tcW w:w="8998" w:type="dxa"/>
          </w:tcPr>
          <w:p w14:paraId="2AD7B106" w14:textId="77777777"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 xml:space="preserve">The Recipient’s Cabinet has endorsed the removal of secondary education school fees to enhance inclusiveness and equity of secondary education </w:t>
            </w:r>
          </w:p>
        </w:tc>
        <w:tc>
          <w:tcPr>
            <w:tcW w:w="328" w:type="dxa"/>
          </w:tcPr>
          <w:p w14:paraId="2FAF04EE" w14:textId="77777777" w:rsidR="00960DFB" w:rsidRPr="00BD3DF3" w:rsidRDefault="00960DFB" w:rsidP="00B93B1E">
            <w:pPr>
              <w:spacing w:before="0"/>
              <w:rPr>
                <w:rFonts w:cstheme="minorHAnsi"/>
                <w:sz w:val="18"/>
                <w:szCs w:val="18"/>
              </w:rPr>
            </w:pPr>
            <w:r w:rsidRPr="00BD3DF3">
              <w:rPr>
                <w:rFonts w:cstheme="minorHAnsi"/>
                <w:sz w:val="18"/>
                <w:szCs w:val="18"/>
              </w:rPr>
              <w:t>Implicit</w:t>
            </w:r>
          </w:p>
        </w:tc>
        <w:tc>
          <w:tcPr>
            <w:tcW w:w="0" w:type="auto"/>
          </w:tcPr>
          <w:p w14:paraId="685CD874" w14:textId="77777777" w:rsidR="00960DFB" w:rsidRPr="00BD3DF3" w:rsidRDefault="00960DFB" w:rsidP="00B93B1E">
            <w:pPr>
              <w:spacing w:before="0"/>
              <w:rPr>
                <w:rFonts w:cstheme="minorHAnsi"/>
                <w:sz w:val="18"/>
                <w:szCs w:val="18"/>
              </w:rPr>
            </w:pPr>
            <w:r w:rsidRPr="00BD3DF3">
              <w:rPr>
                <w:rFonts w:cstheme="minorHAnsi"/>
                <w:sz w:val="18"/>
                <w:szCs w:val="18"/>
              </w:rPr>
              <w:t>Yes</w:t>
            </w:r>
          </w:p>
        </w:tc>
      </w:tr>
      <w:tr w:rsidR="00BD3DF3" w:rsidRPr="00BD3DF3" w14:paraId="358F64D9" w14:textId="77777777" w:rsidTr="00B93B1E">
        <w:trPr>
          <w:trHeight w:val="510"/>
        </w:trPr>
        <w:tc>
          <w:tcPr>
            <w:tcW w:w="0" w:type="auto"/>
          </w:tcPr>
          <w:p w14:paraId="19B18ECD" w14:textId="77777777" w:rsidR="00960DFB" w:rsidRPr="00BD3DF3" w:rsidRDefault="00960DFB" w:rsidP="00B93B1E">
            <w:pPr>
              <w:spacing w:before="0"/>
              <w:rPr>
                <w:rFonts w:cstheme="minorHAnsi"/>
                <w:sz w:val="18"/>
                <w:szCs w:val="18"/>
              </w:rPr>
            </w:pPr>
            <w:r w:rsidRPr="00BD3DF3">
              <w:rPr>
                <w:rFonts w:cstheme="minorHAnsi"/>
                <w:sz w:val="18"/>
                <w:szCs w:val="18"/>
              </w:rPr>
              <w:lastRenderedPageBreak/>
              <w:t>Tuvalu</w:t>
            </w:r>
          </w:p>
        </w:tc>
        <w:tc>
          <w:tcPr>
            <w:tcW w:w="951" w:type="dxa"/>
          </w:tcPr>
          <w:p w14:paraId="4BC016EE" w14:textId="77777777" w:rsidR="00960DFB" w:rsidRPr="00BD3DF3" w:rsidRDefault="00960DFB" w:rsidP="00B93B1E">
            <w:pPr>
              <w:spacing w:before="0"/>
              <w:rPr>
                <w:rFonts w:cstheme="minorHAnsi"/>
                <w:sz w:val="18"/>
                <w:szCs w:val="18"/>
              </w:rPr>
            </w:pPr>
            <w:r w:rsidRPr="00BD3DF3">
              <w:rPr>
                <w:rFonts w:cstheme="minorHAnsi"/>
                <w:sz w:val="18"/>
                <w:szCs w:val="18"/>
              </w:rPr>
              <w:t>P161867</w:t>
            </w:r>
          </w:p>
        </w:tc>
        <w:tc>
          <w:tcPr>
            <w:tcW w:w="845" w:type="dxa"/>
          </w:tcPr>
          <w:p w14:paraId="233C74BD" w14:textId="77777777" w:rsidR="00960DFB" w:rsidRPr="00BD3DF3" w:rsidRDefault="00960DFB" w:rsidP="00B93B1E">
            <w:pPr>
              <w:spacing w:before="0"/>
              <w:rPr>
                <w:rFonts w:cstheme="minorHAnsi"/>
                <w:sz w:val="18"/>
                <w:szCs w:val="18"/>
              </w:rPr>
            </w:pPr>
            <w:r w:rsidRPr="00BD3DF3">
              <w:rPr>
                <w:rFonts w:cstheme="minorHAnsi"/>
                <w:sz w:val="18"/>
                <w:szCs w:val="18"/>
              </w:rPr>
              <w:t>2018</w:t>
            </w:r>
          </w:p>
        </w:tc>
        <w:tc>
          <w:tcPr>
            <w:tcW w:w="8998" w:type="dxa"/>
          </w:tcPr>
          <w:p w14:paraId="61574D0D" w14:textId="77777777"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 xml:space="preserve">The Recipient’s Cabinet has endorsed the removal of secondary education school fees to enhance inclusiveness and equity of secondary education </w:t>
            </w:r>
          </w:p>
        </w:tc>
        <w:tc>
          <w:tcPr>
            <w:tcW w:w="328" w:type="dxa"/>
          </w:tcPr>
          <w:p w14:paraId="6D33D61E" w14:textId="77777777" w:rsidR="00960DFB" w:rsidRPr="00BD3DF3" w:rsidRDefault="00960DFB" w:rsidP="00B93B1E">
            <w:pPr>
              <w:spacing w:before="0"/>
              <w:rPr>
                <w:rFonts w:cstheme="minorHAnsi"/>
                <w:sz w:val="18"/>
                <w:szCs w:val="18"/>
              </w:rPr>
            </w:pPr>
            <w:r w:rsidRPr="00BD3DF3">
              <w:rPr>
                <w:rFonts w:cstheme="minorHAnsi"/>
                <w:sz w:val="18"/>
                <w:szCs w:val="18"/>
              </w:rPr>
              <w:t>Implicit</w:t>
            </w:r>
          </w:p>
        </w:tc>
        <w:tc>
          <w:tcPr>
            <w:tcW w:w="0" w:type="auto"/>
          </w:tcPr>
          <w:p w14:paraId="78AA3A66" w14:textId="77777777" w:rsidR="00960DFB" w:rsidRPr="00BD3DF3" w:rsidRDefault="00960DFB" w:rsidP="00B93B1E">
            <w:pPr>
              <w:spacing w:before="0"/>
              <w:rPr>
                <w:rFonts w:cstheme="minorHAnsi"/>
                <w:sz w:val="18"/>
                <w:szCs w:val="18"/>
              </w:rPr>
            </w:pPr>
            <w:r w:rsidRPr="00BD3DF3">
              <w:rPr>
                <w:rFonts w:cstheme="minorHAnsi"/>
                <w:sz w:val="18"/>
                <w:szCs w:val="18"/>
              </w:rPr>
              <w:t>Yes</w:t>
            </w:r>
          </w:p>
        </w:tc>
      </w:tr>
      <w:tr w:rsidR="00BD3DF3" w:rsidRPr="00BD3DF3" w14:paraId="31C73E22" w14:textId="77777777" w:rsidTr="00B93B1E">
        <w:trPr>
          <w:trHeight w:val="510"/>
        </w:trPr>
        <w:tc>
          <w:tcPr>
            <w:tcW w:w="0" w:type="auto"/>
          </w:tcPr>
          <w:p w14:paraId="591CB42B" w14:textId="77777777" w:rsidR="00960DFB" w:rsidRPr="00BD3DF3" w:rsidRDefault="00960DFB" w:rsidP="00B93B1E">
            <w:pPr>
              <w:spacing w:before="0"/>
              <w:rPr>
                <w:rFonts w:cstheme="minorHAnsi"/>
                <w:sz w:val="18"/>
                <w:szCs w:val="18"/>
              </w:rPr>
            </w:pPr>
            <w:r w:rsidRPr="00BD3DF3">
              <w:rPr>
                <w:rFonts w:cstheme="minorHAnsi"/>
                <w:sz w:val="18"/>
                <w:szCs w:val="18"/>
              </w:rPr>
              <w:t>Tuvalu</w:t>
            </w:r>
          </w:p>
        </w:tc>
        <w:tc>
          <w:tcPr>
            <w:tcW w:w="951" w:type="dxa"/>
          </w:tcPr>
          <w:p w14:paraId="3D38BF92" w14:textId="77777777" w:rsidR="00960DFB" w:rsidRPr="00BD3DF3" w:rsidRDefault="00960DFB" w:rsidP="00B93B1E">
            <w:pPr>
              <w:spacing w:before="0"/>
              <w:rPr>
                <w:rFonts w:cstheme="minorHAnsi"/>
                <w:sz w:val="18"/>
                <w:szCs w:val="18"/>
              </w:rPr>
            </w:pPr>
            <w:r w:rsidRPr="00BD3DF3">
              <w:rPr>
                <w:rFonts w:cstheme="minorHAnsi"/>
                <w:sz w:val="18"/>
                <w:szCs w:val="18"/>
              </w:rPr>
              <w:t>P170558</w:t>
            </w:r>
          </w:p>
        </w:tc>
        <w:tc>
          <w:tcPr>
            <w:tcW w:w="845" w:type="dxa"/>
          </w:tcPr>
          <w:p w14:paraId="451A17BC" w14:textId="77777777" w:rsidR="00960DFB" w:rsidRPr="00BD3DF3" w:rsidRDefault="00960DFB" w:rsidP="00B93B1E">
            <w:pPr>
              <w:spacing w:before="0"/>
              <w:rPr>
                <w:rFonts w:cstheme="minorHAnsi"/>
                <w:sz w:val="18"/>
                <w:szCs w:val="18"/>
              </w:rPr>
            </w:pPr>
            <w:r w:rsidRPr="00BD3DF3">
              <w:rPr>
                <w:rFonts w:cstheme="minorHAnsi"/>
                <w:sz w:val="18"/>
                <w:szCs w:val="18"/>
              </w:rPr>
              <w:t>2020</w:t>
            </w:r>
          </w:p>
        </w:tc>
        <w:tc>
          <w:tcPr>
            <w:tcW w:w="8998" w:type="dxa"/>
          </w:tcPr>
          <w:p w14:paraId="150D5D05" w14:textId="77777777"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Prior Action 6: The Recipient, through its Cabinet, has approved the Tuvalu National Policy for Persons with Disability</w:t>
            </w:r>
          </w:p>
        </w:tc>
        <w:tc>
          <w:tcPr>
            <w:tcW w:w="328" w:type="dxa"/>
          </w:tcPr>
          <w:p w14:paraId="3CB63480" w14:textId="77777777" w:rsidR="00960DFB" w:rsidRPr="00BD3DF3" w:rsidRDefault="00960DFB" w:rsidP="00B93B1E">
            <w:pPr>
              <w:spacing w:before="0"/>
              <w:rPr>
                <w:rFonts w:cstheme="minorHAnsi"/>
                <w:sz w:val="18"/>
                <w:szCs w:val="18"/>
              </w:rPr>
            </w:pPr>
            <w:r w:rsidRPr="00BD3DF3">
              <w:rPr>
                <w:rFonts w:cstheme="minorHAnsi"/>
                <w:sz w:val="18"/>
                <w:szCs w:val="18"/>
              </w:rPr>
              <w:t>Implicit</w:t>
            </w:r>
          </w:p>
        </w:tc>
        <w:tc>
          <w:tcPr>
            <w:tcW w:w="0" w:type="auto"/>
          </w:tcPr>
          <w:p w14:paraId="3508E85E" w14:textId="77777777" w:rsidR="00960DFB" w:rsidRPr="00BD3DF3" w:rsidRDefault="00960DFB" w:rsidP="00B93B1E">
            <w:pPr>
              <w:spacing w:before="0"/>
              <w:rPr>
                <w:rFonts w:cstheme="minorHAnsi"/>
                <w:sz w:val="18"/>
                <w:szCs w:val="18"/>
              </w:rPr>
            </w:pPr>
            <w:r w:rsidRPr="00BD3DF3">
              <w:rPr>
                <w:rFonts w:cstheme="minorHAnsi"/>
                <w:sz w:val="18"/>
                <w:szCs w:val="18"/>
              </w:rPr>
              <w:t>Yes</w:t>
            </w:r>
          </w:p>
        </w:tc>
      </w:tr>
      <w:tr w:rsidR="00BD3DF3" w:rsidRPr="00BD3DF3" w14:paraId="7B86B426" w14:textId="77777777" w:rsidTr="00B93B1E">
        <w:trPr>
          <w:trHeight w:val="510"/>
        </w:trPr>
        <w:tc>
          <w:tcPr>
            <w:tcW w:w="0" w:type="auto"/>
          </w:tcPr>
          <w:p w14:paraId="43A76BFA" w14:textId="77777777" w:rsidR="00960DFB" w:rsidRPr="00BD3DF3" w:rsidRDefault="00960DFB" w:rsidP="00B93B1E">
            <w:pPr>
              <w:spacing w:before="0"/>
              <w:rPr>
                <w:rFonts w:cstheme="minorHAnsi"/>
                <w:sz w:val="18"/>
                <w:szCs w:val="18"/>
              </w:rPr>
            </w:pPr>
            <w:r w:rsidRPr="00BD3DF3">
              <w:rPr>
                <w:rFonts w:cstheme="minorHAnsi"/>
                <w:sz w:val="18"/>
                <w:szCs w:val="18"/>
              </w:rPr>
              <w:t>Tuvalu</w:t>
            </w:r>
          </w:p>
        </w:tc>
        <w:tc>
          <w:tcPr>
            <w:tcW w:w="951" w:type="dxa"/>
          </w:tcPr>
          <w:p w14:paraId="08E6368E" w14:textId="77777777" w:rsidR="00960DFB" w:rsidRPr="00BD3DF3" w:rsidRDefault="00960DFB" w:rsidP="00B93B1E">
            <w:pPr>
              <w:spacing w:before="0"/>
              <w:rPr>
                <w:rFonts w:cstheme="minorHAnsi"/>
                <w:sz w:val="18"/>
                <w:szCs w:val="18"/>
              </w:rPr>
            </w:pPr>
            <w:r w:rsidRPr="00BD3DF3">
              <w:rPr>
                <w:rFonts w:cstheme="minorHAnsi"/>
                <w:sz w:val="18"/>
                <w:szCs w:val="18"/>
              </w:rPr>
              <w:t>P172614</w:t>
            </w:r>
          </w:p>
        </w:tc>
        <w:tc>
          <w:tcPr>
            <w:tcW w:w="845" w:type="dxa"/>
          </w:tcPr>
          <w:p w14:paraId="02C7AC2C" w14:textId="77777777" w:rsidR="00960DFB" w:rsidRPr="00BD3DF3" w:rsidRDefault="00960DFB" w:rsidP="00B93B1E">
            <w:pPr>
              <w:spacing w:before="0"/>
              <w:rPr>
                <w:rFonts w:cstheme="minorHAnsi"/>
                <w:sz w:val="18"/>
                <w:szCs w:val="18"/>
              </w:rPr>
            </w:pPr>
            <w:r w:rsidRPr="00BD3DF3">
              <w:rPr>
                <w:rFonts w:cstheme="minorHAnsi"/>
                <w:sz w:val="18"/>
                <w:szCs w:val="18"/>
              </w:rPr>
              <w:t>2021</w:t>
            </w:r>
          </w:p>
        </w:tc>
        <w:tc>
          <w:tcPr>
            <w:tcW w:w="8998" w:type="dxa"/>
          </w:tcPr>
          <w:p w14:paraId="4124CB82" w14:textId="77777777"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Prior Action 6: To improve access and quality of education for children with disabilities, the Recipient, through its Cabinet, has approved the Disability-Inclusive Education Policy and Action Plan.</w:t>
            </w:r>
          </w:p>
        </w:tc>
        <w:tc>
          <w:tcPr>
            <w:tcW w:w="328" w:type="dxa"/>
          </w:tcPr>
          <w:p w14:paraId="3BA0048F" w14:textId="77777777" w:rsidR="00960DFB" w:rsidRPr="00BD3DF3" w:rsidRDefault="00960DFB" w:rsidP="00B93B1E">
            <w:pPr>
              <w:spacing w:before="0"/>
              <w:rPr>
                <w:rFonts w:cstheme="minorHAnsi"/>
                <w:sz w:val="18"/>
                <w:szCs w:val="18"/>
              </w:rPr>
            </w:pPr>
            <w:r w:rsidRPr="00BD3DF3">
              <w:rPr>
                <w:rFonts w:cstheme="minorHAnsi"/>
                <w:sz w:val="18"/>
                <w:szCs w:val="18"/>
              </w:rPr>
              <w:t>Implicit</w:t>
            </w:r>
          </w:p>
        </w:tc>
        <w:tc>
          <w:tcPr>
            <w:tcW w:w="0" w:type="auto"/>
          </w:tcPr>
          <w:p w14:paraId="04DBB3A0" w14:textId="77777777" w:rsidR="00960DFB" w:rsidRPr="00BD3DF3" w:rsidRDefault="00960DFB" w:rsidP="00B93B1E">
            <w:pPr>
              <w:spacing w:before="0"/>
              <w:rPr>
                <w:rFonts w:cstheme="minorHAnsi"/>
                <w:sz w:val="18"/>
                <w:szCs w:val="18"/>
              </w:rPr>
            </w:pPr>
            <w:r w:rsidRPr="00BD3DF3">
              <w:rPr>
                <w:rFonts w:cstheme="minorHAnsi"/>
                <w:sz w:val="18"/>
                <w:szCs w:val="18"/>
              </w:rPr>
              <w:t>Yes</w:t>
            </w:r>
          </w:p>
        </w:tc>
      </w:tr>
      <w:tr w:rsidR="00BD3DF3" w:rsidRPr="00BD3DF3" w14:paraId="75D450F7" w14:textId="77777777" w:rsidTr="00B93B1E">
        <w:trPr>
          <w:trHeight w:val="510"/>
        </w:trPr>
        <w:tc>
          <w:tcPr>
            <w:tcW w:w="0" w:type="auto"/>
          </w:tcPr>
          <w:p w14:paraId="79BA0A64" w14:textId="77777777" w:rsidR="00960DFB" w:rsidRPr="00BD3DF3" w:rsidRDefault="00960DFB" w:rsidP="00B93B1E">
            <w:pPr>
              <w:spacing w:before="0"/>
              <w:rPr>
                <w:rFonts w:cstheme="minorHAnsi"/>
                <w:sz w:val="18"/>
                <w:szCs w:val="18"/>
              </w:rPr>
            </w:pPr>
            <w:r w:rsidRPr="00BD3DF3">
              <w:rPr>
                <w:rFonts w:cstheme="minorHAnsi"/>
                <w:sz w:val="18"/>
                <w:szCs w:val="18"/>
              </w:rPr>
              <w:t>Vanuatu</w:t>
            </w:r>
          </w:p>
        </w:tc>
        <w:tc>
          <w:tcPr>
            <w:tcW w:w="951" w:type="dxa"/>
          </w:tcPr>
          <w:p w14:paraId="712D9071" w14:textId="77777777" w:rsidR="00960DFB" w:rsidRPr="00BD3DF3" w:rsidRDefault="00960DFB" w:rsidP="00B93B1E">
            <w:pPr>
              <w:spacing w:before="0"/>
              <w:rPr>
                <w:rFonts w:cstheme="minorHAnsi"/>
                <w:sz w:val="18"/>
                <w:szCs w:val="18"/>
              </w:rPr>
            </w:pPr>
            <w:r w:rsidRPr="00BD3DF3">
              <w:rPr>
                <w:rFonts w:cstheme="minorHAnsi"/>
                <w:sz w:val="18"/>
                <w:szCs w:val="18"/>
              </w:rPr>
              <w:t>P168749</w:t>
            </w:r>
          </w:p>
        </w:tc>
        <w:tc>
          <w:tcPr>
            <w:tcW w:w="845" w:type="dxa"/>
          </w:tcPr>
          <w:p w14:paraId="7C0B3177" w14:textId="77777777" w:rsidR="00960DFB" w:rsidRPr="00BD3DF3" w:rsidRDefault="00960DFB" w:rsidP="00B93B1E">
            <w:pPr>
              <w:spacing w:before="0"/>
              <w:rPr>
                <w:rFonts w:cstheme="minorHAnsi"/>
                <w:sz w:val="18"/>
                <w:szCs w:val="18"/>
              </w:rPr>
            </w:pPr>
            <w:r w:rsidRPr="00BD3DF3">
              <w:rPr>
                <w:rFonts w:cstheme="minorHAnsi"/>
                <w:sz w:val="18"/>
                <w:szCs w:val="18"/>
              </w:rPr>
              <w:t>2020</w:t>
            </w:r>
          </w:p>
        </w:tc>
        <w:tc>
          <w:tcPr>
            <w:tcW w:w="8998" w:type="dxa"/>
          </w:tcPr>
          <w:p w14:paraId="54758A28" w14:textId="34265B7F"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 xml:space="preserve">Prior </w:t>
            </w:r>
            <w:r w:rsidR="00BD3DF3">
              <w:rPr>
                <w:rFonts w:asciiTheme="minorHAnsi" w:hAnsiTheme="minorHAnsi" w:cstheme="minorHAnsi"/>
                <w:color w:val="495965" w:themeColor="text2"/>
                <w:sz w:val="18"/>
                <w:szCs w:val="18"/>
              </w:rPr>
              <w:t>A</w:t>
            </w:r>
            <w:r w:rsidRPr="00BD3DF3">
              <w:rPr>
                <w:rFonts w:asciiTheme="minorHAnsi" w:hAnsiTheme="minorHAnsi" w:cstheme="minorHAnsi"/>
                <w:color w:val="495965" w:themeColor="text2"/>
                <w:sz w:val="18"/>
                <w:szCs w:val="18"/>
              </w:rPr>
              <w:t>ction 1: The Recipient’s Council of Ministers has approved,</w:t>
            </w:r>
          </w:p>
          <w:p w14:paraId="3C41F7F9" w14:textId="77777777" w:rsidR="00960DFB" w:rsidRPr="00BD3DF3" w:rsidRDefault="00960DFB" w:rsidP="00B93B1E">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 xml:space="preserve">and submitted to the Parliament, a Bill for the Disaster Risk Management Act, which provides for an integrated approach to disaster risk reduction and climate change adaptation, disaster preparedness, </w:t>
            </w:r>
            <w:proofErr w:type="gramStart"/>
            <w:r w:rsidRPr="00BD3DF3">
              <w:rPr>
                <w:rFonts w:asciiTheme="minorHAnsi" w:hAnsiTheme="minorHAnsi" w:cstheme="minorHAnsi"/>
                <w:color w:val="495965" w:themeColor="text2"/>
                <w:sz w:val="18"/>
                <w:szCs w:val="18"/>
              </w:rPr>
              <w:t>response</w:t>
            </w:r>
            <w:proofErr w:type="gramEnd"/>
            <w:r w:rsidRPr="00BD3DF3">
              <w:rPr>
                <w:rFonts w:asciiTheme="minorHAnsi" w:hAnsiTheme="minorHAnsi" w:cstheme="minorHAnsi"/>
                <w:color w:val="495965" w:themeColor="text2"/>
                <w:sz w:val="18"/>
                <w:szCs w:val="18"/>
              </w:rPr>
              <w:t xml:space="preserve"> and recovery at national and local levels.</w:t>
            </w:r>
          </w:p>
        </w:tc>
        <w:tc>
          <w:tcPr>
            <w:tcW w:w="328" w:type="dxa"/>
          </w:tcPr>
          <w:p w14:paraId="49D2E452" w14:textId="77777777" w:rsidR="00960DFB" w:rsidRPr="00BD3DF3" w:rsidRDefault="00960DFB" w:rsidP="00B93B1E">
            <w:pPr>
              <w:spacing w:before="0"/>
              <w:rPr>
                <w:rFonts w:cstheme="minorHAnsi"/>
                <w:sz w:val="18"/>
                <w:szCs w:val="18"/>
              </w:rPr>
            </w:pPr>
            <w:r w:rsidRPr="00BD3DF3">
              <w:rPr>
                <w:rFonts w:cstheme="minorHAnsi"/>
                <w:sz w:val="18"/>
                <w:szCs w:val="18"/>
              </w:rPr>
              <w:t>Implicit</w:t>
            </w:r>
          </w:p>
        </w:tc>
        <w:tc>
          <w:tcPr>
            <w:tcW w:w="0" w:type="auto"/>
          </w:tcPr>
          <w:p w14:paraId="3A8E07F7" w14:textId="77777777" w:rsidR="00960DFB" w:rsidRPr="00BD3DF3" w:rsidRDefault="00960DFB" w:rsidP="00B93B1E">
            <w:pPr>
              <w:spacing w:before="0"/>
              <w:rPr>
                <w:rFonts w:cstheme="minorHAnsi"/>
                <w:sz w:val="18"/>
                <w:szCs w:val="18"/>
              </w:rPr>
            </w:pPr>
          </w:p>
        </w:tc>
      </w:tr>
    </w:tbl>
    <w:p w14:paraId="0E778687" w14:textId="77777777" w:rsidR="00960DFB" w:rsidRDefault="00960DFB" w:rsidP="00851AB3">
      <w:pPr>
        <w:pStyle w:val="Caption"/>
        <w:keepNext/>
        <w:spacing w:before="180" w:after="120" w:line="240" w:lineRule="auto"/>
        <w:contextualSpacing w:val="0"/>
      </w:pPr>
      <w:r>
        <w:t xml:space="preserve">Table D 2 </w:t>
      </w:r>
      <w:r w:rsidRPr="00AE2BE9">
        <w:rPr>
          <w:b w:val="0"/>
          <w:bCs/>
        </w:rPr>
        <w:t>Policy actions related to gender equality in ADB Policy Based Loans</w:t>
      </w:r>
    </w:p>
    <w:tbl>
      <w:tblPr>
        <w:tblStyle w:val="TableGrid"/>
        <w:tblW w:w="5000" w:type="pct"/>
        <w:tblLook w:val="04A0" w:firstRow="1" w:lastRow="0" w:firstColumn="1" w:lastColumn="0" w:noHBand="0" w:noVBand="1"/>
      </w:tblPr>
      <w:tblGrid>
        <w:gridCol w:w="855"/>
        <w:gridCol w:w="1056"/>
        <w:gridCol w:w="845"/>
        <w:gridCol w:w="8720"/>
        <w:gridCol w:w="849"/>
        <w:gridCol w:w="1237"/>
      </w:tblGrid>
      <w:tr w:rsidR="00851AB3" w:rsidRPr="00851AB3" w14:paraId="6BF2D281" w14:textId="77777777" w:rsidTr="00BD3DF3">
        <w:trPr>
          <w:tblHeader/>
        </w:trPr>
        <w:tc>
          <w:tcPr>
            <w:tcW w:w="315" w:type="pct"/>
          </w:tcPr>
          <w:p w14:paraId="1A70B46C" w14:textId="77777777" w:rsidR="00960DFB" w:rsidRPr="00BD3DF3" w:rsidRDefault="00960DFB" w:rsidP="009B0AC4">
            <w:pPr>
              <w:spacing w:before="0"/>
              <w:rPr>
                <w:rFonts w:cstheme="minorHAnsi"/>
                <w:b/>
                <w:bCs/>
                <w:sz w:val="18"/>
                <w:szCs w:val="18"/>
              </w:rPr>
            </w:pPr>
            <w:r w:rsidRPr="00BD3DF3">
              <w:rPr>
                <w:rFonts w:cstheme="minorHAnsi"/>
                <w:b/>
                <w:bCs/>
                <w:sz w:val="18"/>
                <w:szCs w:val="18"/>
              </w:rPr>
              <w:t>Country</w:t>
            </w:r>
          </w:p>
        </w:tc>
        <w:tc>
          <w:tcPr>
            <w:tcW w:w="389" w:type="pct"/>
          </w:tcPr>
          <w:p w14:paraId="70C662BB" w14:textId="77777777" w:rsidR="00960DFB" w:rsidRPr="00BD3DF3" w:rsidRDefault="00960DFB" w:rsidP="009B0AC4">
            <w:pPr>
              <w:spacing w:before="0"/>
              <w:rPr>
                <w:rFonts w:cstheme="minorHAnsi"/>
                <w:b/>
                <w:bCs/>
                <w:sz w:val="18"/>
                <w:szCs w:val="18"/>
              </w:rPr>
            </w:pPr>
            <w:r w:rsidRPr="00BD3DF3">
              <w:rPr>
                <w:rFonts w:cstheme="minorHAnsi"/>
                <w:b/>
                <w:bCs/>
                <w:sz w:val="18"/>
                <w:szCs w:val="18"/>
              </w:rPr>
              <w:t>Project Number</w:t>
            </w:r>
          </w:p>
        </w:tc>
        <w:tc>
          <w:tcPr>
            <w:tcW w:w="312" w:type="pct"/>
          </w:tcPr>
          <w:p w14:paraId="05C6956D" w14:textId="77777777" w:rsidR="00960DFB" w:rsidRPr="00BD3DF3" w:rsidRDefault="00960DFB" w:rsidP="009B0AC4">
            <w:pPr>
              <w:spacing w:before="0"/>
              <w:rPr>
                <w:rFonts w:cstheme="minorHAnsi"/>
                <w:b/>
                <w:bCs/>
                <w:sz w:val="18"/>
                <w:szCs w:val="18"/>
              </w:rPr>
            </w:pPr>
            <w:r w:rsidRPr="00BD3DF3">
              <w:rPr>
                <w:rFonts w:cstheme="minorHAnsi"/>
                <w:b/>
                <w:bCs/>
                <w:sz w:val="18"/>
                <w:szCs w:val="18"/>
              </w:rPr>
              <w:t>Year Effective</w:t>
            </w:r>
          </w:p>
        </w:tc>
        <w:tc>
          <w:tcPr>
            <w:tcW w:w="3215" w:type="pct"/>
          </w:tcPr>
          <w:p w14:paraId="2E5F22E2" w14:textId="77777777" w:rsidR="00960DFB" w:rsidRPr="00BD3DF3" w:rsidRDefault="00960DFB" w:rsidP="009B0AC4">
            <w:pPr>
              <w:spacing w:before="0"/>
              <w:rPr>
                <w:rFonts w:cstheme="minorHAnsi"/>
                <w:b/>
                <w:bCs/>
                <w:sz w:val="18"/>
                <w:szCs w:val="18"/>
              </w:rPr>
            </w:pPr>
            <w:r w:rsidRPr="00BD3DF3">
              <w:rPr>
                <w:rFonts w:cstheme="minorHAnsi"/>
                <w:b/>
                <w:bCs/>
                <w:sz w:val="18"/>
                <w:szCs w:val="18"/>
              </w:rPr>
              <w:t>Prior Action</w:t>
            </w:r>
          </w:p>
        </w:tc>
        <w:tc>
          <w:tcPr>
            <w:tcW w:w="313" w:type="pct"/>
          </w:tcPr>
          <w:p w14:paraId="12C9F8FE" w14:textId="77777777" w:rsidR="00960DFB" w:rsidRPr="00BD3DF3" w:rsidRDefault="00960DFB" w:rsidP="009B0AC4">
            <w:pPr>
              <w:spacing w:before="0"/>
              <w:rPr>
                <w:rFonts w:cstheme="minorHAnsi"/>
                <w:b/>
                <w:bCs/>
                <w:sz w:val="18"/>
                <w:szCs w:val="18"/>
              </w:rPr>
            </w:pPr>
            <w:r w:rsidRPr="00BD3DF3">
              <w:rPr>
                <w:rFonts w:cstheme="minorHAnsi"/>
                <w:b/>
                <w:bCs/>
                <w:sz w:val="18"/>
                <w:szCs w:val="18"/>
              </w:rPr>
              <w:t>Gender effects</w:t>
            </w:r>
          </w:p>
        </w:tc>
        <w:tc>
          <w:tcPr>
            <w:tcW w:w="456" w:type="pct"/>
          </w:tcPr>
          <w:p w14:paraId="6961E749" w14:textId="77777777" w:rsidR="00960DFB" w:rsidRPr="00BD3DF3" w:rsidRDefault="00960DFB" w:rsidP="009B0AC4">
            <w:pPr>
              <w:spacing w:before="0"/>
              <w:rPr>
                <w:rFonts w:cstheme="minorHAnsi"/>
                <w:b/>
                <w:bCs/>
                <w:sz w:val="18"/>
                <w:szCs w:val="18"/>
              </w:rPr>
            </w:pPr>
            <w:r w:rsidRPr="00BD3DF3">
              <w:rPr>
                <w:rFonts w:cstheme="minorHAnsi"/>
                <w:b/>
                <w:bCs/>
                <w:sz w:val="18"/>
                <w:szCs w:val="18"/>
              </w:rPr>
              <w:t>Gender analysis, disaggregated indicators</w:t>
            </w:r>
          </w:p>
        </w:tc>
      </w:tr>
      <w:tr w:rsidR="00851AB3" w:rsidRPr="00851AB3" w14:paraId="62A1185A" w14:textId="77777777" w:rsidTr="00BD3DF3">
        <w:tc>
          <w:tcPr>
            <w:tcW w:w="315" w:type="pct"/>
          </w:tcPr>
          <w:p w14:paraId="5D8289C9" w14:textId="77777777" w:rsidR="00960DFB" w:rsidRPr="00BD3DF3" w:rsidRDefault="00960DFB" w:rsidP="009B0AC4">
            <w:pPr>
              <w:spacing w:before="0"/>
              <w:rPr>
                <w:rFonts w:cstheme="minorHAnsi"/>
                <w:sz w:val="18"/>
                <w:szCs w:val="18"/>
              </w:rPr>
            </w:pPr>
            <w:r w:rsidRPr="00BD3DF3">
              <w:rPr>
                <w:rFonts w:cstheme="minorHAnsi"/>
                <w:sz w:val="18"/>
                <w:szCs w:val="18"/>
              </w:rPr>
              <w:t>Fiji</w:t>
            </w:r>
          </w:p>
        </w:tc>
        <w:tc>
          <w:tcPr>
            <w:tcW w:w="389" w:type="pct"/>
          </w:tcPr>
          <w:p w14:paraId="73ECC5A6" w14:textId="77777777" w:rsidR="00960DFB" w:rsidRPr="00BD3DF3" w:rsidRDefault="00960DFB" w:rsidP="009B0AC4">
            <w:pPr>
              <w:spacing w:before="0"/>
              <w:rPr>
                <w:rFonts w:cstheme="minorHAnsi"/>
                <w:sz w:val="18"/>
                <w:szCs w:val="18"/>
              </w:rPr>
            </w:pPr>
            <w:r w:rsidRPr="00BD3DF3">
              <w:rPr>
                <w:rFonts w:cstheme="minorHAnsi"/>
                <w:sz w:val="18"/>
                <w:szCs w:val="18"/>
              </w:rPr>
              <w:t>48490-002</w:t>
            </w:r>
          </w:p>
        </w:tc>
        <w:tc>
          <w:tcPr>
            <w:tcW w:w="312" w:type="pct"/>
          </w:tcPr>
          <w:p w14:paraId="5D676524" w14:textId="77777777" w:rsidR="00960DFB" w:rsidRPr="00BD3DF3" w:rsidRDefault="00960DFB" w:rsidP="009B0AC4">
            <w:pPr>
              <w:spacing w:before="0"/>
              <w:rPr>
                <w:rFonts w:cstheme="minorHAnsi"/>
                <w:sz w:val="18"/>
                <w:szCs w:val="18"/>
              </w:rPr>
            </w:pPr>
            <w:r w:rsidRPr="00BD3DF3">
              <w:rPr>
                <w:rFonts w:cstheme="minorHAnsi"/>
                <w:sz w:val="18"/>
                <w:szCs w:val="18"/>
              </w:rPr>
              <w:t>2018</w:t>
            </w:r>
          </w:p>
        </w:tc>
        <w:tc>
          <w:tcPr>
            <w:tcW w:w="3215" w:type="pct"/>
          </w:tcPr>
          <w:p w14:paraId="62A00F63" w14:textId="77777777" w:rsidR="00960DFB" w:rsidRPr="00BD3DF3" w:rsidRDefault="00960DFB" w:rsidP="009B0AC4">
            <w:pPr>
              <w:autoSpaceDE w:val="0"/>
              <w:autoSpaceDN w:val="0"/>
              <w:adjustRightInd w:val="0"/>
              <w:spacing w:before="0"/>
              <w:rPr>
                <w:rFonts w:cstheme="minorHAnsi"/>
                <w:sz w:val="18"/>
                <w:szCs w:val="18"/>
              </w:rPr>
            </w:pPr>
            <w:r w:rsidRPr="00BD3DF3">
              <w:rPr>
                <w:rFonts w:cstheme="minorHAnsi"/>
                <w:sz w:val="18"/>
                <w:szCs w:val="18"/>
              </w:rPr>
              <w:t xml:space="preserve">3.2.1 Parliament passed the Personal Property Securities Act, which regulates the lending of money secured by personal property as collateral and which facilitates greater access to credit for businesses and individuals. </w:t>
            </w:r>
          </w:p>
        </w:tc>
        <w:tc>
          <w:tcPr>
            <w:tcW w:w="313" w:type="pct"/>
          </w:tcPr>
          <w:p w14:paraId="317B25BA" w14:textId="77777777" w:rsidR="00960DFB" w:rsidRPr="00BD3DF3" w:rsidRDefault="00960DFB" w:rsidP="009B0AC4">
            <w:pPr>
              <w:spacing w:before="0"/>
              <w:jc w:val="both"/>
              <w:rPr>
                <w:rFonts w:cstheme="minorHAnsi"/>
                <w:sz w:val="18"/>
                <w:szCs w:val="18"/>
              </w:rPr>
            </w:pPr>
            <w:r w:rsidRPr="00BD3DF3">
              <w:rPr>
                <w:rFonts w:cstheme="minorHAnsi"/>
                <w:sz w:val="18"/>
                <w:szCs w:val="18"/>
              </w:rPr>
              <w:t>Implicit</w:t>
            </w:r>
          </w:p>
        </w:tc>
        <w:tc>
          <w:tcPr>
            <w:tcW w:w="456" w:type="pct"/>
          </w:tcPr>
          <w:p w14:paraId="5C632576" w14:textId="77777777" w:rsidR="00960DFB" w:rsidRPr="00BD3DF3" w:rsidRDefault="00960DFB" w:rsidP="009B0AC4">
            <w:pPr>
              <w:spacing w:before="0"/>
              <w:rPr>
                <w:rFonts w:cstheme="minorHAnsi"/>
                <w:sz w:val="18"/>
                <w:szCs w:val="18"/>
              </w:rPr>
            </w:pPr>
            <w:r w:rsidRPr="00BD3DF3">
              <w:rPr>
                <w:rFonts w:cstheme="minorHAnsi"/>
                <w:sz w:val="18"/>
                <w:szCs w:val="18"/>
              </w:rPr>
              <w:t>No</w:t>
            </w:r>
          </w:p>
        </w:tc>
      </w:tr>
      <w:tr w:rsidR="00851AB3" w:rsidRPr="00851AB3" w14:paraId="04AC6880" w14:textId="77777777" w:rsidTr="00BD3DF3">
        <w:tc>
          <w:tcPr>
            <w:tcW w:w="315" w:type="pct"/>
          </w:tcPr>
          <w:p w14:paraId="59301188" w14:textId="77777777" w:rsidR="00960DFB" w:rsidRPr="00BD3DF3" w:rsidRDefault="00960DFB" w:rsidP="009B0AC4">
            <w:pPr>
              <w:spacing w:before="0"/>
              <w:rPr>
                <w:rFonts w:cstheme="minorHAnsi"/>
                <w:sz w:val="18"/>
                <w:szCs w:val="18"/>
              </w:rPr>
            </w:pPr>
            <w:r w:rsidRPr="00BD3DF3">
              <w:rPr>
                <w:rFonts w:cstheme="minorHAnsi"/>
                <w:sz w:val="18"/>
                <w:szCs w:val="18"/>
              </w:rPr>
              <w:t>Fiji</w:t>
            </w:r>
          </w:p>
        </w:tc>
        <w:tc>
          <w:tcPr>
            <w:tcW w:w="389" w:type="pct"/>
          </w:tcPr>
          <w:p w14:paraId="241D6A45" w14:textId="77777777" w:rsidR="00960DFB" w:rsidRPr="00BD3DF3" w:rsidRDefault="00960DFB" w:rsidP="009B0AC4">
            <w:pPr>
              <w:spacing w:before="0"/>
              <w:rPr>
                <w:rFonts w:cstheme="minorHAnsi"/>
                <w:sz w:val="18"/>
                <w:szCs w:val="18"/>
              </w:rPr>
            </w:pPr>
            <w:r w:rsidRPr="00BD3DF3">
              <w:rPr>
                <w:rFonts w:cstheme="minorHAnsi"/>
                <w:sz w:val="18"/>
                <w:szCs w:val="18"/>
              </w:rPr>
              <w:t>48490-003</w:t>
            </w:r>
          </w:p>
        </w:tc>
        <w:tc>
          <w:tcPr>
            <w:tcW w:w="312" w:type="pct"/>
          </w:tcPr>
          <w:p w14:paraId="1782A712" w14:textId="77777777" w:rsidR="00960DFB" w:rsidRPr="00BD3DF3" w:rsidRDefault="00960DFB" w:rsidP="009B0AC4">
            <w:pPr>
              <w:spacing w:before="0"/>
              <w:rPr>
                <w:rFonts w:cstheme="minorHAnsi"/>
                <w:sz w:val="18"/>
                <w:szCs w:val="18"/>
              </w:rPr>
            </w:pPr>
            <w:r w:rsidRPr="00BD3DF3">
              <w:rPr>
                <w:rFonts w:cstheme="minorHAnsi"/>
                <w:sz w:val="18"/>
                <w:szCs w:val="18"/>
              </w:rPr>
              <w:t>2019</w:t>
            </w:r>
          </w:p>
        </w:tc>
        <w:tc>
          <w:tcPr>
            <w:tcW w:w="3215" w:type="pct"/>
          </w:tcPr>
          <w:p w14:paraId="0A501464" w14:textId="77777777" w:rsidR="00960DFB" w:rsidRPr="00BD3DF3" w:rsidRDefault="00960DFB" w:rsidP="009B0AC4">
            <w:pPr>
              <w:autoSpaceDE w:val="0"/>
              <w:autoSpaceDN w:val="0"/>
              <w:adjustRightInd w:val="0"/>
              <w:spacing w:before="0"/>
              <w:rPr>
                <w:rFonts w:cstheme="minorHAnsi"/>
                <w:sz w:val="18"/>
                <w:szCs w:val="18"/>
              </w:rPr>
            </w:pPr>
            <w:r w:rsidRPr="00BD3DF3">
              <w:rPr>
                <w:rFonts w:cstheme="minorHAnsi"/>
                <w:sz w:val="18"/>
                <w:szCs w:val="18"/>
              </w:rPr>
              <w:t>3.2.1 Minister responsible for finance has made regulations under the Personal Property Securities Act 2017 to give effect to the Act in relation to the appointment of the</w:t>
            </w:r>
          </w:p>
          <w:p w14:paraId="3D2AF24E" w14:textId="77777777" w:rsidR="00960DFB" w:rsidRPr="00BD3DF3" w:rsidRDefault="00960DFB" w:rsidP="009B0AC4">
            <w:pPr>
              <w:autoSpaceDE w:val="0"/>
              <w:autoSpaceDN w:val="0"/>
              <w:adjustRightInd w:val="0"/>
              <w:spacing w:before="0"/>
              <w:rPr>
                <w:rFonts w:cstheme="minorHAnsi"/>
                <w:sz w:val="18"/>
                <w:szCs w:val="18"/>
              </w:rPr>
            </w:pPr>
            <w:r w:rsidRPr="00BD3DF3">
              <w:rPr>
                <w:rFonts w:cstheme="minorHAnsi"/>
                <w:sz w:val="18"/>
                <w:szCs w:val="18"/>
              </w:rPr>
              <w:t>Registrar and prescription of fees.</w:t>
            </w:r>
          </w:p>
          <w:p w14:paraId="339E7A18" w14:textId="77777777" w:rsidR="00960DFB" w:rsidRPr="00BD3DF3" w:rsidRDefault="00960DFB" w:rsidP="009B0AC4">
            <w:pPr>
              <w:autoSpaceDE w:val="0"/>
              <w:autoSpaceDN w:val="0"/>
              <w:adjustRightInd w:val="0"/>
              <w:spacing w:before="0"/>
              <w:rPr>
                <w:rFonts w:cstheme="minorHAnsi"/>
                <w:sz w:val="18"/>
                <w:szCs w:val="18"/>
              </w:rPr>
            </w:pPr>
            <w:r w:rsidRPr="00BD3DF3">
              <w:rPr>
                <w:rFonts w:cstheme="minorHAnsi"/>
                <w:sz w:val="18"/>
                <w:szCs w:val="18"/>
              </w:rPr>
              <w:t>3.3.4 Parliament passed the Employment Relations (Budget Amendment) Act 2018, which (</w:t>
            </w:r>
            <w:proofErr w:type="spellStart"/>
            <w:r w:rsidRPr="00BD3DF3">
              <w:rPr>
                <w:rFonts w:cstheme="minorHAnsi"/>
                <w:sz w:val="18"/>
                <w:szCs w:val="18"/>
              </w:rPr>
              <w:t>i</w:t>
            </w:r>
            <w:proofErr w:type="spellEnd"/>
            <w:r w:rsidRPr="00BD3DF3">
              <w:rPr>
                <w:rFonts w:cstheme="minorHAnsi"/>
                <w:sz w:val="18"/>
                <w:szCs w:val="18"/>
              </w:rPr>
              <w:t>) increased women’s rights on maternity leave, (ii) introduced men’s rights on paternity leave, and (iii) introduced family care leave; and which makes it easier for women with children to enter and remain in the paid workforce.</w:t>
            </w:r>
          </w:p>
        </w:tc>
        <w:tc>
          <w:tcPr>
            <w:tcW w:w="313" w:type="pct"/>
          </w:tcPr>
          <w:p w14:paraId="61BEC9CD" w14:textId="77777777" w:rsidR="00960DFB" w:rsidRPr="00BD3DF3" w:rsidRDefault="00960DFB" w:rsidP="009B0AC4">
            <w:pPr>
              <w:spacing w:before="0"/>
              <w:rPr>
                <w:rFonts w:cstheme="minorHAnsi"/>
                <w:sz w:val="18"/>
                <w:szCs w:val="18"/>
              </w:rPr>
            </w:pPr>
            <w:r w:rsidRPr="00BD3DF3">
              <w:rPr>
                <w:rFonts w:cstheme="minorHAnsi"/>
                <w:sz w:val="18"/>
                <w:szCs w:val="18"/>
              </w:rPr>
              <w:t>Implicit, Explicit</w:t>
            </w:r>
          </w:p>
        </w:tc>
        <w:tc>
          <w:tcPr>
            <w:tcW w:w="456" w:type="pct"/>
          </w:tcPr>
          <w:p w14:paraId="6F50AA91" w14:textId="77777777" w:rsidR="00960DFB" w:rsidRPr="00BD3DF3" w:rsidRDefault="00960DFB" w:rsidP="009B0AC4">
            <w:pPr>
              <w:spacing w:before="0"/>
              <w:rPr>
                <w:rFonts w:cstheme="minorHAnsi"/>
                <w:sz w:val="18"/>
                <w:szCs w:val="18"/>
              </w:rPr>
            </w:pPr>
            <w:r w:rsidRPr="00BD3DF3">
              <w:rPr>
                <w:rFonts w:cstheme="minorHAnsi"/>
                <w:sz w:val="18"/>
                <w:szCs w:val="18"/>
              </w:rPr>
              <w:t>No</w:t>
            </w:r>
          </w:p>
        </w:tc>
      </w:tr>
      <w:tr w:rsidR="00851AB3" w:rsidRPr="00851AB3" w14:paraId="78B138FA" w14:textId="77777777" w:rsidTr="00BD3DF3">
        <w:tc>
          <w:tcPr>
            <w:tcW w:w="315" w:type="pct"/>
          </w:tcPr>
          <w:p w14:paraId="6531B8A9" w14:textId="77777777" w:rsidR="00960DFB" w:rsidRPr="00BD3DF3" w:rsidRDefault="00960DFB" w:rsidP="009B0AC4">
            <w:pPr>
              <w:spacing w:before="0"/>
              <w:rPr>
                <w:rFonts w:cstheme="minorHAnsi"/>
                <w:sz w:val="18"/>
                <w:szCs w:val="18"/>
              </w:rPr>
            </w:pPr>
            <w:r w:rsidRPr="00BD3DF3">
              <w:rPr>
                <w:rFonts w:cstheme="minorHAnsi"/>
                <w:sz w:val="18"/>
                <w:szCs w:val="18"/>
              </w:rPr>
              <w:t>Fiji</w:t>
            </w:r>
          </w:p>
        </w:tc>
        <w:tc>
          <w:tcPr>
            <w:tcW w:w="389" w:type="pct"/>
          </w:tcPr>
          <w:p w14:paraId="3F861425" w14:textId="77777777" w:rsidR="00960DFB" w:rsidRPr="00BD3DF3" w:rsidRDefault="00960DFB" w:rsidP="009B0AC4">
            <w:pPr>
              <w:spacing w:before="0"/>
              <w:rPr>
                <w:rFonts w:cstheme="minorHAnsi"/>
                <w:sz w:val="18"/>
                <w:szCs w:val="18"/>
              </w:rPr>
            </w:pPr>
            <w:r w:rsidRPr="00BD3DF3">
              <w:rPr>
                <w:rFonts w:cstheme="minorHAnsi"/>
                <w:sz w:val="18"/>
                <w:szCs w:val="18"/>
              </w:rPr>
              <w:t>48490-003</w:t>
            </w:r>
          </w:p>
        </w:tc>
        <w:tc>
          <w:tcPr>
            <w:tcW w:w="312" w:type="pct"/>
          </w:tcPr>
          <w:p w14:paraId="15BFA6BC" w14:textId="77777777" w:rsidR="00960DFB" w:rsidRPr="00BD3DF3" w:rsidRDefault="00960DFB" w:rsidP="009B0AC4">
            <w:pPr>
              <w:spacing w:before="0"/>
              <w:rPr>
                <w:rFonts w:cstheme="minorHAnsi"/>
                <w:sz w:val="18"/>
                <w:szCs w:val="18"/>
              </w:rPr>
            </w:pPr>
            <w:r w:rsidRPr="00BD3DF3">
              <w:rPr>
                <w:rFonts w:cstheme="minorHAnsi"/>
                <w:sz w:val="18"/>
                <w:szCs w:val="18"/>
              </w:rPr>
              <w:t>2020</w:t>
            </w:r>
          </w:p>
        </w:tc>
        <w:tc>
          <w:tcPr>
            <w:tcW w:w="3215" w:type="pct"/>
          </w:tcPr>
          <w:p w14:paraId="746C4539" w14:textId="77777777" w:rsidR="00960DFB" w:rsidRPr="00BD3DF3" w:rsidRDefault="00960DFB" w:rsidP="009B0AC4">
            <w:pPr>
              <w:autoSpaceDE w:val="0"/>
              <w:autoSpaceDN w:val="0"/>
              <w:adjustRightInd w:val="0"/>
              <w:spacing w:before="0"/>
              <w:rPr>
                <w:rFonts w:cstheme="minorHAnsi"/>
                <w:sz w:val="18"/>
                <w:szCs w:val="18"/>
              </w:rPr>
            </w:pPr>
            <w:r w:rsidRPr="00BD3DF3">
              <w:rPr>
                <w:rFonts w:cstheme="minorHAnsi"/>
                <w:sz w:val="18"/>
                <w:szCs w:val="18"/>
              </w:rPr>
              <w:t>1.1.5 The Ministry of Economy; (</w:t>
            </w:r>
            <w:proofErr w:type="spellStart"/>
            <w:r w:rsidRPr="00BD3DF3">
              <w:rPr>
                <w:rFonts w:cstheme="minorHAnsi"/>
                <w:sz w:val="18"/>
                <w:szCs w:val="18"/>
              </w:rPr>
              <w:t>i</w:t>
            </w:r>
            <w:proofErr w:type="spellEnd"/>
            <w:r w:rsidRPr="00BD3DF3">
              <w:rPr>
                <w:rFonts w:cstheme="minorHAnsi"/>
                <w:sz w:val="18"/>
                <w:szCs w:val="18"/>
              </w:rPr>
              <w:t>) completed a Public Expenditure and Financial Accountability (PEFA) Assessment and the final report has been published on its website, and (ii) completed a PEFA self-assessment of gender responsive public financial management, which has been approved by the PEFA Secretariat</w:t>
            </w:r>
          </w:p>
          <w:p w14:paraId="78A88E1F" w14:textId="77777777" w:rsidR="00960DFB" w:rsidRPr="00BD3DF3" w:rsidRDefault="00960DFB" w:rsidP="009B0AC4">
            <w:pPr>
              <w:autoSpaceDE w:val="0"/>
              <w:autoSpaceDN w:val="0"/>
              <w:adjustRightInd w:val="0"/>
              <w:spacing w:before="0"/>
              <w:rPr>
                <w:rFonts w:cstheme="minorHAnsi"/>
                <w:sz w:val="18"/>
                <w:szCs w:val="18"/>
              </w:rPr>
            </w:pPr>
            <w:r w:rsidRPr="00BD3DF3">
              <w:rPr>
                <w:rFonts w:cstheme="minorHAnsi"/>
                <w:sz w:val="18"/>
                <w:szCs w:val="18"/>
              </w:rPr>
              <w:t>1.4.1 Ministry of Economy submitted a Cabinet information paper that outlines the steps taken to introduce gender-responsive budgeting principles in the annual budget process</w:t>
            </w:r>
          </w:p>
          <w:p w14:paraId="7561232F" w14:textId="77777777" w:rsidR="00960DFB" w:rsidRPr="00BD3DF3" w:rsidRDefault="00960DFB" w:rsidP="009B0AC4">
            <w:pPr>
              <w:autoSpaceDE w:val="0"/>
              <w:autoSpaceDN w:val="0"/>
              <w:adjustRightInd w:val="0"/>
              <w:spacing w:before="0"/>
              <w:rPr>
                <w:rFonts w:cstheme="minorHAnsi"/>
                <w:sz w:val="18"/>
                <w:szCs w:val="18"/>
              </w:rPr>
            </w:pPr>
            <w:r w:rsidRPr="00BD3DF3">
              <w:rPr>
                <w:rFonts w:cstheme="minorHAnsi"/>
                <w:sz w:val="18"/>
                <w:szCs w:val="18"/>
              </w:rPr>
              <w:t>1.4.2 The Ministry of Economy issued budget submission templates that include gender-responsive budgeting principles, and, as a pilot, the Ministry of Commerce, Trade, Tourism and Transport and Ministry of Fisheries, are required to make budget submissions for at least 2 programs in line with the new methodology.</w:t>
            </w:r>
          </w:p>
          <w:p w14:paraId="2A8FBFE1" w14:textId="6122FF41" w:rsidR="00960DFB" w:rsidRPr="00BD3DF3" w:rsidRDefault="00960DFB" w:rsidP="009B0AC4">
            <w:pPr>
              <w:autoSpaceDE w:val="0"/>
              <w:autoSpaceDN w:val="0"/>
              <w:adjustRightInd w:val="0"/>
              <w:spacing w:before="0"/>
              <w:rPr>
                <w:rFonts w:cstheme="minorHAnsi"/>
                <w:sz w:val="18"/>
                <w:szCs w:val="18"/>
              </w:rPr>
            </w:pPr>
            <w:r w:rsidRPr="00BD3DF3">
              <w:rPr>
                <w:rFonts w:cstheme="minorHAnsi"/>
                <w:sz w:val="18"/>
                <w:szCs w:val="18"/>
              </w:rPr>
              <w:t>2.1.2 The Department of Public Enterprises conducted training programs for 76</w:t>
            </w:r>
            <w:r w:rsidR="001F27CC">
              <w:rPr>
                <w:rFonts w:cstheme="minorHAnsi"/>
                <w:sz w:val="18"/>
                <w:szCs w:val="18"/>
              </w:rPr>
              <w:t xml:space="preserve"> per cent</w:t>
            </w:r>
            <w:r w:rsidRPr="00BD3DF3">
              <w:rPr>
                <w:rFonts w:cstheme="minorHAnsi"/>
                <w:sz w:val="18"/>
                <w:szCs w:val="18"/>
              </w:rPr>
              <w:t xml:space="preserve"> of directors and 80</w:t>
            </w:r>
            <w:r w:rsidR="001F27CC">
              <w:rPr>
                <w:rFonts w:cstheme="minorHAnsi"/>
                <w:sz w:val="18"/>
                <w:szCs w:val="18"/>
              </w:rPr>
              <w:t xml:space="preserve"> per cent</w:t>
            </w:r>
            <w:r w:rsidRPr="00BD3DF3">
              <w:rPr>
                <w:rFonts w:cstheme="minorHAnsi"/>
                <w:sz w:val="18"/>
                <w:szCs w:val="18"/>
              </w:rPr>
              <w:t xml:space="preserve"> of senior management (defined as chief executive officer and chief financial officer, or equivalent positions), </w:t>
            </w:r>
            <w:r w:rsidRPr="00BD3DF3">
              <w:rPr>
                <w:rFonts w:cstheme="minorHAnsi"/>
                <w:sz w:val="18"/>
                <w:szCs w:val="18"/>
              </w:rPr>
              <w:lastRenderedPageBreak/>
              <w:t>including 90</w:t>
            </w:r>
            <w:r w:rsidR="001F27CC">
              <w:rPr>
                <w:rFonts w:cstheme="minorHAnsi"/>
                <w:sz w:val="18"/>
                <w:szCs w:val="18"/>
              </w:rPr>
              <w:t xml:space="preserve"> per cent</w:t>
            </w:r>
            <w:r w:rsidRPr="00BD3DF3">
              <w:rPr>
                <w:rFonts w:cstheme="minorHAnsi"/>
                <w:sz w:val="18"/>
                <w:szCs w:val="18"/>
              </w:rPr>
              <w:t xml:space="preserve"> of women directors and senior managers, of public enterprises on the compliance requirements of the Public Enterprises Act 2019.</w:t>
            </w:r>
          </w:p>
          <w:p w14:paraId="67C0F3AD" w14:textId="77777777" w:rsidR="00960DFB" w:rsidRPr="00BD3DF3" w:rsidRDefault="00960DFB" w:rsidP="009B0AC4">
            <w:pPr>
              <w:autoSpaceDE w:val="0"/>
              <w:autoSpaceDN w:val="0"/>
              <w:adjustRightInd w:val="0"/>
              <w:spacing w:before="0"/>
              <w:rPr>
                <w:rFonts w:cstheme="minorHAnsi"/>
                <w:sz w:val="18"/>
                <w:szCs w:val="18"/>
              </w:rPr>
            </w:pPr>
            <w:r w:rsidRPr="00BD3DF3">
              <w:rPr>
                <w:rFonts w:cstheme="minorHAnsi"/>
                <w:sz w:val="18"/>
                <w:szCs w:val="18"/>
              </w:rPr>
              <w:t xml:space="preserve">3.2.1 The Fijian Government established the Personal Property Securities Registry that captures sex-disaggregated data 3.3.3 Cabinet approved a policy statement and drafting of a Bill relating to competition and consumer law which includes recognition of the specific needs of women, rural and disadvantaged </w:t>
            </w:r>
            <w:proofErr w:type="gramStart"/>
            <w:r w:rsidRPr="00BD3DF3">
              <w:rPr>
                <w:rFonts w:cstheme="minorHAnsi"/>
                <w:sz w:val="18"/>
                <w:szCs w:val="18"/>
              </w:rPr>
              <w:t>groups</w:t>
            </w:r>
            <w:proofErr w:type="gramEnd"/>
            <w:r w:rsidRPr="00BD3DF3">
              <w:rPr>
                <w:rFonts w:cstheme="minorHAnsi"/>
                <w:sz w:val="18"/>
                <w:szCs w:val="18"/>
              </w:rPr>
              <w:t xml:space="preserve"> and a commitment to supporting women’s consumer rights.</w:t>
            </w:r>
          </w:p>
          <w:p w14:paraId="705124FD" w14:textId="77777777" w:rsidR="00960DFB" w:rsidRPr="00BD3DF3" w:rsidRDefault="00960DFB" w:rsidP="009B0AC4">
            <w:pPr>
              <w:autoSpaceDE w:val="0"/>
              <w:autoSpaceDN w:val="0"/>
              <w:adjustRightInd w:val="0"/>
              <w:spacing w:before="0"/>
              <w:rPr>
                <w:rFonts w:cstheme="minorHAnsi"/>
                <w:sz w:val="18"/>
                <w:szCs w:val="18"/>
              </w:rPr>
            </w:pPr>
            <w:r w:rsidRPr="00BD3DF3">
              <w:rPr>
                <w:rFonts w:cstheme="minorHAnsi"/>
                <w:sz w:val="18"/>
                <w:szCs w:val="18"/>
              </w:rPr>
              <w:t xml:space="preserve">lending, and (v) relief payments to informal sector workers, including for women-owned micro-enterprises such as hawkers, in lockdown areas </w:t>
            </w:r>
          </w:p>
          <w:p w14:paraId="7404E263" w14:textId="77777777" w:rsidR="00960DFB" w:rsidRPr="00BD3DF3" w:rsidRDefault="00960DFB" w:rsidP="009B0AC4">
            <w:pPr>
              <w:autoSpaceDE w:val="0"/>
              <w:autoSpaceDN w:val="0"/>
              <w:adjustRightInd w:val="0"/>
              <w:spacing w:before="0"/>
              <w:rPr>
                <w:rFonts w:cstheme="minorHAnsi"/>
                <w:sz w:val="18"/>
                <w:szCs w:val="18"/>
              </w:rPr>
            </w:pPr>
            <w:r w:rsidRPr="00BD3DF3">
              <w:rPr>
                <w:rFonts w:cstheme="minorHAnsi"/>
                <w:sz w:val="18"/>
                <w:szCs w:val="18"/>
              </w:rPr>
              <w:t>3.4.1 Government introduced, via the supplementary COVID-19 Response Budget for FY2020, measures to assist the private sector and workers, including (</w:t>
            </w:r>
            <w:proofErr w:type="spellStart"/>
            <w:r w:rsidRPr="00BD3DF3">
              <w:rPr>
                <w:rFonts w:cstheme="minorHAnsi"/>
                <w:sz w:val="18"/>
                <w:szCs w:val="18"/>
              </w:rPr>
              <w:t>i</w:t>
            </w:r>
            <w:proofErr w:type="spellEnd"/>
            <w:r w:rsidRPr="00BD3DF3">
              <w:rPr>
                <w:rFonts w:cstheme="minorHAnsi"/>
                <w:sz w:val="18"/>
                <w:szCs w:val="18"/>
              </w:rPr>
              <w:t>) a reduction in employers’ statutory Fiji National Provident Fund contributions until 31 December 2020, (ii) 21 days Government-paid sick leave for workers who test positive to COVID-19, (iii) tax deductions afforded to employers for wages and salary paid to employees who are self-quarantined, (iv) additional contributions to financial sector schemes that boost SME lending, and (v) relief payments to informal sector workers, including for women-owned micro-enterprises such as hawkers, in lockdown areas.</w:t>
            </w:r>
          </w:p>
        </w:tc>
        <w:tc>
          <w:tcPr>
            <w:tcW w:w="313" w:type="pct"/>
          </w:tcPr>
          <w:p w14:paraId="7A6DE021" w14:textId="77777777" w:rsidR="00960DFB" w:rsidRPr="00BD3DF3" w:rsidRDefault="00960DFB" w:rsidP="009B0AC4">
            <w:pPr>
              <w:spacing w:before="0"/>
              <w:rPr>
                <w:rFonts w:cstheme="minorHAnsi"/>
                <w:sz w:val="18"/>
                <w:szCs w:val="18"/>
              </w:rPr>
            </w:pPr>
            <w:r w:rsidRPr="00BD3DF3">
              <w:rPr>
                <w:rFonts w:cstheme="minorHAnsi"/>
                <w:sz w:val="18"/>
                <w:szCs w:val="18"/>
              </w:rPr>
              <w:lastRenderedPageBreak/>
              <w:t>Explicit</w:t>
            </w:r>
          </w:p>
        </w:tc>
        <w:tc>
          <w:tcPr>
            <w:tcW w:w="456" w:type="pct"/>
          </w:tcPr>
          <w:p w14:paraId="643C4F0B" w14:textId="77777777" w:rsidR="00960DFB" w:rsidRPr="00BD3DF3" w:rsidRDefault="00960DFB" w:rsidP="009B0AC4">
            <w:pPr>
              <w:spacing w:before="0"/>
              <w:rPr>
                <w:rFonts w:cstheme="minorHAnsi"/>
                <w:sz w:val="18"/>
                <w:szCs w:val="18"/>
              </w:rPr>
            </w:pPr>
            <w:r w:rsidRPr="00BD3DF3">
              <w:rPr>
                <w:rFonts w:cstheme="minorHAnsi"/>
                <w:sz w:val="18"/>
                <w:szCs w:val="18"/>
              </w:rPr>
              <w:t xml:space="preserve">Yes, </w:t>
            </w:r>
          </w:p>
        </w:tc>
      </w:tr>
      <w:tr w:rsidR="00BD3DF3" w:rsidRPr="00851AB3" w14:paraId="3405A57D" w14:textId="77777777" w:rsidTr="00BD3DF3">
        <w:tc>
          <w:tcPr>
            <w:tcW w:w="315" w:type="pct"/>
          </w:tcPr>
          <w:p w14:paraId="1A69378E" w14:textId="4D88E063" w:rsidR="00A17F5A" w:rsidRPr="00BD3DF3" w:rsidRDefault="00A17F5A" w:rsidP="00A17F5A">
            <w:pPr>
              <w:spacing w:before="0"/>
              <w:rPr>
                <w:rFonts w:cstheme="minorHAnsi"/>
                <w:sz w:val="18"/>
                <w:szCs w:val="18"/>
              </w:rPr>
            </w:pPr>
            <w:r w:rsidRPr="00BD3DF3">
              <w:rPr>
                <w:rFonts w:cstheme="minorHAnsi"/>
                <w:sz w:val="18"/>
                <w:szCs w:val="18"/>
              </w:rPr>
              <w:t>Fiji</w:t>
            </w:r>
          </w:p>
        </w:tc>
        <w:tc>
          <w:tcPr>
            <w:tcW w:w="389" w:type="pct"/>
          </w:tcPr>
          <w:p w14:paraId="51850173" w14:textId="17150850" w:rsidR="00A17F5A" w:rsidRPr="00BD3DF3" w:rsidRDefault="00A17F5A" w:rsidP="00A17F5A">
            <w:pPr>
              <w:spacing w:before="0"/>
              <w:rPr>
                <w:rFonts w:cstheme="minorHAnsi"/>
                <w:sz w:val="18"/>
                <w:szCs w:val="18"/>
              </w:rPr>
            </w:pPr>
            <w:r w:rsidRPr="00BD3DF3">
              <w:rPr>
                <w:rFonts w:cstheme="minorHAnsi"/>
                <w:sz w:val="18"/>
                <w:szCs w:val="18"/>
              </w:rPr>
              <w:t>48490-003 (continued)</w:t>
            </w:r>
          </w:p>
        </w:tc>
        <w:tc>
          <w:tcPr>
            <w:tcW w:w="312" w:type="pct"/>
          </w:tcPr>
          <w:p w14:paraId="769581D3" w14:textId="77777777" w:rsidR="00A17F5A" w:rsidRPr="00BD3DF3" w:rsidRDefault="00A17F5A" w:rsidP="00A17F5A">
            <w:pPr>
              <w:spacing w:before="0"/>
              <w:rPr>
                <w:rFonts w:cstheme="minorHAnsi"/>
                <w:sz w:val="18"/>
                <w:szCs w:val="18"/>
              </w:rPr>
            </w:pPr>
          </w:p>
        </w:tc>
        <w:tc>
          <w:tcPr>
            <w:tcW w:w="3215" w:type="pct"/>
          </w:tcPr>
          <w:p w14:paraId="60A26ED1" w14:textId="2473A722" w:rsidR="00A17F5A" w:rsidRPr="00BD3DF3" w:rsidRDefault="00A17F5A" w:rsidP="00BD3DF3">
            <w:pPr>
              <w:autoSpaceDE w:val="0"/>
              <w:autoSpaceDN w:val="0"/>
              <w:adjustRightInd w:val="0"/>
              <w:spacing w:before="0"/>
              <w:rPr>
                <w:rFonts w:cstheme="minorHAnsi"/>
                <w:sz w:val="18"/>
                <w:szCs w:val="18"/>
              </w:rPr>
            </w:pPr>
            <w:r w:rsidRPr="00BD3DF3">
              <w:rPr>
                <w:rFonts w:cstheme="minorHAnsi"/>
                <w:sz w:val="18"/>
                <w:szCs w:val="18"/>
              </w:rPr>
              <w:t>3.4.2 The Ministry of Women, Children and Poverty Alleviation: (</w:t>
            </w:r>
            <w:proofErr w:type="spellStart"/>
            <w:r w:rsidRPr="00BD3DF3">
              <w:rPr>
                <w:rFonts w:cstheme="minorHAnsi"/>
                <w:sz w:val="18"/>
                <w:szCs w:val="18"/>
              </w:rPr>
              <w:t>i</w:t>
            </w:r>
            <w:proofErr w:type="spellEnd"/>
            <w:r w:rsidRPr="00BD3DF3">
              <w:rPr>
                <w:rFonts w:cstheme="minorHAnsi"/>
                <w:sz w:val="18"/>
                <w:szCs w:val="18"/>
              </w:rPr>
              <w:t xml:space="preserve">) prepared and presented to Cabinet a guidance </w:t>
            </w:r>
            <w:proofErr w:type="gramStart"/>
            <w:r w:rsidRPr="00BD3DF3">
              <w:rPr>
                <w:rFonts w:cstheme="minorHAnsi"/>
                <w:sz w:val="18"/>
                <w:szCs w:val="18"/>
              </w:rPr>
              <w:t>note</w:t>
            </w:r>
            <w:proofErr w:type="gramEnd"/>
            <w:r w:rsidRPr="00BD3DF3">
              <w:rPr>
                <w:rFonts w:cstheme="minorHAnsi"/>
                <w:sz w:val="18"/>
                <w:szCs w:val="18"/>
              </w:rPr>
              <w:t xml:space="preserve"> on the gendered impacts, of COVID-19 in Fiji, including recommendations on supporting women’s economic empowerment, and</w:t>
            </w:r>
            <w:r w:rsidR="00BD3DF3">
              <w:rPr>
                <w:rFonts w:cstheme="minorHAnsi"/>
                <w:sz w:val="18"/>
                <w:szCs w:val="18"/>
              </w:rPr>
              <w:t xml:space="preserve"> </w:t>
            </w:r>
            <w:r w:rsidRPr="00BD3DF3">
              <w:rPr>
                <w:rFonts w:cstheme="minorHAnsi"/>
                <w:sz w:val="18"/>
                <w:szCs w:val="18"/>
              </w:rPr>
              <w:t>(ii) established a multi-stakeholder COVID-19 response gender working group.</w:t>
            </w:r>
          </w:p>
        </w:tc>
        <w:tc>
          <w:tcPr>
            <w:tcW w:w="313" w:type="pct"/>
          </w:tcPr>
          <w:p w14:paraId="528228CF" w14:textId="22EA2659" w:rsidR="00A17F5A" w:rsidRPr="00BD3DF3" w:rsidRDefault="00A17F5A" w:rsidP="00A17F5A">
            <w:pPr>
              <w:spacing w:before="0"/>
              <w:rPr>
                <w:rFonts w:cstheme="minorHAnsi"/>
                <w:sz w:val="18"/>
                <w:szCs w:val="18"/>
              </w:rPr>
            </w:pPr>
            <w:r w:rsidRPr="00BD3DF3">
              <w:rPr>
                <w:rFonts w:cstheme="minorHAnsi"/>
                <w:sz w:val="18"/>
                <w:szCs w:val="18"/>
              </w:rPr>
              <w:t>Explicit</w:t>
            </w:r>
          </w:p>
        </w:tc>
        <w:tc>
          <w:tcPr>
            <w:tcW w:w="456" w:type="pct"/>
          </w:tcPr>
          <w:p w14:paraId="666461B7" w14:textId="77777777" w:rsidR="00A17F5A" w:rsidRPr="00BD3DF3" w:rsidRDefault="00A17F5A" w:rsidP="00A17F5A">
            <w:pPr>
              <w:spacing w:before="0"/>
              <w:rPr>
                <w:rFonts w:cstheme="minorHAnsi"/>
                <w:sz w:val="18"/>
                <w:szCs w:val="18"/>
              </w:rPr>
            </w:pPr>
          </w:p>
        </w:tc>
      </w:tr>
      <w:tr w:rsidR="00BD3DF3" w:rsidRPr="00851AB3" w14:paraId="2992CF50" w14:textId="77777777" w:rsidTr="00BD3DF3">
        <w:tc>
          <w:tcPr>
            <w:tcW w:w="315" w:type="pct"/>
          </w:tcPr>
          <w:p w14:paraId="50D64611" w14:textId="0BCDF6FB" w:rsidR="00A17F5A" w:rsidRPr="00BD3DF3" w:rsidRDefault="00A17F5A" w:rsidP="00A17F5A">
            <w:pPr>
              <w:spacing w:before="0"/>
              <w:rPr>
                <w:rFonts w:cstheme="minorHAnsi"/>
                <w:sz w:val="18"/>
                <w:szCs w:val="18"/>
              </w:rPr>
            </w:pPr>
            <w:r w:rsidRPr="00BD3DF3">
              <w:rPr>
                <w:rFonts w:cstheme="minorHAnsi"/>
                <w:sz w:val="18"/>
                <w:szCs w:val="18"/>
              </w:rPr>
              <w:t>Fiji</w:t>
            </w:r>
          </w:p>
        </w:tc>
        <w:tc>
          <w:tcPr>
            <w:tcW w:w="389" w:type="pct"/>
          </w:tcPr>
          <w:p w14:paraId="474ADECE" w14:textId="7788BC12" w:rsidR="00A17F5A" w:rsidRPr="00BD3DF3" w:rsidRDefault="00A17F5A" w:rsidP="00A17F5A">
            <w:pPr>
              <w:spacing w:before="0"/>
              <w:rPr>
                <w:rFonts w:cstheme="minorHAnsi"/>
                <w:sz w:val="18"/>
                <w:szCs w:val="18"/>
              </w:rPr>
            </w:pPr>
            <w:r w:rsidRPr="00BD3DF3">
              <w:rPr>
                <w:rFonts w:cstheme="minorHAnsi"/>
                <w:sz w:val="18"/>
                <w:szCs w:val="18"/>
              </w:rPr>
              <w:t>48490-004</w:t>
            </w:r>
          </w:p>
        </w:tc>
        <w:tc>
          <w:tcPr>
            <w:tcW w:w="312" w:type="pct"/>
          </w:tcPr>
          <w:p w14:paraId="1E525C81" w14:textId="53A3E3EB" w:rsidR="00A17F5A" w:rsidRPr="00BD3DF3" w:rsidRDefault="00A17F5A" w:rsidP="00A17F5A">
            <w:pPr>
              <w:spacing w:before="0"/>
              <w:rPr>
                <w:rFonts w:cstheme="minorHAnsi"/>
                <w:sz w:val="18"/>
                <w:szCs w:val="18"/>
              </w:rPr>
            </w:pPr>
            <w:r w:rsidRPr="00BD3DF3">
              <w:rPr>
                <w:rFonts w:cstheme="minorHAnsi"/>
                <w:sz w:val="18"/>
                <w:szCs w:val="18"/>
              </w:rPr>
              <w:t>2021</w:t>
            </w:r>
          </w:p>
        </w:tc>
        <w:tc>
          <w:tcPr>
            <w:tcW w:w="3215" w:type="pct"/>
          </w:tcPr>
          <w:p w14:paraId="516B7F11" w14:textId="77777777" w:rsidR="00A17F5A" w:rsidRPr="00BD3DF3" w:rsidRDefault="00A17F5A" w:rsidP="00A17F5A">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 xml:space="preserve">3.3.3 Cabinet approved a policy statement and drafting of a Bill relating to competition and consumer law which includes recognition of the specific needs of women, rural and disadvantaged </w:t>
            </w:r>
            <w:proofErr w:type="gramStart"/>
            <w:r w:rsidRPr="00BD3DF3">
              <w:rPr>
                <w:rFonts w:asciiTheme="minorHAnsi" w:hAnsiTheme="minorHAnsi" w:cstheme="minorHAnsi"/>
                <w:color w:val="495965" w:themeColor="text2"/>
                <w:sz w:val="18"/>
                <w:szCs w:val="18"/>
              </w:rPr>
              <w:t>groups</w:t>
            </w:r>
            <w:proofErr w:type="gramEnd"/>
            <w:r w:rsidRPr="00BD3DF3">
              <w:rPr>
                <w:rFonts w:asciiTheme="minorHAnsi" w:hAnsiTheme="minorHAnsi" w:cstheme="minorHAnsi"/>
                <w:color w:val="495965" w:themeColor="text2"/>
                <w:sz w:val="18"/>
                <w:szCs w:val="18"/>
              </w:rPr>
              <w:t xml:space="preserve"> and a commitment to supporting women’s consumer rights. </w:t>
            </w:r>
          </w:p>
          <w:p w14:paraId="23F6A112" w14:textId="77777777" w:rsidR="00A17F5A" w:rsidRPr="00BD3DF3" w:rsidRDefault="00A17F5A" w:rsidP="00A17F5A">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3.4.1 Government introduced, via the supplementary COVID-19 Response Budget for FY2020, measures to assist the private sector and workers, including (</w:t>
            </w:r>
            <w:proofErr w:type="spellStart"/>
            <w:r w:rsidRPr="00BD3DF3">
              <w:rPr>
                <w:rFonts w:asciiTheme="minorHAnsi" w:hAnsiTheme="minorHAnsi" w:cstheme="minorHAnsi"/>
                <w:color w:val="495965" w:themeColor="text2"/>
                <w:sz w:val="18"/>
                <w:szCs w:val="18"/>
              </w:rPr>
              <w:t>i</w:t>
            </w:r>
            <w:proofErr w:type="spellEnd"/>
            <w:r w:rsidRPr="00BD3DF3">
              <w:rPr>
                <w:rFonts w:asciiTheme="minorHAnsi" w:hAnsiTheme="minorHAnsi" w:cstheme="minorHAnsi"/>
                <w:color w:val="495965" w:themeColor="text2"/>
                <w:sz w:val="18"/>
                <w:szCs w:val="18"/>
              </w:rPr>
              <w:t xml:space="preserve">) a reduction in employers’ statutory Fiji National Provident Fund contributions until 31 December 2020, (ii) 21 days Government-paid sick leave for workers who test positive to COVID-19, (iii) tax deductions afforded to employers for wages and salary paid to employees who are self-quarantined, (iv) additional contributions to financial sector schemes that boost SME lending, and (v) relief payments to informal sector workers, including for women-owned micro-enterprises such as hawkers, in lockdown areas. </w:t>
            </w:r>
          </w:p>
          <w:p w14:paraId="29D4DBEB" w14:textId="248DCAA0" w:rsidR="00A17F5A" w:rsidRPr="00BD3DF3" w:rsidRDefault="00A17F5A" w:rsidP="00BD3DF3">
            <w:pPr>
              <w:pStyle w:val="Default"/>
              <w:rPr>
                <w:rFonts w:asciiTheme="minorHAnsi" w:hAnsiTheme="minorHAnsi" w:cstheme="minorHAnsi"/>
                <w:color w:val="495965" w:themeColor="text2"/>
                <w:sz w:val="18"/>
                <w:szCs w:val="18"/>
              </w:rPr>
            </w:pPr>
            <w:r w:rsidRPr="00BD3DF3">
              <w:rPr>
                <w:rFonts w:asciiTheme="minorHAnsi" w:hAnsiTheme="minorHAnsi" w:cstheme="minorHAnsi"/>
                <w:color w:val="495965" w:themeColor="text2"/>
                <w:sz w:val="18"/>
                <w:szCs w:val="18"/>
              </w:rPr>
              <w:t>3.4.2 The Ministry of Women, Children and Poverty Alleviation: (</w:t>
            </w:r>
            <w:proofErr w:type="spellStart"/>
            <w:r w:rsidRPr="00BD3DF3">
              <w:rPr>
                <w:rFonts w:asciiTheme="minorHAnsi" w:hAnsiTheme="minorHAnsi" w:cstheme="minorHAnsi"/>
                <w:color w:val="495965" w:themeColor="text2"/>
                <w:sz w:val="18"/>
                <w:szCs w:val="18"/>
              </w:rPr>
              <w:t>i</w:t>
            </w:r>
            <w:proofErr w:type="spellEnd"/>
            <w:r w:rsidRPr="00BD3DF3">
              <w:rPr>
                <w:rFonts w:asciiTheme="minorHAnsi" w:hAnsiTheme="minorHAnsi" w:cstheme="minorHAnsi"/>
                <w:color w:val="495965" w:themeColor="text2"/>
                <w:sz w:val="18"/>
                <w:szCs w:val="18"/>
              </w:rPr>
              <w:t xml:space="preserve">) prepared and presented to Cabinet a guidance </w:t>
            </w:r>
            <w:proofErr w:type="gramStart"/>
            <w:r w:rsidRPr="00BD3DF3">
              <w:rPr>
                <w:rFonts w:asciiTheme="minorHAnsi" w:hAnsiTheme="minorHAnsi" w:cstheme="minorHAnsi"/>
                <w:color w:val="495965" w:themeColor="text2"/>
                <w:sz w:val="18"/>
                <w:szCs w:val="18"/>
              </w:rPr>
              <w:t>note</w:t>
            </w:r>
            <w:proofErr w:type="gramEnd"/>
            <w:r w:rsidRPr="00BD3DF3">
              <w:rPr>
                <w:rFonts w:asciiTheme="minorHAnsi" w:hAnsiTheme="minorHAnsi" w:cstheme="minorHAnsi"/>
                <w:color w:val="495965" w:themeColor="text2"/>
                <w:sz w:val="18"/>
                <w:szCs w:val="18"/>
              </w:rPr>
              <w:t xml:space="preserve"> on the gendered impacts, of COVID-19 in Fiji, including recommendations on supporting women’s economic empowerment, and (ii) established a multi-stakeholder COVID-19 response gender working group. </w:t>
            </w:r>
          </w:p>
          <w:p w14:paraId="58B38845" w14:textId="660599C4"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Prior Action 7: To strengthen public financial management, the Recipient, through its Cabinet, has: (</w:t>
            </w:r>
            <w:proofErr w:type="spellStart"/>
            <w:r w:rsidRPr="00BD3DF3">
              <w:rPr>
                <w:rFonts w:cstheme="minorHAnsi"/>
                <w:sz w:val="18"/>
                <w:szCs w:val="18"/>
              </w:rPr>
              <w:t>i</w:t>
            </w:r>
            <w:proofErr w:type="spellEnd"/>
            <w:r w:rsidRPr="00BD3DF3">
              <w:rPr>
                <w:rFonts w:cstheme="minorHAnsi"/>
                <w:sz w:val="18"/>
                <w:szCs w:val="18"/>
              </w:rPr>
              <w:t>) approved the Financial Management (Amendment) Bill 2021; (ii) applied Gender Responsive Budgeting principles in its FY2020-2021 budget process with regard to two pilot ministries, namely, the Ministry of Commerce, Trade, Tourism and Transport and the Ministry of Fisheries; and (iii) agreed that Gender Responsive Budgeting principles will be rolled out to other ministries in the future.</w:t>
            </w:r>
          </w:p>
        </w:tc>
        <w:tc>
          <w:tcPr>
            <w:tcW w:w="313" w:type="pct"/>
          </w:tcPr>
          <w:p w14:paraId="7A7F9CE0" w14:textId="7FE8D468" w:rsidR="00A17F5A" w:rsidRPr="00BD3DF3" w:rsidRDefault="00A17F5A" w:rsidP="00A17F5A">
            <w:pPr>
              <w:spacing w:before="0"/>
              <w:rPr>
                <w:rFonts w:cstheme="minorHAnsi"/>
                <w:sz w:val="18"/>
                <w:szCs w:val="18"/>
              </w:rPr>
            </w:pPr>
            <w:r w:rsidRPr="00BD3DF3">
              <w:rPr>
                <w:rFonts w:cstheme="minorHAnsi"/>
                <w:sz w:val="18"/>
                <w:szCs w:val="18"/>
              </w:rPr>
              <w:t>Explicit</w:t>
            </w:r>
          </w:p>
        </w:tc>
        <w:tc>
          <w:tcPr>
            <w:tcW w:w="456" w:type="pct"/>
          </w:tcPr>
          <w:p w14:paraId="0CB2271A" w14:textId="2229A2AD" w:rsidR="00A17F5A" w:rsidRPr="00BD3DF3" w:rsidRDefault="00A17F5A" w:rsidP="00A17F5A">
            <w:pPr>
              <w:spacing w:before="0"/>
              <w:rPr>
                <w:rFonts w:cstheme="minorHAnsi"/>
                <w:sz w:val="18"/>
                <w:szCs w:val="18"/>
              </w:rPr>
            </w:pPr>
            <w:r w:rsidRPr="00BD3DF3">
              <w:rPr>
                <w:rFonts w:cstheme="minorHAnsi"/>
                <w:sz w:val="18"/>
                <w:szCs w:val="18"/>
              </w:rPr>
              <w:t>Yes</w:t>
            </w:r>
          </w:p>
        </w:tc>
      </w:tr>
      <w:tr w:rsidR="00BD3DF3" w:rsidRPr="00851AB3" w14:paraId="20A30F1D" w14:textId="77777777" w:rsidTr="00BD3DF3">
        <w:tc>
          <w:tcPr>
            <w:tcW w:w="315" w:type="pct"/>
          </w:tcPr>
          <w:p w14:paraId="54B96D6E" w14:textId="32529B4B" w:rsidR="00A17F5A" w:rsidRPr="00BD3DF3" w:rsidRDefault="00A17F5A" w:rsidP="00A17F5A">
            <w:pPr>
              <w:spacing w:before="0"/>
              <w:rPr>
                <w:rFonts w:cstheme="minorHAnsi"/>
                <w:sz w:val="18"/>
                <w:szCs w:val="18"/>
              </w:rPr>
            </w:pPr>
            <w:r w:rsidRPr="00BD3DF3">
              <w:rPr>
                <w:rFonts w:cstheme="minorHAnsi"/>
                <w:sz w:val="18"/>
                <w:szCs w:val="18"/>
              </w:rPr>
              <w:t>Kiribati</w:t>
            </w:r>
          </w:p>
        </w:tc>
        <w:tc>
          <w:tcPr>
            <w:tcW w:w="389" w:type="pct"/>
          </w:tcPr>
          <w:p w14:paraId="68A7F22C" w14:textId="261C5AEC" w:rsidR="00A17F5A" w:rsidRPr="00BD3DF3" w:rsidRDefault="00A17F5A" w:rsidP="00A17F5A">
            <w:pPr>
              <w:spacing w:before="0"/>
              <w:rPr>
                <w:rFonts w:cstheme="minorHAnsi"/>
                <w:sz w:val="18"/>
                <w:szCs w:val="18"/>
              </w:rPr>
            </w:pPr>
            <w:r w:rsidRPr="00BD3DF3">
              <w:rPr>
                <w:rFonts w:cstheme="minorHAnsi"/>
                <w:sz w:val="18"/>
                <w:szCs w:val="18"/>
              </w:rPr>
              <w:t>47322-001 and 002</w:t>
            </w:r>
          </w:p>
        </w:tc>
        <w:tc>
          <w:tcPr>
            <w:tcW w:w="312" w:type="pct"/>
          </w:tcPr>
          <w:p w14:paraId="0E0265CB" w14:textId="28D8DEEF" w:rsidR="00A17F5A" w:rsidRPr="00BD3DF3" w:rsidRDefault="00A17F5A" w:rsidP="00A17F5A">
            <w:pPr>
              <w:spacing w:before="0"/>
              <w:rPr>
                <w:rFonts w:cstheme="minorHAnsi"/>
                <w:sz w:val="18"/>
                <w:szCs w:val="18"/>
              </w:rPr>
            </w:pPr>
            <w:r w:rsidRPr="00BD3DF3">
              <w:rPr>
                <w:rFonts w:cstheme="minorHAnsi"/>
                <w:sz w:val="18"/>
                <w:szCs w:val="18"/>
              </w:rPr>
              <w:t>2017</w:t>
            </w:r>
          </w:p>
        </w:tc>
        <w:tc>
          <w:tcPr>
            <w:tcW w:w="3215" w:type="pct"/>
          </w:tcPr>
          <w:p w14:paraId="0D07CE21" w14:textId="328D3070"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2a. New water tariff that improves access and quality of water service, particularly benefitting women, approved by the Cabinet</w:t>
            </w:r>
            <w:r w:rsidR="0072018A">
              <w:rPr>
                <w:rFonts w:cstheme="minorHAnsi"/>
                <w:sz w:val="18"/>
                <w:szCs w:val="18"/>
              </w:rPr>
              <w:t>.</w:t>
            </w:r>
          </w:p>
        </w:tc>
        <w:tc>
          <w:tcPr>
            <w:tcW w:w="313" w:type="pct"/>
          </w:tcPr>
          <w:p w14:paraId="7F7B6FFF" w14:textId="0533BBD2" w:rsidR="00A17F5A" w:rsidRPr="00BD3DF3" w:rsidRDefault="00A17F5A" w:rsidP="00A17F5A">
            <w:pPr>
              <w:spacing w:before="0"/>
              <w:rPr>
                <w:rFonts w:cstheme="minorHAnsi"/>
                <w:sz w:val="18"/>
                <w:szCs w:val="18"/>
              </w:rPr>
            </w:pPr>
            <w:r w:rsidRPr="00BD3DF3">
              <w:rPr>
                <w:rFonts w:cstheme="minorHAnsi"/>
                <w:sz w:val="18"/>
                <w:szCs w:val="18"/>
              </w:rPr>
              <w:t>Implicit-</w:t>
            </w:r>
          </w:p>
        </w:tc>
        <w:tc>
          <w:tcPr>
            <w:tcW w:w="456" w:type="pct"/>
          </w:tcPr>
          <w:p w14:paraId="3D8489B1" w14:textId="77777777" w:rsidR="00A17F5A" w:rsidRPr="00BD3DF3" w:rsidRDefault="00A17F5A" w:rsidP="00A17F5A">
            <w:pPr>
              <w:spacing w:before="0"/>
              <w:rPr>
                <w:rFonts w:cstheme="minorHAnsi"/>
                <w:sz w:val="18"/>
                <w:szCs w:val="18"/>
              </w:rPr>
            </w:pPr>
          </w:p>
        </w:tc>
      </w:tr>
      <w:tr w:rsidR="00BD3DF3" w:rsidRPr="00851AB3" w14:paraId="0B706790" w14:textId="77777777" w:rsidTr="00BD3DF3">
        <w:tc>
          <w:tcPr>
            <w:tcW w:w="315" w:type="pct"/>
          </w:tcPr>
          <w:p w14:paraId="700E27DB" w14:textId="2CB926AE" w:rsidR="00A17F5A" w:rsidRPr="00BD3DF3" w:rsidRDefault="00A17F5A" w:rsidP="00A17F5A">
            <w:pPr>
              <w:spacing w:before="0"/>
              <w:rPr>
                <w:rFonts w:cstheme="minorHAnsi"/>
                <w:sz w:val="18"/>
                <w:szCs w:val="18"/>
              </w:rPr>
            </w:pPr>
            <w:r w:rsidRPr="00BD3DF3">
              <w:rPr>
                <w:rFonts w:cstheme="minorHAnsi"/>
                <w:sz w:val="18"/>
                <w:szCs w:val="18"/>
              </w:rPr>
              <w:lastRenderedPageBreak/>
              <w:t>PNG</w:t>
            </w:r>
          </w:p>
        </w:tc>
        <w:tc>
          <w:tcPr>
            <w:tcW w:w="389" w:type="pct"/>
          </w:tcPr>
          <w:p w14:paraId="6A1BE7B4" w14:textId="560DAE50" w:rsidR="00A17F5A" w:rsidRPr="00BD3DF3" w:rsidRDefault="00A17F5A" w:rsidP="00A17F5A">
            <w:pPr>
              <w:spacing w:before="0"/>
              <w:rPr>
                <w:rFonts w:cstheme="minorHAnsi"/>
                <w:sz w:val="18"/>
                <w:szCs w:val="18"/>
              </w:rPr>
            </w:pPr>
            <w:r w:rsidRPr="00BD3DF3">
              <w:rPr>
                <w:rFonts w:cstheme="minorHAnsi"/>
                <w:sz w:val="18"/>
                <w:szCs w:val="18"/>
              </w:rPr>
              <w:t>51035-005</w:t>
            </w:r>
          </w:p>
        </w:tc>
        <w:tc>
          <w:tcPr>
            <w:tcW w:w="312" w:type="pct"/>
          </w:tcPr>
          <w:p w14:paraId="4B94DB00" w14:textId="65E50961" w:rsidR="00A17F5A" w:rsidRPr="00BD3DF3" w:rsidRDefault="00A17F5A" w:rsidP="00A17F5A">
            <w:pPr>
              <w:spacing w:before="0"/>
              <w:rPr>
                <w:rFonts w:cstheme="minorHAnsi"/>
                <w:sz w:val="18"/>
                <w:szCs w:val="18"/>
              </w:rPr>
            </w:pPr>
            <w:r w:rsidRPr="00BD3DF3">
              <w:rPr>
                <w:rFonts w:cstheme="minorHAnsi"/>
                <w:sz w:val="18"/>
                <w:szCs w:val="18"/>
              </w:rPr>
              <w:t>2020</w:t>
            </w:r>
          </w:p>
        </w:tc>
        <w:tc>
          <w:tcPr>
            <w:tcW w:w="3215" w:type="pct"/>
          </w:tcPr>
          <w:p w14:paraId="795D3DF1" w14:textId="44D678B9"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2.1.3 Secretary of Health approved additional modules to the Provincial Health Authority</w:t>
            </w:r>
            <w:r w:rsidR="0072519F">
              <w:rPr>
                <w:rFonts w:cstheme="minorHAnsi"/>
                <w:sz w:val="18"/>
                <w:szCs w:val="18"/>
              </w:rPr>
              <w:t xml:space="preserve"> </w:t>
            </w:r>
            <w:r w:rsidRPr="00BD3DF3">
              <w:rPr>
                <w:rFonts w:cstheme="minorHAnsi"/>
                <w:sz w:val="18"/>
                <w:szCs w:val="18"/>
              </w:rPr>
              <w:t>Manual that includes public financial management and gender responsive budgeting and</w:t>
            </w:r>
            <w:r w:rsidR="0072519F">
              <w:rPr>
                <w:rFonts w:cstheme="minorHAnsi"/>
                <w:sz w:val="18"/>
                <w:szCs w:val="18"/>
              </w:rPr>
              <w:t xml:space="preserve"> </w:t>
            </w:r>
            <w:r w:rsidRPr="00BD3DF3">
              <w:rPr>
                <w:rFonts w:cstheme="minorHAnsi"/>
                <w:sz w:val="18"/>
                <w:szCs w:val="18"/>
              </w:rPr>
              <w:t>reflects changes to legislation including the Public Finances (Management) (Amendment)</w:t>
            </w:r>
            <w:r w:rsidR="0072519F">
              <w:rPr>
                <w:rFonts w:cstheme="minorHAnsi"/>
                <w:sz w:val="18"/>
                <w:szCs w:val="18"/>
              </w:rPr>
              <w:t xml:space="preserve"> </w:t>
            </w:r>
            <w:r w:rsidRPr="00BD3DF3">
              <w:rPr>
                <w:rFonts w:cstheme="minorHAnsi"/>
                <w:sz w:val="18"/>
                <w:szCs w:val="18"/>
              </w:rPr>
              <w:t xml:space="preserve">Act 2018, National Procurement Act </w:t>
            </w:r>
            <w:proofErr w:type="gramStart"/>
            <w:r w:rsidRPr="00BD3DF3">
              <w:rPr>
                <w:rFonts w:cstheme="minorHAnsi"/>
                <w:sz w:val="18"/>
                <w:szCs w:val="18"/>
              </w:rPr>
              <w:t>2018</w:t>
            </w:r>
            <w:proofErr w:type="gramEnd"/>
            <w:r w:rsidRPr="00BD3DF3">
              <w:rPr>
                <w:rFonts w:cstheme="minorHAnsi"/>
                <w:sz w:val="18"/>
                <w:szCs w:val="18"/>
              </w:rPr>
              <w:t xml:space="preserve"> and others as appropriate.</w:t>
            </w:r>
          </w:p>
          <w:p w14:paraId="68E0B39E" w14:textId="71A6757C"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2.1.4 Gender Responsive Budgeting training provided to PHA Executives and Board in all</w:t>
            </w:r>
            <w:r w:rsidR="0072519F">
              <w:rPr>
                <w:rFonts w:cstheme="minorHAnsi"/>
                <w:sz w:val="18"/>
                <w:szCs w:val="18"/>
              </w:rPr>
              <w:t xml:space="preserve"> </w:t>
            </w:r>
            <w:r w:rsidRPr="00BD3DF3">
              <w:rPr>
                <w:rFonts w:cstheme="minorHAnsi"/>
                <w:sz w:val="18"/>
                <w:szCs w:val="18"/>
              </w:rPr>
              <w:t>22 Provinces.</w:t>
            </w:r>
          </w:p>
          <w:p w14:paraId="28A27D72" w14:textId="30F326F7" w:rsidR="00A17F5A" w:rsidRPr="00BD3DF3" w:rsidRDefault="00A17F5A" w:rsidP="0072519F">
            <w:pPr>
              <w:autoSpaceDE w:val="0"/>
              <w:autoSpaceDN w:val="0"/>
              <w:adjustRightInd w:val="0"/>
              <w:spacing w:before="0"/>
              <w:rPr>
                <w:rFonts w:cstheme="minorHAnsi"/>
                <w:sz w:val="18"/>
                <w:szCs w:val="18"/>
              </w:rPr>
            </w:pPr>
            <w:r w:rsidRPr="00BD3DF3">
              <w:rPr>
                <w:rFonts w:cstheme="minorHAnsi"/>
                <w:sz w:val="18"/>
                <w:szCs w:val="18"/>
              </w:rPr>
              <w:t>3.4.2 The government rapidly disbursed an initial K23 million ($7 million) health sector</w:t>
            </w:r>
            <w:r w:rsidR="0072519F">
              <w:rPr>
                <w:rFonts w:cstheme="minorHAnsi"/>
                <w:sz w:val="18"/>
                <w:szCs w:val="18"/>
              </w:rPr>
              <w:t xml:space="preserve"> </w:t>
            </w:r>
            <w:r w:rsidRPr="00BD3DF3">
              <w:rPr>
                <w:rFonts w:cstheme="minorHAnsi"/>
                <w:sz w:val="18"/>
                <w:szCs w:val="18"/>
              </w:rPr>
              <w:t>COVID-19 support package, including for proper-sized/fit personal protective equipment</w:t>
            </w:r>
            <w:r w:rsidR="0072519F">
              <w:rPr>
                <w:rFonts w:cstheme="minorHAnsi"/>
                <w:sz w:val="18"/>
                <w:szCs w:val="18"/>
              </w:rPr>
              <w:t xml:space="preserve"> </w:t>
            </w:r>
            <w:r w:rsidRPr="00BD3DF3">
              <w:rPr>
                <w:rFonts w:cstheme="minorHAnsi"/>
                <w:sz w:val="18"/>
                <w:szCs w:val="18"/>
              </w:rPr>
              <w:t>for health workers and gender sensitive COVID-19 communication and community engagement plans, including targeted messaging for pregnant and breastfeeding women, information on gender-based violence referral pathways and advice for health providers relating to women’s rights to sexual and reproductive health care irrespective of COVID-19 status.</w:t>
            </w:r>
          </w:p>
        </w:tc>
        <w:tc>
          <w:tcPr>
            <w:tcW w:w="313" w:type="pct"/>
          </w:tcPr>
          <w:p w14:paraId="7CB34E36" w14:textId="31305AAA" w:rsidR="00A17F5A" w:rsidRPr="00BD3DF3" w:rsidRDefault="00A17F5A" w:rsidP="00A17F5A">
            <w:pPr>
              <w:spacing w:before="0"/>
              <w:rPr>
                <w:rFonts w:cstheme="minorHAnsi"/>
                <w:sz w:val="18"/>
                <w:szCs w:val="18"/>
              </w:rPr>
            </w:pPr>
            <w:r w:rsidRPr="00BD3DF3">
              <w:rPr>
                <w:rFonts w:cstheme="minorHAnsi"/>
                <w:sz w:val="18"/>
                <w:szCs w:val="18"/>
              </w:rPr>
              <w:t>Explicit</w:t>
            </w:r>
          </w:p>
        </w:tc>
        <w:tc>
          <w:tcPr>
            <w:tcW w:w="456" w:type="pct"/>
          </w:tcPr>
          <w:p w14:paraId="05CC589E" w14:textId="77777777" w:rsidR="00A17F5A" w:rsidRPr="00BD3DF3" w:rsidRDefault="00A17F5A" w:rsidP="00A17F5A">
            <w:pPr>
              <w:spacing w:before="0"/>
              <w:rPr>
                <w:rFonts w:cstheme="minorHAnsi"/>
                <w:sz w:val="18"/>
                <w:szCs w:val="18"/>
              </w:rPr>
            </w:pPr>
          </w:p>
        </w:tc>
      </w:tr>
      <w:tr w:rsidR="00BD3DF3" w:rsidRPr="00851AB3" w14:paraId="50EDE990" w14:textId="77777777" w:rsidTr="00BD3DF3">
        <w:tc>
          <w:tcPr>
            <w:tcW w:w="315" w:type="pct"/>
          </w:tcPr>
          <w:p w14:paraId="4435D414" w14:textId="6B5751F0" w:rsidR="00A17F5A" w:rsidRPr="00BD3DF3" w:rsidRDefault="00A17F5A" w:rsidP="00A17F5A">
            <w:pPr>
              <w:spacing w:before="0"/>
              <w:rPr>
                <w:rFonts w:cstheme="minorHAnsi"/>
                <w:sz w:val="18"/>
                <w:szCs w:val="18"/>
              </w:rPr>
            </w:pPr>
            <w:r w:rsidRPr="00BD3DF3">
              <w:rPr>
                <w:rFonts w:cstheme="minorHAnsi"/>
                <w:sz w:val="18"/>
                <w:szCs w:val="18"/>
              </w:rPr>
              <w:t>PNG</w:t>
            </w:r>
          </w:p>
        </w:tc>
        <w:tc>
          <w:tcPr>
            <w:tcW w:w="389" w:type="pct"/>
          </w:tcPr>
          <w:p w14:paraId="6015DCA7" w14:textId="0FEF4EAA" w:rsidR="00A17F5A" w:rsidRPr="00BD3DF3" w:rsidRDefault="00A17F5A" w:rsidP="00A17F5A">
            <w:pPr>
              <w:spacing w:before="0"/>
              <w:rPr>
                <w:rFonts w:cstheme="minorHAnsi"/>
                <w:sz w:val="18"/>
                <w:szCs w:val="18"/>
              </w:rPr>
            </w:pPr>
            <w:r w:rsidRPr="00BD3DF3">
              <w:rPr>
                <w:rFonts w:cstheme="minorHAnsi"/>
                <w:sz w:val="18"/>
                <w:szCs w:val="18"/>
              </w:rPr>
              <w:t>5424-002</w:t>
            </w:r>
          </w:p>
        </w:tc>
        <w:tc>
          <w:tcPr>
            <w:tcW w:w="312" w:type="pct"/>
          </w:tcPr>
          <w:p w14:paraId="41BEE742" w14:textId="6AA98794" w:rsidR="00A17F5A" w:rsidRPr="00BD3DF3" w:rsidRDefault="00A17F5A" w:rsidP="00A17F5A">
            <w:pPr>
              <w:spacing w:before="0"/>
              <w:rPr>
                <w:rFonts w:cstheme="minorHAnsi"/>
                <w:sz w:val="18"/>
                <w:szCs w:val="18"/>
              </w:rPr>
            </w:pPr>
            <w:r w:rsidRPr="00BD3DF3">
              <w:rPr>
                <w:rFonts w:cstheme="minorHAnsi"/>
                <w:sz w:val="18"/>
                <w:szCs w:val="18"/>
              </w:rPr>
              <w:t>2021</w:t>
            </w:r>
          </w:p>
        </w:tc>
        <w:tc>
          <w:tcPr>
            <w:tcW w:w="3215" w:type="pct"/>
          </w:tcPr>
          <w:p w14:paraId="04C31EF9"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1.1 NEC has approved the PNG SOE Ownership and Reform Policy, laying out key principles of SOE ownership, governance, and performance, including the need to increase women’s representation on SOE boards in line with the government’s commitment to the economic empowerment of women.</w:t>
            </w:r>
          </w:p>
          <w:p w14:paraId="4C87E0A4"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 xml:space="preserve">1.2 NEC has approved the draft KCH (Amendment) Bill to amend the KCH Act, for submission to Parliament, including (e) introducing a provision to include at least one woman who meets the requirements on the short list for director </w:t>
            </w:r>
            <w:proofErr w:type="gramStart"/>
            <w:r w:rsidRPr="00BD3DF3">
              <w:rPr>
                <w:rFonts w:cstheme="minorHAnsi"/>
                <w:sz w:val="18"/>
                <w:szCs w:val="18"/>
              </w:rPr>
              <w:t>appointments;</w:t>
            </w:r>
            <w:proofErr w:type="gramEnd"/>
          </w:p>
          <w:p w14:paraId="13C1D789"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1.3 NEC has approved the National Competition Policy which supports competitive neutrality of SOEs, and removal of barriers to the participation of women’s businesses and small and medium enterprises in public procurement through appropriate structuring of tenders and advertisements.</w:t>
            </w:r>
          </w:p>
          <w:p w14:paraId="6E9DAC1F"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2.1 Parliament approved the KCH (Amendment) Bill 2020, to amend the KCH Act, which (e) introduces a provision to include at least one woman who meets the requirements on the short list for director appointments</w:t>
            </w:r>
          </w:p>
          <w:p w14:paraId="31E12211"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2.2 The Ministry of State Enterprises and DOT negotiated General Competitive Neutrality Principles with KCH, in line with international guidelines and global goals for sustainable development, including gender equality</w:t>
            </w:r>
          </w:p>
          <w:p w14:paraId="24E4A2F2" w14:textId="2A46311F"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2.4 KCH Board (a) implemented Appointment and Assessment of Directors - Process and Guidelines for all new director appointments, with women representing 10</w:t>
            </w:r>
            <w:r w:rsidR="001F27CC">
              <w:rPr>
                <w:rFonts w:cstheme="minorHAnsi"/>
                <w:sz w:val="18"/>
                <w:szCs w:val="18"/>
              </w:rPr>
              <w:t xml:space="preserve"> per cent</w:t>
            </w:r>
            <w:r w:rsidRPr="00BD3DF3">
              <w:rPr>
                <w:rFonts w:cstheme="minorHAnsi"/>
                <w:sz w:val="18"/>
                <w:szCs w:val="18"/>
              </w:rPr>
              <w:t xml:space="preserve"> of total SOE directors; and (b) operationalized a database of qualified women for potential director positions to achieve the KCH Act</w:t>
            </w:r>
          </w:p>
          <w:p w14:paraId="724BDD4D"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target of having at least one woman on the board of each SOE.</w:t>
            </w:r>
          </w:p>
          <w:p w14:paraId="6375C66F"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2.5 KCH Board approved new processes and guidelines for assessment of SOE directors’ performance against key performance indicators, including gender and diversity, to strengthen performance management and gender equality.</w:t>
            </w:r>
          </w:p>
          <w:p w14:paraId="384A8D15"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2.7 PPL Board approved revised the procurement framework to enhance clarity and efficiency, and provide guidance on supporting women’s businesses to better participate in procurement processes</w:t>
            </w:r>
          </w:p>
          <w:p w14:paraId="53BA9ABA" w14:textId="0849E0D9"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2.8 KCH Board, in line with the KCH (Amendment) Act,</w:t>
            </w:r>
            <w:r w:rsidR="0072519F">
              <w:rPr>
                <w:rFonts w:cstheme="minorHAnsi"/>
                <w:sz w:val="18"/>
                <w:szCs w:val="18"/>
              </w:rPr>
              <w:t xml:space="preserve"> </w:t>
            </w:r>
            <w:r w:rsidRPr="00BD3DF3">
              <w:rPr>
                <w:rFonts w:cstheme="minorHAnsi"/>
                <w:sz w:val="18"/>
                <w:szCs w:val="18"/>
              </w:rPr>
              <w:t xml:space="preserve">implemented the Guidelines for SOE Corporate Plans and Statements of Corporate Intent, with the approval of 2021 corporate plans and statements of corporate intent of 7 (of 9) SOEs, including reporting on gender diversity2.15 Water PNG Board approved the Port Moresby Water Supply System Master Plan, including social and gender analysis, and initiated a feasibility study to structure a PPP for a new Mt </w:t>
            </w:r>
            <w:proofErr w:type="spellStart"/>
            <w:r w:rsidRPr="00BD3DF3">
              <w:rPr>
                <w:rFonts w:cstheme="minorHAnsi"/>
                <w:sz w:val="18"/>
                <w:szCs w:val="18"/>
              </w:rPr>
              <w:t>Eriama</w:t>
            </w:r>
            <w:proofErr w:type="spellEnd"/>
            <w:r w:rsidRPr="00BD3DF3">
              <w:rPr>
                <w:rFonts w:cstheme="minorHAnsi"/>
                <w:sz w:val="18"/>
                <w:szCs w:val="18"/>
              </w:rPr>
              <w:t xml:space="preserve"> treatment plant that will explore the inclusion of and</w:t>
            </w:r>
            <w:r w:rsidR="0072519F">
              <w:rPr>
                <w:rFonts w:cstheme="minorHAnsi"/>
                <w:sz w:val="18"/>
                <w:szCs w:val="18"/>
              </w:rPr>
              <w:t xml:space="preserve"> </w:t>
            </w:r>
            <w:r w:rsidRPr="00BD3DF3">
              <w:rPr>
                <w:rFonts w:cstheme="minorHAnsi"/>
                <w:sz w:val="18"/>
                <w:szCs w:val="18"/>
              </w:rPr>
              <w:t>owner benefits and meet the forecast needs of Port Moresby through to 2030 Policy actions Subprogram3 2021-22 .</w:t>
            </w:r>
          </w:p>
        </w:tc>
        <w:tc>
          <w:tcPr>
            <w:tcW w:w="313" w:type="pct"/>
          </w:tcPr>
          <w:p w14:paraId="38CEC3E9" w14:textId="3C25AAE6" w:rsidR="00A17F5A" w:rsidRPr="00BD3DF3" w:rsidRDefault="00A17F5A" w:rsidP="00A17F5A">
            <w:pPr>
              <w:spacing w:before="0"/>
              <w:rPr>
                <w:rFonts w:cstheme="minorHAnsi"/>
                <w:sz w:val="18"/>
                <w:szCs w:val="18"/>
              </w:rPr>
            </w:pPr>
            <w:r w:rsidRPr="00BD3DF3">
              <w:rPr>
                <w:rFonts w:cstheme="minorHAnsi"/>
                <w:sz w:val="18"/>
                <w:szCs w:val="18"/>
              </w:rPr>
              <w:t>Explicit</w:t>
            </w:r>
          </w:p>
        </w:tc>
        <w:tc>
          <w:tcPr>
            <w:tcW w:w="456" w:type="pct"/>
          </w:tcPr>
          <w:p w14:paraId="6F3EA286" w14:textId="77777777" w:rsidR="00A17F5A" w:rsidRPr="00BD3DF3" w:rsidRDefault="00A17F5A" w:rsidP="00A17F5A">
            <w:pPr>
              <w:spacing w:before="0"/>
              <w:rPr>
                <w:rFonts w:cstheme="minorHAnsi"/>
                <w:sz w:val="18"/>
                <w:szCs w:val="18"/>
              </w:rPr>
            </w:pPr>
          </w:p>
        </w:tc>
      </w:tr>
      <w:tr w:rsidR="00BD3DF3" w:rsidRPr="00851AB3" w14:paraId="4E14E7F9" w14:textId="77777777" w:rsidTr="00BD3DF3">
        <w:tc>
          <w:tcPr>
            <w:tcW w:w="315" w:type="pct"/>
          </w:tcPr>
          <w:p w14:paraId="3BD38E68" w14:textId="496A2D8F" w:rsidR="00A17F5A" w:rsidRPr="00BD3DF3" w:rsidRDefault="00A17F5A" w:rsidP="00A17F5A">
            <w:pPr>
              <w:spacing w:before="0"/>
              <w:rPr>
                <w:rFonts w:cstheme="minorHAnsi"/>
                <w:sz w:val="18"/>
                <w:szCs w:val="18"/>
              </w:rPr>
            </w:pPr>
            <w:r w:rsidRPr="00BD3DF3">
              <w:rPr>
                <w:rFonts w:cstheme="minorHAnsi"/>
                <w:sz w:val="18"/>
                <w:szCs w:val="18"/>
              </w:rPr>
              <w:lastRenderedPageBreak/>
              <w:t>PNG</w:t>
            </w:r>
          </w:p>
        </w:tc>
        <w:tc>
          <w:tcPr>
            <w:tcW w:w="389" w:type="pct"/>
          </w:tcPr>
          <w:p w14:paraId="0962B373" w14:textId="77777777" w:rsidR="00A17F5A" w:rsidRPr="00BD3DF3" w:rsidRDefault="00A17F5A" w:rsidP="00A17F5A">
            <w:pPr>
              <w:spacing w:before="0"/>
              <w:rPr>
                <w:rFonts w:cstheme="minorHAnsi"/>
                <w:sz w:val="18"/>
                <w:szCs w:val="18"/>
              </w:rPr>
            </w:pPr>
            <w:r w:rsidRPr="00BD3DF3">
              <w:rPr>
                <w:rFonts w:cstheme="minorHAnsi"/>
                <w:sz w:val="18"/>
                <w:szCs w:val="18"/>
              </w:rPr>
              <w:t>5424-002</w:t>
            </w:r>
          </w:p>
          <w:p w14:paraId="3E0AF4FD" w14:textId="2A8AF6DB" w:rsidR="00A17F5A" w:rsidRPr="00BD3DF3" w:rsidRDefault="00A17F5A" w:rsidP="00A17F5A">
            <w:pPr>
              <w:spacing w:before="0"/>
              <w:rPr>
                <w:rFonts w:cstheme="minorHAnsi"/>
                <w:sz w:val="18"/>
                <w:szCs w:val="18"/>
              </w:rPr>
            </w:pPr>
            <w:r w:rsidRPr="00BD3DF3">
              <w:rPr>
                <w:rFonts w:cstheme="minorHAnsi"/>
                <w:sz w:val="18"/>
                <w:szCs w:val="18"/>
              </w:rPr>
              <w:t>(continued)</w:t>
            </w:r>
          </w:p>
        </w:tc>
        <w:tc>
          <w:tcPr>
            <w:tcW w:w="312" w:type="pct"/>
          </w:tcPr>
          <w:p w14:paraId="45655325" w14:textId="302CEC40" w:rsidR="00A17F5A" w:rsidRPr="00BD3DF3" w:rsidRDefault="00A17F5A" w:rsidP="00A17F5A">
            <w:pPr>
              <w:spacing w:before="0"/>
              <w:rPr>
                <w:rFonts w:cstheme="minorHAnsi"/>
                <w:sz w:val="18"/>
                <w:szCs w:val="18"/>
              </w:rPr>
            </w:pPr>
            <w:r w:rsidRPr="00BD3DF3">
              <w:rPr>
                <w:rFonts w:cstheme="minorHAnsi"/>
                <w:sz w:val="18"/>
                <w:szCs w:val="18"/>
              </w:rPr>
              <w:t>2021</w:t>
            </w:r>
          </w:p>
        </w:tc>
        <w:tc>
          <w:tcPr>
            <w:tcW w:w="3215" w:type="pct"/>
          </w:tcPr>
          <w:p w14:paraId="46703209"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3.1 NEC will endorse amendments to the ICCC Act for Parliament approval to implement the following</w:t>
            </w:r>
          </w:p>
          <w:p w14:paraId="593C547E"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elements of the National Competition Policy: (d) the monitoring of the participation and success of women’s businesses and SMEs in public procurement processes 3.3 KCH Board will implement</w:t>
            </w:r>
          </w:p>
          <w:p w14:paraId="7A823BB7" w14:textId="1A6A2050"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Appointment and Assessment of Directors - Process and Guidelines for all new director appointments, with women representing at least 12</w:t>
            </w:r>
            <w:r w:rsidR="001F27CC">
              <w:rPr>
                <w:rFonts w:cstheme="minorHAnsi"/>
                <w:sz w:val="18"/>
                <w:szCs w:val="18"/>
              </w:rPr>
              <w:t xml:space="preserve"> per cent</w:t>
            </w:r>
            <w:r w:rsidRPr="00BD3DF3">
              <w:rPr>
                <w:rFonts w:cstheme="minorHAnsi"/>
                <w:sz w:val="18"/>
                <w:szCs w:val="18"/>
              </w:rPr>
              <w:t xml:space="preserve"> of total SOE directors.</w:t>
            </w:r>
          </w:p>
          <w:p w14:paraId="7139C26E"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3.4 KCH will implement the process for assessment of SOE directors’ performance approved in subprogram 2, including assessment against key performance indicator(s) on gender and diversity, to</w:t>
            </w:r>
          </w:p>
          <w:p w14:paraId="4FE4E5FA"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strengthen performance management and gender equality.</w:t>
            </w:r>
          </w:p>
          <w:p w14:paraId="5B3385FC" w14:textId="1B5796F1"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3.7 KCH Board, in line with the KCH (Amendment) Act, will implement the Guidelines for SOE Corporate Plans and Statements of Corporate Intent, with the approval of 2022 corporate plans and statements of corporate intent of at least 8 (of 9) SOEs, including reporting on gender diversity.</w:t>
            </w:r>
          </w:p>
        </w:tc>
        <w:tc>
          <w:tcPr>
            <w:tcW w:w="313" w:type="pct"/>
          </w:tcPr>
          <w:p w14:paraId="62A802B1" w14:textId="0A465D57" w:rsidR="00A17F5A" w:rsidRPr="00BD3DF3" w:rsidRDefault="00A17F5A" w:rsidP="00A17F5A">
            <w:pPr>
              <w:spacing w:before="0"/>
              <w:rPr>
                <w:rFonts w:cstheme="minorHAnsi"/>
                <w:sz w:val="18"/>
                <w:szCs w:val="18"/>
              </w:rPr>
            </w:pPr>
            <w:r w:rsidRPr="00BD3DF3">
              <w:rPr>
                <w:rFonts w:cstheme="minorHAnsi"/>
                <w:sz w:val="18"/>
                <w:szCs w:val="18"/>
              </w:rPr>
              <w:t>Explicit</w:t>
            </w:r>
          </w:p>
        </w:tc>
        <w:tc>
          <w:tcPr>
            <w:tcW w:w="456" w:type="pct"/>
          </w:tcPr>
          <w:p w14:paraId="627C1A96" w14:textId="77777777" w:rsidR="00A17F5A" w:rsidRPr="00BD3DF3" w:rsidRDefault="00A17F5A" w:rsidP="00A17F5A">
            <w:pPr>
              <w:spacing w:before="0"/>
              <w:rPr>
                <w:rFonts w:cstheme="minorHAnsi"/>
                <w:sz w:val="18"/>
                <w:szCs w:val="18"/>
              </w:rPr>
            </w:pPr>
          </w:p>
        </w:tc>
      </w:tr>
      <w:tr w:rsidR="00BD3DF3" w:rsidRPr="00851AB3" w14:paraId="747CEE8C" w14:textId="77777777" w:rsidTr="00BD3DF3">
        <w:tc>
          <w:tcPr>
            <w:tcW w:w="315" w:type="pct"/>
          </w:tcPr>
          <w:p w14:paraId="2DE21660" w14:textId="48779883" w:rsidR="00A17F5A" w:rsidRPr="00BD3DF3" w:rsidRDefault="00A17F5A" w:rsidP="00A17F5A">
            <w:pPr>
              <w:spacing w:before="0"/>
              <w:rPr>
                <w:rFonts w:cstheme="minorHAnsi"/>
                <w:sz w:val="18"/>
                <w:szCs w:val="18"/>
              </w:rPr>
            </w:pPr>
            <w:r w:rsidRPr="00BD3DF3">
              <w:rPr>
                <w:rFonts w:cstheme="minorHAnsi"/>
                <w:sz w:val="18"/>
                <w:szCs w:val="18"/>
              </w:rPr>
              <w:t>Solomon Islands</w:t>
            </w:r>
          </w:p>
        </w:tc>
        <w:tc>
          <w:tcPr>
            <w:tcW w:w="389" w:type="pct"/>
          </w:tcPr>
          <w:p w14:paraId="55813C36" w14:textId="2F22C57D" w:rsidR="00A17F5A" w:rsidRPr="00BD3DF3" w:rsidRDefault="00A17F5A" w:rsidP="00A17F5A">
            <w:pPr>
              <w:spacing w:before="0"/>
              <w:rPr>
                <w:rFonts w:cstheme="minorHAnsi"/>
                <w:sz w:val="18"/>
                <w:szCs w:val="18"/>
              </w:rPr>
            </w:pPr>
            <w:r w:rsidRPr="00BD3DF3">
              <w:rPr>
                <w:rFonts w:cstheme="minorHAnsi"/>
                <w:sz w:val="18"/>
                <w:szCs w:val="18"/>
              </w:rPr>
              <w:t>52074-001</w:t>
            </w:r>
          </w:p>
        </w:tc>
        <w:tc>
          <w:tcPr>
            <w:tcW w:w="312" w:type="pct"/>
          </w:tcPr>
          <w:p w14:paraId="59EFCD91" w14:textId="63FF1577" w:rsidR="00A17F5A" w:rsidRPr="00BD3DF3" w:rsidRDefault="00A17F5A" w:rsidP="00A17F5A">
            <w:pPr>
              <w:spacing w:before="0"/>
              <w:rPr>
                <w:rFonts w:cstheme="minorHAnsi"/>
                <w:sz w:val="18"/>
                <w:szCs w:val="18"/>
              </w:rPr>
            </w:pPr>
            <w:r w:rsidRPr="00BD3DF3">
              <w:rPr>
                <w:rFonts w:cstheme="minorHAnsi"/>
                <w:sz w:val="18"/>
                <w:szCs w:val="18"/>
              </w:rPr>
              <w:t>2018</w:t>
            </w:r>
          </w:p>
        </w:tc>
        <w:tc>
          <w:tcPr>
            <w:tcW w:w="3215" w:type="pct"/>
          </w:tcPr>
          <w:p w14:paraId="4BE753E4"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Policy Action 1.1: Measures were undertaken to assess and improve the performance of the public financial management system by: a) Reviewing the public financial management roadmap; b) Preparing a public financial management action plan 2018-2019, which includes gender analysis; and c) Approving the Debt Management Regulations under the Public Financial Management Act (2013).</w:t>
            </w:r>
          </w:p>
          <w:p w14:paraId="4404CD6E" w14:textId="0E05A003"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Policy Action 1.2: Measures undertaken to improve accountability, increase transparency, and fight corruption by: (a) Parliamentary approval of the Anticorruption Bill (2018) which creates an Independent Commission Against Corruption with 2 out of</w:t>
            </w:r>
            <w:r w:rsidR="00F705A9">
              <w:rPr>
                <w:rFonts w:cstheme="minorHAnsi"/>
                <w:sz w:val="18"/>
                <w:szCs w:val="18"/>
              </w:rPr>
              <w:t xml:space="preserve"> </w:t>
            </w:r>
            <w:r w:rsidRPr="00BD3DF3">
              <w:rPr>
                <w:rFonts w:cstheme="minorHAnsi"/>
                <w:sz w:val="18"/>
                <w:szCs w:val="18"/>
              </w:rPr>
              <w:t xml:space="preserve">6 women members and the President of the National Council of Women on the nominating </w:t>
            </w:r>
            <w:proofErr w:type="gramStart"/>
            <w:r w:rsidRPr="00BD3DF3">
              <w:rPr>
                <w:rFonts w:cstheme="minorHAnsi"/>
                <w:sz w:val="18"/>
                <w:szCs w:val="18"/>
              </w:rPr>
              <w:t>committee;</w:t>
            </w:r>
            <w:proofErr w:type="gramEnd"/>
          </w:p>
          <w:p w14:paraId="0749D64C"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Policy Action 2.3: Undertake measures to increase revenues in line with the government’s fiscal consolidation program by: a) Parliament enacted the Goods Tax (Amendment) Bill (2018); d) consultations with the Solomon Islands Women in Business Association was undertaken for at least one of these tax reforms.</w:t>
            </w:r>
          </w:p>
          <w:p w14:paraId="36AED336"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 xml:space="preserve">Policy Action 3.1: Commenced a review with the objectives to deliver a fair, simple, broad-based tax system, which is gender sensitive and supports economic growth, and encourages women’s participation in the economy. </w:t>
            </w:r>
          </w:p>
          <w:p w14:paraId="5FAE075E" w14:textId="3448D3A0" w:rsidR="00A17F5A" w:rsidRPr="00BD3DF3" w:rsidRDefault="00A17F5A" w:rsidP="00F705A9">
            <w:pPr>
              <w:autoSpaceDE w:val="0"/>
              <w:autoSpaceDN w:val="0"/>
              <w:adjustRightInd w:val="0"/>
              <w:spacing w:before="0"/>
              <w:rPr>
                <w:rFonts w:cstheme="minorHAnsi"/>
                <w:sz w:val="18"/>
                <w:szCs w:val="18"/>
              </w:rPr>
            </w:pPr>
            <w:r w:rsidRPr="00BD3DF3">
              <w:rPr>
                <w:rFonts w:cstheme="minorHAnsi"/>
                <w:sz w:val="18"/>
                <w:szCs w:val="18"/>
              </w:rPr>
              <w:t>Policy Action 3.3: Measures undertaken to promote competition in Solomon Islands by</w:t>
            </w:r>
            <w:r w:rsidR="00F705A9">
              <w:rPr>
                <w:rFonts w:cstheme="minorHAnsi"/>
                <w:sz w:val="18"/>
                <w:szCs w:val="18"/>
              </w:rPr>
              <w:t xml:space="preserve"> </w:t>
            </w:r>
            <w:r w:rsidRPr="00BD3DF3">
              <w:rPr>
                <w:rFonts w:cstheme="minorHAnsi"/>
                <w:sz w:val="18"/>
                <w:szCs w:val="18"/>
              </w:rPr>
              <w:t>Cabinet approving a Competition Policy which has the economic empowerment of women as an objective.</w:t>
            </w:r>
          </w:p>
        </w:tc>
        <w:tc>
          <w:tcPr>
            <w:tcW w:w="313" w:type="pct"/>
          </w:tcPr>
          <w:p w14:paraId="325D9D3B" w14:textId="54BEBFF6" w:rsidR="00A17F5A" w:rsidRPr="00BD3DF3" w:rsidRDefault="00A17F5A" w:rsidP="00A17F5A">
            <w:pPr>
              <w:spacing w:before="0"/>
              <w:rPr>
                <w:rFonts w:cstheme="minorHAnsi"/>
                <w:sz w:val="18"/>
                <w:szCs w:val="18"/>
              </w:rPr>
            </w:pPr>
            <w:r w:rsidRPr="00BD3DF3">
              <w:rPr>
                <w:rFonts w:cstheme="minorHAnsi"/>
                <w:sz w:val="18"/>
                <w:szCs w:val="18"/>
              </w:rPr>
              <w:t>Explicit</w:t>
            </w:r>
          </w:p>
        </w:tc>
        <w:tc>
          <w:tcPr>
            <w:tcW w:w="456" w:type="pct"/>
          </w:tcPr>
          <w:p w14:paraId="4C65B27B" w14:textId="77777777" w:rsidR="00A17F5A" w:rsidRPr="00BD3DF3" w:rsidRDefault="00A17F5A" w:rsidP="00A17F5A">
            <w:pPr>
              <w:spacing w:before="0"/>
              <w:rPr>
                <w:rFonts w:cstheme="minorHAnsi"/>
                <w:sz w:val="18"/>
                <w:szCs w:val="18"/>
              </w:rPr>
            </w:pPr>
          </w:p>
        </w:tc>
      </w:tr>
      <w:tr w:rsidR="00BD3DF3" w:rsidRPr="00851AB3" w14:paraId="0165606F" w14:textId="77777777" w:rsidTr="00BD3DF3">
        <w:tc>
          <w:tcPr>
            <w:tcW w:w="315" w:type="pct"/>
          </w:tcPr>
          <w:p w14:paraId="74CFB9BF" w14:textId="34D71783" w:rsidR="00A17F5A" w:rsidRPr="00BD3DF3" w:rsidRDefault="00A17F5A" w:rsidP="00A17F5A">
            <w:pPr>
              <w:spacing w:before="0"/>
              <w:rPr>
                <w:rFonts w:cstheme="minorHAnsi"/>
                <w:sz w:val="18"/>
                <w:szCs w:val="18"/>
              </w:rPr>
            </w:pPr>
            <w:r w:rsidRPr="00BD3DF3">
              <w:rPr>
                <w:rFonts w:cstheme="minorHAnsi"/>
                <w:sz w:val="18"/>
                <w:szCs w:val="18"/>
              </w:rPr>
              <w:t>Tonga</w:t>
            </w:r>
          </w:p>
        </w:tc>
        <w:tc>
          <w:tcPr>
            <w:tcW w:w="389" w:type="pct"/>
          </w:tcPr>
          <w:p w14:paraId="6015CA79" w14:textId="3AADB995" w:rsidR="00A17F5A" w:rsidRPr="00BD3DF3" w:rsidRDefault="00A17F5A" w:rsidP="00A17F5A">
            <w:pPr>
              <w:spacing w:before="0"/>
              <w:rPr>
                <w:rFonts w:cstheme="minorHAnsi"/>
                <w:sz w:val="18"/>
                <w:szCs w:val="18"/>
              </w:rPr>
            </w:pPr>
            <w:r w:rsidRPr="00BD3DF3">
              <w:rPr>
                <w:rFonts w:cstheme="minorHAnsi"/>
                <w:sz w:val="18"/>
                <w:szCs w:val="18"/>
              </w:rPr>
              <w:t>48361-003</w:t>
            </w:r>
          </w:p>
        </w:tc>
        <w:tc>
          <w:tcPr>
            <w:tcW w:w="312" w:type="pct"/>
          </w:tcPr>
          <w:p w14:paraId="3F0567FD" w14:textId="35B55D6D" w:rsidR="00A17F5A" w:rsidRPr="00BD3DF3" w:rsidRDefault="00A17F5A" w:rsidP="00A17F5A">
            <w:pPr>
              <w:spacing w:before="0"/>
              <w:rPr>
                <w:rFonts w:cstheme="minorHAnsi"/>
                <w:sz w:val="18"/>
                <w:szCs w:val="18"/>
              </w:rPr>
            </w:pPr>
            <w:r w:rsidRPr="00BD3DF3">
              <w:rPr>
                <w:rFonts w:cstheme="minorHAnsi"/>
                <w:sz w:val="18"/>
                <w:szCs w:val="18"/>
              </w:rPr>
              <w:t>2019</w:t>
            </w:r>
          </w:p>
        </w:tc>
        <w:tc>
          <w:tcPr>
            <w:tcW w:w="3215" w:type="pct"/>
          </w:tcPr>
          <w:p w14:paraId="4D731B31" w14:textId="0A591F9F"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3d. Prioritized and sequenced private sector development strategy that supports inclusive growth and economic participation of women, youth, and people with disabilities approved by the cabinet</w:t>
            </w:r>
            <w:r w:rsidR="00F705A9">
              <w:rPr>
                <w:rFonts w:cstheme="minorHAnsi"/>
                <w:sz w:val="18"/>
                <w:szCs w:val="18"/>
              </w:rPr>
              <w:t>.</w:t>
            </w:r>
          </w:p>
        </w:tc>
        <w:tc>
          <w:tcPr>
            <w:tcW w:w="313" w:type="pct"/>
          </w:tcPr>
          <w:p w14:paraId="53E70F2D" w14:textId="39FDBDAF" w:rsidR="00A17F5A" w:rsidRPr="00BD3DF3" w:rsidRDefault="00A17F5A" w:rsidP="00A17F5A">
            <w:pPr>
              <w:spacing w:before="0"/>
              <w:rPr>
                <w:rFonts w:cstheme="minorHAnsi"/>
                <w:sz w:val="18"/>
                <w:szCs w:val="18"/>
              </w:rPr>
            </w:pPr>
            <w:r w:rsidRPr="00BD3DF3">
              <w:rPr>
                <w:rFonts w:cstheme="minorHAnsi"/>
                <w:sz w:val="18"/>
                <w:szCs w:val="18"/>
              </w:rPr>
              <w:t>Explicit</w:t>
            </w:r>
          </w:p>
        </w:tc>
        <w:tc>
          <w:tcPr>
            <w:tcW w:w="456" w:type="pct"/>
          </w:tcPr>
          <w:p w14:paraId="623E0C29" w14:textId="77777777" w:rsidR="00A17F5A" w:rsidRPr="00BD3DF3" w:rsidRDefault="00A17F5A" w:rsidP="00A17F5A">
            <w:pPr>
              <w:spacing w:before="0"/>
              <w:rPr>
                <w:rFonts w:cstheme="minorHAnsi"/>
                <w:sz w:val="18"/>
                <w:szCs w:val="18"/>
              </w:rPr>
            </w:pPr>
          </w:p>
        </w:tc>
      </w:tr>
      <w:tr w:rsidR="00BD3DF3" w:rsidRPr="00851AB3" w14:paraId="5F7553F7" w14:textId="77777777" w:rsidTr="00BD3DF3">
        <w:tc>
          <w:tcPr>
            <w:tcW w:w="315" w:type="pct"/>
          </w:tcPr>
          <w:p w14:paraId="38B2F406" w14:textId="5662BB70" w:rsidR="00A17F5A" w:rsidRPr="00BD3DF3" w:rsidRDefault="00A17F5A" w:rsidP="00A17F5A">
            <w:pPr>
              <w:spacing w:before="0"/>
              <w:rPr>
                <w:rFonts w:cstheme="minorHAnsi"/>
                <w:sz w:val="18"/>
                <w:szCs w:val="18"/>
              </w:rPr>
            </w:pPr>
            <w:r w:rsidRPr="00BD3DF3">
              <w:rPr>
                <w:rFonts w:cstheme="minorHAnsi"/>
                <w:sz w:val="18"/>
                <w:szCs w:val="18"/>
              </w:rPr>
              <w:t>Tonga</w:t>
            </w:r>
          </w:p>
        </w:tc>
        <w:tc>
          <w:tcPr>
            <w:tcW w:w="389" w:type="pct"/>
          </w:tcPr>
          <w:p w14:paraId="44485FBF" w14:textId="24BDA1DD" w:rsidR="00A17F5A" w:rsidRPr="00BD3DF3" w:rsidRDefault="00A17F5A" w:rsidP="00A17F5A">
            <w:pPr>
              <w:spacing w:before="0"/>
              <w:rPr>
                <w:rFonts w:cstheme="minorHAnsi"/>
                <w:sz w:val="18"/>
                <w:szCs w:val="18"/>
              </w:rPr>
            </w:pPr>
            <w:r w:rsidRPr="00BD3DF3">
              <w:rPr>
                <w:rFonts w:cstheme="minorHAnsi"/>
                <w:sz w:val="18"/>
                <w:szCs w:val="18"/>
              </w:rPr>
              <w:t>502030-001</w:t>
            </w:r>
          </w:p>
        </w:tc>
        <w:tc>
          <w:tcPr>
            <w:tcW w:w="312" w:type="pct"/>
          </w:tcPr>
          <w:p w14:paraId="278E0CDD" w14:textId="19F75D86" w:rsidR="00A17F5A" w:rsidRPr="00BD3DF3" w:rsidRDefault="00A17F5A" w:rsidP="00A17F5A">
            <w:pPr>
              <w:spacing w:before="0"/>
              <w:rPr>
                <w:rFonts w:cstheme="minorHAnsi"/>
                <w:sz w:val="18"/>
                <w:szCs w:val="18"/>
              </w:rPr>
            </w:pPr>
            <w:r w:rsidRPr="00BD3DF3">
              <w:rPr>
                <w:rFonts w:cstheme="minorHAnsi"/>
                <w:sz w:val="18"/>
                <w:szCs w:val="18"/>
              </w:rPr>
              <w:t>2021</w:t>
            </w:r>
          </w:p>
        </w:tc>
        <w:tc>
          <w:tcPr>
            <w:tcW w:w="3215" w:type="pct"/>
          </w:tcPr>
          <w:p w14:paraId="41CBA709"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 xml:space="preserve">1.2 Government approved and published the PEFA Agile Assessment and Gender Responsive Budgeting Assessment in partnership with the IMF. </w:t>
            </w:r>
          </w:p>
          <w:p w14:paraId="3CD3D771" w14:textId="7777777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 xml:space="preserve">2.2 Cabinet approved measures which mitigate the impacts of COVID-19 on vulnerable members of the community including (a) once-off cash transfers for vulnerable and poor households (including female- headed households); (b) income-generating activities for women’s groups; and (c) a waiver on local consumption taxes until 30 June 2020. </w:t>
            </w:r>
          </w:p>
          <w:p w14:paraId="0F903209" w14:textId="4F9CF047" w:rsidR="00A17F5A" w:rsidRPr="00BD3DF3" w:rsidRDefault="00A17F5A" w:rsidP="00A17F5A">
            <w:pPr>
              <w:autoSpaceDE w:val="0"/>
              <w:autoSpaceDN w:val="0"/>
              <w:adjustRightInd w:val="0"/>
              <w:spacing w:before="0"/>
              <w:rPr>
                <w:rFonts w:cstheme="minorHAnsi"/>
                <w:sz w:val="18"/>
                <w:szCs w:val="18"/>
              </w:rPr>
            </w:pPr>
            <w:r w:rsidRPr="00BD3DF3">
              <w:rPr>
                <w:rFonts w:cstheme="minorHAnsi"/>
                <w:sz w:val="18"/>
                <w:szCs w:val="18"/>
              </w:rPr>
              <w:t xml:space="preserve">2.4 Cabinet approved a gender-sensitive </w:t>
            </w:r>
            <w:r w:rsidR="00F705A9" w:rsidRPr="00BD3DF3">
              <w:rPr>
                <w:rFonts w:cstheme="minorHAnsi"/>
                <w:sz w:val="18"/>
                <w:szCs w:val="18"/>
              </w:rPr>
              <w:t>labour</w:t>
            </w:r>
            <w:r w:rsidRPr="00BD3DF3">
              <w:rPr>
                <w:rFonts w:cstheme="minorHAnsi"/>
                <w:sz w:val="18"/>
                <w:szCs w:val="18"/>
              </w:rPr>
              <w:t xml:space="preserve"> mobility policy framework.</w:t>
            </w:r>
          </w:p>
        </w:tc>
        <w:tc>
          <w:tcPr>
            <w:tcW w:w="313" w:type="pct"/>
          </w:tcPr>
          <w:p w14:paraId="29DC3C24" w14:textId="6F91CC96" w:rsidR="00A17F5A" w:rsidRPr="00BD3DF3" w:rsidRDefault="00A17F5A" w:rsidP="00A17F5A">
            <w:pPr>
              <w:spacing w:before="0"/>
              <w:rPr>
                <w:rFonts w:cstheme="minorHAnsi"/>
                <w:sz w:val="18"/>
                <w:szCs w:val="18"/>
              </w:rPr>
            </w:pPr>
            <w:r w:rsidRPr="00BD3DF3">
              <w:rPr>
                <w:rFonts w:cstheme="minorHAnsi"/>
                <w:sz w:val="18"/>
                <w:szCs w:val="18"/>
              </w:rPr>
              <w:t>Explicit</w:t>
            </w:r>
          </w:p>
        </w:tc>
        <w:tc>
          <w:tcPr>
            <w:tcW w:w="456" w:type="pct"/>
          </w:tcPr>
          <w:p w14:paraId="00FC05C0" w14:textId="77777777" w:rsidR="00A17F5A" w:rsidRPr="00BD3DF3" w:rsidRDefault="00A17F5A" w:rsidP="00A17F5A">
            <w:pPr>
              <w:spacing w:before="0"/>
              <w:rPr>
                <w:rFonts w:cstheme="minorHAnsi"/>
                <w:sz w:val="18"/>
                <w:szCs w:val="18"/>
              </w:rPr>
            </w:pPr>
          </w:p>
        </w:tc>
      </w:tr>
    </w:tbl>
    <w:p w14:paraId="28CFAB6D" w14:textId="77777777" w:rsidR="00633A66" w:rsidRDefault="00633A66" w:rsidP="00960DFB">
      <w:pPr>
        <w:pStyle w:val="Heading1"/>
        <w:sectPr w:rsidR="00633A66" w:rsidSect="0068751E">
          <w:headerReference w:type="default" r:id="rId34"/>
          <w:footerReference w:type="default" r:id="rId35"/>
          <w:endnotePr>
            <w:numFmt w:val="decimal"/>
          </w:endnotePr>
          <w:pgSz w:w="15840" w:h="12240" w:orient="landscape" w:code="1"/>
          <w:pgMar w:top="1701" w:right="1134" w:bottom="1418" w:left="1134" w:header="1021" w:footer="482" w:gutter="0"/>
          <w:cols w:space="397"/>
          <w:docGrid w:linePitch="360"/>
        </w:sectPr>
      </w:pPr>
    </w:p>
    <w:p w14:paraId="1747BC06" w14:textId="75A2883A" w:rsidR="00960DFB" w:rsidRDefault="00960DFB" w:rsidP="00960DFB">
      <w:pPr>
        <w:pStyle w:val="Heading1"/>
      </w:pPr>
      <w:bookmarkStart w:id="87" w:name="_Toc108168336"/>
      <w:bookmarkStart w:id="88" w:name="_Toc120201432"/>
      <w:bookmarkStart w:id="89" w:name="_Toc120544539"/>
      <w:r>
        <w:lastRenderedPageBreak/>
        <w:t xml:space="preserve">Annex E Fiji </w:t>
      </w:r>
      <w:r w:rsidR="00EC1EB1">
        <w:t>case study</w:t>
      </w:r>
      <w:bookmarkEnd w:id="87"/>
      <w:bookmarkEnd w:id="88"/>
      <w:bookmarkEnd w:id="89"/>
    </w:p>
    <w:p w14:paraId="3604F2FE" w14:textId="1F58BA22" w:rsidR="00960DFB" w:rsidRDefault="00960DFB" w:rsidP="00F705A9">
      <w:pPr>
        <w:spacing w:after="120"/>
      </w:pPr>
      <w:r>
        <w:t xml:space="preserve">This annex summarises how recent </w:t>
      </w:r>
      <w:r w:rsidR="00AE2BE9">
        <w:t>ADB</w:t>
      </w:r>
      <w:r>
        <w:t xml:space="preserve"> and World Bank policy support operations for Fiji have incorporated gender and gender-responsive budgeting (GRB) concerns.</w:t>
      </w:r>
    </w:p>
    <w:p w14:paraId="76EAD8AE" w14:textId="42552737" w:rsidR="00960DFB" w:rsidRDefault="00960DFB" w:rsidP="00F705A9">
      <w:pPr>
        <w:spacing w:after="120"/>
      </w:pPr>
      <w:r>
        <w:t xml:space="preserve">As </w:t>
      </w:r>
      <w:r w:rsidR="00AE2BE9" w:rsidRPr="00AE2BE9">
        <w:rPr>
          <w:b/>
          <w:bCs/>
        </w:rPr>
        <w:t>T</w:t>
      </w:r>
      <w:r w:rsidRPr="00AE2BE9">
        <w:rPr>
          <w:b/>
          <w:bCs/>
        </w:rPr>
        <w:t>able E.1</w:t>
      </w:r>
      <w:r>
        <w:t xml:space="preserve"> shows, there has been a significant escalation of the treatment of gender equality in ADB and World Bank policy-based operations since 2016 when the first such operation was approved.</w:t>
      </w:r>
    </w:p>
    <w:p w14:paraId="2A878652" w14:textId="1F8A8633" w:rsidR="00960DFB" w:rsidRPr="00D529B7" w:rsidRDefault="00960DFB" w:rsidP="00AE2BE9">
      <w:pPr>
        <w:pStyle w:val="Heading4"/>
        <w:spacing w:after="120"/>
      </w:pPr>
      <w:r w:rsidRPr="00AE2BE9">
        <w:rPr>
          <w:b/>
          <w:bCs w:val="0"/>
        </w:rPr>
        <w:t>Table E.1</w:t>
      </w:r>
      <w:r w:rsidRPr="00D529B7">
        <w:t xml:space="preserve"> Gender and recent </w:t>
      </w:r>
      <w:r w:rsidR="009E3B87">
        <w:t>World Bank o</w:t>
      </w:r>
      <w:r w:rsidRPr="00D529B7">
        <w:t>perations</w:t>
      </w:r>
    </w:p>
    <w:tbl>
      <w:tblPr>
        <w:tblStyle w:val="TableGrid"/>
        <w:tblW w:w="5000" w:type="pct"/>
        <w:tblLook w:val="04A0" w:firstRow="1" w:lastRow="0" w:firstColumn="1" w:lastColumn="0" w:noHBand="0" w:noVBand="1"/>
      </w:tblPr>
      <w:tblGrid>
        <w:gridCol w:w="1323"/>
        <w:gridCol w:w="3917"/>
        <w:gridCol w:w="4722"/>
      </w:tblGrid>
      <w:tr w:rsidR="00960DFB" w14:paraId="34E7E159" w14:textId="77777777" w:rsidTr="00472197">
        <w:trPr>
          <w:trHeight w:val="20"/>
          <w:tblHeader/>
        </w:trPr>
        <w:tc>
          <w:tcPr>
            <w:tcW w:w="664" w:type="pct"/>
          </w:tcPr>
          <w:p w14:paraId="2C38BC0D" w14:textId="77777777" w:rsidR="00960DFB" w:rsidRPr="00F705A9" w:rsidRDefault="00960DFB" w:rsidP="00AE2BE9">
            <w:pPr>
              <w:spacing w:before="0"/>
              <w:rPr>
                <w:b/>
                <w:bCs/>
                <w:sz w:val="20"/>
                <w:szCs w:val="20"/>
              </w:rPr>
            </w:pPr>
            <w:r w:rsidRPr="00F705A9">
              <w:rPr>
                <w:b/>
                <w:bCs/>
                <w:sz w:val="20"/>
                <w:szCs w:val="20"/>
              </w:rPr>
              <w:t>Year</w:t>
            </w:r>
          </w:p>
        </w:tc>
        <w:tc>
          <w:tcPr>
            <w:tcW w:w="1966" w:type="pct"/>
            <w:tcBorders>
              <w:bottom w:val="single" w:sz="4" w:space="0" w:color="auto"/>
            </w:tcBorders>
          </w:tcPr>
          <w:p w14:paraId="17930469" w14:textId="77777777" w:rsidR="00960DFB" w:rsidRPr="00F705A9" w:rsidRDefault="00960DFB" w:rsidP="00AE2BE9">
            <w:pPr>
              <w:spacing w:before="0"/>
              <w:rPr>
                <w:b/>
                <w:bCs/>
                <w:sz w:val="20"/>
                <w:szCs w:val="20"/>
              </w:rPr>
            </w:pPr>
            <w:r w:rsidRPr="00F705A9">
              <w:rPr>
                <w:b/>
                <w:bCs/>
                <w:sz w:val="20"/>
                <w:szCs w:val="20"/>
              </w:rPr>
              <w:t>Operation</w:t>
            </w:r>
          </w:p>
        </w:tc>
        <w:tc>
          <w:tcPr>
            <w:tcW w:w="2370" w:type="pct"/>
          </w:tcPr>
          <w:p w14:paraId="7E1CE0C5" w14:textId="77777777" w:rsidR="00960DFB" w:rsidRPr="00F705A9" w:rsidRDefault="00960DFB" w:rsidP="00AE2BE9">
            <w:pPr>
              <w:spacing w:before="0"/>
              <w:rPr>
                <w:b/>
                <w:bCs/>
                <w:sz w:val="20"/>
                <w:szCs w:val="20"/>
              </w:rPr>
            </w:pPr>
            <w:r w:rsidRPr="00F705A9">
              <w:rPr>
                <w:b/>
                <w:bCs/>
                <w:sz w:val="20"/>
                <w:szCs w:val="20"/>
              </w:rPr>
              <w:t>Gender content</w:t>
            </w:r>
          </w:p>
        </w:tc>
      </w:tr>
      <w:tr w:rsidR="00960DFB" w14:paraId="670D474E" w14:textId="77777777" w:rsidTr="00472197">
        <w:trPr>
          <w:trHeight w:val="20"/>
        </w:trPr>
        <w:tc>
          <w:tcPr>
            <w:tcW w:w="664" w:type="pct"/>
          </w:tcPr>
          <w:p w14:paraId="2B2784D6" w14:textId="77777777" w:rsidR="00960DFB" w:rsidRPr="00F705A9" w:rsidRDefault="00960DFB" w:rsidP="00AE2BE9">
            <w:pPr>
              <w:spacing w:before="0"/>
              <w:rPr>
                <w:sz w:val="20"/>
                <w:szCs w:val="20"/>
              </w:rPr>
            </w:pPr>
            <w:r w:rsidRPr="00F705A9">
              <w:rPr>
                <w:sz w:val="20"/>
                <w:szCs w:val="20"/>
              </w:rPr>
              <w:t>2016</w:t>
            </w:r>
          </w:p>
        </w:tc>
        <w:tc>
          <w:tcPr>
            <w:tcW w:w="1966" w:type="pct"/>
          </w:tcPr>
          <w:p w14:paraId="261FCCC7" w14:textId="77777777" w:rsidR="00960DFB" w:rsidRPr="00F705A9" w:rsidRDefault="00960DFB" w:rsidP="00AE2BE9">
            <w:pPr>
              <w:spacing w:before="0"/>
              <w:rPr>
                <w:sz w:val="20"/>
                <w:szCs w:val="20"/>
              </w:rPr>
            </w:pPr>
            <w:r w:rsidRPr="00F705A9">
              <w:rPr>
                <w:sz w:val="20"/>
                <w:szCs w:val="20"/>
              </w:rPr>
              <w:t>Post-Cyclone Winston Emergency Development Policy Loan</w:t>
            </w:r>
          </w:p>
        </w:tc>
        <w:tc>
          <w:tcPr>
            <w:tcW w:w="2370" w:type="pct"/>
          </w:tcPr>
          <w:p w14:paraId="2CFFA943" w14:textId="77777777" w:rsidR="00960DFB" w:rsidRPr="00F705A9" w:rsidRDefault="00960DFB" w:rsidP="00AE2BE9">
            <w:pPr>
              <w:spacing w:before="0"/>
              <w:rPr>
                <w:sz w:val="20"/>
                <w:szCs w:val="20"/>
              </w:rPr>
            </w:pPr>
            <w:r w:rsidRPr="00F705A9">
              <w:rPr>
                <w:sz w:val="20"/>
                <w:szCs w:val="20"/>
              </w:rPr>
              <w:t>Minimal – some gender disaggregation of results</w:t>
            </w:r>
          </w:p>
        </w:tc>
      </w:tr>
      <w:tr w:rsidR="00960DFB" w14:paraId="01A98708" w14:textId="77777777" w:rsidTr="00472197">
        <w:trPr>
          <w:trHeight w:val="20"/>
        </w:trPr>
        <w:tc>
          <w:tcPr>
            <w:tcW w:w="664" w:type="pct"/>
          </w:tcPr>
          <w:p w14:paraId="03755E9F" w14:textId="77777777" w:rsidR="00960DFB" w:rsidRPr="00F705A9" w:rsidRDefault="00960DFB" w:rsidP="00AE2BE9">
            <w:pPr>
              <w:spacing w:before="0"/>
              <w:rPr>
                <w:sz w:val="20"/>
                <w:szCs w:val="20"/>
              </w:rPr>
            </w:pPr>
            <w:r w:rsidRPr="00F705A9">
              <w:rPr>
                <w:sz w:val="20"/>
                <w:szCs w:val="20"/>
              </w:rPr>
              <w:t>2018</w:t>
            </w:r>
          </w:p>
        </w:tc>
        <w:tc>
          <w:tcPr>
            <w:tcW w:w="1966" w:type="pct"/>
          </w:tcPr>
          <w:p w14:paraId="48BBA0B9" w14:textId="77777777" w:rsidR="00960DFB" w:rsidRPr="00F705A9" w:rsidRDefault="00960DFB" w:rsidP="00AE2BE9">
            <w:pPr>
              <w:spacing w:before="0"/>
              <w:rPr>
                <w:sz w:val="20"/>
                <w:szCs w:val="20"/>
              </w:rPr>
            </w:pPr>
            <w:r w:rsidRPr="00F705A9">
              <w:rPr>
                <w:sz w:val="20"/>
                <w:szCs w:val="20"/>
              </w:rPr>
              <w:t>Fiscal Sustainability and Climate Resilience Development Policy Loan – US$ 15 million</w:t>
            </w:r>
          </w:p>
        </w:tc>
        <w:tc>
          <w:tcPr>
            <w:tcW w:w="2370" w:type="pct"/>
          </w:tcPr>
          <w:p w14:paraId="6111C46D" w14:textId="77777777" w:rsidR="00960DFB" w:rsidRPr="00F705A9" w:rsidRDefault="00960DFB" w:rsidP="00AE2BE9">
            <w:pPr>
              <w:spacing w:before="0"/>
              <w:rPr>
                <w:sz w:val="20"/>
                <w:szCs w:val="20"/>
              </w:rPr>
            </w:pPr>
            <w:r w:rsidRPr="00F705A9">
              <w:rPr>
                <w:sz w:val="20"/>
                <w:szCs w:val="20"/>
              </w:rPr>
              <w:t>Minimal – consideration of gender impacts of tax reform, no relevant actions</w:t>
            </w:r>
          </w:p>
        </w:tc>
      </w:tr>
      <w:tr w:rsidR="00960DFB" w14:paraId="16C7F5A0" w14:textId="77777777" w:rsidTr="00472197">
        <w:trPr>
          <w:trHeight w:val="20"/>
        </w:trPr>
        <w:tc>
          <w:tcPr>
            <w:tcW w:w="664" w:type="pct"/>
          </w:tcPr>
          <w:p w14:paraId="5FADF3EE" w14:textId="77777777" w:rsidR="00960DFB" w:rsidRPr="00F705A9" w:rsidRDefault="00960DFB" w:rsidP="00AE2BE9">
            <w:pPr>
              <w:spacing w:before="0"/>
              <w:rPr>
                <w:sz w:val="20"/>
                <w:szCs w:val="20"/>
              </w:rPr>
            </w:pPr>
            <w:r w:rsidRPr="00F705A9">
              <w:rPr>
                <w:sz w:val="20"/>
                <w:szCs w:val="20"/>
              </w:rPr>
              <w:t>2019</w:t>
            </w:r>
          </w:p>
        </w:tc>
        <w:tc>
          <w:tcPr>
            <w:tcW w:w="1966" w:type="pct"/>
          </w:tcPr>
          <w:p w14:paraId="2F73C9E1" w14:textId="77777777" w:rsidR="00960DFB" w:rsidRPr="00F705A9" w:rsidRDefault="00960DFB" w:rsidP="00AE2BE9">
            <w:pPr>
              <w:spacing w:before="0"/>
              <w:rPr>
                <w:sz w:val="20"/>
                <w:szCs w:val="20"/>
              </w:rPr>
            </w:pPr>
            <w:r w:rsidRPr="00F705A9">
              <w:rPr>
                <w:sz w:val="20"/>
                <w:szCs w:val="20"/>
              </w:rPr>
              <w:t>Second Fiscal Sustainability and Climate Resilience Development Policy Loan – US$ 35 million</w:t>
            </w:r>
          </w:p>
        </w:tc>
        <w:tc>
          <w:tcPr>
            <w:tcW w:w="2370" w:type="pct"/>
          </w:tcPr>
          <w:p w14:paraId="08148892" w14:textId="77777777" w:rsidR="00960DFB" w:rsidRPr="00F705A9" w:rsidRDefault="00960DFB" w:rsidP="00AE2BE9">
            <w:pPr>
              <w:spacing w:before="0"/>
              <w:rPr>
                <w:sz w:val="20"/>
                <w:szCs w:val="20"/>
              </w:rPr>
            </w:pPr>
            <w:r w:rsidRPr="00F705A9">
              <w:rPr>
                <w:sz w:val="20"/>
                <w:szCs w:val="20"/>
              </w:rPr>
              <w:t xml:space="preserve">A ‘category 2 gender program, with potential to positively impact on gender inequality and </w:t>
            </w:r>
            <w:proofErr w:type="gramStart"/>
            <w:r w:rsidRPr="00F705A9">
              <w:rPr>
                <w:sz w:val="20"/>
                <w:szCs w:val="20"/>
              </w:rPr>
              <w:t>biases’</w:t>
            </w:r>
            <w:proofErr w:type="gramEnd"/>
            <w:r w:rsidRPr="00F705A9">
              <w:rPr>
                <w:sz w:val="20"/>
                <w:szCs w:val="20"/>
              </w:rPr>
              <w:t>. Supported by a gender analysis annex. Limited direct gender-focused actions, some gender-related results targets</w:t>
            </w:r>
          </w:p>
        </w:tc>
      </w:tr>
      <w:tr w:rsidR="00960DFB" w14:paraId="72E99FD0" w14:textId="77777777" w:rsidTr="00472197">
        <w:trPr>
          <w:trHeight w:val="20"/>
        </w:trPr>
        <w:tc>
          <w:tcPr>
            <w:tcW w:w="664" w:type="pct"/>
            <w:tcBorders>
              <w:bottom w:val="single" w:sz="4" w:space="0" w:color="auto"/>
            </w:tcBorders>
          </w:tcPr>
          <w:p w14:paraId="1026B187" w14:textId="77777777" w:rsidR="00960DFB" w:rsidRPr="00F705A9" w:rsidRDefault="00960DFB" w:rsidP="00AE2BE9">
            <w:pPr>
              <w:spacing w:before="0"/>
              <w:rPr>
                <w:sz w:val="20"/>
                <w:szCs w:val="20"/>
              </w:rPr>
            </w:pPr>
            <w:r w:rsidRPr="00F705A9">
              <w:rPr>
                <w:sz w:val="20"/>
                <w:szCs w:val="20"/>
              </w:rPr>
              <w:t>2020</w:t>
            </w:r>
          </w:p>
        </w:tc>
        <w:tc>
          <w:tcPr>
            <w:tcW w:w="1966" w:type="pct"/>
          </w:tcPr>
          <w:p w14:paraId="37753693" w14:textId="77777777" w:rsidR="00960DFB" w:rsidRPr="00F705A9" w:rsidRDefault="00960DFB" w:rsidP="00AE2BE9">
            <w:pPr>
              <w:spacing w:before="0"/>
              <w:rPr>
                <w:sz w:val="20"/>
                <w:szCs w:val="20"/>
              </w:rPr>
            </w:pPr>
            <w:r w:rsidRPr="00F705A9">
              <w:rPr>
                <w:sz w:val="20"/>
                <w:szCs w:val="20"/>
              </w:rPr>
              <w:t>Recovery and Resilience First Development Policy Operation with a Catastrophe-deferred Drawdown option – up to US145 million</w:t>
            </w:r>
          </w:p>
        </w:tc>
        <w:tc>
          <w:tcPr>
            <w:tcW w:w="2370" w:type="pct"/>
            <w:tcBorders>
              <w:bottom w:val="single" w:sz="4" w:space="0" w:color="auto"/>
            </w:tcBorders>
          </w:tcPr>
          <w:p w14:paraId="26BB7787" w14:textId="77777777" w:rsidR="00960DFB" w:rsidRPr="00F705A9" w:rsidRDefault="00960DFB" w:rsidP="00AE2BE9">
            <w:pPr>
              <w:spacing w:before="0"/>
              <w:rPr>
                <w:sz w:val="20"/>
                <w:szCs w:val="20"/>
              </w:rPr>
            </w:pPr>
            <w:r w:rsidRPr="00F705A9">
              <w:rPr>
                <w:sz w:val="20"/>
                <w:szCs w:val="20"/>
              </w:rPr>
              <w:t>Prior Action on GRB: application of GRB principles in FY2020-21 budget process with respect to 2 Ministries</w:t>
            </w:r>
          </w:p>
          <w:p w14:paraId="00E52C85" w14:textId="77777777" w:rsidR="00960DFB" w:rsidRPr="00F705A9" w:rsidRDefault="00960DFB" w:rsidP="00AE2BE9">
            <w:pPr>
              <w:spacing w:before="0"/>
              <w:rPr>
                <w:sz w:val="20"/>
                <w:szCs w:val="20"/>
              </w:rPr>
            </w:pPr>
            <w:r w:rsidRPr="00F705A9">
              <w:rPr>
                <w:sz w:val="20"/>
                <w:szCs w:val="20"/>
              </w:rPr>
              <w:t>Supported by Annex on WEE and GRB</w:t>
            </w:r>
          </w:p>
        </w:tc>
      </w:tr>
    </w:tbl>
    <w:p w14:paraId="776F0F2C" w14:textId="204B1118" w:rsidR="00472197" w:rsidRDefault="00472197" w:rsidP="00472197">
      <w:pPr>
        <w:pStyle w:val="Heading4"/>
        <w:spacing w:after="120"/>
      </w:pPr>
      <w:r w:rsidRPr="00AE2BE9">
        <w:rPr>
          <w:b/>
          <w:bCs w:val="0"/>
        </w:rPr>
        <w:t>Table E.</w:t>
      </w:r>
      <w:r>
        <w:rPr>
          <w:b/>
          <w:bCs w:val="0"/>
        </w:rPr>
        <w:t>2</w:t>
      </w:r>
      <w:r w:rsidRPr="00D529B7">
        <w:t xml:space="preserve"> Gender and recent </w:t>
      </w:r>
      <w:r>
        <w:t>ADB</w:t>
      </w:r>
      <w:r w:rsidRPr="00D529B7">
        <w:t xml:space="preserve"> </w:t>
      </w:r>
      <w:r>
        <w:t>o</w:t>
      </w:r>
      <w:r w:rsidRPr="00D529B7">
        <w:t>perations</w:t>
      </w:r>
    </w:p>
    <w:tbl>
      <w:tblPr>
        <w:tblStyle w:val="TableGrid"/>
        <w:tblW w:w="5000" w:type="pct"/>
        <w:tblLook w:val="04A0" w:firstRow="1" w:lastRow="0" w:firstColumn="1" w:lastColumn="0" w:noHBand="0" w:noVBand="1"/>
      </w:tblPr>
      <w:tblGrid>
        <w:gridCol w:w="1323"/>
        <w:gridCol w:w="3917"/>
        <w:gridCol w:w="4722"/>
      </w:tblGrid>
      <w:tr w:rsidR="00472197" w14:paraId="05F2FDC4" w14:textId="77777777" w:rsidTr="00472197">
        <w:trPr>
          <w:trHeight w:val="170"/>
          <w:tblHeader/>
        </w:trPr>
        <w:tc>
          <w:tcPr>
            <w:tcW w:w="664" w:type="pct"/>
          </w:tcPr>
          <w:p w14:paraId="751C53D5" w14:textId="77777777" w:rsidR="00472197" w:rsidRPr="00F705A9" w:rsidRDefault="00472197" w:rsidP="00F844C8">
            <w:pPr>
              <w:spacing w:before="0"/>
              <w:rPr>
                <w:b/>
                <w:bCs/>
                <w:sz w:val="20"/>
                <w:szCs w:val="20"/>
              </w:rPr>
            </w:pPr>
            <w:r w:rsidRPr="00F705A9">
              <w:rPr>
                <w:b/>
                <w:bCs/>
                <w:sz w:val="20"/>
                <w:szCs w:val="20"/>
              </w:rPr>
              <w:t>Year</w:t>
            </w:r>
          </w:p>
        </w:tc>
        <w:tc>
          <w:tcPr>
            <w:tcW w:w="1966" w:type="pct"/>
            <w:tcBorders>
              <w:bottom w:val="single" w:sz="4" w:space="0" w:color="auto"/>
            </w:tcBorders>
          </w:tcPr>
          <w:p w14:paraId="5AC90F22" w14:textId="77777777" w:rsidR="00472197" w:rsidRPr="00F705A9" w:rsidRDefault="00472197" w:rsidP="00F844C8">
            <w:pPr>
              <w:spacing w:before="0"/>
              <w:rPr>
                <w:b/>
                <w:bCs/>
                <w:sz w:val="20"/>
                <w:szCs w:val="20"/>
              </w:rPr>
            </w:pPr>
            <w:r w:rsidRPr="00F705A9">
              <w:rPr>
                <w:b/>
                <w:bCs/>
                <w:sz w:val="20"/>
                <w:szCs w:val="20"/>
              </w:rPr>
              <w:t>Operation</w:t>
            </w:r>
          </w:p>
        </w:tc>
        <w:tc>
          <w:tcPr>
            <w:tcW w:w="2370" w:type="pct"/>
          </w:tcPr>
          <w:p w14:paraId="6E5675D2" w14:textId="77777777" w:rsidR="00472197" w:rsidRPr="00F705A9" w:rsidRDefault="00472197" w:rsidP="00F844C8">
            <w:pPr>
              <w:spacing w:before="0"/>
              <w:rPr>
                <w:b/>
                <w:bCs/>
                <w:sz w:val="20"/>
                <w:szCs w:val="20"/>
              </w:rPr>
            </w:pPr>
            <w:r w:rsidRPr="00F705A9">
              <w:rPr>
                <w:b/>
                <w:bCs/>
                <w:sz w:val="20"/>
                <w:szCs w:val="20"/>
              </w:rPr>
              <w:t>Gender content</w:t>
            </w:r>
          </w:p>
        </w:tc>
      </w:tr>
      <w:tr w:rsidR="00472197" w14:paraId="60EFE440" w14:textId="77777777" w:rsidTr="00472197">
        <w:trPr>
          <w:trHeight w:val="170"/>
        </w:trPr>
        <w:tc>
          <w:tcPr>
            <w:tcW w:w="664" w:type="pct"/>
          </w:tcPr>
          <w:p w14:paraId="44C3A72B" w14:textId="77777777" w:rsidR="00472197" w:rsidRPr="00F705A9" w:rsidRDefault="00472197" w:rsidP="00F844C8">
            <w:pPr>
              <w:spacing w:before="0"/>
              <w:rPr>
                <w:sz w:val="20"/>
                <w:szCs w:val="20"/>
              </w:rPr>
            </w:pPr>
            <w:r w:rsidRPr="00F705A9">
              <w:rPr>
                <w:sz w:val="20"/>
                <w:szCs w:val="20"/>
              </w:rPr>
              <w:t>2018</w:t>
            </w:r>
          </w:p>
        </w:tc>
        <w:tc>
          <w:tcPr>
            <w:tcW w:w="1966" w:type="pct"/>
          </w:tcPr>
          <w:p w14:paraId="20F0EB00" w14:textId="77777777" w:rsidR="00472197" w:rsidRPr="00F705A9" w:rsidRDefault="00472197" w:rsidP="00F844C8">
            <w:pPr>
              <w:spacing w:before="0"/>
              <w:rPr>
                <w:sz w:val="20"/>
                <w:szCs w:val="20"/>
              </w:rPr>
            </w:pPr>
            <w:r w:rsidRPr="00F705A9">
              <w:rPr>
                <w:sz w:val="20"/>
                <w:szCs w:val="20"/>
              </w:rPr>
              <w:t>Sustained Private Sector-Led Growth Reform Program Policy Based Loan for Subprogram 1 (US$15 million)</w:t>
            </w:r>
          </w:p>
        </w:tc>
        <w:tc>
          <w:tcPr>
            <w:tcW w:w="2370" w:type="pct"/>
          </w:tcPr>
          <w:p w14:paraId="55741253" w14:textId="77777777" w:rsidR="00472197" w:rsidRPr="00F705A9" w:rsidRDefault="00472197" w:rsidP="00F844C8">
            <w:pPr>
              <w:spacing w:before="0"/>
              <w:rPr>
                <w:sz w:val="20"/>
                <w:szCs w:val="20"/>
              </w:rPr>
            </w:pPr>
            <w:r w:rsidRPr="00F705A9">
              <w:rPr>
                <w:sz w:val="20"/>
                <w:szCs w:val="20"/>
              </w:rPr>
              <w:t>No gender elements</w:t>
            </w:r>
          </w:p>
        </w:tc>
      </w:tr>
      <w:tr w:rsidR="00472197" w14:paraId="0AF149A3" w14:textId="77777777" w:rsidTr="00472197">
        <w:trPr>
          <w:trHeight w:val="170"/>
        </w:trPr>
        <w:tc>
          <w:tcPr>
            <w:tcW w:w="664" w:type="pct"/>
          </w:tcPr>
          <w:p w14:paraId="6E144CE1" w14:textId="77777777" w:rsidR="00472197" w:rsidRPr="00F705A9" w:rsidRDefault="00472197" w:rsidP="00F844C8">
            <w:pPr>
              <w:spacing w:before="0"/>
              <w:rPr>
                <w:sz w:val="20"/>
                <w:szCs w:val="20"/>
              </w:rPr>
            </w:pPr>
            <w:r w:rsidRPr="00F705A9">
              <w:rPr>
                <w:sz w:val="20"/>
                <w:szCs w:val="20"/>
              </w:rPr>
              <w:t>2019</w:t>
            </w:r>
          </w:p>
        </w:tc>
        <w:tc>
          <w:tcPr>
            <w:tcW w:w="1966" w:type="pct"/>
          </w:tcPr>
          <w:p w14:paraId="1BD64794" w14:textId="77777777" w:rsidR="00472197" w:rsidRPr="00F705A9" w:rsidRDefault="00472197" w:rsidP="00F844C8">
            <w:pPr>
              <w:spacing w:before="0"/>
              <w:rPr>
                <w:sz w:val="20"/>
                <w:szCs w:val="20"/>
              </w:rPr>
            </w:pPr>
            <w:r w:rsidRPr="00F705A9">
              <w:rPr>
                <w:sz w:val="20"/>
                <w:szCs w:val="20"/>
              </w:rPr>
              <w:t>Sustained Private Sector-Led Growth Reform Program Policy Based Loan for Subprogram 2 (US$65 million)</w:t>
            </w:r>
          </w:p>
        </w:tc>
        <w:tc>
          <w:tcPr>
            <w:tcW w:w="2370" w:type="pct"/>
          </w:tcPr>
          <w:p w14:paraId="0684CBB7" w14:textId="77777777" w:rsidR="00472197" w:rsidRPr="00F705A9" w:rsidRDefault="00472197" w:rsidP="00F844C8">
            <w:pPr>
              <w:spacing w:before="0"/>
              <w:rPr>
                <w:sz w:val="20"/>
                <w:szCs w:val="20"/>
              </w:rPr>
            </w:pPr>
            <w:r w:rsidRPr="00F705A9">
              <w:rPr>
                <w:sz w:val="20"/>
                <w:szCs w:val="20"/>
              </w:rPr>
              <w:t>Classified as ‘effective gender mainstreaming’</w:t>
            </w:r>
          </w:p>
          <w:p w14:paraId="2F87E1E1" w14:textId="77777777" w:rsidR="00472197" w:rsidRPr="00F705A9" w:rsidRDefault="00472197" w:rsidP="00F844C8">
            <w:pPr>
              <w:spacing w:before="0"/>
              <w:rPr>
                <w:sz w:val="20"/>
                <w:szCs w:val="20"/>
              </w:rPr>
            </w:pPr>
            <w:r w:rsidRPr="00F705A9">
              <w:rPr>
                <w:sz w:val="20"/>
                <w:szCs w:val="20"/>
              </w:rPr>
              <w:t>Some WEE policy actions, including extending maternity leave requirement for open consultation and gender analysis for all legislation covered by the subprogram.</w:t>
            </w:r>
          </w:p>
        </w:tc>
      </w:tr>
      <w:tr w:rsidR="00472197" w14:paraId="6CFB7B2B" w14:textId="77777777" w:rsidTr="00472197">
        <w:trPr>
          <w:trHeight w:val="170"/>
        </w:trPr>
        <w:tc>
          <w:tcPr>
            <w:tcW w:w="664" w:type="pct"/>
          </w:tcPr>
          <w:p w14:paraId="65A29DF9" w14:textId="77777777" w:rsidR="00472197" w:rsidRPr="00F705A9" w:rsidRDefault="00472197" w:rsidP="00F844C8">
            <w:pPr>
              <w:spacing w:before="0"/>
              <w:rPr>
                <w:sz w:val="20"/>
                <w:szCs w:val="20"/>
              </w:rPr>
            </w:pPr>
            <w:r w:rsidRPr="00F705A9">
              <w:rPr>
                <w:sz w:val="20"/>
                <w:szCs w:val="20"/>
              </w:rPr>
              <w:t>2020</w:t>
            </w:r>
          </w:p>
        </w:tc>
        <w:tc>
          <w:tcPr>
            <w:tcW w:w="1966" w:type="pct"/>
          </w:tcPr>
          <w:p w14:paraId="2A93364B" w14:textId="77777777" w:rsidR="00472197" w:rsidRPr="00F705A9" w:rsidRDefault="00472197" w:rsidP="00F844C8">
            <w:pPr>
              <w:spacing w:before="0"/>
              <w:rPr>
                <w:sz w:val="20"/>
                <w:szCs w:val="20"/>
              </w:rPr>
            </w:pPr>
            <w:r w:rsidRPr="00F705A9">
              <w:rPr>
                <w:sz w:val="20"/>
                <w:szCs w:val="20"/>
              </w:rPr>
              <w:t>Sustained Private Sector-Led Growth Reform Program Policy Based Loan for Subprogram 3 (US$200 million)</w:t>
            </w:r>
          </w:p>
        </w:tc>
        <w:tc>
          <w:tcPr>
            <w:tcW w:w="2370" w:type="pct"/>
          </w:tcPr>
          <w:p w14:paraId="6C96B71B" w14:textId="77777777" w:rsidR="00472197" w:rsidRPr="00F705A9" w:rsidRDefault="00472197" w:rsidP="00F844C8">
            <w:pPr>
              <w:spacing w:before="0"/>
              <w:rPr>
                <w:sz w:val="20"/>
                <w:szCs w:val="20"/>
              </w:rPr>
            </w:pPr>
            <w:r w:rsidRPr="00F705A9">
              <w:rPr>
                <w:sz w:val="20"/>
                <w:szCs w:val="20"/>
              </w:rPr>
              <w:t xml:space="preserve">Classified as a ‘gender equity themed program. Includes </w:t>
            </w:r>
            <w:proofErr w:type="gramStart"/>
            <w:r w:rsidRPr="00F705A9">
              <w:rPr>
                <w:sz w:val="20"/>
                <w:szCs w:val="20"/>
              </w:rPr>
              <w:t>a number of</w:t>
            </w:r>
            <w:proofErr w:type="gramEnd"/>
            <w:r w:rsidRPr="00F705A9">
              <w:rPr>
                <w:sz w:val="20"/>
                <w:szCs w:val="20"/>
              </w:rPr>
              <w:t xml:space="preserve"> gender specific actions including support for women owned SMES, cash transfers to informal workers, guidance note on gendered impacts of COVID-19, establishment of a COVID-19 Gender Working Group, a range of actions to introduce GRB – including preparation of a budget submission template and a pilot with 2 Ministries making submissions for at least 2 programs in line with the new methodology.</w:t>
            </w:r>
          </w:p>
        </w:tc>
      </w:tr>
      <w:tr w:rsidR="00472197" w14:paraId="512D8AF0" w14:textId="77777777" w:rsidTr="00472197">
        <w:trPr>
          <w:trHeight w:val="170"/>
        </w:trPr>
        <w:tc>
          <w:tcPr>
            <w:tcW w:w="664" w:type="pct"/>
          </w:tcPr>
          <w:p w14:paraId="06B12446" w14:textId="77777777" w:rsidR="00472197" w:rsidRPr="00F705A9" w:rsidRDefault="00472197" w:rsidP="00F844C8">
            <w:pPr>
              <w:spacing w:before="0"/>
              <w:rPr>
                <w:sz w:val="20"/>
                <w:szCs w:val="20"/>
              </w:rPr>
            </w:pPr>
            <w:r w:rsidRPr="00F705A9">
              <w:rPr>
                <w:sz w:val="20"/>
                <w:szCs w:val="20"/>
              </w:rPr>
              <w:t>2021</w:t>
            </w:r>
          </w:p>
        </w:tc>
        <w:tc>
          <w:tcPr>
            <w:tcW w:w="1966" w:type="pct"/>
          </w:tcPr>
          <w:p w14:paraId="54C94A73" w14:textId="77777777" w:rsidR="00472197" w:rsidRPr="00F705A9" w:rsidRDefault="00472197" w:rsidP="00F844C8">
            <w:pPr>
              <w:spacing w:before="0"/>
              <w:rPr>
                <w:sz w:val="20"/>
                <w:szCs w:val="20"/>
              </w:rPr>
            </w:pPr>
            <w:r w:rsidRPr="00F705A9">
              <w:rPr>
                <w:sz w:val="20"/>
                <w:szCs w:val="20"/>
              </w:rPr>
              <w:t>Proposed operation</w:t>
            </w:r>
          </w:p>
        </w:tc>
        <w:tc>
          <w:tcPr>
            <w:tcW w:w="2370" w:type="pct"/>
          </w:tcPr>
          <w:p w14:paraId="493A0062" w14:textId="77777777" w:rsidR="00472197" w:rsidRPr="00F705A9" w:rsidRDefault="00472197" w:rsidP="00F844C8">
            <w:pPr>
              <w:spacing w:before="0"/>
              <w:rPr>
                <w:sz w:val="20"/>
                <w:szCs w:val="20"/>
              </w:rPr>
            </w:pPr>
            <w:r w:rsidRPr="00F705A9">
              <w:rPr>
                <w:sz w:val="20"/>
                <w:szCs w:val="20"/>
              </w:rPr>
              <w:t>GRB pilot extended to 7 ministries and 14 programs, and implementation of a gender-responsive social assistance policy.</w:t>
            </w:r>
          </w:p>
        </w:tc>
      </w:tr>
    </w:tbl>
    <w:p w14:paraId="258CFF62" w14:textId="03FC0C43" w:rsidR="00960DFB" w:rsidRDefault="00960DFB" w:rsidP="00F705A9">
      <w:pPr>
        <w:spacing w:after="120"/>
      </w:pPr>
      <w:r>
        <w:t xml:space="preserve">The World Bank’s first policy operation in Fiji was an emergency operation to help address the impacts of Tropical Cyclone Winston. It had no gender components in the policy matrix and made no mention of gendered impacts in the program document. </w:t>
      </w:r>
    </w:p>
    <w:p w14:paraId="2D2E09C0" w14:textId="77777777" w:rsidR="00960DFB" w:rsidRDefault="00960DFB" w:rsidP="00F705A9">
      <w:pPr>
        <w:spacing w:after="120"/>
      </w:pPr>
      <w:r>
        <w:t xml:space="preserve">The ADB’s first policy-based operation in Fiji was a subprogram of a 3-year programmatic approach, approved in 2018. Its policy matrix included no gender related actions. The policy program was developed in parallel with the </w:t>
      </w:r>
      <w:r>
        <w:lastRenderedPageBreak/>
        <w:t xml:space="preserve">World Bank and in close consultation with other development partners (especially DFAT) that co-financed the operations, using a shared policy reform framework. The two Banks’ operations shared some policy actions. </w:t>
      </w:r>
    </w:p>
    <w:p w14:paraId="5A38D899" w14:textId="77777777" w:rsidR="00960DFB" w:rsidRDefault="00960DFB" w:rsidP="00F705A9">
      <w:pPr>
        <w:spacing w:after="120"/>
      </w:pPr>
      <w:r>
        <w:t xml:space="preserve">This parallel development continued with two more operations from each Bank. The treatment of gender (and gender-responsive budgeting in particular) expanded considerably over time, culminating in </w:t>
      </w:r>
      <w:proofErr w:type="gramStart"/>
      <w:r>
        <w:t>a fairly extensive</w:t>
      </w:r>
      <w:proofErr w:type="gramEnd"/>
      <w:r>
        <w:t xml:space="preserve"> treatment in the recently completed operations. </w:t>
      </w:r>
      <w:r w:rsidRPr="009E3B87">
        <w:rPr>
          <w:b/>
          <w:bCs/>
        </w:rPr>
        <w:t>Table E.2</w:t>
      </w:r>
      <w:r>
        <w:t xml:space="preserve"> gives a sense of the depth and reach of gender equality concerns addressed in the policy matrix for the ADB’s  2020 operation.</w:t>
      </w:r>
    </w:p>
    <w:p w14:paraId="51DA5B38" w14:textId="6F7CFB57" w:rsidR="00960DFB" w:rsidRDefault="00960DFB" w:rsidP="00F705A9">
      <w:pPr>
        <w:pStyle w:val="Heading4"/>
        <w:spacing w:after="120"/>
      </w:pPr>
      <w:r w:rsidRPr="008E63DC">
        <w:rPr>
          <w:b/>
          <w:bCs w:val="0"/>
        </w:rPr>
        <w:t>Table E.2</w:t>
      </w:r>
      <w:r>
        <w:t xml:space="preserve"> Gender actions in ADB’s 2020 development policy loan</w:t>
      </w:r>
      <w:r w:rsidR="005B61C3">
        <w:t xml:space="preserve"> to Fiji</w:t>
      </w:r>
    </w:p>
    <w:tbl>
      <w:tblPr>
        <w:tblStyle w:val="TableGrid"/>
        <w:tblW w:w="5000" w:type="pct"/>
        <w:tblLook w:val="04A0" w:firstRow="1" w:lastRow="0" w:firstColumn="1" w:lastColumn="0" w:noHBand="0" w:noVBand="1"/>
      </w:tblPr>
      <w:tblGrid>
        <w:gridCol w:w="1626"/>
        <w:gridCol w:w="8336"/>
      </w:tblGrid>
      <w:tr w:rsidR="00960DFB" w:rsidRPr="008E63DC" w14:paraId="0E9913F0" w14:textId="77777777" w:rsidTr="00176635">
        <w:trPr>
          <w:tblHeader/>
        </w:trPr>
        <w:tc>
          <w:tcPr>
            <w:tcW w:w="816" w:type="pct"/>
          </w:tcPr>
          <w:p w14:paraId="40EA53ED" w14:textId="77777777" w:rsidR="00960DFB" w:rsidRPr="00176635" w:rsidRDefault="00960DFB" w:rsidP="008E63DC">
            <w:pPr>
              <w:spacing w:before="0"/>
              <w:rPr>
                <w:b/>
                <w:bCs/>
                <w:sz w:val="20"/>
                <w:szCs w:val="20"/>
              </w:rPr>
            </w:pPr>
            <w:r w:rsidRPr="00176635">
              <w:rPr>
                <w:b/>
                <w:bCs/>
                <w:sz w:val="20"/>
                <w:szCs w:val="20"/>
              </w:rPr>
              <w:t>Reform Area</w:t>
            </w:r>
          </w:p>
        </w:tc>
        <w:tc>
          <w:tcPr>
            <w:tcW w:w="4184" w:type="pct"/>
          </w:tcPr>
          <w:p w14:paraId="78A28A1B" w14:textId="77777777" w:rsidR="00960DFB" w:rsidRPr="00176635" w:rsidRDefault="00960DFB" w:rsidP="008E63DC">
            <w:pPr>
              <w:spacing w:before="0"/>
              <w:rPr>
                <w:b/>
                <w:bCs/>
                <w:sz w:val="20"/>
                <w:szCs w:val="20"/>
              </w:rPr>
            </w:pPr>
            <w:r w:rsidRPr="00176635">
              <w:rPr>
                <w:b/>
                <w:bCs/>
                <w:sz w:val="20"/>
                <w:szCs w:val="20"/>
              </w:rPr>
              <w:t>Gender equity related action</w:t>
            </w:r>
          </w:p>
        </w:tc>
      </w:tr>
      <w:tr w:rsidR="00960DFB" w:rsidRPr="008E63DC" w14:paraId="4E1FDCFC" w14:textId="77777777" w:rsidTr="008E63DC">
        <w:tc>
          <w:tcPr>
            <w:tcW w:w="816" w:type="pct"/>
          </w:tcPr>
          <w:p w14:paraId="219EA7D8" w14:textId="77777777" w:rsidR="00960DFB" w:rsidRPr="00F705A9" w:rsidRDefault="00960DFB" w:rsidP="008E63DC">
            <w:pPr>
              <w:autoSpaceDE w:val="0"/>
              <w:autoSpaceDN w:val="0"/>
              <w:adjustRightInd w:val="0"/>
              <w:spacing w:before="0"/>
              <w:rPr>
                <w:sz w:val="20"/>
                <w:szCs w:val="20"/>
              </w:rPr>
            </w:pPr>
            <w:r w:rsidRPr="00F705A9">
              <w:rPr>
                <w:rFonts w:cstheme="minorHAnsi"/>
                <w:sz w:val="20"/>
                <w:szCs w:val="20"/>
              </w:rPr>
              <w:t xml:space="preserve">Public financial management regulatory framework, </w:t>
            </w:r>
            <w:proofErr w:type="gramStart"/>
            <w:r w:rsidRPr="00F705A9">
              <w:rPr>
                <w:rFonts w:cstheme="minorHAnsi"/>
                <w:sz w:val="20"/>
                <w:szCs w:val="20"/>
              </w:rPr>
              <w:t>systems</w:t>
            </w:r>
            <w:proofErr w:type="gramEnd"/>
            <w:r w:rsidRPr="00F705A9">
              <w:rPr>
                <w:rFonts w:cstheme="minorHAnsi"/>
                <w:sz w:val="20"/>
                <w:szCs w:val="20"/>
              </w:rPr>
              <w:t xml:space="preserve"> and processes</w:t>
            </w:r>
          </w:p>
        </w:tc>
        <w:tc>
          <w:tcPr>
            <w:tcW w:w="4184" w:type="pct"/>
          </w:tcPr>
          <w:p w14:paraId="5E99D226"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The Ministry of Economy completed a PEFA self-assessment of gender responsive public financial management, which has been approved by the PEFA Secretariat</w:t>
            </w:r>
          </w:p>
        </w:tc>
      </w:tr>
      <w:tr w:rsidR="00960DFB" w:rsidRPr="008E63DC" w14:paraId="3FF98F91" w14:textId="77777777" w:rsidTr="008E63DC">
        <w:tc>
          <w:tcPr>
            <w:tcW w:w="816" w:type="pct"/>
          </w:tcPr>
          <w:p w14:paraId="376D9FF1" w14:textId="77777777" w:rsidR="00960DFB" w:rsidRPr="00F705A9" w:rsidRDefault="00960DFB" w:rsidP="008E63DC">
            <w:pPr>
              <w:autoSpaceDE w:val="0"/>
              <w:autoSpaceDN w:val="0"/>
              <w:adjustRightInd w:val="0"/>
              <w:spacing w:before="0"/>
              <w:rPr>
                <w:sz w:val="20"/>
                <w:szCs w:val="20"/>
              </w:rPr>
            </w:pPr>
            <w:r w:rsidRPr="00F705A9">
              <w:rPr>
                <w:rFonts w:cstheme="minorHAnsi"/>
                <w:sz w:val="20"/>
                <w:szCs w:val="20"/>
              </w:rPr>
              <w:t>Gender-responsive budgeting</w:t>
            </w:r>
          </w:p>
        </w:tc>
        <w:tc>
          <w:tcPr>
            <w:tcW w:w="4184" w:type="pct"/>
          </w:tcPr>
          <w:p w14:paraId="039DA5B7"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Ministry of Economy submitted a Cabinet information paper that outlines the steps taken to introduce gender-responsive budgeting principles in the annual budget process</w:t>
            </w:r>
          </w:p>
          <w:p w14:paraId="51EB03B1"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 xml:space="preserve">The Ministry of Economy issued budget submission templates that include gender-responsive budgeting principles, and, as a pilot, the Ministry of Commerce, Trade, Tourism and Transport and Ministry of Fisheries are required to make budget submissions for at least 2 programs in line with the new methodology. </w:t>
            </w:r>
          </w:p>
        </w:tc>
      </w:tr>
      <w:tr w:rsidR="00960DFB" w:rsidRPr="008E63DC" w14:paraId="10FAD169" w14:textId="77777777" w:rsidTr="008E63DC">
        <w:tc>
          <w:tcPr>
            <w:tcW w:w="816" w:type="pct"/>
          </w:tcPr>
          <w:p w14:paraId="64058796"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SOE reform</w:t>
            </w:r>
          </w:p>
        </w:tc>
        <w:tc>
          <w:tcPr>
            <w:tcW w:w="4184" w:type="pct"/>
          </w:tcPr>
          <w:p w14:paraId="432F847F" w14:textId="2674EB88"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The Department of Public Enterprises conducted training programs for 76</w:t>
            </w:r>
            <w:r w:rsidR="001F27CC">
              <w:rPr>
                <w:rFonts w:cstheme="minorHAnsi"/>
                <w:sz w:val="20"/>
                <w:szCs w:val="20"/>
              </w:rPr>
              <w:t xml:space="preserve"> per cent</w:t>
            </w:r>
            <w:r w:rsidRPr="00F705A9">
              <w:rPr>
                <w:rFonts w:cstheme="minorHAnsi"/>
                <w:sz w:val="20"/>
                <w:szCs w:val="20"/>
              </w:rPr>
              <w:t xml:space="preserve"> of directors and 80</w:t>
            </w:r>
            <w:r w:rsidR="001F27CC">
              <w:rPr>
                <w:rFonts w:cstheme="minorHAnsi"/>
                <w:sz w:val="20"/>
                <w:szCs w:val="20"/>
              </w:rPr>
              <w:t xml:space="preserve"> per cent</w:t>
            </w:r>
            <w:r w:rsidRPr="00F705A9">
              <w:rPr>
                <w:rFonts w:cstheme="minorHAnsi"/>
                <w:sz w:val="20"/>
                <w:szCs w:val="20"/>
              </w:rPr>
              <w:t xml:space="preserve"> of senior management (defined as chief executive officer and chief financial officer, or equivalent positions), including 90</w:t>
            </w:r>
            <w:r w:rsidR="001F27CC">
              <w:rPr>
                <w:rFonts w:cstheme="minorHAnsi"/>
                <w:sz w:val="20"/>
                <w:szCs w:val="20"/>
              </w:rPr>
              <w:t xml:space="preserve"> per cent</w:t>
            </w:r>
            <w:r w:rsidRPr="00F705A9">
              <w:rPr>
                <w:rFonts w:cstheme="minorHAnsi"/>
                <w:sz w:val="20"/>
                <w:szCs w:val="20"/>
              </w:rPr>
              <w:t xml:space="preserve"> of women directors and senior managers, of public enterprises on the compliance requirements of the Public Enterprises Act 2019.</w:t>
            </w:r>
          </w:p>
        </w:tc>
      </w:tr>
      <w:tr w:rsidR="00960DFB" w:rsidRPr="008E63DC" w14:paraId="6E1D9D1D" w14:textId="77777777" w:rsidTr="008E63DC">
        <w:tc>
          <w:tcPr>
            <w:tcW w:w="816" w:type="pct"/>
          </w:tcPr>
          <w:p w14:paraId="01405163"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Access to finance</w:t>
            </w:r>
          </w:p>
        </w:tc>
        <w:tc>
          <w:tcPr>
            <w:tcW w:w="4184" w:type="pct"/>
          </w:tcPr>
          <w:p w14:paraId="1B7EE4D6"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The Fijian Government established the Personal Property Securities Registry that capture sex-disaggregated data</w:t>
            </w:r>
          </w:p>
        </w:tc>
      </w:tr>
      <w:tr w:rsidR="00960DFB" w:rsidRPr="008E63DC" w14:paraId="50573264" w14:textId="77777777" w:rsidTr="008E63DC">
        <w:tc>
          <w:tcPr>
            <w:tcW w:w="816" w:type="pct"/>
          </w:tcPr>
          <w:p w14:paraId="01214FCC"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Ease of doing business</w:t>
            </w:r>
          </w:p>
        </w:tc>
        <w:tc>
          <w:tcPr>
            <w:tcW w:w="4184" w:type="pct"/>
          </w:tcPr>
          <w:p w14:paraId="75FEF057"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 xml:space="preserve">Cabinet approved a policy statement and drafting of a Bill relating to competition and consumer law which includes recognition of the specific needs of women, rural and disadvantaged </w:t>
            </w:r>
            <w:proofErr w:type="gramStart"/>
            <w:r w:rsidRPr="00F705A9">
              <w:rPr>
                <w:rFonts w:cstheme="minorHAnsi"/>
                <w:sz w:val="20"/>
                <w:szCs w:val="20"/>
              </w:rPr>
              <w:t>groups</w:t>
            </w:r>
            <w:proofErr w:type="gramEnd"/>
            <w:r w:rsidRPr="00F705A9">
              <w:rPr>
                <w:rFonts w:cstheme="minorHAnsi"/>
                <w:sz w:val="20"/>
                <w:szCs w:val="20"/>
              </w:rPr>
              <w:t xml:space="preserve"> and a commitment to supporting women’s consumer rights.</w:t>
            </w:r>
          </w:p>
        </w:tc>
      </w:tr>
      <w:tr w:rsidR="00960DFB" w:rsidRPr="008E63DC" w14:paraId="23782CE2" w14:textId="77777777" w:rsidTr="008E63DC">
        <w:tc>
          <w:tcPr>
            <w:tcW w:w="816" w:type="pct"/>
          </w:tcPr>
          <w:p w14:paraId="3C350437"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COVID-19 response</w:t>
            </w:r>
          </w:p>
        </w:tc>
        <w:tc>
          <w:tcPr>
            <w:tcW w:w="4184" w:type="pct"/>
          </w:tcPr>
          <w:p w14:paraId="58EF7C4F"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 xml:space="preserve">Government introduced, via the supplementary COVID-10 Response Budget for FY 2020, measures to assist the private sector and workers including (v) relief payment to informal sector </w:t>
            </w:r>
            <w:proofErr w:type="gramStart"/>
            <w:r w:rsidRPr="00F705A9">
              <w:rPr>
                <w:rFonts w:cstheme="minorHAnsi"/>
                <w:sz w:val="20"/>
                <w:szCs w:val="20"/>
              </w:rPr>
              <w:t>workers ,</w:t>
            </w:r>
            <w:proofErr w:type="gramEnd"/>
            <w:r w:rsidRPr="00F705A9">
              <w:rPr>
                <w:rFonts w:cstheme="minorHAnsi"/>
                <w:sz w:val="20"/>
                <w:szCs w:val="20"/>
              </w:rPr>
              <w:t xml:space="preserve"> including for women-owned micro-enterprises such as hawkers, in lockdown areas.</w:t>
            </w:r>
          </w:p>
          <w:p w14:paraId="7680C3BA"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The Ministry of Women, Children and Poverty Alleviation: (</w:t>
            </w:r>
            <w:proofErr w:type="spellStart"/>
            <w:r w:rsidRPr="00F705A9">
              <w:rPr>
                <w:rFonts w:cstheme="minorHAnsi"/>
                <w:sz w:val="20"/>
                <w:szCs w:val="20"/>
              </w:rPr>
              <w:t>i</w:t>
            </w:r>
            <w:proofErr w:type="spellEnd"/>
            <w:r w:rsidRPr="00F705A9">
              <w:rPr>
                <w:rFonts w:cstheme="minorHAnsi"/>
                <w:sz w:val="20"/>
                <w:szCs w:val="20"/>
              </w:rPr>
              <w:t>) prepared and presented to Cabinet a guidance note on the gendered impacts, of COVID-19 in Fiji, including recommendations on supporting women’s economic empowerment, and</w:t>
            </w:r>
          </w:p>
          <w:p w14:paraId="44E1BF64" w14:textId="77777777" w:rsidR="00960DFB" w:rsidRPr="00F705A9" w:rsidRDefault="00960DFB" w:rsidP="008E63DC">
            <w:pPr>
              <w:autoSpaceDE w:val="0"/>
              <w:autoSpaceDN w:val="0"/>
              <w:adjustRightInd w:val="0"/>
              <w:spacing w:before="0"/>
              <w:rPr>
                <w:rFonts w:cstheme="minorHAnsi"/>
                <w:sz w:val="20"/>
                <w:szCs w:val="20"/>
              </w:rPr>
            </w:pPr>
            <w:r w:rsidRPr="00F705A9">
              <w:rPr>
                <w:rFonts w:cstheme="minorHAnsi"/>
                <w:sz w:val="20"/>
                <w:szCs w:val="20"/>
              </w:rPr>
              <w:t>(ii) established a multi-stakeholder COVID-19 response gender working group.</w:t>
            </w:r>
          </w:p>
        </w:tc>
      </w:tr>
    </w:tbl>
    <w:p w14:paraId="4A675891" w14:textId="77777777" w:rsidR="00960DFB" w:rsidRDefault="00960DFB" w:rsidP="00F705A9">
      <w:pPr>
        <w:spacing w:after="120"/>
      </w:pPr>
      <w:r>
        <w:t>The ADB is developing a new operation which supports continued roll-out of the GRB pilot first mentioned in the 2020 operations. This will not be part of a multi-year programmatic approach, because of the impending elections. But the draft policy matrix indicates that 7 ministries are expected to use the methodology in budget submissions for 14 programs. (The matrix also includes actions by the Ministry of Women, Children and Poverty Alleviation implementing a new gender-responsive social assistance policy.)</w:t>
      </w:r>
    </w:p>
    <w:p w14:paraId="79BD902F" w14:textId="77777777" w:rsidR="00960DFB" w:rsidRDefault="00960DFB" w:rsidP="00F705A9">
      <w:pPr>
        <w:pStyle w:val="Heading4"/>
        <w:spacing w:after="120"/>
      </w:pPr>
      <w:r>
        <w:t>Evolution of approaches to gender-responsive budgeting in Fiji</w:t>
      </w:r>
    </w:p>
    <w:p w14:paraId="78514F49" w14:textId="2EC54217" w:rsidR="00960DFB" w:rsidRDefault="00960DFB" w:rsidP="00F705A9">
      <w:pPr>
        <w:spacing w:after="120"/>
      </w:pPr>
      <w:r>
        <w:t>Policy based operations typically draw on the insights and results from a range of prior and concurrent initiatives undertaken by governments, civil society, and other actors, and of programs of analytical and institutional support delivered by a multiplicity of development partners. Over the last twenty years and more, there has been a series of efforts aimed at formulating and expanding an approach to gender -responsive budgeting in Fiji</w:t>
      </w:r>
      <w:r w:rsidR="00F705A9">
        <w:t xml:space="preserve"> </w:t>
      </w:r>
      <w:r>
        <w:t>and aimed at operationalisation of this approach.</w:t>
      </w:r>
    </w:p>
    <w:p w14:paraId="610E35BD" w14:textId="77777777" w:rsidR="008E63DC" w:rsidRDefault="00960DFB" w:rsidP="00F705A9">
      <w:pPr>
        <w:spacing w:after="120"/>
      </w:pPr>
      <w:r>
        <w:lastRenderedPageBreak/>
        <w:t xml:space="preserve">The Government’s </w:t>
      </w:r>
      <w:r w:rsidRPr="00F33C65">
        <w:t>Women’s Plan of Action (1999–2008) proposed mainstreaming gender into policy and planning</w:t>
      </w:r>
      <w:r>
        <w:t>, and the first engagement with gender-responsive budgeting began in 1999, with support from the Commonwealth Secretariat.</w:t>
      </w:r>
      <w:r w:rsidRPr="00F33C65">
        <w:rPr>
          <w:vertAlign w:val="superscript"/>
        </w:rPr>
        <w:footnoteReference w:id="35"/>
      </w:r>
    </w:p>
    <w:p w14:paraId="7093E6B8" w14:textId="77777777" w:rsidR="008E63DC" w:rsidRDefault="00960DFB" w:rsidP="00F705A9">
      <w:pPr>
        <w:spacing w:after="120"/>
      </w:pPr>
      <w:r>
        <w:t>The coup in 2000 brought this initiative to an early end. After the coup, ADB TA supported gender audits of two Ministries to demonstrate the process of gender analysis, planning and mainstreaming.  This work led to the inclusion of a question in the 2003 budget circular requiring an analysis of impacts on men and women.</w:t>
      </w:r>
      <w:r w:rsidRPr="008C6044">
        <w:rPr>
          <w:vertAlign w:val="superscript"/>
        </w:rPr>
        <w:footnoteReference w:id="36"/>
      </w:r>
      <w:r>
        <w:t xml:space="preserve"> An ADB Gender Assessment in 2006 observed, however, that </w:t>
      </w:r>
      <w:r w:rsidRPr="00F33C65">
        <w:t>gender mainstreaming was not well integrated into the government institutional structure, planning, and budgetary processes</w:t>
      </w:r>
      <w:r w:rsidR="008E63DC">
        <w:t>.</w:t>
      </w:r>
    </w:p>
    <w:p w14:paraId="4A6A3249" w14:textId="77777777" w:rsidR="008E63DC" w:rsidRDefault="00960DFB" w:rsidP="00F705A9">
      <w:pPr>
        <w:spacing w:after="120"/>
      </w:pPr>
      <w:r>
        <w:t>These early efforts had limited traction, and the initiatives terminated in the wake of the 2006 coup. For some time after that coup and the consequential effects on Fiji’s relationships with development partners, it seems that little progress was made on mainstreaming gender into planning and budgeting processes.</w:t>
      </w:r>
    </w:p>
    <w:p w14:paraId="17E583DF" w14:textId="7EC5B6BA" w:rsidR="00960DFB" w:rsidRDefault="00960DFB" w:rsidP="008E63DC">
      <w:pPr>
        <w:spacing w:after="120"/>
      </w:pPr>
      <w:r>
        <w:t xml:space="preserve">The Government’s 2014 National Gender Policy among other things committed to promote gender equality and active and visible gender mainstreaming in all sectors and within civil society. It made a specific commitment to introduce Gender Responsive Budgeting and Planning (see </w:t>
      </w:r>
      <w:r w:rsidR="00F705A9" w:rsidRPr="00F705A9">
        <w:rPr>
          <w:b/>
          <w:bCs/>
        </w:rPr>
        <w:t>B</w:t>
      </w:r>
      <w:r w:rsidRPr="00F705A9">
        <w:rPr>
          <w:b/>
          <w:bCs/>
        </w:rPr>
        <w:t>ox E.1</w:t>
      </w:r>
      <w:r>
        <w:t>)</w:t>
      </w:r>
      <w:r w:rsidR="00F705A9">
        <w:t>.</w:t>
      </w:r>
    </w:p>
    <w:p w14:paraId="5B00B004" w14:textId="1BA977BA" w:rsidR="00960DFB" w:rsidRDefault="00960DFB" w:rsidP="008E63DC">
      <w:pPr>
        <w:pStyle w:val="Heading4"/>
        <w:spacing w:after="120"/>
      </w:pPr>
      <w:r w:rsidRPr="00F705A9">
        <w:rPr>
          <w:b/>
          <w:bCs w:val="0"/>
        </w:rPr>
        <w:t>Box E.1</w:t>
      </w:r>
      <w:r>
        <w:t xml:space="preserve"> National Gender Policy and commitment to gender-responsive budgeting and planning</w:t>
      </w:r>
    </w:p>
    <w:p w14:paraId="21305E5D" w14:textId="77777777" w:rsidR="00853654" w:rsidRPr="00853654" w:rsidRDefault="00853654" w:rsidP="00853654">
      <w:pPr>
        <w:pBdr>
          <w:top w:val="single" w:sz="12" w:space="1" w:color="65C5B4" w:themeColor="accent1"/>
          <w:left w:val="single" w:sz="12" w:space="4" w:color="65C5B4" w:themeColor="accent1"/>
          <w:bottom w:val="single" w:sz="12" w:space="1" w:color="65C5B4" w:themeColor="accent1"/>
          <w:right w:val="single" w:sz="12" w:space="4" w:color="65C5B4" w:themeColor="accent1"/>
        </w:pBdr>
        <w:rPr>
          <w:sz w:val="20"/>
          <w:szCs w:val="20"/>
        </w:rPr>
      </w:pPr>
      <w:r w:rsidRPr="00F705A9">
        <w:rPr>
          <w:sz w:val="20"/>
          <w:szCs w:val="20"/>
        </w:rPr>
        <w:t xml:space="preserve">The </w:t>
      </w:r>
      <w:r w:rsidRPr="00853654">
        <w:rPr>
          <w:sz w:val="20"/>
          <w:szCs w:val="20"/>
        </w:rPr>
        <w:t>2014 National Gender Policy included the following statements on gender responsive budgeting:</w:t>
      </w:r>
    </w:p>
    <w:p w14:paraId="00E428E8" w14:textId="77777777" w:rsidR="00853654" w:rsidRPr="00853654" w:rsidRDefault="00853654" w:rsidP="00853654">
      <w:pPr>
        <w:pStyle w:val="ListParagraph"/>
        <w:numPr>
          <w:ilvl w:val="0"/>
          <w:numId w:val="36"/>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before="0"/>
        <w:rPr>
          <w:color w:val="495965" w:themeColor="text2"/>
          <w:sz w:val="20"/>
          <w:szCs w:val="20"/>
        </w:rPr>
      </w:pPr>
      <w:r w:rsidRPr="00853654">
        <w:rPr>
          <w:color w:val="495965" w:themeColor="text2"/>
          <w:sz w:val="20"/>
          <w:szCs w:val="20"/>
        </w:rPr>
        <w:t>Introduce Gender Responsive Budgeting and gender audits in the planning, implementation, evaluation and monitoring of the national budgetary process and promote gender responsive budgeting by development practitioners to ensure optimum benefits to rural and urban women.</w:t>
      </w:r>
    </w:p>
    <w:p w14:paraId="20D5BBBB" w14:textId="77777777" w:rsidR="00853654" w:rsidRPr="00853654" w:rsidRDefault="00853654" w:rsidP="00853654">
      <w:pPr>
        <w:pStyle w:val="ListParagraph"/>
        <w:numPr>
          <w:ilvl w:val="0"/>
          <w:numId w:val="36"/>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before="0"/>
        <w:rPr>
          <w:color w:val="495965" w:themeColor="text2"/>
          <w:sz w:val="20"/>
          <w:szCs w:val="20"/>
        </w:rPr>
      </w:pPr>
      <w:r w:rsidRPr="00853654">
        <w:rPr>
          <w:color w:val="495965" w:themeColor="text2"/>
          <w:sz w:val="20"/>
          <w:szCs w:val="20"/>
        </w:rPr>
        <w:t>Create and utilise gender sensitive indicators in the economic planning processes to monitor the attainment of gender strategic goals.</w:t>
      </w:r>
    </w:p>
    <w:p w14:paraId="1ABDE18F" w14:textId="77777777" w:rsidR="00853654" w:rsidRPr="00853654" w:rsidRDefault="00853654" w:rsidP="00853654">
      <w:pPr>
        <w:pStyle w:val="ListParagraph"/>
        <w:numPr>
          <w:ilvl w:val="0"/>
          <w:numId w:val="36"/>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before="0"/>
        <w:rPr>
          <w:color w:val="495965" w:themeColor="text2"/>
          <w:sz w:val="20"/>
          <w:szCs w:val="20"/>
        </w:rPr>
      </w:pPr>
      <w:r w:rsidRPr="00853654">
        <w:rPr>
          <w:color w:val="495965" w:themeColor="text2"/>
          <w:sz w:val="20"/>
          <w:szCs w:val="20"/>
        </w:rPr>
        <w:t>Reinforce social justice programmes, particularly to improve the situation of marginalised groups of men and women in Fijian society.</w:t>
      </w:r>
    </w:p>
    <w:p w14:paraId="6113FC49" w14:textId="7FF2A556" w:rsidR="00853654" w:rsidRPr="00853654" w:rsidRDefault="00853654" w:rsidP="00853654">
      <w:pPr>
        <w:pStyle w:val="ListParagraph"/>
        <w:numPr>
          <w:ilvl w:val="0"/>
          <w:numId w:val="36"/>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before="0"/>
        <w:rPr>
          <w:color w:val="495965" w:themeColor="text2"/>
          <w:sz w:val="20"/>
          <w:szCs w:val="20"/>
        </w:rPr>
      </w:pPr>
      <w:r w:rsidRPr="00853654">
        <w:rPr>
          <w:color w:val="495965" w:themeColor="text2"/>
          <w:sz w:val="20"/>
          <w:szCs w:val="20"/>
        </w:rPr>
        <w:t xml:space="preserve">Hold sustained dialogue before the 1st of August each year, with ministries responsible for trade, finance, manufacturing and commerce, tourism and agriculture, fisheries, labour, social welfare, women, poverty alleviation, health, education, youth and sports, local government organisations and town and city councils, the private sector, and </w:t>
      </w:r>
      <w:proofErr w:type="gramStart"/>
      <w:r w:rsidRPr="00853654">
        <w:rPr>
          <w:color w:val="495965" w:themeColor="text2"/>
          <w:sz w:val="20"/>
          <w:szCs w:val="20"/>
        </w:rPr>
        <w:t>gender based</w:t>
      </w:r>
      <w:proofErr w:type="gramEnd"/>
      <w:r w:rsidRPr="00853654">
        <w:rPr>
          <w:color w:val="495965" w:themeColor="text2"/>
          <w:sz w:val="20"/>
          <w:szCs w:val="20"/>
        </w:rPr>
        <w:t xml:space="preserve"> NGOs, to ensure that gender is integrated into Fiji’s annual budget.</w:t>
      </w:r>
    </w:p>
    <w:p w14:paraId="56C26784" w14:textId="0F665682" w:rsidR="00853654" w:rsidRPr="00853654" w:rsidRDefault="00853654" w:rsidP="00853654">
      <w:pPr>
        <w:pStyle w:val="ListParagraph"/>
        <w:numPr>
          <w:ilvl w:val="0"/>
          <w:numId w:val="36"/>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before="0"/>
        <w:rPr>
          <w:color w:val="495965" w:themeColor="text2"/>
          <w:sz w:val="20"/>
          <w:szCs w:val="20"/>
        </w:rPr>
      </w:pPr>
      <w:r w:rsidRPr="00853654">
        <w:rPr>
          <w:color w:val="495965" w:themeColor="text2"/>
          <w:sz w:val="20"/>
          <w:szCs w:val="20"/>
        </w:rPr>
        <w:t xml:space="preserve">Consult with NGO </w:t>
      </w:r>
      <w:proofErr w:type="gramStart"/>
      <w:r w:rsidRPr="00853654">
        <w:rPr>
          <w:color w:val="495965" w:themeColor="text2"/>
          <w:sz w:val="20"/>
          <w:szCs w:val="20"/>
        </w:rPr>
        <w:t>gender based</w:t>
      </w:r>
      <w:proofErr w:type="gramEnd"/>
      <w:r w:rsidRPr="00853654">
        <w:rPr>
          <w:color w:val="495965" w:themeColor="text2"/>
          <w:sz w:val="20"/>
          <w:szCs w:val="20"/>
        </w:rPr>
        <w:t xml:space="preserve"> groups both before the Budget has been drawn up and after the Budget has been announced to enable women to understand the Budget process and to have input into it.</w:t>
      </w:r>
    </w:p>
    <w:p w14:paraId="54E058C0" w14:textId="09D6EFC5" w:rsidR="00853654" w:rsidRPr="00853654" w:rsidRDefault="00853654" w:rsidP="00853654">
      <w:pPr>
        <w:pStyle w:val="ListParagraph"/>
        <w:numPr>
          <w:ilvl w:val="0"/>
          <w:numId w:val="36"/>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before="0"/>
        <w:rPr>
          <w:color w:val="495965" w:themeColor="text2"/>
          <w:sz w:val="20"/>
          <w:szCs w:val="20"/>
        </w:rPr>
      </w:pPr>
      <w:r w:rsidRPr="00853654">
        <w:rPr>
          <w:color w:val="495965" w:themeColor="text2"/>
          <w:sz w:val="20"/>
          <w:szCs w:val="20"/>
        </w:rPr>
        <w:t xml:space="preserve">Evaluate and monitor the progress towards greater levels of equality in the representation of women and men through collection, </w:t>
      </w:r>
      <w:proofErr w:type="gramStart"/>
      <w:r w:rsidRPr="00853654">
        <w:rPr>
          <w:color w:val="495965" w:themeColor="text2"/>
          <w:sz w:val="20"/>
          <w:szCs w:val="20"/>
        </w:rPr>
        <w:t>analysis</w:t>
      </w:r>
      <w:proofErr w:type="gramEnd"/>
      <w:r w:rsidRPr="00853654">
        <w:rPr>
          <w:color w:val="495965" w:themeColor="text2"/>
          <w:sz w:val="20"/>
          <w:szCs w:val="20"/>
        </w:rPr>
        <w:t xml:space="preserve"> and dissemination of quantitative and qualitative data on women and men at all levels in various decision-making positions, with a view to promoting their increased access to the full range of appointments in positions of power and decision-making.</w:t>
      </w:r>
    </w:p>
    <w:p w14:paraId="4F62ED24" w14:textId="14031243" w:rsidR="00853654" w:rsidRPr="00853654" w:rsidRDefault="00853654" w:rsidP="00853654">
      <w:pPr>
        <w:pStyle w:val="ListParagraph"/>
        <w:numPr>
          <w:ilvl w:val="0"/>
          <w:numId w:val="36"/>
        </w:numPr>
        <w:pBdr>
          <w:top w:val="single" w:sz="12" w:space="1" w:color="65C5B4" w:themeColor="accent1"/>
          <w:left w:val="single" w:sz="12" w:space="4" w:color="65C5B4" w:themeColor="accent1"/>
          <w:bottom w:val="single" w:sz="12" w:space="1" w:color="65C5B4" w:themeColor="accent1"/>
          <w:right w:val="single" w:sz="12" w:space="4" w:color="65C5B4" w:themeColor="accent1"/>
        </w:pBdr>
        <w:spacing w:before="0"/>
        <w:rPr>
          <w:color w:val="495965" w:themeColor="text2"/>
          <w:sz w:val="20"/>
          <w:szCs w:val="20"/>
        </w:rPr>
      </w:pPr>
      <w:r w:rsidRPr="00853654">
        <w:rPr>
          <w:color w:val="495965" w:themeColor="text2"/>
          <w:sz w:val="20"/>
          <w:szCs w:val="20"/>
        </w:rPr>
        <w:t>Establish performance indicators including performance appraisals on gender equality in decision-making, distribution of public funds and investments in programming for youth.</w:t>
      </w:r>
    </w:p>
    <w:p w14:paraId="2E7E4D60" w14:textId="77777777" w:rsidR="00960DFB" w:rsidRDefault="00960DFB" w:rsidP="008E63DC">
      <w:pPr>
        <w:spacing w:after="120"/>
      </w:pPr>
      <w:r>
        <w:t>In the 2018-19 fiscal year, DFAT and the ADB offered to undertake a gender analysis of the budget: this analysis provided the platform from which actions could be taken to implement the commitment made in the Gender Policy.</w:t>
      </w:r>
    </w:p>
    <w:p w14:paraId="3E6B314B" w14:textId="77777777" w:rsidR="00960DFB" w:rsidRDefault="00960DFB" w:rsidP="008E63DC">
      <w:pPr>
        <w:spacing w:after="120"/>
      </w:pPr>
      <w:r w:rsidRPr="002B319A">
        <w:lastRenderedPageBreak/>
        <w:t xml:space="preserve">The Government embarked on a pilot of </w:t>
      </w:r>
      <w:r>
        <w:t xml:space="preserve">gender-responsive budgeting </w:t>
      </w:r>
      <w:r w:rsidRPr="002B319A">
        <w:t xml:space="preserve">in 2019, led </w:t>
      </w:r>
      <w:r w:rsidRPr="00E94C5E">
        <w:t>by Ministry of Economy and supported by the Ministry of Women, Children and Poverty Alleviation</w:t>
      </w:r>
      <w:r>
        <w:t xml:space="preserve">. In this phase, </w:t>
      </w:r>
      <w:r w:rsidRPr="00E94C5E">
        <w:t xml:space="preserve">a Public Expenditure and Financial Accountability Gender Responsive Public Financial Management (PPEFA GRPFM) </w:t>
      </w:r>
      <w:r>
        <w:t>self-assessment was undertaken.</w:t>
      </w:r>
      <w:r>
        <w:rPr>
          <w:rStyle w:val="FootnoteReference"/>
        </w:rPr>
        <w:footnoteReference w:id="37"/>
      </w:r>
      <w:r>
        <w:t xml:space="preserve"> Based on this review, a ten-step introduction plan was agreed with </w:t>
      </w:r>
      <w:proofErr w:type="spellStart"/>
      <w:r>
        <w:t>MoE</w:t>
      </w:r>
      <w:proofErr w:type="spellEnd"/>
      <w:r>
        <w:t xml:space="preserve">. The first step in this plan was piloting in the </w:t>
      </w:r>
      <w:r w:rsidRPr="00E94C5E">
        <w:t>Ministry of Industry, Trade and Tourism and the Ministry of Fisheries and Forest</w:t>
      </w:r>
      <w:r>
        <w:t xml:space="preserve">. The </w:t>
      </w:r>
      <w:r w:rsidRPr="00E94C5E">
        <w:t xml:space="preserve">ministries </w:t>
      </w:r>
      <w:r>
        <w:t xml:space="preserve">undertook </w:t>
      </w:r>
      <w:r w:rsidRPr="00E94C5E">
        <w:t xml:space="preserve">a gender budget analysis of two budget programs using existing national data and statistics and adding in a beneficiary analysis to identify gender gaps in the programs. </w:t>
      </w:r>
      <w:r>
        <w:t>This analysis was</w:t>
      </w:r>
      <w:r w:rsidRPr="00E94C5E">
        <w:t xml:space="preserve"> used to inform the ministr</w:t>
      </w:r>
      <w:r>
        <w:t xml:space="preserve">ies’ </w:t>
      </w:r>
      <w:r w:rsidRPr="00E94C5E">
        <w:t xml:space="preserve">budget submissions. </w:t>
      </w:r>
      <w:r>
        <w:t>In another initiative, Fiji’s parliament has endorsed a standing order requiring parliamentary committees to apply a gender-based analysis when scrutinizing legislation or undertaking their oversight functions.</w:t>
      </w:r>
      <w:r>
        <w:rPr>
          <w:rStyle w:val="FootnoteReference"/>
        </w:rPr>
        <w:footnoteReference w:id="38"/>
      </w:r>
    </w:p>
    <w:p w14:paraId="314EE6C9" w14:textId="77777777" w:rsidR="00960DFB" w:rsidRDefault="00960DFB" w:rsidP="008E63DC">
      <w:pPr>
        <w:spacing w:after="120"/>
      </w:pPr>
      <w:r>
        <w:t xml:space="preserve">Technical Assistance, and strong representation from development partners (primarily DFAT and the ADB, but also with support from UN Women and other players) underpinned the adoption and implementation of a strategy to embed gender-responsive budgeting into the Government’s planning and budgeting processes. </w:t>
      </w:r>
      <w:proofErr w:type="gramStart"/>
      <w:r>
        <w:t>A number of</w:t>
      </w:r>
      <w:proofErr w:type="gramEnd"/>
      <w:r>
        <w:t xml:space="preserve"> development partners, and the Pacific Financial Technical Assistance Centre have been providing support to this effort.</w:t>
      </w:r>
    </w:p>
    <w:p w14:paraId="3AF86D02" w14:textId="77777777" w:rsidR="00960DFB" w:rsidRDefault="00960DFB" w:rsidP="00960DFB"/>
    <w:p w14:paraId="677AC436" w14:textId="002D845E" w:rsidR="00960DFB" w:rsidRDefault="00960DFB" w:rsidP="00960DFB">
      <w:pPr>
        <w:pStyle w:val="Heading1"/>
      </w:pPr>
      <w:r>
        <w:br w:type="page"/>
      </w:r>
      <w:bookmarkStart w:id="90" w:name="_Toc108168337"/>
      <w:bookmarkStart w:id="91" w:name="_Toc120201433"/>
      <w:bookmarkStart w:id="92" w:name="_Toc120544540"/>
      <w:r>
        <w:lastRenderedPageBreak/>
        <w:t>Annex F Timor-Leste</w:t>
      </w:r>
      <w:r w:rsidR="006D785E">
        <w:t xml:space="preserve"> </w:t>
      </w:r>
      <w:r w:rsidR="00EC1EB1">
        <w:t>case study</w:t>
      </w:r>
      <w:bookmarkEnd w:id="90"/>
      <w:bookmarkEnd w:id="91"/>
      <w:bookmarkEnd w:id="92"/>
    </w:p>
    <w:p w14:paraId="68F94543" w14:textId="77777777" w:rsidR="006D785E" w:rsidRDefault="00960DFB" w:rsidP="006D785E">
      <w:pPr>
        <w:spacing w:after="120"/>
      </w:pPr>
      <w:r>
        <w:t>This annex summarises elements of the mainstreaming of gender into public financial management reform in Timor-Leste. It draws heavily on a policy note prepared by the Ministry of Equality and Inclusion (now Social Solidarity and Inclusion).</w:t>
      </w:r>
      <w:r>
        <w:rPr>
          <w:rStyle w:val="FootnoteReference"/>
        </w:rPr>
        <w:footnoteReference w:id="39"/>
      </w:r>
    </w:p>
    <w:p w14:paraId="0F2C4052" w14:textId="77777777" w:rsidR="006D785E" w:rsidRDefault="00960DFB" w:rsidP="006D785E">
      <w:pPr>
        <w:spacing w:after="120"/>
      </w:pPr>
      <w:r>
        <w:t xml:space="preserve">The note traces the chronology of the introduction of GRB, starting with gender mainstreaming training organised by the women’s machinery in 2003, and the conduct of gender aware reviews of annual action plans and selected investment programs in 2006. The government officially introduced GRB through a parliamentary resolution in 2009, and a gender aware budget circular was first issued in 2012, part of the preparation for the 2013 budget. As part of the 2013 budget process, the women’s machinery collaborated with women parliamentarians on the first gender aware review of ministerial plans and budgets. In 2015, </w:t>
      </w:r>
      <w:proofErr w:type="gramStart"/>
      <w:r>
        <w:t>ten line</w:t>
      </w:r>
      <w:proofErr w:type="gramEnd"/>
      <w:r>
        <w:t xml:space="preserve"> ministries piloted incorporation of a gender perspective into their annual action plans, including identification of wats in which programs and associated resources would be likely to reduce or increase gender inequalities.</w:t>
      </w:r>
    </w:p>
    <w:p w14:paraId="3E3AAE14" w14:textId="0143554E" w:rsidR="00960DFB" w:rsidRDefault="00960DFB" w:rsidP="006D785E">
      <w:pPr>
        <w:spacing w:after="120"/>
      </w:pPr>
      <w:r>
        <w:t xml:space="preserve">Critical impetus to the process of implementation of GRB was given by the Prime Minister’s Office 2017 request for GRB to be implemented and mainstreamed in the Budgetary Governance Reform Roadmap, Medium Term Expenditure Framework and Program Budgeting. This was accompanied by the introduction of gender guidelines, a gender </w:t>
      </w:r>
      <w:proofErr w:type="gramStart"/>
      <w:r>
        <w:t>marker</w:t>
      </w:r>
      <w:proofErr w:type="gramEnd"/>
      <w:r>
        <w:t xml:space="preserve"> and a standardised set of gender-sensitive indicators.</w:t>
      </w:r>
    </w:p>
    <w:p w14:paraId="6C3513D3" w14:textId="77777777" w:rsidR="00960DFB" w:rsidRDefault="00960DFB" w:rsidP="006D785E">
      <w:r>
        <w:t>The Policy note lays out a detailed set of steps over the period 2017-20 for mainstreaming gender into the PFM system and processes. It identifies actions to:</w:t>
      </w:r>
    </w:p>
    <w:p w14:paraId="4B466855" w14:textId="77777777" w:rsidR="00960DFB" w:rsidRPr="006D785E" w:rsidRDefault="00960DFB" w:rsidP="00853654">
      <w:pPr>
        <w:pStyle w:val="ListParagraph"/>
        <w:numPr>
          <w:ilvl w:val="0"/>
          <w:numId w:val="23"/>
        </w:numPr>
        <w:spacing w:before="0" w:after="0" w:line="240" w:lineRule="auto"/>
        <w:ind w:left="714" w:hanging="357"/>
        <w:rPr>
          <w:color w:val="495965" w:themeColor="text2"/>
          <w:vertAlign w:val="superscript"/>
        </w:rPr>
      </w:pPr>
      <w:r w:rsidRPr="006D785E">
        <w:rPr>
          <w:b/>
          <w:bCs/>
          <w:color w:val="495965" w:themeColor="text2"/>
        </w:rPr>
        <w:t>Embed gender into medium term planning and budgeting</w:t>
      </w:r>
      <w:r w:rsidRPr="006D785E">
        <w:rPr>
          <w:color w:val="495965" w:themeColor="text2"/>
        </w:rPr>
        <w:t>, including implementation of the gender marker gender indicators and their incorporation into the Financial Management information System, revitalisation of the Gender Working Group mechanism introduced into all Ministries in 2011, input into the development of a new procurement law, revisions to the Budget and Financial Management Law, providing input into the development of a Medium Term Expenditure Framework, establishing mechanisms for gender analysis of new policy proposals, and incorporation of procedures and regulations relevant to GRB in an official Public Finance Handbook.</w:t>
      </w:r>
    </w:p>
    <w:p w14:paraId="671D6742" w14:textId="72207622" w:rsidR="00960DFB" w:rsidRPr="006D785E" w:rsidRDefault="00960DFB" w:rsidP="00853654">
      <w:pPr>
        <w:pStyle w:val="ListParagraph"/>
        <w:numPr>
          <w:ilvl w:val="0"/>
          <w:numId w:val="23"/>
        </w:numPr>
        <w:spacing w:after="0" w:line="240" w:lineRule="auto"/>
        <w:rPr>
          <w:color w:val="495965" w:themeColor="text2"/>
          <w:vertAlign w:val="superscript"/>
        </w:rPr>
      </w:pPr>
      <w:r w:rsidRPr="006D785E">
        <w:rPr>
          <w:b/>
          <w:bCs/>
          <w:color w:val="495965" w:themeColor="text2"/>
        </w:rPr>
        <w:t>Develop systems for collection and dissemination of gender statistics</w:t>
      </w:r>
      <w:r w:rsidRPr="006D785E">
        <w:rPr>
          <w:color w:val="495965" w:themeColor="text2"/>
        </w:rPr>
        <w:t xml:space="preserve">, including working </w:t>
      </w:r>
      <w:r w:rsidR="006D785E" w:rsidRPr="006D785E">
        <w:rPr>
          <w:color w:val="495965" w:themeColor="text2"/>
        </w:rPr>
        <w:t>with</w:t>
      </w:r>
      <w:r w:rsidRPr="006D785E">
        <w:rPr>
          <w:color w:val="495965" w:themeColor="text2"/>
        </w:rPr>
        <w:t xml:space="preserve"> the national statistics office and line ministries on generation and use of gender relevant statistics, undertaking specific data collection exercises and developing protocols to ensure gender sensitivity in data used in administrative processes.</w:t>
      </w:r>
    </w:p>
    <w:p w14:paraId="6E0F3BC5" w14:textId="77777777" w:rsidR="00960DFB" w:rsidRPr="006D785E" w:rsidRDefault="00960DFB" w:rsidP="00853654">
      <w:pPr>
        <w:pStyle w:val="ListParagraph"/>
        <w:numPr>
          <w:ilvl w:val="0"/>
          <w:numId w:val="23"/>
        </w:numPr>
        <w:spacing w:after="0" w:line="240" w:lineRule="auto"/>
        <w:rPr>
          <w:color w:val="495965" w:themeColor="text2"/>
          <w:vertAlign w:val="superscript"/>
        </w:rPr>
      </w:pPr>
      <w:r w:rsidRPr="006D785E">
        <w:rPr>
          <w:b/>
          <w:bCs/>
          <w:color w:val="495965" w:themeColor="text2"/>
        </w:rPr>
        <w:t>Strengthening the role and capacity of Parliamentary oversight</w:t>
      </w:r>
      <w:r w:rsidRPr="006D785E">
        <w:rPr>
          <w:color w:val="495965" w:themeColor="text2"/>
        </w:rPr>
        <w:t xml:space="preserve"> of gender mainstreaming into PFM systems and processes and the gender responsiveness of budget and expenditures.</w:t>
      </w:r>
    </w:p>
    <w:p w14:paraId="5974EAE1" w14:textId="77777777" w:rsidR="00960DFB" w:rsidRPr="006D785E" w:rsidRDefault="00960DFB" w:rsidP="00853654">
      <w:pPr>
        <w:pStyle w:val="ListParagraph"/>
        <w:numPr>
          <w:ilvl w:val="0"/>
          <w:numId w:val="23"/>
        </w:numPr>
        <w:spacing w:after="0" w:line="240" w:lineRule="auto"/>
        <w:rPr>
          <w:color w:val="495965" w:themeColor="text2"/>
          <w:vertAlign w:val="superscript"/>
        </w:rPr>
      </w:pPr>
      <w:r w:rsidRPr="006D785E">
        <w:rPr>
          <w:b/>
          <w:bCs/>
          <w:color w:val="495965" w:themeColor="text2"/>
        </w:rPr>
        <w:t>Enhancing transparency and people’s engagement in budgeting</w:t>
      </w:r>
      <w:r w:rsidRPr="006D785E">
        <w:rPr>
          <w:color w:val="495965" w:themeColor="text2"/>
        </w:rPr>
        <w:t>, by requiring all ministries to produce gender budget statements to be included in budget books, developing citizen’s guides with sections on gender equality, and building consideration of gender dimensions in pre-budget forums.</w:t>
      </w:r>
    </w:p>
    <w:p w14:paraId="75638C62" w14:textId="77777777" w:rsidR="00960DFB" w:rsidRPr="006D785E" w:rsidRDefault="00960DFB" w:rsidP="00853654">
      <w:pPr>
        <w:pStyle w:val="ListParagraph"/>
        <w:numPr>
          <w:ilvl w:val="0"/>
          <w:numId w:val="23"/>
        </w:numPr>
        <w:spacing w:after="0" w:line="240" w:lineRule="auto"/>
        <w:rPr>
          <w:color w:val="495965" w:themeColor="text2"/>
          <w:vertAlign w:val="superscript"/>
        </w:rPr>
      </w:pPr>
      <w:r w:rsidRPr="006D785E">
        <w:rPr>
          <w:b/>
          <w:bCs/>
          <w:color w:val="495965" w:themeColor="text2"/>
        </w:rPr>
        <w:t>Revising budget books to include information on allocations and expenditures related to gender commitments.</w:t>
      </w:r>
    </w:p>
    <w:p w14:paraId="070D72DB" w14:textId="77777777" w:rsidR="00960DFB" w:rsidRPr="006D785E" w:rsidRDefault="00960DFB" w:rsidP="00853654">
      <w:pPr>
        <w:pStyle w:val="ListParagraph"/>
        <w:numPr>
          <w:ilvl w:val="0"/>
          <w:numId w:val="23"/>
        </w:numPr>
        <w:spacing w:after="0" w:line="240" w:lineRule="auto"/>
        <w:rPr>
          <w:color w:val="495965" w:themeColor="text2"/>
          <w:vertAlign w:val="superscript"/>
        </w:rPr>
      </w:pPr>
      <w:r w:rsidRPr="006D785E">
        <w:rPr>
          <w:b/>
          <w:bCs/>
          <w:color w:val="495965" w:themeColor="text2"/>
        </w:rPr>
        <w:t>Revising budget monitoring and financial reporting</w:t>
      </w:r>
      <w:r w:rsidRPr="006D785E">
        <w:rPr>
          <w:color w:val="495965" w:themeColor="text2"/>
        </w:rPr>
        <w:t>, specifying gender relevant reporting and data in annual and quarterly report templates, and building capacity in relevant agencies.</w:t>
      </w:r>
    </w:p>
    <w:p w14:paraId="29FBFABA" w14:textId="77777777" w:rsidR="00960DFB" w:rsidRPr="006D785E" w:rsidRDefault="00960DFB" w:rsidP="00853654">
      <w:pPr>
        <w:pStyle w:val="ListParagraph"/>
        <w:numPr>
          <w:ilvl w:val="0"/>
          <w:numId w:val="23"/>
        </w:numPr>
        <w:spacing w:after="0" w:line="240" w:lineRule="auto"/>
        <w:rPr>
          <w:color w:val="495965" w:themeColor="text2"/>
          <w:vertAlign w:val="superscript"/>
        </w:rPr>
      </w:pPr>
      <w:r w:rsidRPr="006D785E">
        <w:rPr>
          <w:b/>
          <w:bCs/>
          <w:color w:val="495965" w:themeColor="text2"/>
        </w:rPr>
        <w:t xml:space="preserve">Incorporating considerations of gender into expenditure review processes, </w:t>
      </w:r>
      <w:r w:rsidRPr="006D785E">
        <w:rPr>
          <w:color w:val="495965" w:themeColor="text2"/>
        </w:rPr>
        <w:t>including baseline analyses to enable assessment of the alignment of spending with national gender strategies.</w:t>
      </w:r>
    </w:p>
    <w:p w14:paraId="42CE69C4" w14:textId="371874F0" w:rsidR="00960DFB" w:rsidRPr="006D785E" w:rsidRDefault="006D785E" w:rsidP="00853654">
      <w:pPr>
        <w:pStyle w:val="ListParagraph"/>
        <w:numPr>
          <w:ilvl w:val="0"/>
          <w:numId w:val="23"/>
        </w:numPr>
        <w:spacing w:after="0" w:line="240" w:lineRule="auto"/>
        <w:rPr>
          <w:color w:val="495965" w:themeColor="text2"/>
          <w:vertAlign w:val="superscript"/>
        </w:rPr>
      </w:pPr>
      <w:r w:rsidRPr="006D785E">
        <w:rPr>
          <w:b/>
          <w:bCs/>
          <w:color w:val="495965" w:themeColor="text2"/>
        </w:rPr>
        <w:t>Introduction</w:t>
      </w:r>
      <w:r w:rsidR="00960DFB" w:rsidRPr="006D785E">
        <w:rPr>
          <w:b/>
          <w:bCs/>
          <w:color w:val="495965" w:themeColor="text2"/>
        </w:rPr>
        <w:t xml:space="preserve"> of a fiscal rule to ensure that negative impacts on gender equality of expenditure changes are minimised.</w:t>
      </w:r>
    </w:p>
    <w:p w14:paraId="03BC66E3" w14:textId="77777777" w:rsidR="00960DFB" w:rsidRPr="006D785E" w:rsidRDefault="00960DFB" w:rsidP="00853654">
      <w:pPr>
        <w:pStyle w:val="ListParagraph"/>
        <w:numPr>
          <w:ilvl w:val="0"/>
          <w:numId w:val="23"/>
        </w:numPr>
        <w:spacing w:after="0" w:line="240" w:lineRule="auto"/>
        <w:rPr>
          <w:color w:val="495965" w:themeColor="text2"/>
          <w:vertAlign w:val="superscript"/>
        </w:rPr>
      </w:pPr>
      <w:r w:rsidRPr="006D785E">
        <w:rPr>
          <w:b/>
          <w:bCs/>
          <w:color w:val="495965" w:themeColor="text2"/>
        </w:rPr>
        <w:lastRenderedPageBreak/>
        <w:t>Embed considerations of gender into project appraisal and capital budgeting processes.</w:t>
      </w:r>
    </w:p>
    <w:p w14:paraId="6DC3CE68" w14:textId="77777777" w:rsidR="00960DFB" w:rsidRPr="006D785E" w:rsidRDefault="00960DFB" w:rsidP="00853654">
      <w:pPr>
        <w:pStyle w:val="ListParagraph"/>
        <w:numPr>
          <w:ilvl w:val="0"/>
          <w:numId w:val="23"/>
        </w:numPr>
        <w:spacing w:after="120" w:line="240" w:lineRule="auto"/>
        <w:ind w:left="714" w:hanging="357"/>
        <w:rPr>
          <w:color w:val="495965" w:themeColor="text2"/>
          <w:vertAlign w:val="superscript"/>
        </w:rPr>
      </w:pPr>
      <w:r w:rsidRPr="006D785E">
        <w:rPr>
          <w:b/>
          <w:bCs/>
          <w:color w:val="495965" w:themeColor="text2"/>
        </w:rPr>
        <w:t xml:space="preserve">Reconsider the institutional/administrative structure of government, </w:t>
      </w:r>
      <w:r w:rsidRPr="006D785E">
        <w:rPr>
          <w:color w:val="495965" w:themeColor="text2"/>
        </w:rPr>
        <w:t>to address the effectiveness of structures in ensuring effective mainstreaming of gender in the workings of government and public administration.</w:t>
      </w:r>
    </w:p>
    <w:p w14:paraId="0BD2519D" w14:textId="77777777" w:rsidR="00960DFB" w:rsidRDefault="00960DFB" w:rsidP="006D785E">
      <w:pPr>
        <w:spacing w:after="120"/>
      </w:pPr>
      <w:r w:rsidRPr="004A5E46">
        <w:t xml:space="preserve">These </w:t>
      </w:r>
      <w:r>
        <w:t xml:space="preserve">steps are to be undertaken in concert with the development, </w:t>
      </w:r>
      <w:proofErr w:type="gramStart"/>
      <w:r>
        <w:t>articulation</w:t>
      </w:r>
      <w:proofErr w:type="gramEnd"/>
      <w:r>
        <w:t xml:space="preserve"> and implementation of the Government’s roadmap for budgetary governance reform.</w:t>
      </w:r>
    </w:p>
    <w:p w14:paraId="1E91A1D2" w14:textId="77777777" w:rsidR="00960DFB" w:rsidRDefault="00960DFB" w:rsidP="00960DFB">
      <w:pPr>
        <w:pStyle w:val="Heading4"/>
      </w:pPr>
      <w:r>
        <w:t>Observations</w:t>
      </w:r>
    </w:p>
    <w:p w14:paraId="7399279D" w14:textId="77777777" w:rsidR="006D785E" w:rsidRDefault="00960DFB" w:rsidP="006D785E">
      <w:pPr>
        <w:spacing w:after="120"/>
      </w:pPr>
      <w:r>
        <w:t>The GRB Policy note lays out a comprehensive and ambitious agenda. As the 2020 PEFA report for Timor-Leste points out, ‘Timor-Leste has been undergoing a continual process of PFM reform since it became independent in 2002, and its approach to PFM reforms mirrors the remarkable commitment and good progress achieved in nation building’.</w:t>
      </w:r>
      <w:r>
        <w:rPr>
          <w:rStyle w:val="FootnoteReference"/>
        </w:rPr>
        <w:footnoteReference w:id="40"/>
      </w:r>
      <w:r>
        <w:t xml:space="preserve"> The process has received strong support from Australia, the World Bank and the European Union (EU): this support included  sector budget support programs from Australia (associated with the Governance for Development Program), and from the EU. </w:t>
      </w:r>
    </w:p>
    <w:p w14:paraId="668B9449" w14:textId="09623BE0" w:rsidR="006D785E" w:rsidRDefault="00960DFB" w:rsidP="006D785E">
      <w:pPr>
        <w:spacing w:after="120"/>
      </w:pPr>
      <w:r>
        <w:t xml:space="preserve">Despite this support, and reflecting the widespread capacity constraints within the country, there are serious limitations to the PFM system: the approved budget is not a reliable indicator of actual fiscal performance, political considerations undermine the effectiveness of the annual budgeting process, and the procurement system is not strong enough to ensure value for money, and while the country has been moving towards program budgeting, the PEFA assessment rates the alignment of budgets with strategic plans very low. (As </w:t>
      </w:r>
      <w:r w:rsidRPr="003C70F4">
        <w:rPr>
          <w:b/>
          <w:bCs/>
        </w:rPr>
        <w:t xml:space="preserve">Figure </w:t>
      </w:r>
      <w:r w:rsidR="00032A73">
        <w:rPr>
          <w:b/>
          <w:bCs/>
        </w:rPr>
        <w:t>6</w:t>
      </w:r>
      <w:r>
        <w:t xml:space="preserve"> in </w:t>
      </w:r>
      <w:r w:rsidRPr="00032A73">
        <w:rPr>
          <w:b/>
          <w:bCs/>
        </w:rPr>
        <w:t>Chapter 4</w:t>
      </w:r>
      <w:r>
        <w:t xml:space="preserve"> shows, Timor-Leste’s PFM system has a similar PEFA rating to that of Fiji: Successive PEFA assessments also suggest that improvements in the performance of the PFM system </w:t>
      </w:r>
      <w:proofErr w:type="gramStart"/>
      <w:r>
        <w:t>has</w:t>
      </w:r>
      <w:proofErr w:type="gramEnd"/>
      <w:r>
        <w:t xml:space="preserve"> stalled, and in some dimensions reversed since significant early progress was made after independence.</w:t>
      </w:r>
      <w:r w:rsidRPr="00013C52">
        <w:rPr>
          <w:vertAlign w:val="superscript"/>
        </w:rPr>
        <w:footnoteReference w:id="41"/>
      </w:r>
    </w:p>
    <w:p w14:paraId="0CFBCF9A" w14:textId="77777777" w:rsidR="006D785E" w:rsidRDefault="00960DFB" w:rsidP="006D785E">
      <w:pPr>
        <w:spacing w:after="120"/>
      </w:pPr>
      <w:r>
        <w:t>The assessment of the PFM system suggests that despite good progress in implementing gender sensitive approaches into PFM, a lot of work across the whole system may be required before these efforts translate into better gender-focused expenditure outcomes</w:t>
      </w:r>
      <w:r w:rsidR="006D785E">
        <w:t>.</w:t>
      </w:r>
    </w:p>
    <w:p w14:paraId="31C3D59B" w14:textId="3357FFD1" w:rsidR="00960DFB" w:rsidRPr="006D785E" w:rsidRDefault="00960DFB" w:rsidP="006D785E">
      <w:r w:rsidRPr="006D785E">
        <w:t>Important feature of the GRB process appear to be</w:t>
      </w:r>
      <w:r w:rsidR="006D785E" w:rsidRPr="006D785E">
        <w:t>:</w:t>
      </w:r>
    </w:p>
    <w:p w14:paraId="40E66078" w14:textId="77777777" w:rsidR="00960DFB" w:rsidRPr="006D785E" w:rsidRDefault="00960DFB" w:rsidP="00853654">
      <w:pPr>
        <w:pStyle w:val="ListParagraph"/>
        <w:numPr>
          <w:ilvl w:val="0"/>
          <w:numId w:val="24"/>
        </w:numPr>
        <w:spacing w:before="0" w:after="120" w:line="240" w:lineRule="auto"/>
        <w:ind w:left="714" w:hanging="357"/>
        <w:rPr>
          <w:color w:val="495965" w:themeColor="text2"/>
        </w:rPr>
      </w:pPr>
      <w:r w:rsidRPr="006D785E">
        <w:rPr>
          <w:color w:val="495965" w:themeColor="text2"/>
        </w:rPr>
        <w:t>There has been very strong political support for the process, associated with a strong de jure and de facto commitment to the pursuit of gender equality. The creation of Parliamentary and inter-ministerial groups to guide and coordinate activities has been effective,</w:t>
      </w:r>
    </w:p>
    <w:p w14:paraId="610FA82B" w14:textId="77777777" w:rsidR="00960DFB" w:rsidRPr="006D785E" w:rsidRDefault="00960DFB" w:rsidP="00853654">
      <w:pPr>
        <w:pStyle w:val="ListParagraph"/>
        <w:numPr>
          <w:ilvl w:val="0"/>
          <w:numId w:val="24"/>
        </w:numPr>
        <w:spacing w:after="0" w:line="240" w:lineRule="auto"/>
        <w:rPr>
          <w:color w:val="495965" w:themeColor="text2"/>
        </w:rPr>
      </w:pPr>
      <w:r w:rsidRPr="006D785E">
        <w:rPr>
          <w:color w:val="495965" w:themeColor="text2"/>
        </w:rPr>
        <w:t xml:space="preserve">Because the PFM system in relatively new and under development, introducing GRB has been more about incorporating dimensions into system development rather than changing long-established practice where systemic and personal inertia </w:t>
      </w:r>
      <w:proofErr w:type="gramStart"/>
      <w:r w:rsidRPr="006D785E">
        <w:rPr>
          <w:color w:val="495965" w:themeColor="text2"/>
        </w:rPr>
        <w:t>has to</w:t>
      </w:r>
      <w:proofErr w:type="gramEnd"/>
      <w:r w:rsidRPr="006D785E">
        <w:rPr>
          <w:color w:val="495965" w:themeColor="text2"/>
        </w:rPr>
        <w:t xml:space="preserve"> be countered.</w:t>
      </w:r>
    </w:p>
    <w:p w14:paraId="30B36BE3" w14:textId="77777777" w:rsidR="00960DFB" w:rsidRPr="006D785E" w:rsidRDefault="00960DFB" w:rsidP="00853654">
      <w:pPr>
        <w:pStyle w:val="ListParagraph"/>
        <w:numPr>
          <w:ilvl w:val="1"/>
          <w:numId w:val="24"/>
        </w:numPr>
        <w:spacing w:after="0" w:line="240" w:lineRule="auto"/>
        <w:rPr>
          <w:color w:val="495965" w:themeColor="text2"/>
        </w:rPr>
      </w:pPr>
      <w:r w:rsidRPr="006D785E">
        <w:rPr>
          <w:color w:val="495965" w:themeColor="text2"/>
        </w:rPr>
        <w:t>This has allowed early institutionalisation of gender budgeting, with establishment of the legal basis for GRB, production of gender statements as part of budget documents, and adoption of gender-sensitive budget circulars providing strong legitimacy.</w:t>
      </w:r>
    </w:p>
    <w:p w14:paraId="6E3EBD60" w14:textId="77777777" w:rsidR="00960DFB" w:rsidRPr="006D785E" w:rsidRDefault="00960DFB" w:rsidP="00853654">
      <w:pPr>
        <w:pStyle w:val="ListParagraph"/>
        <w:numPr>
          <w:ilvl w:val="1"/>
          <w:numId w:val="24"/>
        </w:numPr>
        <w:spacing w:after="0" w:line="240" w:lineRule="auto"/>
        <w:rPr>
          <w:color w:val="495965" w:themeColor="text2"/>
        </w:rPr>
      </w:pPr>
      <w:r w:rsidRPr="006D785E">
        <w:rPr>
          <w:color w:val="495965" w:themeColor="text2"/>
        </w:rPr>
        <w:t xml:space="preserve">The process has been facilitated by the mandate created by the Constitution, with its specific articulation of the aim to achieve equality between men and women in all areas of family, political, economic, </w:t>
      </w:r>
      <w:proofErr w:type="gramStart"/>
      <w:r w:rsidRPr="006D785E">
        <w:rPr>
          <w:color w:val="495965" w:themeColor="text2"/>
        </w:rPr>
        <w:t>social</w:t>
      </w:r>
      <w:proofErr w:type="gramEnd"/>
      <w:r w:rsidRPr="006D785E">
        <w:rPr>
          <w:color w:val="495965" w:themeColor="text2"/>
        </w:rPr>
        <w:t xml:space="preserve"> and cultural life and for non-discrimination on grounds of gender.</w:t>
      </w:r>
      <w:r w:rsidRPr="006D785E">
        <w:rPr>
          <w:rStyle w:val="FootnoteReference"/>
          <w:color w:val="495965" w:themeColor="text2"/>
        </w:rPr>
        <w:footnoteReference w:id="42"/>
      </w:r>
    </w:p>
    <w:p w14:paraId="77F40AE0" w14:textId="77777777" w:rsidR="00960DFB" w:rsidRPr="006D785E" w:rsidRDefault="00960DFB" w:rsidP="00853654">
      <w:pPr>
        <w:pStyle w:val="ListParagraph"/>
        <w:numPr>
          <w:ilvl w:val="1"/>
          <w:numId w:val="24"/>
        </w:numPr>
        <w:spacing w:after="0" w:line="240" w:lineRule="auto"/>
        <w:rPr>
          <w:color w:val="495965" w:themeColor="text2"/>
        </w:rPr>
      </w:pPr>
      <w:r w:rsidRPr="006D785E">
        <w:rPr>
          <w:color w:val="495965" w:themeColor="text2"/>
        </w:rPr>
        <w:t>The integration of gender into Annual Action Plans, which are central documents in the budget process for all ministries and state institutions has been a central achievement of the GRB initiative, as has been the mandate for the women’s machinery to review these plans.</w:t>
      </w:r>
    </w:p>
    <w:p w14:paraId="68522F14" w14:textId="027A546A" w:rsidR="00960DFB" w:rsidRPr="006D785E" w:rsidRDefault="00960DFB" w:rsidP="00853654">
      <w:pPr>
        <w:pStyle w:val="ListParagraph"/>
        <w:numPr>
          <w:ilvl w:val="1"/>
          <w:numId w:val="24"/>
        </w:numPr>
        <w:spacing w:after="0" w:line="240" w:lineRule="auto"/>
        <w:rPr>
          <w:color w:val="495965" w:themeColor="text2"/>
        </w:rPr>
      </w:pPr>
      <w:r w:rsidRPr="006D785E">
        <w:rPr>
          <w:color w:val="495965" w:themeColor="text2"/>
        </w:rPr>
        <w:lastRenderedPageBreak/>
        <w:t xml:space="preserve">However, while the Government has developed a plan to develop a roadmap for PFM reform, it does not have a comprehensive roadmap like those developed by most </w:t>
      </w:r>
      <w:r w:rsidR="00652D5E">
        <w:rPr>
          <w:color w:val="495965" w:themeColor="text2"/>
        </w:rPr>
        <w:t>PICs and Timor-Leste</w:t>
      </w:r>
      <w:r w:rsidRPr="006D785E">
        <w:rPr>
          <w:color w:val="495965" w:themeColor="text2"/>
        </w:rPr>
        <w:t>,</w:t>
      </w:r>
      <w:r w:rsidRPr="006D785E">
        <w:rPr>
          <w:rStyle w:val="FootnoteReference"/>
          <w:color w:val="495965" w:themeColor="text2"/>
        </w:rPr>
        <w:footnoteReference w:id="43"/>
      </w:r>
      <w:r w:rsidRPr="006D785E">
        <w:rPr>
          <w:color w:val="495965" w:themeColor="text2"/>
        </w:rPr>
        <w:t xml:space="preserve"> so it is hard to assess how well the GRB initiatives are integrated into broader PFM reform processes.</w:t>
      </w:r>
    </w:p>
    <w:p w14:paraId="33E50E46" w14:textId="77777777" w:rsidR="00960DFB" w:rsidRPr="006D785E" w:rsidRDefault="00960DFB" w:rsidP="00853654">
      <w:pPr>
        <w:pStyle w:val="ListParagraph"/>
        <w:numPr>
          <w:ilvl w:val="0"/>
          <w:numId w:val="24"/>
        </w:numPr>
        <w:spacing w:after="0" w:line="240" w:lineRule="auto"/>
        <w:rPr>
          <w:color w:val="495965" w:themeColor="text2"/>
        </w:rPr>
      </w:pPr>
      <w:r w:rsidRPr="006D785E">
        <w:rPr>
          <w:color w:val="495965" w:themeColor="text2"/>
        </w:rPr>
        <w:t xml:space="preserve">Support from development partners has been strong and sustained, but there has been a degree of fragmentation and a lack of transparency about some of the assistance being provided through the country’s </w:t>
      </w:r>
      <w:proofErr w:type="spellStart"/>
      <w:r w:rsidRPr="006D785E">
        <w:rPr>
          <w:color w:val="495965" w:themeColor="text2"/>
        </w:rPr>
        <w:t>lusophone</w:t>
      </w:r>
      <w:proofErr w:type="spellEnd"/>
      <w:r w:rsidRPr="006D785E">
        <w:rPr>
          <w:color w:val="495965" w:themeColor="text2"/>
        </w:rPr>
        <w:t xml:space="preserve"> linkages and directly contracted advisory services. The support has been working across the key dimensions of awareness, </w:t>
      </w:r>
      <w:proofErr w:type="gramStart"/>
      <w:r w:rsidRPr="006D785E">
        <w:rPr>
          <w:color w:val="495965" w:themeColor="text2"/>
        </w:rPr>
        <w:t>accountability</w:t>
      </w:r>
      <w:proofErr w:type="gramEnd"/>
      <w:r w:rsidRPr="006D785E">
        <w:rPr>
          <w:color w:val="495965" w:themeColor="text2"/>
        </w:rPr>
        <w:t xml:space="preserve"> and change. </w:t>
      </w:r>
    </w:p>
    <w:p w14:paraId="75615E81" w14:textId="3A992FA3" w:rsidR="00960DFB" w:rsidRPr="006D785E" w:rsidRDefault="00960DFB" w:rsidP="00853654">
      <w:pPr>
        <w:pStyle w:val="ListParagraph"/>
        <w:numPr>
          <w:ilvl w:val="1"/>
          <w:numId w:val="24"/>
        </w:numPr>
        <w:spacing w:after="0" w:line="240" w:lineRule="auto"/>
        <w:rPr>
          <w:color w:val="495965" w:themeColor="text2"/>
        </w:rPr>
      </w:pPr>
      <w:r w:rsidRPr="006D785E">
        <w:rPr>
          <w:color w:val="495965" w:themeColor="text2"/>
        </w:rPr>
        <w:t>The downside to this is that the actual implementation of gender-sensitive policies has been heavily driven</w:t>
      </w:r>
      <w:r w:rsidR="009D707D">
        <w:rPr>
          <w:color w:val="495965" w:themeColor="text2"/>
        </w:rPr>
        <w:t xml:space="preserve"> by development partners</w:t>
      </w:r>
      <w:r w:rsidRPr="006D785E">
        <w:rPr>
          <w:color w:val="495965" w:themeColor="text2"/>
        </w:rPr>
        <w:t xml:space="preserve"> with initiative often coming to a halt when external funding ceases</w:t>
      </w:r>
      <w:r w:rsidR="006D785E">
        <w:rPr>
          <w:color w:val="495965" w:themeColor="text2"/>
        </w:rPr>
        <w:t>.</w:t>
      </w:r>
      <w:r w:rsidRPr="006D785E">
        <w:rPr>
          <w:rStyle w:val="FootnoteReference"/>
          <w:color w:val="495965" w:themeColor="text2"/>
        </w:rPr>
        <w:footnoteReference w:id="44"/>
      </w:r>
    </w:p>
    <w:p w14:paraId="18731FC3" w14:textId="77777777" w:rsidR="00362279" w:rsidRDefault="00362279">
      <w:pPr>
        <w:suppressAutoHyphens w:val="0"/>
        <w:spacing w:before="0" w:after="120" w:line="440" w:lineRule="atLeast"/>
        <w:rPr>
          <w:rFonts w:asciiTheme="majorHAnsi" w:eastAsiaTheme="majorEastAsia" w:hAnsiTheme="majorHAnsi" w:cstheme="majorBidi"/>
          <w:b/>
          <w:bCs/>
          <w:caps/>
          <w:sz w:val="38"/>
          <w:szCs w:val="28"/>
        </w:rPr>
      </w:pPr>
      <w:r>
        <w:br w:type="page"/>
      </w:r>
    </w:p>
    <w:p w14:paraId="690DE3FD" w14:textId="77777777" w:rsidR="00633A66" w:rsidRDefault="00633A66" w:rsidP="00960DFB">
      <w:pPr>
        <w:pStyle w:val="Heading1"/>
        <w:sectPr w:rsidR="00633A66" w:rsidSect="00343560">
          <w:headerReference w:type="default" r:id="rId36"/>
          <w:footerReference w:type="default" r:id="rId37"/>
          <w:endnotePr>
            <w:numFmt w:val="decimal"/>
          </w:endnotePr>
          <w:pgSz w:w="12240" w:h="15840" w:code="1"/>
          <w:pgMar w:top="1701" w:right="1134" w:bottom="1418" w:left="1134" w:header="397" w:footer="482" w:gutter="0"/>
          <w:cols w:space="397"/>
          <w:docGrid w:linePitch="360"/>
        </w:sectPr>
      </w:pPr>
    </w:p>
    <w:p w14:paraId="0DAFED32" w14:textId="75F2EFAC" w:rsidR="00960DFB" w:rsidRDefault="00960DFB" w:rsidP="00960DFB">
      <w:pPr>
        <w:pStyle w:val="Heading1"/>
      </w:pPr>
      <w:bookmarkStart w:id="93" w:name="_Toc108168338"/>
      <w:bookmarkStart w:id="94" w:name="_Toc120201434"/>
      <w:bookmarkStart w:id="95" w:name="_Toc120544541"/>
      <w:r>
        <w:lastRenderedPageBreak/>
        <w:t>Annex G Gender mainstreaming in Pacific Island Countries</w:t>
      </w:r>
      <w:bookmarkEnd w:id="93"/>
      <w:bookmarkEnd w:id="94"/>
      <w:bookmarkEnd w:id="95"/>
    </w:p>
    <w:p w14:paraId="312B5F2C" w14:textId="19539204" w:rsidR="00960DFB" w:rsidRDefault="00960DFB" w:rsidP="00D254AC">
      <w:r>
        <w:t xml:space="preserve">This table presents the results of a meta-analysis of levels of capacity with respect to </w:t>
      </w:r>
      <w:r w:rsidR="00D254AC">
        <w:t xml:space="preserve">19 </w:t>
      </w:r>
      <w:r>
        <w:t>key enabling factors for gender mainstreaming as assessed in stocktakes undertaken as part of the Progressing Gender Equality in the Pacific Program</w:t>
      </w:r>
      <w:r w:rsidR="00D254AC">
        <w:t>.</w:t>
      </w:r>
    </w:p>
    <w:tbl>
      <w:tblPr>
        <w:tblW w:w="5000" w:type="pct"/>
        <w:tblLook w:val="04A0" w:firstRow="1" w:lastRow="0" w:firstColumn="1" w:lastColumn="0" w:noHBand="0" w:noVBand="1"/>
      </w:tblPr>
      <w:tblGrid>
        <w:gridCol w:w="5174"/>
        <w:gridCol w:w="712"/>
        <w:gridCol w:w="436"/>
        <w:gridCol w:w="609"/>
        <w:gridCol w:w="749"/>
        <w:gridCol w:w="667"/>
        <w:gridCol w:w="554"/>
        <w:gridCol w:w="523"/>
        <w:gridCol w:w="611"/>
        <w:gridCol w:w="610"/>
        <w:gridCol w:w="705"/>
        <w:gridCol w:w="857"/>
        <w:gridCol w:w="660"/>
        <w:gridCol w:w="695"/>
      </w:tblGrid>
      <w:tr w:rsidR="00CB6BF7" w:rsidRPr="00DE6894" w14:paraId="1820B551" w14:textId="77777777" w:rsidTr="00472197">
        <w:trPr>
          <w:cantSplit/>
          <w:trHeight w:val="459"/>
        </w:trPr>
        <w:tc>
          <w:tcPr>
            <w:tcW w:w="1908" w:type="pct"/>
            <w:tcBorders>
              <w:top w:val="nil"/>
              <w:left w:val="nil"/>
              <w:bottom w:val="single" w:sz="8" w:space="0" w:color="FFFFFF"/>
              <w:right w:val="single" w:sz="8" w:space="0" w:color="FFFFFF"/>
            </w:tcBorders>
            <w:shd w:val="clear" w:color="auto" w:fill="auto"/>
            <w:vAlign w:val="center"/>
            <w:hideMark/>
          </w:tcPr>
          <w:p w14:paraId="332A106B" w14:textId="38D68A36" w:rsidR="00CB6BF7" w:rsidRPr="00CB6BF7" w:rsidRDefault="00CB6BF7" w:rsidP="00CB6BF7">
            <w:pPr>
              <w:suppressAutoHyphens w:val="0"/>
              <w:spacing w:before="0"/>
              <w:jc w:val="right"/>
              <w:rPr>
                <w:rFonts w:ascii="Calibri Light" w:eastAsia="Times New Roman" w:hAnsi="Calibri Light" w:cs="Times New Roman"/>
                <w:b/>
                <w:bCs/>
                <w:color w:val="495965"/>
                <w:sz w:val="18"/>
                <w:szCs w:val="18"/>
                <w:lang w:val="en-AU" w:eastAsia="en-AU"/>
              </w:rPr>
            </w:pPr>
            <w:r w:rsidRPr="00CB6BF7">
              <w:rPr>
                <w:rFonts w:ascii="Calibri Light" w:eastAsia="Times New Roman" w:hAnsi="Calibri Light" w:cs="Times New Roman"/>
                <w:b/>
                <w:bCs/>
                <w:color w:val="495965"/>
                <w:sz w:val="18"/>
                <w:szCs w:val="18"/>
                <w:lang w:val="en-AU" w:eastAsia="en-AU"/>
              </w:rPr>
              <w:t> Country:</w:t>
            </w:r>
          </w:p>
        </w:tc>
        <w:tc>
          <w:tcPr>
            <w:tcW w:w="262" w:type="pct"/>
            <w:tcBorders>
              <w:top w:val="single" w:sz="8" w:space="0" w:color="FFFFFF"/>
              <w:left w:val="nil"/>
              <w:bottom w:val="single" w:sz="4" w:space="0" w:color="FFFFFF" w:themeColor="background1"/>
              <w:right w:val="single" w:sz="8" w:space="0" w:color="FFFFFF"/>
            </w:tcBorders>
            <w:shd w:val="clear" w:color="auto" w:fill="auto"/>
            <w:vAlign w:val="center"/>
            <w:hideMark/>
          </w:tcPr>
          <w:p w14:paraId="66806222" w14:textId="77777777" w:rsidR="00CB6BF7"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Pr>
                <w:rFonts w:ascii="Calibri Light" w:eastAsia="Times New Roman" w:hAnsi="Calibri Light" w:cs="Times New Roman"/>
                <w:b/>
                <w:bCs/>
                <w:color w:val="495965"/>
                <w:sz w:val="18"/>
                <w:szCs w:val="18"/>
                <w:lang w:val="en-AU" w:eastAsia="en-AU"/>
              </w:rPr>
              <w:t>Cook</w:t>
            </w:r>
          </w:p>
          <w:p w14:paraId="6FC4ACDE" w14:textId="664191E2" w:rsidR="00CB6BF7" w:rsidRPr="00DE6894" w:rsidRDefault="00CB6BF7" w:rsidP="00DE6894">
            <w:pPr>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Islands</w:t>
            </w:r>
          </w:p>
        </w:tc>
        <w:tc>
          <w:tcPr>
            <w:tcW w:w="161"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6728A2E1"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Fiji</w:t>
            </w:r>
          </w:p>
        </w:tc>
        <w:tc>
          <w:tcPr>
            <w:tcW w:w="225"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1CFD70AD"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FSM</w:t>
            </w:r>
          </w:p>
        </w:tc>
        <w:tc>
          <w:tcPr>
            <w:tcW w:w="276"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41D855A5"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Kiribati</w:t>
            </w:r>
          </w:p>
        </w:tc>
        <w:tc>
          <w:tcPr>
            <w:tcW w:w="246"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235A68A5"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Nauru</w:t>
            </w:r>
          </w:p>
        </w:tc>
        <w:tc>
          <w:tcPr>
            <w:tcW w:w="204"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5E6D4347"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Niue</w:t>
            </w:r>
          </w:p>
        </w:tc>
        <w:tc>
          <w:tcPr>
            <w:tcW w:w="193"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20BAE39F"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RMI</w:t>
            </w:r>
          </w:p>
        </w:tc>
        <w:tc>
          <w:tcPr>
            <w:tcW w:w="225"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3CBB02A9"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Palau</w:t>
            </w:r>
          </w:p>
        </w:tc>
        <w:tc>
          <w:tcPr>
            <w:tcW w:w="225"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6D61D433"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PNG</w:t>
            </w:r>
          </w:p>
        </w:tc>
        <w:tc>
          <w:tcPr>
            <w:tcW w:w="260"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5D169B51"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Samoa</w:t>
            </w:r>
          </w:p>
        </w:tc>
        <w:tc>
          <w:tcPr>
            <w:tcW w:w="316" w:type="pct"/>
            <w:tcBorders>
              <w:top w:val="single" w:sz="8" w:space="0" w:color="FFFFFF"/>
              <w:left w:val="nil"/>
              <w:bottom w:val="single" w:sz="4" w:space="0" w:color="FFFFFF" w:themeColor="background1"/>
              <w:right w:val="single" w:sz="8" w:space="0" w:color="FFFFFF"/>
            </w:tcBorders>
            <w:shd w:val="clear" w:color="auto" w:fill="auto"/>
            <w:vAlign w:val="center"/>
            <w:hideMark/>
          </w:tcPr>
          <w:p w14:paraId="47668BEF"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Solomon</w:t>
            </w:r>
          </w:p>
          <w:p w14:paraId="475156C1" w14:textId="4413289D" w:rsidR="00CB6BF7" w:rsidRPr="00DE6894" w:rsidRDefault="00CB6BF7" w:rsidP="00DE6894">
            <w:pPr>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Islands</w:t>
            </w:r>
          </w:p>
        </w:tc>
        <w:tc>
          <w:tcPr>
            <w:tcW w:w="243"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167A0C46"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Tonga</w:t>
            </w:r>
          </w:p>
        </w:tc>
        <w:tc>
          <w:tcPr>
            <w:tcW w:w="256"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63358AF5" w14:textId="77777777" w:rsidR="00CB6BF7" w:rsidRPr="00DE6894" w:rsidRDefault="00CB6BF7" w:rsidP="00DE6894">
            <w:pPr>
              <w:suppressAutoHyphens w:val="0"/>
              <w:spacing w:before="0"/>
              <w:jc w:val="center"/>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Tuvalu</w:t>
            </w:r>
          </w:p>
        </w:tc>
      </w:tr>
      <w:tr w:rsidR="00DE6894" w:rsidRPr="00DE6894" w14:paraId="3B9B327F" w14:textId="77777777" w:rsidTr="00472197">
        <w:trPr>
          <w:trHeight w:val="20"/>
        </w:trPr>
        <w:tc>
          <w:tcPr>
            <w:tcW w:w="1908" w:type="pct"/>
            <w:tcBorders>
              <w:top w:val="nil"/>
              <w:left w:val="single" w:sz="8" w:space="0" w:color="FFFFFF"/>
              <w:bottom w:val="single" w:sz="8" w:space="0" w:color="FFFFFF"/>
              <w:right w:val="nil"/>
            </w:tcBorders>
            <w:shd w:val="clear" w:color="000000" w:fill="B1BDC7"/>
            <w:vAlign w:val="center"/>
            <w:hideMark/>
          </w:tcPr>
          <w:p w14:paraId="32A8BD2D" w14:textId="77777777" w:rsidR="00DE6894" w:rsidRPr="00DE6894" w:rsidRDefault="00DE6894" w:rsidP="00DE6894">
            <w:pPr>
              <w:suppressAutoHyphens w:val="0"/>
              <w:spacing w:before="0"/>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Legal and policy frameworks</w:t>
            </w:r>
          </w:p>
        </w:tc>
        <w:tc>
          <w:tcPr>
            <w:tcW w:w="262" w:type="pct"/>
            <w:tcBorders>
              <w:top w:val="single" w:sz="4" w:space="0" w:color="FFFFFF" w:themeColor="background1"/>
              <w:left w:val="nil"/>
              <w:bottom w:val="single" w:sz="8" w:space="0" w:color="FFFFFF"/>
              <w:right w:val="nil"/>
            </w:tcBorders>
            <w:shd w:val="clear" w:color="000000" w:fill="B1BDC7"/>
            <w:vAlign w:val="center"/>
            <w:hideMark/>
          </w:tcPr>
          <w:p w14:paraId="0E6E26AA"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161" w:type="pct"/>
            <w:tcBorders>
              <w:top w:val="nil"/>
              <w:left w:val="nil"/>
              <w:bottom w:val="single" w:sz="8" w:space="0" w:color="FFFFFF"/>
              <w:right w:val="nil"/>
            </w:tcBorders>
            <w:shd w:val="clear" w:color="000000" w:fill="B1BDC7"/>
            <w:vAlign w:val="center"/>
            <w:hideMark/>
          </w:tcPr>
          <w:p w14:paraId="32CE0DE4"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225" w:type="pct"/>
            <w:tcBorders>
              <w:top w:val="nil"/>
              <w:left w:val="nil"/>
              <w:bottom w:val="single" w:sz="8" w:space="0" w:color="FFFFFF"/>
              <w:right w:val="nil"/>
            </w:tcBorders>
            <w:shd w:val="clear" w:color="000000" w:fill="B1BDC7"/>
            <w:vAlign w:val="center"/>
            <w:hideMark/>
          </w:tcPr>
          <w:p w14:paraId="25F7BE45"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276" w:type="pct"/>
            <w:tcBorders>
              <w:top w:val="nil"/>
              <w:left w:val="nil"/>
              <w:bottom w:val="single" w:sz="8" w:space="0" w:color="FFFFFF"/>
              <w:right w:val="nil"/>
            </w:tcBorders>
            <w:shd w:val="clear" w:color="000000" w:fill="B1BDC7"/>
            <w:vAlign w:val="center"/>
            <w:hideMark/>
          </w:tcPr>
          <w:p w14:paraId="2C4B19C3"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246" w:type="pct"/>
            <w:tcBorders>
              <w:top w:val="nil"/>
              <w:left w:val="nil"/>
              <w:bottom w:val="single" w:sz="8" w:space="0" w:color="FFFFFF"/>
              <w:right w:val="nil"/>
            </w:tcBorders>
            <w:shd w:val="clear" w:color="000000" w:fill="B1BDC7"/>
            <w:vAlign w:val="center"/>
            <w:hideMark/>
          </w:tcPr>
          <w:p w14:paraId="58280642"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204" w:type="pct"/>
            <w:tcBorders>
              <w:top w:val="nil"/>
              <w:left w:val="nil"/>
              <w:bottom w:val="single" w:sz="8" w:space="0" w:color="FFFFFF"/>
              <w:right w:val="nil"/>
            </w:tcBorders>
            <w:shd w:val="clear" w:color="000000" w:fill="B1BDC7"/>
            <w:vAlign w:val="center"/>
            <w:hideMark/>
          </w:tcPr>
          <w:p w14:paraId="12850991"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193" w:type="pct"/>
            <w:tcBorders>
              <w:top w:val="nil"/>
              <w:left w:val="nil"/>
              <w:bottom w:val="single" w:sz="8" w:space="0" w:color="FFFFFF"/>
              <w:right w:val="nil"/>
            </w:tcBorders>
            <w:shd w:val="clear" w:color="000000" w:fill="B1BDC7"/>
            <w:vAlign w:val="center"/>
            <w:hideMark/>
          </w:tcPr>
          <w:p w14:paraId="14CCAF42"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225" w:type="pct"/>
            <w:tcBorders>
              <w:top w:val="nil"/>
              <w:left w:val="nil"/>
              <w:bottom w:val="single" w:sz="8" w:space="0" w:color="FFFFFF"/>
              <w:right w:val="nil"/>
            </w:tcBorders>
            <w:shd w:val="clear" w:color="000000" w:fill="B1BDC7"/>
            <w:vAlign w:val="center"/>
            <w:hideMark/>
          </w:tcPr>
          <w:p w14:paraId="0B6C3791"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225" w:type="pct"/>
            <w:tcBorders>
              <w:top w:val="nil"/>
              <w:left w:val="nil"/>
              <w:bottom w:val="single" w:sz="8" w:space="0" w:color="FFFFFF"/>
              <w:right w:val="nil"/>
            </w:tcBorders>
            <w:shd w:val="clear" w:color="000000" w:fill="B1BDC7"/>
            <w:vAlign w:val="center"/>
            <w:hideMark/>
          </w:tcPr>
          <w:p w14:paraId="519C7F2E"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260" w:type="pct"/>
            <w:tcBorders>
              <w:top w:val="nil"/>
              <w:left w:val="nil"/>
              <w:bottom w:val="single" w:sz="8" w:space="0" w:color="FFFFFF"/>
              <w:right w:val="nil"/>
            </w:tcBorders>
            <w:shd w:val="clear" w:color="000000" w:fill="B1BDC7"/>
            <w:vAlign w:val="center"/>
            <w:hideMark/>
          </w:tcPr>
          <w:p w14:paraId="7BC7E8D1"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316" w:type="pct"/>
            <w:tcBorders>
              <w:top w:val="single" w:sz="4" w:space="0" w:color="FFFFFF" w:themeColor="background1"/>
              <w:left w:val="nil"/>
              <w:bottom w:val="single" w:sz="8" w:space="0" w:color="FFFFFF"/>
              <w:right w:val="nil"/>
            </w:tcBorders>
            <w:shd w:val="clear" w:color="000000" w:fill="B1BDC7"/>
            <w:vAlign w:val="center"/>
            <w:hideMark/>
          </w:tcPr>
          <w:p w14:paraId="3F3B835A"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243" w:type="pct"/>
            <w:tcBorders>
              <w:top w:val="nil"/>
              <w:left w:val="nil"/>
              <w:bottom w:val="single" w:sz="8" w:space="0" w:color="FFFFFF"/>
              <w:right w:val="nil"/>
            </w:tcBorders>
            <w:shd w:val="clear" w:color="000000" w:fill="B1BDC7"/>
            <w:vAlign w:val="center"/>
            <w:hideMark/>
          </w:tcPr>
          <w:p w14:paraId="692ADD0C"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c>
          <w:tcPr>
            <w:tcW w:w="256" w:type="pct"/>
            <w:tcBorders>
              <w:top w:val="nil"/>
              <w:left w:val="nil"/>
              <w:bottom w:val="single" w:sz="8" w:space="0" w:color="FFFFFF"/>
              <w:right w:val="single" w:sz="8" w:space="0" w:color="FFFFFF"/>
            </w:tcBorders>
            <w:shd w:val="clear" w:color="000000" w:fill="B1BDC7"/>
            <w:vAlign w:val="center"/>
            <w:hideMark/>
          </w:tcPr>
          <w:p w14:paraId="2C6F0EE5" w14:textId="77777777" w:rsidR="00DE6894" w:rsidRPr="00DE6894" w:rsidRDefault="00DE6894" w:rsidP="00DE6894">
            <w:pPr>
              <w:suppressAutoHyphens w:val="0"/>
              <w:spacing w:before="0"/>
              <w:jc w:val="center"/>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 </w:t>
            </w:r>
          </w:p>
        </w:tc>
      </w:tr>
      <w:tr w:rsidR="00DE6894" w:rsidRPr="00DE6894" w14:paraId="2FC5A617"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4BECFAAB"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Ratification of international instruments</w:t>
            </w:r>
          </w:p>
        </w:tc>
        <w:tc>
          <w:tcPr>
            <w:tcW w:w="262" w:type="pct"/>
            <w:tcBorders>
              <w:top w:val="nil"/>
              <w:left w:val="nil"/>
              <w:bottom w:val="single" w:sz="8" w:space="0" w:color="FFFFFF"/>
              <w:right w:val="single" w:sz="8" w:space="0" w:color="FFFFFF"/>
            </w:tcBorders>
            <w:shd w:val="clear" w:color="000000" w:fill="CDE3BA"/>
            <w:vAlign w:val="center"/>
            <w:hideMark/>
          </w:tcPr>
          <w:p w14:paraId="5D59455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161" w:type="pct"/>
            <w:tcBorders>
              <w:top w:val="nil"/>
              <w:left w:val="nil"/>
              <w:bottom w:val="single" w:sz="8" w:space="0" w:color="FFFFFF"/>
              <w:right w:val="single" w:sz="8" w:space="0" w:color="FFFFFF"/>
            </w:tcBorders>
            <w:shd w:val="clear" w:color="000000" w:fill="CDE3BA"/>
            <w:vAlign w:val="center"/>
            <w:hideMark/>
          </w:tcPr>
          <w:p w14:paraId="44C6F96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25" w:type="pct"/>
            <w:tcBorders>
              <w:top w:val="nil"/>
              <w:left w:val="nil"/>
              <w:bottom w:val="single" w:sz="8" w:space="0" w:color="FFFFFF"/>
              <w:right w:val="single" w:sz="8" w:space="0" w:color="FFFFFF"/>
            </w:tcBorders>
            <w:shd w:val="clear" w:color="000000" w:fill="CDE3BA"/>
            <w:vAlign w:val="center"/>
            <w:hideMark/>
          </w:tcPr>
          <w:p w14:paraId="205B68A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76" w:type="pct"/>
            <w:tcBorders>
              <w:top w:val="nil"/>
              <w:left w:val="nil"/>
              <w:bottom w:val="single" w:sz="8" w:space="0" w:color="FFFFFF"/>
              <w:right w:val="single" w:sz="8" w:space="0" w:color="FFFFFF"/>
            </w:tcBorders>
            <w:shd w:val="clear" w:color="000000" w:fill="CDE3BA"/>
            <w:vAlign w:val="center"/>
            <w:hideMark/>
          </w:tcPr>
          <w:p w14:paraId="6DCA558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46" w:type="pct"/>
            <w:tcBorders>
              <w:top w:val="nil"/>
              <w:left w:val="nil"/>
              <w:bottom w:val="single" w:sz="8" w:space="0" w:color="FFFFFF"/>
              <w:right w:val="single" w:sz="8" w:space="0" w:color="FFFFFF"/>
            </w:tcBorders>
            <w:shd w:val="clear" w:color="000000" w:fill="CDE3BA"/>
            <w:vAlign w:val="center"/>
            <w:hideMark/>
          </w:tcPr>
          <w:p w14:paraId="0641441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04" w:type="pct"/>
            <w:tcBorders>
              <w:top w:val="nil"/>
              <w:left w:val="nil"/>
              <w:bottom w:val="single" w:sz="8" w:space="0" w:color="FFFFFF"/>
              <w:right w:val="single" w:sz="8" w:space="0" w:color="FFFFFF"/>
            </w:tcBorders>
            <w:shd w:val="clear" w:color="000000" w:fill="A3DCD2"/>
            <w:vAlign w:val="center"/>
            <w:hideMark/>
          </w:tcPr>
          <w:p w14:paraId="10DCF00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193" w:type="pct"/>
            <w:tcBorders>
              <w:top w:val="nil"/>
              <w:left w:val="nil"/>
              <w:bottom w:val="single" w:sz="8" w:space="0" w:color="FFFFFF"/>
              <w:right w:val="single" w:sz="8" w:space="0" w:color="FFFFFF"/>
            </w:tcBorders>
            <w:shd w:val="clear" w:color="000000" w:fill="CDE3BA"/>
            <w:vAlign w:val="center"/>
            <w:hideMark/>
          </w:tcPr>
          <w:p w14:paraId="06F2258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25" w:type="pct"/>
            <w:tcBorders>
              <w:top w:val="nil"/>
              <w:left w:val="nil"/>
              <w:bottom w:val="single" w:sz="8" w:space="0" w:color="FFFFFF"/>
              <w:right w:val="single" w:sz="8" w:space="0" w:color="FFFFFF"/>
            </w:tcBorders>
            <w:shd w:val="clear" w:color="000000" w:fill="A3DCD2"/>
            <w:vAlign w:val="center"/>
            <w:hideMark/>
          </w:tcPr>
          <w:p w14:paraId="12974B3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CDE3BA"/>
            <w:vAlign w:val="center"/>
            <w:hideMark/>
          </w:tcPr>
          <w:p w14:paraId="512E6C2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60" w:type="pct"/>
            <w:tcBorders>
              <w:top w:val="nil"/>
              <w:left w:val="nil"/>
              <w:bottom w:val="single" w:sz="8" w:space="0" w:color="FFFFFF"/>
              <w:right w:val="single" w:sz="8" w:space="0" w:color="FFFFFF"/>
            </w:tcBorders>
            <w:shd w:val="clear" w:color="000000" w:fill="CDE3BA"/>
            <w:vAlign w:val="center"/>
            <w:hideMark/>
          </w:tcPr>
          <w:p w14:paraId="7CF7095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316" w:type="pct"/>
            <w:tcBorders>
              <w:top w:val="nil"/>
              <w:left w:val="nil"/>
              <w:bottom w:val="single" w:sz="8" w:space="0" w:color="FFFFFF"/>
              <w:right w:val="single" w:sz="8" w:space="0" w:color="FFFFFF"/>
            </w:tcBorders>
            <w:shd w:val="clear" w:color="000000" w:fill="CDE3BA"/>
            <w:vAlign w:val="center"/>
            <w:hideMark/>
          </w:tcPr>
          <w:p w14:paraId="2C2D9F1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43" w:type="pct"/>
            <w:tcBorders>
              <w:top w:val="nil"/>
              <w:left w:val="nil"/>
              <w:bottom w:val="single" w:sz="8" w:space="0" w:color="FFFFFF"/>
              <w:right w:val="single" w:sz="8" w:space="0" w:color="FFFFFF"/>
            </w:tcBorders>
            <w:shd w:val="clear" w:color="000000" w:fill="E5B79F"/>
            <w:vAlign w:val="center"/>
            <w:hideMark/>
          </w:tcPr>
          <w:p w14:paraId="6D3D7C4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CDE3BA"/>
            <w:vAlign w:val="center"/>
            <w:hideMark/>
          </w:tcPr>
          <w:p w14:paraId="6AD6068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r>
      <w:tr w:rsidR="00DE6894" w:rsidRPr="00DE6894" w14:paraId="498EDFBB"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4C817E9F"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Constitutional and legislative provisions</w:t>
            </w:r>
          </w:p>
        </w:tc>
        <w:tc>
          <w:tcPr>
            <w:tcW w:w="262" w:type="pct"/>
            <w:tcBorders>
              <w:top w:val="nil"/>
              <w:left w:val="nil"/>
              <w:bottom w:val="single" w:sz="8" w:space="0" w:color="FFFFFF"/>
              <w:right w:val="single" w:sz="8" w:space="0" w:color="FFFFFF"/>
            </w:tcBorders>
            <w:shd w:val="clear" w:color="000000" w:fill="A3DCD2"/>
            <w:vAlign w:val="center"/>
            <w:hideMark/>
          </w:tcPr>
          <w:p w14:paraId="1EE3716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161" w:type="pct"/>
            <w:tcBorders>
              <w:top w:val="nil"/>
              <w:left w:val="nil"/>
              <w:bottom w:val="single" w:sz="8" w:space="0" w:color="FFFFFF"/>
              <w:right w:val="single" w:sz="8" w:space="0" w:color="FFFFFF"/>
            </w:tcBorders>
            <w:shd w:val="clear" w:color="000000" w:fill="A3DCD2"/>
            <w:vAlign w:val="center"/>
            <w:hideMark/>
          </w:tcPr>
          <w:p w14:paraId="1683505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46AF03F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76" w:type="pct"/>
            <w:tcBorders>
              <w:top w:val="nil"/>
              <w:left w:val="nil"/>
              <w:bottom w:val="single" w:sz="8" w:space="0" w:color="FFFFFF"/>
              <w:right w:val="single" w:sz="8" w:space="0" w:color="FFFFFF"/>
            </w:tcBorders>
            <w:shd w:val="clear" w:color="000000" w:fill="A3DCD2"/>
            <w:vAlign w:val="center"/>
            <w:hideMark/>
          </w:tcPr>
          <w:p w14:paraId="4337B7B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6" w:type="pct"/>
            <w:tcBorders>
              <w:top w:val="nil"/>
              <w:left w:val="nil"/>
              <w:bottom w:val="single" w:sz="8" w:space="0" w:color="FFFFFF"/>
              <w:right w:val="single" w:sz="8" w:space="0" w:color="FFFFFF"/>
            </w:tcBorders>
            <w:shd w:val="clear" w:color="000000" w:fill="A3DCD2"/>
            <w:vAlign w:val="center"/>
            <w:hideMark/>
          </w:tcPr>
          <w:p w14:paraId="4B903FB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04" w:type="pct"/>
            <w:tcBorders>
              <w:top w:val="nil"/>
              <w:left w:val="nil"/>
              <w:bottom w:val="single" w:sz="8" w:space="0" w:color="FFFFFF"/>
              <w:right w:val="single" w:sz="8" w:space="0" w:color="FFFFFF"/>
            </w:tcBorders>
            <w:shd w:val="clear" w:color="000000" w:fill="A3DCD2"/>
            <w:vAlign w:val="center"/>
            <w:hideMark/>
          </w:tcPr>
          <w:p w14:paraId="77E97E4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193" w:type="pct"/>
            <w:tcBorders>
              <w:top w:val="nil"/>
              <w:left w:val="nil"/>
              <w:bottom w:val="single" w:sz="8" w:space="0" w:color="FFFFFF"/>
              <w:right w:val="single" w:sz="8" w:space="0" w:color="FFFFFF"/>
            </w:tcBorders>
            <w:shd w:val="clear" w:color="000000" w:fill="A3DCD2"/>
            <w:vAlign w:val="center"/>
            <w:hideMark/>
          </w:tcPr>
          <w:p w14:paraId="539EADC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097E9846"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58A4602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60" w:type="pct"/>
            <w:tcBorders>
              <w:top w:val="nil"/>
              <w:left w:val="nil"/>
              <w:bottom w:val="single" w:sz="8" w:space="0" w:color="FFFFFF"/>
              <w:right w:val="single" w:sz="8" w:space="0" w:color="FFFFFF"/>
            </w:tcBorders>
            <w:shd w:val="clear" w:color="000000" w:fill="A3DCD2"/>
            <w:vAlign w:val="center"/>
            <w:hideMark/>
          </w:tcPr>
          <w:p w14:paraId="35090D16"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A3DCD2"/>
            <w:vAlign w:val="center"/>
            <w:hideMark/>
          </w:tcPr>
          <w:p w14:paraId="3747CDD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3" w:type="pct"/>
            <w:tcBorders>
              <w:top w:val="nil"/>
              <w:left w:val="nil"/>
              <w:bottom w:val="single" w:sz="8" w:space="0" w:color="FFFFFF"/>
              <w:right w:val="single" w:sz="8" w:space="0" w:color="FFFFFF"/>
            </w:tcBorders>
            <w:shd w:val="clear" w:color="000000" w:fill="E5B79F"/>
            <w:vAlign w:val="center"/>
            <w:hideMark/>
          </w:tcPr>
          <w:p w14:paraId="58AFE06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E5B79F"/>
            <w:vAlign w:val="center"/>
            <w:hideMark/>
          </w:tcPr>
          <w:p w14:paraId="6E40DDE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r>
      <w:tr w:rsidR="00DE6894" w:rsidRPr="00DE6894" w14:paraId="35768E0F"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0929F4E9"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Government policy mandates</w:t>
            </w:r>
          </w:p>
        </w:tc>
        <w:tc>
          <w:tcPr>
            <w:tcW w:w="262" w:type="pct"/>
            <w:tcBorders>
              <w:top w:val="nil"/>
              <w:left w:val="nil"/>
              <w:bottom w:val="single" w:sz="8" w:space="0" w:color="FFFFFF"/>
              <w:right w:val="single" w:sz="8" w:space="0" w:color="FFFFFF"/>
            </w:tcBorders>
            <w:shd w:val="clear" w:color="000000" w:fill="CDE3BA"/>
            <w:vAlign w:val="center"/>
            <w:hideMark/>
          </w:tcPr>
          <w:p w14:paraId="29A5384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161" w:type="pct"/>
            <w:tcBorders>
              <w:top w:val="nil"/>
              <w:left w:val="nil"/>
              <w:bottom w:val="single" w:sz="8" w:space="0" w:color="FFFFFF"/>
              <w:right w:val="single" w:sz="8" w:space="0" w:color="FFFFFF"/>
            </w:tcBorders>
            <w:shd w:val="clear" w:color="000000" w:fill="CDE3BA"/>
            <w:vAlign w:val="center"/>
            <w:hideMark/>
          </w:tcPr>
          <w:p w14:paraId="426DE1E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25" w:type="pct"/>
            <w:tcBorders>
              <w:top w:val="nil"/>
              <w:left w:val="nil"/>
              <w:bottom w:val="single" w:sz="8" w:space="0" w:color="FFFFFF"/>
              <w:right w:val="single" w:sz="8" w:space="0" w:color="FFFFFF"/>
            </w:tcBorders>
            <w:shd w:val="clear" w:color="000000" w:fill="E5B79F"/>
            <w:vAlign w:val="center"/>
            <w:hideMark/>
          </w:tcPr>
          <w:p w14:paraId="0C7F2A8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A3DCD2"/>
            <w:vAlign w:val="center"/>
            <w:hideMark/>
          </w:tcPr>
          <w:p w14:paraId="058FB3A6"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6" w:type="pct"/>
            <w:tcBorders>
              <w:top w:val="nil"/>
              <w:left w:val="nil"/>
              <w:bottom w:val="single" w:sz="8" w:space="0" w:color="FFFFFF"/>
              <w:right w:val="single" w:sz="8" w:space="0" w:color="FFFFFF"/>
            </w:tcBorders>
            <w:shd w:val="clear" w:color="000000" w:fill="CDE3BA"/>
            <w:vAlign w:val="center"/>
            <w:hideMark/>
          </w:tcPr>
          <w:p w14:paraId="74EB8DA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04" w:type="pct"/>
            <w:tcBorders>
              <w:top w:val="nil"/>
              <w:left w:val="nil"/>
              <w:bottom w:val="single" w:sz="8" w:space="0" w:color="FFFFFF"/>
              <w:right w:val="single" w:sz="8" w:space="0" w:color="FFFFFF"/>
            </w:tcBorders>
            <w:shd w:val="clear" w:color="000000" w:fill="A3DCD2"/>
            <w:vAlign w:val="center"/>
            <w:hideMark/>
          </w:tcPr>
          <w:p w14:paraId="0BA6B2F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193" w:type="pct"/>
            <w:tcBorders>
              <w:top w:val="nil"/>
              <w:left w:val="nil"/>
              <w:bottom w:val="single" w:sz="8" w:space="0" w:color="FFFFFF"/>
              <w:right w:val="single" w:sz="8" w:space="0" w:color="FFFFFF"/>
            </w:tcBorders>
            <w:shd w:val="clear" w:color="000000" w:fill="E5B79F"/>
            <w:vAlign w:val="center"/>
            <w:hideMark/>
          </w:tcPr>
          <w:p w14:paraId="152C591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61638DE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CDE3BA"/>
            <w:vAlign w:val="center"/>
            <w:hideMark/>
          </w:tcPr>
          <w:p w14:paraId="4347544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60" w:type="pct"/>
            <w:tcBorders>
              <w:top w:val="nil"/>
              <w:left w:val="nil"/>
              <w:bottom w:val="single" w:sz="8" w:space="0" w:color="FFFFFF"/>
              <w:right w:val="single" w:sz="8" w:space="0" w:color="FFFFFF"/>
            </w:tcBorders>
            <w:shd w:val="clear" w:color="000000" w:fill="CDE3BA"/>
            <w:vAlign w:val="center"/>
            <w:hideMark/>
          </w:tcPr>
          <w:p w14:paraId="2279B3B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316" w:type="pct"/>
            <w:tcBorders>
              <w:top w:val="nil"/>
              <w:left w:val="nil"/>
              <w:bottom w:val="single" w:sz="8" w:space="0" w:color="FFFFFF"/>
              <w:right w:val="single" w:sz="8" w:space="0" w:color="FFFFFF"/>
            </w:tcBorders>
            <w:shd w:val="clear" w:color="000000" w:fill="A3DCD2"/>
            <w:vAlign w:val="center"/>
            <w:hideMark/>
          </w:tcPr>
          <w:p w14:paraId="31F1221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3" w:type="pct"/>
            <w:tcBorders>
              <w:top w:val="nil"/>
              <w:left w:val="nil"/>
              <w:bottom w:val="single" w:sz="8" w:space="0" w:color="FFFFFF"/>
              <w:right w:val="single" w:sz="8" w:space="0" w:color="FFFFFF"/>
            </w:tcBorders>
            <w:shd w:val="clear" w:color="000000" w:fill="A3DCD2"/>
            <w:vAlign w:val="center"/>
            <w:hideMark/>
          </w:tcPr>
          <w:p w14:paraId="0AB6A52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56" w:type="pct"/>
            <w:tcBorders>
              <w:top w:val="nil"/>
              <w:left w:val="nil"/>
              <w:bottom w:val="single" w:sz="8" w:space="0" w:color="FFFFFF"/>
              <w:right w:val="single" w:sz="8" w:space="0" w:color="FFFFFF"/>
            </w:tcBorders>
            <w:shd w:val="clear" w:color="000000" w:fill="A3DCD2"/>
            <w:vAlign w:val="center"/>
            <w:hideMark/>
          </w:tcPr>
          <w:p w14:paraId="1BEB85B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r>
      <w:tr w:rsidR="00DE6894" w:rsidRPr="00DE6894" w14:paraId="7A80E16D" w14:textId="77777777" w:rsidTr="00CB6BF7">
        <w:trPr>
          <w:trHeight w:val="20"/>
        </w:trPr>
        <w:tc>
          <w:tcPr>
            <w:tcW w:w="1908" w:type="pct"/>
            <w:tcBorders>
              <w:top w:val="nil"/>
              <w:left w:val="single" w:sz="8" w:space="0" w:color="FFFFFF"/>
              <w:bottom w:val="single" w:sz="8" w:space="0" w:color="FFFFFF"/>
              <w:right w:val="nil"/>
            </w:tcBorders>
            <w:shd w:val="clear" w:color="000000" w:fill="B1BDC7"/>
            <w:vAlign w:val="center"/>
            <w:hideMark/>
          </w:tcPr>
          <w:p w14:paraId="2034AC98" w14:textId="77777777" w:rsidR="00DE6894" w:rsidRPr="00DE6894" w:rsidRDefault="00DE6894" w:rsidP="00DE6894">
            <w:pPr>
              <w:suppressAutoHyphens w:val="0"/>
              <w:spacing w:before="0"/>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Political will</w:t>
            </w:r>
          </w:p>
        </w:tc>
        <w:tc>
          <w:tcPr>
            <w:tcW w:w="262" w:type="pct"/>
            <w:tcBorders>
              <w:top w:val="nil"/>
              <w:left w:val="nil"/>
              <w:bottom w:val="single" w:sz="8" w:space="0" w:color="FFFFFF"/>
              <w:right w:val="nil"/>
            </w:tcBorders>
            <w:shd w:val="clear" w:color="000000" w:fill="B1BDC7"/>
            <w:vAlign w:val="center"/>
            <w:hideMark/>
          </w:tcPr>
          <w:p w14:paraId="1FCE0036" w14:textId="1D6A5C9A"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161" w:type="pct"/>
            <w:tcBorders>
              <w:top w:val="nil"/>
              <w:left w:val="nil"/>
              <w:bottom w:val="single" w:sz="8" w:space="0" w:color="FFFFFF"/>
              <w:right w:val="nil"/>
            </w:tcBorders>
            <w:shd w:val="clear" w:color="000000" w:fill="B1BDC7"/>
            <w:vAlign w:val="center"/>
            <w:hideMark/>
          </w:tcPr>
          <w:p w14:paraId="3CEAEBE9" w14:textId="146F3D9D"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1B6930C0" w14:textId="0A9B7652"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76" w:type="pct"/>
            <w:tcBorders>
              <w:top w:val="nil"/>
              <w:left w:val="nil"/>
              <w:bottom w:val="single" w:sz="8" w:space="0" w:color="FFFFFF"/>
              <w:right w:val="nil"/>
            </w:tcBorders>
            <w:shd w:val="clear" w:color="000000" w:fill="B1BDC7"/>
            <w:vAlign w:val="center"/>
            <w:hideMark/>
          </w:tcPr>
          <w:p w14:paraId="2D7FE6D4" w14:textId="0916E9CE"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46" w:type="pct"/>
            <w:tcBorders>
              <w:top w:val="nil"/>
              <w:left w:val="nil"/>
              <w:bottom w:val="single" w:sz="8" w:space="0" w:color="FFFFFF"/>
              <w:right w:val="nil"/>
            </w:tcBorders>
            <w:shd w:val="clear" w:color="000000" w:fill="B1BDC7"/>
            <w:vAlign w:val="center"/>
            <w:hideMark/>
          </w:tcPr>
          <w:p w14:paraId="1EC72BE2" w14:textId="4F143849"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04" w:type="pct"/>
            <w:tcBorders>
              <w:top w:val="nil"/>
              <w:left w:val="nil"/>
              <w:bottom w:val="single" w:sz="8" w:space="0" w:color="FFFFFF"/>
              <w:right w:val="nil"/>
            </w:tcBorders>
            <w:shd w:val="clear" w:color="000000" w:fill="B1BDC7"/>
            <w:vAlign w:val="center"/>
            <w:hideMark/>
          </w:tcPr>
          <w:p w14:paraId="59EB40E9" w14:textId="55C0280D"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193" w:type="pct"/>
            <w:tcBorders>
              <w:top w:val="nil"/>
              <w:left w:val="nil"/>
              <w:bottom w:val="single" w:sz="8" w:space="0" w:color="FFFFFF"/>
              <w:right w:val="nil"/>
            </w:tcBorders>
            <w:shd w:val="clear" w:color="000000" w:fill="B1BDC7"/>
            <w:vAlign w:val="center"/>
            <w:hideMark/>
          </w:tcPr>
          <w:p w14:paraId="3126133F" w14:textId="47CD6B44"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1CBD213E" w14:textId="2E98E2CD"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1EB11AB2" w14:textId="3A4196CF"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60" w:type="pct"/>
            <w:tcBorders>
              <w:top w:val="nil"/>
              <w:left w:val="nil"/>
              <w:bottom w:val="single" w:sz="8" w:space="0" w:color="FFFFFF"/>
              <w:right w:val="nil"/>
            </w:tcBorders>
            <w:shd w:val="clear" w:color="000000" w:fill="B1BDC7"/>
            <w:vAlign w:val="center"/>
            <w:hideMark/>
          </w:tcPr>
          <w:p w14:paraId="0B59E9F8" w14:textId="01434FDB"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316" w:type="pct"/>
            <w:tcBorders>
              <w:top w:val="nil"/>
              <w:left w:val="nil"/>
              <w:bottom w:val="single" w:sz="8" w:space="0" w:color="FFFFFF"/>
              <w:right w:val="nil"/>
            </w:tcBorders>
            <w:shd w:val="clear" w:color="000000" w:fill="B1BDC7"/>
            <w:vAlign w:val="center"/>
            <w:hideMark/>
          </w:tcPr>
          <w:p w14:paraId="137197A1" w14:textId="0E5B3112"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43" w:type="pct"/>
            <w:tcBorders>
              <w:top w:val="nil"/>
              <w:left w:val="nil"/>
              <w:bottom w:val="single" w:sz="8" w:space="0" w:color="FFFFFF"/>
              <w:right w:val="nil"/>
            </w:tcBorders>
            <w:shd w:val="clear" w:color="000000" w:fill="B1BDC7"/>
            <w:vAlign w:val="center"/>
            <w:hideMark/>
          </w:tcPr>
          <w:p w14:paraId="07D2A860" w14:textId="5B762EF8"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56" w:type="pct"/>
            <w:tcBorders>
              <w:top w:val="nil"/>
              <w:left w:val="nil"/>
              <w:bottom w:val="single" w:sz="8" w:space="0" w:color="FFFFFF"/>
              <w:right w:val="single" w:sz="8" w:space="0" w:color="FFFFFF"/>
            </w:tcBorders>
            <w:shd w:val="clear" w:color="000000" w:fill="B1BDC7"/>
            <w:vAlign w:val="center"/>
            <w:hideMark/>
          </w:tcPr>
          <w:p w14:paraId="379216C9" w14:textId="5FF4C49C"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r>
      <w:tr w:rsidR="00DE6894" w:rsidRPr="00DE6894" w14:paraId="2F802B3D"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3D550C95"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Awareness of gender mainstreaming across government</w:t>
            </w:r>
          </w:p>
        </w:tc>
        <w:tc>
          <w:tcPr>
            <w:tcW w:w="262" w:type="pct"/>
            <w:tcBorders>
              <w:top w:val="nil"/>
              <w:left w:val="nil"/>
              <w:bottom w:val="single" w:sz="8" w:space="0" w:color="FFFFFF"/>
              <w:right w:val="single" w:sz="8" w:space="0" w:color="FFFFFF"/>
            </w:tcBorders>
            <w:shd w:val="clear" w:color="000000" w:fill="A3DCD2"/>
            <w:vAlign w:val="center"/>
            <w:hideMark/>
          </w:tcPr>
          <w:p w14:paraId="02D07EE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161" w:type="pct"/>
            <w:tcBorders>
              <w:top w:val="nil"/>
              <w:left w:val="nil"/>
              <w:bottom w:val="single" w:sz="8" w:space="0" w:color="FFFFFF"/>
              <w:right w:val="single" w:sz="8" w:space="0" w:color="FFFFFF"/>
            </w:tcBorders>
            <w:shd w:val="clear" w:color="000000" w:fill="A3DCD2"/>
            <w:vAlign w:val="center"/>
            <w:hideMark/>
          </w:tcPr>
          <w:p w14:paraId="13A053E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E5B79F"/>
            <w:vAlign w:val="center"/>
            <w:hideMark/>
          </w:tcPr>
          <w:p w14:paraId="08BFC0C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A3DCD2"/>
            <w:vAlign w:val="center"/>
            <w:hideMark/>
          </w:tcPr>
          <w:p w14:paraId="3F53667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6" w:type="pct"/>
            <w:tcBorders>
              <w:top w:val="nil"/>
              <w:left w:val="nil"/>
              <w:bottom w:val="single" w:sz="8" w:space="0" w:color="FFFFFF"/>
              <w:right w:val="single" w:sz="8" w:space="0" w:color="FFFFFF"/>
            </w:tcBorders>
            <w:shd w:val="clear" w:color="000000" w:fill="E5B79F"/>
            <w:vAlign w:val="center"/>
            <w:hideMark/>
          </w:tcPr>
          <w:p w14:paraId="7D8DAFD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3FA01DE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7CA718E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A3DCD2"/>
            <w:vAlign w:val="center"/>
            <w:hideMark/>
          </w:tcPr>
          <w:p w14:paraId="3174344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5206957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60" w:type="pct"/>
            <w:tcBorders>
              <w:top w:val="nil"/>
              <w:left w:val="nil"/>
              <w:bottom w:val="single" w:sz="8" w:space="0" w:color="FFFFFF"/>
              <w:right w:val="single" w:sz="8" w:space="0" w:color="FFFFFF"/>
            </w:tcBorders>
            <w:shd w:val="clear" w:color="000000" w:fill="A3DCD2"/>
            <w:vAlign w:val="center"/>
            <w:hideMark/>
          </w:tcPr>
          <w:p w14:paraId="61A17C0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A3DCD2"/>
            <w:vAlign w:val="center"/>
            <w:hideMark/>
          </w:tcPr>
          <w:p w14:paraId="0B200B6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3" w:type="pct"/>
            <w:tcBorders>
              <w:top w:val="nil"/>
              <w:left w:val="nil"/>
              <w:bottom w:val="single" w:sz="8" w:space="0" w:color="FFFFFF"/>
              <w:right w:val="single" w:sz="8" w:space="0" w:color="FFFFFF"/>
            </w:tcBorders>
            <w:shd w:val="clear" w:color="000000" w:fill="E5B79F"/>
            <w:vAlign w:val="center"/>
            <w:hideMark/>
          </w:tcPr>
          <w:p w14:paraId="6762801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A3DCD2"/>
            <w:vAlign w:val="center"/>
            <w:hideMark/>
          </w:tcPr>
          <w:p w14:paraId="48D85D4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r>
      <w:tr w:rsidR="00DE6894" w:rsidRPr="00DE6894" w14:paraId="5C07BD29"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63079BF3"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Action taken on gender equality commitments</w:t>
            </w:r>
          </w:p>
        </w:tc>
        <w:tc>
          <w:tcPr>
            <w:tcW w:w="262" w:type="pct"/>
            <w:tcBorders>
              <w:top w:val="nil"/>
              <w:left w:val="nil"/>
              <w:bottom w:val="single" w:sz="8" w:space="0" w:color="FFFFFF"/>
              <w:right w:val="single" w:sz="8" w:space="0" w:color="FFFFFF"/>
            </w:tcBorders>
            <w:shd w:val="clear" w:color="000000" w:fill="A3DCD2"/>
            <w:vAlign w:val="center"/>
            <w:hideMark/>
          </w:tcPr>
          <w:p w14:paraId="35F69C7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161" w:type="pct"/>
            <w:tcBorders>
              <w:top w:val="nil"/>
              <w:left w:val="nil"/>
              <w:bottom w:val="single" w:sz="8" w:space="0" w:color="FFFFFF"/>
              <w:right w:val="single" w:sz="8" w:space="0" w:color="FFFFFF"/>
            </w:tcBorders>
            <w:shd w:val="clear" w:color="000000" w:fill="CDE3BA"/>
            <w:vAlign w:val="center"/>
            <w:hideMark/>
          </w:tcPr>
          <w:p w14:paraId="50DE076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25" w:type="pct"/>
            <w:tcBorders>
              <w:top w:val="nil"/>
              <w:left w:val="nil"/>
              <w:bottom w:val="single" w:sz="8" w:space="0" w:color="FFFFFF"/>
              <w:right w:val="single" w:sz="8" w:space="0" w:color="FFFFFF"/>
            </w:tcBorders>
            <w:shd w:val="clear" w:color="000000" w:fill="A3DCD2"/>
            <w:vAlign w:val="center"/>
            <w:hideMark/>
          </w:tcPr>
          <w:p w14:paraId="70CEE9C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76" w:type="pct"/>
            <w:tcBorders>
              <w:top w:val="nil"/>
              <w:left w:val="nil"/>
              <w:bottom w:val="single" w:sz="8" w:space="0" w:color="FFFFFF"/>
              <w:right w:val="single" w:sz="8" w:space="0" w:color="FFFFFF"/>
            </w:tcBorders>
            <w:shd w:val="clear" w:color="000000" w:fill="A3DCD2"/>
            <w:vAlign w:val="center"/>
            <w:hideMark/>
          </w:tcPr>
          <w:p w14:paraId="4CEAB48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6" w:type="pct"/>
            <w:tcBorders>
              <w:top w:val="nil"/>
              <w:left w:val="nil"/>
              <w:bottom w:val="single" w:sz="8" w:space="0" w:color="FFFFFF"/>
              <w:right w:val="single" w:sz="8" w:space="0" w:color="FFFFFF"/>
            </w:tcBorders>
            <w:shd w:val="clear" w:color="000000" w:fill="A3DCD2"/>
            <w:vAlign w:val="center"/>
            <w:hideMark/>
          </w:tcPr>
          <w:p w14:paraId="631CA56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04" w:type="pct"/>
            <w:tcBorders>
              <w:top w:val="nil"/>
              <w:left w:val="nil"/>
              <w:bottom w:val="single" w:sz="8" w:space="0" w:color="FFFFFF"/>
              <w:right w:val="single" w:sz="8" w:space="0" w:color="FFFFFF"/>
            </w:tcBorders>
            <w:shd w:val="clear" w:color="000000" w:fill="E5B79F"/>
            <w:vAlign w:val="center"/>
            <w:hideMark/>
          </w:tcPr>
          <w:p w14:paraId="5D01BAF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266E036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6584407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CDE3BA"/>
            <w:vAlign w:val="center"/>
            <w:hideMark/>
          </w:tcPr>
          <w:p w14:paraId="1DA9A66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260" w:type="pct"/>
            <w:tcBorders>
              <w:top w:val="nil"/>
              <w:left w:val="nil"/>
              <w:bottom w:val="single" w:sz="8" w:space="0" w:color="FFFFFF"/>
              <w:right w:val="single" w:sz="8" w:space="0" w:color="FFFFFF"/>
            </w:tcBorders>
            <w:shd w:val="clear" w:color="000000" w:fill="CDE3BA"/>
            <w:vAlign w:val="center"/>
            <w:hideMark/>
          </w:tcPr>
          <w:p w14:paraId="106114A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316" w:type="pct"/>
            <w:tcBorders>
              <w:top w:val="nil"/>
              <w:left w:val="nil"/>
              <w:bottom w:val="single" w:sz="8" w:space="0" w:color="FFFFFF"/>
              <w:right w:val="single" w:sz="8" w:space="0" w:color="FFFFFF"/>
            </w:tcBorders>
            <w:shd w:val="clear" w:color="000000" w:fill="A3DCD2"/>
            <w:vAlign w:val="center"/>
            <w:hideMark/>
          </w:tcPr>
          <w:p w14:paraId="7762520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3" w:type="pct"/>
            <w:tcBorders>
              <w:top w:val="nil"/>
              <w:left w:val="nil"/>
              <w:bottom w:val="single" w:sz="8" w:space="0" w:color="FFFFFF"/>
              <w:right w:val="single" w:sz="8" w:space="0" w:color="FFFFFF"/>
            </w:tcBorders>
            <w:shd w:val="clear" w:color="000000" w:fill="A3DCD2"/>
            <w:vAlign w:val="center"/>
            <w:hideMark/>
          </w:tcPr>
          <w:p w14:paraId="11F3124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56" w:type="pct"/>
            <w:tcBorders>
              <w:top w:val="nil"/>
              <w:left w:val="nil"/>
              <w:bottom w:val="single" w:sz="8" w:space="0" w:color="FFFFFF"/>
              <w:right w:val="single" w:sz="8" w:space="0" w:color="FFFFFF"/>
            </w:tcBorders>
            <w:shd w:val="clear" w:color="000000" w:fill="CDE3BA"/>
            <w:vAlign w:val="center"/>
            <w:hideMark/>
          </w:tcPr>
          <w:p w14:paraId="3510AE9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r>
      <w:tr w:rsidR="00DE6894" w:rsidRPr="00DE6894" w14:paraId="432E6B9F"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2FF0BEF6"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Action formalised within systems and mechanisms</w:t>
            </w:r>
          </w:p>
        </w:tc>
        <w:tc>
          <w:tcPr>
            <w:tcW w:w="262" w:type="pct"/>
            <w:tcBorders>
              <w:top w:val="nil"/>
              <w:left w:val="nil"/>
              <w:bottom w:val="single" w:sz="8" w:space="0" w:color="FFFFFF"/>
              <w:right w:val="single" w:sz="8" w:space="0" w:color="FFFFFF"/>
            </w:tcBorders>
            <w:shd w:val="clear" w:color="000000" w:fill="E5B79F"/>
            <w:vAlign w:val="center"/>
            <w:hideMark/>
          </w:tcPr>
          <w:p w14:paraId="41DAC0E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61" w:type="pct"/>
            <w:tcBorders>
              <w:top w:val="nil"/>
              <w:left w:val="nil"/>
              <w:bottom w:val="single" w:sz="8" w:space="0" w:color="FFFFFF"/>
              <w:right w:val="single" w:sz="8" w:space="0" w:color="FFFFFF"/>
            </w:tcBorders>
            <w:shd w:val="clear" w:color="000000" w:fill="A3DCD2"/>
            <w:vAlign w:val="center"/>
            <w:hideMark/>
          </w:tcPr>
          <w:p w14:paraId="0026459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E5B79F"/>
            <w:vAlign w:val="center"/>
            <w:hideMark/>
          </w:tcPr>
          <w:p w14:paraId="5748812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E5B79F"/>
            <w:vAlign w:val="center"/>
            <w:hideMark/>
          </w:tcPr>
          <w:p w14:paraId="138EAF9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6" w:type="pct"/>
            <w:tcBorders>
              <w:top w:val="nil"/>
              <w:left w:val="nil"/>
              <w:bottom w:val="single" w:sz="8" w:space="0" w:color="FFFFFF"/>
              <w:right w:val="single" w:sz="8" w:space="0" w:color="FFFFFF"/>
            </w:tcBorders>
            <w:shd w:val="clear" w:color="000000" w:fill="E5B79F"/>
            <w:vAlign w:val="center"/>
            <w:hideMark/>
          </w:tcPr>
          <w:p w14:paraId="63F2616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6490C0A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203BC50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30014DE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A3DCD2"/>
            <w:vAlign w:val="center"/>
            <w:hideMark/>
          </w:tcPr>
          <w:p w14:paraId="3D16FDB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60" w:type="pct"/>
            <w:tcBorders>
              <w:top w:val="nil"/>
              <w:left w:val="nil"/>
              <w:bottom w:val="single" w:sz="8" w:space="0" w:color="FFFFFF"/>
              <w:right w:val="single" w:sz="8" w:space="0" w:color="FFFFFF"/>
            </w:tcBorders>
            <w:shd w:val="clear" w:color="000000" w:fill="A3DCD2"/>
            <w:vAlign w:val="center"/>
            <w:hideMark/>
          </w:tcPr>
          <w:p w14:paraId="360F80E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E5B79F"/>
            <w:vAlign w:val="center"/>
            <w:hideMark/>
          </w:tcPr>
          <w:p w14:paraId="0BD05B8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3" w:type="pct"/>
            <w:tcBorders>
              <w:top w:val="nil"/>
              <w:left w:val="nil"/>
              <w:bottom w:val="single" w:sz="8" w:space="0" w:color="FFFFFF"/>
              <w:right w:val="single" w:sz="8" w:space="0" w:color="FFFFFF"/>
            </w:tcBorders>
            <w:shd w:val="clear" w:color="000000" w:fill="E5B79F"/>
            <w:vAlign w:val="center"/>
            <w:hideMark/>
          </w:tcPr>
          <w:p w14:paraId="53544CC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A3DCD2"/>
            <w:vAlign w:val="center"/>
            <w:hideMark/>
          </w:tcPr>
          <w:p w14:paraId="6412E02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r>
      <w:tr w:rsidR="00DE6894" w:rsidRPr="00DE6894" w14:paraId="6ACA41B9" w14:textId="77777777" w:rsidTr="00CB6BF7">
        <w:trPr>
          <w:trHeight w:val="20"/>
        </w:trPr>
        <w:tc>
          <w:tcPr>
            <w:tcW w:w="1908" w:type="pct"/>
            <w:tcBorders>
              <w:top w:val="nil"/>
              <w:left w:val="single" w:sz="8" w:space="0" w:color="FFFFFF"/>
              <w:bottom w:val="single" w:sz="8" w:space="0" w:color="FFFFFF"/>
              <w:right w:val="nil"/>
            </w:tcBorders>
            <w:shd w:val="clear" w:color="000000" w:fill="B1BDC7"/>
            <w:vAlign w:val="center"/>
            <w:hideMark/>
          </w:tcPr>
          <w:p w14:paraId="66E38DB9" w14:textId="77777777" w:rsidR="00DE6894" w:rsidRPr="00DE6894" w:rsidRDefault="00DE6894" w:rsidP="00DE6894">
            <w:pPr>
              <w:suppressAutoHyphens w:val="0"/>
              <w:spacing w:before="0"/>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Organisational culture</w:t>
            </w:r>
          </w:p>
        </w:tc>
        <w:tc>
          <w:tcPr>
            <w:tcW w:w="262" w:type="pct"/>
            <w:tcBorders>
              <w:top w:val="nil"/>
              <w:left w:val="nil"/>
              <w:bottom w:val="single" w:sz="8" w:space="0" w:color="FFFFFF"/>
              <w:right w:val="nil"/>
            </w:tcBorders>
            <w:shd w:val="clear" w:color="000000" w:fill="B1BDC7"/>
            <w:vAlign w:val="center"/>
            <w:hideMark/>
          </w:tcPr>
          <w:p w14:paraId="42C0DFAD" w14:textId="4C27750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161" w:type="pct"/>
            <w:tcBorders>
              <w:top w:val="nil"/>
              <w:left w:val="nil"/>
              <w:bottom w:val="single" w:sz="8" w:space="0" w:color="FFFFFF"/>
              <w:right w:val="nil"/>
            </w:tcBorders>
            <w:shd w:val="clear" w:color="000000" w:fill="B1BDC7"/>
            <w:vAlign w:val="center"/>
            <w:hideMark/>
          </w:tcPr>
          <w:p w14:paraId="7C51D825" w14:textId="20C17E03"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6ADDFDA6" w14:textId="3A0C0538"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76" w:type="pct"/>
            <w:tcBorders>
              <w:top w:val="nil"/>
              <w:left w:val="nil"/>
              <w:bottom w:val="single" w:sz="8" w:space="0" w:color="FFFFFF"/>
              <w:right w:val="nil"/>
            </w:tcBorders>
            <w:shd w:val="clear" w:color="000000" w:fill="B1BDC7"/>
            <w:vAlign w:val="center"/>
            <w:hideMark/>
          </w:tcPr>
          <w:p w14:paraId="6158AD08" w14:textId="7A30FDCC"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46" w:type="pct"/>
            <w:tcBorders>
              <w:top w:val="nil"/>
              <w:left w:val="nil"/>
              <w:bottom w:val="single" w:sz="8" w:space="0" w:color="FFFFFF"/>
              <w:right w:val="nil"/>
            </w:tcBorders>
            <w:shd w:val="clear" w:color="000000" w:fill="B1BDC7"/>
            <w:vAlign w:val="center"/>
            <w:hideMark/>
          </w:tcPr>
          <w:p w14:paraId="21F3031F" w14:textId="44856DC0"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04" w:type="pct"/>
            <w:tcBorders>
              <w:top w:val="nil"/>
              <w:left w:val="nil"/>
              <w:bottom w:val="single" w:sz="8" w:space="0" w:color="FFFFFF"/>
              <w:right w:val="nil"/>
            </w:tcBorders>
            <w:shd w:val="clear" w:color="000000" w:fill="B1BDC7"/>
            <w:vAlign w:val="center"/>
            <w:hideMark/>
          </w:tcPr>
          <w:p w14:paraId="02CB6F5E" w14:textId="4DD0354B"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193" w:type="pct"/>
            <w:tcBorders>
              <w:top w:val="nil"/>
              <w:left w:val="nil"/>
              <w:bottom w:val="single" w:sz="8" w:space="0" w:color="FFFFFF"/>
              <w:right w:val="nil"/>
            </w:tcBorders>
            <w:shd w:val="clear" w:color="000000" w:fill="B1BDC7"/>
            <w:vAlign w:val="center"/>
            <w:hideMark/>
          </w:tcPr>
          <w:p w14:paraId="517C17FA" w14:textId="47995038"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20B0BFD2" w14:textId="5FA7433E"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37BB9848" w14:textId="2ECB85A1"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60" w:type="pct"/>
            <w:tcBorders>
              <w:top w:val="nil"/>
              <w:left w:val="nil"/>
              <w:bottom w:val="single" w:sz="8" w:space="0" w:color="FFFFFF"/>
              <w:right w:val="nil"/>
            </w:tcBorders>
            <w:shd w:val="clear" w:color="000000" w:fill="B1BDC7"/>
            <w:vAlign w:val="center"/>
            <w:hideMark/>
          </w:tcPr>
          <w:p w14:paraId="32CDD674" w14:textId="50D23EBD"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316" w:type="pct"/>
            <w:tcBorders>
              <w:top w:val="nil"/>
              <w:left w:val="nil"/>
              <w:bottom w:val="single" w:sz="8" w:space="0" w:color="FFFFFF"/>
              <w:right w:val="nil"/>
            </w:tcBorders>
            <w:shd w:val="clear" w:color="000000" w:fill="B1BDC7"/>
            <w:vAlign w:val="center"/>
            <w:hideMark/>
          </w:tcPr>
          <w:p w14:paraId="1DA8E0E2" w14:textId="2CBDBCEA"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43" w:type="pct"/>
            <w:tcBorders>
              <w:top w:val="nil"/>
              <w:left w:val="nil"/>
              <w:bottom w:val="single" w:sz="8" w:space="0" w:color="FFFFFF"/>
              <w:right w:val="nil"/>
            </w:tcBorders>
            <w:shd w:val="clear" w:color="000000" w:fill="B1BDC7"/>
            <w:vAlign w:val="center"/>
            <w:hideMark/>
          </w:tcPr>
          <w:p w14:paraId="72C7EF2D" w14:textId="06053833"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56" w:type="pct"/>
            <w:tcBorders>
              <w:top w:val="nil"/>
              <w:left w:val="nil"/>
              <w:bottom w:val="single" w:sz="8" w:space="0" w:color="FFFFFF"/>
              <w:right w:val="single" w:sz="8" w:space="0" w:color="FFFFFF"/>
            </w:tcBorders>
            <w:shd w:val="clear" w:color="000000" w:fill="B1BDC7"/>
            <w:vAlign w:val="center"/>
            <w:hideMark/>
          </w:tcPr>
          <w:p w14:paraId="7B2F9093" w14:textId="1149B22E"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r>
      <w:tr w:rsidR="00DE6894" w:rsidRPr="00DE6894" w14:paraId="453911A4"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6C484CD1"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Gender lens applied during policy dialogues</w:t>
            </w:r>
          </w:p>
        </w:tc>
        <w:tc>
          <w:tcPr>
            <w:tcW w:w="262" w:type="pct"/>
            <w:tcBorders>
              <w:top w:val="nil"/>
              <w:left w:val="nil"/>
              <w:bottom w:val="single" w:sz="8" w:space="0" w:color="FFFFFF"/>
              <w:right w:val="single" w:sz="8" w:space="0" w:color="FFFFFF"/>
            </w:tcBorders>
            <w:shd w:val="clear" w:color="000000" w:fill="E5B79F"/>
            <w:vAlign w:val="center"/>
            <w:hideMark/>
          </w:tcPr>
          <w:p w14:paraId="2CB7DC7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61" w:type="pct"/>
            <w:tcBorders>
              <w:top w:val="nil"/>
              <w:left w:val="nil"/>
              <w:bottom w:val="single" w:sz="8" w:space="0" w:color="FFFFFF"/>
              <w:right w:val="single" w:sz="8" w:space="0" w:color="FFFFFF"/>
            </w:tcBorders>
            <w:shd w:val="clear" w:color="000000" w:fill="A3DCD2"/>
            <w:vAlign w:val="center"/>
            <w:hideMark/>
          </w:tcPr>
          <w:p w14:paraId="2490D84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E5B79F"/>
            <w:vAlign w:val="center"/>
            <w:hideMark/>
          </w:tcPr>
          <w:p w14:paraId="63C5237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E5B79F"/>
            <w:vAlign w:val="center"/>
            <w:hideMark/>
          </w:tcPr>
          <w:p w14:paraId="1CEE244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6" w:type="pct"/>
            <w:tcBorders>
              <w:top w:val="nil"/>
              <w:left w:val="nil"/>
              <w:bottom w:val="single" w:sz="8" w:space="0" w:color="FFFFFF"/>
              <w:right w:val="single" w:sz="8" w:space="0" w:color="FFFFFF"/>
            </w:tcBorders>
            <w:shd w:val="clear" w:color="000000" w:fill="E5B79F"/>
            <w:vAlign w:val="center"/>
            <w:hideMark/>
          </w:tcPr>
          <w:p w14:paraId="76F2C3C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5A4CCF0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4FAE37F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69A71B4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A3DCD2"/>
            <w:vAlign w:val="center"/>
            <w:hideMark/>
          </w:tcPr>
          <w:p w14:paraId="4ACE9DB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60" w:type="pct"/>
            <w:tcBorders>
              <w:top w:val="nil"/>
              <w:left w:val="nil"/>
              <w:bottom w:val="single" w:sz="8" w:space="0" w:color="FFFFFF"/>
              <w:right w:val="single" w:sz="8" w:space="0" w:color="FFFFFF"/>
            </w:tcBorders>
            <w:shd w:val="clear" w:color="000000" w:fill="A3DCD2"/>
            <w:vAlign w:val="center"/>
            <w:hideMark/>
          </w:tcPr>
          <w:p w14:paraId="7384E89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A3DCD2"/>
            <w:vAlign w:val="center"/>
            <w:hideMark/>
          </w:tcPr>
          <w:p w14:paraId="4CDBDFC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3" w:type="pct"/>
            <w:tcBorders>
              <w:top w:val="nil"/>
              <w:left w:val="nil"/>
              <w:bottom w:val="single" w:sz="8" w:space="0" w:color="FFFFFF"/>
              <w:right w:val="single" w:sz="8" w:space="0" w:color="FFFFFF"/>
            </w:tcBorders>
            <w:shd w:val="clear" w:color="000000" w:fill="E5B79F"/>
            <w:vAlign w:val="center"/>
            <w:hideMark/>
          </w:tcPr>
          <w:p w14:paraId="2A24463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A3DCD2"/>
            <w:vAlign w:val="center"/>
            <w:hideMark/>
          </w:tcPr>
          <w:p w14:paraId="4CA7321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r>
      <w:tr w:rsidR="00DE6894" w:rsidRPr="00DE6894" w14:paraId="6AE7758C"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39669B64"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Communication and coordination with national women’s machinery</w:t>
            </w:r>
          </w:p>
        </w:tc>
        <w:tc>
          <w:tcPr>
            <w:tcW w:w="262" w:type="pct"/>
            <w:tcBorders>
              <w:top w:val="nil"/>
              <w:left w:val="nil"/>
              <w:bottom w:val="single" w:sz="8" w:space="0" w:color="FFFFFF"/>
              <w:right w:val="single" w:sz="8" w:space="0" w:color="FFFFFF"/>
            </w:tcBorders>
            <w:shd w:val="clear" w:color="000000" w:fill="E5B79F"/>
            <w:vAlign w:val="center"/>
            <w:hideMark/>
          </w:tcPr>
          <w:p w14:paraId="30642AD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61" w:type="pct"/>
            <w:tcBorders>
              <w:top w:val="nil"/>
              <w:left w:val="nil"/>
              <w:bottom w:val="single" w:sz="8" w:space="0" w:color="FFFFFF"/>
              <w:right w:val="single" w:sz="8" w:space="0" w:color="FFFFFF"/>
            </w:tcBorders>
            <w:shd w:val="clear" w:color="000000" w:fill="E5B79F"/>
            <w:vAlign w:val="center"/>
            <w:hideMark/>
          </w:tcPr>
          <w:p w14:paraId="0DCD2A7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A3DCD2"/>
            <w:vAlign w:val="center"/>
            <w:hideMark/>
          </w:tcPr>
          <w:p w14:paraId="12E2EA5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76" w:type="pct"/>
            <w:tcBorders>
              <w:top w:val="nil"/>
              <w:left w:val="nil"/>
              <w:bottom w:val="single" w:sz="8" w:space="0" w:color="FFFFFF"/>
              <w:right w:val="single" w:sz="8" w:space="0" w:color="FFFFFF"/>
            </w:tcBorders>
            <w:shd w:val="clear" w:color="000000" w:fill="A3DCD2"/>
            <w:vAlign w:val="center"/>
            <w:hideMark/>
          </w:tcPr>
          <w:p w14:paraId="26445CD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6" w:type="pct"/>
            <w:tcBorders>
              <w:top w:val="nil"/>
              <w:left w:val="nil"/>
              <w:bottom w:val="single" w:sz="8" w:space="0" w:color="FFFFFF"/>
              <w:right w:val="single" w:sz="8" w:space="0" w:color="FFFFFF"/>
            </w:tcBorders>
            <w:shd w:val="clear" w:color="000000" w:fill="A3DCD2"/>
            <w:vAlign w:val="center"/>
            <w:hideMark/>
          </w:tcPr>
          <w:p w14:paraId="27AAE3D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04" w:type="pct"/>
            <w:tcBorders>
              <w:top w:val="nil"/>
              <w:left w:val="nil"/>
              <w:bottom w:val="single" w:sz="8" w:space="0" w:color="FFFFFF"/>
              <w:right w:val="single" w:sz="8" w:space="0" w:color="FFFFFF"/>
            </w:tcBorders>
            <w:shd w:val="clear" w:color="000000" w:fill="E5B79F"/>
            <w:vAlign w:val="center"/>
            <w:hideMark/>
          </w:tcPr>
          <w:p w14:paraId="61F3CEB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614DA52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A3DCD2"/>
            <w:vAlign w:val="center"/>
            <w:hideMark/>
          </w:tcPr>
          <w:p w14:paraId="7AC6D516"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38E9A51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60" w:type="pct"/>
            <w:tcBorders>
              <w:top w:val="nil"/>
              <w:left w:val="nil"/>
              <w:bottom w:val="single" w:sz="8" w:space="0" w:color="FFFFFF"/>
              <w:right w:val="single" w:sz="8" w:space="0" w:color="FFFFFF"/>
            </w:tcBorders>
            <w:shd w:val="clear" w:color="000000" w:fill="A3DCD2"/>
            <w:vAlign w:val="center"/>
            <w:hideMark/>
          </w:tcPr>
          <w:p w14:paraId="766FB6E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E5B79F"/>
            <w:vAlign w:val="center"/>
            <w:hideMark/>
          </w:tcPr>
          <w:p w14:paraId="36C7A6D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3" w:type="pct"/>
            <w:tcBorders>
              <w:top w:val="nil"/>
              <w:left w:val="nil"/>
              <w:bottom w:val="single" w:sz="8" w:space="0" w:color="FFFFFF"/>
              <w:right w:val="single" w:sz="8" w:space="0" w:color="FFFFFF"/>
            </w:tcBorders>
            <w:shd w:val="clear" w:color="000000" w:fill="E5B79F"/>
            <w:vAlign w:val="center"/>
            <w:hideMark/>
          </w:tcPr>
          <w:p w14:paraId="245741B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CDE3BA"/>
            <w:vAlign w:val="center"/>
            <w:hideMark/>
          </w:tcPr>
          <w:p w14:paraId="4281069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r>
      <w:tr w:rsidR="00DE6894" w:rsidRPr="00DE6894" w14:paraId="2A52ADF2"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4C9564C2"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Existence and use of sex-disaggregated data</w:t>
            </w:r>
          </w:p>
        </w:tc>
        <w:tc>
          <w:tcPr>
            <w:tcW w:w="262" w:type="pct"/>
            <w:tcBorders>
              <w:top w:val="nil"/>
              <w:left w:val="nil"/>
              <w:bottom w:val="single" w:sz="8" w:space="0" w:color="FFFFFF"/>
              <w:right w:val="single" w:sz="8" w:space="0" w:color="FFFFFF"/>
            </w:tcBorders>
            <w:shd w:val="clear" w:color="000000" w:fill="A3DCD2"/>
            <w:vAlign w:val="center"/>
            <w:hideMark/>
          </w:tcPr>
          <w:p w14:paraId="1A474BB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161" w:type="pct"/>
            <w:tcBorders>
              <w:top w:val="nil"/>
              <w:left w:val="nil"/>
              <w:bottom w:val="single" w:sz="8" w:space="0" w:color="FFFFFF"/>
              <w:right w:val="single" w:sz="8" w:space="0" w:color="FFFFFF"/>
            </w:tcBorders>
            <w:shd w:val="clear" w:color="000000" w:fill="A3DCD2"/>
            <w:vAlign w:val="center"/>
            <w:hideMark/>
          </w:tcPr>
          <w:p w14:paraId="3C30217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1D7FB8D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76" w:type="pct"/>
            <w:tcBorders>
              <w:top w:val="nil"/>
              <w:left w:val="nil"/>
              <w:bottom w:val="single" w:sz="8" w:space="0" w:color="FFFFFF"/>
              <w:right w:val="single" w:sz="8" w:space="0" w:color="FFFFFF"/>
            </w:tcBorders>
            <w:shd w:val="clear" w:color="000000" w:fill="A3DCD2"/>
            <w:vAlign w:val="center"/>
            <w:hideMark/>
          </w:tcPr>
          <w:p w14:paraId="47E3640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6" w:type="pct"/>
            <w:tcBorders>
              <w:top w:val="nil"/>
              <w:left w:val="nil"/>
              <w:bottom w:val="single" w:sz="8" w:space="0" w:color="FFFFFF"/>
              <w:right w:val="single" w:sz="8" w:space="0" w:color="FFFFFF"/>
            </w:tcBorders>
            <w:shd w:val="clear" w:color="000000" w:fill="A3DCD2"/>
            <w:vAlign w:val="center"/>
            <w:hideMark/>
          </w:tcPr>
          <w:p w14:paraId="798047E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04" w:type="pct"/>
            <w:tcBorders>
              <w:top w:val="nil"/>
              <w:left w:val="nil"/>
              <w:bottom w:val="single" w:sz="8" w:space="0" w:color="FFFFFF"/>
              <w:right w:val="single" w:sz="8" w:space="0" w:color="FFFFFF"/>
            </w:tcBorders>
            <w:shd w:val="clear" w:color="000000" w:fill="A3DCD2"/>
            <w:vAlign w:val="center"/>
            <w:hideMark/>
          </w:tcPr>
          <w:p w14:paraId="4953B5C6"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193" w:type="pct"/>
            <w:tcBorders>
              <w:top w:val="nil"/>
              <w:left w:val="nil"/>
              <w:bottom w:val="single" w:sz="8" w:space="0" w:color="FFFFFF"/>
              <w:right w:val="single" w:sz="8" w:space="0" w:color="FFFFFF"/>
            </w:tcBorders>
            <w:shd w:val="clear" w:color="000000" w:fill="A3DCD2"/>
            <w:vAlign w:val="center"/>
            <w:hideMark/>
          </w:tcPr>
          <w:p w14:paraId="2B7137C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3175DF1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11FCD46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60" w:type="pct"/>
            <w:tcBorders>
              <w:top w:val="nil"/>
              <w:left w:val="nil"/>
              <w:bottom w:val="single" w:sz="8" w:space="0" w:color="FFFFFF"/>
              <w:right w:val="single" w:sz="8" w:space="0" w:color="FFFFFF"/>
            </w:tcBorders>
            <w:shd w:val="clear" w:color="000000" w:fill="A3DCD2"/>
            <w:vAlign w:val="center"/>
            <w:hideMark/>
          </w:tcPr>
          <w:p w14:paraId="2B6DDCE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A3DCD2"/>
            <w:vAlign w:val="center"/>
            <w:hideMark/>
          </w:tcPr>
          <w:p w14:paraId="30C016B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3" w:type="pct"/>
            <w:tcBorders>
              <w:top w:val="nil"/>
              <w:left w:val="nil"/>
              <w:bottom w:val="single" w:sz="8" w:space="0" w:color="FFFFFF"/>
              <w:right w:val="single" w:sz="8" w:space="0" w:color="FFFFFF"/>
            </w:tcBorders>
            <w:shd w:val="clear" w:color="000000" w:fill="A3DCD2"/>
            <w:vAlign w:val="center"/>
            <w:hideMark/>
          </w:tcPr>
          <w:p w14:paraId="5434E01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56" w:type="pct"/>
            <w:tcBorders>
              <w:top w:val="nil"/>
              <w:left w:val="nil"/>
              <w:bottom w:val="single" w:sz="8" w:space="0" w:color="FFFFFF"/>
              <w:right w:val="single" w:sz="8" w:space="0" w:color="FFFFFF"/>
            </w:tcBorders>
            <w:shd w:val="clear" w:color="000000" w:fill="A3DCD2"/>
            <w:vAlign w:val="center"/>
            <w:hideMark/>
          </w:tcPr>
          <w:p w14:paraId="0B85E29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r>
      <w:tr w:rsidR="00DE6894" w:rsidRPr="00DE6894" w14:paraId="1DD54F99"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40E7F6C1"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Organisational systems in place to guide staff on integrating gender</w:t>
            </w:r>
          </w:p>
        </w:tc>
        <w:tc>
          <w:tcPr>
            <w:tcW w:w="262" w:type="pct"/>
            <w:tcBorders>
              <w:top w:val="nil"/>
              <w:left w:val="nil"/>
              <w:bottom w:val="single" w:sz="8" w:space="0" w:color="FFFFFF"/>
              <w:right w:val="single" w:sz="8" w:space="0" w:color="FFFFFF"/>
            </w:tcBorders>
            <w:shd w:val="clear" w:color="000000" w:fill="E5B79F"/>
            <w:vAlign w:val="center"/>
            <w:hideMark/>
          </w:tcPr>
          <w:p w14:paraId="1DF21BC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61" w:type="pct"/>
            <w:tcBorders>
              <w:top w:val="nil"/>
              <w:left w:val="nil"/>
              <w:bottom w:val="single" w:sz="8" w:space="0" w:color="FFFFFF"/>
              <w:right w:val="single" w:sz="8" w:space="0" w:color="FFFFFF"/>
            </w:tcBorders>
            <w:shd w:val="clear" w:color="000000" w:fill="E5B79F"/>
            <w:vAlign w:val="center"/>
            <w:hideMark/>
          </w:tcPr>
          <w:p w14:paraId="6C20C76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408ED55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E5B79F"/>
            <w:vAlign w:val="center"/>
            <w:hideMark/>
          </w:tcPr>
          <w:p w14:paraId="429C694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6" w:type="pct"/>
            <w:tcBorders>
              <w:top w:val="nil"/>
              <w:left w:val="nil"/>
              <w:bottom w:val="single" w:sz="8" w:space="0" w:color="FFFFFF"/>
              <w:right w:val="single" w:sz="8" w:space="0" w:color="FFFFFF"/>
            </w:tcBorders>
            <w:shd w:val="clear" w:color="000000" w:fill="E5B79F"/>
            <w:vAlign w:val="center"/>
            <w:hideMark/>
          </w:tcPr>
          <w:p w14:paraId="057F21A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793BF11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0B9CFA3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2038CBC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3DEF68E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60" w:type="pct"/>
            <w:tcBorders>
              <w:top w:val="nil"/>
              <w:left w:val="nil"/>
              <w:bottom w:val="single" w:sz="8" w:space="0" w:color="FFFFFF"/>
              <w:right w:val="single" w:sz="8" w:space="0" w:color="FFFFFF"/>
            </w:tcBorders>
            <w:shd w:val="clear" w:color="000000" w:fill="E5B79F"/>
            <w:vAlign w:val="center"/>
            <w:hideMark/>
          </w:tcPr>
          <w:p w14:paraId="2498B30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316" w:type="pct"/>
            <w:tcBorders>
              <w:top w:val="nil"/>
              <w:left w:val="nil"/>
              <w:bottom w:val="single" w:sz="8" w:space="0" w:color="FFFFFF"/>
              <w:right w:val="single" w:sz="8" w:space="0" w:color="FFFFFF"/>
            </w:tcBorders>
            <w:shd w:val="clear" w:color="000000" w:fill="E5B79F"/>
            <w:vAlign w:val="center"/>
            <w:hideMark/>
          </w:tcPr>
          <w:p w14:paraId="1117C04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3" w:type="pct"/>
            <w:tcBorders>
              <w:top w:val="nil"/>
              <w:left w:val="nil"/>
              <w:bottom w:val="single" w:sz="8" w:space="0" w:color="FFFFFF"/>
              <w:right w:val="single" w:sz="8" w:space="0" w:color="FFFFFF"/>
            </w:tcBorders>
            <w:shd w:val="clear" w:color="000000" w:fill="E5B79F"/>
            <w:vAlign w:val="center"/>
            <w:hideMark/>
          </w:tcPr>
          <w:p w14:paraId="5737020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E5B79F"/>
            <w:vAlign w:val="center"/>
            <w:hideMark/>
          </w:tcPr>
          <w:p w14:paraId="7455E23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r>
      <w:tr w:rsidR="00DE6894" w:rsidRPr="00DE6894" w14:paraId="24E94543"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1B5B69CA"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Gender balance in staffing at all levels</w:t>
            </w:r>
          </w:p>
        </w:tc>
        <w:tc>
          <w:tcPr>
            <w:tcW w:w="262" w:type="pct"/>
            <w:tcBorders>
              <w:top w:val="nil"/>
              <w:left w:val="nil"/>
              <w:bottom w:val="single" w:sz="8" w:space="0" w:color="FFFFFF"/>
              <w:right w:val="single" w:sz="8" w:space="0" w:color="FFFFFF"/>
            </w:tcBorders>
            <w:shd w:val="clear" w:color="000000" w:fill="E5B79F"/>
            <w:vAlign w:val="center"/>
            <w:hideMark/>
          </w:tcPr>
          <w:p w14:paraId="1CF62F9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61" w:type="pct"/>
            <w:tcBorders>
              <w:top w:val="nil"/>
              <w:left w:val="nil"/>
              <w:bottom w:val="single" w:sz="8" w:space="0" w:color="FFFFFF"/>
              <w:right w:val="single" w:sz="8" w:space="0" w:color="FFFFFF"/>
            </w:tcBorders>
            <w:shd w:val="clear" w:color="000000" w:fill="A3DCD2"/>
            <w:vAlign w:val="center"/>
            <w:hideMark/>
          </w:tcPr>
          <w:p w14:paraId="2B8D93F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E5B79F"/>
            <w:vAlign w:val="center"/>
            <w:hideMark/>
          </w:tcPr>
          <w:p w14:paraId="717172B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A3DCD2"/>
            <w:vAlign w:val="center"/>
            <w:hideMark/>
          </w:tcPr>
          <w:p w14:paraId="2849F0F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6" w:type="pct"/>
            <w:tcBorders>
              <w:top w:val="nil"/>
              <w:left w:val="nil"/>
              <w:bottom w:val="single" w:sz="8" w:space="0" w:color="FFFFFF"/>
              <w:right w:val="single" w:sz="8" w:space="0" w:color="FFFFFF"/>
            </w:tcBorders>
            <w:shd w:val="clear" w:color="000000" w:fill="E5B79F"/>
            <w:vAlign w:val="center"/>
            <w:hideMark/>
          </w:tcPr>
          <w:p w14:paraId="37AD95D6"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1959FA6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2BE7013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5826EB6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6822C13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60" w:type="pct"/>
            <w:tcBorders>
              <w:top w:val="nil"/>
              <w:left w:val="nil"/>
              <w:bottom w:val="single" w:sz="8" w:space="0" w:color="FFFFFF"/>
              <w:right w:val="single" w:sz="8" w:space="0" w:color="FFFFFF"/>
            </w:tcBorders>
            <w:shd w:val="clear" w:color="000000" w:fill="CDE3BA"/>
            <w:vAlign w:val="center"/>
            <w:hideMark/>
          </w:tcPr>
          <w:p w14:paraId="185C18A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3</w:t>
            </w:r>
          </w:p>
        </w:tc>
        <w:tc>
          <w:tcPr>
            <w:tcW w:w="316" w:type="pct"/>
            <w:tcBorders>
              <w:top w:val="nil"/>
              <w:left w:val="nil"/>
              <w:bottom w:val="single" w:sz="8" w:space="0" w:color="FFFFFF"/>
              <w:right w:val="single" w:sz="8" w:space="0" w:color="FFFFFF"/>
            </w:tcBorders>
            <w:shd w:val="clear" w:color="000000" w:fill="E5B79F"/>
            <w:vAlign w:val="center"/>
            <w:hideMark/>
          </w:tcPr>
          <w:p w14:paraId="202B84A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3" w:type="pct"/>
            <w:tcBorders>
              <w:top w:val="nil"/>
              <w:left w:val="nil"/>
              <w:bottom w:val="single" w:sz="8" w:space="0" w:color="FFFFFF"/>
              <w:right w:val="single" w:sz="8" w:space="0" w:color="FFFFFF"/>
            </w:tcBorders>
            <w:shd w:val="clear" w:color="000000" w:fill="E5B79F"/>
            <w:vAlign w:val="center"/>
            <w:hideMark/>
          </w:tcPr>
          <w:p w14:paraId="408DED4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E7EAED"/>
            <w:vAlign w:val="center"/>
            <w:hideMark/>
          </w:tcPr>
          <w:p w14:paraId="1FD40C5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roofErr w:type="spellStart"/>
            <w:r w:rsidRPr="005537DC">
              <w:rPr>
                <w:rFonts w:ascii="Calibri Light" w:eastAsia="Times New Roman" w:hAnsi="Calibri Light" w:cs="Times New Roman"/>
                <w:color w:val="000000" w:themeColor="text1"/>
                <w:sz w:val="18"/>
                <w:szCs w:val="18"/>
                <w:lang w:val="en-AU" w:eastAsia="en-AU"/>
              </w:rPr>
              <w:t>na</w:t>
            </w:r>
            <w:proofErr w:type="spellEnd"/>
          </w:p>
        </w:tc>
      </w:tr>
      <w:tr w:rsidR="00DE6894" w:rsidRPr="00DE6894" w14:paraId="05545B88"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2412D9E8"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Gender-sensitive HR policies in place</w:t>
            </w:r>
          </w:p>
        </w:tc>
        <w:tc>
          <w:tcPr>
            <w:tcW w:w="262" w:type="pct"/>
            <w:tcBorders>
              <w:top w:val="nil"/>
              <w:left w:val="nil"/>
              <w:bottom w:val="single" w:sz="8" w:space="0" w:color="FFFFFF"/>
              <w:right w:val="single" w:sz="8" w:space="0" w:color="FFFFFF"/>
            </w:tcBorders>
            <w:shd w:val="clear" w:color="000000" w:fill="E5B79F"/>
            <w:vAlign w:val="center"/>
            <w:hideMark/>
          </w:tcPr>
          <w:p w14:paraId="023E6676"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61" w:type="pct"/>
            <w:tcBorders>
              <w:top w:val="nil"/>
              <w:left w:val="nil"/>
              <w:bottom w:val="single" w:sz="8" w:space="0" w:color="FFFFFF"/>
              <w:right w:val="single" w:sz="8" w:space="0" w:color="FFFFFF"/>
            </w:tcBorders>
            <w:shd w:val="clear" w:color="000000" w:fill="A3DCD2"/>
            <w:vAlign w:val="center"/>
            <w:hideMark/>
          </w:tcPr>
          <w:p w14:paraId="2EED73C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667FEBB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76" w:type="pct"/>
            <w:tcBorders>
              <w:top w:val="nil"/>
              <w:left w:val="nil"/>
              <w:bottom w:val="single" w:sz="8" w:space="0" w:color="FFFFFF"/>
              <w:right w:val="single" w:sz="8" w:space="0" w:color="FFFFFF"/>
            </w:tcBorders>
            <w:shd w:val="clear" w:color="000000" w:fill="A3DCD2"/>
            <w:vAlign w:val="center"/>
            <w:hideMark/>
          </w:tcPr>
          <w:p w14:paraId="5481D7F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6" w:type="pct"/>
            <w:tcBorders>
              <w:top w:val="nil"/>
              <w:left w:val="nil"/>
              <w:bottom w:val="single" w:sz="8" w:space="0" w:color="FFFFFF"/>
              <w:right w:val="single" w:sz="8" w:space="0" w:color="FFFFFF"/>
            </w:tcBorders>
            <w:shd w:val="clear" w:color="000000" w:fill="E5B79F"/>
            <w:vAlign w:val="center"/>
            <w:hideMark/>
          </w:tcPr>
          <w:p w14:paraId="14460EF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5EB81DF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A3DCD2"/>
            <w:vAlign w:val="center"/>
            <w:hideMark/>
          </w:tcPr>
          <w:p w14:paraId="5861CA6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E5B79F"/>
            <w:vAlign w:val="center"/>
            <w:hideMark/>
          </w:tcPr>
          <w:p w14:paraId="3A9F4E3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0C88DB5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60" w:type="pct"/>
            <w:tcBorders>
              <w:top w:val="nil"/>
              <w:left w:val="nil"/>
              <w:bottom w:val="single" w:sz="8" w:space="0" w:color="FFFFFF"/>
              <w:right w:val="single" w:sz="8" w:space="0" w:color="FFFFFF"/>
            </w:tcBorders>
            <w:shd w:val="clear" w:color="000000" w:fill="A3DCD2"/>
            <w:vAlign w:val="center"/>
            <w:hideMark/>
          </w:tcPr>
          <w:p w14:paraId="795465E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E5B79F"/>
            <w:vAlign w:val="center"/>
            <w:hideMark/>
          </w:tcPr>
          <w:p w14:paraId="35D58CE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3" w:type="pct"/>
            <w:tcBorders>
              <w:top w:val="nil"/>
              <w:left w:val="nil"/>
              <w:bottom w:val="single" w:sz="8" w:space="0" w:color="FFFFFF"/>
              <w:right w:val="single" w:sz="8" w:space="0" w:color="FFFFFF"/>
            </w:tcBorders>
            <w:shd w:val="clear" w:color="000000" w:fill="E5B79F"/>
            <w:vAlign w:val="center"/>
            <w:hideMark/>
          </w:tcPr>
          <w:p w14:paraId="5C8B793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A3DCD2"/>
            <w:vAlign w:val="center"/>
            <w:hideMark/>
          </w:tcPr>
          <w:p w14:paraId="6DB64A7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r>
      <w:tr w:rsidR="00DE6894" w:rsidRPr="00DE6894" w14:paraId="62457759"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104813DA"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Champions for gender mainstreaming</w:t>
            </w:r>
          </w:p>
        </w:tc>
        <w:tc>
          <w:tcPr>
            <w:tcW w:w="262" w:type="pct"/>
            <w:tcBorders>
              <w:top w:val="nil"/>
              <w:left w:val="nil"/>
              <w:bottom w:val="single" w:sz="8" w:space="0" w:color="FFFFFF"/>
              <w:right w:val="single" w:sz="8" w:space="0" w:color="FFFFFF"/>
            </w:tcBorders>
            <w:shd w:val="clear" w:color="000000" w:fill="A3DCD2"/>
            <w:vAlign w:val="center"/>
            <w:hideMark/>
          </w:tcPr>
          <w:p w14:paraId="382E427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161" w:type="pct"/>
            <w:tcBorders>
              <w:top w:val="nil"/>
              <w:left w:val="nil"/>
              <w:bottom w:val="single" w:sz="8" w:space="0" w:color="FFFFFF"/>
              <w:right w:val="single" w:sz="8" w:space="0" w:color="FFFFFF"/>
            </w:tcBorders>
            <w:shd w:val="clear" w:color="000000" w:fill="A3DCD2"/>
            <w:vAlign w:val="center"/>
            <w:hideMark/>
          </w:tcPr>
          <w:p w14:paraId="61B80EB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6D19739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76" w:type="pct"/>
            <w:tcBorders>
              <w:top w:val="nil"/>
              <w:left w:val="nil"/>
              <w:bottom w:val="single" w:sz="8" w:space="0" w:color="FFFFFF"/>
              <w:right w:val="single" w:sz="8" w:space="0" w:color="FFFFFF"/>
            </w:tcBorders>
            <w:shd w:val="clear" w:color="000000" w:fill="A3DCD2"/>
            <w:vAlign w:val="center"/>
            <w:hideMark/>
          </w:tcPr>
          <w:p w14:paraId="04757F3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6" w:type="pct"/>
            <w:tcBorders>
              <w:top w:val="nil"/>
              <w:left w:val="nil"/>
              <w:bottom w:val="single" w:sz="8" w:space="0" w:color="FFFFFF"/>
              <w:right w:val="single" w:sz="8" w:space="0" w:color="FFFFFF"/>
            </w:tcBorders>
            <w:shd w:val="clear" w:color="000000" w:fill="A3DCD2"/>
            <w:vAlign w:val="center"/>
            <w:hideMark/>
          </w:tcPr>
          <w:p w14:paraId="2A9F375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04" w:type="pct"/>
            <w:tcBorders>
              <w:top w:val="nil"/>
              <w:left w:val="nil"/>
              <w:bottom w:val="single" w:sz="8" w:space="0" w:color="FFFFFF"/>
              <w:right w:val="single" w:sz="8" w:space="0" w:color="FFFFFF"/>
            </w:tcBorders>
            <w:shd w:val="clear" w:color="auto" w:fill="E7EAED"/>
            <w:vAlign w:val="center"/>
            <w:hideMark/>
          </w:tcPr>
          <w:p w14:paraId="391A682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roofErr w:type="spellStart"/>
            <w:r w:rsidRPr="005537DC">
              <w:rPr>
                <w:rFonts w:ascii="Calibri Light" w:eastAsia="Times New Roman" w:hAnsi="Calibri Light" w:cs="Times New Roman"/>
                <w:color w:val="000000" w:themeColor="text1"/>
                <w:sz w:val="18"/>
                <w:szCs w:val="18"/>
                <w:lang w:val="en-AU" w:eastAsia="en-AU"/>
              </w:rPr>
              <w:t>na</w:t>
            </w:r>
            <w:proofErr w:type="spellEnd"/>
          </w:p>
        </w:tc>
        <w:tc>
          <w:tcPr>
            <w:tcW w:w="193" w:type="pct"/>
            <w:tcBorders>
              <w:top w:val="nil"/>
              <w:left w:val="nil"/>
              <w:bottom w:val="single" w:sz="8" w:space="0" w:color="FFFFFF"/>
              <w:right w:val="single" w:sz="8" w:space="0" w:color="FFFFFF"/>
            </w:tcBorders>
            <w:shd w:val="clear" w:color="000000" w:fill="A3DCD2"/>
            <w:vAlign w:val="center"/>
            <w:hideMark/>
          </w:tcPr>
          <w:p w14:paraId="4519B94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06E63D0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A3DCD2"/>
            <w:vAlign w:val="center"/>
            <w:hideMark/>
          </w:tcPr>
          <w:p w14:paraId="49BFF3A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60" w:type="pct"/>
            <w:tcBorders>
              <w:top w:val="nil"/>
              <w:left w:val="nil"/>
              <w:bottom w:val="single" w:sz="8" w:space="0" w:color="FFFFFF"/>
              <w:right w:val="single" w:sz="8" w:space="0" w:color="FFFFFF"/>
            </w:tcBorders>
            <w:shd w:val="clear" w:color="000000" w:fill="A3DCD2"/>
            <w:vAlign w:val="center"/>
            <w:hideMark/>
          </w:tcPr>
          <w:p w14:paraId="63F3641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A3DCD2"/>
            <w:vAlign w:val="center"/>
            <w:hideMark/>
          </w:tcPr>
          <w:p w14:paraId="0B54EF4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3" w:type="pct"/>
            <w:tcBorders>
              <w:top w:val="nil"/>
              <w:left w:val="nil"/>
              <w:bottom w:val="single" w:sz="8" w:space="0" w:color="FFFFFF"/>
              <w:right w:val="single" w:sz="8" w:space="0" w:color="FFFFFF"/>
            </w:tcBorders>
            <w:shd w:val="clear" w:color="000000" w:fill="E5B79F"/>
            <w:vAlign w:val="center"/>
            <w:hideMark/>
          </w:tcPr>
          <w:p w14:paraId="546C2D7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A3DCD2"/>
            <w:vAlign w:val="center"/>
            <w:hideMark/>
          </w:tcPr>
          <w:p w14:paraId="551A052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r>
      <w:tr w:rsidR="00DE6894" w:rsidRPr="00DE6894" w14:paraId="2C9D6A7A" w14:textId="77777777" w:rsidTr="00CB6BF7">
        <w:trPr>
          <w:trHeight w:val="20"/>
        </w:trPr>
        <w:tc>
          <w:tcPr>
            <w:tcW w:w="1908" w:type="pct"/>
            <w:tcBorders>
              <w:top w:val="nil"/>
              <w:left w:val="single" w:sz="8" w:space="0" w:color="FFFFFF"/>
              <w:bottom w:val="single" w:sz="8" w:space="0" w:color="FFFFFF"/>
              <w:right w:val="nil"/>
            </w:tcBorders>
            <w:shd w:val="clear" w:color="000000" w:fill="B1BDC7"/>
            <w:vAlign w:val="center"/>
            <w:hideMark/>
          </w:tcPr>
          <w:p w14:paraId="1E006FAB" w14:textId="77777777" w:rsidR="00DE6894" w:rsidRPr="00DE6894" w:rsidRDefault="00DE6894" w:rsidP="00DE6894">
            <w:pPr>
              <w:suppressAutoHyphens w:val="0"/>
              <w:spacing w:before="0"/>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Accountability mechanisms</w:t>
            </w:r>
          </w:p>
        </w:tc>
        <w:tc>
          <w:tcPr>
            <w:tcW w:w="262" w:type="pct"/>
            <w:tcBorders>
              <w:top w:val="nil"/>
              <w:left w:val="nil"/>
              <w:bottom w:val="single" w:sz="8" w:space="0" w:color="FFFFFF"/>
              <w:right w:val="nil"/>
            </w:tcBorders>
            <w:shd w:val="clear" w:color="000000" w:fill="B1BDC7"/>
            <w:vAlign w:val="center"/>
            <w:hideMark/>
          </w:tcPr>
          <w:p w14:paraId="11C8C0E6" w14:textId="53454449"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161" w:type="pct"/>
            <w:tcBorders>
              <w:top w:val="nil"/>
              <w:left w:val="nil"/>
              <w:bottom w:val="single" w:sz="8" w:space="0" w:color="FFFFFF"/>
              <w:right w:val="nil"/>
            </w:tcBorders>
            <w:shd w:val="clear" w:color="000000" w:fill="B1BDC7"/>
            <w:vAlign w:val="center"/>
            <w:hideMark/>
          </w:tcPr>
          <w:p w14:paraId="5D9CFFDC" w14:textId="2359797E"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6B107FA0" w14:textId="3A968980"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76" w:type="pct"/>
            <w:tcBorders>
              <w:top w:val="nil"/>
              <w:left w:val="nil"/>
              <w:bottom w:val="single" w:sz="8" w:space="0" w:color="FFFFFF"/>
              <w:right w:val="nil"/>
            </w:tcBorders>
            <w:shd w:val="clear" w:color="000000" w:fill="B1BDC7"/>
            <w:vAlign w:val="center"/>
            <w:hideMark/>
          </w:tcPr>
          <w:p w14:paraId="72FCFBC2" w14:textId="3C25CC3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46" w:type="pct"/>
            <w:tcBorders>
              <w:top w:val="nil"/>
              <w:left w:val="nil"/>
              <w:bottom w:val="single" w:sz="8" w:space="0" w:color="FFFFFF"/>
              <w:right w:val="nil"/>
            </w:tcBorders>
            <w:shd w:val="clear" w:color="000000" w:fill="B1BDC7"/>
            <w:vAlign w:val="center"/>
            <w:hideMark/>
          </w:tcPr>
          <w:p w14:paraId="6E532B33" w14:textId="11183638"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04" w:type="pct"/>
            <w:tcBorders>
              <w:top w:val="nil"/>
              <w:left w:val="nil"/>
              <w:bottom w:val="single" w:sz="8" w:space="0" w:color="FFFFFF"/>
              <w:right w:val="nil"/>
            </w:tcBorders>
            <w:shd w:val="clear" w:color="000000" w:fill="B1BDC7"/>
            <w:vAlign w:val="center"/>
            <w:hideMark/>
          </w:tcPr>
          <w:p w14:paraId="07AD28C2" w14:textId="68E4CCD2"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193" w:type="pct"/>
            <w:tcBorders>
              <w:top w:val="nil"/>
              <w:left w:val="nil"/>
              <w:bottom w:val="single" w:sz="8" w:space="0" w:color="FFFFFF"/>
              <w:right w:val="nil"/>
            </w:tcBorders>
            <w:shd w:val="clear" w:color="000000" w:fill="B1BDC7"/>
            <w:vAlign w:val="center"/>
            <w:hideMark/>
          </w:tcPr>
          <w:p w14:paraId="19015D3E" w14:textId="2C928342"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6462C0EE" w14:textId="0BC25532"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3B904726" w14:textId="394B06F4"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60" w:type="pct"/>
            <w:tcBorders>
              <w:top w:val="nil"/>
              <w:left w:val="nil"/>
              <w:bottom w:val="single" w:sz="8" w:space="0" w:color="FFFFFF"/>
              <w:right w:val="nil"/>
            </w:tcBorders>
            <w:shd w:val="clear" w:color="000000" w:fill="B1BDC7"/>
            <w:vAlign w:val="center"/>
            <w:hideMark/>
          </w:tcPr>
          <w:p w14:paraId="29064ABB" w14:textId="0E56836E"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316" w:type="pct"/>
            <w:tcBorders>
              <w:top w:val="nil"/>
              <w:left w:val="nil"/>
              <w:bottom w:val="single" w:sz="8" w:space="0" w:color="FFFFFF"/>
              <w:right w:val="nil"/>
            </w:tcBorders>
            <w:shd w:val="clear" w:color="000000" w:fill="B1BDC7"/>
            <w:vAlign w:val="center"/>
            <w:hideMark/>
          </w:tcPr>
          <w:p w14:paraId="716DBE2C" w14:textId="27FCBCB3"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43" w:type="pct"/>
            <w:tcBorders>
              <w:top w:val="nil"/>
              <w:left w:val="nil"/>
              <w:bottom w:val="single" w:sz="8" w:space="0" w:color="FFFFFF"/>
              <w:right w:val="nil"/>
            </w:tcBorders>
            <w:shd w:val="clear" w:color="000000" w:fill="B1BDC7"/>
            <w:vAlign w:val="center"/>
            <w:hideMark/>
          </w:tcPr>
          <w:p w14:paraId="1A25A0D0" w14:textId="25DFD92C"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56" w:type="pct"/>
            <w:tcBorders>
              <w:top w:val="nil"/>
              <w:left w:val="nil"/>
              <w:bottom w:val="single" w:sz="8" w:space="0" w:color="FFFFFF"/>
              <w:right w:val="single" w:sz="8" w:space="0" w:color="FFFFFF"/>
            </w:tcBorders>
            <w:shd w:val="clear" w:color="000000" w:fill="B1BDC7"/>
            <w:vAlign w:val="center"/>
            <w:hideMark/>
          </w:tcPr>
          <w:p w14:paraId="309704BC" w14:textId="179B450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r>
      <w:tr w:rsidR="00DE6894" w:rsidRPr="00DE6894" w14:paraId="1C4CB95D"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2E0A9D6B"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Performance management systems monitor gender mainstreaming actions</w:t>
            </w:r>
          </w:p>
        </w:tc>
        <w:tc>
          <w:tcPr>
            <w:tcW w:w="262" w:type="pct"/>
            <w:tcBorders>
              <w:top w:val="nil"/>
              <w:left w:val="nil"/>
              <w:bottom w:val="single" w:sz="8" w:space="0" w:color="FFFFFF"/>
              <w:right w:val="single" w:sz="8" w:space="0" w:color="FFFFFF"/>
            </w:tcBorders>
            <w:shd w:val="clear" w:color="000000" w:fill="E5B79F"/>
            <w:vAlign w:val="center"/>
            <w:hideMark/>
          </w:tcPr>
          <w:p w14:paraId="6845D63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61" w:type="pct"/>
            <w:tcBorders>
              <w:top w:val="nil"/>
              <w:left w:val="nil"/>
              <w:bottom w:val="single" w:sz="8" w:space="0" w:color="FFFFFF"/>
              <w:right w:val="single" w:sz="8" w:space="0" w:color="FFFFFF"/>
            </w:tcBorders>
            <w:shd w:val="clear" w:color="000000" w:fill="E5B79F"/>
            <w:vAlign w:val="center"/>
            <w:hideMark/>
          </w:tcPr>
          <w:p w14:paraId="5A377BE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1D99462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E5B79F"/>
            <w:vAlign w:val="center"/>
            <w:hideMark/>
          </w:tcPr>
          <w:p w14:paraId="1C251BF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6" w:type="pct"/>
            <w:tcBorders>
              <w:top w:val="nil"/>
              <w:left w:val="nil"/>
              <w:bottom w:val="single" w:sz="8" w:space="0" w:color="FFFFFF"/>
              <w:right w:val="single" w:sz="8" w:space="0" w:color="FFFFFF"/>
            </w:tcBorders>
            <w:shd w:val="clear" w:color="000000" w:fill="E5B79F"/>
            <w:vAlign w:val="center"/>
            <w:hideMark/>
          </w:tcPr>
          <w:p w14:paraId="56AE856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003FD25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2B7580B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55D6D06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A3DCD2"/>
            <w:vAlign w:val="center"/>
            <w:hideMark/>
          </w:tcPr>
          <w:p w14:paraId="2D06004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60" w:type="pct"/>
            <w:tcBorders>
              <w:top w:val="nil"/>
              <w:left w:val="nil"/>
              <w:bottom w:val="single" w:sz="8" w:space="0" w:color="FFFFFF"/>
              <w:right w:val="single" w:sz="8" w:space="0" w:color="FFFFFF"/>
            </w:tcBorders>
            <w:shd w:val="clear" w:color="000000" w:fill="A3DCD2"/>
            <w:vAlign w:val="center"/>
            <w:hideMark/>
          </w:tcPr>
          <w:p w14:paraId="5A46274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E5B79F"/>
            <w:vAlign w:val="center"/>
            <w:hideMark/>
          </w:tcPr>
          <w:p w14:paraId="505D5CB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3" w:type="pct"/>
            <w:tcBorders>
              <w:top w:val="nil"/>
              <w:left w:val="nil"/>
              <w:bottom w:val="single" w:sz="8" w:space="0" w:color="FFFFFF"/>
              <w:right w:val="single" w:sz="8" w:space="0" w:color="FFFFFF"/>
            </w:tcBorders>
            <w:shd w:val="clear" w:color="000000" w:fill="E5B79F"/>
            <w:vAlign w:val="center"/>
            <w:hideMark/>
          </w:tcPr>
          <w:p w14:paraId="28BB438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A3DCD2"/>
            <w:vAlign w:val="center"/>
            <w:hideMark/>
          </w:tcPr>
          <w:p w14:paraId="331A8AD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r>
      <w:tr w:rsidR="00DE6894" w:rsidRPr="00DE6894" w14:paraId="40D620F2"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466FF02A"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Job descriptions hold responsibility for gender-related results</w:t>
            </w:r>
          </w:p>
        </w:tc>
        <w:tc>
          <w:tcPr>
            <w:tcW w:w="262" w:type="pct"/>
            <w:tcBorders>
              <w:top w:val="nil"/>
              <w:left w:val="nil"/>
              <w:bottom w:val="single" w:sz="8" w:space="0" w:color="FFFFFF"/>
              <w:right w:val="single" w:sz="8" w:space="0" w:color="FFFFFF"/>
            </w:tcBorders>
            <w:shd w:val="clear" w:color="000000" w:fill="E5B79F"/>
            <w:vAlign w:val="center"/>
            <w:hideMark/>
          </w:tcPr>
          <w:p w14:paraId="4F5D4AC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61" w:type="pct"/>
            <w:tcBorders>
              <w:top w:val="nil"/>
              <w:left w:val="nil"/>
              <w:bottom w:val="single" w:sz="8" w:space="0" w:color="FFFFFF"/>
              <w:right w:val="single" w:sz="8" w:space="0" w:color="FFFFFF"/>
            </w:tcBorders>
            <w:shd w:val="clear" w:color="000000" w:fill="A3DCD2"/>
            <w:vAlign w:val="center"/>
            <w:hideMark/>
          </w:tcPr>
          <w:p w14:paraId="4909C39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E5B79F"/>
            <w:vAlign w:val="center"/>
            <w:hideMark/>
          </w:tcPr>
          <w:p w14:paraId="16A1BD9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A3DCD2"/>
            <w:vAlign w:val="center"/>
            <w:hideMark/>
          </w:tcPr>
          <w:p w14:paraId="55F3311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6" w:type="pct"/>
            <w:tcBorders>
              <w:top w:val="nil"/>
              <w:left w:val="nil"/>
              <w:bottom w:val="single" w:sz="8" w:space="0" w:color="FFFFFF"/>
              <w:right w:val="single" w:sz="8" w:space="0" w:color="FFFFFF"/>
            </w:tcBorders>
            <w:shd w:val="clear" w:color="000000" w:fill="E5B79F"/>
            <w:vAlign w:val="center"/>
            <w:hideMark/>
          </w:tcPr>
          <w:p w14:paraId="6DAFBE2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0A20081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09E2126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40E7A81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1227810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60" w:type="pct"/>
            <w:tcBorders>
              <w:top w:val="nil"/>
              <w:left w:val="nil"/>
              <w:bottom w:val="single" w:sz="8" w:space="0" w:color="FFFFFF"/>
              <w:right w:val="single" w:sz="8" w:space="0" w:color="FFFFFF"/>
            </w:tcBorders>
            <w:shd w:val="clear" w:color="000000" w:fill="A3DCD2"/>
            <w:vAlign w:val="center"/>
            <w:hideMark/>
          </w:tcPr>
          <w:p w14:paraId="108E804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E5B79F"/>
            <w:vAlign w:val="center"/>
            <w:hideMark/>
          </w:tcPr>
          <w:p w14:paraId="45DBF23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3" w:type="pct"/>
            <w:tcBorders>
              <w:top w:val="nil"/>
              <w:left w:val="nil"/>
              <w:bottom w:val="single" w:sz="8" w:space="0" w:color="FFFFFF"/>
              <w:right w:val="single" w:sz="8" w:space="0" w:color="FFFFFF"/>
            </w:tcBorders>
            <w:shd w:val="clear" w:color="000000" w:fill="E5B79F"/>
            <w:vAlign w:val="center"/>
            <w:hideMark/>
          </w:tcPr>
          <w:p w14:paraId="21E9152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E5B79F"/>
            <w:vAlign w:val="center"/>
            <w:hideMark/>
          </w:tcPr>
          <w:p w14:paraId="05DE6BB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r>
      <w:tr w:rsidR="00DE6894" w:rsidRPr="00DE6894" w14:paraId="0112B0C0" w14:textId="77777777" w:rsidTr="00CB6BF7">
        <w:trPr>
          <w:trHeight w:val="20"/>
        </w:trPr>
        <w:tc>
          <w:tcPr>
            <w:tcW w:w="1908" w:type="pct"/>
            <w:tcBorders>
              <w:top w:val="nil"/>
              <w:left w:val="single" w:sz="8" w:space="0" w:color="FFFFFF"/>
              <w:bottom w:val="single" w:sz="8" w:space="0" w:color="FFFFFF"/>
              <w:right w:val="nil"/>
            </w:tcBorders>
            <w:shd w:val="clear" w:color="000000" w:fill="B1BDC7"/>
            <w:vAlign w:val="center"/>
            <w:hideMark/>
          </w:tcPr>
          <w:p w14:paraId="71BAADDE" w14:textId="77777777" w:rsidR="00DE6894" w:rsidRPr="00DE6894" w:rsidRDefault="00DE6894" w:rsidP="00DE6894">
            <w:pPr>
              <w:suppressAutoHyphens w:val="0"/>
              <w:spacing w:before="0"/>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Technical capacity</w:t>
            </w:r>
          </w:p>
        </w:tc>
        <w:tc>
          <w:tcPr>
            <w:tcW w:w="262" w:type="pct"/>
            <w:tcBorders>
              <w:top w:val="nil"/>
              <w:left w:val="nil"/>
              <w:bottom w:val="single" w:sz="8" w:space="0" w:color="FFFFFF"/>
              <w:right w:val="nil"/>
            </w:tcBorders>
            <w:shd w:val="clear" w:color="000000" w:fill="B1BDC7"/>
            <w:vAlign w:val="center"/>
            <w:hideMark/>
          </w:tcPr>
          <w:p w14:paraId="21AD0234" w14:textId="3AB3E16E"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161" w:type="pct"/>
            <w:tcBorders>
              <w:top w:val="nil"/>
              <w:left w:val="nil"/>
              <w:bottom w:val="single" w:sz="8" w:space="0" w:color="FFFFFF"/>
              <w:right w:val="nil"/>
            </w:tcBorders>
            <w:shd w:val="clear" w:color="000000" w:fill="B1BDC7"/>
            <w:vAlign w:val="center"/>
            <w:hideMark/>
          </w:tcPr>
          <w:p w14:paraId="053A55BE" w14:textId="21DC022B"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29F80D20" w14:textId="104BF0DC"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76" w:type="pct"/>
            <w:tcBorders>
              <w:top w:val="nil"/>
              <w:left w:val="nil"/>
              <w:bottom w:val="single" w:sz="8" w:space="0" w:color="FFFFFF"/>
              <w:right w:val="nil"/>
            </w:tcBorders>
            <w:shd w:val="clear" w:color="000000" w:fill="B1BDC7"/>
            <w:vAlign w:val="center"/>
            <w:hideMark/>
          </w:tcPr>
          <w:p w14:paraId="2C1C59D2" w14:textId="4C63D51A"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46" w:type="pct"/>
            <w:tcBorders>
              <w:top w:val="nil"/>
              <w:left w:val="nil"/>
              <w:bottom w:val="single" w:sz="8" w:space="0" w:color="FFFFFF"/>
              <w:right w:val="nil"/>
            </w:tcBorders>
            <w:shd w:val="clear" w:color="000000" w:fill="B1BDC7"/>
            <w:vAlign w:val="center"/>
            <w:hideMark/>
          </w:tcPr>
          <w:p w14:paraId="56AE94EB" w14:textId="2CF3349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04" w:type="pct"/>
            <w:tcBorders>
              <w:top w:val="nil"/>
              <w:left w:val="nil"/>
              <w:bottom w:val="single" w:sz="8" w:space="0" w:color="FFFFFF"/>
              <w:right w:val="nil"/>
            </w:tcBorders>
            <w:shd w:val="clear" w:color="000000" w:fill="B1BDC7"/>
            <w:vAlign w:val="center"/>
            <w:hideMark/>
          </w:tcPr>
          <w:p w14:paraId="0293EE17" w14:textId="09355F26"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193" w:type="pct"/>
            <w:tcBorders>
              <w:top w:val="nil"/>
              <w:left w:val="nil"/>
              <w:bottom w:val="single" w:sz="8" w:space="0" w:color="FFFFFF"/>
              <w:right w:val="nil"/>
            </w:tcBorders>
            <w:shd w:val="clear" w:color="000000" w:fill="B1BDC7"/>
            <w:vAlign w:val="center"/>
            <w:hideMark/>
          </w:tcPr>
          <w:p w14:paraId="00219F5B" w14:textId="5F8FE38F"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24EB25FA" w14:textId="2E19CBFA"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6C1CAFF8" w14:textId="2EB3064B"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60" w:type="pct"/>
            <w:tcBorders>
              <w:top w:val="nil"/>
              <w:left w:val="nil"/>
              <w:bottom w:val="single" w:sz="8" w:space="0" w:color="FFFFFF"/>
              <w:right w:val="nil"/>
            </w:tcBorders>
            <w:shd w:val="clear" w:color="000000" w:fill="B1BDC7"/>
            <w:vAlign w:val="center"/>
            <w:hideMark/>
          </w:tcPr>
          <w:p w14:paraId="2397A9F7" w14:textId="2505483C"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316" w:type="pct"/>
            <w:tcBorders>
              <w:top w:val="nil"/>
              <w:left w:val="nil"/>
              <w:bottom w:val="single" w:sz="8" w:space="0" w:color="FFFFFF"/>
              <w:right w:val="nil"/>
            </w:tcBorders>
            <w:shd w:val="clear" w:color="000000" w:fill="B1BDC7"/>
            <w:vAlign w:val="center"/>
            <w:hideMark/>
          </w:tcPr>
          <w:p w14:paraId="0C603FBA" w14:textId="56B0E93B"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43" w:type="pct"/>
            <w:tcBorders>
              <w:top w:val="nil"/>
              <w:left w:val="nil"/>
              <w:bottom w:val="single" w:sz="8" w:space="0" w:color="FFFFFF"/>
              <w:right w:val="nil"/>
            </w:tcBorders>
            <w:shd w:val="clear" w:color="000000" w:fill="B1BDC7"/>
            <w:vAlign w:val="center"/>
            <w:hideMark/>
          </w:tcPr>
          <w:p w14:paraId="637971A0" w14:textId="5BF0688E"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56" w:type="pct"/>
            <w:tcBorders>
              <w:top w:val="nil"/>
              <w:left w:val="nil"/>
              <w:bottom w:val="single" w:sz="8" w:space="0" w:color="FFFFFF"/>
              <w:right w:val="single" w:sz="8" w:space="0" w:color="FFFFFF"/>
            </w:tcBorders>
            <w:shd w:val="clear" w:color="000000" w:fill="B1BDC7"/>
            <w:vAlign w:val="center"/>
            <w:hideMark/>
          </w:tcPr>
          <w:p w14:paraId="4508E3A9" w14:textId="30E7ED8C"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r>
      <w:tr w:rsidR="00DE6894" w:rsidRPr="00DE6894" w14:paraId="7DFCBEC3"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45136DDF"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Staff with technical qualifications or receive training in gender-related areas</w:t>
            </w:r>
          </w:p>
        </w:tc>
        <w:tc>
          <w:tcPr>
            <w:tcW w:w="262" w:type="pct"/>
            <w:tcBorders>
              <w:top w:val="nil"/>
              <w:left w:val="nil"/>
              <w:bottom w:val="single" w:sz="8" w:space="0" w:color="FFFFFF"/>
              <w:right w:val="single" w:sz="8" w:space="0" w:color="FFFFFF"/>
            </w:tcBorders>
            <w:shd w:val="clear" w:color="000000" w:fill="A3DCD2"/>
            <w:vAlign w:val="center"/>
            <w:hideMark/>
          </w:tcPr>
          <w:p w14:paraId="156ADFB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161" w:type="pct"/>
            <w:tcBorders>
              <w:top w:val="nil"/>
              <w:left w:val="nil"/>
              <w:bottom w:val="single" w:sz="8" w:space="0" w:color="FFFFFF"/>
              <w:right w:val="single" w:sz="8" w:space="0" w:color="FFFFFF"/>
            </w:tcBorders>
            <w:shd w:val="clear" w:color="000000" w:fill="A3DCD2"/>
            <w:vAlign w:val="center"/>
            <w:hideMark/>
          </w:tcPr>
          <w:p w14:paraId="4015AE1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E5B79F"/>
            <w:vAlign w:val="center"/>
            <w:hideMark/>
          </w:tcPr>
          <w:p w14:paraId="1AC4D28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A3DCD2"/>
            <w:vAlign w:val="center"/>
            <w:hideMark/>
          </w:tcPr>
          <w:p w14:paraId="0BCCFF3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46" w:type="pct"/>
            <w:tcBorders>
              <w:top w:val="nil"/>
              <w:left w:val="nil"/>
              <w:bottom w:val="single" w:sz="8" w:space="0" w:color="FFFFFF"/>
              <w:right w:val="single" w:sz="8" w:space="0" w:color="FFFFFF"/>
            </w:tcBorders>
            <w:shd w:val="clear" w:color="000000" w:fill="E5B79F"/>
            <w:vAlign w:val="center"/>
            <w:hideMark/>
          </w:tcPr>
          <w:p w14:paraId="52671AE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5880AFF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5BEA931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511960F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55AB04B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60" w:type="pct"/>
            <w:tcBorders>
              <w:top w:val="nil"/>
              <w:left w:val="nil"/>
              <w:bottom w:val="single" w:sz="8" w:space="0" w:color="FFFFFF"/>
              <w:right w:val="single" w:sz="8" w:space="0" w:color="FFFFFF"/>
            </w:tcBorders>
            <w:shd w:val="clear" w:color="000000" w:fill="A3DCD2"/>
            <w:vAlign w:val="center"/>
            <w:hideMark/>
          </w:tcPr>
          <w:p w14:paraId="1CE0671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E5B79F"/>
            <w:vAlign w:val="center"/>
            <w:hideMark/>
          </w:tcPr>
          <w:p w14:paraId="67DF1D2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3" w:type="pct"/>
            <w:tcBorders>
              <w:top w:val="nil"/>
              <w:left w:val="nil"/>
              <w:bottom w:val="single" w:sz="8" w:space="0" w:color="FFFFFF"/>
              <w:right w:val="single" w:sz="8" w:space="0" w:color="FFFFFF"/>
            </w:tcBorders>
            <w:shd w:val="clear" w:color="000000" w:fill="E5B79F"/>
            <w:vAlign w:val="center"/>
            <w:hideMark/>
          </w:tcPr>
          <w:p w14:paraId="756DD4B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A3DCD2"/>
            <w:vAlign w:val="center"/>
            <w:hideMark/>
          </w:tcPr>
          <w:p w14:paraId="1186DDE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r>
      <w:tr w:rsidR="00DE6894" w:rsidRPr="00DE6894" w14:paraId="766EF8EF"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642F2DBB"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Capacity to properly understand gender equality issues or mainstream gender</w:t>
            </w:r>
          </w:p>
        </w:tc>
        <w:tc>
          <w:tcPr>
            <w:tcW w:w="262" w:type="pct"/>
            <w:tcBorders>
              <w:top w:val="nil"/>
              <w:left w:val="nil"/>
              <w:bottom w:val="single" w:sz="8" w:space="0" w:color="FFFFFF"/>
              <w:right w:val="single" w:sz="8" w:space="0" w:color="FFFFFF"/>
            </w:tcBorders>
            <w:shd w:val="clear" w:color="000000" w:fill="E5B79F"/>
            <w:vAlign w:val="center"/>
            <w:hideMark/>
          </w:tcPr>
          <w:p w14:paraId="00FA588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61" w:type="pct"/>
            <w:tcBorders>
              <w:top w:val="nil"/>
              <w:left w:val="nil"/>
              <w:bottom w:val="single" w:sz="8" w:space="0" w:color="FFFFFF"/>
              <w:right w:val="single" w:sz="8" w:space="0" w:color="FFFFFF"/>
            </w:tcBorders>
            <w:shd w:val="clear" w:color="000000" w:fill="E5B79F"/>
            <w:vAlign w:val="center"/>
            <w:hideMark/>
          </w:tcPr>
          <w:p w14:paraId="1F239EC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348EAFF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E5B79F"/>
            <w:vAlign w:val="center"/>
            <w:hideMark/>
          </w:tcPr>
          <w:p w14:paraId="6101E8F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6" w:type="pct"/>
            <w:tcBorders>
              <w:top w:val="nil"/>
              <w:left w:val="nil"/>
              <w:bottom w:val="single" w:sz="8" w:space="0" w:color="FFFFFF"/>
              <w:right w:val="single" w:sz="8" w:space="0" w:color="FFFFFF"/>
            </w:tcBorders>
            <w:shd w:val="clear" w:color="000000" w:fill="E5B79F"/>
            <w:vAlign w:val="center"/>
            <w:hideMark/>
          </w:tcPr>
          <w:p w14:paraId="215242F3"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6BDF3AE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6DE33C21"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A3DCD2"/>
            <w:vAlign w:val="center"/>
            <w:hideMark/>
          </w:tcPr>
          <w:p w14:paraId="4186AF3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225" w:type="pct"/>
            <w:tcBorders>
              <w:top w:val="nil"/>
              <w:left w:val="nil"/>
              <w:bottom w:val="single" w:sz="8" w:space="0" w:color="FFFFFF"/>
              <w:right w:val="single" w:sz="8" w:space="0" w:color="FFFFFF"/>
            </w:tcBorders>
            <w:shd w:val="clear" w:color="000000" w:fill="E5B79F"/>
            <w:vAlign w:val="center"/>
            <w:hideMark/>
          </w:tcPr>
          <w:p w14:paraId="66FC496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60" w:type="pct"/>
            <w:tcBorders>
              <w:top w:val="nil"/>
              <w:left w:val="nil"/>
              <w:bottom w:val="single" w:sz="8" w:space="0" w:color="FFFFFF"/>
              <w:right w:val="single" w:sz="8" w:space="0" w:color="FFFFFF"/>
            </w:tcBorders>
            <w:shd w:val="clear" w:color="000000" w:fill="E5B79F"/>
            <w:vAlign w:val="center"/>
            <w:hideMark/>
          </w:tcPr>
          <w:p w14:paraId="7799341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316" w:type="pct"/>
            <w:tcBorders>
              <w:top w:val="nil"/>
              <w:left w:val="nil"/>
              <w:bottom w:val="single" w:sz="8" w:space="0" w:color="FFFFFF"/>
              <w:right w:val="single" w:sz="8" w:space="0" w:color="FFFFFF"/>
            </w:tcBorders>
            <w:shd w:val="clear" w:color="000000" w:fill="E5B79F"/>
            <w:vAlign w:val="center"/>
            <w:hideMark/>
          </w:tcPr>
          <w:p w14:paraId="4B6FFBE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3" w:type="pct"/>
            <w:tcBorders>
              <w:top w:val="nil"/>
              <w:left w:val="nil"/>
              <w:bottom w:val="single" w:sz="8" w:space="0" w:color="FFFFFF"/>
              <w:right w:val="single" w:sz="8" w:space="0" w:color="FFFFFF"/>
            </w:tcBorders>
            <w:shd w:val="clear" w:color="000000" w:fill="E5B79F"/>
            <w:vAlign w:val="center"/>
            <w:hideMark/>
          </w:tcPr>
          <w:p w14:paraId="221F5A2F"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E5B79F"/>
            <w:vAlign w:val="center"/>
            <w:hideMark/>
          </w:tcPr>
          <w:p w14:paraId="27D37652"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r>
      <w:tr w:rsidR="00DE6894" w:rsidRPr="00DE6894" w14:paraId="3BE95F65" w14:textId="77777777" w:rsidTr="00CB6BF7">
        <w:trPr>
          <w:trHeight w:val="20"/>
        </w:trPr>
        <w:tc>
          <w:tcPr>
            <w:tcW w:w="1908" w:type="pct"/>
            <w:tcBorders>
              <w:top w:val="nil"/>
              <w:left w:val="single" w:sz="8" w:space="0" w:color="FFFFFF"/>
              <w:bottom w:val="single" w:sz="8" w:space="0" w:color="FFFFFF"/>
              <w:right w:val="nil"/>
            </w:tcBorders>
            <w:shd w:val="clear" w:color="000000" w:fill="B1BDC7"/>
            <w:vAlign w:val="center"/>
            <w:hideMark/>
          </w:tcPr>
          <w:p w14:paraId="1A50DE2A" w14:textId="77777777" w:rsidR="00DE6894" w:rsidRPr="00DE6894" w:rsidRDefault="00DE6894" w:rsidP="00DE6894">
            <w:pPr>
              <w:suppressAutoHyphens w:val="0"/>
              <w:spacing w:before="0"/>
              <w:rPr>
                <w:rFonts w:ascii="Calibri Light" w:eastAsia="Times New Roman" w:hAnsi="Calibri Light" w:cs="Times New Roman"/>
                <w:b/>
                <w:bCs/>
                <w:color w:val="495965"/>
                <w:sz w:val="18"/>
                <w:szCs w:val="18"/>
                <w:lang w:val="en-AU" w:eastAsia="en-AU"/>
              </w:rPr>
            </w:pPr>
            <w:r w:rsidRPr="00DE6894">
              <w:rPr>
                <w:rFonts w:ascii="Calibri Light" w:eastAsia="Times New Roman" w:hAnsi="Calibri Light" w:cs="Times New Roman"/>
                <w:b/>
                <w:bCs/>
                <w:color w:val="495965"/>
                <w:sz w:val="18"/>
                <w:szCs w:val="18"/>
                <w:lang w:val="en-AU" w:eastAsia="en-AU"/>
              </w:rPr>
              <w:t>Financing for gender equality</w:t>
            </w:r>
          </w:p>
        </w:tc>
        <w:tc>
          <w:tcPr>
            <w:tcW w:w="262" w:type="pct"/>
            <w:tcBorders>
              <w:top w:val="nil"/>
              <w:left w:val="nil"/>
              <w:bottom w:val="single" w:sz="8" w:space="0" w:color="FFFFFF"/>
              <w:right w:val="nil"/>
            </w:tcBorders>
            <w:shd w:val="clear" w:color="000000" w:fill="B1BDC7"/>
            <w:vAlign w:val="center"/>
            <w:hideMark/>
          </w:tcPr>
          <w:p w14:paraId="2B67B61E" w14:textId="4C90E528"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161" w:type="pct"/>
            <w:tcBorders>
              <w:top w:val="nil"/>
              <w:left w:val="nil"/>
              <w:bottom w:val="single" w:sz="8" w:space="0" w:color="FFFFFF"/>
              <w:right w:val="nil"/>
            </w:tcBorders>
            <w:shd w:val="clear" w:color="000000" w:fill="B1BDC7"/>
            <w:vAlign w:val="center"/>
            <w:hideMark/>
          </w:tcPr>
          <w:p w14:paraId="44C273F7" w14:textId="6DB40C71"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72E7A71D" w14:textId="2F4E2DE2"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76" w:type="pct"/>
            <w:tcBorders>
              <w:top w:val="nil"/>
              <w:left w:val="nil"/>
              <w:bottom w:val="single" w:sz="8" w:space="0" w:color="FFFFFF"/>
              <w:right w:val="nil"/>
            </w:tcBorders>
            <w:shd w:val="clear" w:color="000000" w:fill="B1BDC7"/>
            <w:vAlign w:val="center"/>
            <w:hideMark/>
          </w:tcPr>
          <w:p w14:paraId="3C030250" w14:textId="6543010E"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46" w:type="pct"/>
            <w:tcBorders>
              <w:top w:val="nil"/>
              <w:left w:val="nil"/>
              <w:bottom w:val="single" w:sz="8" w:space="0" w:color="FFFFFF"/>
              <w:right w:val="nil"/>
            </w:tcBorders>
            <w:shd w:val="clear" w:color="000000" w:fill="B1BDC7"/>
            <w:vAlign w:val="center"/>
            <w:hideMark/>
          </w:tcPr>
          <w:p w14:paraId="5A7C9DCA" w14:textId="568C5AA3"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04" w:type="pct"/>
            <w:tcBorders>
              <w:top w:val="nil"/>
              <w:left w:val="nil"/>
              <w:bottom w:val="single" w:sz="8" w:space="0" w:color="FFFFFF"/>
              <w:right w:val="nil"/>
            </w:tcBorders>
            <w:shd w:val="clear" w:color="000000" w:fill="B1BDC7"/>
            <w:vAlign w:val="center"/>
            <w:hideMark/>
          </w:tcPr>
          <w:p w14:paraId="79BE2958" w14:textId="617E1646"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193" w:type="pct"/>
            <w:tcBorders>
              <w:top w:val="nil"/>
              <w:left w:val="nil"/>
              <w:bottom w:val="single" w:sz="8" w:space="0" w:color="FFFFFF"/>
              <w:right w:val="nil"/>
            </w:tcBorders>
            <w:shd w:val="clear" w:color="000000" w:fill="B1BDC7"/>
            <w:vAlign w:val="center"/>
            <w:hideMark/>
          </w:tcPr>
          <w:p w14:paraId="0F450271" w14:textId="3D296D52"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657B6B10" w14:textId="7953C039"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25" w:type="pct"/>
            <w:tcBorders>
              <w:top w:val="nil"/>
              <w:left w:val="nil"/>
              <w:bottom w:val="single" w:sz="8" w:space="0" w:color="FFFFFF"/>
              <w:right w:val="nil"/>
            </w:tcBorders>
            <w:shd w:val="clear" w:color="000000" w:fill="B1BDC7"/>
            <w:vAlign w:val="center"/>
            <w:hideMark/>
          </w:tcPr>
          <w:p w14:paraId="4AC71FA0" w14:textId="1D0237F4"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60" w:type="pct"/>
            <w:tcBorders>
              <w:top w:val="nil"/>
              <w:left w:val="nil"/>
              <w:bottom w:val="single" w:sz="8" w:space="0" w:color="FFFFFF"/>
              <w:right w:val="nil"/>
            </w:tcBorders>
            <w:shd w:val="clear" w:color="000000" w:fill="B1BDC7"/>
            <w:vAlign w:val="center"/>
            <w:hideMark/>
          </w:tcPr>
          <w:p w14:paraId="54151CA8" w14:textId="79295F2F"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316" w:type="pct"/>
            <w:tcBorders>
              <w:top w:val="nil"/>
              <w:left w:val="nil"/>
              <w:bottom w:val="single" w:sz="8" w:space="0" w:color="FFFFFF"/>
              <w:right w:val="nil"/>
            </w:tcBorders>
            <w:shd w:val="clear" w:color="000000" w:fill="B1BDC7"/>
            <w:vAlign w:val="center"/>
            <w:hideMark/>
          </w:tcPr>
          <w:p w14:paraId="48F94993" w14:textId="43357C38"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43" w:type="pct"/>
            <w:tcBorders>
              <w:top w:val="nil"/>
              <w:left w:val="nil"/>
              <w:bottom w:val="single" w:sz="8" w:space="0" w:color="FFFFFF"/>
              <w:right w:val="nil"/>
            </w:tcBorders>
            <w:shd w:val="clear" w:color="000000" w:fill="B1BDC7"/>
            <w:vAlign w:val="center"/>
            <w:hideMark/>
          </w:tcPr>
          <w:p w14:paraId="1E885F80" w14:textId="75EB4AC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c>
          <w:tcPr>
            <w:tcW w:w="256" w:type="pct"/>
            <w:tcBorders>
              <w:top w:val="nil"/>
              <w:left w:val="nil"/>
              <w:bottom w:val="single" w:sz="8" w:space="0" w:color="FFFFFF"/>
              <w:right w:val="single" w:sz="8" w:space="0" w:color="FFFFFF"/>
            </w:tcBorders>
            <w:shd w:val="clear" w:color="000000" w:fill="B1BDC7"/>
            <w:vAlign w:val="center"/>
            <w:hideMark/>
          </w:tcPr>
          <w:p w14:paraId="70C475D5" w14:textId="5EA0BDB6"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p>
        </w:tc>
      </w:tr>
      <w:tr w:rsidR="00DE6894" w:rsidRPr="00DE6894" w14:paraId="321C7DE1"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02FD78A4"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Gender mainstreaming built into government's budgeting process</w:t>
            </w:r>
          </w:p>
        </w:tc>
        <w:tc>
          <w:tcPr>
            <w:tcW w:w="262" w:type="pct"/>
            <w:tcBorders>
              <w:top w:val="nil"/>
              <w:left w:val="nil"/>
              <w:bottom w:val="single" w:sz="8" w:space="0" w:color="FFFFFF"/>
              <w:right w:val="single" w:sz="8" w:space="0" w:color="FFFFFF"/>
            </w:tcBorders>
            <w:shd w:val="clear" w:color="000000" w:fill="E5B79F"/>
            <w:vAlign w:val="center"/>
            <w:hideMark/>
          </w:tcPr>
          <w:p w14:paraId="5109E1F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61" w:type="pct"/>
            <w:tcBorders>
              <w:top w:val="nil"/>
              <w:left w:val="nil"/>
              <w:bottom w:val="single" w:sz="8" w:space="0" w:color="FFFFFF"/>
              <w:right w:val="single" w:sz="8" w:space="0" w:color="FFFFFF"/>
            </w:tcBorders>
            <w:shd w:val="clear" w:color="000000" w:fill="E5B79F"/>
            <w:vAlign w:val="center"/>
            <w:hideMark/>
          </w:tcPr>
          <w:p w14:paraId="032F08B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3E6E3D9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E5B79F"/>
            <w:vAlign w:val="center"/>
            <w:hideMark/>
          </w:tcPr>
          <w:p w14:paraId="263E371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6" w:type="pct"/>
            <w:tcBorders>
              <w:top w:val="nil"/>
              <w:left w:val="nil"/>
              <w:bottom w:val="single" w:sz="8" w:space="0" w:color="FFFFFF"/>
              <w:right w:val="single" w:sz="8" w:space="0" w:color="FFFFFF"/>
            </w:tcBorders>
            <w:shd w:val="clear" w:color="000000" w:fill="E5B79F"/>
            <w:vAlign w:val="center"/>
            <w:hideMark/>
          </w:tcPr>
          <w:p w14:paraId="3BD3EDF5"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4C5C94D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16C7B95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071E8E16"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3A3D940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60" w:type="pct"/>
            <w:tcBorders>
              <w:top w:val="nil"/>
              <w:left w:val="nil"/>
              <w:bottom w:val="single" w:sz="8" w:space="0" w:color="FFFFFF"/>
              <w:right w:val="single" w:sz="8" w:space="0" w:color="FFFFFF"/>
            </w:tcBorders>
            <w:shd w:val="clear" w:color="000000" w:fill="A3DCD2"/>
            <w:vAlign w:val="center"/>
            <w:hideMark/>
          </w:tcPr>
          <w:p w14:paraId="676550B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E5B79F"/>
            <w:vAlign w:val="center"/>
            <w:hideMark/>
          </w:tcPr>
          <w:p w14:paraId="34D6A42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3" w:type="pct"/>
            <w:tcBorders>
              <w:top w:val="nil"/>
              <w:left w:val="nil"/>
              <w:bottom w:val="single" w:sz="8" w:space="0" w:color="FFFFFF"/>
              <w:right w:val="single" w:sz="8" w:space="0" w:color="FFFFFF"/>
            </w:tcBorders>
            <w:shd w:val="clear" w:color="000000" w:fill="E5B79F"/>
            <w:vAlign w:val="center"/>
            <w:hideMark/>
          </w:tcPr>
          <w:p w14:paraId="2964F31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E5B79F"/>
            <w:vAlign w:val="center"/>
            <w:hideMark/>
          </w:tcPr>
          <w:p w14:paraId="20CEA1A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r>
      <w:tr w:rsidR="00DE6894" w:rsidRPr="00DE6894" w14:paraId="57CCF5F5" w14:textId="77777777" w:rsidTr="00CB6BF7">
        <w:trPr>
          <w:trHeight w:val="20"/>
        </w:trPr>
        <w:tc>
          <w:tcPr>
            <w:tcW w:w="1908" w:type="pct"/>
            <w:tcBorders>
              <w:top w:val="nil"/>
              <w:left w:val="single" w:sz="8" w:space="0" w:color="FFFFFF"/>
              <w:bottom w:val="single" w:sz="8" w:space="0" w:color="FFFFFF"/>
              <w:right w:val="single" w:sz="8" w:space="0" w:color="FFFFFF"/>
            </w:tcBorders>
            <w:shd w:val="clear" w:color="000000" w:fill="D8DEE3"/>
            <w:vAlign w:val="center"/>
            <w:hideMark/>
          </w:tcPr>
          <w:p w14:paraId="0A15DE09" w14:textId="77777777" w:rsidR="00DE6894" w:rsidRPr="00DE6894" w:rsidRDefault="00DE6894" w:rsidP="00DE6894">
            <w:pPr>
              <w:suppressAutoHyphens w:val="0"/>
              <w:spacing w:before="0"/>
              <w:rPr>
                <w:rFonts w:ascii="Calibri Light" w:eastAsia="Times New Roman" w:hAnsi="Calibri Light" w:cs="Times New Roman"/>
                <w:color w:val="495965"/>
                <w:sz w:val="18"/>
                <w:szCs w:val="18"/>
                <w:lang w:val="en-AU" w:eastAsia="en-AU"/>
              </w:rPr>
            </w:pPr>
            <w:r w:rsidRPr="00DE6894">
              <w:rPr>
                <w:rFonts w:ascii="Calibri Light" w:eastAsia="Times New Roman" w:hAnsi="Calibri Light" w:cs="Times New Roman"/>
                <w:color w:val="495965"/>
                <w:sz w:val="18"/>
                <w:szCs w:val="18"/>
                <w:lang w:val="en-AU" w:eastAsia="en-AU"/>
              </w:rPr>
              <w:t>Resourcing to national women’s machinery</w:t>
            </w:r>
          </w:p>
        </w:tc>
        <w:tc>
          <w:tcPr>
            <w:tcW w:w="262" w:type="pct"/>
            <w:tcBorders>
              <w:top w:val="nil"/>
              <w:left w:val="nil"/>
              <w:bottom w:val="single" w:sz="8" w:space="0" w:color="FFFFFF"/>
              <w:right w:val="single" w:sz="8" w:space="0" w:color="FFFFFF"/>
            </w:tcBorders>
            <w:shd w:val="clear" w:color="000000" w:fill="E5B79F"/>
            <w:vAlign w:val="center"/>
            <w:hideMark/>
          </w:tcPr>
          <w:p w14:paraId="03F3A2B7"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61" w:type="pct"/>
            <w:tcBorders>
              <w:top w:val="nil"/>
              <w:left w:val="nil"/>
              <w:bottom w:val="single" w:sz="8" w:space="0" w:color="FFFFFF"/>
              <w:right w:val="single" w:sz="8" w:space="0" w:color="FFFFFF"/>
            </w:tcBorders>
            <w:shd w:val="clear" w:color="000000" w:fill="E5B79F"/>
            <w:vAlign w:val="center"/>
            <w:hideMark/>
          </w:tcPr>
          <w:p w14:paraId="34B5F6BC"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43C7633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76" w:type="pct"/>
            <w:tcBorders>
              <w:top w:val="nil"/>
              <w:left w:val="nil"/>
              <w:bottom w:val="single" w:sz="8" w:space="0" w:color="FFFFFF"/>
              <w:right w:val="single" w:sz="8" w:space="0" w:color="FFFFFF"/>
            </w:tcBorders>
            <w:shd w:val="clear" w:color="000000" w:fill="E5B79F"/>
            <w:vAlign w:val="center"/>
            <w:hideMark/>
          </w:tcPr>
          <w:p w14:paraId="5336E5F0"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6" w:type="pct"/>
            <w:tcBorders>
              <w:top w:val="nil"/>
              <w:left w:val="nil"/>
              <w:bottom w:val="single" w:sz="8" w:space="0" w:color="FFFFFF"/>
              <w:right w:val="single" w:sz="8" w:space="0" w:color="FFFFFF"/>
            </w:tcBorders>
            <w:shd w:val="clear" w:color="000000" w:fill="E5B79F"/>
            <w:vAlign w:val="center"/>
            <w:hideMark/>
          </w:tcPr>
          <w:p w14:paraId="7C200CA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04" w:type="pct"/>
            <w:tcBorders>
              <w:top w:val="nil"/>
              <w:left w:val="nil"/>
              <w:bottom w:val="single" w:sz="8" w:space="0" w:color="FFFFFF"/>
              <w:right w:val="single" w:sz="8" w:space="0" w:color="FFFFFF"/>
            </w:tcBorders>
            <w:shd w:val="clear" w:color="000000" w:fill="E5B79F"/>
            <w:vAlign w:val="center"/>
            <w:hideMark/>
          </w:tcPr>
          <w:p w14:paraId="7492C5D9"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193" w:type="pct"/>
            <w:tcBorders>
              <w:top w:val="nil"/>
              <w:left w:val="nil"/>
              <w:bottom w:val="single" w:sz="8" w:space="0" w:color="FFFFFF"/>
              <w:right w:val="single" w:sz="8" w:space="0" w:color="FFFFFF"/>
            </w:tcBorders>
            <w:shd w:val="clear" w:color="000000" w:fill="E5B79F"/>
            <w:vAlign w:val="center"/>
            <w:hideMark/>
          </w:tcPr>
          <w:p w14:paraId="3DBD0BD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187C3A9B"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25" w:type="pct"/>
            <w:tcBorders>
              <w:top w:val="nil"/>
              <w:left w:val="nil"/>
              <w:bottom w:val="single" w:sz="8" w:space="0" w:color="FFFFFF"/>
              <w:right w:val="single" w:sz="8" w:space="0" w:color="FFFFFF"/>
            </w:tcBorders>
            <w:shd w:val="clear" w:color="000000" w:fill="E5B79F"/>
            <w:vAlign w:val="center"/>
            <w:hideMark/>
          </w:tcPr>
          <w:p w14:paraId="70E11DAE"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60" w:type="pct"/>
            <w:tcBorders>
              <w:top w:val="nil"/>
              <w:left w:val="nil"/>
              <w:bottom w:val="single" w:sz="8" w:space="0" w:color="FFFFFF"/>
              <w:right w:val="single" w:sz="8" w:space="0" w:color="FFFFFF"/>
            </w:tcBorders>
            <w:shd w:val="clear" w:color="000000" w:fill="A3DCD2"/>
            <w:vAlign w:val="center"/>
            <w:hideMark/>
          </w:tcPr>
          <w:p w14:paraId="073C8018"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2</w:t>
            </w:r>
          </w:p>
        </w:tc>
        <w:tc>
          <w:tcPr>
            <w:tcW w:w="316" w:type="pct"/>
            <w:tcBorders>
              <w:top w:val="nil"/>
              <w:left w:val="nil"/>
              <w:bottom w:val="single" w:sz="8" w:space="0" w:color="FFFFFF"/>
              <w:right w:val="single" w:sz="8" w:space="0" w:color="FFFFFF"/>
            </w:tcBorders>
            <w:shd w:val="clear" w:color="000000" w:fill="E5B79F"/>
            <w:vAlign w:val="center"/>
            <w:hideMark/>
          </w:tcPr>
          <w:p w14:paraId="370AD124"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43" w:type="pct"/>
            <w:tcBorders>
              <w:top w:val="nil"/>
              <w:left w:val="nil"/>
              <w:bottom w:val="single" w:sz="8" w:space="0" w:color="FFFFFF"/>
              <w:right w:val="single" w:sz="8" w:space="0" w:color="FFFFFF"/>
            </w:tcBorders>
            <w:shd w:val="clear" w:color="000000" w:fill="E5B79F"/>
            <w:vAlign w:val="center"/>
            <w:hideMark/>
          </w:tcPr>
          <w:p w14:paraId="3506234D"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c>
          <w:tcPr>
            <w:tcW w:w="256" w:type="pct"/>
            <w:tcBorders>
              <w:top w:val="nil"/>
              <w:left w:val="nil"/>
              <w:bottom w:val="single" w:sz="8" w:space="0" w:color="FFFFFF"/>
              <w:right w:val="single" w:sz="8" w:space="0" w:color="FFFFFF"/>
            </w:tcBorders>
            <w:shd w:val="clear" w:color="000000" w:fill="E5B79F"/>
            <w:vAlign w:val="center"/>
            <w:hideMark/>
          </w:tcPr>
          <w:p w14:paraId="478516EA" w14:textId="77777777" w:rsidR="00DE6894" w:rsidRPr="005537DC" w:rsidRDefault="00DE6894" w:rsidP="005537DC">
            <w:pPr>
              <w:suppressAutoHyphens w:val="0"/>
              <w:spacing w:before="0"/>
              <w:jc w:val="center"/>
              <w:rPr>
                <w:rFonts w:ascii="Calibri Light" w:eastAsia="Times New Roman" w:hAnsi="Calibri Light" w:cs="Times New Roman"/>
                <w:color w:val="000000" w:themeColor="text1"/>
                <w:sz w:val="18"/>
                <w:szCs w:val="18"/>
                <w:lang w:val="en-AU" w:eastAsia="en-AU"/>
              </w:rPr>
            </w:pPr>
            <w:r w:rsidRPr="005537DC">
              <w:rPr>
                <w:rFonts w:ascii="Calibri Light" w:eastAsia="Times New Roman" w:hAnsi="Calibri Light" w:cs="Times New Roman"/>
                <w:color w:val="000000" w:themeColor="text1"/>
                <w:sz w:val="18"/>
                <w:szCs w:val="18"/>
                <w:lang w:val="en-AU" w:eastAsia="en-AU"/>
              </w:rPr>
              <w:t>1</w:t>
            </w:r>
          </w:p>
        </w:tc>
      </w:tr>
    </w:tbl>
    <w:p w14:paraId="594BC49B" w14:textId="3CB23566" w:rsidR="001F03F2" w:rsidRPr="00BF1A97" w:rsidRDefault="00BF1A97" w:rsidP="00BF1A97">
      <w:pPr>
        <w:spacing w:before="120" w:after="60"/>
        <w:rPr>
          <w:b/>
          <w:bCs/>
          <w:sz w:val="18"/>
          <w:szCs w:val="18"/>
        </w:rPr>
      </w:pPr>
      <w:r w:rsidRPr="00BF1A97">
        <w:rPr>
          <w:b/>
          <w:bCs/>
          <w:sz w:val="18"/>
          <w:szCs w:val="18"/>
        </w:rPr>
        <w:t>Legend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
        <w:gridCol w:w="3025"/>
        <w:gridCol w:w="308"/>
        <w:gridCol w:w="3049"/>
        <w:gridCol w:w="308"/>
        <w:gridCol w:w="3075"/>
        <w:gridCol w:w="395"/>
        <w:gridCol w:w="3080"/>
      </w:tblGrid>
      <w:tr w:rsidR="005537DC" w:rsidRPr="005537DC" w14:paraId="176DE78F" w14:textId="77777777" w:rsidTr="0004005A">
        <w:tc>
          <w:tcPr>
            <w:tcW w:w="129" w:type="pct"/>
            <w:shd w:val="clear" w:color="auto" w:fill="E4B69E" w:themeFill="accent3" w:themeFillTint="99"/>
          </w:tcPr>
          <w:p w14:paraId="66F5C90D" w14:textId="09A0FCE2" w:rsidR="00BF1A97" w:rsidRPr="005537DC" w:rsidRDefault="007D4EF8" w:rsidP="00BF1A97">
            <w:pPr>
              <w:spacing w:before="0"/>
              <w:rPr>
                <w:color w:val="000000" w:themeColor="text1"/>
                <w:sz w:val="18"/>
                <w:szCs w:val="18"/>
              </w:rPr>
            </w:pPr>
            <w:r w:rsidRPr="005537DC">
              <w:rPr>
                <w:color w:val="000000" w:themeColor="text1"/>
                <w:sz w:val="18"/>
                <w:szCs w:val="18"/>
              </w:rPr>
              <w:t>1</w:t>
            </w:r>
          </w:p>
        </w:tc>
        <w:tc>
          <w:tcPr>
            <w:tcW w:w="1121" w:type="pct"/>
          </w:tcPr>
          <w:p w14:paraId="7E2ED275" w14:textId="4F38F0C4" w:rsidR="00BF1A97" w:rsidRPr="005537DC" w:rsidRDefault="00BF1A97" w:rsidP="00BF1A97">
            <w:pPr>
              <w:spacing w:before="0"/>
              <w:rPr>
                <w:color w:val="000000" w:themeColor="text1"/>
                <w:sz w:val="18"/>
                <w:szCs w:val="18"/>
              </w:rPr>
            </w:pPr>
            <w:r w:rsidRPr="005537DC">
              <w:rPr>
                <w:sz w:val="18"/>
                <w:szCs w:val="18"/>
              </w:rPr>
              <w:t xml:space="preserve">= </w:t>
            </w:r>
            <w:r w:rsidR="0004005A" w:rsidRPr="005537DC">
              <w:rPr>
                <w:sz w:val="18"/>
                <w:szCs w:val="18"/>
              </w:rPr>
              <w:t xml:space="preserve">criteria </w:t>
            </w:r>
            <w:r w:rsidRPr="005537DC">
              <w:rPr>
                <w:sz w:val="18"/>
                <w:szCs w:val="18"/>
              </w:rPr>
              <w:t xml:space="preserve">not </w:t>
            </w:r>
            <w:r w:rsidR="0004005A" w:rsidRPr="005537DC">
              <w:rPr>
                <w:sz w:val="18"/>
                <w:szCs w:val="18"/>
              </w:rPr>
              <w:t xml:space="preserve">met </w:t>
            </w:r>
            <w:r w:rsidRPr="005537DC">
              <w:rPr>
                <w:sz w:val="18"/>
                <w:szCs w:val="18"/>
              </w:rPr>
              <w:t>/ mildly displayed</w:t>
            </w:r>
          </w:p>
        </w:tc>
        <w:tc>
          <w:tcPr>
            <w:tcW w:w="120" w:type="pct"/>
            <w:shd w:val="clear" w:color="auto" w:fill="A2DCD1" w:themeFill="accent1" w:themeFillTint="99"/>
          </w:tcPr>
          <w:p w14:paraId="654CD16E" w14:textId="00122825" w:rsidR="00BF1A97" w:rsidRPr="005537DC" w:rsidRDefault="007D4EF8" w:rsidP="00BF1A97">
            <w:pPr>
              <w:spacing w:before="0"/>
              <w:rPr>
                <w:color w:val="000000" w:themeColor="text1"/>
                <w:sz w:val="18"/>
                <w:szCs w:val="18"/>
              </w:rPr>
            </w:pPr>
            <w:r w:rsidRPr="005537DC">
              <w:rPr>
                <w:color w:val="000000" w:themeColor="text1"/>
                <w:sz w:val="18"/>
                <w:szCs w:val="18"/>
              </w:rPr>
              <w:t>2</w:t>
            </w:r>
          </w:p>
        </w:tc>
        <w:tc>
          <w:tcPr>
            <w:tcW w:w="1130" w:type="pct"/>
          </w:tcPr>
          <w:p w14:paraId="4F0B5DC6" w14:textId="12C4DA42" w:rsidR="00BF1A97" w:rsidRPr="005537DC" w:rsidRDefault="00BF1A97" w:rsidP="00BF1A97">
            <w:pPr>
              <w:spacing w:before="0"/>
              <w:rPr>
                <w:color w:val="000000" w:themeColor="text1"/>
                <w:sz w:val="18"/>
                <w:szCs w:val="18"/>
              </w:rPr>
            </w:pPr>
            <w:r w:rsidRPr="005537DC">
              <w:rPr>
                <w:sz w:val="18"/>
                <w:szCs w:val="18"/>
                <w:lang w:val="en-AU"/>
              </w:rPr>
              <w:t xml:space="preserve">= </w:t>
            </w:r>
            <w:r w:rsidR="0004005A" w:rsidRPr="005537DC">
              <w:rPr>
                <w:sz w:val="18"/>
                <w:szCs w:val="18"/>
                <w:lang w:val="en-AU"/>
              </w:rPr>
              <w:t xml:space="preserve">criteria </w:t>
            </w:r>
            <w:r w:rsidRPr="005537DC">
              <w:rPr>
                <w:sz w:val="18"/>
                <w:szCs w:val="18"/>
                <w:lang w:val="en-AU"/>
              </w:rPr>
              <w:t>partially displayed</w:t>
            </w:r>
          </w:p>
        </w:tc>
        <w:tc>
          <w:tcPr>
            <w:tcW w:w="111" w:type="pct"/>
            <w:shd w:val="clear" w:color="auto" w:fill="CDE3BA"/>
          </w:tcPr>
          <w:p w14:paraId="02195597" w14:textId="539AD634" w:rsidR="00BF1A97" w:rsidRPr="005537DC" w:rsidRDefault="007D4EF8" w:rsidP="00BF1A97">
            <w:pPr>
              <w:spacing w:before="0"/>
              <w:rPr>
                <w:color w:val="000000" w:themeColor="text1"/>
                <w:sz w:val="18"/>
                <w:szCs w:val="18"/>
              </w:rPr>
            </w:pPr>
            <w:r w:rsidRPr="005537DC">
              <w:rPr>
                <w:color w:val="000000" w:themeColor="text1"/>
                <w:sz w:val="18"/>
                <w:szCs w:val="18"/>
              </w:rPr>
              <w:t>3</w:t>
            </w:r>
          </w:p>
        </w:tc>
        <w:tc>
          <w:tcPr>
            <w:tcW w:w="1139" w:type="pct"/>
          </w:tcPr>
          <w:p w14:paraId="20F54179" w14:textId="1EEBD620" w:rsidR="00BF1A97" w:rsidRPr="005537DC" w:rsidRDefault="00BF1A97" w:rsidP="00BF1A97">
            <w:pPr>
              <w:spacing w:before="0"/>
              <w:rPr>
                <w:color w:val="000000" w:themeColor="text1"/>
                <w:sz w:val="18"/>
                <w:szCs w:val="18"/>
              </w:rPr>
            </w:pPr>
            <w:r w:rsidRPr="005537DC">
              <w:rPr>
                <w:sz w:val="18"/>
                <w:szCs w:val="18"/>
                <w:lang w:val="en-AU"/>
              </w:rPr>
              <w:t xml:space="preserve">= </w:t>
            </w:r>
            <w:r w:rsidR="0004005A" w:rsidRPr="005537DC">
              <w:rPr>
                <w:sz w:val="18"/>
                <w:szCs w:val="18"/>
                <w:lang w:val="en-AU"/>
              </w:rPr>
              <w:t xml:space="preserve">criteria </w:t>
            </w:r>
            <w:r w:rsidRPr="005537DC">
              <w:rPr>
                <w:sz w:val="18"/>
                <w:szCs w:val="18"/>
                <w:lang w:val="en-AU"/>
              </w:rPr>
              <w:t>met or mostly displayed</w:t>
            </w:r>
          </w:p>
        </w:tc>
        <w:tc>
          <w:tcPr>
            <w:tcW w:w="109" w:type="pct"/>
            <w:shd w:val="clear" w:color="auto" w:fill="E7EAED"/>
          </w:tcPr>
          <w:p w14:paraId="7BDD7A99" w14:textId="1FA7A9B8" w:rsidR="00BF1A97" w:rsidRPr="005537DC" w:rsidRDefault="007D4EF8" w:rsidP="00BF1A97">
            <w:pPr>
              <w:spacing w:before="0"/>
              <w:rPr>
                <w:color w:val="000000" w:themeColor="text1"/>
                <w:sz w:val="18"/>
                <w:szCs w:val="18"/>
              </w:rPr>
            </w:pPr>
            <w:proofErr w:type="spellStart"/>
            <w:r w:rsidRPr="005537DC">
              <w:rPr>
                <w:color w:val="000000" w:themeColor="text1"/>
                <w:sz w:val="18"/>
                <w:szCs w:val="18"/>
              </w:rPr>
              <w:t>na</w:t>
            </w:r>
            <w:proofErr w:type="spellEnd"/>
          </w:p>
        </w:tc>
        <w:tc>
          <w:tcPr>
            <w:tcW w:w="1141" w:type="pct"/>
          </w:tcPr>
          <w:p w14:paraId="7AB546E6" w14:textId="3C31B5BB" w:rsidR="00BF1A97" w:rsidRPr="005537DC" w:rsidRDefault="00BF1A97" w:rsidP="00BF1A97">
            <w:pPr>
              <w:spacing w:before="0"/>
              <w:rPr>
                <w:color w:val="000000" w:themeColor="text1"/>
                <w:sz w:val="18"/>
                <w:szCs w:val="18"/>
              </w:rPr>
            </w:pPr>
            <w:r w:rsidRPr="005537DC">
              <w:rPr>
                <w:sz w:val="18"/>
                <w:szCs w:val="18"/>
                <w:lang w:val="en-AU"/>
              </w:rPr>
              <w:t xml:space="preserve">= </w:t>
            </w:r>
            <w:r w:rsidR="0004005A" w:rsidRPr="005537DC">
              <w:rPr>
                <w:sz w:val="18"/>
                <w:szCs w:val="18"/>
                <w:lang w:val="en-AU"/>
              </w:rPr>
              <w:t xml:space="preserve">criteria </w:t>
            </w:r>
            <w:r w:rsidRPr="005537DC">
              <w:rPr>
                <w:sz w:val="18"/>
                <w:szCs w:val="18"/>
                <w:lang w:val="en-AU"/>
              </w:rPr>
              <w:t>not rated</w:t>
            </w:r>
          </w:p>
        </w:tc>
      </w:tr>
    </w:tbl>
    <w:p w14:paraId="0459FFD3" w14:textId="2D909B03" w:rsidR="00362279" w:rsidRPr="00364C8E" w:rsidRDefault="00960DFB" w:rsidP="00CE2893">
      <w:pPr>
        <w:spacing w:before="120"/>
        <w:rPr>
          <w:rFonts w:eastAsia="Times New Roman"/>
          <w:sz w:val="18"/>
          <w:szCs w:val="18"/>
        </w:rPr>
      </w:pPr>
      <w:r w:rsidRPr="00364C8E">
        <w:rPr>
          <w:sz w:val="18"/>
          <w:szCs w:val="18"/>
        </w:rPr>
        <w:t xml:space="preserve">Source: Sarah Widmer and Emily Sharp. 2017. </w:t>
      </w:r>
      <w:hyperlink r:id="rId38" w:history="1">
        <w:r w:rsidR="00364C8E" w:rsidRPr="00364C8E">
          <w:rPr>
            <w:rStyle w:val="Hyperlink"/>
            <w:rFonts w:cstheme="minorHAnsi"/>
            <w:color w:val="0000EE"/>
            <w:sz w:val="18"/>
            <w:szCs w:val="18"/>
          </w:rPr>
          <w:t>Progressing Gender Equality in the Pacific (PGEP) Project: Mid-term Evaluation Report</w:t>
        </w:r>
      </w:hyperlink>
      <w:r w:rsidR="00364C8E" w:rsidRPr="00364C8E">
        <w:rPr>
          <w:rStyle w:val="markedcontent"/>
          <w:rFonts w:cstheme="minorHAnsi"/>
          <w:color w:val="0000EE"/>
          <w:sz w:val="18"/>
          <w:szCs w:val="18"/>
        </w:rPr>
        <w:t>.</w:t>
      </w:r>
      <w:r w:rsidR="00362279" w:rsidRPr="00364C8E">
        <w:rPr>
          <w:rFonts w:eastAsia="Times New Roman"/>
          <w:sz w:val="18"/>
          <w:szCs w:val="18"/>
        </w:rPr>
        <w:br w:type="page"/>
      </w:r>
    </w:p>
    <w:p w14:paraId="22ED3CAD" w14:textId="77777777" w:rsidR="00633A66" w:rsidRPr="00364C8E" w:rsidRDefault="00633A66" w:rsidP="00960DFB">
      <w:pPr>
        <w:rPr>
          <w:rFonts w:eastAsia="Times New Roman"/>
          <w:sz w:val="18"/>
          <w:szCs w:val="18"/>
        </w:rPr>
        <w:sectPr w:rsidR="00633A66" w:rsidRPr="00364C8E" w:rsidSect="00CE2893">
          <w:headerReference w:type="default" r:id="rId39"/>
          <w:footerReference w:type="default" r:id="rId40"/>
          <w:endnotePr>
            <w:numFmt w:val="decimal"/>
          </w:endnotePr>
          <w:pgSz w:w="15840" w:h="12240" w:orient="landscape" w:code="1"/>
          <w:pgMar w:top="1701" w:right="1134" w:bottom="1134" w:left="1134" w:header="454" w:footer="454" w:gutter="0"/>
          <w:cols w:space="397"/>
          <w:docGrid w:linePitch="360"/>
        </w:sectPr>
      </w:pPr>
    </w:p>
    <w:p w14:paraId="216BE27D" w14:textId="3B9FB6F4" w:rsidR="00701AAF" w:rsidRPr="00701AAF" w:rsidRDefault="00701AAF" w:rsidP="006300DC">
      <w:pPr>
        <w:pStyle w:val="Heading4"/>
        <w:spacing w:before="0" w:after="120"/>
      </w:pPr>
      <w:r w:rsidRPr="00AE2BE9">
        <w:rPr>
          <w:b/>
          <w:bCs w:val="0"/>
        </w:rPr>
        <w:lastRenderedPageBreak/>
        <w:t xml:space="preserve">Table </w:t>
      </w:r>
      <w:r w:rsidR="00C33EB9">
        <w:rPr>
          <w:b/>
          <w:bCs w:val="0"/>
        </w:rPr>
        <w:t>G</w:t>
      </w:r>
      <w:r w:rsidRPr="00AE2BE9">
        <w:rPr>
          <w:b/>
          <w:bCs w:val="0"/>
        </w:rPr>
        <w:t>.1</w:t>
      </w:r>
      <w:r w:rsidRPr="00D529B7">
        <w:t xml:space="preserve"> </w:t>
      </w:r>
      <w:r>
        <w:t xml:space="preserve">Key themes from </w:t>
      </w:r>
      <w:r>
        <w:rPr>
          <w:rFonts w:eastAsia="Times New Roman"/>
        </w:rPr>
        <w:t>the meta-analysis</w:t>
      </w:r>
    </w:p>
    <w:tbl>
      <w:tblPr>
        <w:tblStyle w:val="TableGrid"/>
        <w:tblW w:w="5000" w:type="pct"/>
        <w:tblLook w:val="04A0" w:firstRow="1" w:lastRow="0" w:firstColumn="1" w:lastColumn="0" w:noHBand="0" w:noVBand="1"/>
      </w:tblPr>
      <w:tblGrid>
        <w:gridCol w:w="1380"/>
        <w:gridCol w:w="8582"/>
      </w:tblGrid>
      <w:tr w:rsidR="00701AAF" w:rsidRPr="00701AAF" w14:paraId="09742B60" w14:textId="77777777" w:rsidTr="00176635">
        <w:trPr>
          <w:tblHeader/>
        </w:trPr>
        <w:tc>
          <w:tcPr>
            <w:tcW w:w="496" w:type="pct"/>
          </w:tcPr>
          <w:p w14:paraId="7C9192C7" w14:textId="77777777" w:rsidR="00960DFB" w:rsidRPr="00701AAF" w:rsidRDefault="00960DFB" w:rsidP="00701AAF">
            <w:pPr>
              <w:widowControl w:val="0"/>
              <w:autoSpaceDE w:val="0"/>
              <w:autoSpaceDN w:val="0"/>
              <w:adjustRightInd w:val="0"/>
              <w:spacing w:before="0"/>
              <w:rPr>
                <w:rFonts w:cstheme="minorHAnsi"/>
                <w:b/>
                <w:bCs/>
                <w:sz w:val="20"/>
                <w:szCs w:val="20"/>
              </w:rPr>
            </w:pPr>
            <w:r w:rsidRPr="00701AAF">
              <w:rPr>
                <w:rFonts w:cstheme="minorHAnsi"/>
                <w:b/>
                <w:bCs/>
                <w:sz w:val="20"/>
                <w:szCs w:val="20"/>
              </w:rPr>
              <w:t>Domain</w:t>
            </w:r>
          </w:p>
        </w:tc>
        <w:tc>
          <w:tcPr>
            <w:tcW w:w="4504" w:type="pct"/>
          </w:tcPr>
          <w:p w14:paraId="77B8D945" w14:textId="77777777" w:rsidR="00960DFB" w:rsidRPr="00701AAF" w:rsidRDefault="00960DFB" w:rsidP="00701AAF">
            <w:pPr>
              <w:widowControl w:val="0"/>
              <w:autoSpaceDE w:val="0"/>
              <w:autoSpaceDN w:val="0"/>
              <w:adjustRightInd w:val="0"/>
              <w:spacing w:before="0"/>
              <w:rPr>
                <w:rFonts w:cstheme="minorHAnsi"/>
                <w:b/>
                <w:bCs/>
                <w:sz w:val="20"/>
                <w:szCs w:val="20"/>
              </w:rPr>
            </w:pPr>
            <w:r w:rsidRPr="00701AAF">
              <w:rPr>
                <w:rFonts w:cstheme="minorHAnsi"/>
                <w:b/>
                <w:bCs/>
                <w:sz w:val="20"/>
                <w:szCs w:val="20"/>
              </w:rPr>
              <w:t>Themes</w:t>
            </w:r>
          </w:p>
        </w:tc>
      </w:tr>
      <w:tr w:rsidR="00701AAF" w:rsidRPr="00701AAF" w14:paraId="7B69AC1C" w14:textId="77777777" w:rsidTr="006300DC">
        <w:tc>
          <w:tcPr>
            <w:tcW w:w="496" w:type="pct"/>
          </w:tcPr>
          <w:p w14:paraId="48B0A65D" w14:textId="77777777" w:rsidR="00960DFB" w:rsidRPr="00701AAF" w:rsidRDefault="00960DFB" w:rsidP="00701AAF">
            <w:pPr>
              <w:widowControl w:val="0"/>
              <w:tabs>
                <w:tab w:val="left" w:pos="1060"/>
              </w:tabs>
              <w:autoSpaceDE w:val="0"/>
              <w:autoSpaceDN w:val="0"/>
              <w:adjustRightInd w:val="0"/>
              <w:spacing w:before="0"/>
              <w:rPr>
                <w:rFonts w:cstheme="minorHAnsi"/>
                <w:spacing w:val="-1"/>
                <w:sz w:val="20"/>
                <w:szCs w:val="20"/>
              </w:rPr>
            </w:pPr>
            <w:r w:rsidRPr="00701AAF">
              <w:rPr>
                <w:rFonts w:cstheme="minorHAnsi"/>
                <w:sz w:val="20"/>
                <w:szCs w:val="20"/>
              </w:rPr>
              <w:t xml:space="preserve">National </w:t>
            </w:r>
            <w:r w:rsidRPr="00701AAF">
              <w:rPr>
                <w:rFonts w:cstheme="minorHAnsi"/>
                <w:spacing w:val="-1"/>
                <w:sz w:val="20"/>
                <w:szCs w:val="20"/>
              </w:rPr>
              <w:t>women’s</w:t>
            </w:r>
          </w:p>
          <w:p w14:paraId="3BEB293C" w14:textId="53C5B474" w:rsidR="00960DFB" w:rsidRPr="00701AAF" w:rsidRDefault="00A542E0" w:rsidP="00701AAF">
            <w:pPr>
              <w:widowControl w:val="0"/>
              <w:autoSpaceDE w:val="0"/>
              <w:autoSpaceDN w:val="0"/>
              <w:adjustRightInd w:val="0"/>
              <w:spacing w:before="0"/>
              <w:rPr>
                <w:rFonts w:cstheme="minorHAnsi"/>
                <w:sz w:val="20"/>
                <w:szCs w:val="20"/>
              </w:rPr>
            </w:pPr>
            <w:r w:rsidRPr="00701AAF">
              <w:rPr>
                <w:rFonts w:cstheme="minorHAnsi"/>
                <w:sz w:val="20"/>
                <w:szCs w:val="20"/>
              </w:rPr>
              <w:t>M</w:t>
            </w:r>
            <w:r w:rsidR="00960DFB" w:rsidRPr="00701AAF">
              <w:rPr>
                <w:rFonts w:cstheme="minorHAnsi"/>
                <w:sz w:val="20"/>
                <w:szCs w:val="20"/>
              </w:rPr>
              <w:t>achineries</w:t>
            </w:r>
            <w:r>
              <w:rPr>
                <w:rFonts w:cstheme="minorHAnsi"/>
                <w:sz w:val="20"/>
                <w:szCs w:val="20"/>
              </w:rPr>
              <w:t xml:space="preserve"> (NWM)</w:t>
            </w:r>
          </w:p>
        </w:tc>
        <w:tc>
          <w:tcPr>
            <w:tcW w:w="4504" w:type="pct"/>
          </w:tcPr>
          <w:p w14:paraId="4799A868" w14:textId="1C2125C0"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 xml:space="preserve">All NWMs were small and peripheral with little resourcing other than for salaries. NWMs were seen to lack expertise or clarity of roles, even when a gender policy was focused on </w:t>
            </w:r>
            <w:r w:rsidR="00A542E0">
              <w:rPr>
                <w:rFonts w:cstheme="minorHAnsi"/>
                <w:color w:val="495965" w:themeColor="text2"/>
                <w:sz w:val="20"/>
                <w:szCs w:val="20"/>
              </w:rPr>
              <w:t>gender mainstreaming</w:t>
            </w:r>
            <w:r w:rsidRPr="00701AAF">
              <w:rPr>
                <w:rFonts w:cstheme="minorHAnsi"/>
                <w:color w:val="495965" w:themeColor="text2"/>
                <w:sz w:val="20"/>
                <w:szCs w:val="20"/>
              </w:rPr>
              <w:t xml:space="preserve">. No budget for </w:t>
            </w:r>
            <w:r w:rsidR="00A542E0">
              <w:rPr>
                <w:rFonts w:cstheme="minorHAnsi"/>
                <w:color w:val="495965" w:themeColor="text2"/>
                <w:sz w:val="20"/>
                <w:szCs w:val="20"/>
              </w:rPr>
              <w:t xml:space="preserve">gender mainstreaming </w:t>
            </w:r>
            <w:r w:rsidRPr="00701AAF">
              <w:rPr>
                <w:rFonts w:cstheme="minorHAnsi"/>
                <w:color w:val="495965" w:themeColor="text2"/>
                <w:sz w:val="20"/>
                <w:szCs w:val="20"/>
              </w:rPr>
              <w:t xml:space="preserve">sat in departments outside of the NWMs (except Samoa and in some instances within Health or Police for </w:t>
            </w:r>
            <w:r w:rsidR="00A542E0">
              <w:rPr>
                <w:rFonts w:cstheme="minorHAnsi"/>
                <w:color w:val="495965" w:themeColor="text2"/>
                <w:sz w:val="20"/>
                <w:szCs w:val="20"/>
              </w:rPr>
              <w:t>violence against women</w:t>
            </w:r>
            <w:r w:rsidRPr="00701AAF">
              <w:rPr>
                <w:rFonts w:cstheme="minorHAnsi"/>
                <w:color w:val="495965" w:themeColor="text2"/>
                <w:sz w:val="20"/>
                <w:szCs w:val="20"/>
              </w:rPr>
              <w:t xml:space="preserve"> services). </w:t>
            </w:r>
          </w:p>
          <w:p w14:paraId="6CDE6DCD" w14:textId="77777777"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Even when countries have had gender focal points (only a few have them), they were seen to be under-resourced, and without clear roles.</w:t>
            </w:r>
          </w:p>
          <w:p w14:paraId="2C275160" w14:textId="5211A60F"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There were mixed reports of coordination with the NWMs across government</w:t>
            </w:r>
            <w:r w:rsidR="00701AAF">
              <w:rPr>
                <w:rFonts w:cstheme="minorHAnsi"/>
                <w:color w:val="495965" w:themeColor="text2"/>
                <w:sz w:val="20"/>
                <w:szCs w:val="20"/>
              </w:rPr>
              <w:t>.</w:t>
            </w:r>
          </w:p>
        </w:tc>
      </w:tr>
      <w:tr w:rsidR="00701AAF" w:rsidRPr="00701AAF" w14:paraId="1B9374D6" w14:textId="77777777" w:rsidTr="006300DC">
        <w:tc>
          <w:tcPr>
            <w:tcW w:w="496" w:type="pct"/>
          </w:tcPr>
          <w:p w14:paraId="1FFC9F04" w14:textId="77777777" w:rsidR="00960DFB" w:rsidRPr="00701AAF" w:rsidRDefault="00960DFB" w:rsidP="00701AAF">
            <w:pPr>
              <w:widowControl w:val="0"/>
              <w:autoSpaceDE w:val="0"/>
              <w:autoSpaceDN w:val="0"/>
              <w:adjustRightInd w:val="0"/>
              <w:spacing w:before="0"/>
              <w:rPr>
                <w:rFonts w:cstheme="minorHAnsi"/>
                <w:w w:val="104"/>
                <w:sz w:val="20"/>
                <w:szCs w:val="20"/>
              </w:rPr>
            </w:pPr>
            <w:r w:rsidRPr="00701AAF">
              <w:rPr>
                <w:rFonts w:cstheme="minorHAnsi"/>
                <w:w w:val="104"/>
                <w:sz w:val="20"/>
                <w:szCs w:val="20"/>
              </w:rPr>
              <w:t xml:space="preserve">Legal and policy </w:t>
            </w:r>
            <w:r w:rsidRPr="00701AAF">
              <w:rPr>
                <w:rFonts w:cstheme="minorHAnsi"/>
                <w:sz w:val="20"/>
                <w:szCs w:val="20"/>
              </w:rPr>
              <w:t>framework</w:t>
            </w:r>
          </w:p>
        </w:tc>
        <w:tc>
          <w:tcPr>
            <w:tcW w:w="4504" w:type="pct"/>
          </w:tcPr>
          <w:p w14:paraId="396D2536" w14:textId="7E9440C8"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Almost all countries were signatories to</w:t>
            </w:r>
            <w:r w:rsidR="00A542E0">
              <w:rPr>
                <w:rFonts w:cstheme="minorHAnsi"/>
                <w:color w:val="495965" w:themeColor="text2"/>
                <w:sz w:val="20"/>
                <w:szCs w:val="20"/>
              </w:rPr>
              <w:t xml:space="preserve"> UN</w:t>
            </w:r>
            <w:r w:rsidRPr="00701AAF">
              <w:rPr>
                <w:rFonts w:cstheme="minorHAnsi"/>
                <w:color w:val="495965" w:themeColor="text2"/>
                <w:sz w:val="20"/>
                <w:szCs w:val="20"/>
              </w:rPr>
              <w:t xml:space="preserve"> </w:t>
            </w:r>
            <w:r w:rsidR="00A542E0" w:rsidRPr="00A542E0">
              <w:rPr>
                <w:rFonts w:cstheme="minorHAnsi"/>
                <w:color w:val="495965" w:themeColor="text2"/>
                <w:sz w:val="20"/>
                <w:szCs w:val="20"/>
              </w:rPr>
              <w:t>Convention on the Elimination of All Forms of Discrimination Against Women</w:t>
            </w:r>
            <w:r w:rsidRPr="00701AAF">
              <w:rPr>
                <w:rFonts w:cstheme="minorHAnsi"/>
                <w:color w:val="495965" w:themeColor="text2"/>
                <w:sz w:val="20"/>
                <w:szCs w:val="20"/>
              </w:rPr>
              <w:t xml:space="preserve"> (aside from Tonga and Palau), </w:t>
            </w:r>
            <w:r w:rsidR="00A542E0">
              <w:rPr>
                <w:rFonts w:cstheme="minorHAnsi"/>
                <w:color w:val="495965" w:themeColor="text2"/>
                <w:sz w:val="20"/>
                <w:szCs w:val="20"/>
              </w:rPr>
              <w:t>PIF Leaders’ Gender Equality Declaration</w:t>
            </w:r>
            <w:r w:rsidRPr="00701AAF">
              <w:rPr>
                <w:rFonts w:cstheme="minorHAnsi"/>
                <w:color w:val="495965" w:themeColor="text2"/>
                <w:sz w:val="20"/>
                <w:szCs w:val="20"/>
              </w:rPr>
              <w:t xml:space="preserve"> and other international and regional instruments that promote gender equality and </w:t>
            </w:r>
            <w:r w:rsidR="00A542E0">
              <w:rPr>
                <w:rFonts w:cstheme="minorHAnsi"/>
                <w:color w:val="495965" w:themeColor="text2"/>
                <w:sz w:val="20"/>
                <w:szCs w:val="20"/>
              </w:rPr>
              <w:t>gender mainstreaming</w:t>
            </w:r>
            <w:r w:rsidR="00701AAF">
              <w:rPr>
                <w:rFonts w:cstheme="minorHAnsi"/>
                <w:color w:val="495965" w:themeColor="text2"/>
                <w:sz w:val="20"/>
                <w:szCs w:val="20"/>
              </w:rPr>
              <w:t>.</w:t>
            </w:r>
          </w:p>
          <w:p w14:paraId="2B394A68" w14:textId="796E38C4"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 xml:space="preserve"> Most countries had a gender equality policy and some other policies protecting women’s rights, particularly around family protection/domestic violence. Gender equality policies varied as to whether they focused on </w:t>
            </w:r>
            <w:r w:rsidR="00A542E0">
              <w:rPr>
                <w:rFonts w:cstheme="minorHAnsi"/>
                <w:color w:val="495965" w:themeColor="text2"/>
                <w:sz w:val="20"/>
                <w:szCs w:val="20"/>
              </w:rPr>
              <w:t>gender mainstreaming</w:t>
            </w:r>
            <w:r w:rsidRPr="00701AAF">
              <w:rPr>
                <w:rFonts w:cstheme="minorHAnsi"/>
                <w:color w:val="495965" w:themeColor="text2"/>
                <w:sz w:val="20"/>
                <w:szCs w:val="20"/>
              </w:rPr>
              <w:t xml:space="preserve"> or on traditional aspects of Women in Development.</w:t>
            </w:r>
          </w:p>
          <w:p w14:paraId="4FE83DB0" w14:textId="77777777"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 xml:space="preserve"> Some countries had legislation in place around maternity leave, and around family protection/domestic violence.</w:t>
            </w:r>
          </w:p>
        </w:tc>
      </w:tr>
      <w:tr w:rsidR="00701AAF" w:rsidRPr="00701AAF" w14:paraId="7948A985" w14:textId="77777777" w:rsidTr="006300DC">
        <w:tc>
          <w:tcPr>
            <w:tcW w:w="496" w:type="pct"/>
          </w:tcPr>
          <w:p w14:paraId="02F5FECD" w14:textId="77777777" w:rsidR="00960DFB" w:rsidRPr="00701AAF" w:rsidRDefault="00960DFB" w:rsidP="00701AAF">
            <w:pPr>
              <w:widowControl w:val="0"/>
              <w:autoSpaceDE w:val="0"/>
              <w:autoSpaceDN w:val="0"/>
              <w:adjustRightInd w:val="0"/>
              <w:spacing w:before="0"/>
              <w:rPr>
                <w:rFonts w:cstheme="minorHAnsi"/>
                <w:sz w:val="20"/>
                <w:szCs w:val="20"/>
              </w:rPr>
            </w:pPr>
            <w:r w:rsidRPr="00701AAF">
              <w:rPr>
                <w:rFonts w:cstheme="minorHAnsi"/>
                <w:sz w:val="20"/>
                <w:szCs w:val="20"/>
              </w:rPr>
              <w:t>Political will</w:t>
            </w:r>
          </w:p>
        </w:tc>
        <w:tc>
          <w:tcPr>
            <w:tcW w:w="4504" w:type="pct"/>
          </w:tcPr>
          <w:p w14:paraId="323CB5C5" w14:textId="4AB47823"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 xml:space="preserve">Political will and organisational culture were the enabling factors that were the most mixed (within and across countries) as to how much they supported </w:t>
            </w:r>
            <w:r w:rsidR="00A542E0">
              <w:rPr>
                <w:rFonts w:cstheme="minorHAnsi"/>
                <w:color w:val="495965" w:themeColor="text2"/>
                <w:sz w:val="20"/>
                <w:szCs w:val="20"/>
              </w:rPr>
              <w:t>gender mainstreaming</w:t>
            </w:r>
            <w:r w:rsidRPr="00701AAF">
              <w:rPr>
                <w:rFonts w:cstheme="minorHAnsi"/>
                <w:color w:val="495965" w:themeColor="text2"/>
                <w:sz w:val="20"/>
                <w:szCs w:val="20"/>
              </w:rPr>
              <w:t>.</w:t>
            </w:r>
          </w:p>
          <w:p w14:paraId="5E16225B" w14:textId="6BBFF5D1"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 xml:space="preserve">There was generally low awareness of what </w:t>
            </w:r>
            <w:r w:rsidR="00A542E0">
              <w:rPr>
                <w:rFonts w:cstheme="minorHAnsi"/>
                <w:color w:val="495965" w:themeColor="text2"/>
                <w:sz w:val="20"/>
                <w:szCs w:val="20"/>
              </w:rPr>
              <w:t>gender mainstreaming</w:t>
            </w:r>
            <w:r w:rsidRPr="00701AAF">
              <w:rPr>
                <w:rFonts w:cstheme="minorHAnsi"/>
                <w:color w:val="495965" w:themeColor="text2"/>
                <w:sz w:val="20"/>
                <w:szCs w:val="20"/>
              </w:rPr>
              <w:t xml:space="preserve"> was, often mistaken as being about gender balance in the workplace or programs targeting men and women. However, there was generally high interest in </w:t>
            </w:r>
            <w:r w:rsidR="00A542E0">
              <w:rPr>
                <w:rFonts w:cstheme="minorHAnsi"/>
                <w:color w:val="495965" w:themeColor="text2"/>
                <w:sz w:val="20"/>
                <w:szCs w:val="20"/>
              </w:rPr>
              <w:t>gender mainstreaming</w:t>
            </w:r>
            <w:r w:rsidRPr="00701AAF">
              <w:rPr>
                <w:rFonts w:cstheme="minorHAnsi"/>
                <w:color w:val="495965" w:themeColor="text2"/>
                <w:sz w:val="20"/>
                <w:szCs w:val="20"/>
              </w:rPr>
              <w:t xml:space="preserve"> from respondents.</w:t>
            </w:r>
          </w:p>
          <w:p w14:paraId="1230DB19" w14:textId="2AE46B41"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 xml:space="preserve">Socio-cultural perceptions and dynamics around gender seemed to be strong factors contributing to the lack of awareness and progress around </w:t>
            </w:r>
            <w:r w:rsidR="00A542E0">
              <w:rPr>
                <w:rFonts w:cstheme="minorHAnsi"/>
                <w:color w:val="495965" w:themeColor="text2"/>
                <w:sz w:val="20"/>
                <w:szCs w:val="20"/>
              </w:rPr>
              <w:t>gender mainstreaming</w:t>
            </w:r>
            <w:r w:rsidRPr="00701AAF">
              <w:rPr>
                <w:rFonts w:cstheme="minorHAnsi"/>
                <w:color w:val="495965" w:themeColor="text2"/>
                <w:sz w:val="20"/>
                <w:szCs w:val="20"/>
              </w:rPr>
              <w:t>.</w:t>
            </w:r>
          </w:p>
          <w:p w14:paraId="7751FFFB" w14:textId="77777777"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Most countries that had legal/policy frameworks in place struggled with implementation of the policies. Some had action plans in place but even these were difficult to implement because of lack of resources/staffing/time.</w:t>
            </w:r>
          </w:p>
          <w:p w14:paraId="1FD63F57" w14:textId="77777777"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Some countries had strategic plans or NDPs that mentioned gender but rarely were apparent in specific strategies or indicators, other than in Health and Education.</w:t>
            </w:r>
          </w:p>
        </w:tc>
      </w:tr>
      <w:tr w:rsidR="00701AAF" w:rsidRPr="00701AAF" w14:paraId="72B09196" w14:textId="77777777" w:rsidTr="006300DC">
        <w:tc>
          <w:tcPr>
            <w:tcW w:w="496" w:type="pct"/>
          </w:tcPr>
          <w:p w14:paraId="739C4701" w14:textId="77777777" w:rsidR="00960DFB" w:rsidRPr="00701AAF" w:rsidRDefault="00960DFB" w:rsidP="00701AAF">
            <w:pPr>
              <w:widowControl w:val="0"/>
              <w:autoSpaceDE w:val="0"/>
              <w:autoSpaceDN w:val="0"/>
              <w:adjustRightInd w:val="0"/>
              <w:spacing w:before="0"/>
              <w:rPr>
                <w:rFonts w:cstheme="minorHAnsi"/>
                <w:sz w:val="20"/>
                <w:szCs w:val="20"/>
              </w:rPr>
            </w:pPr>
            <w:r w:rsidRPr="00701AAF">
              <w:rPr>
                <w:rFonts w:cstheme="minorHAnsi"/>
                <w:sz w:val="20"/>
                <w:szCs w:val="20"/>
              </w:rPr>
              <w:t>Organisational culture</w:t>
            </w:r>
          </w:p>
        </w:tc>
        <w:tc>
          <w:tcPr>
            <w:tcW w:w="4504" w:type="pct"/>
          </w:tcPr>
          <w:p w14:paraId="4D5CDC96" w14:textId="77777777"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Virtually no countries had gender analysis in planning or tools to guide staff on how to integrate gender into their work.</w:t>
            </w:r>
          </w:p>
          <w:p w14:paraId="7E873DA1" w14:textId="77777777"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Some countries had equal opportunity policies or gender balances in the workplace. Gender balances were less apparent at senior/executive levels.</w:t>
            </w:r>
          </w:p>
          <w:p w14:paraId="25545335" w14:textId="77777777"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Few, if any, countries had gender-sensitive human resource policies in place.</w:t>
            </w:r>
          </w:p>
          <w:p w14:paraId="2F08ECB3" w14:textId="77777777"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 xml:space="preserve">The existence and use of sex-disaggregated data varied - most countries had data in some </w:t>
            </w:r>
            <w:proofErr w:type="gramStart"/>
            <w:r w:rsidRPr="00701AAF">
              <w:rPr>
                <w:rFonts w:cstheme="minorHAnsi"/>
                <w:color w:val="495965" w:themeColor="text2"/>
                <w:sz w:val="20"/>
                <w:szCs w:val="20"/>
              </w:rPr>
              <w:t>sectors</w:t>
            </w:r>
            <w:proofErr w:type="gramEnd"/>
            <w:r w:rsidRPr="00701AAF">
              <w:rPr>
                <w:rFonts w:cstheme="minorHAnsi"/>
                <w:color w:val="495965" w:themeColor="text2"/>
                <w:sz w:val="20"/>
                <w:szCs w:val="20"/>
              </w:rPr>
              <w:t xml:space="preserve"> but it was rarely used to inform planning. Most also lacked the capacity to analyse.</w:t>
            </w:r>
          </w:p>
          <w:p w14:paraId="046D5DB5" w14:textId="77777777"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Most countries had one or two ‘champions’ for gender equality in government.</w:t>
            </w:r>
          </w:p>
        </w:tc>
      </w:tr>
      <w:tr w:rsidR="00701AAF" w:rsidRPr="00701AAF" w14:paraId="510B0157" w14:textId="77777777" w:rsidTr="006300DC">
        <w:tc>
          <w:tcPr>
            <w:tcW w:w="496" w:type="pct"/>
          </w:tcPr>
          <w:p w14:paraId="7ACE2777" w14:textId="77777777" w:rsidR="00960DFB" w:rsidRPr="00701AAF" w:rsidRDefault="00960DFB" w:rsidP="00701AAF">
            <w:pPr>
              <w:widowControl w:val="0"/>
              <w:autoSpaceDE w:val="0"/>
              <w:autoSpaceDN w:val="0"/>
              <w:adjustRightInd w:val="0"/>
              <w:spacing w:before="0"/>
              <w:rPr>
                <w:rFonts w:cstheme="minorHAnsi"/>
                <w:w w:val="101"/>
                <w:sz w:val="20"/>
                <w:szCs w:val="20"/>
              </w:rPr>
            </w:pPr>
            <w:r w:rsidRPr="00701AAF">
              <w:rPr>
                <w:rFonts w:cstheme="minorHAnsi"/>
                <w:w w:val="101"/>
                <w:sz w:val="20"/>
                <w:szCs w:val="20"/>
              </w:rPr>
              <w:t xml:space="preserve">Accountability and </w:t>
            </w:r>
            <w:r w:rsidRPr="00701AAF">
              <w:rPr>
                <w:rFonts w:cstheme="minorHAnsi"/>
                <w:sz w:val="20"/>
                <w:szCs w:val="20"/>
              </w:rPr>
              <w:t>responsibility</w:t>
            </w:r>
          </w:p>
        </w:tc>
        <w:tc>
          <w:tcPr>
            <w:tcW w:w="4504" w:type="pct"/>
          </w:tcPr>
          <w:p w14:paraId="51CD09B9" w14:textId="6FC6CC52"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 xml:space="preserve">Virtually no countries had solid accountability mechanisms in place to support </w:t>
            </w:r>
            <w:r w:rsidR="00A542E0">
              <w:rPr>
                <w:rFonts w:cstheme="minorHAnsi"/>
                <w:color w:val="495965" w:themeColor="text2"/>
                <w:sz w:val="20"/>
                <w:szCs w:val="20"/>
              </w:rPr>
              <w:t>gender mainstreaming</w:t>
            </w:r>
            <w:r w:rsidRPr="00701AAF">
              <w:rPr>
                <w:rFonts w:cstheme="minorHAnsi"/>
                <w:color w:val="495965" w:themeColor="text2"/>
                <w:sz w:val="20"/>
                <w:szCs w:val="20"/>
              </w:rPr>
              <w:t>.</w:t>
            </w:r>
          </w:p>
          <w:p w14:paraId="41FAE409" w14:textId="65B01574"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 xml:space="preserve">Only the job descriptions for the NWM or gender focal points mentioned gender, aside from some instances of Police officials working in </w:t>
            </w:r>
            <w:r w:rsidR="00A542E0">
              <w:rPr>
                <w:rFonts w:cstheme="minorHAnsi"/>
                <w:color w:val="495965" w:themeColor="text2"/>
                <w:sz w:val="20"/>
                <w:szCs w:val="20"/>
              </w:rPr>
              <w:t>violence against women</w:t>
            </w:r>
            <w:r w:rsidRPr="00701AAF">
              <w:rPr>
                <w:rFonts w:cstheme="minorHAnsi"/>
                <w:color w:val="495965" w:themeColor="text2"/>
                <w:sz w:val="20"/>
                <w:szCs w:val="20"/>
              </w:rPr>
              <w:t>.</w:t>
            </w:r>
          </w:p>
        </w:tc>
      </w:tr>
      <w:tr w:rsidR="00701AAF" w:rsidRPr="00701AAF" w14:paraId="4D509925" w14:textId="77777777" w:rsidTr="006300DC">
        <w:tc>
          <w:tcPr>
            <w:tcW w:w="496" w:type="pct"/>
          </w:tcPr>
          <w:p w14:paraId="2E3F38CE" w14:textId="77777777" w:rsidR="00960DFB" w:rsidRPr="00701AAF" w:rsidRDefault="00960DFB" w:rsidP="00701AAF">
            <w:pPr>
              <w:widowControl w:val="0"/>
              <w:autoSpaceDE w:val="0"/>
              <w:autoSpaceDN w:val="0"/>
              <w:adjustRightInd w:val="0"/>
              <w:spacing w:before="0"/>
              <w:rPr>
                <w:rFonts w:cstheme="minorHAnsi"/>
                <w:sz w:val="20"/>
                <w:szCs w:val="20"/>
              </w:rPr>
            </w:pPr>
            <w:r w:rsidRPr="00701AAF">
              <w:rPr>
                <w:rFonts w:cstheme="minorHAnsi"/>
                <w:w w:val="101"/>
                <w:sz w:val="20"/>
                <w:szCs w:val="20"/>
              </w:rPr>
              <w:t>Technical capacity</w:t>
            </w:r>
          </w:p>
        </w:tc>
        <w:tc>
          <w:tcPr>
            <w:tcW w:w="4504" w:type="pct"/>
          </w:tcPr>
          <w:p w14:paraId="4A72F447" w14:textId="77777777"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All countries reported having low technical capacity, even the countries whose government personnel had received training on gender and development.</w:t>
            </w:r>
          </w:p>
          <w:p w14:paraId="37121F89" w14:textId="1992440E"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There were</w:t>
            </w:r>
            <w:r w:rsidR="00FC7D76">
              <w:rPr>
                <w:rFonts w:cstheme="minorHAnsi"/>
                <w:color w:val="495965" w:themeColor="text2"/>
                <w:sz w:val="20"/>
                <w:szCs w:val="20"/>
              </w:rPr>
              <w:t xml:space="preserve"> specific</w:t>
            </w:r>
            <w:r w:rsidRPr="00701AAF">
              <w:rPr>
                <w:rFonts w:cstheme="minorHAnsi"/>
                <w:color w:val="495965" w:themeColor="text2"/>
                <w:sz w:val="20"/>
                <w:szCs w:val="20"/>
              </w:rPr>
              <w:t xml:space="preserve"> </w:t>
            </w:r>
            <w:r w:rsidR="00E63389" w:rsidRPr="00701AAF">
              <w:rPr>
                <w:rFonts w:cstheme="minorHAnsi"/>
                <w:color w:val="495965" w:themeColor="text2"/>
                <w:sz w:val="20"/>
                <w:szCs w:val="20"/>
              </w:rPr>
              <w:t>limitations</w:t>
            </w:r>
            <w:r w:rsidRPr="00701AAF">
              <w:rPr>
                <w:rFonts w:cstheme="minorHAnsi"/>
                <w:color w:val="495965" w:themeColor="text2"/>
                <w:sz w:val="20"/>
                <w:szCs w:val="20"/>
              </w:rPr>
              <w:t xml:space="preserve"> in conducting gender analysis in planning and policies.</w:t>
            </w:r>
          </w:p>
        </w:tc>
      </w:tr>
      <w:tr w:rsidR="00701AAF" w:rsidRPr="00701AAF" w14:paraId="3CC4BE9A" w14:textId="77777777" w:rsidTr="006300DC">
        <w:tc>
          <w:tcPr>
            <w:tcW w:w="496" w:type="pct"/>
          </w:tcPr>
          <w:p w14:paraId="280FFA22" w14:textId="77777777" w:rsidR="00960DFB" w:rsidRPr="00701AAF" w:rsidRDefault="00960DFB" w:rsidP="00701AAF">
            <w:pPr>
              <w:widowControl w:val="0"/>
              <w:autoSpaceDE w:val="0"/>
              <w:autoSpaceDN w:val="0"/>
              <w:adjustRightInd w:val="0"/>
              <w:spacing w:before="0"/>
              <w:rPr>
                <w:rFonts w:cstheme="minorHAnsi"/>
                <w:sz w:val="20"/>
                <w:szCs w:val="20"/>
              </w:rPr>
            </w:pPr>
            <w:r w:rsidRPr="00701AAF">
              <w:rPr>
                <w:rFonts w:cstheme="minorHAnsi"/>
                <w:w w:val="101"/>
                <w:sz w:val="20"/>
                <w:szCs w:val="20"/>
              </w:rPr>
              <w:t>Adequate resources</w:t>
            </w:r>
          </w:p>
        </w:tc>
        <w:tc>
          <w:tcPr>
            <w:tcW w:w="4504" w:type="pct"/>
          </w:tcPr>
          <w:p w14:paraId="5D52639F" w14:textId="2ED930D7" w:rsidR="00960DFB" w:rsidRPr="00701AAF" w:rsidRDefault="00960DFB" w:rsidP="00853654">
            <w:pPr>
              <w:pStyle w:val="ListParagraph"/>
              <w:numPr>
                <w:ilvl w:val="0"/>
                <w:numId w:val="22"/>
              </w:numPr>
              <w:spacing w:before="0" w:after="0" w:line="240" w:lineRule="auto"/>
              <w:contextualSpacing w:val="0"/>
              <w:rPr>
                <w:rFonts w:cstheme="minorHAnsi"/>
                <w:color w:val="495965" w:themeColor="text2"/>
                <w:sz w:val="20"/>
                <w:szCs w:val="20"/>
              </w:rPr>
            </w:pPr>
            <w:r w:rsidRPr="00701AAF">
              <w:rPr>
                <w:rFonts w:cstheme="minorHAnsi"/>
                <w:color w:val="495965" w:themeColor="text2"/>
                <w:sz w:val="20"/>
                <w:szCs w:val="20"/>
              </w:rPr>
              <w:t xml:space="preserve">All (except Samoa) had insufficient financing for </w:t>
            </w:r>
            <w:r w:rsidR="00A542E0">
              <w:rPr>
                <w:rFonts w:cstheme="minorHAnsi"/>
                <w:color w:val="495965" w:themeColor="text2"/>
                <w:sz w:val="20"/>
                <w:szCs w:val="20"/>
              </w:rPr>
              <w:t>gender mainstreaming</w:t>
            </w:r>
            <w:r w:rsidRPr="00701AAF">
              <w:rPr>
                <w:rFonts w:cstheme="minorHAnsi"/>
                <w:color w:val="495965" w:themeColor="text2"/>
                <w:sz w:val="20"/>
                <w:szCs w:val="20"/>
              </w:rPr>
              <w:t xml:space="preserve"> or gender equality, with budgets for</w:t>
            </w:r>
            <w:r w:rsidR="006300DC">
              <w:rPr>
                <w:rFonts w:cstheme="minorHAnsi"/>
                <w:color w:val="495965" w:themeColor="text2"/>
                <w:sz w:val="20"/>
                <w:szCs w:val="20"/>
              </w:rPr>
              <w:t xml:space="preserve"> </w:t>
            </w:r>
            <w:r w:rsidRPr="00701AAF">
              <w:rPr>
                <w:rFonts w:cstheme="minorHAnsi"/>
                <w:color w:val="495965" w:themeColor="text2"/>
                <w:sz w:val="20"/>
                <w:szCs w:val="20"/>
              </w:rPr>
              <w:t>the NWM far under 1</w:t>
            </w:r>
            <w:r w:rsidR="001F27CC">
              <w:rPr>
                <w:rFonts w:cstheme="minorHAnsi"/>
                <w:color w:val="495965" w:themeColor="text2"/>
                <w:sz w:val="20"/>
                <w:szCs w:val="20"/>
              </w:rPr>
              <w:t xml:space="preserve"> per cent</w:t>
            </w:r>
            <w:r w:rsidRPr="00701AAF">
              <w:rPr>
                <w:rFonts w:cstheme="minorHAnsi"/>
                <w:color w:val="495965" w:themeColor="text2"/>
                <w:sz w:val="20"/>
                <w:szCs w:val="20"/>
              </w:rPr>
              <w:t xml:space="preserve"> of the national budget and no other budget for </w:t>
            </w:r>
            <w:r w:rsidR="00A542E0">
              <w:rPr>
                <w:rFonts w:cstheme="minorHAnsi"/>
                <w:color w:val="495965" w:themeColor="text2"/>
                <w:sz w:val="20"/>
                <w:szCs w:val="20"/>
              </w:rPr>
              <w:t>gender mainstreaming</w:t>
            </w:r>
            <w:r w:rsidRPr="00701AAF">
              <w:rPr>
                <w:rFonts w:cstheme="minorHAnsi"/>
                <w:color w:val="495965" w:themeColor="text2"/>
                <w:sz w:val="20"/>
                <w:szCs w:val="20"/>
              </w:rPr>
              <w:t>.</w:t>
            </w:r>
          </w:p>
        </w:tc>
      </w:tr>
    </w:tbl>
    <w:p w14:paraId="07C5079B" w14:textId="028B5612" w:rsidR="00362279" w:rsidRDefault="00C33EB9" w:rsidP="006300DC">
      <w:pPr>
        <w:spacing w:before="0"/>
        <w:rPr>
          <w:rFonts w:asciiTheme="majorHAnsi" w:eastAsia="Times New Roman" w:hAnsiTheme="majorHAnsi" w:cstheme="majorBidi"/>
          <w:b/>
          <w:bCs/>
          <w:caps/>
          <w:sz w:val="38"/>
          <w:szCs w:val="28"/>
        </w:rPr>
      </w:pPr>
      <w:r w:rsidRPr="00364C8E">
        <w:rPr>
          <w:sz w:val="18"/>
          <w:szCs w:val="18"/>
        </w:rPr>
        <w:t xml:space="preserve">Source: Sarah Widmer and Emily Sharp. 2017. </w:t>
      </w:r>
      <w:hyperlink r:id="rId41" w:history="1">
        <w:r w:rsidRPr="00364C8E">
          <w:rPr>
            <w:rStyle w:val="Hyperlink"/>
            <w:rFonts w:cstheme="minorHAnsi"/>
            <w:color w:val="0000EE"/>
            <w:sz w:val="18"/>
            <w:szCs w:val="18"/>
          </w:rPr>
          <w:t>Progressing Gender Equality in the Pacific (PGEP) Project: Mid-term Evaluation Report</w:t>
        </w:r>
      </w:hyperlink>
      <w:r>
        <w:rPr>
          <w:rStyle w:val="markedcontent"/>
          <w:rFonts w:cstheme="minorHAnsi"/>
          <w:color w:val="0000EE"/>
          <w:sz w:val="18"/>
          <w:szCs w:val="18"/>
        </w:rPr>
        <w:t>.</w:t>
      </w:r>
      <w:r w:rsidR="00362279">
        <w:rPr>
          <w:rFonts w:eastAsia="Times New Roman"/>
        </w:rPr>
        <w:br w:type="page"/>
      </w:r>
    </w:p>
    <w:p w14:paraId="041703DA" w14:textId="6E071B16" w:rsidR="00960DFB" w:rsidRDefault="007F3ECF" w:rsidP="00960DFB">
      <w:pPr>
        <w:pStyle w:val="Heading1"/>
        <w:rPr>
          <w:rFonts w:eastAsia="Times New Roman"/>
        </w:rPr>
      </w:pPr>
      <w:bookmarkStart w:id="96" w:name="_Toc108168339"/>
      <w:bookmarkStart w:id="97" w:name="_Toc120201435"/>
      <w:bookmarkStart w:id="98" w:name="_Toc120544542"/>
      <w:r>
        <w:rPr>
          <w:rFonts w:eastAsia="Times New Roman"/>
        </w:rPr>
        <w:lastRenderedPageBreak/>
        <w:t>R</w:t>
      </w:r>
      <w:r w:rsidR="00CD22E7">
        <w:rPr>
          <w:rFonts w:eastAsia="Times New Roman"/>
        </w:rPr>
        <w:t>eferences</w:t>
      </w:r>
      <w:bookmarkEnd w:id="96"/>
      <w:bookmarkEnd w:id="97"/>
      <w:bookmarkEnd w:id="98"/>
    </w:p>
    <w:p w14:paraId="01FB78F9" w14:textId="65A1FB8A" w:rsidR="00960DFB" w:rsidRPr="00753AF0" w:rsidRDefault="00960DFB" w:rsidP="00EE65FF">
      <w:pPr>
        <w:spacing w:before="120"/>
        <w:rPr>
          <w:rFonts w:cstheme="minorHAnsi"/>
          <w:sz w:val="20"/>
          <w:szCs w:val="20"/>
        </w:rPr>
      </w:pPr>
      <w:r w:rsidRPr="00753AF0">
        <w:rPr>
          <w:rFonts w:cstheme="minorHAnsi"/>
          <w:sz w:val="20"/>
          <w:szCs w:val="20"/>
        </w:rPr>
        <w:t xml:space="preserve">ADB.1988. </w:t>
      </w:r>
      <w:hyperlink r:id="rId42" w:history="1">
        <w:r w:rsidR="00753AF0" w:rsidRPr="00753AF0">
          <w:rPr>
            <w:rStyle w:val="Hyperlink"/>
            <w:rFonts w:cstheme="minorHAnsi"/>
            <w:color w:val="0000EE"/>
            <w:sz w:val="20"/>
            <w:szCs w:val="20"/>
          </w:rPr>
          <w:t xml:space="preserve">Policy on </w:t>
        </w:r>
        <w:r w:rsidRPr="00753AF0">
          <w:rPr>
            <w:rStyle w:val="Hyperlink"/>
            <w:rFonts w:cstheme="minorHAnsi"/>
            <w:color w:val="0000EE"/>
            <w:sz w:val="20"/>
            <w:szCs w:val="20"/>
          </w:rPr>
          <w:t>Gender and Development</w:t>
        </w:r>
      </w:hyperlink>
      <w:r w:rsidRPr="00753AF0">
        <w:rPr>
          <w:rFonts w:cstheme="minorHAnsi"/>
          <w:sz w:val="20"/>
          <w:szCs w:val="20"/>
        </w:rPr>
        <w:t>.</w:t>
      </w:r>
    </w:p>
    <w:p w14:paraId="275C9378" w14:textId="1490BDA7" w:rsidR="00960DFB" w:rsidRPr="00753AF0" w:rsidRDefault="00960DFB" w:rsidP="00EE65FF">
      <w:pPr>
        <w:spacing w:before="120"/>
        <w:rPr>
          <w:rFonts w:cstheme="minorHAnsi"/>
          <w:sz w:val="20"/>
          <w:szCs w:val="20"/>
        </w:rPr>
      </w:pPr>
      <w:r w:rsidRPr="00753AF0">
        <w:rPr>
          <w:rFonts w:cstheme="minorHAnsi"/>
          <w:sz w:val="20"/>
          <w:szCs w:val="20"/>
        </w:rPr>
        <w:t>ADB. 2018</w:t>
      </w:r>
      <w:r w:rsidRPr="00753AF0">
        <w:rPr>
          <w:rFonts w:cstheme="minorHAnsi"/>
          <w:i/>
          <w:iCs/>
          <w:sz w:val="20"/>
          <w:szCs w:val="20"/>
        </w:rPr>
        <w:t xml:space="preserve">. </w:t>
      </w:r>
      <w:hyperlink r:id="rId43" w:history="1">
        <w:r w:rsidRPr="000A670F">
          <w:rPr>
            <w:rStyle w:val="Hyperlink"/>
            <w:rFonts w:cstheme="minorHAnsi"/>
            <w:color w:val="0000EE"/>
            <w:sz w:val="20"/>
            <w:szCs w:val="20"/>
          </w:rPr>
          <w:t>Strategy 2030: Achieving a Prosperous, Inclusive, Resilient, and Sustainable Asia and the Pacific</w:t>
        </w:r>
      </w:hyperlink>
      <w:r w:rsidRPr="00753AF0">
        <w:rPr>
          <w:rFonts w:cstheme="minorHAnsi"/>
          <w:i/>
          <w:iCs/>
          <w:sz w:val="20"/>
          <w:szCs w:val="20"/>
        </w:rPr>
        <w:t xml:space="preserve">. </w:t>
      </w:r>
      <w:r w:rsidRPr="00753AF0">
        <w:rPr>
          <w:rFonts w:cstheme="minorHAnsi"/>
          <w:sz w:val="20"/>
          <w:szCs w:val="20"/>
        </w:rPr>
        <w:t>Manila</w:t>
      </w:r>
      <w:r w:rsidR="0037624B">
        <w:rPr>
          <w:rFonts w:cstheme="minorHAnsi"/>
          <w:sz w:val="20"/>
          <w:szCs w:val="20"/>
        </w:rPr>
        <w:t>.</w:t>
      </w:r>
    </w:p>
    <w:p w14:paraId="2592201D" w14:textId="3527A36E" w:rsidR="00960DFB" w:rsidRPr="00753AF0" w:rsidRDefault="00960DFB" w:rsidP="00EE65FF">
      <w:pPr>
        <w:spacing w:before="120"/>
        <w:rPr>
          <w:sz w:val="20"/>
          <w:szCs w:val="20"/>
        </w:rPr>
      </w:pPr>
      <w:r w:rsidRPr="00753AF0">
        <w:rPr>
          <w:sz w:val="20"/>
          <w:szCs w:val="20"/>
        </w:rPr>
        <w:t xml:space="preserve">ADB.2018. </w:t>
      </w:r>
      <w:hyperlink r:id="rId44" w:history="1">
        <w:r w:rsidRPr="00753AF0">
          <w:rPr>
            <w:rStyle w:val="Hyperlink"/>
            <w:rFonts w:cstheme="minorBidi"/>
            <w:color w:val="0000EE"/>
            <w:sz w:val="20"/>
            <w:szCs w:val="20"/>
          </w:rPr>
          <w:t>Policy-Based Lending 2008–2017: Performance, Results, and Issues of Design</w:t>
        </w:r>
      </w:hyperlink>
      <w:r w:rsidRPr="00753AF0">
        <w:rPr>
          <w:sz w:val="20"/>
          <w:szCs w:val="20"/>
        </w:rPr>
        <w:t xml:space="preserve">. </w:t>
      </w:r>
    </w:p>
    <w:p w14:paraId="71E6C7E2" w14:textId="082AB8B8" w:rsidR="00960DFB" w:rsidRPr="00753AF0" w:rsidRDefault="00960DFB" w:rsidP="00EE65FF">
      <w:pPr>
        <w:spacing w:before="120"/>
        <w:rPr>
          <w:sz w:val="20"/>
          <w:szCs w:val="20"/>
        </w:rPr>
      </w:pPr>
      <w:r w:rsidRPr="00753AF0">
        <w:rPr>
          <w:sz w:val="20"/>
          <w:szCs w:val="20"/>
        </w:rPr>
        <w:t xml:space="preserve">ADB. 2019. </w:t>
      </w:r>
      <w:hyperlink r:id="rId45" w:history="1">
        <w:r w:rsidRPr="00514DA5">
          <w:rPr>
            <w:rStyle w:val="Hyperlink"/>
            <w:rFonts w:cstheme="minorBidi"/>
            <w:color w:val="0000EE"/>
            <w:sz w:val="20"/>
            <w:szCs w:val="20"/>
          </w:rPr>
          <w:t xml:space="preserve">Strategy 2030 Operational Plan for Priority 2: Accelerating Progress in Gender </w:t>
        </w:r>
        <w:r w:rsidR="00753AF0" w:rsidRPr="00514DA5">
          <w:rPr>
            <w:rStyle w:val="Hyperlink"/>
            <w:rFonts w:cstheme="minorBidi"/>
            <w:color w:val="0000EE"/>
            <w:sz w:val="20"/>
            <w:szCs w:val="20"/>
          </w:rPr>
          <w:t>Equality</w:t>
        </w:r>
      </w:hyperlink>
      <w:r w:rsidRPr="00753AF0">
        <w:rPr>
          <w:sz w:val="20"/>
          <w:szCs w:val="20"/>
        </w:rPr>
        <w:t>.</w:t>
      </w:r>
      <w:r w:rsidR="00514DA5" w:rsidRPr="00753AF0">
        <w:rPr>
          <w:sz w:val="20"/>
          <w:szCs w:val="20"/>
        </w:rPr>
        <w:t xml:space="preserve"> </w:t>
      </w:r>
    </w:p>
    <w:p w14:paraId="3D8F10A7" w14:textId="3687FBF0" w:rsidR="00960DFB" w:rsidRPr="00753AF0" w:rsidRDefault="00960DFB" w:rsidP="00EE65FF">
      <w:pPr>
        <w:spacing w:before="120"/>
        <w:rPr>
          <w:sz w:val="20"/>
          <w:szCs w:val="20"/>
        </w:rPr>
      </w:pPr>
      <w:r w:rsidRPr="00753AF0">
        <w:rPr>
          <w:sz w:val="20"/>
          <w:szCs w:val="20"/>
        </w:rPr>
        <w:t xml:space="preserve">ADB .2021a. </w:t>
      </w:r>
      <w:hyperlink r:id="rId46" w:history="1">
        <w:r w:rsidRPr="007679BA">
          <w:rPr>
            <w:rStyle w:val="Hyperlink"/>
            <w:rFonts w:cstheme="minorBidi"/>
            <w:color w:val="0000EE"/>
            <w:sz w:val="20"/>
            <w:szCs w:val="20"/>
          </w:rPr>
          <w:t>Sovereign Lending and Grant Modalities: Quick Guide</w:t>
        </w:r>
      </w:hyperlink>
      <w:r w:rsidR="0037624B">
        <w:rPr>
          <w:sz w:val="20"/>
          <w:szCs w:val="20"/>
        </w:rPr>
        <w:t>.</w:t>
      </w:r>
    </w:p>
    <w:p w14:paraId="347EB1B5" w14:textId="6D940C91" w:rsidR="00960DFB" w:rsidRPr="00753AF0" w:rsidRDefault="00960DFB" w:rsidP="00EE65FF">
      <w:pPr>
        <w:spacing w:before="120"/>
        <w:rPr>
          <w:sz w:val="20"/>
          <w:szCs w:val="20"/>
        </w:rPr>
      </w:pPr>
      <w:r w:rsidRPr="00753AF0">
        <w:rPr>
          <w:sz w:val="20"/>
          <w:szCs w:val="20"/>
        </w:rPr>
        <w:t xml:space="preserve">ADB .2021b. </w:t>
      </w:r>
      <w:hyperlink r:id="rId47" w:history="1">
        <w:r w:rsidRPr="009A309B">
          <w:rPr>
            <w:rStyle w:val="Hyperlink"/>
            <w:rFonts w:cstheme="minorBidi"/>
            <w:color w:val="0000EE"/>
            <w:sz w:val="20"/>
            <w:szCs w:val="20"/>
          </w:rPr>
          <w:t>Guidelines for Gender Mainstreaming Categories of ADB Projects</w:t>
        </w:r>
      </w:hyperlink>
      <w:r w:rsidRPr="00753AF0">
        <w:rPr>
          <w:sz w:val="20"/>
          <w:szCs w:val="20"/>
        </w:rPr>
        <w:t>.</w:t>
      </w:r>
    </w:p>
    <w:p w14:paraId="7B743AD3" w14:textId="7406A57A" w:rsidR="00960DFB" w:rsidRPr="00753AF0" w:rsidRDefault="00960DFB" w:rsidP="00EE65FF">
      <w:pPr>
        <w:spacing w:before="120"/>
        <w:rPr>
          <w:rStyle w:val="Hyperlink"/>
          <w:sz w:val="20"/>
          <w:szCs w:val="20"/>
        </w:rPr>
      </w:pPr>
      <w:r w:rsidRPr="00753AF0">
        <w:rPr>
          <w:sz w:val="20"/>
          <w:szCs w:val="20"/>
        </w:rPr>
        <w:t xml:space="preserve">Richard Allen, </w:t>
      </w:r>
      <w:proofErr w:type="spellStart"/>
      <w:r w:rsidRPr="00753AF0">
        <w:rPr>
          <w:sz w:val="20"/>
          <w:szCs w:val="20"/>
        </w:rPr>
        <w:t>Majdeline</w:t>
      </w:r>
      <w:proofErr w:type="spellEnd"/>
      <w:r w:rsidRPr="00753AF0">
        <w:rPr>
          <w:sz w:val="20"/>
          <w:szCs w:val="20"/>
        </w:rPr>
        <w:t xml:space="preserve"> El </w:t>
      </w:r>
      <w:proofErr w:type="spellStart"/>
      <w:r w:rsidRPr="00753AF0">
        <w:rPr>
          <w:sz w:val="20"/>
          <w:szCs w:val="20"/>
        </w:rPr>
        <w:t>Rayess</w:t>
      </w:r>
      <w:proofErr w:type="spellEnd"/>
      <w:r w:rsidRPr="00753AF0">
        <w:rPr>
          <w:sz w:val="20"/>
          <w:szCs w:val="20"/>
        </w:rPr>
        <w:t xml:space="preserve">, Laura Doherty and Priya Goel. 2020. </w:t>
      </w:r>
      <w:hyperlink r:id="rId48" w:history="1">
        <w:r w:rsidRPr="001B6BDE">
          <w:rPr>
            <w:rStyle w:val="Hyperlink"/>
            <w:rFonts w:cstheme="minorBidi"/>
            <w:color w:val="0000EE"/>
            <w:sz w:val="20"/>
            <w:szCs w:val="20"/>
          </w:rPr>
          <w:t>Review of the Public Financial Management Reform Strategy for Pacific Island Countries 2010-2020</w:t>
        </w:r>
      </w:hyperlink>
      <w:r w:rsidRPr="00753AF0">
        <w:rPr>
          <w:sz w:val="20"/>
          <w:szCs w:val="20"/>
        </w:rPr>
        <w:t xml:space="preserve"> (IMF Working Paper No. WP/20/183). International Monetary Fund, Fiscal Affairs Department</w:t>
      </w:r>
      <w:r w:rsidR="001B6BDE">
        <w:rPr>
          <w:sz w:val="20"/>
          <w:szCs w:val="20"/>
        </w:rPr>
        <w:t>.</w:t>
      </w:r>
    </w:p>
    <w:p w14:paraId="3501BB32" w14:textId="28CAEA90" w:rsidR="00960DFB" w:rsidRPr="00753AF0" w:rsidRDefault="00960DFB" w:rsidP="00EE65FF">
      <w:pPr>
        <w:spacing w:before="120"/>
        <w:rPr>
          <w:rStyle w:val="Hyperlink"/>
          <w:sz w:val="20"/>
          <w:szCs w:val="20"/>
        </w:rPr>
      </w:pPr>
      <w:proofErr w:type="spellStart"/>
      <w:r w:rsidRPr="00753AF0">
        <w:rPr>
          <w:sz w:val="20"/>
          <w:szCs w:val="20"/>
        </w:rPr>
        <w:t>Budlender</w:t>
      </w:r>
      <w:proofErr w:type="spellEnd"/>
      <w:r w:rsidRPr="00753AF0">
        <w:rPr>
          <w:sz w:val="20"/>
          <w:szCs w:val="20"/>
        </w:rPr>
        <w:t xml:space="preserve">, D., </w:t>
      </w:r>
      <w:r w:rsidR="001B6BDE">
        <w:rPr>
          <w:sz w:val="20"/>
          <w:szCs w:val="20"/>
        </w:rPr>
        <w:t>and</w:t>
      </w:r>
      <w:r w:rsidRPr="00753AF0">
        <w:rPr>
          <w:sz w:val="20"/>
          <w:szCs w:val="20"/>
        </w:rPr>
        <w:t xml:space="preserve"> Hewitt, G. 2003. </w:t>
      </w:r>
      <w:hyperlink r:id="rId49" w:history="1">
        <w:r w:rsidRPr="000A670F">
          <w:rPr>
            <w:rStyle w:val="Hyperlink"/>
            <w:rFonts w:cstheme="minorBidi"/>
            <w:color w:val="0000EE"/>
            <w:sz w:val="20"/>
            <w:szCs w:val="20"/>
          </w:rPr>
          <w:t>Engendering Budgets: A Practitioner's Guide to Understanding and Implementing Gender-Responsive Budgets</w:t>
        </w:r>
      </w:hyperlink>
      <w:r w:rsidRPr="00753AF0">
        <w:rPr>
          <w:sz w:val="20"/>
          <w:szCs w:val="20"/>
        </w:rPr>
        <w:t>. London: Commonwealth Secretariat.</w:t>
      </w:r>
    </w:p>
    <w:p w14:paraId="1E774176" w14:textId="0114A6CD" w:rsidR="00960DFB" w:rsidRPr="00753AF0" w:rsidRDefault="00960DFB" w:rsidP="00EE65FF">
      <w:pPr>
        <w:spacing w:before="120"/>
        <w:rPr>
          <w:sz w:val="20"/>
          <w:szCs w:val="20"/>
        </w:rPr>
      </w:pPr>
      <w:proofErr w:type="spellStart"/>
      <w:proofErr w:type="gramStart"/>
      <w:r w:rsidRPr="00753AF0">
        <w:rPr>
          <w:sz w:val="20"/>
          <w:szCs w:val="20"/>
        </w:rPr>
        <w:t>Budlender,D</w:t>
      </w:r>
      <w:proofErr w:type="spellEnd"/>
      <w:r w:rsidRPr="00753AF0">
        <w:rPr>
          <w:sz w:val="20"/>
          <w:szCs w:val="20"/>
        </w:rPr>
        <w:t>.</w:t>
      </w:r>
      <w:proofErr w:type="gramEnd"/>
      <w:r w:rsidRPr="00753AF0">
        <w:rPr>
          <w:sz w:val="20"/>
          <w:szCs w:val="20"/>
        </w:rPr>
        <w:t xml:space="preserve"> 2009. </w:t>
      </w:r>
      <w:hyperlink r:id="rId50" w:history="1">
        <w:r w:rsidRPr="0098663A">
          <w:rPr>
            <w:rStyle w:val="Hyperlink"/>
            <w:rFonts w:cstheme="minorBidi"/>
            <w:color w:val="0000EE"/>
            <w:sz w:val="20"/>
            <w:szCs w:val="20"/>
          </w:rPr>
          <w:t>Ten-Country Overview Report. Integrating Gender-Responsive Budgeting into the Aid Effectiveness Agenda</w:t>
        </w:r>
      </w:hyperlink>
      <w:r w:rsidRPr="00753AF0">
        <w:rPr>
          <w:sz w:val="20"/>
          <w:szCs w:val="20"/>
        </w:rPr>
        <w:t>.</w:t>
      </w:r>
    </w:p>
    <w:p w14:paraId="60170C9B" w14:textId="73EA6308" w:rsidR="00960DFB" w:rsidRPr="00753AF0" w:rsidRDefault="00960DFB" w:rsidP="00EE65FF">
      <w:pPr>
        <w:spacing w:before="120"/>
        <w:rPr>
          <w:sz w:val="20"/>
          <w:szCs w:val="20"/>
        </w:rPr>
      </w:pPr>
      <w:proofErr w:type="spellStart"/>
      <w:r w:rsidRPr="0098663A">
        <w:rPr>
          <w:sz w:val="20"/>
          <w:szCs w:val="20"/>
        </w:rPr>
        <w:t>Budlender</w:t>
      </w:r>
      <w:proofErr w:type="spellEnd"/>
      <w:r w:rsidRPr="0098663A">
        <w:rPr>
          <w:sz w:val="20"/>
          <w:szCs w:val="20"/>
        </w:rPr>
        <w:t xml:space="preserve"> D. 2015. </w:t>
      </w:r>
      <w:hyperlink r:id="rId51" w:anchor="view" w:history="1">
        <w:r w:rsidRPr="000D501A">
          <w:rPr>
            <w:rStyle w:val="Hyperlink"/>
            <w:rFonts w:cstheme="minorBidi"/>
            <w:color w:val="0000EE"/>
            <w:sz w:val="20"/>
            <w:szCs w:val="20"/>
          </w:rPr>
          <w:t>Budget Call Circulars and Gender Budget Statements in the Asia Pacific</w:t>
        </w:r>
      </w:hyperlink>
      <w:r w:rsidRPr="0098663A">
        <w:rPr>
          <w:sz w:val="20"/>
          <w:szCs w:val="20"/>
        </w:rPr>
        <w:t xml:space="preserve">, A Review, UN Women </w:t>
      </w:r>
    </w:p>
    <w:p w14:paraId="6F4B6DBF" w14:textId="60A7EE83" w:rsidR="00960DFB" w:rsidRPr="00753AF0" w:rsidRDefault="00960DFB" w:rsidP="00EE65FF">
      <w:pPr>
        <w:spacing w:before="120"/>
        <w:rPr>
          <w:color w:val="412179"/>
          <w:sz w:val="20"/>
          <w:szCs w:val="20"/>
        </w:rPr>
      </w:pPr>
      <w:r w:rsidRPr="00753AF0">
        <w:rPr>
          <w:sz w:val="20"/>
          <w:szCs w:val="20"/>
        </w:rPr>
        <w:t xml:space="preserve">Chakraborty L. 2016. </w:t>
      </w:r>
      <w:hyperlink r:id="rId52" w:history="1">
        <w:r w:rsidRPr="00634B9D">
          <w:rPr>
            <w:rStyle w:val="Hyperlink"/>
            <w:rFonts w:cstheme="minorBidi"/>
            <w:color w:val="0000EE"/>
            <w:sz w:val="20"/>
            <w:szCs w:val="20"/>
          </w:rPr>
          <w:t xml:space="preserve">Asia: </w:t>
        </w:r>
        <w:hyperlink r:id="rId53" w:history="1">
          <w:r w:rsidRPr="00634B9D">
            <w:rPr>
              <w:rStyle w:val="Hyperlink"/>
              <w:rFonts w:cstheme="minorBidi"/>
              <w:color w:val="0000EE"/>
              <w:sz w:val="20"/>
              <w:szCs w:val="20"/>
            </w:rPr>
            <w:t>A Survey of Gender Budgeting Efforts</w:t>
          </w:r>
        </w:hyperlink>
      </w:hyperlink>
      <w:r w:rsidRPr="00753AF0">
        <w:rPr>
          <w:sz w:val="20"/>
          <w:szCs w:val="20"/>
        </w:rPr>
        <w:t xml:space="preserve"> (IMF Working Paper No. WP/16/150). International Monetary Fund, Fiscal Affairs Department.</w:t>
      </w:r>
    </w:p>
    <w:p w14:paraId="3BBE379E" w14:textId="71E2D920" w:rsidR="00960DFB" w:rsidRPr="00753AF0" w:rsidRDefault="00960DFB" w:rsidP="00EE65FF">
      <w:pPr>
        <w:spacing w:before="120"/>
        <w:rPr>
          <w:sz w:val="20"/>
          <w:szCs w:val="20"/>
        </w:rPr>
      </w:pPr>
      <w:proofErr w:type="spellStart"/>
      <w:r w:rsidRPr="00753AF0">
        <w:rPr>
          <w:sz w:val="20"/>
          <w:szCs w:val="20"/>
        </w:rPr>
        <w:t>Combaz</w:t>
      </w:r>
      <w:proofErr w:type="spellEnd"/>
      <w:r w:rsidRPr="00753AF0">
        <w:rPr>
          <w:sz w:val="20"/>
          <w:szCs w:val="20"/>
        </w:rPr>
        <w:t xml:space="preserve">, E. 2013a. </w:t>
      </w:r>
      <w:hyperlink r:id="rId54" w:history="1">
        <w:r w:rsidRPr="00A861FD">
          <w:rPr>
            <w:rStyle w:val="Hyperlink"/>
            <w:rFonts w:cstheme="minorBidi"/>
            <w:color w:val="0000EE"/>
            <w:sz w:val="20"/>
            <w:szCs w:val="20"/>
          </w:rPr>
          <w:t>Practical guidance to integrate gender into public financial management</w:t>
        </w:r>
      </w:hyperlink>
      <w:r w:rsidRPr="00753AF0">
        <w:rPr>
          <w:i/>
          <w:iCs/>
          <w:sz w:val="20"/>
          <w:szCs w:val="20"/>
        </w:rPr>
        <w:t xml:space="preserve"> </w:t>
      </w:r>
      <w:r w:rsidRPr="00753AF0">
        <w:rPr>
          <w:sz w:val="20"/>
          <w:szCs w:val="20"/>
        </w:rPr>
        <w:t>(GSDRC Helpdesk Research Report 1095). Birmingham, UK: GSDRC, University of Birmingham.</w:t>
      </w:r>
    </w:p>
    <w:p w14:paraId="0B686C5D" w14:textId="5EEECF97" w:rsidR="00960DFB" w:rsidRPr="00753AF0" w:rsidRDefault="00960DFB" w:rsidP="00EE65FF">
      <w:pPr>
        <w:spacing w:before="120"/>
        <w:rPr>
          <w:sz w:val="20"/>
          <w:szCs w:val="20"/>
        </w:rPr>
      </w:pPr>
      <w:proofErr w:type="spellStart"/>
      <w:r w:rsidRPr="00753AF0">
        <w:rPr>
          <w:sz w:val="20"/>
          <w:szCs w:val="20"/>
        </w:rPr>
        <w:t>Combaz</w:t>
      </w:r>
      <w:proofErr w:type="spellEnd"/>
      <w:r w:rsidRPr="00753AF0">
        <w:rPr>
          <w:sz w:val="20"/>
          <w:szCs w:val="20"/>
        </w:rPr>
        <w:t xml:space="preserve">, E. 2013b. </w:t>
      </w:r>
      <w:hyperlink r:id="rId55" w:history="1">
        <w:r w:rsidRPr="00A861FD">
          <w:rPr>
            <w:rStyle w:val="Hyperlink"/>
            <w:rFonts w:cstheme="minorBidi"/>
            <w:color w:val="0000EE"/>
            <w:sz w:val="20"/>
            <w:szCs w:val="20"/>
          </w:rPr>
          <w:t>Impact of Gender-Responsive Budgeting</w:t>
        </w:r>
      </w:hyperlink>
      <w:r w:rsidRPr="00753AF0">
        <w:rPr>
          <w:i/>
          <w:iCs/>
          <w:sz w:val="20"/>
          <w:szCs w:val="20"/>
        </w:rPr>
        <w:t xml:space="preserve"> </w:t>
      </w:r>
      <w:r w:rsidRPr="00753AF0">
        <w:rPr>
          <w:sz w:val="20"/>
          <w:szCs w:val="20"/>
        </w:rPr>
        <w:t>(GSDRC Helpdesk Research Report No. 977). Birmingham, UK: GSDRC, University of Birmingham.</w:t>
      </w:r>
    </w:p>
    <w:p w14:paraId="4011D598" w14:textId="0617D82B" w:rsidR="00960DFB" w:rsidRPr="00753AF0" w:rsidRDefault="00960DFB" w:rsidP="00EE65FF">
      <w:pPr>
        <w:spacing w:before="120"/>
        <w:rPr>
          <w:sz w:val="20"/>
          <w:szCs w:val="20"/>
        </w:rPr>
      </w:pPr>
      <w:r w:rsidRPr="00753AF0">
        <w:rPr>
          <w:sz w:val="20"/>
          <w:szCs w:val="20"/>
        </w:rPr>
        <w:t xml:space="preserve">Costa M and Sharp R. 2011. </w:t>
      </w:r>
      <w:hyperlink r:id="rId56" w:history="1">
        <w:r w:rsidRPr="00C6328E">
          <w:rPr>
            <w:rStyle w:val="Hyperlink"/>
            <w:rFonts w:cstheme="minorBidi"/>
            <w:color w:val="0000EE"/>
            <w:sz w:val="20"/>
            <w:szCs w:val="20"/>
          </w:rPr>
          <w:t>The Pacific Island Countries: Fiji, Papua New Guinea (PNG), Samoa, Solomon Islands, Vanuatu and Tuvalu, Gender Responsive Budgeting in the Asia-Pacific Region</w:t>
        </w:r>
      </w:hyperlink>
      <w:r w:rsidRPr="00753AF0">
        <w:rPr>
          <w:sz w:val="20"/>
          <w:szCs w:val="20"/>
        </w:rPr>
        <w:t>.</w:t>
      </w:r>
    </w:p>
    <w:p w14:paraId="073C0FB3" w14:textId="74A6FF82" w:rsidR="00960DFB" w:rsidRPr="00753AF0" w:rsidRDefault="00960DFB" w:rsidP="00EE65FF">
      <w:pPr>
        <w:spacing w:before="120"/>
        <w:rPr>
          <w:sz w:val="20"/>
          <w:szCs w:val="20"/>
        </w:rPr>
      </w:pPr>
      <w:r w:rsidRPr="00753AF0">
        <w:rPr>
          <w:sz w:val="20"/>
          <w:szCs w:val="20"/>
        </w:rPr>
        <w:t xml:space="preserve">Government of Timor-Leste. 2018. </w:t>
      </w:r>
      <w:hyperlink r:id="rId57" w:history="1">
        <w:r w:rsidRPr="00123849">
          <w:rPr>
            <w:rStyle w:val="Hyperlink"/>
            <w:rFonts w:cstheme="minorBidi"/>
            <w:color w:val="0000EE"/>
            <w:sz w:val="20"/>
            <w:szCs w:val="20"/>
          </w:rPr>
          <w:t>Gender-Responsive Budgeting Policy Note: Mainstreaming Gender into the Public Financial Management Reform (2017-2021)</w:t>
        </w:r>
      </w:hyperlink>
      <w:r w:rsidRPr="00753AF0">
        <w:rPr>
          <w:sz w:val="20"/>
          <w:szCs w:val="20"/>
        </w:rPr>
        <w:t>.</w:t>
      </w:r>
    </w:p>
    <w:p w14:paraId="2632F396" w14:textId="52853DFE" w:rsidR="00960DFB" w:rsidRPr="00753AF0" w:rsidRDefault="00960DFB" w:rsidP="00EE65FF">
      <w:pPr>
        <w:spacing w:before="120"/>
        <w:rPr>
          <w:rFonts w:cstheme="minorHAnsi"/>
          <w:sz w:val="20"/>
          <w:szCs w:val="20"/>
        </w:rPr>
      </w:pPr>
      <w:r w:rsidRPr="00753AF0">
        <w:rPr>
          <w:rFonts w:cstheme="minorHAnsi"/>
          <w:sz w:val="20"/>
          <w:szCs w:val="20"/>
        </w:rPr>
        <w:t xml:space="preserve">Tobias Akhtar Haque, David Knight and </w:t>
      </w:r>
      <w:proofErr w:type="spellStart"/>
      <w:r w:rsidRPr="00753AF0">
        <w:rPr>
          <w:rFonts w:cstheme="minorHAnsi"/>
          <w:sz w:val="20"/>
          <w:szCs w:val="20"/>
        </w:rPr>
        <w:t>Dinuk</w:t>
      </w:r>
      <w:proofErr w:type="spellEnd"/>
      <w:r w:rsidRPr="00753AF0">
        <w:rPr>
          <w:rFonts w:cstheme="minorHAnsi"/>
          <w:sz w:val="20"/>
          <w:szCs w:val="20"/>
        </w:rPr>
        <w:t xml:space="preserve"> Jayasuriya</w:t>
      </w:r>
      <w:r w:rsidR="00AA2BD2">
        <w:rPr>
          <w:rFonts w:cstheme="minorHAnsi"/>
          <w:sz w:val="20"/>
          <w:szCs w:val="20"/>
        </w:rPr>
        <w:t xml:space="preserve">. 2015. </w:t>
      </w:r>
      <w:hyperlink r:id="rId58" w:history="1">
        <w:r w:rsidRPr="00D953E7">
          <w:rPr>
            <w:rStyle w:val="Hyperlink"/>
            <w:rFonts w:cstheme="minorHAnsi"/>
            <w:color w:val="0000EE"/>
            <w:sz w:val="20"/>
            <w:szCs w:val="20"/>
          </w:rPr>
          <w:t xml:space="preserve">Capacity Constraints and Public Financial Management in Small Pacific Island Countries, </w:t>
        </w:r>
        <w:proofErr w:type="gramStart"/>
        <w:r w:rsidRPr="00D953E7">
          <w:rPr>
            <w:rStyle w:val="Hyperlink"/>
            <w:rFonts w:cstheme="minorHAnsi"/>
            <w:color w:val="0000EE"/>
            <w:sz w:val="20"/>
            <w:szCs w:val="20"/>
          </w:rPr>
          <w:t>Asia</w:t>
        </w:r>
        <w:proofErr w:type="gramEnd"/>
        <w:r w:rsidRPr="00D953E7">
          <w:rPr>
            <w:rStyle w:val="Hyperlink"/>
            <w:rFonts w:cstheme="minorHAnsi"/>
            <w:color w:val="0000EE"/>
            <w:sz w:val="20"/>
            <w:szCs w:val="20"/>
          </w:rPr>
          <w:t xml:space="preserve"> and the Pacific Policy Studies</w:t>
        </w:r>
      </w:hyperlink>
      <w:r w:rsidRPr="00753AF0">
        <w:rPr>
          <w:rFonts w:cstheme="minorHAnsi"/>
          <w:sz w:val="20"/>
          <w:szCs w:val="20"/>
        </w:rPr>
        <w:t xml:space="preserve">, vol 2, no.3, pp 609-622 </w:t>
      </w:r>
      <w:proofErr w:type="spellStart"/>
      <w:r w:rsidRPr="00753AF0">
        <w:rPr>
          <w:rFonts w:cstheme="minorHAnsi"/>
          <w:sz w:val="20"/>
          <w:szCs w:val="20"/>
        </w:rPr>
        <w:t>doi</w:t>
      </w:r>
      <w:proofErr w:type="spellEnd"/>
      <w:r w:rsidRPr="00753AF0">
        <w:rPr>
          <w:rFonts w:cstheme="minorHAnsi"/>
          <w:sz w:val="20"/>
          <w:szCs w:val="20"/>
        </w:rPr>
        <w:t>: 10.1002/app5.79</w:t>
      </w:r>
    </w:p>
    <w:p w14:paraId="0BB785C1" w14:textId="0FC2D8FD" w:rsidR="00960DFB" w:rsidRPr="00753AF0" w:rsidRDefault="00960DFB" w:rsidP="00EE65FF">
      <w:pPr>
        <w:spacing w:before="120"/>
        <w:rPr>
          <w:rFonts w:cstheme="minorHAnsi"/>
          <w:sz w:val="20"/>
          <w:szCs w:val="20"/>
        </w:rPr>
      </w:pPr>
      <w:proofErr w:type="spellStart"/>
      <w:r w:rsidRPr="00753AF0">
        <w:rPr>
          <w:rFonts w:cstheme="minorHAnsi"/>
          <w:sz w:val="20"/>
          <w:szCs w:val="20"/>
        </w:rPr>
        <w:t>Holvoet</w:t>
      </w:r>
      <w:proofErr w:type="spellEnd"/>
      <w:r w:rsidRPr="00753AF0">
        <w:rPr>
          <w:rFonts w:cstheme="minorHAnsi"/>
          <w:sz w:val="20"/>
          <w:szCs w:val="20"/>
        </w:rPr>
        <w:t xml:space="preserve">, Nathalie and </w:t>
      </w:r>
      <w:proofErr w:type="spellStart"/>
      <w:r w:rsidRPr="00753AF0">
        <w:rPr>
          <w:rFonts w:cstheme="minorHAnsi"/>
          <w:sz w:val="20"/>
          <w:szCs w:val="20"/>
        </w:rPr>
        <w:t>Inberg</w:t>
      </w:r>
      <w:proofErr w:type="spellEnd"/>
      <w:r w:rsidRPr="00753AF0">
        <w:rPr>
          <w:rFonts w:cstheme="minorHAnsi"/>
          <w:sz w:val="20"/>
          <w:szCs w:val="20"/>
        </w:rPr>
        <w:t xml:space="preserve">, </w:t>
      </w:r>
      <w:proofErr w:type="spellStart"/>
      <w:r w:rsidRPr="00753AF0">
        <w:rPr>
          <w:rFonts w:cstheme="minorHAnsi"/>
          <w:sz w:val="20"/>
          <w:szCs w:val="20"/>
        </w:rPr>
        <w:t>Liesbeth</w:t>
      </w:r>
      <w:proofErr w:type="spellEnd"/>
      <w:r w:rsidR="00AA2BD2">
        <w:rPr>
          <w:rFonts w:cstheme="minorHAnsi"/>
          <w:sz w:val="20"/>
          <w:szCs w:val="20"/>
        </w:rPr>
        <w:t xml:space="preserve">. </w:t>
      </w:r>
      <w:r w:rsidRPr="00753AF0">
        <w:rPr>
          <w:rFonts w:cstheme="minorHAnsi"/>
          <w:sz w:val="20"/>
          <w:szCs w:val="20"/>
        </w:rPr>
        <w:t xml:space="preserve">2015. </w:t>
      </w:r>
      <w:hyperlink r:id="rId59" w:history="1">
        <w:r w:rsidRPr="00883113">
          <w:rPr>
            <w:rStyle w:val="Hyperlink"/>
            <w:rFonts w:cstheme="minorHAnsi"/>
            <w:color w:val="0000EE"/>
            <w:sz w:val="20"/>
            <w:szCs w:val="20"/>
          </w:rPr>
          <w:t>Gender Mainstreaming in Sector Budget Support: The Case of the European Commission's Sector Support to Rwanda's Agriculture Sector. Journal of International Women's Studies</w:t>
        </w:r>
      </w:hyperlink>
      <w:r w:rsidRPr="00753AF0">
        <w:rPr>
          <w:rFonts w:cstheme="minorHAnsi"/>
          <w:sz w:val="20"/>
          <w:szCs w:val="20"/>
        </w:rPr>
        <w:t>, 16(2), 155-169.</w:t>
      </w:r>
    </w:p>
    <w:p w14:paraId="1A9302CD" w14:textId="58692BB5" w:rsidR="00960DFB" w:rsidRPr="00753AF0" w:rsidRDefault="00960DFB" w:rsidP="00EE65FF">
      <w:pPr>
        <w:spacing w:before="120"/>
        <w:rPr>
          <w:sz w:val="20"/>
          <w:szCs w:val="20"/>
        </w:rPr>
      </w:pPr>
      <w:r w:rsidRPr="00753AF0">
        <w:rPr>
          <w:sz w:val="20"/>
          <w:szCs w:val="20"/>
        </w:rPr>
        <w:t>IMF. 2020.</w:t>
      </w:r>
      <w:r w:rsidR="00883113">
        <w:rPr>
          <w:sz w:val="20"/>
          <w:szCs w:val="20"/>
        </w:rPr>
        <w:t xml:space="preserve"> </w:t>
      </w:r>
      <w:hyperlink r:id="rId60" w:history="1">
        <w:r w:rsidRPr="00B15699">
          <w:rPr>
            <w:rStyle w:val="Hyperlink"/>
            <w:rFonts w:cstheme="minorBidi"/>
            <w:color w:val="0000EE"/>
            <w:sz w:val="20"/>
            <w:szCs w:val="20"/>
          </w:rPr>
          <w:t xml:space="preserve">Tonga, Gender Responsive </w:t>
        </w:r>
        <w:r w:rsidR="00B15699" w:rsidRPr="00B15699">
          <w:rPr>
            <w:rStyle w:val="Hyperlink"/>
            <w:rFonts w:cstheme="minorBidi"/>
            <w:color w:val="0000EE"/>
            <w:sz w:val="20"/>
            <w:szCs w:val="20"/>
          </w:rPr>
          <w:t xml:space="preserve">Budgeting </w:t>
        </w:r>
        <w:r w:rsidRPr="00B15699">
          <w:rPr>
            <w:rStyle w:val="Hyperlink"/>
            <w:rFonts w:cstheme="minorBidi"/>
            <w:color w:val="0000EE"/>
            <w:sz w:val="20"/>
            <w:szCs w:val="20"/>
          </w:rPr>
          <w:t>PEFA Assessment</w:t>
        </w:r>
      </w:hyperlink>
      <w:r w:rsidR="00B15699">
        <w:rPr>
          <w:sz w:val="20"/>
          <w:szCs w:val="20"/>
        </w:rPr>
        <w:t>.</w:t>
      </w:r>
    </w:p>
    <w:p w14:paraId="29760F18" w14:textId="4B181605" w:rsidR="005D3A58" w:rsidRDefault="00960DFB" w:rsidP="00EE65FF">
      <w:pPr>
        <w:spacing w:before="120"/>
        <w:rPr>
          <w:sz w:val="20"/>
          <w:szCs w:val="20"/>
        </w:rPr>
      </w:pPr>
      <w:r w:rsidRPr="00753AF0">
        <w:rPr>
          <w:sz w:val="20"/>
          <w:szCs w:val="20"/>
        </w:rPr>
        <w:t xml:space="preserve">IMF. 2022. </w:t>
      </w:r>
      <w:hyperlink r:id="rId61" w:history="1">
        <w:r w:rsidR="005D3A58" w:rsidRPr="00302E0F">
          <w:rPr>
            <w:rStyle w:val="Hyperlink"/>
            <w:rFonts w:cstheme="minorBidi"/>
            <w:color w:val="0000EE"/>
            <w:sz w:val="20"/>
            <w:szCs w:val="20"/>
          </w:rPr>
          <w:t>IMF Strategy Toward Mainstreaming Gender</w:t>
        </w:r>
      </w:hyperlink>
      <w:r w:rsidR="005D3A58">
        <w:t>, Policy Paper 2022/037</w:t>
      </w:r>
    </w:p>
    <w:p w14:paraId="4F5271DD" w14:textId="5639C1D3" w:rsidR="00960DFB" w:rsidRPr="00753AF0" w:rsidRDefault="00960DFB" w:rsidP="00EE65FF">
      <w:pPr>
        <w:spacing w:before="120"/>
        <w:rPr>
          <w:sz w:val="20"/>
          <w:szCs w:val="20"/>
        </w:rPr>
      </w:pPr>
      <w:r w:rsidRPr="00753AF0">
        <w:rPr>
          <w:sz w:val="20"/>
          <w:szCs w:val="20"/>
        </w:rPr>
        <w:t xml:space="preserve">International Working Group on Managing Public Finance (IWGMPF). 2020. </w:t>
      </w:r>
      <w:hyperlink r:id="rId62" w:history="1">
        <w:r w:rsidR="00EE1817" w:rsidRPr="008B2374">
          <w:rPr>
            <w:rStyle w:val="Hyperlink"/>
            <w:rFonts w:cstheme="minorBidi"/>
            <w:color w:val="0000EE"/>
            <w:sz w:val="20"/>
            <w:szCs w:val="20"/>
          </w:rPr>
          <w:t>Advice</w:t>
        </w:r>
        <w:r w:rsidR="008B2374" w:rsidRPr="008B2374">
          <w:rPr>
            <w:rStyle w:val="Hyperlink"/>
            <w:rFonts w:cstheme="minorBidi"/>
            <w:color w:val="0000EE"/>
            <w:sz w:val="20"/>
            <w:szCs w:val="20"/>
          </w:rPr>
          <w:t xml:space="preserve">, Money, Results: Rethinking International Support </w:t>
        </w:r>
        <w:proofErr w:type="gramStart"/>
        <w:r w:rsidR="008B2374" w:rsidRPr="008B2374">
          <w:rPr>
            <w:rStyle w:val="Hyperlink"/>
            <w:rFonts w:cstheme="minorBidi"/>
            <w:color w:val="0000EE"/>
            <w:sz w:val="20"/>
            <w:szCs w:val="20"/>
          </w:rPr>
          <w:t>For</w:t>
        </w:r>
        <w:proofErr w:type="gramEnd"/>
        <w:r w:rsidR="008B2374" w:rsidRPr="008B2374">
          <w:rPr>
            <w:rStyle w:val="Hyperlink"/>
            <w:rFonts w:cstheme="minorBidi"/>
            <w:color w:val="0000EE"/>
            <w:sz w:val="20"/>
            <w:szCs w:val="20"/>
          </w:rPr>
          <w:t xml:space="preserve"> Managing Public Finance</w:t>
        </w:r>
      </w:hyperlink>
      <w:r w:rsidRPr="00753AF0">
        <w:rPr>
          <w:sz w:val="20"/>
          <w:szCs w:val="20"/>
        </w:rPr>
        <w:t>. New York: New York University, Robert F. Wagner Graduate School of Public Service</w:t>
      </w:r>
      <w:r w:rsidR="00377F60">
        <w:rPr>
          <w:sz w:val="20"/>
          <w:szCs w:val="20"/>
        </w:rPr>
        <w:t>.</w:t>
      </w:r>
    </w:p>
    <w:p w14:paraId="28E707D3" w14:textId="0BA4D98F" w:rsidR="00960DFB" w:rsidRPr="00753AF0" w:rsidRDefault="00960DFB" w:rsidP="00EE65FF">
      <w:pPr>
        <w:spacing w:before="120"/>
        <w:rPr>
          <w:color w:val="412179"/>
          <w:sz w:val="20"/>
          <w:szCs w:val="20"/>
        </w:rPr>
      </w:pPr>
      <w:proofErr w:type="spellStart"/>
      <w:r w:rsidRPr="00753AF0">
        <w:rPr>
          <w:sz w:val="20"/>
          <w:szCs w:val="20"/>
        </w:rPr>
        <w:t>Nallari</w:t>
      </w:r>
      <w:proofErr w:type="spellEnd"/>
      <w:r w:rsidRPr="00753AF0">
        <w:rPr>
          <w:sz w:val="20"/>
          <w:szCs w:val="20"/>
        </w:rPr>
        <w:t xml:space="preserve">, R., </w:t>
      </w:r>
      <w:r w:rsidR="00AA2BD2">
        <w:rPr>
          <w:sz w:val="20"/>
          <w:szCs w:val="20"/>
        </w:rPr>
        <w:t>and</w:t>
      </w:r>
      <w:r w:rsidRPr="00753AF0">
        <w:rPr>
          <w:sz w:val="20"/>
          <w:szCs w:val="20"/>
        </w:rPr>
        <w:t xml:space="preserve"> Griffith, B. 2011. </w:t>
      </w:r>
      <w:hyperlink r:id="rId63" w:history="1">
        <w:r w:rsidRPr="0092338F">
          <w:rPr>
            <w:rStyle w:val="Hyperlink"/>
            <w:rFonts w:cstheme="minorBidi"/>
            <w:color w:val="0000EE"/>
            <w:sz w:val="20"/>
            <w:szCs w:val="20"/>
          </w:rPr>
          <w:t>Gender and Macroeconomic Policy</w:t>
        </w:r>
      </w:hyperlink>
      <w:r w:rsidRPr="00753AF0">
        <w:rPr>
          <w:sz w:val="20"/>
          <w:szCs w:val="20"/>
        </w:rPr>
        <w:t>. Directions in Development. Washington: World Bank Institute, chapter 8, 139-151.</w:t>
      </w:r>
    </w:p>
    <w:p w14:paraId="4223E9A4" w14:textId="4CD1B825" w:rsidR="00960DFB" w:rsidRPr="00753AF0" w:rsidRDefault="00960DFB" w:rsidP="00EE65FF">
      <w:pPr>
        <w:spacing w:before="120"/>
        <w:rPr>
          <w:color w:val="412179"/>
          <w:sz w:val="20"/>
          <w:szCs w:val="20"/>
        </w:rPr>
      </w:pPr>
      <w:r w:rsidRPr="0092338F">
        <w:rPr>
          <w:sz w:val="20"/>
          <w:szCs w:val="20"/>
        </w:rPr>
        <w:t xml:space="preserve">OECD. 2002. </w:t>
      </w:r>
      <w:hyperlink r:id="rId64" w:history="1">
        <w:r w:rsidRPr="0092338F">
          <w:rPr>
            <w:rStyle w:val="Hyperlink"/>
            <w:rFonts w:cstheme="minorBidi"/>
            <w:color w:val="0000EE"/>
            <w:sz w:val="20"/>
            <w:szCs w:val="20"/>
          </w:rPr>
          <w:t>Gender Equality in Sector Wide Approaches, A Reference Guide</w:t>
        </w:r>
      </w:hyperlink>
      <w:r w:rsidRPr="0092338F">
        <w:rPr>
          <w:sz w:val="20"/>
          <w:szCs w:val="20"/>
        </w:rPr>
        <w:t>, OECD DAC</w:t>
      </w:r>
      <w:r w:rsidR="0092338F">
        <w:rPr>
          <w:sz w:val="20"/>
          <w:szCs w:val="20"/>
        </w:rPr>
        <w:t>.</w:t>
      </w:r>
    </w:p>
    <w:p w14:paraId="76C7170F" w14:textId="031DE3C5" w:rsidR="00960DFB" w:rsidRPr="0092338F" w:rsidRDefault="00960DFB" w:rsidP="00EE65FF">
      <w:pPr>
        <w:spacing w:before="120"/>
        <w:rPr>
          <w:sz w:val="20"/>
          <w:szCs w:val="20"/>
        </w:rPr>
      </w:pPr>
      <w:r w:rsidRPr="0092338F">
        <w:rPr>
          <w:sz w:val="20"/>
          <w:szCs w:val="20"/>
        </w:rPr>
        <w:t xml:space="preserve">OECD-DAC. 2006. </w:t>
      </w:r>
      <w:hyperlink r:id="rId65" w:history="1">
        <w:r w:rsidRPr="00E715E0">
          <w:rPr>
            <w:rStyle w:val="Hyperlink"/>
            <w:rFonts w:cstheme="minorBidi"/>
            <w:color w:val="0000EE"/>
            <w:sz w:val="20"/>
            <w:szCs w:val="20"/>
          </w:rPr>
          <w:t>Harmonizing Donor Practice for Effective Aid Delivery: Volume II – Budget Support, Sector-Wide Approaches and Capacity Development in Public Financial Management</w:t>
        </w:r>
      </w:hyperlink>
      <w:r w:rsidRPr="0092338F">
        <w:rPr>
          <w:sz w:val="20"/>
          <w:szCs w:val="20"/>
        </w:rPr>
        <w:t>, OECD-DAC, Paris.</w:t>
      </w:r>
    </w:p>
    <w:p w14:paraId="4ECC9C86" w14:textId="3A9E82BD" w:rsidR="00960DFB" w:rsidRPr="00753AF0" w:rsidRDefault="00960DFB" w:rsidP="00EE65FF">
      <w:pPr>
        <w:spacing w:before="120"/>
        <w:rPr>
          <w:color w:val="412179"/>
          <w:sz w:val="20"/>
          <w:szCs w:val="20"/>
        </w:rPr>
      </w:pPr>
      <w:r w:rsidRPr="00753AF0">
        <w:rPr>
          <w:sz w:val="20"/>
          <w:szCs w:val="20"/>
        </w:rPr>
        <w:lastRenderedPageBreak/>
        <w:t xml:space="preserve">OECD. 2010. </w:t>
      </w:r>
      <w:hyperlink r:id="rId66" w:history="1">
        <w:r w:rsidRPr="00DF2E2F">
          <w:rPr>
            <w:rStyle w:val="Hyperlink"/>
            <w:rFonts w:cstheme="minorBidi"/>
            <w:color w:val="0000EE"/>
            <w:sz w:val="20"/>
            <w:szCs w:val="20"/>
          </w:rPr>
          <w:t>Integrating Gender Equality Dimensions into Public Financial Management Reforms</w:t>
        </w:r>
      </w:hyperlink>
      <w:r w:rsidRPr="00E715E0">
        <w:rPr>
          <w:sz w:val="20"/>
          <w:szCs w:val="20"/>
        </w:rPr>
        <w:t xml:space="preserve">. Gender Equality, Women’s </w:t>
      </w:r>
      <w:proofErr w:type="gramStart"/>
      <w:r w:rsidRPr="00E715E0">
        <w:rPr>
          <w:sz w:val="20"/>
          <w:szCs w:val="20"/>
        </w:rPr>
        <w:t>Empowerment</w:t>
      </w:r>
      <w:proofErr w:type="gramEnd"/>
      <w:r w:rsidRPr="00E715E0">
        <w:rPr>
          <w:sz w:val="20"/>
          <w:szCs w:val="20"/>
        </w:rPr>
        <w:t xml:space="preserve"> and the Paris Declaration on Aid Effectiveness</w:t>
      </w:r>
      <w:r w:rsidRPr="00753AF0">
        <w:rPr>
          <w:i/>
          <w:iCs/>
          <w:sz w:val="20"/>
          <w:szCs w:val="20"/>
        </w:rPr>
        <w:t xml:space="preserve"> </w:t>
      </w:r>
      <w:r w:rsidRPr="00753AF0">
        <w:rPr>
          <w:sz w:val="20"/>
          <w:szCs w:val="20"/>
        </w:rPr>
        <w:t>(Issues Brief No. 6). OECD, DAC Network on Gender Equality.</w:t>
      </w:r>
    </w:p>
    <w:p w14:paraId="1A9DA71C" w14:textId="2DAD70EC" w:rsidR="00960DFB" w:rsidRPr="00942E9A" w:rsidRDefault="00960DFB" w:rsidP="00EE65FF">
      <w:pPr>
        <w:spacing w:before="120"/>
        <w:rPr>
          <w:sz w:val="20"/>
          <w:szCs w:val="20"/>
        </w:rPr>
      </w:pPr>
      <w:r w:rsidRPr="00942E9A">
        <w:rPr>
          <w:sz w:val="20"/>
          <w:szCs w:val="20"/>
        </w:rPr>
        <w:t>OECD.</w:t>
      </w:r>
      <w:r w:rsidR="009C7590" w:rsidRPr="00942E9A">
        <w:rPr>
          <w:sz w:val="20"/>
          <w:szCs w:val="20"/>
        </w:rPr>
        <w:t xml:space="preserve"> </w:t>
      </w:r>
      <w:r w:rsidRPr="00942E9A">
        <w:rPr>
          <w:sz w:val="20"/>
          <w:szCs w:val="20"/>
        </w:rPr>
        <w:t xml:space="preserve">2018. </w:t>
      </w:r>
      <w:hyperlink r:id="rId67" w:history="1">
        <w:r w:rsidRPr="00667B0D">
          <w:rPr>
            <w:rStyle w:val="Hyperlink"/>
            <w:rFonts w:cstheme="minorBidi"/>
            <w:color w:val="0000EE"/>
            <w:sz w:val="20"/>
            <w:szCs w:val="20"/>
          </w:rPr>
          <w:t>OECD Development Cooperation Peer Reviews: Australia 2018</w:t>
        </w:r>
      </w:hyperlink>
      <w:r w:rsidRPr="00942E9A">
        <w:rPr>
          <w:sz w:val="20"/>
          <w:szCs w:val="20"/>
        </w:rPr>
        <w:t>.</w:t>
      </w:r>
    </w:p>
    <w:p w14:paraId="2D209C43" w14:textId="429A2543" w:rsidR="00960DFB" w:rsidRPr="00753AF0" w:rsidRDefault="00960DFB" w:rsidP="00EE65FF">
      <w:pPr>
        <w:spacing w:before="120"/>
        <w:rPr>
          <w:color w:val="412179"/>
          <w:sz w:val="20"/>
          <w:szCs w:val="20"/>
        </w:rPr>
      </w:pPr>
      <w:r w:rsidRPr="00C36E2F">
        <w:rPr>
          <w:sz w:val="20"/>
          <w:szCs w:val="20"/>
        </w:rPr>
        <w:t>OECD. 2022.</w:t>
      </w:r>
      <w:r w:rsidR="00C36E2F" w:rsidRPr="00C36E2F">
        <w:rPr>
          <w:sz w:val="20"/>
          <w:szCs w:val="20"/>
        </w:rPr>
        <w:t xml:space="preserve"> </w:t>
      </w:r>
      <w:hyperlink r:id="rId68" w:history="1">
        <w:r w:rsidR="00C36E2F" w:rsidRPr="00C36E2F">
          <w:rPr>
            <w:rStyle w:val="Hyperlink"/>
            <w:rFonts w:cstheme="minorBidi"/>
            <w:color w:val="0000EE"/>
            <w:sz w:val="20"/>
            <w:szCs w:val="20"/>
          </w:rPr>
          <w:t>OECD International Development Statistics</w:t>
        </w:r>
      </w:hyperlink>
    </w:p>
    <w:p w14:paraId="57178DEE" w14:textId="766BAB19" w:rsidR="00960DFB" w:rsidRPr="00753AF0" w:rsidRDefault="006E20CB" w:rsidP="00EE65FF">
      <w:pPr>
        <w:spacing w:before="120"/>
        <w:rPr>
          <w:rStyle w:val="Hyperlink"/>
          <w:sz w:val="20"/>
          <w:szCs w:val="20"/>
        </w:rPr>
      </w:pPr>
      <w:r>
        <w:rPr>
          <w:sz w:val="20"/>
          <w:szCs w:val="20"/>
        </w:rPr>
        <w:t>Oxfam</w:t>
      </w:r>
      <w:r w:rsidR="00960DFB" w:rsidRPr="00753AF0">
        <w:rPr>
          <w:sz w:val="20"/>
          <w:szCs w:val="20"/>
        </w:rPr>
        <w:t>.</w:t>
      </w:r>
      <w:r w:rsidR="00C36E2F">
        <w:rPr>
          <w:sz w:val="20"/>
          <w:szCs w:val="20"/>
        </w:rPr>
        <w:t xml:space="preserve"> </w:t>
      </w:r>
      <w:r w:rsidR="00960DFB" w:rsidRPr="00753AF0">
        <w:rPr>
          <w:sz w:val="20"/>
          <w:szCs w:val="20"/>
        </w:rPr>
        <w:t xml:space="preserve">2018. </w:t>
      </w:r>
      <w:hyperlink r:id="rId69" w:history="1">
        <w:r w:rsidR="00960DFB" w:rsidRPr="002B39E3">
          <w:rPr>
            <w:rStyle w:val="Hyperlink"/>
            <w:rFonts w:cstheme="minorBidi"/>
            <w:color w:val="0000EE"/>
            <w:sz w:val="20"/>
            <w:szCs w:val="20"/>
          </w:rPr>
          <w:t>A Guide to Gender-Responsive Budgeting</w:t>
        </w:r>
      </w:hyperlink>
      <w:r w:rsidR="002B39E3" w:rsidRPr="002B39E3">
        <w:rPr>
          <w:sz w:val="20"/>
          <w:szCs w:val="20"/>
        </w:rPr>
        <w:t>.</w:t>
      </w:r>
    </w:p>
    <w:p w14:paraId="3DACCA43" w14:textId="770E5856" w:rsidR="00960DFB" w:rsidRPr="00753AF0" w:rsidRDefault="00960DFB" w:rsidP="00EE65FF">
      <w:pPr>
        <w:spacing w:before="120"/>
        <w:rPr>
          <w:rFonts w:cstheme="minorHAnsi"/>
          <w:sz w:val="20"/>
          <w:szCs w:val="20"/>
        </w:rPr>
      </w:pPr>
      <w:r w:rsidRPr="00753AF0">
        <w:rPr>
          <w:rFonts w:cstheme="minorHAnsi"/>
          <w:sz w:val="20"/>
          <w:szCs w:val="20"/>
        </w:rPr>
        <w:t xml:space="preserve">PEFA. 2020b. </w:t>
      </w:r>
      <w:hyperlink r:id="rId70" w:history="1">
        <w:r w:rsidRPr="002B39E3">
          <w:rPr>
            <w:rStyle w:val="Hyperlink"/>
            <w:rFonts w:cstheme="minorHAnsi"/>
            <w:color w:val="0000EE"/>
            <w:sz w:val="20"/>
            <w:szCs w:val="20"/>
          </w:rPr>
          <w:t>Timor-Leste: Public Expenditure and Financial Accountability (PEFA) Assessment 2018</w:t>
        </w:r>
      </w:hyperlink>
      <w:r w:rsidR="002B39E3">
        <w:rPr>
          <w:rFonts w:cstheme="minorHAnsi"/>
          <w:sz w:val="20"/>
          <w:szCs w:val="20"/>
        </w:rPr>
        <w:t>.</w:t>
      </w:r>
    </w:p>
    <w:p w14:paraId="0D3F966B" w14:textId="3D75036D" w:rsidR="00960DFB" w:rsidRPr="00753AF0" w:rsidRDefault="00960DFB" w:rsidP="00EE65FF">
      <w:pPr>
        <w:spacing w:before="120"/>
        <w:rPr>
          <w:sz w:val="20"/>
          <w:szCs w:val="20"/>
        </w:rPr>
      </w:pPr>
      <w:r w:rsidRPr="00753AF0">
        <w:rPr>
          <w:sz w:val="20"/>
          <w:szCs w:val="20"/>
        </w:rPr>
        <w:t xml:space="preserve">Ritchie, </w:t>
      </w:r>
      <w:proofErr w:type="spellStart"/>
      <w:r w:rsidRPr="00753AF0">
        <w:rPr>
          <w:sz w:val="20"/>
          <w:szCs w:val="20"/>
        </w:rPr>
        <w:t>Roser</w:t>
      </w:r>
      <w:proofErr w:type="spellEnd"/>
      <w:r w:rsidRPr="00753AF0">
        <w:rPr>
          <w:sz w:val="20"/>
          <w:szCs w:val="20"/>
        </w:rPr>
        <w:t xml:space="preserve">, </w:t>
      </w:r>
      <w:proofErr w:type="spellStart"/>
      <w:r w:rsidRPr="00753AF0">
        <w:rPr>
          <w:sz w:val="20"/>
          <w:szCs w:val="20"/>
        </w:rPr>
        <w:t>Mispy</w:t>
      </w:r>
      <w:proofErr w:type="spellEnd"/>
      <w:r w:rsidRPr="00753AF0">
        <w:rPr>
          <w:sz w:val="20"/>
          <w:szCs w:val="20"/>
        </w:rPr>
        <w:t xml:space="preserve">, Ortiz-Ospina. </w:t>
      </w:r>
      <w:r w:rsidR="002D26B6">
        <w:rPr>
          <w:sz w:val="20"/>
          <w:szCs w:val="20"/>
        </w:rPr>
        <w:t xml:space="preserve">2018. </w:t>
      </w:r>
      <w:hyperlink r:id="rId71" w:history="1">
        <w:r w:rsidRPr="002D26B6">
          <w:rPr>
            <w:rStyle w:val="Hyperlink"/>
            <w:rFonts w:cstheme="minorBidi"/>
            <w:color w:val="0000EE"/>
            <w:sz w:val="20"/>
            <w:szCs w:val="20"/>
          </w:rPr>
          <w:t>Measuring progress towards the Sustainable Development Goals</w:t>
        </w:r>
      </w:hyperlink>
      <w:r w:rsidR="002D26B6">
        <w:rPr>
          <w:sz w:val="20"/>
          <w:szCs w:val="20"/>
        </w:rPr>
        <w:t>.</w:t>
      </w:r>
    </w:p>
    <w:p w14:paraId="5B7A492E" w14:textId="012DC71C" w:rsidR="00960DFB" w:rsidRPr="00753AF0" w:rsidRDefault="00960DFB" w:rsidP="00EE65FF">
      <w:pPr>
        <w:spacing w:before="120"/>
        <w:rPr>
          <w:sz w:val="20"/>
          <w:szCs w:val="20"/>
        </w:rPr>
      </w:pPr>
      <w:r w:rsidRPr="00753AF0">
        <w:rPr>
          <w:sz w:val="20"/>
          <w:szCs w:val="20"/>
        </w:rPr>
        <w:t xml:space="preserve">Sharp, R. 2003. </w:t>
      </w:r>
      <w:hyperlink r:id="rId72" w:history="1">
        <w:r w:rsidRPr="0068023E">
          <w:rPr>
            <w:rStyle w:val="Hyperlink"/>
            <w:rFonts w:cstheme="minorBidi"/>
            <w:color w:val="0000EE"/>
            <w:sz w:val="20"/>
            <w:szCs w:val="20"/>
          </w:rPr>
          <w:t>Budgeting for Equity: Gender Budget Initiatives within a Framework of Performance Oriented Budgeting</w:t>
        </w:r>
      </w:hyperlink>
      <w:r w:rsidRPr="00753AF0">
        <w:rPr>
          <w:sz w:val="20"/>
          <w:szCs w:val="20"/>
        </w:rPr>
        <w:t>. New York: United Nations Development Fund for Women (UNIFEM).</w:t>
      </w:r>
    </w:p>
    <w:p w14:paraId="7D566065" w14:textId="12EB035D" w:rsidR="00960DFB" w:rsidRPr="00753AF0" w:rsidRDefault="00960DFB" w:rsidP="00EE65FF">
      <w:pPr>
        <w:spacing w:before="120"/>
        <w:rPr>
          <w:color w:val="412179"/>
          <w:sz w:val="20"/>
          <w:szCs w:val="20"/>
        </w:rPr>
      </w:pPr>
      <w:proofErr w:type="spellStart"/>
      <w:r w:rsidRPr="00753AF0">
        <w:rPr>
          <w:sz w:val="20"/>
          <w:szCs w:val="20"/>
        </w:rPr>
        <w:t>Stotsky</w:t>
      </w:r>
      <w:proofErr w:type="spellEnd"/>
      <w:r w:rsidRPr="00753AF0">
        <w:rPr>
          <w:sz w:val="20"/>
          <w:szCs w:val="20"/>
        </w:rPr>
        <w:t xml:space="preserve">, J. G. 2006. </w:t>
      </w:r>
      <w:hyperlink r:id="rId73" w:history="1">
        <w:r w:rsidRPr="0068023E">
          <w:rPr>
            <w:rStyle w:val="Hyperlink"/>
            <w:rFonts w:cstheme="minorBidi"/>
            <w:color w:val="0000EE"/>
            <w:sz w:val="20"/>
            <w:szCs w:val="20"/>
          </w:rPr>
          <w:t>Gender Budgeting</w:t>
        </w:r>
      </w:hyperlink>
      <w:r w:rsidRPr="00753AF0">
        <w:rPr>
          <w:i/>
          <w:iCs/>
          <w:sz w:val="20"/>
          <w:szCs w:val="20"/>
        </w:rPr>
        <w:t xml:space="preserve"> </w:t>
      </w:r>
      <w:r w:rsidRPr="00753AF0">
        <w:rPr>
          <w:sz w:val="20"/>
          <w:szCs w:val="20"/>
        </w:rPr>
        <w:t>(IMF Working Paper No. WP/06/232). International Monetary Fund, Fiscal Affairs Department.</w:t>
      </w:r>
    </w:p>
    <w:p w14:paraId="75BCF81A" w14:textId="4CAE88D5" w:rsidR="00960DFB" w:rsidRPr="00753AF0" w:rsidRDefault="00960DFB" w:rsidP="00EE65FF">
      <w:pPr>
        <w:spacing w:before="120"/>
        <w:rPr>
          <w:color w:val="412179"/>
          <w:sz w:val="20"/>
          <w:szCs w:val="20"/>
        </w:rPr>
      </w:pPr>
      <w:proofErr w:type="spellStart"/>
      <w:r w:rsidRPr="00753AF0">
        <w:rPr>
          <w:sz w:val="20"/>
          <w:szCs w:val="20"/>
        </w:rPr>
        <w:t>Stotsky</w:t>
      </w:r>
      <w:proofErr w:type="spellEnd"/>
      <w:r w:rsidRPr="00753AF0">
        <w:rPr>
          <w:sz w:val="20"/>
          <w:szCs w:val="20"/>
        </w:rPr>
        <w:t xml:space="preserve">, J. G. 2016. </w:t>
      </w:r>
      <w:hyperlink r:id="rId74" w:history="1">
        <w:r w:rsidRPr="0068023E">
          <w:rPr>
            <w:rStyle w:val="Hyperlink"/>
            <w:rFonts w:cstheme="minorBidi"/>
            <w:color w:val="0000EE"/>
            <w:sz w:val="20"/>
            <w:szCs w:val="20"/>
          </w:rPr>
          <w:t>Gender Budgeting: Fiscal Context and Current Outcomes</w:t>
        </w:r>
      </w:hyperlink>
      <w:r w:rsidRPr="00753AF0">
        <w:rPr>
          <w:i/>
          <w:iCs/>
          <w:sz w:val="20"/>
          <w:szCs w:val="20"/>
        </w:rPr>
        <w:t xml:space="preserve"> </w:t>
      </w:r>
      <w:r w:rsidRPr="00753AF0">
        <w:rPr>
          <w:sz w:val="20"/>
          <w:szCs w:val="20"/>
        </w:rPr>
        <w:t>(IMF Working Paper No. WP/16/149). International Monetary Fund, Fiscal Affairs Department.</w:t>
      </w:r>
    </w:p>
    <w:p w14:paraId="6D86EF8F" w14:textId="7C15691C" w:rsidR="00960DFB" w:rsidRPr="00753AF0" w:rsidRDefault="00960DFB" w:rsidP="00EE65FF">
      <w:pPr>
        <w:spacing w:before="120"/>
        <w:rPr>
          <w:sz w:val="20"/>
          <w:szCs w:val="20"/>
        </w:rPr>
      </w:pPr>
      <w:proofErr w:type="spellStart"/>
      <w:r w:rsidRPr="00753AF0">
        <w:rPr>
          <w:sz w:val="20"/>
          <w:szCs w:val="20"/>
        </w:rPr>
        <w:t>Tamoya</w:t>
      </w:r>
      <w:proofErr w:type="spellEnd"/>
      <w:r w:rsidRPr="00753AF0">
        <w:rPr>
          <w:sz w:val="20"/>
          <w:szCs w:val="20"/>
        </w:rPr>
        <w:t xml:space="preserve"> A. L. Christie and </w:t>
      </w:r>
      <w:proofErr w:type="spellStart"/>
      <w:r w:rsidRPr="00753AF0">
        <w:rPr>
          <w:sz w:val="20"/>
          <w:szCs w:val="20"/>
        </w:rPr>
        <w:t>Dhanaraj</w:t>
      </w:r>
      <w:proofErr w:type="spellEnd"/>
      <w:r w:rsidRPr="00753AF0">
        <w:rPr>
          <w:sz w:val="20"/>
          <w:szCs w:val="20"/>
        </w:rPr>
        <w:t xml:space="preserve"> Thakur. 2016</w:t>
      </w:r>
      <w:r w:rsidR="0068023E">
        <w:rPr>
          <w:sz w:val="20"/>
          <w:szCs w:val="20"/>
        </w:rPr>
        <w:t>.</w:t>
      </w:r>
      <w:r w:rsidRPr="00753AF0">
        <w:rPr>
          <w:sz w:val="20"/>
          <w:szCs w:val="20"/>
        </w:rPr>
        <w:t xml:space="preserve"> </w:t>
      </w:r>
      <w:hyperlink r:id="rId75" w:history="1">
        <w:r w:rsidRPr="001B54C3">
          <w:rPr>
            <w:rStyle w:val="Hyperlink"/>
            <w:rFonts w:cstheme="minorBidi"/>
            <w:color w:val="0000EE"/>
            <w:sz w:val="20"/>
            <w:szCs w:val="20"/>
          </w:rPr>
          <w:t>Caribbean and Pacific Islands: A Survey of Gender Budgeting Efforts</w:t>
        </w:r>
      </w:hyperlink>
      <w:r w:rsidRPr="00753AF0">
        <w:rPr>
          <w:sz w:val="20"/>
          <w:szCs w:val="20"/>
        </w:rPr>
        <w:t>, IMF Working Paper WP/16/154.</w:t>
      </w:r>
    </w:p>
    <w:p w14:paraId="6CA1335D" w14:textId="6057A59A" w:rsidR="00960DFB" w:rsidRPr="00753AF0" w:rsidRDefault="00960DFB" w:rsidP="00EE65FF">
      <w:pPr>
        <w:spacing w:before="120"/>
        <w:rPr>
          <w:color w:val="412179"/>
          <w:sz w:val="20"/>
          <w:szCs w:val="20"/>
        </w:rPr>
      </w:pPr>
      <w:r w:rsidRPr="00753AF0">
        <w:rPr>
          <w:sz w:val="20"/>
          <w:szCs w:val="20"/>
        </w:rPr>
        <w:t xml:space="preserve">UN Women. 2016. </w:t>
      </w:r>
      <w:hyperlink r:id="rId76" w:history="1">
        <w:r w:rsidRPr="00ED5967">
          <w:rPr>
            <w:rStyle w:val="Hyperlink"/>
            <w:rFonts w:cstheme="minorBidi"/>
            <w:color w:val="0000EE"/>
            <w:sz w:val="20"/>
            <w:szCs w:val="20"/>
          </w:rPr>
          <w:t>Gender Responsive Budgeting in the Asia-Pacific Region</w:t>
        </w:r>
        <w:r w:rsidR="00ED5967" w:rsidRPr="00ED5967">
          <w:rPr>
            <w:rStyle w:val="Hyperlink"/>
            <w:rFonts w:cstheme="minorBidi"/>
            <w:color w:val="0000EE"/>
            <w:sz w:val="20"/>
            <w:szCs w:val="20"/>
          </w:rPr>
          <w:t>: A Status Report</w:t>
        </w:r>
      </w:hyperlink>
      <w:r w:rsidR="001B54C3">
        <w:rPr>
          <w:sz w:val="20"/>
          <w:szCs w:val="20"/>
        </w:rPr>
        <w:t>.</w:t>
      </w:r>
    </w:p>
    <w:p w14:paraId="7F3C5EB5" w14:textId="56DF1AED" w:rsidR="00960DFB" w:rsidRPr="00753AF0" w:rsidRDefault="00960DFB" w:rsidP="00EE65FF">
      <w:pPr>
        <w:spacing w:before="120"/>
        <w:rPr>
          <w:rFonts w:cstheme="minorHAnsi"/>
          <w:sz w:val="20"/>
          <w:szCs w:val="20"/>
        </w:rPr>
      </w:pPr>
      <w:r w:rsidRPr="00753AF0">
        <w:rPr>
          <w:rFonts w:cstheme="minorHAnsi"/>
          <w:sz w:val="20"/>
          <w:szCs w:val="20"/>
        </w:rPr>
        <w:t>UNIFEM.</w:t>
      </w:r>
      <w:r w:rsidR="007F3ECF">
        <w:rPr>
          <w:rFonts w:cstheme="minorHAnsi"/>
          <w:sz w:val="20"/>
          <w:szCs w:val="20"/>
        </w:rPr>
        <w:t xml:space="preserve"> </w:t>
      </w:r>
      <w:r w:rsidRPr="00753AF0">
        <w:rPr>
          <w:rFonts w:cstheme="minorHAnsi"/>
          <w:sz w:val="20"/>
          <w:szCs w:val="20"/>
        </w:rPr>
        <w:t xml:space="preserve">2010. </w:t>
      </w:r>
      <w:hyperlink r:id="rId77" w:history="1">
        <w:r w:rsidRPr="007F3ECF">
          <w:rPr>
            <w:rStyle w:val="Hyperlink"/>
            <w:rFonts w:cstheme="minorHAnsi"/>
            <w:color w:val="0000EE"/>
            <w:sz w:val="20"/>
            <w:szCs w:val="20"/>
          </w:rPr>
          <w:t>Evaluation Report</w:t>
        </w:r>
        <w:r w:rsidR="007F3ECF" w:rsidRPr="007F3ECF">
          <w:rPr>
            <w:rStyle w:val="Hyperlink"/>
            <w:rFonts w:cstheme="minorHAnsi"/>
            <w:color w:val="0000EE"/>
            <w:sz w:val="20"/>
            <w:szCs w:val="20"/>
          </w:rPr>
          <w:t>:</w:t>
        </w:r>
        <w:r w:rsidRPr="007F3ECF">
          <w:rPr>
            <w:rStyle w:val="Hyperlink"/>
            <w:rFonts w:cstheme="minorHAnsi"/>
            <w:color w:val="0000EE"/>
            <w:sz w:val="20"/>
            <w:szCs w:val="20"/>
          </w:rPr>
          <w:t xml:space="preserve"> UNIFEM’s Work on Gender-Responsive Budgeting</w:t>
        </w:r>
      </w:hyperlink>
      <w:r w:rsidR="007F3ECF">
        <w:rPr>
          <w:rFonts w:cstheme="minorHAnsi"/>
          <w:sz w:val="20"/>
          <w:szCs w:val="20"/>
        </w:rPr>
        <w:t>.</w:t>
      </w:r>
    </w:p>
    <w:p w14:paraId="4A0A438F" w14:textId="36064F2B" w:rsidR="00960DFB" w:rsidRPr="00753AF0" w:rsidRDefault="00960DFB" w:rsidP="00EE65FF">
      <w:pPr>
        <w:spacing w:before="120"/>
        <w:rPr>
          <w:rStyle w:val="Hyperlink"/>
          <w:sz w:val="20"/>
          <w:szCs w:val="20"/>
        </w:rPr>
      </w:pPr>
      <w:r w:rsidRPr="00753AF0">
        <w:rPr>
          <w:sz w:val="20"/>
          <w:szCs w:val="20"/>
        </w:rPr>
        <w:t>Bryn Welham, Karen Barnes-Robinson, Dina Mansour-</w:t>
      </w:r>
      <w:proofErr w:type="spellStart"/>
      <w:r w:rsidRPr="00753AF0">
        <w:rPr>
          <w:sz w:val="20"/>
          <w:szCs w:val="20"/>
        </w:rPr>
        <w:t>IIle</w:t>
      </w:r>
      <w:proofErr w:type="spellEnd"/>
      <w:r w:rsidRPr="00753AF0">
        <w:rPr>
          <w:sz w:val="20"/>
          <w:szCs w:val="20"/>
        </w:rPr>
        <w:t xml:space="preserve"> and Richa </w:t>
      </w:r>
      <w:proofErr w:type="spellStart"/>
      <w:r w:rsidRPr="00753AF0">
        <w:rPr>
          <w:sz w:val="20"/>
          <w:szCs w:val="20"/>
        </w:rPr>
        <w:t>Okhandiar</w:t>
      </w:r>
      <w:proofErr w:type="spellEnd"/>
      <w:r w:rsidRPr="00753AF0">
        <w:rPr>
          <w:sz w:val="20"/>
          <w:szCs w:val="20"/>
        </w:rPr>
        <w:t xml:space="preserve">. 2018. </w:t>
      </w:r>
      <w:hyperlink r:id="rId78" w:history="1">
        <w:r w:rsidRPr="008D1DEC">
          <w:rPr>
            <w:rStyle w:val="Hyperlink"/>
            <w:rFonts w:cstheme="minorBidi"/>
            <w:color w:val="0000EE"/>
            <w:sz w:val="20"/>
            <w:szCs w:val="20"/>
          </w:rPr>
          <w:t>Gender-responsive public expenditure management</w:t>
        </w:r>
        <w:r w:rsidR="008D1DEC" w:rsidRPr="008D1DEC">
          <w:rPr>
            <w:rStyle w:val="Hyperlink"/>
            <w:rFonts w:cstheme="minorBidi"/>
            <w:color w:val="0000EE"/>
            <w:sz w:val="20"/>
            <w:szCs w:val="20"/>
          </w:rPr>
          <w:t>: public finance management introductory guide</w:t>
        </w:r>
      </w:hyperlink>
      <w:r w:rsidRPr="00753AF0">
        <w:rPr>
          <w:i/>
          <w:iCs/>
          <w:sz w:val="20"/>
          <w:szCs w:val="20"/>
        </w:rPr>
        <w:t>,</w:t>
      </w:r>
      <w:r w:rsidRPr="00753AF0">
        <w:rPr>
          <w:sz w:val="20"/>
          <w:szCs w:val="20"/>
        </w:rPr>
        <w:t xml:space="preserve"> Overseas Development Institute.</w:t>
      </w:r>
    </w:p>
    <w:p w14:paraId="06CE9DE5" w14:textId="10E7DBF0" w:rsidR="00960DFB" w:rsidRPr="008D1DEC" w:rsidRDefault="00960DFB" w:rsidP="00EE65FF">
      <w:pPr>
        <w:spacing w:before="120"/>
        <w:rPr>
          <w:rFonts w:cs="PT Serif"/>
          <w:sz w:val="20"/>
          <w:szCs w:val="20"/>
        </w:rPr>
      </w:pPr>
      <w:r w:rsidRPr="008D1DEC">
        <w:rPr>
          <w:rFonts w:cs="PT Serif"/>
          <w:sz w:val="20"/>
          <w:szCs w:val="20"/>
        </w:rPr>
        <w:t xml:space="preserve">World Bank. 2006. </w:t>
      </w:r>
      <w:hyperlink r:id="rId79" w:history="1">
        <w:r w:rsidRPr="008D1DEC">
          <w:rPr>
            <w:rStyle w:val="Hyperlink"/>
            <w:rFonts w:cs="PT Serif"/>
            <w:color w:val="0000EE"/>
            <w:sz w:val="20"/>
            <w:szCs w:val="20"/>
          </w:rPr>
          <w:t>Gender Equality as Smart Economics: A World Bank Group Gen</w:t>
        </w:r>
        <w:r w:rsidRPr="008D1DEC">
          <w:rPr>
            <w:rStyle w:val="Hyperlink"/>
            <w:rFonts w:cs="PT Serif"/>
            <w:color w:val="0000EE"/>
            <w:sz w:val="20"/>
            <w:szCs w:val="20"/>
          </w:rPr>
          <w:softHyphen/>
          <w:t>der Action Plan—Fiscal Years 2007–10</w:t>
        </w:r>
      </w:hyperlink>
      <w:r w:rsidRPr="008D1DEC">
        <w:rPr>
          <w:rFonts w:cs="PT Serif"/>
          <w:i/>
          <w:iCs/>
          <w:sz w:val="20"/>
          <w:szCs w:val="20"/>
        </w:rPr>
        <w:t xml:space="preserve">. </w:t>
      </w:r>
      <w:r w:rsidRPr="008D1DEC">
        <w:rPr>
          <w:rFonts w:cs="PT Serif"/>
          <w:sz w:val="20"/>
          <w:szCs w:val="20"/>
        </w:rPr>
        <w:t>Washington, DC: World Bank.</w:t>
      </w:r>
    </w:p>
    <w:p w14:paraId="3F8BFE9B" w14:textId="61E98C8D" w:rsidR="00960DFB" w:rsidRPr="008D1DEC" w:rsidRDefault="00960DFB" w:rsidP="00EE65FF">
      <w:pPr>
        <w:spacing w:before="120"/>
        <w:rPr>
          <w:rFonts w:cs="PT Serif"/>
          <w:sz w:val="20"/>
          <w:szCs w:val="20"/>
        </w:rPr>
      </w:pPr>
      <w:r w:rsidRPr="008D1DEC">
        <w:rPr>
          <w:rFonts w:cs="PT Serif"/>
          <w:sz w:val="20"/>
          <w:szCs w:val="20"/>
        </w:rPr>
        <w:t xml:space="preserve">World Bank. 2011. </w:t>
      </w:r>
      <w:hyperlink r:id="rId80" w:history="1">
        <w:r w:rsidRPr="00D32DAE">
          <w:rPr>
            <w:rStyle w:val="Hyperlink"/>
            <w:rFonts w:cs="PT Serif"/>
            <w:color w:val="0000EE"/>
            <w:sz w:val="20"/>
            <w:szCs w:val="20"/>
          </w:rPr>
          <w:t>World Development Report 2012: Gender Equality and Develop</w:t>
        </w:r>
        <w:r w:rsidRPr="00D32DAE">
          <w:rPr>
            <w:rStyle w:val="Hyperlink"/>
            <w:rFonts w:cs="PT Serif"/>
            <w:color w:val="0000EE"/>
            <w:sz w:val="20"/>
            <w:szCs w:val="20"/>
          </w:rPr>
          <w:softHyphen/>
          <w:t>ment</w:t>
        </w:r>
      </w:hyperlink>
      <w:r w:rsidRPr="008D1DEC">
        <w:rPr>
          <w:rFonts w:cs="PT Serif"/>
          <w:i/>
          <w:iCs/>
          <w:sz w:val="20"/>
          <w:szCs w:val="20"/>
        </w:rPr>
        <w:t xml:space="preserve">. </w:t>
      </w:r>
      <w:r w:rsidRPr="008D1DEC">
        <w:rPr>
          <w:rFonts w:cs="PT Serif"/>
          <w:sz w:val="20"/>
          <w:szCs w:val="20"/>
        </w:rPr>
        <w:t>Washington, DC: World Bank.</w:t>
      </w:r>
    </w:p>
    <w:p w14:paraId="78B364C9" w14:textId="1BF55558" w:rsidR="00960DFB" w:rsidRPr="008D1DEC" w:rsidRDefault="00960DFB" w:rsidP="00EE65FF">
      <w:pPr>
        <w:spacing w:before="120"/>
        <w:rPr>
          <w:sz w:val="20"/>
          <w:szCs w:val="20"/>
        </w:rPr>
      </w:pPr>
      <w:r w:rsidRPr="008D1DEC">
        <w:rPr>
          <w:sz w:val="20"/>
          <w:szCs w:val="20"/>
        </w:rPr>
        <w:t xml:space="preserve">World Bank. 2013. </w:t>
      </w:r>
      <w:hyperlink r:id="rId81" w:history="1">
        <w:r w:rsidRPr="006E7324">
          <w:rPr>
            <w:rStyle w:val="Hyperlink"/>
            <w:rFonts w:cstheme="minorBidi"/>
            <w:color w:val="0000EE"/>
            <w:sz w:val="20"/>
            <w:szCs w:val="20"/>
          </w:rPr>
          <w:t>Planning Public Financial Management Reforms in Pacific Island Countries: Guidance Note</w:t>
        </w:r>
      </w:hyperlink>
      <w:r w:rsidRPr="008D1DEC">
        <w:rPr>
          <w:sz w:val="20"/>
          <w:szCs w:val="20"/>
        </w:rPr>
        <w:t>. Washington, DC. © World Bank. License: CC BY 3.0 IGO.</w:t>
      </w:r>
    </w:p>
    <w:p w14:paraId="152E631D" w14:textId="19988B12" w:rsidR="00960DFB" w:rsidRPr="008D1DEC" w:rsidRDefault="00960DFB" w:rsidP="00EE65FF">
      <w:pPr>
        <w:spacing w:before="120"/>
        <w:rPr>
          <w:rFonts w:cstheme="minorHAnsi"/>
          <w:sz w:val="20"/>
          <w:szCs w:val="20"/>
        </w:rPr>
      </w:pPr>
      <w:r w:rsidRPr="008D1DEC">
        <w:rPr>
          <w:sz w:val="20"/>
          <w:szCs w:val="20"/>
        </w:rPr>
        <w:t xml:space="preserve">World Bank. 2019. </w:t>
      </w:r>
      <w:hyperlink r:id="rId82" w:history="1">
        <w:r w:rsidRPr="00A751B2">
          <w:rPr>
            <w:rStyle w:val="Hyperlink"/>
            <w:rFonts w:cstheme="minorBidi"/>
            <w:color w:val="0000EE"/>
            <w:sz w:val="20"/>
            <w:szCs w:val="20"/>
          </w:rPr>
          <w:t>Update: The Forward Look and IBRD-IFC Capital Package Implementation</w:t>
        </w:r>
      </w:hyperlink>
      <w:r w:rsidRPr="008D1DEC">
        <w:rPr>
          <w:sz w:val="20"/>
          <w:szCs w:val="20"/>
        </w:rPr>
        <w:t>, DC2019-0003/P</w:t>
      </w:r>
      <w:r w:rsidR="00A751B2">
        <w:rPr>
          <w:sz w:val="20"/>
          <w:szCs w:val="20"/>
        </w:rPr>
        <w:t>.</w:t>
      </w:r>
    </w:p>
    <w:p w14:paraId="2F9D1F2F" w14:textId="785BAE4D" w:rsidR="00960DFB" w:rsidRPr="008D1DEC" w:rsidRDefault="00960DFB" w:rsidP="00EE65FF">
      <w:pPr>
        <w:spacing w:before="120"/>
        <w:rPr>
          <w:rFonts w:cstheme="minorHAnsi"/>
          <w:sz w:val="20"/>
          <w:szCs w:val="20"/>
        </w:rPr>
      </w:pPr>
      <w:r w:rsidRPr="008D1DEC">
        <w:rPr>
          <w:rFonts w:cstheme="minorHAnsi"/>
          <w:sz w:val="20"/>
          <w:szCs w:val="20"/>
        </w:rPr>
        <w:t xml:space="preserve">World Bank. 2020. </w:t>
      </w:r>
      <w:hyperlink r:id="rId83" w:history="1">
        <w:r w:rsidRPr="0068583D">
          <w:rPr>
            <w:rStyle w:val="Hyperlink"/>
            <w:rFonts w:cstheme="minorHAnsi"/>
            <w:color w:val="0000EE"/>
            <w:sz w:val="20"/>
            <w:szCs w:val="20"/>
          </w:rPr>
          <w:t>Integrating a Gender Equality Lens: Drawing Lessons from Three Good-Practice Development Policy Operations</w:t>
        </w:r>
      </w:hyperlink>
      <w:r w:rsidRPr="008D1DEC">
        <w:rPr>
          <w:rFonts w:cstheme="minorHAnsi"/>
          <w:sz w:val="20"/>
          <w:szCs w:val="20"/>
        </w:rPr>
        <w:t>. MTI Insight Series. World Bank, Washington, DC. License: Creative Commons Attribution CC BY 3.0 IGO.</w:t>
      </w:r>
    </w:p>
    <w:p w14:paraId="39C22B23" w14:textId="52B06892" w:rsidR="00960DFB" w:rsidRPr="008D1DEC" w:rsidRDefault="00960DFB" w:rsidP="00EE65FF">
      <w:pPr>
        <w:spacing w:before="120"/>
        <w:rPr>
          <w:rFonts w:cstheme="minorHAnsi"/>
          <w:sz w:val="20"/>
          <w:szCs w:val="20"/>
        </w:rPr>
      </w:pPr>
      <w:r w:rsidRPr="008D1DEC">
        <w:rPr>
          <w:rFonts w:cstheme="minorHAnsi"/>
          <w:sz w:val="20"/>
          <w:szCs w:val="20"/>
        </w:rPr>
        <w:t xml:space="preserve">World Bank. 2020a. </w:t>
      </w:r>
      <w:hyperlink r:id="rId84" w:history="1">
        <w:r w:rsidRPr="0068583D">
          <w:rPr>
            <w:rStyle w:val="Hyperlink"/>
            <w:rFonts w:cstheme="minorHAnsi"/>
            <w:color w:val="0000EE"/>
            <w:sz w:val="20"/>
            <w:szCs w:val="20"/>
          </w:rPr>
          <w:t>DPF development policy action data base</w:t>
        </w:r>
      </w:hyperlink>
      <w:r w:rsidR="0068583D">
        <w:rPr>
          <w:rFonts w:cstheme="minorHAnsi"/>
          <w:sz w:val="20"/>
          <w:szCs w:val="20"/>
        </w:rPr>
        <w:t>.</w:t>
      </w:r>
    </w:p>
    <w:p w14:paraId="68FDA81E" w14:textId="13793DF9" w:rsidR="00960DFB" w:rsidRPr="008D1DEC" w:rsidRDefault="00960DFB" w:rsidP="00EE65FF">
      <w:pPr>
        <w:spacing w:before="120"/>
        <w:rPr>
          <w:sz w:val="20"/>
          <w:szCs w:val="20"/>
        </w:rPr>
      </w:pPr>
      <w:r w:rsidRPr="008D1DEC">
        <w:rPr>
          <w:rFonts w:cstheme="minorHAnsi"/>
          <w:sz w:val="20"/>
          <w:szCs w:val="20"/>
        </w:rPr>
        <w:t xml:space="preserve">World Bank. 2021. </w:t>
      </w:r>
      <w:hyperlink r:id="rId85" w:history="1">
        <w:r w:rsidRPr="00121B87">
          <w:rPr>
            <w:rStyle w:val="Hyperlink"/>
            <w:rFonts w:cstheme="minorHAnsi"/>
            <w:color w:val="0000EE"/>
            <w:sz w:val="20"/>
            <w:szCs w:val="20"/>
          </w:rPr>
          <w:t>World Bank Group Gender Strategy Mid-Term Review: An Assessment by the Independent Evaluation Group</w:t>
        </w:r>
      </w:hyperlink>
      <w:r w:rsidRPr="008D1DEC">
        <w:rPr>
          <w:rFonts w:cstheme="minorHAnsi"/>
          <w:sz w:val="20"/>
          <w:szCs w:val="20"/>
        </w:rPr>
        <w:t>. Independent Evaluation Group. Washington, DC: World Bank</w:t>
      </w:r>
      <w:r w:rsidR="00121B87">
        <w:rPr>
          <w:rFonts w:cstheme="minorHAnsi"/>
          <w:sz w:val="20"/>
          <w:szCs w:val="20"/>
        </w:rPr>
        <w:t>.</w:t>
      </w:r>
    </w:p>
    <w:p w14:paraId="66276EE6" w14:textId="0872AAB5" w:rsidR="00960DFB" w:rsidRPr="008D1DEC" w:rsidRDefault="00960DFB" w:rsidP="00EE65FF">
      <w:pPr>
        <w:spacing w:before="120"/>
        <w:rPr>
          <w:rStyle w:val="markedcontent"/>
          <w:rFonts w:cstheme="minorHAnsi"/>
          <w:sz w:val="20"/>
          <w:szCs w:val="20"/>
        </w:rPr>
      </w:pPr>
      <w:r w:rsidRPr="008D1DEC">
        <w:rPr>
          <w:rStyle w:val="markedcontent"/>
          <w:rFonts w:cstheme="minorHAnsi"/>
          <w:sz w:val="20"/>
          <w:szCs w:val="20"/>
        </w:rPr>
        <w:t xml:space="preserve">World Bank. 2022. </w:t>
      </w:r>
      <w:hyperlink r:id="rId86" w:history="1">
        <w:r w:rsidRPr="00121B87">
          <w:rPr>
            <w:rStyle w:val="Hyperlink"/>
            <w:rFonts w:cstheme="minorHAnsi"/>
            <w:color w:val="0000EE"/>
            <w:sz w:val="20"/>
            <w:szCs w:val="20"/>
          </w:rPr>
          <w:t>Additions to IDA Resources: Twentieth Replenishment Building Back Better from the Crisis: Toward a Green, Resilient and Inclusive Future</w:t>
        </w:r>
      </w:hyperlink>
      <w:r w:rsidR="00121B87">
        <w:rPr>
          <w:rFonts w:cstheme="minorHAnsi"/>
          <w:sz w:val="20"/>
          <w:szCs w:val="20"/>
        </w:rPr>
        <w:t>.</w:t>
      </w:r>
      <w:r w:rsidRPr="008D1DEC">
        <w:rPr>
          <w:rFonts w:cstheme="minorHAnsi"/>
          <w:sz w:val="20"/>
          <w:szCs w:val="20"/>
        </w:rPr>
        <w:t xml:space="preserve"> Report from the Executive Directors of the International Development Associatio</w:t>
      </w:r>
      <w:r w:rsidR="00121B87">
        <w:rPr>
          <w:rFonts w:cstheme="minorHAnsi"/>
          <w:sz w:val="20"/>
          <w:szCs w:val="20"/>
        </w:rPr>
        <w:t>n</w:t>
      </w:r>
      <w:r w:rsidRPr="008D1DEC">
        <w:rPr>
          <w:rFonts w:cstheme="minorHAnsi"/>
          <w:sz w:val="20"/>
          <w:szCs w:val="20"/>
        </w:rPr>
        <w:t xml:space="preserve"> to the Board of Governors</w:t>
      </w:r>
      <w:r w:rsidR="00121B87">
        <w:rPr>
          <w:rFonts w:cstheme="minorHAnsi"/>
          <w:sz w:val="20"/>
          <w:szCs w:val="20"/>
        </w:rPr>
        <w:t>.</w:t>
      </w:r>
    </w:p>
    <w:p w14:paraId="11D64BE4" w14:textId="29F5FDFF" w:rsidR="00960DFB" w:rsidRPr="008D1DEC" w:rsidRDefault="00960DFB" w:rsidP="00EE65FF">
      <w:pPr>
        <w:spacing w:before="120"/>
        <w:rPr>
          <w:rFonts w:cstheme="minorHAnsi"/>
          <w:sz w:val="20"/>
          <w:szCs w:val="20"/>
        </w:rPr>
      </w:pPr>
      <w:r w:rsidRPr="008D1DEC">
        <w:rPr>
          <w:rStyle w:val="markedcontent"/>
          <w:rFonts w:cstheme="minorHAnsi"/>
          <w:sz w:val="20"/>
          <w:szCs w:val="20"/>
        </w:rPr>
        <w:t xml:space="preserve">Europe Aid. 2014. </w:t>
      </w:r>
      <w:hyperlink r:id="rId87" w:history="1">
        <w:r w:rsidRPr="00DB0A1D">
          <w:rPr>
            <w:rStyle w:val="Hyperlink"/>
            <w:rFonts w:cstheme="minorHAnsi"/>
            <w:color w:val="0000EE"/>
            <w:sz w:val="20"/>
            <w:szCs w:val="20"/>
          </w:rPr>
          <w:t xml:space="preserve">Synthesis of Budget Support Evaluations: Analysis of the Findings, Conclusions and Recommendations of </w:t>
        </w:r>
        <w:r w:rsidR="00DB0A1D" w:rsidRPr="00DB0A1D">
          <w:rPr>
            <w:rStyle w:val="Hyperlink"/>
            <w:rFonts w:cstheme="minorHAnsi"/>
            <w:color w:val="0000EE"/>
            <w:sz w:val="20"/>
            <w:szCs w:val="20"/>
          </w:rPr>
          <w:t>S</w:t>
        </w:r>
        <w:r w:rsidRPr="00DB0A1D">
          <w:rPr>
            <w:rStyle w:val="Hyperlink"/>
            <w:rFonts w:cstheme="minorHAnsi"/>
            <w:color w:val="0000EE"/>
            <w:sz w:val="20"/>
            <w:szCs w:val="20"/>
          </w:rPr>
          <w:t>even Country Evaluations of Budget Support</w:t>
        </w:r>
      </w:hyperlink>
      <w:r w:rsidRPr="008D1DEC">
        <w:rPr>
          <w:rStyle w:val="markedcontent"/>
          <w:rFonts w:cstheme="minorHAnsi"/>
          <w:sz w:val="20"/>
          <w:szCs w:val="20"/>
        </w:rPr>
        <w:t>, a study carried out on behalf of the European Commission</w:t>
      </w:r>
      <w:r w:rsidR="00DB0A1D">
        <w:rPr>
          <w:rStyle w:val="markedcontent"/>
          <w:rFonts w:cstheme="minorHAnsi"/>
          <w:sz w:val="20"/>
          <w:szCs w:val="20"/>
        </w:rPr>
        <w:t>.</w:t>
      </w:r>
    </w:p>
    <w:p w14:paraId="652A379A" w14:textId="18B9C8C5" w:rsidR="00960DFB" w:rsidRPr="008D1DEC" w:rsidRDefault="00960DFB" w:rsidP="00EE65FF">
      <w:pPr>
        <w:spacing w:before="120"/>
        <w:rPr>
          <w:rStyle w:val="markedcontent"/>
          <w:sz w:val="20"/>
          <w:szCs w:val="20"/>
        </w:rPr>
      </w:pPr>
      <w:r w:rsidRPr="008D1DEC">
        <w:rPr>
          <w:rStyle w:val="markedcontent"/>
          <w:rFonts w:cstheme="minorHAnsi"/>
          <w:sz w:val="20"/>
          <w:szCs w:val="20"/>
        </w:rPr>
        <w:t xml:space="preserve">Sarah Widmer and Emily Sharp. 2017. </w:t>
      </w:r>
      <w:hyperlink r:id="rId88" w:history="1">
        <w:r w:rsidRPr="00EE65FF">
          <w:rPr>
            <w:rStyle w:val="Hyperlink"/>
            <w:rFonts w:cstheme="minorHAnsi"/>
            <w:color w:val="0000EE"/>
            <w:sz w:val="20"/>
            <w:szCs w:val="20"/>
          </w:rPr>
          <w:t>Progressing Gender Equality in the Pacific (PGEP) Project: Mid-term Evaluation Report</w:t>
        </w:r>
      </w:hyperlink>
      <w:r w:rsidR="00EE65FF">
        <w:rPr>
          <w:rStyle w:val="markedcontent"/>
          <w:rFonts w:cstheme="minorHAnsi"/>
          <w:sz w:val="20"/>
          <w:szCs w:val="20"/>
        </w:rPr>
        <w:t>.</w:t>
      </w:r>
    </w:p>
    <w:p w14:paraId="2A514622" w14:textId="0DBA2D9A" w:rsidR="00F9382E" w:rsidRPr="008D1DEC" w:rsidRDefault="00960DFB" w:rsidP="00EE65FF">
      <w:pPr>
        <w:spacing w:before="120"/>
        <w:rPr>
          <w:sz w:val="20"/>
          <w:szCs w:val="20"/>
        </w:rPr>
      </w:pPr>
      <w:r w:rsidRPr="008D1DEC">
        <w:rPr>
          <w:sz w:val="20"/>
          <w:szCs w:val="20"/>
        </w:rPr>
        <w:t>UN Women</w:t>
      </w:r>
      <w:r w:rsidR="00EE65FF">
        <w:rPr>
          <w:sz w:val="20"/>
          <w:szCs w:val="20"/>
        </w:rPr>
        <w:t>. 1997.</w:t>
      </w:r>
      <w:r w:rsidRPr="008D1DEC">
        <w:rPr>
          <w:sz w:val="20"/>
          <w:szCs w:val="20"/>
        </w:rPr>
        <w:t xml:space="preserve"> </w:t>
      </w:r>
      <w:hyperlink r:id="rId89" w:history="1">
        <w:r w:rsidRPr="00EE65FF">
          <w:rPr>
            <w:rStyle w:val="Hyperlink"/>
            <w:rFonts w:cstheme="minorBidi"/>
            <w:color w:val="0000EE"/>
            <w:sz w:val="20"/>
            <w:szCs w:val="20"/>
          </w:rPr>
          <w:t>Extract from Report of the Economic and Social Council for 1997</w:t>
        </w:r>
      </w:hyperlink>
      <w:r w:rsidR="00EE65FF">
        <w:rPr>
          <w:sz w:val="20"/>
          <w:szCs w:val="20"/>
        </w:rPr>
        <w:t>.</w:t>
      </w:r>
    </w:p>
    <w:sectPr w:rsidR="00F9382E" w:rsidRPr="008D1DEC" w:rsidSect="006300DC">
      <w:headerReference w:type="default" r:id="rId90"/>
      <w:footerReference w:type="default" r:id="rId91"/>
      <w:endnotePr>
        <w:numFmt w:val="decimal"/>
      </w:endnotePr>
      <w:pgSz w:w="12240" w:h="15840" w:code="1"/>
      <w:pgMar w:top="1701" w:right="1134" w:bottom="1418" w:left="1134" w:header="397" w:footer="48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B0BD" w14:textId="77777777" w:rsidR="0098469F" w:rsidRDefault="0098469F" w:rsidP="00D37B04">
      <w:r>
        <w:separator/>
      </w:r>
    </w:p>
  </w:endnote>
  <w:endnote w:type="continuationSeparator" w:id="0">
    <w:p w14:paraId="77E32911" w14:textId="77777777" w:rsidR="0098469F" w:rsidRDefault="0098469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edra Sans Std Light">
    <w:altName w:val="Calibri"/>
    <w:panose1 w:val="00000000000000000000"/>
    <w:charset w:val="00"/>
    <w:family w:val="swiss"/>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 w:name="Aharoni">
    <w:charset w:val="B1"/>
    <w:family w:val="auto"/>
    <w:pitch w:val="variable"/>
    <w:sig w:usb0="00000803" w:usb1="00000000" w:usb2="00000000" w:usb3="00000000" w:csb0="00000021" w:csb1="00000000"/>
  </w:font>
  <w:font w:name="Avenir Next LT Pro">
    <w:altName w:val="Avenir Next LT Pro"/>
    <w:charset w:val="00"/>
    <w:family w:val="swiss"/>
    <w:pitch w:val="variable"/>
    <w:sig w:usb0="800000EF" w:usb1="5000204A" w:usb2="00000000" w:usb3="00000000" w:csb0="00000093"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626C" w14:textId="41731FA5" w:rsidR="003C70F4" w:rsidRDefault="001207A3" w:rsidP="001207A3">
    <w:pPr>
      <w:pStyle w:val="Footer"/>
      <w:ind w:right="-284"/>
    </w:pPr>
    <w:r w:rsidRPr="00E5134E">
      <w:rPr>
        <w:b/>
        <w:bCs/>
        <w:noProof/>
      </w:rPr>
      <mc:AlternateContent>
        <mc:Choice Requires="wps">
          <w:drawing>
            <wp:anchor distT="0" distB="0" distL="114300" distR="114300" simplePos="0" relativeHeight="251643904" behindDoc="0" locked="0" layoutInCell="1" allowOverlap="1" wp14:anchorId="54599616" wp14:editId="6F690EAE">
              <wp:simplePos x="0" y="0"/>
              <wp:positionH relativeFrom="margin">
                <wp:align>center</wp:align>
              </wp:positionH>
              <wp:positionV relativeFrom="paragraph">
                <wp:posOffset>14853</wp:posOffset>
              </wp:positionV>
              <wp:extent cx="539750" cy="179705"/>
              <wp:effectExtent l="0" t="0" r="1270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9525">
                        <a:noFill/>
                        <a:miter lim="800000"/>
                        <a:headEnd/>
                        <a:tailEnd/>
                      </a:ln>
                    </wps:spPr>
                    <wps:txbx>
                      <w:txbxContent>
                        <w:p w14:paraId="2C09489C" w14:textId="77777777" w:rsidR="003C70F4" w:rsidRPr="00E5134E" w:rsidRDefault="003C70F4" w:rsidP="007C07D2">
                          <w:pPr>
                            <w:spacing w:before="0"/>
                            <w:jc w:val="center"/>
                            <w:rPr>
                              <w:b/>
                              <w:bCs/>
                              <w:color w:val="FFFFFF" w:themeColor="background1"/>
                            </w:rPr>
                          </w:pPr>
                          <w:r w:rsidRPr="00E5134E">
                            <w:rPr>
                              <w:b/>
                              <w:bCs/>
                              <w:color w:val="FFFFFF" w:themeColor="background1"/>
                            </w:rPr>
                            <w:t>OFFICIAL</w:t>
                          </w:r>
                        </w:p>
                      </w:txbxContent>
                    </wps:txbx>
                    <wps:bodyPr rot="0" vert="horz" wrap="square" lIns="0" tIns="0" rIns="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54599616" id="_x0000_t202" coordsize="21600,21600" o:spt="202" path="m,l,21600r21600,l21600,xe">
              <v:stroke joinstyle="miter"/>
              <v:path gradientshapeok="t" o:connecttype="rect"/>
            </v:shapetype>
            <v:shape id="_x0000_s1026" type="#_x0000_t202" style="position:absolute;left:0;text-align:left;margin-left:0;margin-top:1.15pt;width:42.5pt;height:14.1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" filled="f" stroked="f">
              <v:textbox inset="0,0,0,0">
                <w:txbxContent>
                  <w:p w14:paraId="2C09489C" w14:textId="77777777" w:rsidR="003C70F4" w:rsidRPr="00E5134E" w:rsidRDefault="003C70F4" w:rsidP="007C07D2">
                    <w:pPr>
                      <w:spacing w:before="0"/>
                      <w:jc w:val="center"/>
                      <w:rPr>
                        <w:b/>
                        <w:bCs/>
                        <w:color w:val="FFFFFF" w:themeColor="background1"/>
                      </w:rPr>
                    </w:pPr>
                    <w:r w:rsidRPr="00E5134E">
                      <w:rPr>
                        <w:b/>
                        <w:bCs/>
                        <w:color w:val="FFFFFF" w:themeColor="background1"/>
                      </w:rPr>
                      <w:t>OFFICIAL</w:t>
                    </w:r>
                  </w:p>
                </w:txbxContent>
              </v:textbox>
              <w10:wrap anchorx="margin"/>
            </v:shape>
          </w:pict>
        </mc:Fallback>
      </mc:AlternateContent>
    </w:r>
    <w:r w:rsidRPr="00E5134E">
      <w:rPr>
        <w:b/>
        <w:bCs/>
        <w:noProof/>
      </w:rPr>
      <mc:AlternateContent>
        <mc:Choice Requires="wps">
          <w:drawing>
            <wp:inline distT="0" distB="0" distL="0" distR="0" wp14:anchorId="720539E2" wp14:editId="1818C9CA">
              <wp:extent cx="1403985" cy="179705"/>
              <wp:effectExtent l="0" t="0" r="5715" b="1079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79705"/>
                      </a:xfrm>
                      <a:prstGeom prst="rect">
                        <a:avLst/>
                      </a:prstGeom>
                      <a:noFill/>
                      <a:ln w="9525">
                        <a:noFill/>
                        <a:miter lim="800000"/>
                        <a:headEnd/>
                        <a:tailEnd/>
                      </a:ln>
                    </wps:spPr>
                    <wps:txbx>
                      <w:txbxContent>
                        <w:p w14:paraId="7BB29F4B" w14:textId="10ACE577" w:rsidR="003C70F4" w:rsidRPr="00E5134E" w:rsidRDefault="003C70F4" w:rsidP="007C07D2">
                          <w:pPr>
                            <w:spacing w:before="0"/>
                            <w:rPr>
                              <w:b/>
                              <w:bCs/>
                              <w:color w:val="FFFFFF" w:themeColor="background1"/>
                            </w:rPr>
                          </w:pPr>
                          <w:r>
                            <w:rPr>
                              <w:b/>
                              <w:bCs/>
                              <w:color w:val="FFFFFF" w:themeColor="background1"/>
                            </w:rPr>
                            <w:t>Bob Warner | July 2022</w:t>
                          </w:r>
                        </w:p>
                      </w:txbxContent>
                    </wps:txbx>
                    <wps:bodyPr rot="0" vert="horz" wrap="square" lIns="0" tIns="0" rIns="0" bIns="0" anchor="b" anchorCtr="0">
                      <a:noAutofit/>
                    </wps:bodyPr>
                  </wps:wsp>
                </a:graphicData>
              </a:graphic>
            </wp:inline>
          </w:drawing>
        </mc:Choice>
        <mc:Fallback>
          <w:pict>
            <v:shape w14:anchorId="720539E2" id="Text Box 2" o:spid="_x0000_s1027" type="#_x0000_t202" style="width:110.55pt;height:14.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" filled="f" stroked="f">
              <v:textbox inset="0,0,0,0">
                <w:txbxContent>
                  <w:p w14:paraId="7BB29F4B" w14:textId="10ACE577" w:rsidR="003C70F4" w:rsidRPr="00E5134E" w:rsidRDefault="003C70F4" w:rsidP="007C07D2">
                    <w:pPr>
                      <w:spacing w:before="0"/>
                      <w:rPr>
                        <w:b/>
                        <w:bCs/>
                        <w:color w:val="FFFFFF" w:themeColor="background1"/>
                      </w:rPr>
                    </w:pPr>
                    <w:r>
                      <w:rPr>
                        <w:b/>
                        <w:bCs/>
                        <w:color w:val="FFFFFF" w:themeColor="background1"/>
                      </w:rPr>
                      <w:t>Bob Warner | July 2022</w:t>
                    </w:r>
                  </w:p>
                </w:txbxContent>
              </v:textbox>
              <w10:anchorlock/>
            </v:shape>
          </w:pict>
        </mc:Fallback>
      </mc:AlternateContent>
    </w:r>
    <w:sdt>
      <w:sdtPr>
        <w:id w:val="-1781794101"/>
        <w:docPartObj>
          <w:docPartGallery w:val="Page Numbers (Bottom of Page)"/>
          <w:docPartUnique/>
        </w:docPartObj>
      </w:sdtPr>
      <w:sdtEndPr/>
      <w:sdtContent>
        <w:sdt>
          <w:sdtPr>
            <w:id w:val="-1443918836"/>
            <w:docPartObj>
              <w:docPartGallery w:val="Page Numbers (Top of Page)"/>
              <w:docPartUnique/>
            </w:docPartObj>
          </w:sdtPr>
          <w:sdtEndPr/>
          <w:sdtContent>
            <w:r w:rsidR="003C70F4">
              <w:t xml:space="preserve">Page </w:t>
            </w:r>
            <w:r w:rsidR="003C70F4">
              <w:rPr>
                <w:b/>
                <w:bCs/>
                <w:sz w:val="24"/>
                <w:szCs w:val="24"/>
              </w:rPr>
              <w:fldChar w:fldCharType="begin"/>
            </w:r>
            <w:r w:rsidR="003C70F4">
              <w:rPr>
                <w:b/>
                <w:bCs/>
              </w:rPr>
              <w:instrText xml:space="preserve"> PAGE </w:instrText>
            </w:r>
            <w:r w:rsidR="003C70F4">
              <w:rPr>
                <w:b/>
                <w:bCs/>
                <w:sz w:val="24"/>
                <w:szCs w:val="24"/>
              </w:rPr>
              <w:fldChar w:fldCharType="separate"/>
            </w:r>
            <w:r w:rsidR="003C70F4">
              <w:rPr>
                <w:b/>
                <w:bCs/>
                <w:sz w:val="24"/>
                <w:szCs w:val="24"/>
              </w:rPr>
              <w:t>63</w:t>
            </w:r>
            <w:r w:rsidR="003C70F4">
              <w:rPr>
                <w:b/>
                <w:bCs/>
                <w:sz w:val="24"/>
                <w:szCs w:val="24"/>
              </w:rPr>
              <w:fldChar w:fldCharType="end"/>
            </w:r>
            <w:r w:rsidR="003C70F4">
              <w:t xml:space="preserve"> of </w:t>
            </w:r>
            <w:r w:rsidR="003C70F4">
              <w:rPr>
                <w:b/>
                <w:bCs/>
                <w:sz w:val="24"/>
                <w:szCs w:val="24"/>
              </w:rPr>
              <w:fldChar w:fldCharType="begin"/>
            </w:r>
            <w:r w:rsidR="003C70F4">
              <w:rPr>
                <w:b/>
                <w:bCs/>
              </w:rPr>
              <w:instrText xml:space="preserve"> NUMPAGES  </w:instrText>
            </w:r>
            <w:r w:rsidR="003C70F4">
              <w:rPr>
                <w:b/>
                <w:bCs/>
                <w:sz w:val="24"/>
                <w:szCs w:val="24"/>
              </w:rPr>
              <w:fldChar w:fldCharType="separate"/>
            </w:r>
            <w:r w:rsidR="003C70F4">
              <w:rPr>
                <w:b/>
                <w:bCs/>
                <w:sz w:val="24"/>
                <w:szCs w:val="24"/>
              </w:rPr>
              <w:t>67</w:t>
            </w:r>
            <w:r w:rsidR="003C70F4">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2913" w14:textId="057D7FE5" w:rsidR="00C92DA2" w:rsidRPr="008144A3" w:rsidRDefault="00DF435A" w:rsidP="00DF435A">
    <w:pPr>
      <w:pStyle w:val="Footer"/>
      <w:jc w:val="center"/>
      <w:rPr>
        <w:color w:val="495965" w:themeColor="text2"/>
      </w:rPr>
    </w:pPr>
    <w:r w:rsidRPr="008144A3">
      <w:rPr>
        <w:color w:val="495965" w:themeColor="text2"/>
      </w:rPr>
      <w:t>Department of Foreign Affairs and Trade | 10 John McEwen Cres, Barton ACT 2600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70B9" w14:textId="77777777" w:rsidR="003C70F4" w:rsidRDefault="003C70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9DC5" w14:textId="1D99FD74" w:rsidR="00895367" w:rsidRDefault="005E302F" w:rsidP="00177B01">
    <w:pPr>
      <w:pStyle w:val="Footer"/>
      <w:ind w:left="-284" w:right="-284"/>
      <w:jc w:val="center"/>
    </w:pPr>
    <w:sdt>
      <w:sdtPr>
        <w:id w:val="1984879596"/>
        <w:docPartObj>
          <w:docPartGallery w:val="Page Numbers (Bottom of Page)"/>
          <w:docPartUnique/>
        </w:docPartObj>
      </w:sdtPr>
      <w:sdtEndPr/>
      <w:sdtContent>
        <w:sdt>
          <w:sdtPr>
            <w:id w:val="1475486836"/>
            <w:docPartObj>
              <w:docPartGallery w:val="Page Numbers (Top of Page)"/>
              <w:docPartUnique/>
            </w:docPartObj>
          </w:sdtPr>
          <w:sdtEndPr/>
          <w:sdtContent>
            <w:r w:rsidR="00177B01">
              <w:rPr>
                <w:b/>
                <w:bCs/>
              </w:rPr>
              <w:t>Bob Warner | November 2022</w:t>
            </w:r>
            <w:r w:rsidR="00177B01">
              <w:rPr>
                <w:b/>
                <w:bCs/>
              </w:rPr>
              <w:tab/>
            </w:r>
            <w:r w:rsidR="00177B01">
              <w:rPr>
                <w:b/>
                <w:bCs/>
              </w:rPr>
              <w:tab/>
            </w:r>
            <w:r w:rsidR="00177B01">
              <w:rPr>
                <w:b/>
                <w:bCs/>
              </w:rPr>
              <w:tab/>
            </w:r>
            <w:r w:rsidR="00177B01">
              <w:rPr>
                <w:b/>
                <w:bCs/>
              </w:rPr>
              <w:tab/>
            </w:r>
            <w:r w:rsidR="00177B01">
              <w:rPr>
                <w:b/>
                <w:bCs/>
              </w:rPr>
              <w:tab/>
            </w:r>
            <w:r w:rsidR="00177B01">
              <w:rPr>
                <w:b/>
                <w:bCs/>
              </w:rPr>
              <w:tab/>
            </w:r>
            <w:r w:rsidR="00177B01">
              <w:rPr>
                <w:b/>
                <w:bCs/>
              </w:rPr>
              <w:tab/>
            </w:r>
            <w:r w:rsidR="00177B01">
              <w:rPr>
                <w:b/>
                <w:bCs/>
              </w:rPr>
              <w:tab/>
            </w:r>
            <w:r w:rsidR="00177B01">
              <w:rPr>
                <w:b/>
                <w:bCs/>
              </w:rPr>
              <w:tab/>
              <w:t xml:space="preserve"> </w:t>
            </w:r>
            <w:r w:rsidR="00895367">
              <w:t xml:space="preserve">Page </w:t>
            </w:r>
            <w:r w:rsidR="00895367">
              <w:rPr>
                <w:b/>
                <w:bCs/>
                <w:sz w:val="24"/>
                <w:szCs w:val="24"/>
              </w:rPr>
              <w:fldChar w:fldCharType="begin"/>
            </w:r>
            <w:r w:rsidR="00895367">
              <w:rPr>
                <w:b/>
                <w:bCs/>
              </w:rPr>
              <w:instrText xml:space="preserve"> PAGE </w:instrText>
            </w:r>
            <w:r w:rsidR="00895367">
              <w:rPr>
                <w:b/>
                <w:bCs/>
                <w:sz w:val="24"/>
                <w:szCs w:val="24"/>
              </w:rPr>
              <w:fldChar w:fldCharType="separate"/>
            </w:r>
            <w:r w:rsidR="00895367">
              <w:rPr>
                <w:b/>
                <w:bCs/>
                <w:sz w:val="24"/>
                <w:szCs w:val="24"/>
              </w:rPr>
              <w:t>63</w:t>
            </w:r>
            <w:r w:rsidR="00895367">
              <w:rPr>
                <w:b/>
                <w:bCs/>
                <w:sz w:val="24"/>
                <w:szCs w:val="24"/>
              </w:rPr>
              <w:fldChar w:fldCharType="end"/>
            </w:r>
            <w:r w:rsidR="00895367">
              <w:t xml:space="preserve"> of </w:t>
            </w:r>
            <w:r w:rsidR="00895367">
              <w:rPr>
                <w:b/>
                <w:bCs/>
                <w:sz w:val="24"/>
                <w:szCs w:val="24"/>
              </w:rPr>
              <w:fldChar w:fldCharType="begin"/>
            </w:r>
            <w:r w:rsidR="00895367">
              <w:rPr>
                <w:b/>
                <w:bCs/>
              </w:rPr>
              <w:instrText xml:space="preserve"> NUMPAGES  </w:instrText>
            </w:r>
            <w:r w:rsidR="00895367">
              <w:rPr>
                <w:b/>
                <w:bCs/>
                <w:sz w:val="24"/>
                <w:szCs w:val="24"/>
              </w:rPr>
              <w:fldChar w:fldCharType="separate"/>
            </w:r>
            <w:r w:rsidR="00895367">
              <w:rPr>
                <w:b/>
                <w:bCs/>
                <w:sz w:val="24"/>
                <w:szCs w:val="24"/>
              </w:rPr>
              <w:t>67</w:t>
            </w:r>
            <w:r w:rsidR="00895367">
              <w:rPr>
                <w:b/>
                <w:bCs/>
                <w:sz w:val="24"/>
                <w:szCs w:val="24"/>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7911" w14:textId="77777777" w:rsidR="003C70F4" w:rsidRPr="00FC322F" w:rsidRDefault="003C70F4" w:rsidP="00C35791">
    <w:pPr>
      <w:pStyle w:val="Footer"/>
      <w:rPr>
        <w:b/>
      </w:rPr>
    </w:pPr>
    <w:r w:rsidRPr="00FC322F">
      <w:rPr>
        <w:b/>
        <w:noProof/>
        <w:lang w:val="en-AU" w:eastAsia="en-AU"/>
      </w:rPr>
      <w:drawing>
        <wp:inline distT="0" distB="0" distL="0" distR="0" wp14:anchorId="3905791A" wp14:editId="3905791B">
          <wp:extent cx="108000" cy="87480"/>
          <wp:effectExtent l="0" t="0" r="6350" b="8255"/>
          <wp:docPr id="31" name="Picture 31"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848" w14:textId="1304FFBE" w:rsidR="0077613C" w:rsidRDefault="005E302F" w:rsidP="00342181">
    <w:pPr>
      <w:pStyle w:val="Footer"/>
      <w:ind w:left="-284" w:right="-284"/>
      <w:jc w:val="center"/>
    </w:pPr>
    <w:sdt>
      <w:sdtPr>
        <w:id w:val="-996262221"/>
        <w:docPartObj>
          <w:docPartGallery w:val="Page Numbers (Bottom of Page)"/>
          <w:docPartUnique/>
        </w:docPartObj>
      </w:sdtPr>
      <w:sdtEndPr/>
      <w:sdtContent>
        <w:sdt>
          <w:sdtPr>
            <w:id w:val="-1597399527"/>
            <w:docPartObj>
              <w:docPartGallery w:val="Page Numbers (Top of Page)"/>
              <w:docPartUnique/>
            </w:docPartObj>
          </w:sdtPr>
          <w:sdtEndPr/>
          <w:sdtContent>
            <w:r w:rsidR="00342181">
              <w:rPr>
                <w:b/>
                <w:bCs/>
              </w:rPr>
              <w:t>Bob Warner | November 2022</w:t>
            </w:r>
            <w:r w:rsidR="00342181">
              <w:rPr>
                <w:b/>
                <w:bCs/>
              </w:rPr>
              <w:tab/>
            </w:r>
            <w:r w:rsidR="00342181">
              <w:rPr>
                <w:b/>
                <w:bCs/>
              </w:rPr>
              <w:tab/>
            </w:r>
            <w:r w:rsidR="00342181">
              <w:rPr>
                <w:b/>
                <w:bCs/>
              </w:rPr>
              <w:tab/>
            </w:r>
            <w:r w:rsidR="00342181">
              <w:rPr>
                <w:b/>
                <w:bCs/>
              </w:rPr>
              <w:tab/>
            </w:r>
            <w:r w:rsidR="00342181">
              <w:rPr>
                <w:b/>
                <w:bCs/>
              </w:rPr>
              <w:tab/>
            </w:r>
            <w:r w:rsidR="00342181">
              <w:rPr>
                <w:b/>
                <w:bCs/>
              </w:rPr>
              <w:tab/>
            </w:r>
            <w:r w:rsidR="00342181">
              <w:rPr>
                <w:b/>
                <w:bCs/>
              </w:rPr>
              <w:tab/>
            </w:r>
            <w:r w:rsidR="00342181">
              <w:rPr>
                <w:b/>
                <w:bCs/>
              </w:rPr>
              <w:tab/>
            </w:r>
            <w:r w:rsidR="00342181">
              <w:rPr>
                <w:b/>
                <w:bCs/>
              </w:rPr>
              <w:tab/>
              <w:t xml:space="preserve"> </w:t>
            </w:r>
            <w:r w:rsidR="00342181">
              <w:tab/>
            </w:r>
            <w:r w:rsidR="00342181">
              <w:tab/>
            </w:r>
            <w:r w:rsidR="00342181">
              <w:tab/>
            </w:r>
            <w:r w:rsidR="00342181">
              <w:tab/>
            </w:r>
            <w:r w:rsidR="00342181">
              <w:tab/>
            </w:r>
          </w:sdtContent>
        </w:sdt>
      </w:sdtContent>
    </w:sdt>
    <w:r w:rsidR="00544DCC" w:rsidRPr="00E5134E">
      <w:rPr>
        <w:b/>
        <w:bCs/>
        <w:noProof/>
      </w:rPr>
      <mc:AlternateContent>
        <mc:Choice Requires="wps">
          <w:drawing>
            <wp:anchor distT="0" distB="0" distL="114300" distR="114300" simplePos="0" relativeHeight="251650048" behindDoc="0" locked="0" layoutInCell="1" allowOverlap="1" wp14:anchorId="0C5CAF90" wp14:editId="1BB74E9C">
              <wp:simplePos x="0" y="0"/>
              <wp:positionH relativeFrom="margin">
                <wp:posOffset>2333</wp:posOffset>
              </wp:positionH>
              <wp:positionV relativeFrom="paragraph">
                <wp:posOffset>2328855</wp:posOffset>
              </wp:positionV>
              <wp:extent cx="1403985" cy="179705"/>
              <wp:effectExtent l="0" t="0" r="5715" b="1079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79705"/>
                      </a:xfrm>
                      <a:prstGeom prst="rect">
                        <a:avLst/>
                      </a:prstGeom>
                      <a:noFill/>
                      <a:ln w="9525">
                        <a:noFill/>
                        <a:miter lim="800000"/>
                        <a:headEnd/>
                        <a:tailEnd/>
                      </a:ln>
                    </wps:spPr>
                    <wps:txbx>
                      <w:txbxContent>
                        <w:p w14:paraId="55267CEE" w14:textId="77777777" w:rsidR="0077613C" w:rsidRPr="00E5134E" w:rsidRDefault="0077613C" w:rsidP="007C07D2">
                          <w:pPr>
                            <w:spacing w:before="0"/>
                            <w:rPr>
                              <w:b/>
                              <w:bCs/>
                              <w:color w:val="FFFFFF" w:themeColor="background1"/>
                            </w:rPr>
                          </w:pPr>
                          <w:r>
                            <w:rPr>
                              <w:b/>
                              <w:bCs/>
                              <w:color w:val="FFFFFF" w:themeColor="background1"/>
                            </w:rPr>
                            <w:t>Bob Warner | July 2022</w:t>
                          </w:r>
                        </w:p>
                      </w:txbxContent>
                    </wps:txbx>
                    <wps:bodyPr rot="0" vert="horz" wrap="square" lIns="0" tIns="0" rIns="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0C5CAF90" id="_x0000_t202" coordsize="21600,21600" o:spt="202" path="m,l,21600r21600,l21600,xe">
              <v:stroke joinstyle="miter"/>
              <v:path gradientshapeok="t" o:connecttype="rect"/>
            </v:shapetype>
            <v:shape id="_x0000_s1028" type="#_x0000_t202" style="position:absolute;left:0;text-align:left;margin-left:.2pt;margin-top:183.35pt;width:110.55pt;height:14.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" filled="f" stroked="f">
              <v:textbox inset="0,0,0,0">
                <w:txbxContent>
                  <w:p w14:paraId="55267CEE" w14:textId="77777777" w:rsidR="0077613C" w:rsidRPr="00E5134E" w:rsidRDefault="0077613C" w:rsidP="007C07D2">
                    <w:pPr>
                      <w:spacing w:before="0"/>
                      <w:rPr>
                        <w:b/>
                        <w:bCs/>
                        <w:color w:val="FFFFFF" w:themeColor="background1"/>
                      </w:rPr>
                    </w:pPr>
                    <w:r>
                      <w:rPr>
                        <w:b/>
                        <w:bCs/>
                        <w:color w:val="FFFFFF" w:themeColor="background1"/>
                      </w:rPr>
                      <w:t>Bob Warner | July 2022</w:t>
                    </w:r>
                  </w:p>
                </w:txbxContent>
              </v:textbox>
              <w10:wrap anchorx="margin"/>
            </v:shape>
          </w:pict>
        </mc:Fallback>
      </mc:AlternateContent>
    </w:r>
    <w:r w:rsidR="00540D91">
      <w:rPr>
        <w:noProof/>
        <w:szCs w:val="24"/>
        <w:lang w:val="en-AU" w:eastAsia="en-AU"/>
      </w:rPr>
      <w:drawing>
        <wp:anchor distT="0" distB="0" distL="114300" distR="114300" simplePos="0" relativeHeight="251648000" behindDoc="1" locked="0" layoutInCell="1" allowOverlap="1" wp14:anchorId="5644878E" wp14:editId="32A7B7EA">
          <wp:simplePos x="0" y="0"/>
          <wp:positionH relativeFrom="page">
            <wp:align>right</wp:align>
          </wp:positionH>
          <wp:positionV relativeFrom="paragraph">
            <wp:posOffset>-240154</wp:posOffset>
          </wp:positionV>
          <wp:extent cx="10057130" cy="723900"/>
          <wp:effectExtent l="0" t="0" r="0" b="0"/>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89817"/>
                  <a:stretch/>
                </pic:blipFill>
                <pic:spPr bwMode="auto">
                  <a:xfrm>
                    <a:off x="0" y="0"/>
                    <a:ext cx="1005713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314762087"/>
        <w:docPartObj>
          <w:docPartGallery w:val="Page Numbers (Bottom of Page)"/>
          <w:docPartUnique/>
        </w:docPartObj>
      </w:sdtPr>
      <w:sdtEndPr/>
      <w:sdtContent>
        <w:sdt>
          <w:sdtPr>
            <w:id w:val="1150491195"/>
            <w:docPartObj>
              <w:docPartGallery w:val="Page Numbers (Top of Page)"/>
              <w:docPartUnique/>
            </w:docPartObj>
          </w:sdtPr>
          <w:sdtEndPr/>
          <w:sdtContent>
            <w:r w:rsidR="0077613C">
              <w:t xml:space="preserve">Page </w:t>
            </w:r>
            <w:r w:rsidR="0077613C">
              <w:rPr>
                <w:b/>
                <w:bCs/>
                <w:sz w:val="24"/>
                <w:szCs w:val="24"/>
              </w:rPr>
              <w:fldChar w:fldCharType="begin"/>
            </w:r>
            <w:r w:rsidR="0077613C">
              <w:rPr>
                <w:b/>
                <w:bCs/>
              </w:rPr>
              <w:instrText xml:space="preserve"> PAGE </w:instrText>
            </w:r>
            <w:r w:rsidR="0077613C">
              <w:rPr>
                <w:b/>
                <w:bCs/>
                <w:sz w:val="24"/>
                <w:szCs w:val="24"/>
              </w:rPr>
              <w:fldChar w:fldCharType="separate"/>
            </w:r>
            <w:r w:rsidR="0077613C">
              <w:rPr>
                <w:b/>
                <w:bCs/>
                <w:sz w:val="24"/>
                <w:szCs w:val="24"/>
              </w:rPr>
              <w:t>63</w:t>
            </w:r>
            <w:r w:rsidR="0077613C">
              <w:rPr>
                <w:b/>
                <w:bCs/>
                <w:sz w:val="24"/>
                <w:szCs w:val="24"/>
              </w:rPr>
              <w:fldChar w:fldCharType="end"/>
            </w:r>
            <w:r w:rsidR="0077613C">
              <w:t xml:space="preserve"> of </w:t>
            </w:r>
            <w:r w:rsidR="0077613C">
              <w:rPr>
                <w:b/>
                <w:bCs/>
                <w:sz w:val="24"/>
                <w:szCs w:val="24"/>
              </w:rPr>
              <w:fldChar w:fldCharType="begin"/>
            </w:r>
            <w:r w:rsidR="0077613C">
              <w:rPr>
                <w:b/>
                <w:bCs/>
              </w:rPr>
              <w:instrText xml:space="preserve"> NUMPAGES  </w:instrText>
            </w:r>
            <w:r w:rsidR="0077613C">
              <w:rPr>
                <w:b/>
                <w:bCs/>
                <w:sz w:val="24"/>
                <w:szCs w:val="24"/>
              </w:rPr>
              <w:fldChar w:fldCharType="separate"/>
            </w:r>
            <w:r w:rsidR="0077613C">
              <w:rPr>
                <w:b/>
                <w:bCs/>
                <w:sz w:val="24"/>
                <w:szCs w:val="24"/>
              </w:rPr>
              <w:t>67</w:t>
            </w:r>
            <w:r w:rsidR="0077613C">
              <w:rPr>
                <w:b/>
                <w:bCs/>
                <w:sz w:val="24"/>
                <w:szCs w:val="24"/>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7DF0" w14:textId="4B2CF7E8" w:rsidR="00833DAA" w:rsidRDefault="00833DAA" w:rsidP="00342181">
    <w:pPr>
      <w:pStyle w:val="Footer"/>
      <w:ind w:right="-284"/>
      <w:jc w:val="center"/>
    </w:pPr>
    <w:r w:rsidRPr="00E5134E">
      <w:rPr>
        <w:b/>
        <w:bCs/>
        <w:noProof/>
      </w:rPr>
      <mc:AlternateContent>
        <mc:Choice Requires="wps">
          <w:drawing>
            <wp:anchor distT="0" distB="0" distL="114300" distR="114300" simplePos="0" relativeHeight="251654144" behindDoc="0" locked="0" layoutInCell="1" allowOverlap="1" wp14:anchorId="43809FCF" wp14:editId="172F512E">
              <wp:simplePos x="0" y="0"/>
              <wp:positionH relativeFrom="margin">
                <wp:posOffset>2333</wp:posOffset>
              </wp:positionH>
              <wp:positionV relativeFrom="paragraph">
                <wp:posOffset>2328855</wp:posOffset>
              </wp:positionV>
              <wp:extent cx="1403985" cy="179705"/>
              <wp:effectExtent l="0" t="0" r="5715" b="1079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79705"/>
                      </a:xfrm>
                      <a:prstGeom prst="rect">
                        <a:avLst/>
                      </a:prstGeom>
                      <a:noFill/>
                      <a:ln w="9525">
                        <a:noFill/>
                        <a:miter lim="800000"/>
                        <a:headEnd/>
                        <a:tailEnd/>
                      </a:ln>
                    </wps:spPr>
                    <wps:txbx>
                      <w:txbxContent>
                        <w:p w14:paraId="7638857B" w14:textId="77777777" w:rsidR="00833DAA" w:rsidRPr="00E5134E" w:rsidRDefault="00833DAA" w:rsidP="007C07D2">
                          <w:pPr>
                            <w:spacing w:before="0"/>
                            <w:rPr>
                              <w:b/>
                              <w:bCs/>
                              <w:color w:val="FFFFFF" w:themeColor="background1"/>
                            </w:rPr>
                          </w:pPr>
                          <w:r>
                            <w:rPr>
                              <w:b/>
                              <w:bCs/>
                              <w:color w:val="FFFFFF" w:themeColor="background1"/>
                            </w:rPr>
                            <w:t>Bob Warner | July 2022</w:t>
                          </w:r>
                        </w:p>
                      </w:txbxContent>
                    </wps:txbx>
                    <wps:bodyPr rot="0" vert="horz" wrap="square" lIns="0" tIns="0" rIns="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43809FCF" id="_x0000_t202" coordsize="21600,21600" o:spt="202" path="m,l,21600r21600,l21600,xe">
              <v:stroke joinstyle="miter"/>
              <v:path gradientshapeok="t" o:connecttype="rect"/>
            </v:shapetype>
            <v:shape id="_x0000_s1029" type="#_x0000_t202" style="position:absolute;left:0;text-align:left;margin-left:.2pt;margin-top:183.35pt;width:110.55pt;height:14.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" filled="f" stroked="f">
              <v:textbox inset="0,0,0,0">
                <w:txbxContent>
                  <w:p w14:paraId="7638857B" w14:textId="77777777" w:rsidR="00833DAA" w:rsidRPr="00E5134E" w:rsidRDefault="00833DAA" w:rsidP="007C07D2">
                    <w:pPr>
                      <w:spacing w:before="0"/>
                      <w:rPr>
                        <w:b/>
                        <w:bCs/>
                        <w:color w:val="FFFFFF" w:themeColor="background1"/>
                      </w:rPr>
                    </w:pPr>
                    <w:r>
                      <w:rPr>
                        <w:b/>
                        <w:bCs/>
                        <w:color w:val="FFFFFF" w:themeColor="background1"/>
                      </w:rPr>
                      <w:t>Bob Warner | July 2022</w:t>
                    </w:r>
                  </w:p>
                </w:txbxContent>
              </v:textbox>
              <w10:wrap anchorx="margin"/>
            </v:shape>
          </w:pict>
        </mc:Fallback>
      </mc:AlternateContent>
    </w:r>
    <w:sdt>
      <w:sdtPr>
        <w:id w:val="-1013761927"/>
        <w:docPartObj>
          <w:docPartGallery w:val="Page Numbers (Bottom of Page)"/>
          <w:docPartUnique/>
        </w:docPartObj>
      </w:sdtPr>
      <w:sdtEndPr/>
      <w:sdtContent>
        <w:sdt>
          <w:sdtPr>
            <w:id w:val="-810484646"/>
            <w:docPartObj>
              <w:docPartGallery w:val="Page Numbers (Top of Page)"/>
              <w:docPartUnique/>
            </w:docPartObj>
          </w:sdtPr>
          <w:sdtEndPr/>
          <w:sdtContent>
            <w:sdt>
              <w:sdtPr>
                <w:id w:val="582116889"/>
                <w:docPartObj>
                  <w:docPartGallery w:val="Page Numbers (Bottom of Page)"/>
                  <w:docPartUnique/>
                </w:docPartObj>
              </w:sdtPr>
              <w:sdtEndPr/>
              <w:sdtContent>
                <w:sdt>
                  <w:sdtPr>
                    <w:id w:val="400188458"/>
                    <w:docPartObj>
                      <w:docPartGallery w:val="Page Numbers (Top of Page)"/>
                      <w:docPartUnique/>
                    </w:docPartObj>
                  </w:sdtPr>
                  <w:sdtEndPr/>
                  <w:sdtContent>
                    <w:r w:rsidR="00342181">
                      <w:rPr>
                        <w:b/>
                        <w:bCs/>
                      </w:rPr>
                      <w:t>Bob Warner | November 2022</w:t>
                    </w:r>
                    <w:r w:rsidR="00342181">
                      <w:rPr>
                        <w:b/>
                        <w:bCs/>
                      </w:rPr>
                      <w:tab/>
                    </w:r>
                    <w:r w:rsidR="00342181">
                      <w:rPr>
                        <w:b/>
                        <w:bCs/>
                      </w:rPr>
                      <w:tab/>
                    </w:r>
                    <w:r w:rsidR="00342181">
                      <w:rPr>
                        <w:b/>
                        <w:bCs/>
                      </w:rPr>
                      <w:tab/>
                    </w:r>
                    <w:r w:rsidR="00342181">
                      <w:rPr>
                        <w:b/>
                        <w:bCs/>
                      </w:rPr>
                      <w:tab/>
                    </w:r>
                    <w:r w:rsidR="00342181">
                      <w:rPr>
                        <w:b/>
                        <w:bCs/>
                      </w:rPr>
                      <w:tab/>
                    </w:r>
                    <w:r w:rsidR="00342181">
                      <w:rPr>
                        <w:b/>
                        <w:bCs/>
                      </w:rPr>
                      <w:tab/>
                    </w:r>
                    <w:r w:rsidR="00342181">
                      <w:rPr>
                        <w:b/>
                        <w:bCs/>
                      </w:rPr>
                      <w:tab/>
                    </w:r>
                    <w:r w:rsidR="00342181">
                      <w:rPr>
                        <w:b/>
                        <w:bCs/>
                      </w:rPr>
                      <w:tab/>
                    </w:r>
                    <w:r w:rsidR="00342181">
                      <w:rPr>
                        <w:b/>
                        <w:bCs/>
                      </w:rPr>
                      <w:tab/>
                      <w:t xml:space="preserve"> </w:t>
                    </w:r>
                    <w:r w:rsidR="00342181">
                      <w:t xml:space="preserve">Page </w:t>
                    </w:r>
                    <w:r w:rsidR="00342181">
                      <w:rPr>
                        <w:b/>
                        <w:bCs/>
                        <w:sz w:val="24"/>
                        <w:szCs w:val="24"/>
                      </w:rPr>
                      <w:fldChar w:fldCharType="begin"/>
                    </w:r>
                    <w:r w:rsidR="00342181">
                      <w:rPr>
                        <w:b/>
                        <w:bCs/>
                      </w:rPr>
                      <w:instrText xml:space="preserve"> PAGE </w:instrText>
                    </w:r>
                    <w:r w:rsidR="00342181">
                      <w:rPr>
                        <w:b/>
                        <w:bCs/>
                        <w:sz w:val="24"/>
                        <w:szCs w:val="24"/>
                      </w:rPr>
                      <w:fldChar w:fldCharType="separate"/>
                    </w:r>
                    <w:r w:rsidR="00342181">
                      <w:rPr>
                        <w:b/>
                        <w:bCs/>
                        <w:sz w:val="24"/>
                        <w:szCs w:val="24"/>
                      </w:rPr>
                      <w:t>1</w:t>
                    </w:r>
                    <w:r w:rsidR="00342181">
                      <w:rPr>
                        <w:b/>
                        <w:bCs/>
                        <w:sz w:val="24"/>
                        <w:szCs w:val="24"/>
                      </w:rPr>
                      <w:fldChar w:fldCharType="end"/>
                    </w:r>
                    <w:r w:rsidR="00342181">
                      <w:t xml:space="preserve"> of </w:t>
                    </w:r>
                    <w:r w:rsidR="00342181">
                      <w:rPr>
                        <w:b/>
                        <w:bCs/>
                        <w:sz w:val="24"/>
                        <w:szCs w:val="24"/>
                      </w:rPr>
                      <w:fldChar w:fldCharType="begin"/>
                    </w:r>
                    <w:r w:rsidR="00342181">
                      <w:rPr>
                        <w:b/>
                        <w:bCs/>
                      </w:rPr>
                      <w:instrText xml:space="preserve"> NUMPAGES  </w:instrText>
                    </w:r>
                    <w:r w:rsidR="00342181">
                      <w:rPr>
                        <w:b/>
                        <w:bCs/>
                        <w:sz w:val="24"/>
                        <w:szCs w:val="24"/>
                      </w:rPr>
                      <w:fldChar w:fldCharType="separate"/>
                    </w:r>
                    <w:r w:rsidR="00342181">
                      <w:rPr>
                        <w:b/>
                        <w:bCs/>
                        <w:sz w:val="24"/>
                        <w:szCs w:val="24"/>
                      </w:rPr>
                      <w:t>51</w:t>
                    </w:r>
                    <w:r w:rsidR="00342181">
                      <w:rPr>
                        <w:b/>
                        <w:bCs/>
                        <w:sz w:val="24"/>
                        <w:szCs w:val="24"/>
                      </w:rPr>
                      <w:fldChar w:fldCharType="end"/>
                    </w:r>
                  </w:sdtContent>
                </w:sdt>
              </w:sdtContent>
            </w:sdt>
            <w:r w:rsidR="00342181">
              <w:t xml:space="preserve"> </w:t>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5C82" w14:textId="50B0EE8C" w:rsidR="005E3BB8" w:rsidRDefault="005E3BB8" w:rsidP="00957DE8">
    <w:pPr>
      <w:pStyle w:val="Footer"/>
      <w:ind w:right="-284"/>
      <w:jc w:val="center"/>
    </w:pPr>
    <w:r w:rsidRPr="00E5134E">
      <w:rPr>
        <w:b/>
        <w:bCs/>
        <w:noProof/>
      </w:rPr>
      <mc:AlternateContent>
        <mc:Choice Requires="wps">
          <w:drawing>
            <wp:anchor distT="0" distB="0" distL="114300" distR="114300" simplePos="0" relativeHeight="251657216" behindDoc="0" locked="0" layoutInCell="1" allowOverlap="1" wp14:anchorId="4E781434" wp14:editId="0D7F487C">
              <wp:simplePos x="0" y="0"/>
              <wp:positionH relativeFrom="margin">
                <wp:posOffset>2333</wp:posOffset>
              </wp:positionH>
              <wp:positionV relativeFrom="paragraph">
                <wp:posOffset>2328855</wp:posOffset>
              </wp:positionV>
              <wp:extent cx="1403985" cy="179705"/>
              <wp:effectExtent l="0" t="0" r="5715" b="1079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79705"/>
                      </a:xfrm>
                      <a:prstGeom prst="rect">
                        <a:avLst/>
                      </a:prstGeom>
                      <a:noFill/>
                      <a:ln w="9525">
                        <a:noFill/>
                        <a:miter lim="800000"/>
                        <a:headEnd/>
                        <a:tailEnd/>
                      </a:ln>
                    </wps:spPr>
                    <wps:txbx>
                      <w:txbxContent>
                        <w:p w14:paraId="526C357F" w14:textId="77777777" w:rsidR="005E3BB8" w:rsidRPr="00E5134E" w:rsidRDefault="005E3BB8" w:rsidP="007C07D2">
                          <w:pPr>
                            <w:spacing w:before="0"/>
                            <w:rPr>
                              <w:b/>
                              <w:bCs/>
                              <w:color w:val="FFFFFF" w:themeColor="background1"/>
                            </w:rPr>
                          </w:pPr>
                          <w:r>
                            <w:rPr>
                              <w:b/>
                              <w:bCs/>
                              <w:color w:val="FFFFFF" w:themeColor="background1"/>
                            </w:rPr>
                            <w:t>Bob Warner | July 2022</w:t>
                          </w:r>
                        </w:p>
                      </w:txbxContent>
                    </wps:txbx>
                    <wps:bodyPr rot="0" vert="horz" wrap="square" lIns="0" tIns="0" rIns="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4E781434" id="_x0000_t202" coordsize="21600,21600" o:spt="202" path="m,l,21600r21600,l21600,xe">
              <v:stroke joinstyle="miter"/>
              <v:path gradientshapeok="t" o:connecttype="rect"/>
            </v:shapetype>
            <v:shape id="_x0000_s1030" type="#_x0000_t202" style="position:absolute;left:0;text-align:left;margin-left:.2pt;margin-top:183.35pt;width:110.55pt;height:14.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" filled="f" stroked="f">
              <v:textbox inset="0,0,0,0">
                <w:txbxContent>
                  <w:p w14:paraId="526C357F" w14:textId="77777777" w:rsidR="005E3BB8" w:rsidRPr="00E5134E" w:rsidRDefault="005E3BB8" w:rsidP="007C07D2">
                    <w:pPr>
                      <w:spacing w:before="0"/>
                      <w:rPr>
                        <w:b/>
                        <w:bCs/>
                        <w:color w:val="FFFFFF" w:themeColor="background1"/>
                      </w:rPr>
                    </w:pPr>
                    <w:r>
                      <w:rPr>
                        <w:b/>
                        <w:bCs/>
                        <w:color w:val="FFFFFF" w:themeColor="background1"/>
                      </w:rPr>
                      <w:t>Bob Warner | July 2022</w:t>
                    </w:r>
                  </w:p>
                </w:txbxContent>
              </v:textbox>
              <w10:wrap anchorx="margin"/>
            </v:shape>
          </w:pict>
        </mc:Fallback>
      </mc:AlternateContent>
    </w:r>
    <w:sdt>
      <w:sdtPr>
        <w:id w:val="-1479992511"/>
        <w:docPartObj>
          <w:docPartGallery w:val="Page Numbers (Bottom of Page)"/>
          <w:docPartUnique/>
        </w:docPartObj>
      </w:sdtPr>
      <w:sdtEndPr/>
      <w:sdtContent>
        <w:sdt>
          <w:sdtPr>
            <w:id w:val="-667090439"/>
            <w:docPartObj>
              <w:docPartGallery w:val="Page Numbers (Top of Page)"/>
              <w:docPartUnique/>
            </w:docPartObj>
          </w:sdtPr>
          <w:sdtEndPr/>
          <w:sdtContent>
            <w:sdt>
              <w:sdtPr>
                <w:id w:val="227118703"/>
                <w:docPartObj>
                  <w:docPartGallery w:val="Page Numbers (Bottom of Page)"/>
                  <w:docPartUnique/>
                </w:docPartObj>
              </w:sdtPr>
              <w:sdtEndPr/>
              <w:sdtContent>
                <w:sdt>
                  <w:sdtPr>
                    <w:id w:val="-1760371141"/>
                    <w:docPartObj>
                      <w:docPartGallery w:val="Page Numbers (Top of Page)"/>
                      <w:docPartUnique/>
                    </w:docPartObj>
                  </w:sdtPr>
                  <w:sdtEndPr/>
                  <w:sdtContent>
                    <w:r w:rsidR="00957DE8">
                      <w:rPr>
                        <w:b/>
                        <w:bCs/>
                      </w:rPr>
                      <w:t>Bob Warner | November 2022</w:t>
                    </w:r>
                    <w:r w:rsidR="00957DE8">
                      <w:rPr>
                        <w:b/>
                        <w:bCs/>
                      </w:rPr>
                      <w:tab/>
                    </w:r>
                    <w:r w:rsidR="00957DE8">
                      <w:rPr>
                        <w:b/>
                        <w:bCs/>
                      </w:rPr>
                      <w:tab/>
                    </w:r>
                    <w:r w:rsidR="00957DE8">
                      <w:rPr>
                        <w:b/>
                        <w:bCs/>
                      </w:rPr>
                      <w:tab/>
                    </w:r>
                    <w:r w:rsidR="00957DE8">
                      <w:rPr>
                        <w:b/>
                        <w:bCs/>
                      </w:rPr>
                      <w:tab/>
                    </w:r>
                    <w:r w:rsidR="00957DE8">
                      <w:rPr>
                        <w:b/>
                        <w:bCs/>
                      </w:rPr>
                      <w:tab/>
                    </w:r>
                    <w:r w:rsidR="00957DE8">
                      <w:rPr>
                        <w:b/>
                        <w:bCs/>
                      </w:rPr>
                      <w:tab/>
                    </w:r>
                    <w:r w:rsidR="00957DE8">
                      <w:rPr>
                        <w:b/>
                        <w:bCs/>
                      </w:rPr>
                      <w:tab/>
                    </w:r>
                    <w:r w:rsidR="00957DE8">
                      <w:rPr>
                        <w:b/>
                        <w:bCs/>
                      </w:rPr>
                      <w:tab/>
                    </w:r>
                    <w:r w:rsidR="00957DE8">
                      <w:rPr>
                        <w:b/>
                        <w:bCs/>
                      </w:rPr>
                      <w:tab/>
                    </w:r>
                    <w:r w:rsidR="00957DE8">
                      <w:rPr>
                        <w:b/>
                        <w:bCs/>
                      </w:rPr>
                      <w:tab/>
                    </w:r>
                    <w:r w:rsidR="00957DE8">
                      <w:rPr>
                        <w:b/>
                        <w:bCs/>
                      </w:rPr>
                      <w:tab/>
                    </w:r>
                    <w:r w:rsidR="00957DE8">
                      <w:rPr>
                        <w:b/>
                        <w:bCs/>
                      </w:rPr>
                      <w:tab/>
                    </w:r>
                    <w:r w:rsidR="00957DE8">
                      <w:rPr>
                        <w:b/>
                        <w:bCs/>
                      </w:rPr>
                      <w:tab/>
                    </w:r>
                    <w:r w:rsidR="00957DE8">
                      <w:rPr>
                        <w:b/>
                        <w:bCs/>
                      </w:rPr>
                      <w:tab/>
                      <w:t xml:space="preserve"> </w:t>
                    </w:r>
                    <w:r w:rsidR="00957DE8">
                      <w:t xml:space="preserve">Page </w:t>
                    </w:r>
                    <w:r w:rsidR="00957DE8">
                      <w:rPr>
                        <w:b/>
                        <w:bCs/>
                        <w:sz w:val="24"/>
                        <w:szCs w:val="24"/>
                      </w:rPr>
                      <w:fldChar w:fldCharType="begin"/>
                    </w:r>
                    <w:r w:rsidR="00957DE8">
                      <w:rPr>
                        <w:b/>
                        <w:bCs/>
                      </w:rPr>
                      <w:instrText xml:space="preserve"> PAGE </w:instrText>
                    </w:r>
                    <w:r w:rsidR="00957DE8">
                      <w:rPr>
                        <w:b/>
                        <w:bCs/>
                        <w:sz w:val="24"/>
                        <w:szCs w:val="24"/>
                      </w:rPr>
                      <w:fldChar w:fldCharType="separate"/>
                    </w:r>
                    <w:r w:rsidR="00957DE8">
                      <w:rPr>
                        <w:b/>
                        <w:bCs/>
                        <w:sz w:val="24"/>
                        <w:szCs w:val="24"/>
                      </w:rPr>
                      <w:t>1</w:t>
                    </w:r>
                    <w:r w:rsidR="00957DE8">
                      <w:rPr>
                        <w:b/>
                        <w:bCs/>
                        <w:sz w:val="24"/>
                        <w:szCs w:val="24"/>
                      </w:rPr>
                      <w:fldChar w:fldCharType="end"/>
                    </w:r>
                    <w:r w:rsidR="00957DE8">
                      <w:t xml:space="preserve"> of </w:t>
                    </w:r>
                    <w:r w:rsidR="00957DE8">
                      <w:rPr>
                        <w:b/>
                        <w:bCs/>
                        <w:sz w:val="24"/>
                        <w:szCs w:val="24"/>
                      </w:rPr>
                      <w:fldChar w:fldCharType="begin"/>
                    </w:r>
                    <w:r w:rsidR="00957DE8">
                      <w:rPr>
                        <w:b/>
                        <w:bCs/>
                      </w:rPr>
                      <w:instrText xml:space="preserve"> NUMPAGES  </w:instrText>
                    </w:r>
                    <w:r w:rsidR="00957DE8">
                      <w:rPr>
                        <w:b/>
                        <w:bCs/>
                        <w:sz w:val="24"/>
                        <w:szCs w:val="24"/>
                      </w:rPr>
                      <w:fldChar w:fldCharType="separate"/>
                    </w:r>
                    <w:r w:rsidR="00957DE8">
                      <w:rPr>
                        <w:b/>
                        <w:bCs/>
                        <w:sz w:val="24"/>
                        <w:szCs w:val="24"/>
                      </w:rPr>
                      <w:t>51</w:t>
                    </w:r>
                    <w:r w:rsidR="00957DE8">
                      <w:rPr>
                        <w:b/>
                        <w:bCs/>
                        <w:sz w:val="24"/>
                        <w:szCs w:val="24"/>
                      </w:rPr>
                      <w:fldChar w:fldCharType="end"/>
                    </w:r>
                  </w:sdtContent>
                </w:sdt>
              </w:sdtContent>
            </w:sdt>
            <w:r w:rsidR="004C52E2" w:rsidRPr="00E5134E">
              <w:rPr>
                <w:b/>
                <w:bCs/>
                <w:noProof/>
              </w:rPr>
              <mc:AlternateContent>
                <mc:Choice Requires="wps">
                  <w:drawing>
                    <wp:anchor distT="0" distB="0" distL="114300" distR="114300" simplePos="0" relativeHeight="251672576" behindDoc="0" locked="0" layoutInCell="1" allowOverlap="1" wp14:anchorId="6049AF49" wp14:editId="65E8CC63">
                      <wp:simplePos x="0" y="0"/>
                      <wp:positionH relativeFrom="margin">
                        <wp:posOffset>2333</wp:posOffset>
                      </wp:positionH>
                      <wp:positionV relativeFrom="paragraph">
                        <wp:posOffset>2328855</wp:posOffset>
                      </wp:positionV>
                      <wp:extent cx="1403985" cy="179705"/>
                      <wp:effectExtent l="0" t="0" r="5715" b="1079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79705"/>
                              </a:xfrm>
                              <a:prstGeom prst="rect">
                                <a:avLst/>
                              </a:prstGeom>
                              <a:noFill/>
                              <a:ln w="9525">
                                <a:noFill/>
                                <a:miter lim="800000"/>
                                <a:headEnd/>
                                <a:tailEnd/>
                              </a:ln>
                            </wps:spPr>
                            <wps:txbx>
                              <w:txbxContent>
                                <w:p w14:paraId="711BA338" w14:textId="77777777" w:rsidR="004C52E2" w:rsidRPr="00E5134E" w:rsidRDefault="004C52E2" w:rsidP="004C52E2">
                                  <w:pPr>
                                    <w:spacing w:before="0"/>
                                    <w:rPr>
                                      <w:b/>
                                      <w:bCs/>
                                      <w:color w:val="FFFFFF" w:themeColor="background1"/>
                                    </w:rPr>
                                  </w:pPr>
                                  <w:r>
                                    <w:rPr>
                                      <w:b/>
                                      <w:bCs/>
                                      <w:color w:val="FFFFFF" w:themeColor="background1"/>
                                    </w:rPr>
                                    <w:t>Bob Warner | July 2022</w:t>
                                  </w:r>
                                </w:p>
                              </w:txbxContent>
                            </wps:txbx>
                            <wps:bodyPr rot="0" vert="horz" wrap="square" lIns="0" tIns="0" rIns="0" bIns="0" anchor="b" anchorCtr="0">
                              <a:noAutofit/>
                            </wps:bodyPr>
                          </wps:wsp>
                        </a:graphicData>
                      </a:graphic>
                      <wp14:sizeRelH relativeFrom="page">
                        <wp14:pctWidth>0</wp14:pctWidth>
                      </wp14:sizeRelH>
                      <wp14:sizeRelV relativeFrom="page">
                        <wp14:pctHeight>0</wp14:pctHeight>
                      </wp14:sizeRelV>
                    </wp:anchor>
                  </w:drawing>
                </mc:Choice>
                <mc:Fallback>
                  <w:pict>
                    <v:shape w14:anchorId="6049AF49" id="_x0000_s1031" type="#_x0000_t202" style="position:absolute;left:0;text-align:left;margin-left:.2pt;margin-top:183.35pt;width:110.55pt;height:14.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" filled="f" stroked="f">
                      <v:textbox inset="0,0,0,0">
                        <w:txbxContent>
                          <w:p w14:paraId="711BA338" w14:textId="77777777" w:rsidR="004C52E2" w:rsidRPr="00E5134E" w:rsidRDefault="004C52E2" w:rsidP="004C52E2">
                            <w:pPr>
                              <w:spacing w:before="0"/>
                              <w:rPr>
                                <w:b/>
                                <w:bCs/>
                                <w:color w:val="FFFFFF" w:themeColor="background1"/>
                              </w:rPr>
                            </w:pPr>
                            <w:r>
                              <w:rPr>
                                <w:b/>
                                <w:bCs/>
                                <w:color w:val="FFFFFF" w:themeColor="background1"/>
                              </w:rPr>
                              <w:t>Bob Warner | July 2022</w:t>
                            </w:r>
                          </w:p>
                        </w:txbxContent>
                      </v:textbox>
                      <w10:wrap anchorx="margin"/>
                    </v:shape>
                  </w:pict>
                </mc:Fallback>
              </mc:AlternateContent>
            </w:r>
            <w:r w:rsidR="004C52E2">
              <w:rPr>
                <w:noProof/>
                <w:szCs w:val="24"/>
                <w:lang w:val="en-AU" w:eastAsia="en-AU"/>
              </w:rPr>
              <w:drawing>
                <wp:anchor distT="0" distB="0" distL="114300" distR="114300" simplePos="0" relativeHeight="251670528" behindDoc="1" locked="0" layoutInCell="1" allowOverlap="1" wp14:anchorId="0F3DBC44" wp14:editId="05157CC8">
                  <wp:simplePos x="0" y="0"/>
                  <wp:positionH relativeFrom="page">
                    <wp:align>right</wp:align>
                  </wp:positionH>
                  <wp:positionV relativeFrom="paragraph">
                    <wp:posOffset>-240154</wp:posOffset>
                  </wp:positionV>
                  <wp:extent cx="10057130" cy="723900"/>
                  <wp:effectExtent l="0" t="0" r="0" b="0"/>
                  <wp:wrapNone/>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89817"/>
                          <a:stretch/>
                        </pic:blipFill>
                        <pic:spPr bwMode="auto">
                          <a:xfrm>
                            <a:off x="0" y="0"/>
                            <a:ext cx="1005713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1D8D" w14:textId="0BC91069" w:rsidR="005E3BB8" w:rsidRDefault="005E3BB8" w:rsidP="00957DE8">
    <w:pPr>
      <w:pStyle w:val="Footer"/>
      <w:ind w:right="-284"/>
      <w:jc w:val="center"/>
    </w:pPr>
    <w:r w:rsidRPr="00E5134E">
      <w:rPr>
        <w:b/>
        <w:bCs/>
        <w:noProof/>
      </w:rPr>
      <mc:AlternateContent>
        <mc:Choice Requires="wps">
          <w:drawing>
            <wp:anchor distT="0" distB="0" distL="114300" distR="114300" simplePos="0" relativeHeight="251661312" behindDoc="0" locked="0" layoutInCell="1" allowOverlap="1" wp14:anchorId="457E7D20" wp14:editId="1FEC3C2C">
              <wp:simplePos x="0" y="0"/>
              <wp:positionH relativeFrom="margin">
                <wp:posOffset>2333</wp:posOffset>
              </wp:positionH>
              <wp:positionV relativeFrom="paragraph">
                <wp:posOffset>2328855</wp:posOffset>
              </wp:positionV>
              <wp:extent cx="1403985" cy="179705"/>
              <wp:effectExtent l="0" t="0" r="5715" b="1079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79705"/>
                      </a:xfrm>
                      <a:prstGeom prst="rect">
                        <a:avLst/>
                      </a:prstGeom>
                      <a:noFill/>
                      <a:ln w="9525">
                        <a:noFill/>
                        <a:miter lim="800000"/>
                        <a:headEnd/>
                        <a:tailEnd/>
                      </a:ln>
                    </wps:spPr>
                    <wps:txbx>
                      <w:txbxContent>
                        <w:p w14:paraId="38C3BF4C" w14:textId="77777777" w:rsidR="005E3BB8" w:rsidRPr="00E5134E" w:rsidRDefault="005E3BB8" w:rsidP="007C07D2">
                          <w:pPr>
                            <w:spacing w:before="0"/>
                            <w:rPr>
                              <w:b/>
                              <w:bCs/>
                              <w:color w:val="FFFFFF" w:themeColor="background1"/>
                            </w:rPr>
                          </w:pPr>
                          <w:r>
                            <w:rPr>
                              <w:b/>
                              <w:bCs/>
                              <w:color w:val="FFFFFF" w:themeColor="background1"/>
                            </w:rPr>
                            <w:t>Bob Warner | July 2022</w:t>
                          </w:r>
                        </w:p>
                      </w:txbxContent>
                    </wps:txbx>
                    <wps:bodyPr rot="0" vert="horz" wrap="square" lIns="0" tIns="0" rIns="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457E7D20" id="_x0000_t202" coordsize="21600,21600" o:spt="202" path="m,l,21600r21600,l21600,xe">
              <v:stroke joinstyle="miter"/>
              <v:path gradientshapeok="t" o:connecttype="rect"/>
            </v:shapetype>
            <v:shape id="_x0000_s1032" type="#_x0000_t202" style="position:absolute;left:0;text-align:left;margin-left:.2pt;margin-top:183.35pt;width:110.55pt;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" filled="f" stroked="f">
              <v:textbox inset="0,0,0,0">
                <w:txbxContent>
                  <w:p w14:paraId="38C3BF4C" w14:textId="77777777" w:rsidR="005E3BB8" w:rsidRPr="00E5134E" w:rsidRDefault="005E3BB8" w:rsidP="007C07D2">
                    <w:pPr>
                      <w:spacing w:before="0"/>
                      <w:rPr>
                        <w:b/>
                        <w:bCs/>
                        <w:color w:val="FFFFFF" w:themeColor="background1"/>
                      </w:rPr>
                    </w:pPr>
                    <w:r>
                      <w:rPr>
                        <w:b/>
                        <w:bCs/>
                        <w:color w:val="FFFFFF" w:themeColor="background1"/>
                      </w:rPr>
                      <w:t>Bob Warner | July 2022</w:t>
                    </w:r>
                  </w:p>
                </w:txbxContent>
              </v:textbox>
              <w10:wrap anchorx="margin"/>
            </v:shape>
          </w:pict>
        </mc:Fallback>
      </mc:AlternateContent>
    </w:r>
    <w:sdt>
      <w:sdtPr>
        <w:id w:val="-1449926319"/>
        <w:docPartObj>
          <w:docPartGallery w:val="Page Numbers (Bottom of Page)"/>
          <w:docPartUnique/>
        </w:docPartObj>
      </w:sdtPr>
      <w:sdtEndPr/>
      <w:sdtContent>
        <w:sdt>
          <w:sdtPr>
            <w:id w:val="1540618980"/>
            <w:docPartObj>
              <w:docPartGallery w:val="Page Numbers (Top of Page)"/>
              <w:docPartUnique/>
            </w:docPartObj>
          </w:sdtPr>
          <w:sdtEndPr/>
          <w:sdtContent>
            <w:sdt>
              <w:sdtPr>
                <w:id w:val="-1986456039"/>
                <w:docPartObj>
                  <w:docPartGallery w:val="Page Numbers (Bottom of Page)"/>
                  <w:docPartUnique/>
                </w:docPartObj>
              </w:sdtPr>
              <w:sdtEndPr/>
              <w:sdtContent>
                <w:sdt>
                  <w:sdtPr>
                    <w:id w:val="83661857"/>
                    <w:docPartObj>
                      <w:docPartGallery w:val="Page Numbers (Top of Page)"/>
                      <w:docPartUnique/>
                    </w:docPartObj>
                  </w:sdtPr>
                  <w:sdtEndPr/>
                  <w:sdtContent>
                    <w:r w:rsidR="00957DE8">
                      <w:rPr>
                        <w:b/>
                        <w:bCs/>
                      </w:rPr>
                      <w:t>Bob Warner | November 2022</w:t>
                    </w:r>
                    <w:r w:rsidR="00957DE8">
                      <w:rPr>
                        <w:b/>
                        <w:bCs/>
                      </w:rPr>
                      <w:tab/>
                    </w:r>
                    <w:r w:rsidR="00957DE8">
                      <w:rPr>
                        <w:b/>
                        <w:bCs/>
                      </w:rPr>
                      <w:tab/>
                    </w:r>
                    <w:r w:rsidR="00957DE8">
                      <w:rPr>
                        <w:b/>
                        <w:bCs/>
                      </w:rPr>
                      <w:tab/>
                    </w:r>
                    <w:r w:rsidR="00957DE8">
                      <w:rPr>
                        <w:b/>
                        <w:bCs/>
                      </w:rPr>
                      <w:tab/>
                    </w:r>
                    <w:r w:rsidR="00957DE8">
                      <w:rPr>
                        <w:b/>
                        <w:bCs/>
                      </w:rPr>
                      <w:tab/>
                    </w:r>
                    <w:r w:rsidR="00957DE8">
                      <w:rPr>
                        <w:b/>
                        <w:bCs/>
                      </w:rPr>
                      <w:tab/>
                    </w:r>
                    <w:r w:rsidR="00957DE8">
                      <w:rPr>
                        <w:b/>
                        <w:bCs/>
                      </w:rPr>
                      <w:tab/>
                    </w:r>
                    <w:r w:rsidR="00957DE8">
                      <w:rPr>
                        <w:b/>
                        <w:bCs/>
                      </w:rPr>
                      <w:tab/>
                    </w:r>
                    <w:r w:rsidR="00957DE8">
                      <w:rPr>
                        <w:b/>
                        <w:bCs/>
                      </w:rPr>
                      <w:tab/>
                      <w:t xml:space="preserve"> </w:t>
                    </w:r>
                    <w:r w:rsidR="00957DE8">
                      <w:t xml:space="preserve">Page </w:t>
                    </w:r>
                    <w:r w:rsidR="00957DE8">
                      <w:rPr>
                        <w:b/>
                        <w:bCs/>
                        <w:sz w:val="24"/>
                        <w:szCs w:val="24"/>
                      </w:rPr>
                      <w:fldChar w:fldCharType="begin"/>
                    </w:r>
                    <w:r w:rsidR="00957DE8">
                      <w:rPr>
                        <w:b/>
                        <w:bCs/>
                      </w:rPr>
                      <w:instrText xml:space="preserve"> PAGE </w:instrText>
                    </w:r>
                    <w:r w:rsidR="00957DE8">
                      <w:rPr>
                        <w:b/>
                        <w:bCs/>
                        <w:sz w:val="24"/>
                        <w:szCs w:val="24"/>
                      </w:rPr>
                      <w:fldChar w:fldCharType="separate"/>
                    </w:r>
                    <w:r w:rsidR="00957DE8">
                      <w:rPr>
                        <w:b/>
                        <w:bCs/>
                        <w:sz w:val="24"/>
                        <w:szCs w:val="24"/>
                      </w:rPr>
                      <w:t>1</w:t>
                    </w:r>
                    <w:r w:rsidR="00957DE8">
                      <w:rPr>
                        <w:b/>
                        <w:bCs/>
                        <w:sz w:val="24"/>
                        <w:szCs w:val="24"/>
                      </w:rPr>
                      <w:fldChar w:fldCharType="end"/>
                    </w:r>
                    <w:r w:rsidR="00957DE8">
                      <w:t xml:space="preserve"> of </w:t>
                    </w:r>
                    <w:r w:rsidR="00957DE8">
                      <w:rPr>
                        <w:b/>
                        <w:bCs/>
                        <w:sz w:val="24"/>
                        <w:szCs w:val="24"/>
                      </w:rPr>
                      <w:fldChar w:fldCharType="begin"/>
                    </w:r>
                    <w:r w:rsidR="00957DE8">
                      <w:rPr>
                        <w:b/>
                        <w:bCs/>
                      </w:rPr>
                      <w:instrText xml:space="preserve"> NUMPAGES  </w:instrText>
                    </w:r>
                    <w:r w:rsidR="00957DE8">
                      <w:rPr>
                        <w:b/>
                        <w:bCs/>
                        <w:sz w:val="24"/>
                        <w:szCs w:val="24"/>
                      </w:rPr>
                      <w:fldChar w:fldCharType="separate"/>
                    </w:r>
                    <w:r w:rsidR="00957DE8">
                      <w:rPr>
                        <w:b/>
                        <w:bCs/>
                        <w:sz w:val="24"/>
                        <w:szCs w:val="24"/>
                      </w:rPr>
                      <w:t>51</w:t>
                    </w:r>
                    <w:r w:rsidR="00957DE8">
                      <w:rPr>
                        <w:b/>
                        <w:bCs/>
                        <w:sz w:val="24"/>
                        <w:szCs w:val="24"/>
                      </w:rPr>
                      <w:fldChar w:fldCharType="end"/>
                    </w:r>
                  </w:sdtContent>
                </w:sdt>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0522" w14:textId="77777777" w:rsidR="0098469F" w:rsidRPr="008C5A0E" w:rsidRDefault="0098469F" w:rsidP="00D37B04">
      <w:pPr>
        <w:pStyle w:val="Footer"/>
      </w:pPr>
    </w:p>
  </w:footnote>
  <w:footnote w:type="continuationSeparator" w:id="0">
    <w:p w14:paraId="6E1A29CC" w14:textId="77777777" w:rsidR="0098469F" w:rsidRDefault="0098469F" w:rsidP="00D37B04">
      <w:r>
        <w:continuationSeparator/>
      </w:r>
    </w:p>
  </w:footnote>
  <w:footnote w:id="1">
    <w:p w14:paraId="53EB13FF" w14:textId="1F88803B" w:rsidR="0096524C" w:rsidRPr="006C42DB" w:rsidRDefault="0096524C" w:rsidP="006C42DB">
      <w:pPr>
        <w:pStyle w:val="FootnoteText"/>
        <w:spacing w:before="0" w:line="240" w:lineRule="auto"/>
        <w:ind w:left="125" w:hanging="125"/>
        <w:rPr>
          <w:sz w:val="16"/>
          <w:szCs w:val="16"/>
        </w:rPr>
      </w:pPr>
      <w:r w:rsidRPr="006C42DB">
        <w:rPr>
          <w:rStyle w:val="FootnoteReference"/>
          <w:sz w:val="16"/>
          <w:szCs w:val="16"/>
        </w:rPr>
        <w:footnoteRef/>
      </w:r>
      <w:r w:rsidRPr="006C42DB">
        <w:rPr>
          <w:sz w:val="16"/>
          <w:szCs w:val="16"/>
        </w:rPr>
        <w:t xml:space="preserve"> This goal has a single indicator relating to the presence of systems to track and make public allocations for </w:t>
      </w:r>
      <w:hyperlink r:id="rId1" w:tooltip="Gender equality" w:history="1">
        <w:r w:rsidRPr="006C42DB">
          <w:rPr>
            <w:sz w:val="16"/>
            <w:szCs w:val="16"/>
          </w:rPr>
          <w:t>gender equality</w:t>
        </w:r>
      </w:hyperlink>
      <w:r w:rsidRPr="006C42DB">
        <w:rPr>
          <w:sz w:val="16"/>
          <w:szCs w:val="16"/>
        </w:rPr>
        <w:t xml:space="preserve"> and </w:t>
      </w:r>
      <w:hyperlink r:id="rId2" w:tooltip="Women's empowerment" w:history="1">
        <w:r w:rsidRPr="006C42DB">
          <w:rPr>
            <w:sz w:val="16"/>
            <w:szCs w:val="16"/>
          </w:rPr>
          <w:t>women's empowermen</w:t>
        </w:r>
      </w:hyperlink>
      <w:r w:rsidRPr="006C42DB">
        <w:rPr>
          <w:sz w:val="16"/>
          <w:szCs w:val="16"/>
        </w:rPr>
        <w:t>t</w:t>
      </w:r>
      <w:r w:rsidR="003D587F" w:rsidRPr="006C42DB">
        <w:rPr>
          <w:sz w:val="16"/>
          <w:szCs w:val="16"/>
        </w:rPr>
        <w:t>.</w:t>
      </w:r>
    </w:p>
  </w:footnote>
  <w:footnote w:id="2">
    <w:p w14:paraId="5A11889B"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t>
      </w:r>
      <w:r w:rsidRPr="006C42DB">
        <w:rPr>
          <w:rStyle w:val="markedcontent"/>
          <w:sz w:val="16"/>
          <w:szCs w:val="16"/>
        </w:rPr>
        <w:t>OECD-DAC (2006).</w:t>
      </w:r>
    </w:p>
  </w:footnote>
  <w:footnote w:id="3">
    <w:p w14:paraId="6DB2873C" w14:textId="30E1EF33"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t>
      </w:r>
      <w:proofErr w:type="spellStart"/>
      <w:r w:rsidRPr="006C42DB">
        <w:rPr>
          <w:sz w:val="16"/>
          <w:szCs w:val="16"/>
        </w:rPr>
        <w:t>Cangiano</w:t>
      </w:r>
      <w:proofErr w:type="spellEnd"/>
      <w:r w:rsidRPr="006C42DB">
        <w:rPr>
          <w:sz w:val="16"/>
          <w:szCs w:val="16"/>
        </w:rPr>
        <w:t xml:space="preserve">, </w:t>
      </w:r>
      <w:proofErr w:type="spellStart"/>
      <w:r w:rsidRPr="006C42DB">
        <w:rPr>
          <w:sz w:val="16"/>
          <w:szCs w:val="16"/>
        </w:rPr>
        <w:t>Curristine</w:t>
      </w:r>
      <w:proofErr w:type="spellEnd"/>
      <w:r w:rsidRPr="006C42DB">
        <w:rPr>
          <w:sz w:val="16"/>
          <w:szCs w:val="16"/>
        </w:rPr>
        <w:t xml:space="preserve"> </w:t>
      </w:r>
      <w:r w:rsidR="00AA2BD2" w:rsidRPr="006C42DB">
        <w:rPr>
          <w:sz w:val="16"/>
          <w:szCs w:val="16"/>
        </w:rPr>
        <w:t>and</w:t>
      </w:r>
      <w:r w:rsidRPr="006C42DB">
        <w:rPr>
          <w:sz w:val="16"/>
          <w:szCs w:val="16"/>
        </w:rPr>
        <w:t xml:space="preserve"> Lazare, 2013b, pp. 1-2, quoted in IWGMPF op cit.</w:t>
      </w:r>
    </w:p>
  </w:footnote>
  <w:footnote w:id="4">
    <w:p w14:paraId="74FAFC55"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UN Economic and Social Council, 1997.</w:t>
      </w:r>
    </w:p>
  </w:footnote>
  <w:footnote w:id="5">
    <w:p w14:paraId="5BAF4CAD" w14:textId="0CB6C4E6"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The OECD identification of Australian budget support </w:t>
      </w:r>
      <w:r w:rsidR="00D37950" w:rsidRPr="006C42DB">
        <w:rPr>
          <w:sz w:val="16"/>
          <w:szCs w:val="16"/>
        </w:rPr>
        <w:t>is restricted to 2006 to 2019.</w:t>
      </w:r>
    </w:p>
  </w:footnote>
  <w:footnote w:id="6">
    <w:p w14:paraId="1F053A58" w14:textId="77777777" w:rsidR="00AF0070" w:rsidRPr="006C42DB" w:rsidRDefault="00AF0070" w:rsidP="00AF0070">
      <w:pPr>
        <w:pStyle w:val="FootnoteText"/>
        <w:spacing w:before="0"/>
        <w:ind w:left="113" w:hanging="113"/>
        <w:rPr>
          <w:sz w:val="16"/>
          <w:szCs w:val="16"/>
          <w:lang w:val="en-AU"/>
        </w:rPr>
      </w:pPr>
      <w:r w:rsidRPr="006C42DB">
        <w:rPr>
          <w:rStyle w:val="FootnoteReference"/>
          <w:sz w:val="16"/>
          <w:szCs w:val="16"/>
        </w:rPr>
        <w:footnoteRef/>
      </w:r>
      <w:r w:rsidRPr="006C42DB">
        <w:rPr>
          <w:sz w:val="16"/>
          <w:szCs w:val="16"/>
        </w:rPr>
        <w:t xml:space="preserve"> </w:t>
      </w:r>
      <w:r w:rsidRPr="006C42DB">
        <w:rPr>
          <w:sz w:val="16"/>
          <w:szCs w:val="16"/>
          <w:lang w:val="en-AU"/>
        </w:rPr>
        <w:t>Other fiscal support includes deposits into sovereign wealth funds, funds provided to partner governments for technical assistance, and projects implemented using partner government systems.</w:t>
      </w:r>
    </w:p>
  </w:footnote>
  <w:footnote w:id="7">
    <w:p w14:paraId="6F1D762A"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t>
      </w:r>
      <w:hyperlink r:id="rId3" w:history="1">
        <w:r w:rsidRPr="006C42DB">
          <w:rPr>
            <w:rStyle w:val="Hyperlink"/>
            <w:color w:val="0000EE"/>
            <w:sz w:val="16"/>
            <w:szCs w:val="16"/>
          </w:rPr>
          <w:t>World Bank - Development Policy Financing</w:t>
        </w:r>
      </w:hyperlink>
    </w:p>
  </w:footnote>
  <w:footnote w:id="8">
    <w:p w14:paraId="584B29FC" w14:textId="77777777" w:rsidR="003C70F4" w:rsidRPr="006C42DB" w:rsidRDefault="003C70F4" w:rsidP="006C42DB">
      <w:pPr>
        <w:pStyle w:val="FootnoteText"/>
        <w:spacing w:before="0" w:line="240" w:lineRule="auto"/>
        <w:ind w:left="113" w:hanging="113"/>
        <w:rPr>
          <w:sz w:val="16"/>
          <w:szCs w:val="16"/>
        </w:rPr>
      </w:pPr>
      <w:r w:rsidRPr="006C42DB">
        <w:rPr>
          <w:rStyle w:val="FootnoteReference"/>
          <w:sz w:val="16"/>
          <w:szCs w:val="16"/>
        </w:rPr>
        <w:footnoteRef/>
      </w:r>
      <w:r w:rsidRPr="006C42DB">
        <w:rPr>
          <w:sz w:val="16"/>
          <w:szCs w:val="16"/>
        </w:rPr>
        <w:t xml:space="preserve"> </w:t>
      </w:r>
      <w:r w:rsidRPr="006C42DB">
        <w:rPr>
          <w:rFonts w:cstheme="minorHAnsi"/>
          <w:sz w:val="16"/>
          <w:szCs w:val="16"/>
        </w:rPr>
        <w:t>The Development Policy Loan with a Catastrophe Deferred Drawdown Option (Cat DDO) is a contingent financing line that provides immediate liquidity to countries to address shocks related to natural disasters and/or health-related events. It serves as early financing while funds from other sources such as bilateral aid or reconstruction loans are mobilised.</w:t>
      </w:r>
    </w:p>
  </w:footnote>
  <w:footnote w:id="9">
    <w:p w14:paraId="569684C8" w14:textId="77777777" w:rsidR="003C70F4" w:rsidRPr="006C42DB" w:rsidRDefault="003C70F4" w:rsidP="006C42DB">
      <w:pPr>
        <w:pStyle w:val="FootnoteText"/>
        <w:spacing w:before="0" w:line="240" w:lineRule="auto"/>
        <w:ind w:left="113" w:hanging="113"/>
        <w:rPr>
          <w:sz w:val="16"/>
          <w:szCs w:val="16"/>
        </w:rPr>
      </w:pPr>
      <w:r w:rsidRPr="006C42DB">
        <w:rPr>
          <w:rStyle w:val="FootnoteReference"/>
          <w:sz w:val="16"/>
          <w:szCs w:val="16"/>
        </w:rPr>
        <w:footnoteRef/>
      </w:r>
      <w:r w:rsidRPr="006C42DB">
        <w:rPr>
          <w:sz w:val="16"/>
          <w:szCs w:val="16"/>
        </w:rPr>
        <w:t xml:space="preserve"> It is not straightforward to identify PBLs in the information that is publicly available on the ADBs website. In some cases, only 1 of a series of programs appears in the sovereign projects data base, which itself covers only projects processed on or before 17 March 2020.</w:t>
      </w:r>
    </w:p>
  </w:footnote>
  <w:footnote w:id="10">
    <w:p w14:paraId="6770DD7F" w14:textId="77777777" w:rsidR="003C70F4" w:rsidRPr="006C42DB" w:rsidRDefault="003C70F4" w:rsidP="006C42DB">
      <w:pPr>
        <w:spacing w:before="0"/>
        <w:ind w:left="113" w:hanging="113"/>
        <w:rPr>
          <w:sz w:val="16"/>
          <w:szCs w:val="16"/>
        </w:rPr>
      </w:pPr>
      <w:r w:rsidRPr="006C42DB">
        <w:rPr>
          <w:rStyle w:val="FootnoteReference"/>
          <w:sz w:val="16"/>
          <w:szCs w:val="16"/>
        </w:rPr>
        <w:footnoteRef/>
      </w:r>
      <w:r w:rsidRPr="006C42DB">
        <w:rPr>
          <w:sz w:val="16"/>
          <w:szCs w:val="16"/>
        </w:rPr>
        <w:t xml:space="preserve"> In 2019, 65 per cent of World Bank (IDA and IBRD) projects were gender tagged: as were 42 per cent of IFC advisory services and 10 per cent of IFC investment services (World Bank 2021).</w:t>
      </w:r>
    </w:p>
    <w:p w14:paraId="6FEE401A" w14:textId="77777777" w:rsidR="003C70F4" w:rsidRPr="006C42DB" w:rsidRDefault="003C70F4" w:rsidP="006C42DB">
      <w:pPr>
        <w:pStyle w:val="FootnoteText"/>
        <w:spacing w:before="0" w:line="240" w:lineRule="auto"/>
        <w:ind w:left="0" w:firstLine="0"/>
        <w:rPr>
          <w:sz w:val="16"/>
          <w:szCs w:val="16"/>
        </w:rPr>
      </w:pPr>
    </w:p>
  </w:footnote>
  <w:footnote w:id="11">
    <w:p w14:paraId="221E2606"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IMF 2022</w:t>
      </w:r>
    </w:p>
  </w:footnote>
  <w:footnote w:id="12">
    <w:p w14:paraId="79A58254"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Examples are </w:t>
      </w:r>
      <w:proofErr w:type="spellStart"/>
      <w:r w:rsidRPr="006C42DB">
        <w:rPr>
          <w:sz w:val="16"/>
          <w:szCs w:val="16"/>
        </w:rPr>
        <w:t>Stotsky</w:t>
      </w:r>
      <w:proofErr w:type="spellEnd"/>
      <w:r w:rsidRPr="006C42DB">
        <w:rPr>
          <w:sz w:val="16"/>
          <w:szCs w:val="16"/>
        </w:rPr>
        <w:t xml:space="preserve"> 2006 and 2016 and </w:t>
      </w:r>
      <w:proofErr w:type="spellStart"/>
      <w:r w:rsidRPr="006C42DB">
        <w:rPr>
          <w:sz w:val="16"/>
          <w:szCs w:val="16"/>
        </w:rPr>
        <w:t>Tamoya</w:t>
      </w:r>
      <w:proofErr w:type="spellEnd"/>
      <w:r w:rsidRPr="006C42DB">
        <w:rPr>
          <w:sz w:val="16"/>
          <w:szCs w:val="16"/>
        </w:rPr>
        <w:t xml:space="preserve"> et al 2016. </w:t>
      </w:r>
    </w:p>
  </w:footnote>
  <w:footnote w:id="13">
    <w:p w14:paraId="5D85BBA9" w14:textId="0DD8B739"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World Bank presentation at the 2021 Friends of Pacific Budget Support </w:t>
      </w:r>
      <w:r w:rsidR="000B13F5" w:rsidRPr="006C42DB">
        <w:rPr>
          <w:sz w:val="16"/>
          <w:szCs w:val="16"/>
        </w:rPr>
        <w:t>meeting</w:t>
      </w:r>
    </w:p>
  </w:footnote>
  <w:footnote w:id="14">
    <w:p w14:paraId="6E7D3901" w14:textId="2E171600" w:rsidR="003C70F4" w:rsidRPr="006C42DB" w:rsidRDefault="003C70F4" w:rsidP="006C42DB">
      <w:pPr>
        <w:pStyle w:val="FootnoteText"/>
        <w:spacing w:before="0" w:line="240" w:lineRule="auto"/>
        <w:ind w:left="142" w:hanging="142"/>
        <w:rPr>
          <w:sz w:val="16"/>
          <w:szCs w:val="16"/>
        </w:rPr>
      </w:pPr>
      <w:r w:rsidRPr="006C42DB">
        <w:rPr>
          <w:rStyle w:val="FootnoteReference"/>
          <w:sz w:val="16"/>
          <w:szCs w:val="16"/>
        </w:rPr>
        <w:footnoteRef/>
      </w:r>
      <w:r w:rsidRPr="006C42DB">
        <w:rPr>
          <w:sz w:val="16"/>
          <w:szCs w:val="16"/>
        </w:rPr>
        <w:t xml:space="preserve"> The coverage of World Bank operations in this exercise is reasonably exhaustive but it is not as easy to identify ADB budget operations from the publicly available data. There may </w:t>
      </w:r>
      <w:r w:rsidR="007D1500" w:rsidRPr="006C42DB">
        <w:rPr>
          <w:sz w:val="16"/>
          <w:szCs w:val="16"/>
        </w:rPr>
        <w:t xml:space="preserve">be </w:t>
      </w:r>
      <w:r w:rsidRPr="006C42DB">
        <w:rPr>
          <w:sz w:val="16"/>
          <w:szCs w:val="16"/>
        </w:rPr>
        <w:t>omissions.</w:t>
      </w:r>
    </w:p>
  </w:footnote>
  <w:footnote w:id="15">
    <w:p w14:paraId="5500C9CE" w14:textId="77777777" w:rsidR="003C70F4" w:rsidRPr="006C42DB" w:rsidRDefault="003C70F4" w:rsidP="006C42DB">
      <w:pPr>
        <w:pStyle w:val="FootnoteText"/>
        <w:spacing w:before="0" w:line="240" w:lineRule="auto"/>
        <w:ind w:left="142" w:hanging="142"/>
        <w:rPr>
          <w:sz w:val="16"/>
          <w:szCs w:val="16"/>
        </w:rPr>
      </w:pPr>
      <w:r w:rsidRPr="006C42DB">
        <w:rPr>
          <w:rStyle w:val="FootnoteReference"/>
          <w:sz w:val="16"/>
          <w:szCs w:val="16"/>
        </w:rPr>
        <w:footnoteRef/>
      </w:r>
      <w:r w:rsidRPr="006C42DB">
        <w:rPr>
          <w:sz w:val="16"/>
          <w:szCs w:val="16"/>
        </w:rPr>
        <w:t xml:space="preserve"> The ADB’s database identified just over 400 sovereign projects involving PICs and Timor-Leste, and 33 of these were grants and loans classified to the public sector management sector, assumed to be policy-based operations.</w:t>
      </w:r>
    </w:p>
  </w:footnote>
  <w:footnote w:id="16">
    <w:p w14:paraId="1A4ADA26"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Welham et al 2018.</w:t>
      </w:r>
    </w:p>
  </w:footnote>
  <w:footnote w:id="17">
    <w:p w14:paraId="449FB660" w14:textId="0BD15D24"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PIF</w:t>
      </w:r>
      <w:r w:rsidR="00E06DEF">
        <w:rPr>
          <w:sz w:val="16"/>
          <w:szCs w:val="16"/>
        </w:rPr>
        <w:t xml:space="preserve"> Secretariat</w:t>
      </w:r>
      <w:r w:rsidRPr="006C42DB">
        <w:rPr>
          <w:sz w:val="16"/>
          <w:szCs w:val="16"/>
        </w:rPr>
        <w:t xml:space="preserve"> 2020</w:t>
      </w:r>
    </w:p>
  </w:footnote>
  <w:footnote w:id="18">
    <w:p w14:paraId="034292FE" w14:textId="5D55B6B1" w:rsidR="006C42DB" w:rsidRPr="006C42DB" w:rsidRDefault="006C42DB" w:rsidP="006C42DB">
      <w:pPr>
        <w:pStyle w:val="FootnoteText"/>
        <w:spacing w:before="0"/>
        <w:rPr>
          <w:sz w:val="16"/>
          <w:szCs w:val="16"/>
          <w:lang w:val="en-AU"/>
        </w:rPr>
      </w:pPr>
      <w:r w:rsidRPr="006C42DB">
        <w:rPr>
          <w:rStyle w:val="FootnoteReference"/>
          <w:sz w:val="16"/>
          <w:szCs w:val="16"/>
        </w:rPr>
        <w:footnoteRef/>
      </w:r>
      <w:r w:rsidRPr="006C42DB">
        <w:rPr>
          <w:sz w:val="16"/>
          <w:szCs w:val="16"/>
        </w:rPr>
        <w:t xml:space="preserve"> </w:t>
      </w:r>
      <w:proofErr w:type="spellStart"/>
      <w:r w:rsidRPr="006C42DB">
        <w:rPr>
          <w:sz w:val="16"/>
          <w:szCs w:val="16"/>
        </w:rPr>
        <w:t>Stotsky</w:t>
      </w:r>
      <w:proofErr w:type="spellEnd"/>
      <w:r w:rsidRPr="006C42DB">
        <w:rPr>
          <w:sz w:val="16"/>
          <w:szCs w:val="16"/>
        </w:rPr>
        <w:t xml:space="preserve"> 2006, Costa and Sharp 2011, </w:t>
      </w:r>
      <w:proofErr w:type="spellStart"/>
      <w:r w:rsidRPr="006C42DB">
        <w:rPr>
          <w:sz w:val="16"/>
          <w:szCs w:val="16"/>
        </w:rPr>
        <w:t>Combaz</w:t>
      </w:r>
      <w:proofErr w:type="spellEnd"/>
      <w:r w:rsidRPr="006C42DB">
        <w:rPr>
          <w:sz w:val="16"/>
          <w:szCs w:val="16"/>
        </w:rPr>
        <w:t xml:space="preserve"> 2013a and 2013b</w:t>
      </w:r>
      <w:r w:rsidR="00FD6906">
        <w:rPr>
          <w:sz w:val="16"/>
          <w:szCs w:val="16"/>
        </w:rPr>
        <w:t>,</w:t>
      </w:r>
      <w:r w:rsidRPr="006C42DB">
        <w:rPr>
          <w:sz w:val="16"/>
          <w:szCs w:val="16"/>
        </w:rPr>
        <w:t xml:space="preserve"> UN Women 2016, </w:t>
      </w:r>
      <w:proofErr w:type="spellStart"/>
      <w:r w:rsidRPr="006C42DB">
        <w:rPr>
          <w:sz w:val="16"/>
          <w:szCs w:val="16"/>
        </w:rPr>
        <w:t>Tamoya</w:t>
      </w:r>
      <w:proofErr w:type="spellEnd"/>
      <w:r w:rsidRPr="006C42DB">
        <w:rPr>
          <w:sz w:val="16"/>
          <w:szCs w:val="16"/>
        </w:rPr>
        <w:t xml:space="preserve"> et al 2016, Chakraborty 2016</w:t>
      </w:r>
    </w:p>
  </w:footnote>
  <w:footnote w:id="19">
    <w:p w14:paraId="3E246129"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Sharp 2003</w:t>
      </w:r>
    </w:p>
  </w:footnote>
  <w:footnote w:id="20">
    <w:p w14:paraId="06FC10DD" w14:textId="77777777" w:rsidR="000B725F" w:rsidRPr="006C42DB" w:rsidRDefault="000B725F" w:rsidP="000B725F">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t>
      </w:r>
      <w:proofErr w:type="spellStart"/>
      <w:r w:rsidRPr="006C42DB">
        <w:rPr>
          <w:sz w:val="16"/>
          <w:szCs w:val="16"/>
        </w:rPr>
        <w:t>Tamoya</w:t>
      </w:r>
      <w:proofErr w:type="spellEnd"/>
      <w:r w:rsidRPr="006C42DB">
        <w:rPr>
          <w:sz w:val="16"/>
          <w:szCs w:val="16"/>
        </w:rPr>
        <w:t xml:space="preserve"> et al 2016</w:t>
      </w:r>
    </w:p>
  </w:footnote>
  <w:footnote w:id="21">
    <w:p w14:paraId="0F1FAB94" w14:textId="77777777" w:rsidR="000B725F" w:rsidRPr="006C42DB" w:rsidRDefault="000B725F" w:rsidP="000B725F">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Richard Allen et al. 2020</w:t>
      </w:r>
    </w:p>
  </w:footnote>
  <w:footnote w:id="22">
    <w:p w14:paraId="4D061692" w14:textId="77777777" w:rsidR="000B725F" w:rsidRPr="006C42DB" w:rsidRDefault="000B725F" w:rsidP="000B725F">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t>
      </w:r>
      <w:proofErr w:type="spellStart"/>
      <w:r w:rsidRPr="006C42DB">
        <w:rPr>
          <w:sz w:val="16"/>
          <w:szCs w:val="16"/>
        </w:rPr>
        <w:t>Tamoya</w:t>
      </w:r>
      <w:proofErr w:type="spellEnd"/>
      <w:r w:rsidRPr="006C42DB">
        <w:rPr>
          <w:sz w:val="16"/>
          <w:szCs w:val="16"/>
        </w:rPr>
        <w:t xml:space="preserve"> et al 2016</w:t>
      </w:r>
    </w:p>
  </w:footnote>
  <w:footnote w:id="23">
    <w:p w14:paraId="3664B92E" w14:textId="77777777" w:rsidR="009A6228" w:rsidRPr="006C42DB" w:rsidRDefault="009A6228"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Interestingly, the 2020 ADB Policy Based Loan includes actions relating to the introduction of GRB in the health sector.</w:t>
      </w:r>
    </w:p>
  </w:footnote>
  <w:footnote w:id="24">
    <w:p w14:paraId="095ECE61"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t>
      </w:r>
      <w:proofErr w:type="spellStart"/>
      <w:r w:rsidRPr="006C42DB">
        <w:rPr>
          <w:sz w:val="16"/>
          <w:szCs w:val="16"/>
        </w:rPr>
        <w:t>Stotsky</w:t>
      </w:r>
      <w:proofErr w:type="spellEnd"/>
      <w:r w:rsidRPr="006C42DB">
        <w:rPr>
          <w:sz w:val="16"/>
          <w:szCs w:val="16"/>
        </w:rPr>
        <w:t xml:space="preserve"> 2006</w:t>
      </w:r>
    </w:p>
  </w:footnote>
  <w:footnote w:id="25">
    <w:p w14:paraId="1924FE7B" w14:textId="4E77543D" w:rsidR="00C95EC6" w:rsidRPr="006C42DB" w:rsidRDefault="00C95EC6" w:rsidP="006C42DB">
      <w:pPr>
        <w:pStyle w:val="FootnoteText"/>
        <w:spacing w:before="0"/>
        <w:rPr>
          <w:sz w:val="16"/>
          <w:szCs w:val="16"/>
        </w:rPr>
      </w:pPr>
      <w:r w:rsidRPr="006C42DB">
        <w:rPr>
          <w:rStyle w:val="FootnoteReference"/>
          <w:sz w:val="16"/>
          <w:szCs w:val="16"/>
        </w:rPr>
        <w:footnoteRef/>
      </w:r>
      <w:r w:rsidRPr="006C42DB">
        <w:rPr>
          <w:sz w:val="16"/>
          <w:szCs w:val="16"/>
        </w:rPr>
        <w:t xml:space="preserve"> </w:t>
      </w:r>
      <w:r w:rsidR="006E20CB">
        <w:rPr>
          <w:sz w:val="16"/>
          <w:szCs w:val="16"/>
        </w:rPr>
        <w:t>Oxfam</w:t>
      </w:r>
      <w:r w:rsidRPr="006C42DB">
        <w:rPr>
          <w:sz w:val="16"/>
          <w:szCs w:val="16"/>
        </w:rPr>
        <w:t xml:space="preserve"> 2018</w:t>
      </w:r>
    </w:p>
  </w:footnote>
  <w:footnote w:id="26">
    <w:p w14:paraId="619B3020" w14:textId="57411B46" w:rsidR="00262407" w:rsidRPr="006C42DB" w:rsidRDefault="00262407" w:rsidP="006C42DB">
      <w:pPr>
        <w:pStyle w:val="FootnoteText"/>
        <w:spacing w:before="0"/>
        <w:ind w:left="142" w:hanging="142"/>
        <w:rPr>
          <w:sz w:val="16"/>
          <w:szCs w:val="16"/>
          <w:lang w:val="en-AU"/>
        </w:rPr>
      </w:pPr>
      <w:r w:rsidRPr="006C42DB">
        <w:rPr>
          <w:rStyle w:val="FootnoteReference"/>
          <w:sz w:val="16"/>
          <w:szCs w:val="16"/>
        </w:rPr>
        <w:footnoteRef/>
      </w:r>
      <w:r w:rsidRPr="006C42DB">
        <w:rPr>
          <w:sz w:val="16"/>
          <w:szCs w:val="16"/>
        </w:rPr>
        <w:t xml:space="preserve"> PGEP is part of the broader DFAT-funded Pacific Women Shaping Pacific Development Program, which is being replaced by the Pacific Women Lead Program to be implemented by the Secretariat of the Pacific Community (SPC).</w:t>
      </w:r>
    </w:p>
  </w:footnote>
  <w:footnote w:id="27">
    <w:p w14:paraId="55AEF8EA" w14:textId="6CBAB3EF"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t>
      </w:r>
      <w:hyperlink r:id="rId4" w:history="1">
        <w:r w:rsidR="006D44BF" w:rsidRPr="006C42DB">
          <w:rPr>
            <w:rStyle w:val="Hyperlink"/>
            <w:color w:val="0000EE"/>
            <w:sz w:val="16"/>
            <w:szCs w:val="16"/>
          </w:rPr>
          <w:t>Supplementary Framework for Assessing Gender Responsive Public Financial Management</w:t>
        </w:r>
      </w:hyperlink>
      <w:r w:rsidRPr="006C42DB">
        <w:rPr>
          <w:sz w:val="16"/>
          <w:szCs w:val="16"/>
        </w:rPr>
        <w:t xml:space="preserve"> </w:t>
      </w:r>
    </w:p>
  </w:footnote>
  <w:footnote w:id="28">
    <w:p w14:paraId="34901B6D"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International Working Group on Managing Public Finance (IWGMPF). 2020</w:t>
      </w:r>
    </w:p>
  </w:footnote>
  <w:footnote w:id="29">
    <w:p w14:paraId="1778E616"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World Bank 2013</w:t>
      </w:r>
    </w:p>
  </w:footnote>
  <w:footnote w:id="30">
    <w:p w14:paraId="141FAA65"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World Bank 2013</w:t>
      </w:r>
    </w:p>
  </w:footnote>
  <w:footnote w:id="31">
    <w:p w14:paraId="1DD89459" w14:textId="77777777"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Allen et al 2020</w:t>
      </w:r>
    </w:p>
  </w:footnote>
  <w:footnote w:id="32">
    <w:p w14:paraId="18BFE1E4" w14:textId="77777777" w:rsidR="003C70F4" w:rsidRPr="006C42DB" w:rsidRDefault="003C70F4" w:rsidP="006C42DB">
      <w:pPr>
        <w:pStyle w:val="FootnoteText"/>
        <w:spacing w:before="0" w:line="240" w:lineRule="auto"/>
        <w:ind w:left="142" w:hanging="142"/>
        <w:rPr>
          <w:sz w:val="16"/>
          <w:szCs w:val="16"/>
        </w:rPr>
      </w:pPr>
      <w:r w:rsidRPr="006C42DB">
        <w:rPr>
          <w:rStyle w:val="FootnoteReference"/>
          <w:sz w:val="16"/>
          <w:szCs w:val="16"/>
        </w:rPr>
        <w:footnoteRef/>
      </w:r>
      <w:r w:rsidRPr="006C42DB">
        <w:rPr>
          <w:sz w:val="16"/>
          <w:szCs w:val="16"/>
        </w:rPr>
        <w:t xml:space="preserve"> Analysis presented in Haque et al (2012) indicates that the PFM performance of PICs lags countries with similar income levels The strongest explanation is population size because of its implications for capacity.</w:t>
      </w:r>
    </w:p>
  </w:footnote>
  <w:footnote w:id="33">
    <w:p w14:paraId="1449AD37" w14:textId="613E2FFE" w:rsidR="003C70F4" w:rsidRPr="006C42DB" w:rsidRDefault="003C70F4"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This judgment was echoed more recently by the IMF’s 2020 review of the PIC reform strategy and the support provided by PFTAC</w:t>
      </w:r>
      <w:r w:rsidR="00AB6E61" w:rsidRPr="006C42DB">
        <w:rPr>
          <w:sz w:val="16"/>
          <w:szCs w:val="16"/>
        </w:rPr>
        <w:t xml:space="preserve"> (Allen et al 2020).</w:t>
      </w:r>
    </w:p>
  </w:footnote>
  <w:footnote w:id="34">
    <w:p w14:paraId="09AB56E9" w14:textId="7ED73F0C" w:rsidR="00BF6EA1" w:rsidRPr="006C42DB" w:rsidRDefault="00BF6EA1" w:rsidP="006C42DB">
      <w:pPr>
        <w:pStyle w:val="FootnoteText"/>
        <w:spacing w:before="0"/>
        <w:rPr>
          <w:sz w:val="16"/>
          <w:szCs w:val="16"/>
        </w:rPr>
      </w:pPr>
      <w:r w:rsidRPr="006C42DB">
        <w:rPr>
          <w:rStyle w:val="FootnoteReference"/>
          <w:sz w:val="16"/>
          <w:szCs w:val="16"/>
        </w:rPr>
        <w:footnoteRef/>
      </w:r>
      <w:r w:rsidRPr="006C42DB">
        <w:rPr>
          <w:sz w:val="16"/>
          <w:szCs w:val="16"/>
        </w:rPr>
        <w:t xml:space="preserve"> While GRB may be strongly aligned with the mandates of the women’s machineries, the literature suggests that it may struggle to drive the necessary PFM system changes.</w:t>
      </w:r>
    </w:p>
  </w:footnote>
  <w:footnote w:id="35">
    <w:p w14:paraId="33737B37" w14:textId="77777777" w:rsidR="00960DFB" w:rsidRPr="006C42DB" w:rsidRDefault="00960DFB" w:rsidP="006C42DB">
      <w:pPr>
        <w:pStyle w:val="FootnoteText"/>
        <w:spacing w:before="0" w:line="240" w:lineRule="auto"/>
        <w:ind w:left="142" w:hanging="142"/>
        <w:rPr>
          <w:sz w:val="16"/>
          <w:szCs w:val="16"/>
        </w:rPr>
      </w:pPr>
      <w:r w:rsidRPr="006C42DB">
        <w:rPr>
          <w:rStyle w:val="FootnoteReference"/>
          <w:sz w:val="16"/>
          <w:szCs w:val="16"/>
        </w:rPr>
        <w:footnoteRef/>
      </w:r>
      <w:r w:rsidRPr="006C42DB">
        <w:rPr>
          <w:sz w:val="16"/>
          <w:szCs w:val="16"/>
        </w:rPr>
        <w:t xml:space="preserve"> Costa M. and Rhonda Sharp. 2011. The Pacific Island Countries: Fiji, Papua New Guinea (PNG), </w:t>
      </w:r>
      <w:proofErr w:type="spellStart"/>
      <w:r w:rsidRPr="006C42DB">
        <w:rPr>
          <w:sz w:val="16"/>
          <w:szCs w:val="16"/>
        </w:rPr>
        <w:t>Saamoa</w:t>
      </w:r>
      <w:proofErr w:type="spellEnd"/>
      <w:r w:rsidRPr="006C42DB">
        <w:rPr>
          <w:sz w:val="16"/>
          <w:szCs w:val="16"/>
        </w:rPr>
        <w:t>, Solomon Islands, Vanuatu and Tuvalu, Gender Responsive Budgeting in the Asia Pacific Region</w:t>
      </w:r>
    </w:p>
  </w:footnote>
  <w:footnote w:id="36">
    <w:p w14:paraId="704ACCA9" w14:textId="77777777" w:rsidR="00960DFB" w:rsidRPr="006C42DB" w:rsidRDefault="00960DFB" w:rsidP="006C42DB">
      <w:pPr>
        <w:spacing w:before="0"/>
        <w:ind w:left="142" w:hanging="142"/>
        <w:rPr>
          <w:sz w:val="16"/>
          <w:szCs w:val="16"/>
        </w:rPr>
      </w:pPr>
      <w:r w:rsidRPr="006C42DB">
        <w:rPr>
          <w:rStyle w:val="FootnoteReference"/>
          <w:sz w:val="16"/>
          <w:szCs w:val="16"/>
        </w:rPr>
        <w:footnoteRef/>
      </w:r>
      <w:r w:rsidRPr="006C42DB">
        <w:rPr>
          <w:sz w:val="16"/>
          <w:szCs w:val="16"/>
        </w:rPr>
        <w:t xml:space="preserve"> Country level initiatives in Fiji were paralleled by regional efforts: the Revised Pacific Platform for Action on Advancement of Women and Gender Equality 2005‐2015 recommended the adoption of gender-responsive budgeting, noting the importance of local conditions in shaping and sustaining the process of mainstreaming gender perspectives into budgeting policy beyond the period of a pilot.</w:t>
      </w:r>
    </w:p>
    <w:p w14:paraId="009A6DE1" w14:textId="77777777" w:rsidR="00960DFB" w:rsidRPr="006C42DB" w:rsidRDefault="00960DFB" w:rsidP="006C42DB">
      <w:pPr>
        <w:pStyle w:val="FootnoteText"/>
        <w:spacing w:before="0" w:line="240" w:lineRule="auto"/>
        <w:ind w:left="0" w:firstLine="0"/>
        <w:rPr>
          <w:sz w:val="16"/>
          <w:szCs w:val="16"/>
        </w:rPr>
      </w:pPr>
    </w:p>
  </w:footnote>
  <w:footnote w:id="37">
    <w:p w14:paraId="3F75F53B" w14:textId="77777777" w:rsidR="00960DFB" w:rsidRPr="006C42DB" w:rsidRDefault="00960DFB"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At this point in time, the assessment results have not been published on the PEFA website.</w:t>
      </w:r>
    </w:p>
  </w:footnote>
  <w:footnote w:id="38">
    <w:p w14:paraId="2B4D9D85" w14:textId="77777777" w:rsidR="00960DFB" w:rsidRPr="006C42DB" w:rsidRDefault="00960DFB" w:rsidP="006C42DB">
      <w:pPr>
        <w:spacing w:before="0"/>
        <w:ind w:left="142" w:hanging="142"/>
        <w:rPr>
          <w:sz w:val="16"/>
          <w:szCs w:val="16"/>
        </w:rPr>
      </w:pPr>
      <w:r w:rsidRPr="006C42DB">
        <w:rPr>
          <w:rStyle w:val="FootnoteReference"/>
          <w:sz w:val="16"/>
          <w:szCs w:val="16"/>
        </w:rPr>
        <w:footnoteRef/>
      </w:r>
      <w:r w:rsidRPr="006C42DB">
        <w:rPr>
          <w:sz w:val="16"/>
          <w:szCs w:val="16"/>
        </w:rPr>
        <w:t xml:space="preserve"> The Standing Orders of 2019 of the Parliament of the Republic of Fiji states: ‘Where a committee conducts an activity listed in clause (1), the committee shall ensure that full consideration will be given to the principle of gender equality </w:t>
      </w:r>
      <w:proofErr w:type="gramStart"/>
      <w:r w:rsidRPr="006C42DB">
        <w:rPr>
          <w:sz w:val="16"/>
          <w:szCs w:val="16"/>
        </w:rPr>
        <w:t>so as to</w:t>
      </w:r>
      <w:proofErr w:type="gramEnd"/>
      <w:r w:rsidRPr="006C42DB">
        <w:rPr>
          <w:sz w:val="16"/>
          <w:szCs w:val="16"/>
        </w:rPr>
        <w:t xml:space="preserve"> ensure all matters are considered with regard to the impact and benefit on both men and women equally.’</w:t>
      </w:r>
    </w:p>
    <w:p w14:paraId="5BA0C863" w14:textId="77777777" w:rsidR="00960DFB" w:rsidRPr="006C42DB" w:rsidRDefault="00960DFB" w:rsidP="006C42DB">
      <w:pPr>
        <w:pStyle w:val="FootnoteText"/>
        <w:spacing w:before="0" w:line="240" w:lineRule="auto"/>
        <w:ind w:left="0" w:firstLine="0"/>
        <w:rPr>
          <w:sz w:val="16"/>
          <w:szCs w:val="16"/>
        </w:rPr>
      </w:pPr>
    </w:p>
  </w:footnote>
  <w:footnote w:id="39">
    <w:p w14:paraId="42346C56" w14:textId="77777777" w:rsidR="00960DFB" w:rsidRPr="006C42DB" w:rsidRDefault="00960DFB"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Government of Timor-Leste 2018</w:t>
      </w:r>
    </w:p>
  </w:footnote>
  <w:footnote w:id="40">
    <w:p w14:paraId="702CE812" w14:textId="77777777" w:rsidR="00960DFB" w:rsidRPr="006C42DB" w:rsidRDefault="00960DFB"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World Bank 2020b</w:t>
      </w:r>
    </w:p>
  </w:footnote>
  <w:footnote w:id="41">
    <w:p w14:paraId="05CFE9A9" w14:textId="77777777" w:rsidR="00960DFB" w:rsidRPr="006C42DB" w:rsidRDefault="00960DFB"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Richard Allen et al. 2020</w:t>
      </w:r>
    </w:p>
  </w:footnote>
  <w:footnote w:id="42">
    <w:p w14:paraId="1443BA42" w14:textId="77777777" w:rsidR="00960DFB" w:rsidRPr="006C42DB" w:rsidRDefault="00960DFB"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t>
      </w:r>
      <w:proofErr w:type="spellStart"/>
      <w:r w:rsidRPr="006C42DB">
        <w:rPr>
          <w:sz w:val="16"/>
          <w:szCs w:val="16"/>
        </w:rPr>
        <w:t>Tamoya</w:t>
      </w:r>
      <w:proofErr w:type="spellEnd"/>
      <w:r w:rsidRPr="006C42DB">
        <w:rPr>
          <w:sz w:val="16"/>
          <w:szCs w:val="16"/>
        </w:rPr>
        <w:t xml:space="preserve"> et al 2016</w:t>
      </w:r>
    </w:p>
  </w:footnote>
  <w:footnote w:id="43">
    <w:p w14:paraId="054D42DB" w14:textId="77777777" w:rsidR="00960DFB" w:rsidRPr="006C42DB" w:rsidRDefault="00960DFB"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Richard Allen et al. 2020</w:t>
      </w:r>
    </w:p>
  </w:footnote>
  <w:footnote w:id="44">
    <w:p w14:paraId="000A8CFA" w14:textId="77777777" w:rsidR="00960DFB" w:rsidRPr="006C42DB" w:rsidRDefault="00960DFB" w:rsidP="006C42DB">
      <w:pPr>
        <w:pStyle w:val="FootnoteText"/>
        <w:spacing w:before="0" w:line="240" w:lineRule="auto"/>
        <w:ind w:left="0" w:firstLine="0"/>
        <w:rPr>
          <w:sz w:val="16"/>
          <w:szCs w:val="16"/>
        </w:rPr>
      </w:pPr>
      <w:r w:rsidRPr="006C42DB">
        <w:rPr>
          <w:rStyle w:val="FootnoteReference"/>
          <w:sz w:val="16"/>
          <w:szCs w:val="16"/>
        </w:rPr>
        <w:footnoteRef/>
      </w:r>
      <w:r w:rsidRPr="006C42DB">
        <w:rPr>
          <w:sz w:val="16"/>
          <w:szCs w:val="16"/>
        </w:rPr>
        <w:t xml:space="preserve"> </w:t>
      </w:r>
      <w:proofErr w:type="spellStart"/>
      <w:r w:rsidRPr="006C42DB">
        <w:rPr>
          <w:sz w:val="16"/>
          <w:szCs w:val="16"/>
        </w:rPr>
        <w:t>Tamoya</w:t>
      </w:r>
      <w:proofErr w:type="spellEnd"/>
      <w:r w:rsidRPr="006C42DB">
        <w:rPr>
          <w:sz w:val="16"/>
          <w:szCs w:val="16"/>
        </w:rPr>
        <w:t xml:space="preserve"> et al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B27B" w14:textId="346C2E87" w:rsidR="003C70F4" w:rsidRPr="00E5134E" w:rsidRDefault="003C70F4" w:rsidP="00417ACA">
    <w:pPr>
      <w:pStyle w:val="Header"/>
      <w:jc w:val="center"/>
      <w:rPr>
        <w:color w:val="FFFFFF" w:themeColor="background1"/>
        <w:sz w:val="22"/>
        <w:szCs w:val="24"/>
      </w:rPr>
    </w:pPr>
    <w:r w:rsidRPr="0018498D">
      <w:rPr>
        <w:noProof/>
        <w:lang w:val="en-AU" w:eastAsia="en-AU"/>
      </w:rPr>
      <w:drawing>
        <wp:anchor distT="0" distB="0" distL="114300" distR="114300" simplePos="0" relativeHeight="251642880" behindDoc="1" locked="0" layoutInCell="1" allowOverlap="1" wp14:anchorId="1536D96D" wp14:editId="238B699D">
          <wp:simplePos x="0" y="0"/>
          <wp:positionH relativeFrom="page">
            <wp:posOffset>6402</wp:posOffset>
          </wp:positionH>
          <wp:positionV relativeFrom="paragraph">
            <wp:posOffset>-255219</wp:posOffset>
          </wp:positionV>
          <wp:extent cx="7779385" cy="10034337"/>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343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98D">
      <w:rPr>
        <w:noProof/>
        <w:sz w:val="22"/>
        <w:szCs w:val="24"/>
        <w:lang w:val="en-AU" w:eastAsia="en-AU"/>
      </w:rPr>
      <w:t>OFFICIAL</w:t>
    </w:r>
  </w:p>
  <w:p w14:paraId="3F4B648A" w14:textId="3AD1A4C8" w:rsidR="003C70F4" w:rsidRDefault="003C7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7416" w14:textId="77777777" w:rsidR="003C70F4" w:rsidRDefault="003C7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5DF3" w14:textId="605113CF" w:rsidR="00895367" w:rsidRPr="00E5134E" w:rsidRDefault="00D80102" w:rsidP="00965B58">
    <w:pPr>
      <w:pStyle w:val="Header"/>
      <w:spacing w:before="0"/>
      <w:jc w:val="center"/>
      <w:rPr>
        <w:color w:val="FFFFFF" w:themeColor="background1"/>
        <w:sz w:val="22"/>
        <w:szCs w:val="24"/>
      </w:rPr>
    </w:pPr>
    <w:r w:rsidRPr="00D80102">
      <w:rPr>
        <w:noProof/>
        <w:sz w:val="22"/>
        <w:szCs w:val="24"/>
        <w:lang w:eastAsia="en-AU"/>
      </w:rPr>
      <w:drawing>
        <wp:anchor distT="0" distB="0" distL="114300" distR="114300" simplePos="0" relativeHeight="251673600" behindDoc="1" locked="0" layoutInCell="1" allowOverlap="1" wp14:anchorId="426B292C" wp14:editId="2171CBCF">
          <wp:simplePos x="0" y="0"/>
          <wp:positionH relativeFrom="margin">
            <wp:posOffset>-720090</wp:posOffset>
          </wp:positionH>
          <wp:positionV relativeFrom="paragraph">
            <wp:posOffset>-252095</wp:posOffset>
          </wp:positionV>
          <wp:extent cx="7774377" cy="10058400"/>
          <wp:effectExtent l="0" t="0" r="0" b="0"/>
          <wp:wrapNone/>
          <wp:docPr id="23" name="Picture 2">
            <a:extLst xmlns:a="http://schemas.openxmlformats.org/drawingml/2006/main">
              <a:ext uri="{FF2B5EF4-FFF2-40B4-BE49-F238E27FC236}">
                <a16:creationId xmlns:a16="http://schemas.microsoft.com/office/drawing/2014/main" id="{9CD6BC92-B16A-45E7-B50F-E3555BA9B31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a:extLst>
                      <a:ext uri="{FF2B5EF4-FFF2-40B4-BE49-F238E27FC236}">
                        <a16:creationId xmlns:a16="http://schemas.microsoft.com/office/drawing/2014/main" id="{9CD6BC92-B16A-45E7-B50F-E3555BA9B31A}"/>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 b="9"/>
                  <a:stretch/>
                </pic:blipFill>
                <pic:spPr bwMode="auto">
                  <a:xfrm>
                    <a:off x="0" y="0"/>
                    <a:ext cx="7776000" cy="1006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7C034D" w14:textId="048D3744" w:rsidR="00895367" w:rsidRDefault="008953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7910" w14:textId="47685ACD" w:rsidR="003C70F4" w:rsidRPr="00943730" w:rsidRDefault="003C70F4" w:rsidP="00943730">
    <w:pPr>
      <w:pStyle w:val="Header"/>
    </w:pPr>
    <w:r w:rsidRPr="00943730">
      <w:fldChar w:fldCharType="begin"/>
    </w:r>
    <w:r w:rsidRPr="00943730">
      <w:instrText xml:space="preserve"> DATE  \@ "MMMM yyyy"  \* MERGEFORMAT </w:instrText>
    </w:r>
    <w:r w:rsidRPr="00943730">
      <w:fldChar w:fldCharType="separate"/>
    </w:r>
    <w:r w:rsidR="00B36006">
      <w:rPr>
        <w:noProof/>
      </w:rPr>
      <w:t>November 2022</w:t>
    </w:r>
    <w:r w:rsidRPr="00943730">
      <w:fldChar w:fldCharType="end"/>
    </w:r>
    <w:r w:rsidRPr="00943730">
      <w:rPr>
        <w:noProof/>
        <w:lang w:val="en-AU" w:eastAsia="en-AU"/>
      </w:rPr>
      <w:drawing>
        <wp:anchor distT="0" distB="0" distL="114300" distR="114300" simplePos="0" relativeHeight="251641856" behindDoc="1" locked="1" layoutInCell="1" allowOverlap="1" wp14:anchorId="39057916" wp14:editId="39057917">
          <wp:simplePos x="0" y="0"/>
          <wp:positionH relativeFrom="page">
            <wp:posOffset>720090</wp:posOffset>
          </wp:positionH>
          <wp:positionV relativeFrom="page">
            <wp:posOffset>1043940</wp:posOffset>
          </wp:positionV>
          <wp:extent cx="3166920" cy="554400"/>
          <wp:effectExtent l="0" t="0" r="0" b="0"/>
          <wp:wrapNone/>
          <wp:docPr id="24" name="Picture 24"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40832" behindDoc="1" locked="1" layoutInCell="1" allowOverlap="1" wp14:anchorId="39057918" wp14:editId="39057919">
          <wp:simplePos x="0" y="0"/>
          <wp:positionH relativeFrom="page">
            <wp:posOffset>12700</wp:posOffset>
          </wp:positionH>
          <wp:positionV relativeFrom="page">
            <wp:posOffset>0</wp:posOffset>
          </wp:positionV>
          <wp:extent cx="7559040" cy="10692765"/>
          <wp:effectExtent l="0" t="0" r="3810" b="0"/>
          <wp:wrapNone/>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DD29" w14:textId="0F135E48" w:rsidR="00093451" w:rsidRPr="00E5134E" w:rsidRDefault="002F0EA9" w:rsidP="00540D91">
    <w:pPr>
      <w:pStyle w:val="Header"/>
      <w:spacing w:before="0"/>
      <w:ind w:left="0"/>
      <w:rPr>
        <w:color w:val="FFFFFF" w:themeColor="background1"/>
        <w:sz w:val="22"/>
        <w:szCs w:val="24"/>
      </w:rPr>
    </w:pPr>
    <w:r>
      <w:rPr>
        <w:noProof/>
        <w:lang w:val="en-AU" w:eastAsia="en-AU"/>
      </w:rPr>
      <w:drawing>
        <wp:anchor distT="0" distB="0" distL="114300" distR="114300" simplePos="0" relativeHeight="251646976" behindDoc="1" locked="0" layoutInCell="1" allowOverlap="1" wp14:anchorId="3A061D0F" wp14:editId="16AE2AAC">
          <wp:simplePos x="0" y="0"/>
          <wp:positionH relativeFrom="page">
            <wp:align>left</wp:align>
          </wp:positionH>
          <wp:positionV relativeFrom="paragraph">
            <wp:posOffset>-644599</wp:posOffset>
          </wp:positionV>
          <wp:extent cx="10089515" cy="1080135"/>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4858"/>
                  <a:stretch/>
                </pic:blipFill>
                <pic:spPr bwMode="auto">
                  <a:xfrm>
                    <a:off x="0" y="0"/>
                    <a:ext cx="10089515" cy="1080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7F4A82" w14:textId="1ABF8E79" w:rsidR="00093451" w:rsidRDefault="000934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4B6A" w14:textId="00771191" w:rsidR="002F0EA9" w:rsidRPr="00E5134E" w:rsidRDefault="00C93F20" w:rsidP="00417ACA">
    <w:pPr>
      <w:pStyle w:val="Header"/>
      <w:jc w:val="center"/>
      <w:rPr>
        <w:color w:val="FFFFFF" w:themeColor="background1"/>
        <w:sz w:val="22"/>
        <w:szCs w:val="24"/>
      </w:rPr>
    </w:pPr>
    <w:r w:rsidRPr="00D80102">
      <w:rPr>
        <w:noProof/>
        <w:sz w:val="22"/>
        <w:szCs w:val="24"/>
        <w:lang w:eastAsia="en-AU"/>
      </w:rPr>
      <w:drawing>
        <wp:anchor distT="0" distB="0" distL="114300" distR="114300" simplePos="0" relativeHeight="251675648" behindDoc="1" locked="0" layoutInCell="1" allowOverlap="1" wp14:anchorId="59F87C72" wp14:editId="1B68E5C8">
          <wp:simplePos x="0" y="0"/>
          <wp:positionH relativeFrom="margin">
            <wp:posOffset>-721995</wp:posOffset>
          </wp:positionH>
          <wp:positionV relativeFrom="margin">
            <wp:posOffset>-1076927</wp:posOffset>
          </wp:positionV>
          <wp:extent cx="7775575" cy="10060940"/>
          <wp:effectExtent l="0" t="0" r="0" b="0"/>
          <wp:wrapNone/>
          <wp:docPr id="57" name="Picture 2">
            <a:extLst xmlns:a="http://schemas.openxmlformats.org/drawingml/2006/main">
              <a:ext uri="{FF2B5EF4-FFF2-40B4-BE49-F238E27FC236}">
                <a16:creationId xmlns:a16="http://schemas.microsoft.com/office/drawing/2014/main" id="{9CD6BC92-B16A-45E7-B50F-E3555BA9B31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
                    <a:extLst>
                      <a:ext uri="{FF2B5EF4-FFF2-40B4-BE49-F238E27FC236}">
                        <a16:creationId xmlns:a16="http://schemas.microsoft.com/office/drawing/2014/main" id="{9CD6BC92-B16A-45E7-B50F-E3555BA9B31A}"/>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5575" cy="10060940"/>
                  </a:xfrm>
                  <a:prstGeom prst="rect">
                    <a:avLst/>
                  </a:prstGeom>
                </pic:spPr>
              </pic:pic>
            </a:graphicData>
          </a:graphic>
          <wp14:sizeRelH relativeFrom="page">
            <wp14:pctWidth>0</wp14:pctWidth>
          </wp14:sizeRelH>
          <wp14:sizeRelV relativeFrom="page">
            <wp14:pctHeight>0</wp14:pctHeight>
          </wp14:sizeRelV>
        </wp:anchor>
      </w:drawing>
    </w:r>
  </w:p>
  <w:p w14:paraId="1388E279" w14:textId="77777777" w:rsidR="002F0EA9" w:rsidRDefault="002F0E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67CC" w14:textId="00E22A27" w:rsidR="005E3BB8" w:rsidRPr="00E5134E" w:rsidRDefault="004C52E2" w:rsidP="00417ACA">
    <w:pPr>
      <w:pStyle w:val="Header"/>
      <w:jc w:val="center"/>
      <w:rPr>
        <w:color w:val="FFFFFF" w:themeColor="background1"/>
        <w:sz w:val="22"/>
        <w:szCs w:val="24"/>
      </w:rPr>
    </w:pPr>
    <w:r>
      <w:rPr>
        <w:noProof/>
        <w:lang w:val="en-AU" w:eastAsia="en-AU"/>
      </w:rPr>
      <w:drawing>
        <wp:anchor distT="0" distB="0" distL="114300" distR="114300" simplePos="0" relativeHeight="251669504" behindDoc="1" locked="0" layoutInCell="1" allowOverlap="1" wp14:anchorId="4C383997" wp14:editId="2460BC68">
          <wp:simplePos x="0" y="0"/>
          <wp:positionH relativeFrom="page">
            <wp:align>left</wp:align>
          </wp:positionH>
          <wp:positionV relativeFrom="page">
            <wp:align>top</wp:align>
          </wp:positionV>
          <wp:extent cx="10089515" cy="1080135"/>
          <wp:effectExtent l="0" t="0" r="0"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4858"/>
                  <a:stretch/>
                </pic:blipFill>
                <pic:spPr bwMode="auto">
                  <a:xfrm>
                    <a:off x="0" y="0"/>
                    <a:ext cx="10089515" cy="1080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4ADE98" w14:textId="77777777" w:rsidR="005E3BB8" w:rsidRDefault="005E3B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23BC" w14:textId="2168E52A" w:rsidR="005E3BB8" w:rsidRPr="00E5134E" w:rsidRDefault="006300DC" w:rsidP="00417ACA">
    <w:pPr>
      <w:pStyle w:val="Header"/>
      <w:jc w:val="center"/>
      <w:rPr>
        <w:color w:val="FFFFFF" w:themeColor="background1"/>
        <w:sz w:val="22"/>
        <w:szCs w:val="24"/>
      </w:rPr>
    </w:pPr>
    <w:r w:rsidRPr="00D80102">
      <w:rPr>
        <w:noProof/>
        <w:sz w:val="22"/>
        <w:szCs w:val="24"/>
        <w:lang w:eastAsia="en-AU"/>
      </w:rPr>
      <w:drawing>
        <wp:anchor distT="0" distB="0" distL="114300" distR="114300" simplePos="0" relativeHeight="251677696" behindDoc="1" locked="0" layoutInCell="1" allowOverlap="1" wp14:anchorId="31F191DE" wp14:editId="0D3DFBAA">
          <wp:simplePos x="0" y="0"/>
          <wp:positionH relativeFrom="margin">
            <wp:posOffset>-720090</wp:posOffset>
          </wp:positionH>
          <wp:positionV relativeFrom="paragraph">
            <wp:posOffset>-187550</wp:posOffset>
          </wp:positionV>
          <wp:extent cx="7775575" cy="9975389"/>
          <wp:effectExtent l="0" t="0" r="0" b="0"/>
          <wp:wrapNone/>
          <wp:docPr id="26" name="Picture 2">
            <a:extLst xmlns:a="http://schemas.openxmlformats.org/drawingml/2006/main">
              <a:ext uri="{FF2B5EF4-FFF2-40B4-BE49-F238E27FC236}">
                <a16:creationId xmlns:a16="http://schemas.microsoft.com/office/drawing/2014/main" id="{9CD6BC92-B16A-45E7-B50F-E3555BA9B31A}"/>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
                    <a:extLst>
                      <a:ext uri="{FF2B5EF4-FFF2-40B4-BE49-F238E27FC236}">
                        <a16:creationId xmlns:a16="http://schemas.microsoft.com/office/drawing/2014/main" id="{9CD6BC92-B16A-45E7-B50F-E3555BA9B31A}"/>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 b="248"/>
                  <a:stretch/>
                </pic:blipFill>
                <pic:spPr bwMode="auto">
                  <a:xfrm>
                    <a:off x="0" y="0"/>
                    <a:ext cx="7777449" cy="99777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CDBD4A" w14:textId="77777777" w:rsidR="005E3BB8" w:rsidRDefault="005E3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03E"/>
    <w:multiLevelType w:val="hybridMultilevel"/>
    <w:tmpl w:val="48F6980E"/>
    <w:lvl w:ilvl="0" w:tplc="96E0836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D4E49"/>
    <w:multiLevelType w:val="hybridMultilevel"/>
    <w:tmpl w:val="10A4C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C91487A"/>
    <w:multiLevelType w:val="hybridMultilevel"/>
    <w:tmpl w:val="6CE8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56C42"/>
    <w:multiLevelType w:val="hybridMultilevel"/>
    <w:tmpl w:val="D3FCE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C453D2F"/>
    <w:multiLevelType w:val="multilevel"/>
    <w:tmpl w:val="51963F56"/>
    <w:numStyleLink w:val="BulletsList"/>
  </w:abstractNum>
  <w:abstractNum w:abstractNumId="7" w15:restartNumberingAfterBreak="0">
    <w:nsid w:val="1ED508E8"/>
    <w:multiLevelType w:val="hybridMultilevel"/>
    <w:tmpl w:val="D44C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500228"/>
    <w:multiLevelType w:val="hybridMultilevel"/>
    <w:tmpl w:val="56F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85087"/>
    <w:multiLevelType w:val="hybridMultilevel"/>
    <w:tmpl w:val="E47AD90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CFD18E1"/>
    <w:multiLevelType w:val="hybridMultilevel"/>
    <w:tmpl w:val="651670D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2F1E5247"/>
    <w:multiLevelType w:val="hybridMultilevel"/>
    <w:tmpl w:val="CCA45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41FC7"/>
    <w:multiLevelType w:val="hybridMultilevel"/>
    <w:tmpl w:val="EDD6F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0472E5"/>
    <w:multiLevelType w:val="hybridMultilevel"/>
    <w:tmpl w:val="FAAC5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371EAE"/>
    <w:multiLevelType w:val="hybridMultilevel"/>
    <w:tmpl w:val="7328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27D5A"/>
    <w:multiLevelType w:val="hybridMultilevel"/>
    <w:tmpl w:val="51F4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409DF"/>
    <w:multiLevelType w:val="hybridMultilevel"/>
    <w:tmpl w:val="C964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86828"/>
    <w:multiLevelType w:val="hybridMultilevel"/>
    <w:tmpl w:val="7B829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9711916"/>
    <w:multiLevelType w:val="hybridMultilevel"/>
    <w:tmpl w:val="3F96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35AC8"/>
    <w:multiLevelType w:val="hybridMultilevel"/>
    <w:tmpl w:val="C6948FA4"/>
    <w:lvl w:ilvl="0" w:tplc="8FA0566E">
      <w:start w:val="1"/>
      <w:numFmt w:val="decimal"/>
      <w:lvlText w:val="%1."/>
      <w:lvlJc w:val="left"/>
      <w:pPr>
        <w:ind w:left="360" w:hanging="360"/>
      </w:pPr>
      <w:rPr>
        <w:rFonts w:hint="default"/>
        <w:b/>
        <w:bCs/>
      </w:rPr>
    </w:lvl>
    <w:lvl w:ilvl="1" w:tplc="59A2097C">
      <w:start w:val="2"/>
      <w:numFmt w:val="bullet"/>
      <w:lvlText w:val="-"/>
      <w:lvlJc w:val="left"/>
      <w:pPr>
        <w:ind w:left="108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40D0147"/>
    <w:multiLevelType w:val="hybridMultilevel"/>
    <w:tmpl w:val="7BE0E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62876"/>
    <w:multiLevelType w:val="hybridMultilevel"/>
    <w:tmpl w:val="0638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B58C5"/>
    <w:multiLevelType w:val="hybridMultilevel"/>
    <w:tmpl w:val="C89A78F2"/>
    <w:lvl w:ilvl="0" w:tplc="399C67BA">
      <w:start w:val="1"/>
      <w:numFmt w:val="decimal"/>
      <w:lvlText w:val="(%1)"/>
      <w:lvlJc w:val="left"/>
      <w:pPr>
        <w:ind w:left="-285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1410" w:hanging="180"/>
      </w:pPr>
    </w:lvl>
    <w:lvl w:ilvl="3" w:tplc="0C09000F" w:tentative="1">
      <w:start w:val="1"/>
      <w:numFmt w:val="decimal"/>
      <w:lvlText w:val="%4."/>
      <w:lvlJc w:val="left"/>
      <w:pPr>
        <w:ind w:left="-690" w:hanging="360"/>
      </w:pPr>
    </w:lvl>
    <w:lvl w:ilvl="4" w:tplc="0C090019" w:tentative="1">
      <w:start w:val="1"/>
      <w:numFmt w:val="lowerLetter"/>
      <w:lvlText w:val="%5."/>
      <w:lvlJc w:val="left"/>
      <w:pPr>
        <w:ind w:left="30" w:hanging="360"/>
      </w:pPr>
    </w:lvl>
    <w:lvl w:ilvl="5" w:tplc="0C09001B" w:tentative="1">
      <w:start w:val="1"/>
      <w:numFmt w:val="lowerRoman"/>
      <w:lvlText w:val="%6."/>
      <w:lvlJc w:val="right"/>
      <w:pPr>
        <w:ind w:left="750" w:hanging="180"/>
      </w:pPr>
    </w:lvl>
    <w:lvl w:ilvl="6" w:tplc="0C09000F" w:tentative="1">
      <w:start w:val="1"/>
      <w:numFmt w:val="decimal"/>
      <w:lvlText w:val="%7."/>
      <w:lvlJc w:val="left"/>
      <w:pPr>
        <w:ind w:left="1470" w:hanging="360"/>
      </w:pPr>
    </w:lvl>
    <w:lvl w:ilvl="7" w:tplc="0C090019" w:tentative="1">
      <w:start w:val="1"/>
      <w:numFmt w:val="lowerLetter"/>
      <w:lvlText w:val="%8."/>
      <w:lvlJc w:val="left"/>
      <w:pPr>
        <w:ind w:left="2190" w:hanging="360"/>
      </w:pPr>
    </w:lvl>
    <w:lvl w:ilvl="8" w:tplc="0C09001B" w:tentative="1">
      <w:start w:val="1"/>
      <w:numFmt w:val="lowerRoman"/>
      <w:lvlText w:val="%9."/>
      <w:lvlJc w:val="right"/>
      <w:pPr>
        <w:ind w:left="2910" w:hanging="180"/>
      </w:pPr>
    </w:lvl>
  </w:abstractNum>
  <w:abstractNum w:abstractNumId="26" w15:restartNumberingAfterBreak="0">
    <w:nsid w:val="6C79229D"/>
    <w:multiLevelType w:val="hybridMultilevel"/>
    <w:tmpl w:val="1256E27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7" w15:restartNumberingAfterBreak="0">
    <w:nsid w:val="6D646AA1"/>
    <w:multiLevelType w:val="hybridMultilevel"/>
    <w:tmpl w:val="EC1A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73DFD"/>
    <w:multiLevelType w:val="hybridMultilevel"/>
    <w:tmpl w:val="A34C4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FF5FF5"/>
    <w:multiLevelType w:val="hybridMultilevel"/>
    <w:tmpl w:val="E8ACB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DB32B6"/>
    <w:multiLevelType w:val="hybridMultilevel"/>
    <w:tmpl w:val="D6506E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7D99236A"/>
    <w:multiLevelType w:val="hybridMultilevel"/>
    <w:tmpl w:val="C408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0"/>
  </w:num>
  <w:num w:numId="4">
    <w:abstractNumId w:val="19"/>
  </w:num>
  <w:num w:numId="5">
    <w:abstractNumId w:val="22"/>
  </w:num>
  <w:num w:numId="6">
    <w:abstractNumId w:val="10"/>
  </w:num>
  <w:num w:numId="7">
    <w:abstractNumId w:val="2"/>
  </w:num>
  <w:num w:numId="8">
    <w:abstractNumId w:val="5"/>
  </w:num>
  <w:num w:numId="9">
    <w:abstractNumId w:val="32"/>
  </w:num>
  <w:num w:numId="10">
    <w:abstractNumId w:val="6"/>
  </w:num>
  <w:num w:numId="11">
    <w:abstractNumId w:val="8"/>
  </w:num>
  <w:num w:numId="12">
    <w:abstractNumId w:val="21"/>
  </w:num>
  <w:num w:numId="13">
    <w:abstractNumId w:val="9"/>
  </w:num>
  <w:num w:numId="14">
    <w:abstractNumId w:val="12"/>
  </w:num>
  <w:num w:numId="15">
    <w:abstractNumId w:val="24"/>
  </w:num>
  <w:num w:numId="16">
    <w:abstractNumId w:val="0"/>
  </w:num>
  <w:num w:numId="17">
    <w:abstractNumId w:val="26"/>
  </w:num>
  <w:num w:numId="18">
    <w:abstractNumId w:val="33"/>
  </w:num>
  <w:num w:numId="19">
    <w:abstractNumId w:val="17"/>
  </w:num>
  <w:num w:numId="20">
    <w:abstractNumId w:val="16"/>
  </w:num>
  <w:num w:numId="21">
    <w:abstractNumId w:val="20"/>
  </w:num>
  <w:num w:numId="22">
    <w:abstractNumId w:val="1"/>
  </w:num>
  <w:num w:numId="23">
    <w:abstractNumId w:val="27"/>
  </w:num>
  <w:num w:numId="24">
    <w:abstractNumId w:val="28"/>
  </w:num>
  <w:num w:numId="25">
    <w:abstractNumId w:val="3"/>
  </w:num>
  <w:num w:numId="26">
    <w:abstractNumId w:val="15"/>
  </w:num>
  <w:num w:numId="27">
    <w:abstractNumId w:val="11"/>
  </w:num>
  <w:num w:numId="28">
    <w:abstractNumId w:val="13"/>
  </w:num>
  <w:num w:numId="29">
    <w:abstractNumId w:val="29"/>
  </w:num>
  <w:num w:numId="30">
    <w:abstractNumId w:val="14"/>
  </w:num>
  <w:num w:numId="31">
    <w:abstractNumId w:val="4"/>
  </w:num>
  <w:num w:numId="32">
    <w:abstractNumId w:val="23"/>
  </w:num>
  <w:num w:numId="33">
    <w:abstractNumId w:val="25"/>
  </w:num>
  <w:num w:numId="34">
    <w:abstractNumId w:val="7"/>
  </w:num>
  <w:num w:numId="35">
    <w:abstractNumId w:val="18"/>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067"/>
    <w:rsid w:val="00001184"/>
    <w:rsid w:val="000012D3"/>
    <w:rsid w:val="00001DA8"/>
    <w:rsid w:val="000020C1"/>
    <w:rsid w:val="000039C6"/>
    <w:rsid w:val="000044DD"/>
    <w:rsid w:val="00011BB8"/>
    <w:rsid w:val="00017790"/>
    <w:rsid w:val="0002010F"/>
    <w:rsid w:val="0002080A"/>
    <w:rsid w:val="000215C3"/>
    <w:rsid w:val="000217F2"/>
    <w:rsid w:val="000274CA"/>
    <w:rsid w:val="0002782F"/>
    <w:rsid w:val="00030507"/>
    <w:rsid w:val="000306DB"/>
    <w:rsid w:val="00031486"/>
    <w:rsid w:val="00032A73"/>
    <w:rsid w:val="00033E97"/>
    <w:rsid w:val="00034786"/>
    <w:rsid w:val="00035BBF"/>
    <w:rsid w:val="0004005A"/>
    <w:rsid w:val="00041E6F"/>
    <w:rsid w:val="00043D12"/>
    <w:rsid w:val="00044B86"/>
    <w:rsid w:val="00044CB8"/>
    <w:rsid w:val="00045644"/>
    <w:rsid w:val="00050535"/>
    <w:rsid w:val="00050806"/>
    <w:rsid w:val="000546D9"/>
    <w:rsid w:val="00054E4D"/>
    <w:rsid w:val="00055A00"/>
    <w:rsid w:val="00056AF4"/>
    <w:rsid w:val="00060073"/>
    <w:rsid w:val="0006136F"/>
    <w:rsid w:val="000616C6"/>
    <w:rsid w:val="00072168"/>
    <w:rsid w:val="0007405C"/>
    <w:rsid w:val="00076AAB"/>
    <w:rsid w:val="00082A35"/>
    <w:rsid w:val="000832D3"/>
    <w:rsid w:val="000854FD"/>
    <w:rsid w:val="0008718F"/>
    <w:rsid w:val="00087517"/>
    <w:rsid w:val="00087587"/>
    <w:rsid w:val="000877C6"/>
    <w:rsid w:val="00093413"/>
    <w:rsid w:val="00093451"/>
    <w:rsid w:val="00093CF9"/>
    <w:rsid w:val="000A12B7"/>
    <w:rsid w:val="000A1929"/>
    <w:rsid w:val="000A2DC8"/>
    <w:rsid w:val="000A407E"/>
    <w:rsid w:val="000A5BFD"/>
    <w:rsid w:val="000A65C4"/>
    <w:rsid w:val="000A670F"/>
    <w:rsid w:val="000B05B6"/>
    <w:rsid w:val="000B13F5"/>
    <w:rsid w:val="000B1562"/>
    <w:rsid w:val="000B332B"/>
    <w:rsid w:val="000B37F5"/>
    <w:rsid w:val="000B725F"/>
    <w:rsid w:val="000C0D30"/>
    <w:rsid w:val="000C27F2"/>
    <w:rsid w:val="000C60DE"/>
    <w:rsid w:val="000C648D"/>
    <w:rsid w:val="000D2628"/>
    <w:rsid w:val="000D501A"/>
    <w:rsid w:val="000D66D6"/>
    <w:rsid w:val="000E6399"/>
    <w:rsid w:val="000F2934"/>
    <w:rsid w:val="000F2A2A"/>
    <w:rsid w:val="0010217D"/>
    <w:rsid w:val="00102846"/>
    <w:rsid w:val="00103CF5"/>
    <w:rsid w:val="001048E5"/>
    <w:rsid w:val="00113288"/>
    <w:rsid w:val="00113704"/>
    <w:rsid w:val="00114422"/>
    <w:rsid w:val="00116C8F"/>
    <w:rsid w:val="00120227"/>
    <w:rsid w:val="001207A3"/>
    <w:rsid w:val="001214BE"/>
    <w:rsid w:val="00121741"/>
    <w:rsid w:val="00121B87"/>
    <w:rsid w:val="00123849"/>
    <w:rsid w:val="001270B2"/>
    <w:rsid w:val="0013101C"/>
    <w:rsid w:val="001349CC"/>
    <w:rsid w:val="00135664"/>
    <w:rsid w:val="00136703"/>
    <w:rsid w:val="001412F3"/>
    <w:rsid w:val="00141F2B"/>
    <w:rsid w:val="001461D6"/>
    <w:rsid w:val="00147721"/>
    <w:rsid w:val="00150E7B"/>
    <w:rsid w:val="001525E9"/>
    <w:rsid w:val="00152EF1"/>
    <w:rsid w:val="001541EA"/>
    <w:rsid w:val="0015429B"/>
    <w:rsid w:val="001546F8"/>
    <w:rsid w:val="00155AD5"/>
    <w:rsid w:val="0015707E"/>
    <w:rsid w:val="00161622"/>
    <w:rsid w:val="00162855"/>
    <w:rsid w:val="0016336C"/>
    <w:rsid w:val="00163AD0"/>
    <w:rsid w:val="00165E5D"/>
    <w:rsid w:val="00167968"/>
    <w:rsid w:val="00174A54"/>
    <w:rsid w:val="00176635"/>
    <w:rsid w:val="00177B01"/>
    <w:rsid w:val="00180283"/>
    <w:rsid w:val="001816BF"/>
    <w:rsid w:val="00181A32"/>
    <w:rsid w:val="00182A21"/>
    <w:rsid w:val="00182DA6"/>
    <w:rsid w:val="0018498D"/>
    <w:rsid w:val="00192AC6"/>
    <w:rsid w:val="00193875"/>
    <w:rsid w:val="00197C4D"/>
    <w:rsid w:val="001A018D"/>
    <w:rsid w:val="001A1B2B"/>
    <w:rsid w:val="001A5297"/>
    <w:rsid w:val="001A7B7C"/>
    <w:rsid w:val="001B20A5"/>
    <w:rsid w:val="001B2ED9"/>
    <w:rsid w:val="001B54C3"/>
    <w:rsid w:val="001B5944"/>
    <w:rsid w:val="001B6BDE"/>
    <w:rsid w:val="001C2760"/>
    <w:rsid w:val="001C3BC1"/>
    <w:rsid w:val="001C5BD3"/>
    <w:rsid w:val="001C6981"/>
    <w:rsid w:val="001D1311"/>
    <w:rsid w:val="001D2FF8"/>
    <w:rsid w:val="001D663E"/>
    <w:rsid w:val="001E1DC0"/>
    <w:rsid w:val="001E1FF5"/>
    <w:rsid w:val="001E33C5"/>
    <w:rsid w:val="001E3612"/>
    <w:rsid w:val="001E41D7"/>
    <w:rsid w:val="001E6D20"/>
    <w:rsid w:val="001E7C92"/>
    <w:rsid w:val="001F03F2"/>
    <w:rsid w:val="001F049A"/>
    <w:rsid w:val="001F05E9"/>
    <w:rsid w:val="001F1709"/>
    <w:rsid w:val="001F27CC"/>
    <w:rsid w:val="001F5A98"/>
    <w:rsid w:val="001F5C67"/>
    <w:rsid w:val="001F5F9B"/>
    <w:rsid w:val="00202898"/>
    <w:rsid w:val="00203149"/>
    <w:rsid w:val="00203533"/>
    <w:rsid w:val="00205340"/>
    <w:rsid w:val="00205D84"/>
    <w:rsid w:val="00206C97"/>
    <w:rsid w:val="00210BE0"/>
    <w:rsid w:val="00213128"/>
    <w:rsid w:val="00213C8F"/>
    <w:rsid w:val="00221EF0"/>
    <w:rsid w:val="002267BB"/>
    <w:rsid w:val="002277EC"/>
    <w:rsid w:val="002304D3"/>
    <w:rsid w:val="002319FF"/>
    <w:rsid w:val="002330B8"/>
    <w:rsid w:val="002412DD"/>
    <w:rsid w:val="002413FC"/>
    <w:rsid w:val="00242E0E"/>
    <w:rsid w:val="00244229"/>
    <w:rsid w:val="00251417"/>
    <w:rsid w:val="002613E9"/>
    <w:rsid w:val="00262407"/>
    <w:rsid w:val="00262A76"/>
    <w:rsid w:val="00265E72"/>
    <w:rsid w:val="00273935"/>
    <w:rsid w:val="00277210"/>
    <w:rsid w:val="00277625"/>
    <w:rsid w:val="0028155B"/>
    <w:rsid w:val="00282807"/>
    <w:rsid w:val="00283A8D"/>
    <w:rsid w:val="00283F1F"/>
    <w:rsid w:val="00284193"/>
    <w:rsid w:val="0028602A"/>
    <w:rsid w:val="00286B83"/>
    <w:rsid w:val="00286DF6"/>
    <w:rsid w:val="0028715A"/>
    <w:rsid w:val="0029107B"/>
    <w:rsid w:val="002A3641"/>
    <w:rsid w:val="002A5BB3"/>
    <w:rsid w:val="002A5D3C"/>
    <w:rsid w:val="002A6CC3"/>
    <w:rsid w:val="002B39E3"/>
    <w:rsid w:val="002B5E10"/>
    <w:rsid w:val="002B7E31"/>
    <w:rsid w:val="002C2037"/>
    <w:rsid w:val="002C39CD"/>
    <w:rsid w:val="002C4773"/>
    <w:rsid w:val="002C5FA6"/>
    <w:rsid w:val="002C793D"/>
    <w:rsid w:val="002D0C0E"/>
    <w:rsid w:val="002D203F"/>
    <w:rsid w:val="002D2329"/>
    <w:rsid w:val="002D26B6"/>
    <w:rsid w:val="002D5B25"/>
    <w:rsid w:val="002E02E3"/>
    <w:rsid w:val="002E525D"/>
    <w:rsid w:val="002F0EA9"/>
    <w:rsid w:val="002F2CB4"/>
    <w:rsid w:val="002F2CF4"/>
    <w:rsid w:val="002F4424"/>
    <w:rsid w:val="002F495A"/>
    <w:rsid w:val="002F4F2B"/>
    <w:rsid w:val="003002C0"/>
    <w:rsid w:val="00300755"/>
    <w:rsid w:val="00301144"/>
    <w:rsid w:val="00302E0F"/>
    <w:rsid w:val="003031C6"/>
    <w:rsid w:val="00304984"/>
    <w:rsid w:val="003103CD"/>
    <w:rsid w:val="00312BF8"/>
    <w:rsid w:val="003148B7"/>
    <w:rsid w:val="003151D6"/>
    <w:rsid w:val="003158C3"/>
    <w:rsid w:val="0031707B"/>
    <w:rsid w:val="00317F46"/>
    <w:rsid w:val="00321423"/>
    <w:rsid w:val="00321F31"/>
    <w:rsid w:val="00325725"/>
    <w:rsid w:val="003274CD"/>
    <w:rsid w:val="00327DE4"/>
    <w:rsid w:val="00331D33"/>
    <w:rsid w:val="00333501"/>
    <w:rsid w:val="00342181"/>
    <w:rsid w:val="00342218"/>
    <w:rsid w:val="00343560"/>
    <w:rsid w:val="003457C4"/>
    <w:rsid w:val="003458C8"/>
    <w:rsid w:val="003471AD"/>
    <w:rsid w:val="00347F64"/>
    <w:rsid w:val="003502E6"/>
    <w:rsid w:val="0035119D"/>
    <w:rsid w:val="00352C93"/>
    <w:rsid w:val="00353B20"/>
    <w:rsid w:val="003550E6"/>
    <w:rsid w:val="00357297"/>
    <w:rsid w:val="0035765D"/>
    <w:rsid w:val="003603CE"/>
    <w:rsid w:val="00361913"/>
    <w:rsid w:val="00362279"/>
    <w:rsid w:val="00364445"/>
    <w:rsid w:val="00364C8E"/>
    <w:rsid w:val="00366F16"/>
    <w:rsid w:val="003671C3"/>
    <w:rsid w:val="0037534A"/>
    <w:rsid w:val="00375C8E"/>
    <w:rsid w:val="0037624B"/>
    <w:rsid w:val="00377F60"/>
    <w:rsid w:val="00385A28"/>
    <w:rsid w:val="00392A72"/>
    <w:rsid w:val="0039344A"/>
    <w:rsid w:val="0039404C"/>
    <w:rsid w:val="003A0945"/>
    <w:rsid w:val="003A2DD7"/>
    <w:rsid w:val="003A36EA"/>
    <w:rsid w:val="003A4D47"/>
    <w:rsid w:val="003A5F4D"/>
    <w:rsid w:val="003B38A9"/>
    <w:rsid w:val="003B4F12"/>
    <w:rsid w:val="003B6C39"/>
    <w:rsid w:val="003B6D4A"/>
    <w:rsid w:val="003C43DE"/>
    <w:rsid w:val="003C5A58"/>
    <w:rsid w:val="003C6C4F"/>
    <w:rsid w:val="003C70F4"/>
    <w:rsid w:val="003D4958"/>
    <w:rsid w:val="003D4E4C"/>
    <w:rsid w:val="003D587F"/>
    <w:rsid w:val="003E66CB"/>
    <w:rsid w:val="003F0C67"/>
    <w:rsid w:val="003F2041"/>
    <w:rsid w:val="003F25C5"/>
    <w:rsid w:val="003F312C"/>
    <w:rsid w:val="003F31D9"/>
    <w:rsid w:val="00402308"/>
    <w:rsid w:val="00402ACC"/>
    <w:rsid w:val="00407494"/>
    <w:rsid w:val="004120EC"/>
    <w:rsid w:val="00412CFE"/>
    <w:rsid w:val="00414EE9"/>
    <w:rsid w:val="00417ACA"/>
    <w:rsid w:val="004224D5"/>
    <w:rsid w:val="00423490"/>
    <w:rsid w:val="00423F31"/>
    <w:rsid w:val="00431899"/>
    <w:rsid w:val="00435EB5"/>
    <w:rsid w:val="00437087"/>
    <w:rsid w:val="004373E0"/>
    <w:rsid w:val="00437536"/>
    <w:rsid w:val="00437C13"/>
    <w:rsid w:val="00441255"/>
    <w:rsid w:val="00452F95"/>
    <w:rsid w:val="004546B4"/>
    <w:rsid w:val="004617E4"/>
    <w:rsid w:val="00463969"/>
    <w:rsid w:val="00466C13"/>
    <w:rsid w:val="004676D6"/>
    <w:rsid w:val="0047039B"/>
    <w:rsid w:val="00472197"/>
    <w:rsid w:val="00473E8C"/>
    <w:rsid w:val="004753BE"/>
    <w:rsid w:val="00482AE8"/>
    <w:rsid w:val="00485082"/>
    <w:rsid w:val="0048584C"/>
    <w:rsid w:val="004864E6"/>
    <w:rsid w:val="00486804"/>
    <w:rsid w:val="00487999"/>
    <w:rsid w:val="00487CD7"/>
    <w:rsid w:val="00492642"/>
    <w:rsid w:val="004942F6"/>
    <w:rsid w:val="00494603"/>
    <w:rsid w:val="004A0CE2"/>
    <w:rsid w:val="004A0F2D"/>
    <w:rsid w:val="004A66E8"/>
    <w:rsid w:val="004B1283"/>
    <w:rsid w:val="004B3775"/>
    <w:rsid w:val="004B52A6"/>
    <w:rsid w:val="004B60D5"/>
    <w:rsid w:val="004B7CB6"/>
    <w:rsid w:val="004B7FF1"/>
    <w:rsid w:val="004C107D"/>
    <w:rsid w:val="004C1B44"/>
    <w:rsid w:val="004C52E2"/>
    <w:rsid w:val="004D0BA0"/>
    <w:rsid w:val="004D5C17"/>
    <w:rsid w:val="004E058F"/>
    <w:rsid w:val="004E3B87"/>
    <w:rsid w:val="004E4E16"/>
    <w:rsid w:val="004E5EB4"/>
    <w:rsid w:val="004E6368"/>
    <w:rsid w:val="004F11F6"/>
    <w:rsid w:val="004F23DD"/>
    <w:rsid w:val="004F25B5"/>
    <w:rsid w:val="00505DD4"/>
    <w:rsid w:val="00510437"/>
    <w:rsid w:val="005106A9"/>
    <w:rsid w:val="00510921"/>
    <w:rsid w:val="00510AD3"/>
    <w:rsid w:val="00512F9B"/>
    <w:rsid w:val="00513348"/>
    <w:rsid w:val="00513AD8"/>
    <w:rsid w:val="00514DA5"/>
    <w:rsid w:val="005173BE"/>
    <w:rsid w:val="005204D2"/>
    <w:rsid w:val="00521F0E"/>
    <w:rsid w:val="005221B4"/>
    <w:rsid w:val="00522396"/>
    <w:rsid w:val="00533B5D"/>
    <w:rsid w:val="00534B75"/>
    <w:rsid w:val="00540D91"/>
    <w:rsid w:val="005449C2"/>
    <w:rsid w:val="00544DCC"/>
    <w:rsid w:val="00546EC3"/>
    <w:rsid w:val="00547479"/>
    <w:rsid w:val="00547F9C"/>
    <w:rsid w:val="005537DC"/>
    <w:rsid w:val="00555C52"/>
    <w:rsid w:val="00556402"/>
    <w:rsid w:val="00562288"/>
    <w:rsid w:val="0056554D"/>
    <w:rsid w:val="00566792"/>
    <w:rsid w:val="005667BE"/>
    <w:rsid w:val="005758AE"/>
    <w:rsid w:val="005760F2"/>
    <w:rsid w:val="005762A1"/>
    <w:rsid w:val="00583BAE"/>
    <w:rsid w:val="00585FD0"/>
    <w:rsid w:val="00591E6C"/>
    <w:rsid w:val="005920E1"/>
    <w:rsid w:val="00592569"/>
    <w:rsid w:val="00593807"/>
    <w:rsid w:val="00594DEF"/>
    <w:rsid w:val="00595D8D"/>
    <w:rsid w:val="00596469"/>
    <w:rsid w:val="00596BA8"/>
    <w:rsid w:val="00597FD0"/>
    <w:rsid w:val="005A20F6"/>
    <w:rsid w:val="005A71DD"/>
    <w:rsid w:val="005A74F8"/>
    <w:rsid w:val="005A7782"/>
    <w:rsid w:val="005B02F5"/>
    <w:rsid w:val="005B239C"/>
    <w:rsid w:val="005B4D0F"/>
    <w:rsid w:val="005B61C3"/>
    <w:rsid w:val="005C0355"/>
    <w:rsid w:val="005C269E"/>
    <w:rsid w:val="005C2C54"/>
    <w:rsid w:val="005C4CEB"/>
    <w:rsid w:val="005C53F8"/>
    <w:rsid w:val="005C6F18"/>
    <w:rsid w:val="005C7FE2"/>
    <w:rsid w:val="005D2646"/>
    <w:rsid w:val="005D3655"/>
    <w:rsid w:val="005D3A58"/>
    <w:rsid w:val="005E2ADA"/>
    <w:rsid w:val="005E302F"/>
    <w:rsid w:val="005E332C"/>
    <w:rsid w:val="005E3BB8"/>
    <w:rsid w:val="005E46F5"/>
    <w:rsid w:val="005E4830"/>
    <w:rsid w:val="005E7BA0"/>
    <w:rsid w:val="005F2F37"/>
    <w:rsid w:val="005F5FE3"/>
    <w:rsid w:val="005F71F1"/>
    <w:rsid w:val="00602074"/>
    <w:rsid w:val="00606A5A"/>
    <w:rsid w:val="00613121"/>
    <w:rsid w:val="00614509"/>
    <w:rsid w:val="006178A9"/>
    <w:rsid w:val="006211A2"/>
    <w:rsid w:val="00622B86"/>
    <w:rsid w:val="00623BA1"/>
    <w:rsid w:val="00626D51"/>
    <w:rsid w:val="006300DC"/>
    <w:rsid w:val="006309F1"/>
    <w:rsid w:val="00630C17"/>
    <w:rsid w:val="00630FB1"/>
    <w:rsid w:val="00631C15"/>
    <w:rsid w:val="00633A66"/>
    <w:rsid w:val="00634103"/>
    <w:rsid w:val="006346BC"/>
    <w:rsid w:val="00634B9D"/>
    <w:rsid w:val="0064601A"/>
    <w:rsid w:val="00652D5E"/>
    <w:rsid w:val="00652DE0"/>
    <w:rsid w:val="0065652D"/>
    <w:rsid w:val="006572D2"/>
    <w:rsid w:val="00657863"/>
    <w:rsid w:val="0066118B"/>
    <w:rsid w:val="0066652A"/>
    <w:rsid w:val="00667321"/>
    <w:rsid w:val="00667B0D"/>
    <w:rsid w:val="006719C3"/>
    <w:rsid w:val="00672913"/>
    <w:rsid w:val="0068023E"/>
    <w:rsid w:val="00680522"/>
    <w:rsid w:val="00682167"/>
    <w:rsid w:val="0068583D"/>
    <w:rsid w:val="006858B3"/>
    <w:rsid w:val="0068751E"/>
    <w:rsid w:val="0068755A"/>
    <w:rsid w:val="0069726A"/>
    <w:rsid w:val="00697C6D"/>
    <w:rsid w:val="006A05D9"/>
    <w:rsid w:val="006A20FC"/>
    <w:rsid w:val="006A2F5D"/>
    <w:rsid w:val="006A5D99"/>
    <w:rsid w:val="006B04B8"/>
    <w:rsid w:val="006B0C50"/>
    <w:rsid w:val="006B332F"/>
    <w:rsid w:val="006B7A55"/>
    <w:rsid w:val="006C0166"/>
    <w:rsid w:val="006C0AA9"/>
    <w:rsid w:val="006C2B0F"/>
    <w:rsid w:val="006C42AF"/>
    <w:rsid w:val="006C42DB"/>
    <w:rsid w:val="006C48FB"/>
    <w:rsid w:val="006C674A"/>
    <w:rsid w:val="006C7995"/>
    <w:rsid w:val="006D0C2D"/>
    <w:rsid w:val="006D398E"/>
    <w:rsid w:val="006D44BF"/>
    <w:rsid w:val="006D4B56"/>
    <w:rsid w:val="006D5C78"/>
    <w:rsid w:val="006D785E"/>
    <w:rsid w:val="006D78F1"/>
    <w:rsid w:val="006E20CB"/>
    <w:rsid w:val="006E31B2"/>
    <w:rsid w:val="006E6E7B"/>
    <w:rsid w:val="006E7324"/>
    <w:rsid w:val="006F01FB"/>
    <w:rsid w:val="006F2A24"/>
    <w:rsid w:val="006F59AC"/>
    <w:rsid w:val="006F68CD"/>
    <w:rsid w:val="00700633"/>
    <w:rsid w:val="0070063C"/>
    <w:rsid w:val="00701AAF"/>
    <w:rsid w:val="00704C60"/>
    <w:rsid w:val="00704F31"/>
    <w:rsid w:val="00711D8E"/>
    <w:rsid w:val="00712672"/>
    <w:rsid w:val="00713552"/>
    <w:rsid w:val="007151C8"/>
    <w:rsid w:val="007158D1"/>
    <w:rsid w:val="0071625A"/>
    <w:rsid w:val="0072018A"/>
    <w:rsid w:val="007203FE"/>
    <w:rsid w:val="00720BCD"/>
    <w:rsid w:val="0072519F"/>
    <w:rsid w:val="00725AA2"/>
    <w:rsid w:val="007261E5"/>
    <w:rsid w:val="007306CC"/>
    <w:rsid w:val="00732875"/>
    <w:rsid w:val="0073428C"/>
    <w:rsid w:val="00734E3F"/>
    <w:rsid w:val="007354BE"/>
    <w:rsid w:val="00736985"/>
    <w:rsid w:val="00741048"/>
    <w:rsid w:val="007417A9"/>
    <w:rsid w:val="00745DF5"/>
    <w:rsid w:val="0074621D"/>
    <w:rsid w:val="0074692E"/>
    <w:rsid w:val="007471E6"/>
    <w:rsid w:val="00747977"/>
    <w:rsid w:val="00753AF0"/>
    <w:rsid w:val="0075756B"/>
    <w:rsid w:val="0076081F"/>
    <w:rsid w:val="00761F21"/>
    <w:rsid w:val="00762262"/>
    <w:rsid w:val="0076250F"/>
    <w:rsid w:val="00762B0B"/>
    <w:rsid w:val="00764E62"/>
    <w:rsid w:val="00765C92"/>
    <w:rsid w:val="007679BA"/>
    <w:rsid w:val="007711F4"/>
    <w:rsid w:val="007712FA"/>
    <w:rsid w:val="00771A7D"/>
    <w:rsid w:val="00771ECE"/>
    <w:rsid w:val="00772200"/>
    <w:rsid w:val="0077613C"/>
    <w:rsid w:val="00780FA5"/>
    <w:rsid w:val="00781E90"/>
    <w:rsid w:val="007825A0"/>
    <w:rsid w:val="00783F18"/>
    <w:rsid w:val="007844CD"/>
    <w:rsid w:val="007862AA"/>
    <w:rsid w:val="00787245"/>
    <w:rsid w:val="00787D9C"/>
    <w:rsid w:val="00787E69"/>
    <w:rsid w:val="007925D5"/>
    <w:rsid w:val="0079284B"/>
    <w:rsid w:val="00795DDB"/>
    <w:rsid w:val="00795E6E"/>
    <w:rsid w:val="007A0673"/>
    <w:rsid w:val="007A2DCE"/>
    <w:rsid w:val="007A6A93"/>
    <w:rsid w:val="007B2DF4"/>
    <w:rsid w:val="007B4674"/>
    <w:rsid w:val="007B5C38"/>
    <w:rsid w:val="007B5F5F"/>
    <w:rsid w:val="007B6200"/>
    <w:rsid w:val="007C07D2"/>
    <w:rsid w:val="007C0A82"/>
    <w:rsid w:val="007C3089"/>
    <w:rsid w:val="007C45F6"/>
    <w:rsid w:val="007C548E"/>
    <w:rsid w:val="007C77A6"/>
    <w:rsid w:val="007D1500"/>
    <w:rsid w:val="007D41F5"/>
    <w:rsid w:val="007D447A"/>
    <w:rsid w:val="007D4EF8"/>
    <w:rsid w:val="007E0010"/>
    <w:rsid w:val="007E2545"/>
    <w:rsid w:val="007E3EFD"/>
    <w:rsid w:val="007E556D"/>
    <w:rsid w:val="007E5A30"/>
    <w:rsid w:val="007E6D77"/>
    <w:rsid w:val="007E7CC9"/>
    <w:rsid w:val="007F1C95"/>
    <w:rsid w:val="007F28D0"/>
    <w:rsid w:val="007F3395"/>
    <w:rsid w:val="007F3D8C"/>
    <w:rsid w:val="007F3ECF"/>
    <w:rsid w:val="007F4B03"/>
    <w:rsid w:val="00800B30"/>
    <w:rsid w:val="00801B9F"/>
    <w:rsid w:val="0080204D"/>
    <w:rsid w:val="008061DB"/>
    <w:rsid w:val="0080773D"/>
    <w:rsid w:val="008112E1"/>
    <w:rsid w:val="00811A65"/>
    <w:rsid w:val="008133D4"/>
    <w:rsid w:val="008144A3"/>
    <w:rsid w:val="00821FC3"/>
    <w:rsid w:val="00825060"/>
    <w:rsid w:val="00833DAA"/>
    <w:rsid w:val="00835BDA"/>
    <w:rsid w:val="0084191E"/>
    <w:rsid w:val="00841E54"/>
    <w:rsid w:val="00844921"/>
    <w:rsid w:val="00847242"/>
    <w:rsid w:val="008475F0"/>
    <w:rsid w:val="00847D97"/>
    <w:rsid w:val="0085193B"/>
    <w:rsid w:val="00851AB3"/>
    <w:rsid w:val="0085223B"/>
    <w:rsid w:val="008531DB"/>
    <w:rsid w:val="00853654"/>
    <w:rsid w:val="008557A7"/>
    <w:rsid w:val="00855CF6"/>
    <w:rsid w:val="00856396"/>
    <w:rsid w:val="00856E8A"/>
    <w:rsid w:val="00862FD6"/>
    <w:rsid w:val="00865DF6"/>
    <w:rsid w:val="00866ACC"/>
    <w:rsid w:val="00870928"/>
    <w:rsid w:val="008716AB"/>
    <w:rsid w:val="008726DE"/>
    <w:rsid w:val="00872827"/>
    <w:rsid w:val="00872AA6"/>
    <w:rsid w:val="00880D7D"/>
    <w:rsid w:val="0088195F"/>
    <w:rsid w:val="00881B95"/>
    <w:rsid w:val="00883032"/>
    <w:rsid w:val="00883113"/>
    <w:rsid w:val="008868D5"/>
    <w:rsid w:val="00886954"/>
    <w:rsid w:val="00890055"/>
    <w:rsid w:val="00893826"/>
    <w:rsid w:val="0089405C"/>
    <w:rsid w:val="008951E9"/>
    <w:rsid w:val="00895367"/>
    <w:rsid w:val="00896F32"/>
    <w:rsid w:val="008978E2"/>
    <w:rsid w:val="00897FA2"/>
    <w:rsid w:val="008A5AFE"/>
    <w:rsid w:val="008A79FA"/>
    <w:rsid w:val="008B0BA3"/>
    <w:rsid w:val="008B14BF"/>
    <w:rsid w:val="008B185D"/>
    <w:rsid w:val="008B1BF6"/>
    <w:rsid w:val="008B223C"/>
    <w:rsid w:val="008B2374"/>
    <w:rsid w:val="008B5E58"/>
    <w:rsid w:val="008C1A71"/>
    <w:rsid w:val="008C3143"/>
    <w:rsid w:val="008C34DF"/>
    <w:rsid w:val="008C37D4"/>
    <w:rsid w:val="008C508B"/>
    <w:rsid w:val="008C52B4"/>
    <w:rsid w:val="008C5A0E"/>
    <w:rsid w:val="008C77B1"/>
    <w:rsid w:val="008D1DEC"/>
    <w:rsid w:val="008D237B"/>
    <w:rsid w:val="008D27E8"/>
    <w:rsid w:val="008E181C"/>
    <w:rsid w:val="008E3624"/>
    <w:rsid w:val="008E3E81"/>
    <w:rsid w:val="008E49C5"/>
    <w:rsid w:val="008E63DC"/>
    <w:rsid w:val="008E6A69"/>
    <w:rsid w:val="008E7324"/>
    <w:rsid w:val="008F0B09"/>
    <w:rsid w:val="008F1260"/>
    <w:rsid w:val="008F34D6"/>
    <w:rsid w:val="008F50D6"/>
    <w:rsid w:val="00901879"/>
    <w:rsid w:val="009037C2"/>
    <w:rsid w:val="009144EE"/>
    <w:rsid w:val="00916F05"/>
    <w:rsid w:val="00920155"/>
    <w:rsid w:val="009230F9"/>
    <w:rsid w:val="0092338F"/>
    <w:rsid w:val="009236DE"/>
    <w:rsid w:val="009236FD"/>
    <w:rsid w:val="00925C9A"/>
    <w:rsid w:val="0093465B"/>
    <w:rsid w:val="0093785C"/>
    <w:rsid w:val="00940A60"/>
    <w:rsid w:val="00942E9A"/>
    <w:rsid w:val="00943730"/>
    <w:rsid w:val="00943E5D"/>
    <w:rsid w:val="009502C1"/>
    <w:rsid w:val="00950CA5"/>
    <w:rsid w:val="00951B1A"/>
    <w:rsid w:val="00953772"/>
    <w:rsid w:val="0095386F"/>
    <w:rsid w:val="00956479"/>
    <w:rsid w:val="009568EA"/>
    <w:rsid w:val="00957DE8"/>
    <w:rsid w:val="00960DFB"/>
    <w:rsid w:val="0096524C"/>
    <w:rsid w:val="00965398"/>
    <w:rsid w:val="00965B58"/>
    <w:rsid w:val="00965F49"/>
    <w:rsid w:val="00973DD0"/>
    <w:rsid w:val="0097598C"/>
    <w:rsid w:val="00975CA5"/>
    <w:rsid w:val="0098333C"/>
    <w:rsid w:val="009838B0"/>
    <w:rsid w:val="00983E1C"/>
    <w:rsid w:val="0098469F"/>
    <w:rsid w:val="00986590"/>
    <w:rsid w:val="0098663A"/>
    <w:rsid w:val="009906B6"/>
    <w:rsid w:val="00992C76"/>
    <w:rsid w:val="00993928"/>
    <w:rsid w:val="00995B07"/>
    <w:rsid w:val="009969D6"/>
    <w:rsid w:val="00996B8C"/>
    <w:rsid w:val="009A1EB6"/>
    <w:rsid w:val="009A309B"/>
    <w:rsid w:val="009A6228"/>
    <w:rsid w:val="009B0AC4"/>
    <w:rsid w:val="009B307F"/>
    <w:rsid w:val="009B4D3B"/>
    <w:rsid w:val="009B77CE"/>
    <w:rsid w:val="009C0D62"/>
    <w:rsid w:val="009C206F"/>
    <w:rsid w:val="009C64B3"/>
    <w:rsid w:val="009C7590"/>
    <w:rsid w:val="009D0843"/>
    <w:rsid w:val="009D180E"/>
    <w:rsid w:val="009D37F4"/>
    <w:rsid w:val="009D707D"/>
    <w:rsid w:val="009D7407"/>
    <w:rsid w:val="009E057A"/>
    <w:rsid w:val="009E0866"/>
    <w:rsid w:val="009E2722"/>
    <w:rsid w:val="009E273C"/>
    <w:rsid w:val="009E3B87"/>
    <w:rsid w:val="009E45BF"/>
    <w:rsid w:val="009E72E1"/>
    <w:rsid w:val="009F1350"/>
    <w:rsid w:val="009F6288"/>
    <w:rsid w:val="009F6423"/>
    <w:rsid w:val="009F7712"/>
    <w:rsid w:val="00A01DCC"/>
    <w:rsid w:val="00A0313E"/>
    <w:rsid w:val="00A14E6D"/>
    <w:rsid w:val="00A17F5A"/>
    <w:rsid w:val="00A246E6"/>
    <w:rsid w:val="00A24A62"/>
    <w:rsid w:val="00A24C76"/>
    <w:rsid w:val="00A31C9F"/>
    <w:rsid w:val="00A3477C"/>
    <w:rsid w:val="00A368BB"/>
    <w:rsid w:val="00A400A9"/>
    <w:rsid w:val="00A40D5F"/>
    <w:rsid w:val="00A4144F"/>
    <w:rsid w:val="00A4316B"/>
    <w:rsid w:val="00A51B80"/>
    <w:rsid w:val="00A53714"/>
    <w:rsid w:val="00A542E0"/>
    <w:rsid w:val="00A61B4D"/>
    <w:rsid w:val="00A623F1"/>
    <w:rsid w:val="00A627E2"/>
    <w:rsid w:val="00A65480"/>
    <w:rsid w:val="00A65663"/>
    <w:rsid w:val="00A67F30"/>
    <w:rsid w:val="00A73D99"/>
    <w:rsid w:val="00A74722"/>
    <w:rsid w:val="00A751B2"/>
    <w:rsid w:val="00A76C2B"/>
    <w:rsid w:val="00A77521"/>
    <w:rsid w:val="00A80F95"/>
    <w:rsid w:val="00A82C60"/>
    <w:rsid w:val="00A835C0"/>
    <w:rsid w:val="00A8451C"/>
    <w:rsid w:val="00A861FD"/>
    <w:rsid w:val="00A86B6A"/>
    <w:rsid w:val="00A871B1"/>
    <w:rsid w:val="00A93F68"/>
    <w:rsid w:val="00A965D6"/>
    <w:rsid w:val="00A97BF1"/>
    <w:rsid w:val="00AA00DB"/>
    <w:rsid w:val="00AA158C"/>
    <w:rsid w:val="00AA298A"/>
    <w:rsid w:val="00AA2BD2"/>
    <w:rsid w:val="00AA408B"/>
    <w:rsid w:val="00AB1CFE"/>
    <w:rsid w:val="00AB498C"/>
    <w:rsid w:val="00AB500A"/>
    <w:rsid w:val="00AB6E61"/>
    <w:rsid w:val="00AB74F6"/>
    <w:rsid w:val="00AB7892"/>
    <w:rsid w:val="00AC0613"/>
    <w:rsid w:val="00AC164A"/>
    <w:rsid w:val="00AC18CF"/>
    <w:rsid w:val="00AC2325"/>
    <w:rsid w:val="00AC2941"/>
    <w:rsid w:val="00AC372C"/>
    <w:rsid w:val="00AC5811"/>
    <w:rsid w:val="00AC6127"/>
    <w:rsid w:val="00AC6BD0"/>
    <w:rsid w:val="00AD39FD"/>
    <w:rsid w:val="00AD4BEA"/>
    <w:rsid w:val="00AE0E1F"/>
    <w:rsid w:val="00AE1D57"/>
    <w:rsid w:val="00AE1DFC"/>
    <w:rsid w:val="00AE2BE9"/>
    <w:rsid w:val="00AE448A"/>
    <w:rsid w:val="00AE5F0B"/>
    <w:rsid w:val="00AE6E45"/>
    <w:rsid w:val="00AF0070"/>
    <w:rsid w:val="00AF1D9C"/>
    <w:rsid w:val="00AF2050"/>
    <w:rsid w:val="00AF4030"/>
    <w:rsid w:val="00AF6162"/>
    <w:rsid w:val="00B003A6"/>
    <w:rsid w:val="00B02B2A"/>
    <w:rsid w:val="00B03CA8"/>
    <w:rsid w:val="00B072B6"/>
    <w:rsid w:val="00B07D57"/>
    <w:rsid w:val="00B147AE"/>
    <w:rsid w:val="00B1542E"/>
    <w:rsid w:val="00B15699"/>
    <w:rsid w:val="00B17EFA"/>
    <w:rsid w:val="00B201D0"/>
    <w:rsid w:val="00B212C3"/>
    <w:rsid w:val="00B26985"/>
    <w:rsid w:val="00B30BB9"/>
    <w:rsid w:val="00B30BF2"/>
    <w:rsid w:val="00B327C9"/>
    <w:rsid w:val="00B33C0A"/>
    <w:rsid w:val="00B34946"/>
    <w:rsid w:val="00B355DE"/>
    <w:rsid w:val="00B36006"/>
    <w:rsid w:val="00B435A0"/>
    <w:rsid w:val="00B501CE"/>
    <w:rsid w:val="00B506A1"/>
    <w:rsid w:val="00B52B5D"/>
    <w:rsid w:val="00B52F84"/>
    <w:rsid w:val="00B537B0"/>
    <w:rsid w:val="00B55E19"/>
    <w:rsid w:val="00B61E5F"/>
    <w:rsid w:val="00B63F67"/>
    <w:rsid w:val="00B71C58"/>
    <w:rsid w:val="00B745ED"/>
    <w:rsid w:val="00B857E1"/>
    <w:rsid w:val="00B9060A"/>
    <w:rsid w:val="00B9101D"/>
    <w:rsid w:val="00B9382E"/>
    <w:rsid w:val="00B93B1E"/>
    <w:rsid w:val="00B93C55"/>
    <w:rsid w:val="00B94041"/>
    <w:rsid w:val="00B94252"/>
    <w:rsid w:val="00B94758"/>
    <w:rsid w:val="00BA0FB0"/>
    <w:rsid w:val="00BA2068"/>
    <w:rsid w:val="00BA3907"/>
    <w:rsid w:val="00BA48C9"/>
    <w:rsid w:val="00BA4B6D"/>
    <w:rsid w:val="00BA7B28"/>
    <w:rsid w:val="00BB09A8"/>
    <w:rsid w:val="00BB1224"/>
    <w:rsid w:val="00BB26C5"/>
    <w:rsid w:val="00BB2D5B"/>
    <w:rsid w:val="00BB2FEA"/>
    <w:rsid w:val="00BB3484"/>
    <w:rsid w:val="00BC37F0"/>
    <w:rsid w:val="00BC3DA0"/>
    <w:rsid w:val="00BC4E2C"/>
    <w:rsid w:val="00BC525F"/>
    <w:rsid w:val="00BC621E"/>
    <w:rsid w:val="00BC67CB"/>
    <w:rsid w:val="00BC788B"/>
    <w:rsid w:val="00BD13A5"/>
    <w:rsid w:val="00BD1FC6"/>
    <w:rsid w:val="00BD3DF3"/>
    <w:rsid w:val="00BD68A9"/>
    <w:rsid w:val="00BE4293"/>
    <w:rsid w:val="00BE58E9"/>
    <w:rsid w:val="00BE7CA6"/>
    <w:rsid w:val="00BF0374"/>
    <w:rsid w:val="00BF1A97"/>
    <w:rsid w:val="00BF25E1"/>
    <w:rsid w:val="00BF42E6"/>
    <w:rsid w:val="00BF4DE6"/>
    <w:rsid w:val="00BF6EA1"/>
    <w:rsid w:val="00C02400"/>
    <w:rsid w:val="00C06B13"/>
    <w:rsid w:val="00C0727F"/>
    <w:rsid w:val="00C11646"/>
    <w:rsid w:val="00C1392D"/>
    <w:rsid w:val="00C1602E"/>
    <w:rsid w:val="00C21AAF"/>
    <w:rsid w:val="00C21C2C"/>
    <w:rsid w:val="00C263FD"/>
    <w:rsid w:val="00C27D25"/>
    <w:rsid w:val="00C30CED"/>
    <w:rsid w:val="00C31674"/>
    <w:rsid w:val="00C33EB9"/>
    <w:rsid w:val="00C35004"/>
    <w:rsid w:val="00C35515"/>
    <w:rsid w:val="00C35791"/>
    <w:rsid w:val="00C36E2F"/>
    <w:rsid w:val="00C37410"/>
    <w:rsid w:val="00C40BDC"/>
    <w:rsid w:val="00C42541"/>
    <w:rsid w:val="00C427CE"/>
    <w:rsid w:val="00C42CDE"/>
    <w:rsid w:val="00C42EB7"/>
    <w:rsid w:val="00C42EFF"/>
    <w:rsid w:val="00C43B1A"/>
    <w:rsid w:val="00C43BA1"/>
    <w:rsid w:val="00C506BC"/>
    <w:rsid w:val="00C51606"/>
    <w:rsid w:val="00C5182A"/>
    <w:rsid w:val="00C52749"/>
    <w:rsid w:val="00C53BBC"/>
    <w:rsid w:val="00C54631"/>
    <w:rsid w:val="00C54FFE"/>
    <w:rsid w:val="00C561B1"/>
    <w:rsid w:val="00C62030"/>
    <w:rsid w:val="00C628BD"/>
    <w:rsid w:val="00C6328E"/>
    <w:rsid w:val="00C63EE9"/>
    <w:rsid w:val="00C66A00"/>
    <w:rsid w:val="00C6741E"/>
    <w:rsid w:val="00C702B1"/>
    <w:rsid w:val="00C85D19"/>
    <w:rsid w:val="00C862E1"/>
    <w:rsid w:val="00C91025"/>
    <w:rsid w:val="00C92281"/>
    <w:rsid w:val="00C92DA2"/>
    <w:rsid w:val="00C93531"/>
    <w:rsid w:val="00C93F20"/>
    <w:rsid w:val="00C93F3E"/>
    <w:rsid w:val="00C95B08"/>
    <w:rsid w:val="00C95E4E"/>
    <w:rsid w:val="00C95EC6"/>
    <w:rsid w:val="00C9745B"/>
    <w:rsid w:val="00C979F9"/>
    <w:rsid w:val="00CA16F3"/>
    <w:rsid w:val="00CA29A4"/>
    <w:rsid w:val="00CA364D"/>
    <w:rsid w:val="00CA37B1"/>
    <w:rsid w:val="00CA4B6D"/>
    <w:rsid w:val="00CB1959"/>
    <w:rsid w:val="00CB3A38"/>
    <w:rsid w:val="00CB4D64"/>
    <w:rsid w:val="00CB554A"/>
    <w:rsid w:val="00CB6A9A"/>
    <w:rsid w:val="00CB6BF7"/>
    <w:rsid w:val="00CB72BF"/>
    <w:rsid w:val="00CC3B45"/>
    <w:rsid w:val="00CC4A55"/>
    <w:rsid w:val="00CC741B"/>
    <w:rsid w:val="00CD0E4B"/>
    <w:rsid w:val="00CD22E7"/>
    <w:rsid w:val="00CD4B2D"/>
    <w:rsid w:val="00CD79A3"/>
    <w:rsid w:val="00CE2893"/>
    <w:rsid w:val="00CE3A90"/>
    <w:rsid w:val="00CE4C89"/>
    <w:rsid w:val="00CE57AA"/>
    <w:rsid w:val="00CE5AD0"/>
    <w:rsid w:val="00CE5C33"/>
    <w:rsid w:val="00CE63B7"/>
    <w:rsid w:val="00CE6535"/>
    <w:rsid w:val="00CE723E"/>
    <w:rsid w:val="00CE7627"/>
    <w:rsid w:val="00CF07BA"/>
    <w:rsid w:val="00CF26D7"/>
    <w:rsid w:val="00CF3FB2"/>
    <w:rsid w:val="00CF428B"/>
    <w:rsid w:val="00CF67EF"/>
    <w:rsid w:val="00CF7824"/>
    <w:rsid w:val="00CF7BCD"/>
    <w:rsid w:val="00D0296C"/>
    <w:rsid w:val="00D04B74"/>
    <w:rsid w:val="00D07945"/>
    <w:rsid w:val="00D13F00"/>
    <w:rsid w:val="00D15A9C"/>
    <w:rsid w:val="00D2175F"/>
    <w:rsid w:val="00D23B26"/>
    <w:rsid w:val="00D24241"/>
    <w:rsid w:val="00D254AC"/>
    <w:rsid w:val="00D259E2"/>
    <w:rsid w:val="00D2637B"/>
    <w:rsid w:val="00D27972"/>
    <w:rsid w:val="00D30D16"/>
    <w:rsid w:val="00D32147"/>
    <w:rsid w:val="00D32A30"/>
    <w:rsid w:val="00D32D6F"/>
    <w:rsid w:val="00D32DAE"/>
    <w:rsid w:val="00D33124"/>
    <w:rsid w:val="00D36403"/>
    <w:rsid w:val="00D37950"/>
    <w:rsid w:val="00D37B04"/>
    <w:rsid w:val="00D41161"/>
    <w:rsid w:val="00D43529"/>
    <w:rsid w:val="00D45D77"/>
    <w:rsid w:val="00D46825"/>
    <w:rsid w:val="00D47AD2"/>
    <w:rsid w:val="00D47D87"/>
    <w:rsid w:val="00D504D5"/>
    <w:rsid w:val="00D519D9"/>
    <w:rsid w:val="00D53816"/>
    <w:rsid w:val="00D540C6"/>
    <w:rsid w:val="00D64BD1"/>
    <w:rsid w:val="00D668A8"/>
    <w:rsid w:val="00D702FC"/>
    <w:rsid w:val="00D719B5"/>
    <w:rsid w:val="00D71A2E"/>
    <w:rsid w:val="00D73D9E"/>
    <w:rsid w:val="00D74975"/>
    <w:rsid w:val="00D80102"/>
    <w:rsid w:val="00D83CDA"/>
    <w:rsid w:val="00D870DB"/>
    <w:rsid w:val="00D907E7"/>
    <w:rsid w:val="00D91377"/>
    <w:rsid w:val="00D913A5"/>
    <w:rsid w:val="00D92254"/>
    <w:rsid w:val="00D92985"/>
    <w:rsid w:val="00D9342F"/>
    <w:rsid w:val="00D953E7"/>
    <w:rsid w:val="00D9663A"/>
    <w:rsid w:val="00D97AC7"/>
    <w:rsid w:val="00DA06C0"/>
    <w:rsid w:val="00DA070E"/>
    <w:rsid w:val="00DA101B"/>
    <w:rsid w:val="00DA15C5"/>
    <w:rsid w:val="00DA1B55"/>
    <w:rsid w:val="00DA51B7"/>
    <w:rsid w:val="00DA7D97"/>
    <w:rsid w:val="00DB0A1D"/>
    <w:rsid w:val="00DB3665"/>
    <w:rsid w:val="00DB6F76"/>
    <w:rsid w:val="00DC610F"/>
    <w:rsid w:val="00DD155F"/>
    <w:rsid w:val="00DD2465"/>
    <w:rsid w:val="00DD2FD0"/>
    <w:rsid w:val="00DD46E9"/>
    <w:rsid w:val="00DE084C"/>
    <w:rsid w:val="00DE18FC"/>
    <w:rsid w:val="00DE3F62"/>
    <w:rsid w:val="00DE6259"/>
    <w:rsid w:val="00DE644F"/>
    <w:rsid w:val="00DE6894"/>
    <w:rsid w:val="00DF09D6"/>
    <w:rsid w:val="00DF2C92"/>
    <w:rsid w:val="00DF2E2F"/>
    <w:rsid w:val="00DF435A"/>
    <w:rsid w:val="00DF6E82"/>
    <w:rsid w:val="00DF70A7"/>
    <w:rsid w:val="00E06DEF"/>
    <w:rsid w:val="00E07794"/>
    <w:rsid w:val="00E10335"/>
    <w:rsid w:val="00E1080C"/>
    <w:rsid w:val="00E116E9"/>
    <w:rsid w:val="00E14176"/>
    <w:rsid w:val="00E14F51"/>
    <w:rsid w:val="00E17463"/>
    <w:rsid w:val="00E22969"/>
    <w:rsid w:val="00E23159"/>
    <w:rsid w:val="00E231B8"/>
    <w:rsid w:val="00E24822"/>
    <w:rsid w:val="00E26B1E"/>
    <w:rsid w:val="00E357B7"/>
    <w:rsid w:val="00E366EF"/>
    <w:rsid w:val="00E379A7"/>
    <w:rsid w:val="00E41576"/>
    <w:rsid w:val="00E46D4F"/>
    <w:rsid w:val="00E505B6"/>
    <w:rsid w:val="00E5134E"/>
    <w:rsid w:val="00E528FE"/>
    <w:rsid w:val="00E53800"/>
    <w:rsid w:val="00E53BD3"/>
    <w:rsid w:val="00E57029"/>
    <w:rsid w:val="00E57B7B"/>
    <w:rsid w:val="00E57F28"/>
    <w:rsid w:val="00E6081F"/>
    <w:rsid w:val="00E63389"/>
    <w:rsid w:val="00E63447"/>
    <w:rsid w:val="00E66209"/>
    <w:rsid w:val="00E66905"/>
    <w:rsid w:val="00E67E2F"/>
    <w:rsid w:val="00E705B4"/>
    <w:rsid w:val="00E70B41"/>
    <w:rsid w:val="00E715E0"/>
    <w:rsid w:val="00E73026"/>
    <w:rsid w:val="00E76C74"/>
    <w:rsid w:val="00E81DC3"/>
    <w:rsid w:val="00E8296D"/>
    <w:rsid w:val="00E8457B"/>
    <w:rsid w:val="00E87F84"/>
    <w:rsid w:val="00E92FD4"/>
    <w:rsid w:val="00E93FB6"/>
    <w:rsid w:val="00E95DAE"/>
    <w:rsid w:val="00E960FA"/>
    <w:rsid w:val="00E9732A"/>
    <w:rsid w:val="00EA04B2"/>
    <w:rsid w:val="00EA1506"/>
    <w:rsid w:val="00EA20F3"/>
    <w:rsid w:val="00EA5425"/>
    <w:rsid w:val="00EA71D6"/>
    <w:rsid w:val="00EB2A42"/>
    <w:rsid w:val="00EB71E7"/>
    <w:rsid w:val="00EB7314"/>
    <w:rsid w:val="00EB7756"/>
    <w:rsid w:val="00EC0A63"/>
    <w:rsid w:val="00EC1EB1"/>
    <w:rsid w:val="00EC2AFA"/>
    <w:rsid w:val="00EC4A7F"/>
    <w:rsid w:val="00EC5874"/>
    <w:rsid w:val="00EC6F02"/>
    <w:rsid w:val="00ED2831"/>
    <w:rsid w:val="00ED3F40"/>
    <w:rsid w:val="00ED43D1"/>
    <w:rsid w:val="00ED5967"/>
    <w:rsid w:val="00ED7A77"/>
    <w:rsid w:val="00EE1817"/>
    <w:rsid w:val="00EE470C"/>
    <w:rsid w:val="00EE4EE1"/>
    <w:rsid w:val="00EE65FF"/>
    <w:rsid w:val="00EE66E0"/>
    <w:rsid w:val="00EF00A4"/>
    <w:rsid w:val="00EF4574"/>
    <w:rsid w:val="00EF792A"/>
    <w:rsid w:val="00F01C8B"/>
    <w:rsid w:val="00F17762"/>
    <w:rsid w:val="00F17815"/>
    <w:rsid w:val="00F21A7F"/>
    <w:rsid w:val="00F22EB0"/>
    <w:rsid w:val="00F23A44"/>
    <w:rsid w:val="00F25A93"/>
    <w:rsid w:val="00F2684E"/>
    <w:rsid w:val="00F403FD"/>
    <w:rsid w:val="00F40411"/>
    <w:rsid w:val="00F40C10"/>
    <w:rsid w:val="00F427CC"/>
    <w:rsid w:val="00F42E3D"/>
    <w:rsid w:val="00F43603"/>
    <w:rsid w:val="00F44BDD"/>
    <w:rsid w:val="00F46CF2"/>
    <w:rsid w:val="00F5301C"/>
    <w:rsid w:val="00F53D83"/>
    <w:rsid w:val="00F5404C"/>
    <w:rsid w:val="00F54212"/>
    <w:rsid w:val="00F55F53"/>
    <w:rsid w:val="00F57D54"/>
    <w:rsid w:val="00F67C6A"/>
    <w:rsid w:val="00F67F54"/>
    <w:rsid w:val="00F705A9"/>
    <w:rsid w:val="00F710CE"/>
    <w:rsid w:val="00F729EF"/>
    <w:rsid w:val="00F73874"/>
    <w:rsid w:val="00F77CAE"/>
    <w:rsid w:val="00F82271"/>
    <w:rsid w:val="00F82946"/>
    <w:rsid w:val="00F83428"/>
    <w:rsid w:val="00F8412E"/>
    <w:rsid w:val="00F854DF"/>
    <w:rsid w:val="00F92584"/>
    <w:rsid w:val="00F93154"/>
    <w:rsid w:val="00F9382E"/>
    <w:rsid w:val="00F93AC9"/>
    <w:rsid w:val="00F950FA"/>
    <w:rsid w:val="00F96BB9"/>
    <w:rsid w:val="00FA1647"/>
    <w:rsid w:val="00FA3637"/>
    <w:rsid w:val="00FA455F"/>
    <w:rsid w:val="00FA6556"/>
    <w:rsid w:val="00FA7231"/>
    <w:rsid w:val="00FB124D"/>
    <w:rsid w:val="00FB38C5"/>
    <w:rsid w:val="00FB42A1"/>
    <w:rsid w:val="00FB69AE"/>
    <w:rsid w:val="00FB7911"/>
    <w:rsid w:val="00FC0525"/>
    <w:rsid w:val="00FC0590"/>
    <w:rsid w:val="00FC22D5"/>
    <w:rsid w:val="00FC5636"/>
    <w:rsid w:val="00FC7D76"/>
    <w:rsid w:val="00FD00FF"/>
    <w:rsid w:val="00FD2478"/>
    <w:rsid w:val="00FD46FE"/>
    <w:rsid w:val="00FD6653"/>
    <w:rsid w:val="00FD67B0"/>
    <w:rsid w:val="00FD6906"/>
    <w:rsid w:val="00FE0A5C"/>
    <w:rsid w:val="00FE3EBB"/>
    <w:rsid w:val="00FE6D51"/>
    <w:rsid w:val="00FE6F2A"/>
    <w:rsid w:val="00FE7EB5"/>
    <w:rsid w:val="00FF00E5"/>
    <w:rsid w:val="00FF37ED"/>
    <w:rsid w:val="00FF50B8"/>
    <w:rsid w:val="00FF5467"/>
    <w:rsid w:val="00FF7048"/>
    <w:rsid w:val="00FF7BD8"/>
    <w:rsid w:val="00FF7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05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A20FC"/>
    <w:pPr>
      <w:suppressAutoHyphens/>
      <w:spacing w:before="60" w:after="0" w:line="240" w:lineRule="auto"/>
    </w:pPr>
    <w:rPr>
      <w:color w:val="495965" w:themeColor="text2"/>
      <w:lang w:val="en-GB"/>
    </w:rPr>
  </w:style>
  <w:style w:type="paragraph" w:styleId="Heading1">
    <w:name w:val="heading 1"/>
    <w:basedOn w:val="Normal"/>
    <w:next w:val="Normal"/>
    <w:link w:val="Heading1Char"/>
    <w:uiPriority w:val="9"/>
    <w:qFormat/>
    <w:rsid w:val="003C70F4"/>
    <w:pPr>
      <w:keepNext/>
      <w:keepLines/>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6A20FC"/>
    <w:pPr>
      <w:spacing w:before="120" w:after="0"/>
      <w:contextualSpacing w:val="0"/>
      <w:outlineLvl w:val="2"/>
    </w:pPr>
    <w:rPr>
      <w:bCs/>
      <w:caps w:val="0"/>
      <w:sz w:val="30"/>
    </w:rPr>
  </w:style>
  <w:style w:type="paragraph" w:styleId="Heading4">
    <w:name w:val="heading 4"/>
    <w:basedOn w:val="Heading3"/>
    <w:next w:val="Normal"/>
    <w:link w:val="Heading4Char"/>
    <w:uiPriority w:val="9"/>
    <w:unhideWhenUsed/>
    <w:qFormat/>
    <w:rsid w:val="003C70F4"/>
    <w:pPr>
      <w:spacing w:before="60"/>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0F4"/>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6A20FC"/>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10"/>
      </w:numPr>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3C70F4"/>
    <w:rPr>
      <w:rFonts w:asciiTheme="majorHAnsi" w:eastAsiaTheme="majorEastAsia" w:hAnsiTheme="majorHAnsi" w:cstheme="majorBidi"/>
      <w:bCs/>
      <w:iCs/>
      <w:color w:val="495965" w:themeColor="text2"/>
      <w:sz w:val="24"/>
      <w:szCs w:val="26"/>
      <w:lang w:val="en-GB"/>
    </w:rPr>
  </w:style>
  <w:style w:type="paragraph" w:styleId="TOC1">
    <w:name w:val="toc 1"/>
    <w:basedOn w:val="Normal"/>
    <w:next w:val="Normal"/>
    <w:autoRedefine/>
    <w:uiPriority w:val="39"/>
    <w:unhideWhenUsed/>
    <w:rsid w:val="00D13F00"/>
    <w:pPr>
      <w:pBdr>
        <w:top w:val="single" w:sz="4" w:space="6" w:color="65C5B4" w:themeColor="accent1"/>
        <w:between w:val="single" w:sz="4" w:space="6" w:color="65C5B4" w:themeColor="accent1"/>
      </w:pBdr>
      <w:tabs>
        <w:tab w:val="right" w:pos="9639"/>
      </w:tabs>
      <w:spacing w:before="0"/>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ind w:left="227"/>
    </w:pPr>
    <w:rPr>
      <w:b/>
      <w:caps/>
      <w:sz w:val="20"/>
    </w:rPr>
  </w:style>
  <w:style w:type="paragraph" w:styleId="TOC4">
    <w:name w:val="toc 4"/>
    <w:basedOn w:val="Normal"/>
    <w:next w:val="Normal"/>
    <w:autoRedefine/>
    <w:uiPriority w:val="39"/>
    <w:unhideWhenUsed/>
    <w:locked/>
    <w:rsid w:val="0035119D"/>
    <w:pPr>
      <w:suppressAutoHyphens w:val="0"/>
      <w:spacing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rsid w:val="008C5A0E"/>
    <w:pPr>
      <w:spacing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pPr>
    <w:rPr>
      <w:rFonts w:ascii="Calibri" w:hAnsi="Calibri"/>
      <w:b/>
      <w:szCs w:val="21"/>
    </w:rPr>
  </w:style>
  <w:style w:type="paragraph" w:customStyle="1" w:styleId="TableNumberedList1">
    <w:name w:val="Table Numbered List 1"/>
    <w:basedOn w:val="NumberedList1"/>
    <w:qFormat/>
    <w:rsid w:val="00ED2831"/>
    <w:pPr>
      <w:spacing w:line="220" w:lineRule="atLeast"/>
    </w:pPr>
    <w:rPr>
      <w:rFonts w:ascii="Calibri" w:hAnsi="Calibri"/>
      <w:sz w:val="18"/>
    </w:rPr>
  </w:style>
  <w:style w:type="paragraph" w:customStyle="1" w:styleId="TableNumberedList2">
    <w:name w:val="Table Numbered List 2"/>
    <w:basedOn w:val="NumberedList2"/>
    <w:qFormat/>
    <w:rsid w:val="00ED2831"/>
    <w:pPr>
      <w:spacing w:line="220" w:lineRule="atLeast"/>
    </w:pPr>
    <w:rPr>
      <w:rFonts w:ascii="Calibri" w:hAnsi="Calibri"/>
      <w:sz w:val="18"/>
    </w:rPr>
  </w:style>
  <w:style w:type="paragraph" w:customStyle="1" w:styleId="TableNumberedList3">
    <w:name w:val="Table Numbered List 3"/>
    <w:basedOn w:val="NumberedList3"/>
    <w:qFormat/>
    <w:rsid w:val="00ED2831"/>
    <w:pPr>
      <w:spacing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Bullets"/>
    <w:basedOn w:val="Normal"/>
    <w:link w:val="ListParagraphChar"/>
    <w:uiPriority w:val="34"/>
    <w:qFormat/>
    <w:locked/>
    <w:rsid w:val="00FF37ED"/>
    <w:pPr>
      <w:suppressAutoHyphens w:val="0"/>
      <w:spacing w:after="160" w:line="256" w:lineRule="auto"/>
      <w:ind w:left="720"/>
      <w:contextualSpacing/>
    </w:pPr>
    <w:rPr>
      <w:color w:val="auto"/>
      <w:lang w:val="en-AU"/>
    </w:rPr>
  </w:style>
  <w:style w:type="paragraph" w:styleId="EndnoteText">
    <w:name w:val="endnote text"/>
    <w:basedOn w:val="Normal"/>
    <w:link w:val="EndnoteTextChar"/>
    <w:uiPriority w:val="99"/>
    <w:semiHidden/>
    <w:unhideWhenUsed/>
    <w:rsid w:val="00136703"/>
    <w:rPr>
      <w:sz w:val="20"/>
      <w:szCs w:val="20"/>
    </w:rPr>
  </w:style>
  <w:style w:type="character" w:customStyle="1" w:styleId="EndnoteTextChar">
    <w:name w:val="Endnote Text Char"/>
    <w:basedOn w:val="DefaultParagraphFont"/>
    <w:link w:val="EndnoteText"/>
    <w:uiPriority w:val="99"/>
    <w:semiHidden/>
    <w:rsid w:val="00136703"/>
    <w:rPr>
      <w:color w:val="495965" w:themeColor="text2"/>
      <w:sz w:val="20"/>
      <w:szCs w:val="20"/>
      <w:lang w:val="en-GB"/>
    </w:rPr>
  </w:style>
  <w:style w:type="character" w:styleId="EndnoteReference">
    <w:name w:val="endnote reference"/>
    <w:basedOn w:val="DefaultParagraphFont"/>
    <w:uiPriority w:val="99"/>
    <w:semiHidden/>
    <w:unhideWhenUsed/>
    <w:rsid w:val="00136703"/>
    <w:rPr>
      <w:vertAlign w:val="superscript"/>
    </w:rPr>
  </w:style>
  <w:style w:type="character" w:styleId="UnresolvedMention">
    <w:name w:val="Unresolved Mention"/>
    <w:basedOn w:val="DefaultParagraphFont"/>
    <w:uiPriority w:val="99"/>
    <w:semiHidden/>
    <w:unhideWhenUsed/>
    <w:rsid w:val="009D37F4"/>
    <w:rPr>
      <w:color w:val="605E5C"/>
      <w:shd w:val="clear" w:color="auto" w:fill="E1DFDD"/>
    </w:rPr>
  </w:style>
  <w:style w:type="character" w:customStyle="1" w:styleId="markedcontent">
    <w:name w:val="markedcontent"/>
    <w:basedOn w:val="DefaultParagraphFont"/>
    <w:rsid w:val="00F9382E"/>
  </w:style>
  <w:style w:type="character" w:customStyle="1" w:styleId="italic">
    <w:name w:val="italic"/>
    <w:basedOn w:val="DefaultParagraphFont"/>
    <w:rsid w:val="00F9382E"/>
  </w:style>
  <w:style w:type="paragraph" w:customStyle="1" w:styleId="Default">
    <w:name w:val="Default"/>
    <w:rsid w:val="00F9382E"/>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F9382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82E"/>
    <w:rPr>
      <w:rFonts w:eastAsiaTheme="minorEastAsia"/>
      <w:lang w:val="en-US"/>
    </w:rPr>
  </w:style>
  <w:style w:type="paragraph" w:customStyle="1" w:styleId="Pa6">
    <w:name w:val="Pa6"/>
    <w:basedOn w:val="Default"/>
    <w:next w:val="Default"/>
    <w:uiPriority w:val="99"/>
    <w:rsid w:val="00F9382E"/>
    <w:pPr>
      <w:spacing w:line="221" w:lineRule="atLeast"/>
    </w:pPr>
    <w:rPr>
      <w:rFonts w:ascii="Times New Roman" w:hAnsi="Times New Roman" w:cs="Times New Roman"/>
      <w:color w:val="auto"/>
    </w:rPr>
  </w:style>
  <w:style w:type="character" w:styleId="FollowedHyperlink">
    <w:name w:val="FollowedHyperlink"/>
    <w:basedOn w:val="DefaultParagraphFont"/>
    <w:uiPriority w:val="99"/>
    <w:semiHidden/>
    <w:unhideWhenUsed/>
    <w:rsid w:val="00F9382E"/>
    <w:rPr>
      <w:color w:val="800080" w:themeColor="followedHyperlink"/>
      <w:u w:val="single"/>
    </w:rPr>
  </w:style>
  <w:style w:type="character" w:customStyle="1" w:styleId="m-2836181720803761501gmail-m-1701341683444515739apple-converted-space">
    <w:name w:val="m_-2836181720803761501gmail-m-1701341683444515739apple-converted-space"/>
    <w:basedOn w:val="DefaultParagraphFont"/>
    <w:rsid w:val="00F9382E"/>
  </w:style>
  <w:style w:type="character" w:customStyle="1" w:styleId="chb8o">
    <w:name w:val="chb8o"/>
    <w:basedOn w:val="DefaultParagraphFont"/>
    <w:rsid w:val="00F9382E"/>
  </w:style>
  <w:style w:type="character" w:customStyle="1" w:styleId="jtukpc">
    <w:name w:val="jtukpc"/>
    <w:basedOn w:val="DefaultParagraphFont"/>
    <w:rsid w:val="00F9382E"/>
  </w:style>
  <w:style w:type="paragraph" w:styleId="NormalWeb">
    <w:name w:val="Normal (Web)"/>
    <w:basedOn w:val="Normal"/>
    <w:uiPriority w:val="99"/>
    <w:semiHidden/>
    <w:unhideWhenUsed/>
    <w:rsid w:val="00F9382E"/>
    <w:pPr>
      <w:suppressAutoHyphens w:val="0"/>
      <w:spacing w:before="100" w:beforeAutospacing="1" w:after="100" w:afterAutospacing="1"/>
    </w:pPr>
    <w:rPr>
      <w:rFonts w:ascii="Times New Roman" w:eastAsia="Times New Roman" w:hAnsi="Times New Roman" w:cs="Times New Roman"/>
      <w:color w:val="auto"/>
      <w:sz w:val="24"/>
      <w:szCs w:val="24"/>
      <w:lang w:val="en-AU"/>
    </w:rPr>
  </w:style>
  <w:style w:type="character" w:customStyle="1" w:styleId="A7">
    <w:name w:val="A7"/>
    <w:uiPriority w:val="99"/>
    <w:rsid w:val="00F9382E"/>
    <w:rPr>
      <w:rFonts w:cs="Fedra Sans Std Light"/>
      <w:color w:val="000000"/>
      <w:sz w:val="18"/>
      <w:szCs w:val="18"/>
    </w:rPr>
  </w:style>
  <w:style w:type="character" w:customStyle="1" w:styleId="A01">
    <w:name w:val="A0_1"/>
    <w:uiPriority w:val="99"/>
    <w:rsid w:val="00F9382E"/>
    <w:rPr>
      <w:rFonts w:cs="Raleway"/>
      <w:color w:val="000000"/>
      <w:sz w:val="18"/>
      <w:szCs w:val="18"/>
    </w:rPr>
  </w:style>
  <w:style w:type="character" w:customStyle="1" w:styleId="ListParagraphChar">
    <w:name w:val="List Paragraph Char"/>
    <w:aliases w:val="List Paragraph1 Char,Recommendation Char,List Paragraph11 Char,Bullets Char"/>
    <w:basedOn w:val="DefaultParagraphFont"/>
    <w:link w:val="ListParagraph"/>
    <w:uiPriority w:val="34"/>
    <w:locked/>
    <w:rsid w:val="00FF37ED"/>
  </w:style>
  <w:style w:type="paragraph" w:styleId="Revision">
    <w:name w:val="Revision"/>
    <w:hidden/>
    <w:uiPriority w:val="99"/>
    <w:semiHidden/>
    <w:rsid w:val="00F938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740">
      <w:bodyDiv w:val="1"/>
      <w:marLeft w:val="0"/>
      <w:marRight w:val="0"/>
      <w:marTop w:val="0"/>
      <w:marBottom w:val="0"/>
      <w:divBdr>
        <w:top w:val="none" w:sz="0" w:space="0" w:color="auto"/>
        <w:left w:val="none" w:sz="0" w:space="0" w:color="auto"/>
        <w:bottom w:val="none" w:sz="0" w:space="0" w:color="auto"/>
        <w:right w:val="none" w:sz="0" w:space="0" w:color="auto"/>
      </w:divBdr>
    </w:div>
    <w:div w:id="104732416">
      <w:bodyDiv w:val="1"/>
      <w:marLeft w:val="0"/>
      <w:marRight w:val="0"/>
      <w:marTop w:val="0"/>
      <w:marBottom w:val="0"/>
      <w:divBdr>
        <w:top w:val="none" w:sz="0" w:space="0" w:color="auto"/>
        <w:left w:val="none" w:sz="0" w:space="0" w:color="auto"/>
        <w:bottom w:val="none" w:sz="0" w:space="0" w:color="auto"/>
        <w:right w:val="none" w:sz="0" w:space="0" w:color="auto"/>
      </w:divBdr>
    </w:div>
    <w:div w:id="136532219">
      <w:bodyDiv w:val="1"/>
      <w:marLeft w:val="0"/>
      <w:marRight w:val="0"/>
      <w:marTop w:val="0"/>
      <w:marBottom w:val="0"/>
      <w:divBdr>
        <w:top w:val="none" w:sz="0" w:space="0" w:color="auto"/>
        <w:left w:val="none" w:sz="0" w:space="0" w:color="auto"/>
        <w:bottom w:val="none" w:sz="0" w:space="0" w:color="auto"/>
        <w:right w:val="none" w:sz="0" w:space="0" w:color="auto"/>
      </w:divBdr>
    </w:div>
    <w:div w:id="183519515">
      <w:bodyDiv w:val="1"/>
      <w:marLeft w:val="0"/>
      <w:marRight w:val="0"/>
      <w:marTop w:val="0"/>
      <w:marBottom w:val="0"/>
      <w:divBdr>
        <w:top w:val="none" w:sz="0" w:space="0" w:color="auto"/>
        <w:left w:val="none" w:sz="0" w:space="0" w:color="auto"/>
        <w:bottom w:val="none" w:sz="0" w:space="0" w:color="auto"/>
        <w:right w:val="none" w:sz="0" w:space="0" w:color="auto"/>
      </w:divBdr>
    </w:div>
    <w:div w:id="264731423">
      <w:bodyDiv w:val="1"/>
      <w:marLeft w:val="0"/>
      <w:marRight w:val="0"/>
      <w:marTop w:val="0"/>
      <w:marBottom w:val="0"/>
      <w:divBdr>
        <w:top w:val="none" w:sz="0" w:space="0" w:color="auto"/>
        <w:left w:val="none" w:sz="0" w:space="0" w:color="auto"/>
        <w:bottom w:val="none" w:sz="0" w:space="0" w:color="auto"/>
        <w:right w:val="none" w:sz="0" w:space="0" w:color="auto"/>
      </w:divBdr>
    </w:div>
    <w:div w:id="351417415">
      <w:bodyDiv w:val="1"/>
      <w:marLeft w:val="0"/>
      <w:marRight w:val="0"/>
      <w:marTop w:val="0"/>
      <w:marBottom w:val="0"/>
      <w:divBdr>
        <w:top w:val="none" w:sz="0" w:space="0" w:color="auto"/>
        <w:left w:val="none" w:sz="0" w:space="0" w:color="auto"/>
        <w:bottom w:val="none" w:sz="0" w:space="0" w:color="auto"/>
        <w:right w:val="none" w:sz="0" w:space="0" w:color="auto"/>
      </w:divBdr>
    </w:div>
    <w:div w:id="460879435">
      <w:bodyDiv w:val="1"/>
      <w:marLeft w:val="0"/>
      <w:marRight w:val="0"/>
      <w:marTop w:val="0"/>
      <w:marBottom w:val="0"/>
      <w:divBdr>
        <w:top w:val="none" w:sz="0" w:space="0" w:color="auto"/>
        <w:left w:val="none" w:sz="0" w:space="0" w:color="auto"/>
        <w:bottom w:val="none" w:sz="0" w:space="0" w:color="auto"/>
        <w:right w:val="none" w:sz="0" w:space="0" w:color="auto"/>
      </w:divBdr>
    </w:div>
    <w:div w:id="556012136">
      <w:bodyDiv w:val="1"/>
      <w:marLeft w:val="0"/>
      <w:marRight w:val="0"/>
      <w:marTop w:val="0"/>
      <w:marBottom w:val="0"/>
      <w:divBdr>
        <w:top w:val="none" w:sz="0" w:space="0" w:color="auto"/>
        <w:left w:val="none" w:sz="0" w:space="0" w:color="auto"/>
        <w:bottom w:val="none" w:sz="0" w:space="0" w:color="auto"/>
        <w:right w:val="none" w:sz="0" w:space="0" w:color="auto"/>
      </w:divBdr>
    </w:div>
    <w:div w:id="574046564">
      <w:bodyDiv w:val="1"/>
      <w:marLeft w:val="0"/>
      <w:marRight w:val="0"/>
      <w:marTop w:val="0"/>
      <w:marBottom w:val="0"/>
      <w:divBdr>
        <w:top w:val="none" w:sz="0" w:space="0" w:color="auto"/>
        <w:left w:val="none" w:sz="0" w:space="0" w:color="auto"/>
        <w:bottom w:val="none" w:sz="0" w:space="0" w:color="auto"/>
        <w:right w:val="none" w:sz="0" w:space="0" w:color="auto"/>
      </w:divBdr>
    </w:div>
    <w:div w:id="797183372">
      <w:bodyDiv w:val="1"/>
      <w:marLeft w:val="0"/>
      <w:marRight w:val="0"/>
      <w:marTop w:val="0"/>
      <w:marBottom w:val="0"/>
      <w:divBdr>
        <w:top w:val="none" w:sz="0" w:space="0" w:color="auto"/>
        <w:left w:val="none" w:sz="0" w:space="0" w:color="auto"/>
        <w:bottom w:val="none" w:sz="0" w:space="0" w:color="auto"/>
        <w:right w:val="none" w:sz="0" w:space="0" w:color="auto"/>
      </w:divBdr>
    </w:div>
    <w:div w:id="801078427">
      <w:bodyDiv w:val="1"/>
      <w:marLeft w:val="0"/>
      <w:marRight w:val="0"/>
      <w:marTop w:val="0"/>
      <w:marBottom w:val="0"/>
      <w:divBdr>
        <w:top w:val="none" w:sz="0" w:space="0" w:color="auto"/>
        <w:left w:val="none" w:sz="0" w:space="0" w:color="auto"/>
        <w:bottom w:val="none" w:sz="0" w:space="0" w:color="auto"/>
        <w:right w:val="none" w:sz="0" w:space="0" w:color="auto"/>
      </w:divBdr>
    </w:div>
    <w:div w:id="899098426">
      <w:bodyDiv w:val="1"/>
      <w:marLeft w:val="0"/>
      <w:marRight w:val="0"/>
      <w:marTop w:val="0"/>
      <w:marBottom w:val="0"/>
      <w:divBdr>
        <w:top w:val="none" w:sz="0" w:space="0" w:color="auto"/>
        <w:left w:val="none" w:sz="0" w:space="0" w:color="auto"/>
        <w:bottom w:val="none" w:sz="0" w:space="0" w:color="auto"/>
        <w:right w:val="none" w:sz="0" w:space="0" w:color="auto"/>
      </w:divBdr>
    </w:div>
    <w:div w:id="1009480299">
      <w:bodyDiv w:val="1"/>
      <w:marLeft w:val="0"/>
      <w:marRight w:val="0"/>
      <w:marTop w:val="0"/>
      <w:marBottom w:val="0"/>
      <w:divBdr>
        <w:top w:val="none" w:sz="0" w:space="0" w:color="auto"/>
        <w:left w:val="none" w:sz="0" w:space="0" w:color="auto"/>
        <w:bottom w:val="none" w:sz="0" w:space="0" w:color="auto"/>
        <w:right w:val="none" w:sz="0" w:space="0" w:color="auto"/>
      </w:divBdr>
    </w:div>
    <w:div w:id="1072586655">
      <w:bodyDiv w:val="1"/>
      <w:marLeft w:val="0"/>
      <w:marRight w:val="0"/>
      <w:marTop w:val="0"/>
      <w:marBottom w:val="0"/>
      <w:divBdr>
        <w:top w:val="none" w:sz="0" w:space="0" w:color="auto"/>
        <w:left w:val="none" w:sz="0" w:space="0" w:color="auto"/>
        <w:bottom w:val="none" w:sz="0" w:space="0" w:color="auto"/>
        <w:right w:val="none" w:sz="0" w:space="0" w:color="auto"/>
      </w:divBdr>
    </w:div>
    <w:div w:id="1076900249">
      <w:bodyDiv w:val="1"/>
      <w:marLeft w:val="0"/>
      <w:marRight w:val="0"/>
      <w:marTop w:val="0"/>
      <w:marBottom w:val="0"/>
      <w:divBdr>
        <w:top w:val="none" w:sz="0" w:space="0" w:color="auto"/>
        <w:left w:val="none" w:sz="0" w:space="0" w:color="auto"/>
        <w:bottom w:val="none" w:sz="0" w:space="0" w:color="auto"/>
        <w:right w:val="none" w:sz="0" w:space="0" w:color="auto"/>
      </w:divBdr>
    </w:div>
    <w:div w:id="1099373095">
      <w:bodyDiv w:val="1"/>
      <w:marLeft w:val="0"/>
      <w:marRight w:val="0"/>
      <w:marTop w:val="0"/>
      <w:marBottom w:val="0"/>
      <w:divBdr>
        <w:top w:val="none" w:sz="0" w:space="0" w:color="auto"/>
        <w:left w:val="none" w:sz="0" w:space="0" w:color="auto"/>
        <w:bottom w:val="none" w:sz="0" w:space="0" w:color="auto"/>
        <w:right w:val="none" w:sz="0" w:space="0" w:color="auto"/>
      </w:divBdr>
    </w:div>
    <w:div w:id="1156653663">
      <w:bodyDiv w:val="1"/>
      <w:marLeft w:val="0"/>
      <w:marRight w:val="0"/>
      <w:marTop w:val="0"/>
      <w:marBottom w:val="0"/>
      <w:divBdr>
        <w:top w:val="none" w:sz="0" w:space="0" w:color="auto"/>
        <w:left w:val="none" w:sz="0" w:space="0" w:color="auto"/>
        <w:bottom w:val="none" w:sz="0" w:space="0" w:color="auto"/>
        <w:right w:val="none" w:sz="0" w:space="0" w:color="auto"/>
      </w:divBdr>
    </w:div>
    <w:div w:id="1337348099">
      <w:bodyDiv w:val="1"/>
      <w:marLeft w:val="0"/>
      <w:marRight w:val="0"/>
      <w:marTop w:val="0"/>
      <w:marBottom w:val="0"/>
      <w:divBdr>
        <w:top w:val="none" w:sz="0" w:space="0" w:color="auto"/>
        <w:left w:val="none" w:sz="0" w:space="0" w:color="auto"/>
        <w:bottom w:val="none" w:sz="0" w:space="0" w:color="auto"/>
        <w:right w:val="none" w:sz="0" w:space="0" w:color="auto"/>
      </w:divBdr>
    </w:div>
    <w:div w:id="1440564515">
      <w:bodyDiv w:val="1"/>
      <w:marLeft w:val="0"/>
      <w:marRight w:val="0"/>
      <w:marTop w:val="0"/>
      <w:marBottom w:val="0"/>
      <w:divBdr>
        <w:top w:val="none" w:sz="0" w:space="0" w:color="auto"/>
        <w:left w:val="none" w:sz="0" w:space="0" w:color="auto"/>
        <w:bottom w:val="none" w:sz="0" w:space="0" w:color="auto"/>
        <w:right w:val="none" w:sz="0" w:space="0" w:color="auto"/>
      </w:divBdr>
    </w:div>
    <w:div w:id="1536888428">
      <w:bodyDiv w:val="1"/>
      <w:marLeft w:val="0"/>
      <w:marRight w:val="0"/>
      <w:marTop w:val="0"/>
      <w:marBottom w:val="0"/>
      <w:divBdr>
        <w:top w:val="none" w:sz="0" w:space="0" w:color="auto"/>
        <w:left w:val="none" w:sz="0" w:space="0" w:color="auto"/>
        <w:bottom w:val="none" w:sz="0" w:space="0" w:color="auto"/>
        <w:right w:val="none" w:sz="0" w:space="0" w:color="auto"/>
      </w:divBdr>
    </w:div>
    <w:div w:id="1592662231">
      <w:bodyDiv w:val="1"/>
      <w:marLeft w:val="0"/>
      <w:marRight w:val="0"/>
      <w:marTop w:val="0"/>
      <w:marBottom w:val="0"/>
      <w:divBdr>
        <w:top w:val="none" w:sz="0" w:space="0" w:color="auto"/>
        <w:left w:val="none" w:sz="0" w:space="0" w:color="auto"/>
        <w:bottom w:val="none" w:sz="0" w:space="0" w:color="auto"/>
        <w:right w:val="none" w:sz="0" w:space="0" w:color="auto"/>
      </w:divBdr>
    </w:div>
    <w:div w:id="16470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header" Target="header7.xml"/><Relationship Id="rId21" Type="http://schemas.openxmlformats.org/officeDocument/2006/relationships/image" Target="media/image11.png"/><Relationship Id="rId34" Type="http://schemas.openxmlformats.org/officeDocument/2006/relationships/header" Target="header5.xml"/><Relationship Id="rId42" Type="http://schemas.openxmlformats.org/officeDocument/2006/relationships/hyperlink" Target="https://www.adb.org/documents/policy-gender-and-development" TargetMode="External"/><Relationship Id="rId47" Type="http://schemas.openxmlformats.org/officeDocument/2006/relationships/hyperlink" Target="https://www.adb.org/publications/gender-mainstreaming-performance-adb-operations" TargetMode="External"/><Relationship Id="rId50" Type="http://schemas.openxmlformats.org/officeDocument/2006/relationships/hyperlink" Target="https://focusintl.com/GD119-%20Ten-Country%20Overview%20Report%20Integrating%20gender%20responsive%20budgeting%20into%20the%20aid%20effectiveness%20agenda.pdf" TargetMode="External"/><Relationship Id="rId55" Type="http://schemas.openxmlformats.org/officeDocument/2006/relationships/hyperlink" Target="http://gsdrc.org/docs/open/hdq977.pdf" TargetMode="External"/><Relationship Id="rId63" Type="http://schemas.openxmlformats.org/officeDocument/2006/relationships/hyperlink" Target="https://openknowledge.worldbank.org/bitstream/handle/10986/2256/589960PUB0ID171UBLIC109780821374344.pdf?sequence=1" TargetMode="External"/><Relationship Id="rId68" Type="http://schemas.openxmlformats.org/officeDocument/2006/relationships/hyperlink" Target="https://www.oecd-ilibrary.org/development/data/creditor-reporting-system/aid-activities_data-00061-en?parent=http%3A%2F%2Finstance.metastore.ingenta.com%2Fcontent%2Fcollection%2Fdev-data-en" TargetMode="External"/><Relationship Id="rId76" Type="http://schemas.openxmlformats.org/officeDocument/2006/relationships/hyperlink" Target="https://asiapacific.unwomen.org/en/digital-library/publications/2016/12/gender-responsive-budgeting-in-the-asia-pacific" TargetMode="External"/><Relationship Id="rId84" Type="http://schemas.openxmlformats.org/officeDocument/2006/relationships/hyperlink" Target="https://thedocs.worldbank.org/en/doc/861551551301960896-0290022020/original/DPFdevpolicyactiondatabase.xlsx" TargetMode="External"/><Relationship Id="rId89" Type="http://schemas.openxmlformats.org/officeDocument/2006/relationships/hyperlink" Target="https://www.un.org/womenwatch/daw/csw/GMS.PDF" TargetMode="External"/><Relationship Id="rId7" Type="http://schemas.openxmlformats.org/officeDocument/2006/relationships/footnotes" Target="footnotes.xml"/><Relationship Id="rId71" Type="http://schemas.openxmlformats.org/officeDocument/2006/relationships/hyperlink" Target="https://sdg-tracker.org/"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eader" Target="header3.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header" Target="header4.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hyperlink" Target="https://www.adb.org/documents/strategy-2030-op2-gender-equality" TargetMode="External"/><Relationship Id="rId53" Type="http://schemas.openxmlformats.org/officeDocument/2006/relationships/hyperlink" Target="https://www.imf.org/External/pubs/ft/wp/2016/wp16150.pdf" TargetMode="External"/><Relationship Id="rId58" Type="http://schemas.openxmlformats.org/officeDocument/2006/relationships/hyperlink" Target="https://onlinelibrary.wiley.com/doi/10.1002/app5.79" TargetMode="External"/><Relationship Id="rId66" Type="http://schemas.openxmlformats.org/officeDocument/2006/relationships/hyperlink" Target="https://www.oecd.org/dac/gender-development/46142807.pdf" TargetMode="External"/><Relationship Id="rId74" Type="http://schemas.openxmlformats.org/officeDocument/2006/relationships/hyperlink" Target="https://www.imf.org/External/pubs/ft/wp/2016/wp16149.pdf" TargetMode="External"/><Relationship Id="rId79" Type="http://schemas.openxmlformats.org/officeDocument/2006/relationships/hyperlink" Target="https://documents.worldbank.org/en/publication/documents-reports/documentdetail/295371468315572899/gender-equal%c2%acity-as-smart-economics-a-world-bank-group-gender-action-plan-fiscal-years-2007-10" TargetMode="External"/><Relationship Id="rId87" Type="http://schemas.openxmlformats.org/officeDocument/2006/relationships/hyperlink" Target="https://www.oecd.org/derec/ec/BGD_Budget-Support-Synthesis-Report-final.pdf" TargetMode="External"/><Relationship Id="rId5" Type="http://schemas.openxmlformats.org/officeDocument/2006/relationships/settings" Target="settings.xml"/><Relationship Id="rId61" Type="http://schemas.openxmlformats.org/officeDocument/2006/relationships/hyperlink" Target="https://www.imf.org/en/Publications/Policy-Papers/Issues/2022/07/28/IMF-Strategy-Toward-Mainstreaming-Gender-521344" TargetMode="External"/><Relationship Id="rId82" Type="http://schemas.openxmlformats.org/officeDocument/2006/relationships/hyperlink" Target="https://www.devcommittee.org/sites/dc/files/download/Documents/2019-04/DC2019-0003-PIBRDIFC%20capital%20package%204-13.pdf" TargetMode="External"/><Relationship Id="rId90" Type="http://schemas.openxmlformats.org/officeDocument/2006/relationships/header" Target="header8.xml"/><Relationship Id="rId19" Type="http://schemas.openxmlformats.org/officeDocument/2006/relationships/image" Target="media/image9.png"/><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hyperlink" Target="https://www.pefa.org/gender" TargetMode="Externa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hyperlink" Target="https://www.adb.org/sites/default/files/institutional-document/435391/strategy-2030-main-document.pdf" TargetMode="External"/><Relationship Id="rId48" Type="http://schemas.openxmlformats.org/officeDocument/2006/relationships/hyperlink" Target="https://www.imf.org/en/Publications/WP/Issues/2020/09/04/Review-of-the-Public-Financial-Management-Reform-Strategy-for-Pacific-Island-Countries-2010-49709" TargetMode="External"/><Relationship Id="rId56" Type="http://schemas.openxmlformats.org/officeDocument/2006/relationships/hyperlink" Target="https://www.unisa.edu.au/siteassets/episerver-6-files/documents/eass/hri/gender-budgets/pic.pdf" TargetMode="External"/><Relationship Id="rId64" Type="http://schemas.openxmlformats.org/officeDocument/2006/relationships/hyperlink" Target="https://www.oecd.org/social/gender-development/1956174.pdf" TargetMode="External"/><Relationship Id="rId69" Type="http://schemas.openxmlformats.org/officeDocument/2006/relationships/hyperlink" Target="https://oxfamilibrary.openrepository.com/bitstream/handle/10546/620429/gt-guide-gender-responsive-budgeting-280218-en.pdf?sequence=13" TargetMode="External"/><Relationship Id="rId77" Type="http://schemas.openxmlformats.org/officeDocument/2006/relationships/hyperlink" Target="https://www.unwomen.org/en/digital-library/publications/2010/1/evaluation-report-unifem-s-work-on-gender-responsive-budgeting" TargetMode="External"/><Relationship Id="rId8" Type="http://schemas.openxmlformats.org/officeDocument/2006/relationships/endnotes" Target="endnotes.xml"/><Relationship Id="rId51" Type="http://schemas.openxmlformats.org/officeDocument/2006/relationships/hyperlink" Target="https://asiapacific.unwomen.org/en/digital-library/publications/2016/05/budget-call-circulars-and-gender-budget-statements-in-the-asia-pacific" TargetMode="External"/><Relationship Id="rId72" Type="http://schemas.openxmlformats.org/officeDocument/2006/relationships/hyperlink" Target="https://www.unwomen.org/en/digital-library/publications/2003/1/budgeting-for-equity-gender-budget-initiatives-within-a-framework-of-performance-oriented-budgeting" TargetMode="External"/><Relationship Id="rId80" Type="http://schemas.openxmlformats.org/officeDocument/2006/relationships/hyperlink" Target="https://documents.worldbank.org/en/publication/documents-reports/documentdetail/492221468136792185/main-report" TargetMode="External"/><Relationship Id="rId85" Type="http://schemas.openxmlformats.org/officeDocument/2006/relationships/hyperlink" Target="https://ieg.worldbankgroup.org/sites/default/files/Data/Evaluation/files/GenderMidTermReview.pdf"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hyperlink" Target="https://www.pefa.org/" TargetMode="External"/><Relationship Id="rId33" Type="http://schemas.openxmlformats.org/officeDocument/2006/relationships/footer" Target="footer5.xml"/><Relationship Id="rId38" Type="http://schemas.openxmlformats.org/officeDocument/2006/relationships/hyperlink" Target="https://pacificwomen.org/wp-content/uploads/2017/09/PGEPEval_FINAL.pdf" TargetMode="External"/><Relationship Id="rId46" Type="http://schemas.openxmlformats.org/officeDocument/2006/relationships/hyperlink" Target="https://www.adb.org/documents/sovereign-lending-grant-modalities-quick-guide" TargetMode="External"/><Relationship Id="rId59" Type="http://schemas.openxmlformats.org/officeDocument/2006/relationships/hyperlink" Target="https://vc.bridgew.edu/jiws/vol16/iss2/10/" TargetMode="External"/><Relationship Id="rId67" Type="http://schemas.openxmlformats.org/officeDocument/2006/relationships/hyperlink" Target="https://www.oecd-ilibrary.org/development/oecd-development-co-operation-peer-reviews-australia-2018_9789264293366-en" TargetMode="External"/><Relationship Id="rId20" Type="http://schemas.openxmlformats.org/officeDocument/2006/relationships/image" Target="media/image10.png"/><Relationship Id="rId41" Type="http://schemas.openxmlformats.org/officeDocument/2006/relationships/hyperlink" Target="https://pacificwomen.org/wp-content/uploads/2017/09/PGEPEval_FINAL.pdf" TargetMode="External"/><Relationship Id="rId54" Type="http://schemas.openxmlformats.org/officeDocument/2006/relationships/hyperlink" Target="https://gsdrc.org/publications/practical-guidance-to-integrate-gender-into-public-financial-management/" TargetMode="External"/><Relationship Id="rId62" Type="http://schemas.openxmlformats.org/officeDocument/2006/relationships/hyperlink" Target="https://wagner.nyu.edu/files/publications/NYU%20PFM%20Working%20Group%20WEB%206.6.20.pdf" TargetMode="External"/><Relationship Id="rId70" Type="http://schemas.openxmlformats.org/officeDocument/2006/relationships/hyperlink" Target="https://www.pefa.org/node/256" TargetMode="External"/><Relationship Id="rId75" Type="http://schemas.openxmlformats.org/officeDocument/2006/relationships/hyperlink" Target="https://www.imf.org/en/Publications/WP/Issues/2016/12/31/Caribbean-and-Pacific-Islands-A-Survey-of-Gender-Budgeting-Efforts-44147" TargetMode="External"/><Relationship Id="rId83" Type="http://schemas.openxmlformats.org/officeDocument/2006/relationships/hyperlink" Target="https://openknowledge.worldbank.org/handle/10986/34611" TargetMode="External"/><Relationship Id="rId88" Type="http://schemas.openxmlformats.org/officeDocument/2006/relationships/hyperlink" Target="https://pacificwomen.org/wp-content/uploads/2017/09/PGEPEval_FINAL.pdf" TargetMode="External"/><Relationship Id="rId9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36" Type="http://schemas.openxmlformats.org/officeDocument/2006/relationships/header" Target="header6.xml"/><Relationship Id="rId49" Type="http://schemas.openxmlformats.org/officeDocument/2006/relationships/hyperlink" Target="https://internationalbudget.org/wp-content/uploads/2011/01/Engendering_Budgets_final_doc.pdf" TargetMode="External"/><Relationship Id="rId57" Type="http://schemas.openxmlformats.org/officeDocument/2006/relationships/hyperlink" Target="https://www.dfat.gov.au/sites/default/files/timor-leste-gender-responsive-budgeting-policy-note.pdf" TargetMode="External"/><Relationship Id="rId10" Type="http://schemas.openxmlformats.org/officeDocument/2006/relationships/image" Target="media/image2.png"/><Relationship Id="rId31" Type="http://schemas.openxmlformats.org/officeDocument/2006/relationships/footer" Target="footer4.xml"/><Relationship Id="rId44" Type="http://schemas.openxmlformats.org/officeDocument/2006/relationships/hyperlink" Target="https://www.adb.org/sites/default/files/evaluation-document/301291/files/ce-pbl-performance-results-and-issues-design.pdf" TargetMode="External"/><Relationship Id="rId52" Type="http://schemas.openxmlformats.org/officeDocument/2006/relationships/hyperlink" Target="https://www.imf.org/External/pubs/ft/wp/2016/wp16150.pdf" TargetMode="External"/><Relationship Id="rId60" Type="http://schemas.openxmlformats.org/officeDocument/2006/relationships/hyperlink" Target="https://www.pefa.org/node/4401" TargetMode="External"/><Relationship Id="rId65" Type="http://schemas.openxmlformats.org/officeDocument/2006/relationships/hyperlink" Target="https://www.oecd.org/dac/effectiveness/34583142.pdf" TargetMode="External"/><Relationship Id="rId73" Type="http://schemas.openxmlformats.org/officeDocument/2006/relationships/hyperlink" Target="https://www.imf.org/External/pubs/ft/wp/2006/wp06232.pdf" TargetMode="External"/><Relationship Id="rId78" Type="http://schemas.openxmlformats.org/officeDocument/2006/relationships/hyperlink" Target="https://odi.org/en/publications/gender-responsive-public-expenditure-management-public-finance-management-introductory-guide/" TargetMode="External"/><Relationship Id="rId81" Type="http://schemas.openxmlformats.org/officeDocument/2006/relationships/hyperlink" Target="https://openknowledge.worldbank.org/handle/10986/16507" TargetMode="External"/><Relationship Id="rId86" Type="http://schemas.openxmlformats.org/officeDocument/2006/relationships/hyperlink" Target="https://documents.worldbank.org/en/publication/documents-reports/documentdetail/163861645554924417/ida20-building-back-better-from-the-crisis-toward-a-green-resilient-and-inclusive-future" TargetMode="External"/><Relationship Id="rId4" Type="http://schemas.openxmlformats.org/officeDocument/2006/relationships/styles" Target="styles.xml"/><Relationship Id="rId9"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9.png"/></Relationships>
</file>

<file path=word/_rels/footer6.xml.rels><?xml version="1.0" encoding="UTF-8" standalone="yes"?>
<Relationships xmlns="http://schemas.openxmlformats.org/package/2006/relationships"><Relationship Id="rId1" Type="http://schemas.openxmlformats.org/officeDocument/2006/relationships/image" Target="media/image21.png"/></Relationships>
</file>

<file path=word/_rels/footer8.xml.rels><?xml version="1.0" encoding="UTF-8" standalone="yes"?>
<Relationships xmlns="http://schemas.openxmlformats.org/package/2006/relationships"><Relationship Id="rId1" Type="http://schemas.openxmlformats.org/officeDocument/2006/relationships/image" Target="media/image21.png"/></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what-we-do/products-and-services/financing-instruments/development-policy-financing" TargetMode="External"/><Relationship Id="rId2" Type="http://schemas.openxmlformats.org/officeDocument/2006/relationships/hyperlink" Target="https://en.wikipedia.org/wiki/Women%27s_empowerment" TargetMode="External"/><Relationship Id="rId1" Type="http://schemas.openxmlformats.org/officeDocument/2006/relationships/hyperlink" Target="https://en.wikipedia.org/wiki/Gender_equality" TargetMode="External"/><Relationship Id="rId4" Type="http://schemas.openxmlformats.org/officeDocument/2006/relationships/hyperlink" Target="https://www.pefa.org/ge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_rels/header4.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5.xml.rels><?xml version="1.0" encoding="UTF-8" standalone="yes"?>
<Relationships xmlns="http://schemas.openxmlformats.org/package/2006/relationships"><Relationship Id="rId1" Type="http://schemas.openxmlformats.org/officeDocument/2006/relationships/image" Target="media/image20.png"/></Relationships>
</file>

<file path=word/_rels/header6.xml.rels><?xml version="1.0" encoding="UTF-8" standalone="yes"?>
<Relationships xmlns="http://schemas.openxmlformats.org/package/2006/relationships"><Relationship Id="rId1" Type="http://schemas.openxmlformats.org/officeDocument/2006/relationships/image" Target="media/image16.png"/></Relationships>
</file>

<file path=word/_rels/header7.xml.rels><?xml version="1.0" encoding="UTF-8" standalone="yes"?>
<Relationships xmlns="http://schemas.openxmlformats.org/package/2006/relationships"><Relationship Id="rId1" Type="http://schemas.openxmlformats.org/officeDocument/2006/relationships/image" Target="media/image20.png"/></Relationships>
</file>

<file path=word/_rels/header8.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3CAE0E-F139-405F-B553-F84BF08C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21363</Words>
  <Characters>124276</Characters>
  <Application>Microsoft Office Word</Application>
  <DocSecurity>0</DocSecurity>
  <Lines>2486</Lines>
  <Paragraphs>1325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and budget support in the Pacific and Timor-Leste</dc:title>
  <dc:subject/>
  <dc:creator/>
  <cp:keywords>[SEC=OFFICIAL]</cp:keywords>
  <cp:lastModifiedBy/>
  <cp:revision>1</cp:revision>
  <dcterms:created xsi:type="dcterms:W3CDTF">2022-11-28T06:06:00Z</dcterms:created>
  <dcterms:modified xsi:type="dcterms:W3CDTF">2022-11-28T06:06:00Z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CF4D512BC3504490A25CA157E1D0D0AF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2022-11-28T06:06:31Z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F49BA41F336CA4A98D7C27B675427465</vt:lpwstr>
  </property>
  <property fmtid="{D5CDD505-2E9C-101B-9397-08002B2CF9AE}" pid="20" name="PM_Hash_Salt">
    <vt:lpwstr>97E5B91AE31A04A3A68D9808C55B9BA8</vt:lpwstr>
  </property>
  <property fmtid="{D5CDD505-2E9C-101B-9397-08002B2CF9AE}" pid="21" name="PM_Hash_SHA1">
    <vt:lpwstr>D7102E34EC0C0C895BA5ED613823D0B2E0A0F2E8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MinimumSecurityClassification">
    <vt:lpwstr>OFFICIAL</vt:lpwstr>
  </property>
  <property fmtid="{D5CDD505-2E9C-101B-9397-08002B2CF9AE}" pid="25" name="PM_Display">
    <vt:lpwstr>OFFICIAL</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