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5673E" w14:textId="77777777" w:rsidR="00FE6F2A" w:rsidRDefault="00FE6F2A" w:rsidP="00F25A93">
      <w:pPr>
        <w:pStyle w:val="SpacebeforeTitle"/>
      </w:pPr>
    </w:p>
    <w:p w14:paraId="09468AA5" w14:textId="35E3D837" w:rsidR="00992C76" w:rsidRDefault="002356C0" w:rsidP="00D37B04">
      <w:pPr>
        <w:pStyle w:val="Title"/>
      </w:pPr>
      <w:r>
        <w:t xml:space="preserve">gender action platform </w:t>
      </w:r>
      <w:r w:rsidR="00C90A22">
        <w:t>(GAP)</w:t>
      </w:r>
    </w:p>
    <w:p w14:paraId="72419C9A" w14:textId="74743B0C" w:rsidR="00CD0E4B" w:rsidRDefault="00270627" w:rsidP="00D37B04">
      <w:pPr>
        <w:pStyle w:val="Subtitle"/>
      </w:pPr>
      <w:r>
        <w:rPr>
          <w:rFonts w:ascii="Times New Roman" w:hAnsi="Times New Roman" w:cs="Times New Roman"/>
          <w:noProof/>
          <w:color w:val="auto"/>
          <w:sz w:val="24"/>
        </w:rPr>
        <w:drawing>
          <wp:anchor distT="36576" distB="36576" distL="36576" distR="36576" simplePos="0" relativeHeight="251676672" behindDoc="0" locked="0" layoutInCell="1" allowOverlap="1" wp14:anchorId="7EDC630C" wp14:editId="0619D01F">
            <wp:simplePos x="0" y="0"/>
            <wp:positionH relativeFrom="margin">
              <wp:posOffset>19050</wp:posOffset>
            </wp:positionH>
            <wp:positionV relativeFrom="paragraph">
              <wp:posOffset>257810</wp:posOffset>
            </wp:positionV>
            <wp:extent cx="6120130" cy="1214120"/>
            <wp:effectExtent l="0" t="0" r="0" b="508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1214120"/>
                    </a:xfrm>
                    <a:prstGeom prst="rect">
                      <a:avLst/>
                    </a:prstGeom>
                    <a:noFill/>
                    <a:ln>
                      <a:noFill/>
                    </a:ln>
                    <a:effectLst>
                      <a:softEdge rad="19050"/>
                    </a:effectLst>
                  </pic:spPr>
                </pic:pic>
              </a:graphicData>
            </a:graphic>
            <wp14:sizeRelH relativeFrom="page">
              <wp14:pctWidth>0</wp14:pctWidth>
            </wp14:sizeRelH>
            <wp14:sizeRelV relativeFrom="page">
              <wp14:pctHeight>0</wp14:pctHeight>
            </wp14:sizeRelV>
          </wp:anchor>
        </w:drawing>
      </w:r>
      <w:r w:rsidR="001137DD">
        <w:t xml:space="preserve">overview </w:t>
      </w:r>
    </w:p>
    <w:p w14:paraId="5A21B6C8" w14:textId="00811E4E" w:rsidR="00992C76" w:rsidRPr="00897FA2" w:rsidRDefault="00992C76" w:rsidP="00897FA2">
      <w:pPr>
        <w:pStyle w:val="PhotoMargins"/>
      </w:pPr>
    </w:p>
    <w:p w14:paraId="5E8F56C7" w14:textId="325C9D29" w:rsidR="004C6342" w:rsidRDefault="004C6342" w:rsidP="004C6342"/>
    <w:p w14:paraId="3C00EF01" w14:textId="439A6BFF" w:rsidR="00774EE4" w:rsidRDefault="00774EE4" w:rsidP="0048492D"/>
    <w:p w14:paraId="0ADDC39F" w14:textId="47F88A9B" w:rsidR="00774EE4" w:rsidRDefault="00774EE4" w:rsidP="004C6342"/>
    <w:p w14:paraId="78A65E76" w14:textId="648C030C" w:rsidR="002356C0" w:rsidRDefault="00CE22BA" w:rsidP="002356C0">
      <w:r>
        <w:rPr>
          <w:noProof/>
        </w:rPr>
        <mc:AlternateContent>
          <mc:Choice Requires="wps">
            <w:drawing>
              <wp:inline distT="0" distB="0" distL="0" distR="0" wp14:anchorId="79EED709" wp14:editId="0816E0FC">
                <wp:extent cx="1257300" cy="20955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09550"/>
                        </a:xfrm>
                        <a:prstGeom prst="rect">
                          <a:avLst/>
                        </a:prstGeom>
                        <a:solidFill>
                          <a:srgbClr val="FFFFFF">
                            <a:alpha val="0"/>
                          </a:srgbClr>
                        </a:solidFill>
                        <a:ln w="9525">
                          <a:noFill/>
                          <a:miter lim="800000"/>
                          <a:headEnd/>
                          <a:tailEnd/>
                        </a:ln>
                      </wps:spPr>
                      <wps:txbx>
                        <w:txbxContent>
                          <w:p w14:paraId="627A44BE" w14:textId="0A463011" w:rsidR="00CE22BA" w:rsidRPr="00270627" w:rsidRDefault="00CE22BA" w:rsidP="00CE22BA">
                            <w:pPr>
                              <w:spacing w:before="0" w:after="0" w:line="240" w:lineRule="auto"/>
                              <w:rPr>
                                <w:color w:val="auto"/>
                                <w:sz w:val="16"/>
                                <w:szCs w:val="16"/>
                              </w:rPr>
                            </w:pPr>
                            <w:r w:rsidRPr="00270627">
                              <w:rPr>
                                <w:color w:val="auto"/>
                                <w:sz w:val="16"/>
                                <w:szCs w:val="16"/>
                              </w:rPr>
                              <w:t>Photo credit: Milla Gena</w:t>
                            </w:r>
                          </w:p>
                        </w:txbxContent>
                      </wps:txbx>
                      <wps:bodyPr rot="0" vert="horz" wrap="square" lIns="91440" tIns="45720" rIns="91440" bIns="45720" anchor="t" anchorCtr="0">
                        <a:noAutofit/>
                      </wps:bodyPr>
                    </wps:wsp>
                  </a:graphicData>
                </a:graphic>
              </wp:inline>
            </w:drawing>
          </mc:Choice>
          <mc:Fallback>
            <w:pict>
              <v:shapetype w14:anchorId="79EED709" id="_x0000_t202" coordsize="21600,21600" o:spt="202" path="m,l,21600r21600,l21600,xe">
                <v:stroke joinstyle="miter"/>
                <v:path gradientshapeok="t" o:connecttype="rect"/>
              </v:shapetype>
              <v:shape id="Text Box 2" o:spid="_x0000_s1026" type="#_x0000_t202" style="width:99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" stroked="f">
                <v:fill opacity="0"/>
                <v:textbox>
                  <w:txbxContent>
                    <w:p w14:paraId="627A44BE" w14:textId="0A463011" w:rsidR="00CE22BA" w:rsidRPr="00270627" w:rsidRDefault="00CE22BA" w:rsidP="00CE22BA">
                      <w:pPr>
                        <w:spacing w:before="0" w:after="0" w:line="240" w:lineRule="auto"/>
                        <w:rPr>
                          <w:color w:val="auto"/>
                          <w:sz w:val="16"/>
                          <w:szCs w:val="16"/>
                        </w:rPr>
                      </w:pPr>
                      <w:r w:rsidRPr="00270627">
                        <w:rPr>
                          <w:color w:val="auto"/>
                          <w:sz w:val="16"/>
                          <w:szCs w:val="16"/>
                        </w:rPr>
                        <w:t>Photo credit: Milla Gena</w:t>
                      </w:r>
                    </w:p>
                  </w:txbxContent>
                </v:textbox>
                <w10:anchorlock/>
              </v:shape>
            </w:pict>
          </mc:Fallback>
        </mc:AlternateContent>
      </w:r>
    </w:p>
    <w:p w14:paraId="2182BB72" w14:textId="2E86BBC7" w:rsidR="002356C0" w:rsidRPr="003F3F9A" w:rsidRDefault="002356C0" w:rsidP="003F3F9A">
      <w:pPr>
        <w:pStyle w:val="Heading2"/>
        <w:ind w:left="567"/>
      </w:pPr>
      <w:r w:rsidRPr="00083026">
        <w:rPr>
          <w:rFonts w:ascii="Times New Roman" w:hAnsi="Times New Roman" w:cs="Times New Roman"/>
          <w:noProof/>
          <w:color w:val="auto"/>
        </w:rPr>
        <w:drawing>
          <wp:anchor distT="36576" distB="36576" distL="36576" distR="36576" simplePos="0" relativeHeight="251661312" behindDoc="0" locked="0" layoutInCell="1" allowOverlap="1" wp14:anchorId="357EE585" wp14:editId="061AB1A9">
            <wp:simplePos x="0" y="0"/>
            <wp:positionH relativeFrom="margin">
              <wp:align>left</wp:align>
            </wp:positionH>
            <wp:positionV relativeFrom="paragraph">
              <wp:posOffset>86581</wp:posOffset>
            </wp:positionV>
            <wp:extent cx="215409" cy="215409"/>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409" cy="21540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F3F9A">
        <w:t>GAP Summary</w:t>
      </w:r>
      <w:r w:rsidRPr="003F3F9A">
        <w:tab/>
      </w:r>
    </w:p>
    <w:p w14:paraId="2F5DD184" w14:textId="54AABD07" w:rsidR="002356C0" w:rsidRPr="00276324" w:rsidRDefault="002356C0" w:rsidP="003D4796">
      <w:pPr>
        <w:widowControl w:val="0"/>
        <w:spacing w:after="0"/>
      </w:pPr>
      <w:bookmarkStart w:id="0" w:name="_Hlk81233822"/>
      <w:r w:rsidRPr="00276324">
        <w:t>The Gender Action Platform (GAP) strengthened Australian non-government organisation (ANGO) programming to achieve gender equality outcomes in developing countries</w:t>
      </w:r>
      <w:r w:rsidR="00DD35EF">
        <w:t xml:space="preserve">. </w:t>
      </w:r>
      <w:r w:rsidR="00F566A9">
        <w:t>In summary:</w:t>
      </w:r>
    </w:p>
    <w:p w14:paraId="221AD45E" w14:textId="2ECFE736" w:rsidR="003D4796" w:rsidRPr="00276324" w:rsidRDefault="003D4796" w:rsidP="003D4796">
      <w:pPr>
        <w:pStyle w:val="ListParagraph"/>
        <w:widowControl w:val="0"/>
        <w:numPr>
          <w:ilvl w:val="0"/>
          <w:numId w:val="34"/>
        </w:numPr>
        <w:spacing w:after="0"/>
      </w:pPr>
      <w:r>
        <w:t xml:space="preserve">The GAP included six projects </w:t>
      </w:r>
      <w:r w:rsidR="00224716">
        <w:t xml:space="preserve">to </w:t>
      </w:r>
      <w:r>
        <w:t>address women’s economic empowerment, gender-based violence and women’s leadership.</w:t>
      </w:r>
    </w:p>
    <w:p w14:paraId="3D3B8B45" w14:textId="567D13A6" w:rsidR="002356C0" w:rsidRDefault="002356C0" w:rsidP="002356C0">
      <w:pPr>
        <w:pStyle w:val="ListParagraph"/>
        <w:widowControl w:val="0"/>
        <w:numPr>
          <w:ilvl w:val="0"/>
          <w:numId w:val="34"/>
        </w:numPr>
        <w:spacing w:after="0"/>
      </w:pPr>
      <w:r w:rsidRPr="00276324">
        <w:t>The GAP design prioritised innovation, collaboration, and shared learning</w:t>
      </w:r>
    </w:p>
    <w:p w14:paraId="305AB97F" w14:textId="3142D330" w:rsidR="002356C0" w:rsidRDefault="002356C0" w:rsidP="002356C0">
      <w:pPr>
        <w:pStyle w:val="ListParagraph"/>
        <w:widowControl w:val="0"/>
        <w:numPr>
          <w:ilvl w:val="0"/>
          <w:numId w:val="34"/>
        </w:numPr>
        <w:spacing w:after="0"/>
      </w:pPr>
      <w:r w:rsidRPr="00276324">
        <w:t xml:space="preserve">Implementation dates: July 2017 to December 2020 </w:t>
      </w:r>
    </w:p>
    <w:bookmarkEnd w:id="0"/>
    <w:p w14:paraId="2A33E409" w14:textId="7895F916" w:rsidR="002356C0" w:rsidRDefault="002356C0" w:rsidP="002356C0">
      <w:pPr>
        <w:pStyle w:val="ListParagraph"/>
        <w:widowControl w:val="0"/>
        <w:numPr>
          <w:ilvl w:val="0"/>
          <w:numId w:val="34"/>
        </w:numPr>
        <w:spacing w:after="0"/>
      </w:pPr>
      <w:r w:rsidRPr="00276324">
        <w:t>The GAP reached 226,131 people including 144,139 women and girls (64%); 96,340 women (42%) and 47,779 girls (21%)</w:t>
      </w:r>
      <w:r w:rsidR="00707B8C">
        <w:t xml:space="preserve"> a</w:t>
      </w:r>
      <w:r w:rsidRPr="00276324">
        <w:t>nd 4,217 people with disabilities (2%)</w:t>
      </w:r>
      <w:r w:rsidR="0024006B">
        <w:t>.</w:t>
      </w:r>
    </w:p>
    <w:p w14:paraId="29CE7E67" w14:textId="77777777" w:rsidR="00FA5AFA" w:rsidRPr="00276324" w:rsidRDefault="00FA5AFA" w:rsidP="00B6510B">
      <w:pPr>
        <w:pStyle w:val="ListParagraph"/>
        <w:widowControl w:val="0"/>
        <w:spacing w:after="0"/>
      </w:pPr>
    </w:p>
    <w:p w14:paraId="6C9F0CFB" w14:textId="1D9D65CB" w:rsidR="00FA5AFA" w:rsidRPr="003F3F9A" w:rsidRDefault="00FA5AFA" w:rsidP="003F3F9A">
      <w:pPr>
        <w:pStyle w:val="ListParagraph"/>
        <w:widowControl w:val="0"/>
        <w:ind w:left="567"/>
        <w:rPr>
          <w:rStyle w:val="Heading2Char"/>
        </w:rPr>
      </w:pPr>
      <w:r w:rsidRPr="003F3F9A">
        <w:rPr>
          <w:rStyle w:val="Heading2Char"/>
        </w:rPr>
        <w:drawing>
          <wp:anchor distT="0" distB="0" distL="114300" distR="114300" simplePos="0" relativeHeight="251682816" behindDoc="0" locked="0" layoutInCell="1" allowOverlap="1" wp14:anchorId="231E9A76" wp14:editId="491E42CA">
            <wp:simplePos x="0" y="0"/>
            <wp:positionH relativeFrom="margin">
              <wp:align>left</wp:align>
            </wp:positionH>
            <wp:positionV relativeFrom="paragraph">
              <wp:posOffset>2540</wp:posOffset>
            </wp:positionV>
            <wp:extent cx="213995" cy="219075"/>
            <wp:effectExtent l="0" t="0" r="0" b="9525"/>
            <wp:wrapThrough wrapText="bothSides">
              <wp:wrapPolygon edited="0">
                <wp:start x="0" y="0"/>
                <wp:lineTo x="0" y="20661"/>
                <wp:lineTo x="19228" y="20661"/>
                <wp:lineTo x="19228"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995" cy="219075"/>
                    </a:xfrm>
                    <a:prstGeom prst="rect">
                      <a:avLst/>
                    </a:prstGeom>
                    <a:noFill/>
                  </pic:spPr>
                </pic:pic>
              </a:graphicData>
            </a:graphic>
            <wp14:sizeRelH relativeFrom="page">
              <wp14:pctWidth>0</wp14:pctWidth>
            </wp14:sizeRelH>
            <wp14:sizeRelV relativeFrom="page">
              <wp14:pctHeight>0</wp14:pctHeight>
            </wp14:sizeRelV>
          </wp:anchor>
        </w:drawing>
      </w:r>
      <w:r w:rsidR="003D4796" w:rsidRPr="003F3F9A">
        <w:rPr>
          <w:rStyle w:val="Heading2Char"/>
        </w:rPr>
        <w:t xml:space="preserve">PROJECTS, </w:t>
      </w:r>
      <w:r w:rsidRPr="003F3F9A">
        <w:rPr>
          <w:rStyle w:val="Heading2Char"/>
        </w:rPr>
        <w:t>participating NGOs and locations</w:t>
      </w:r>
    </w:p>
    <w:tbl>
      <w:tblPr>
        <w:tblStyle w:val="GridTable4-Accent1"/>
        <w:tblW w:w="9639" w:type="dxa"/>
        <w:tblInd w:w="137" w:type="dxa"/>
        <w:tblLook w:val="04A0" w:firstRow="1" w:lastRow="0" w:firstColumn="1" w:lastColumn="0" w:noHBand="0" w:noVBand="1"/>
      </w:tblPr>
      <w:tblGrid>
        <w:gridCol w:w="3686"/>
        <w:gridCol w:w="3543"/>
        <w:gridCol w:w="2410"/>
      </w:tblGrid>
      <w:tr w:rsidR="00CC004B" w14:paraId="30CA2AF7" w14:textId="77777777" w:rsidTr="00522E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2DCD1" w:themeFill="accent1" w:themeFillTint="99"/>
          </w:tcPr>
          <w:p w14:paraId="21C272C4" w14:textId="1FC49301" w:rsidR="00CC004B" w:rsidRPr="00276324" w:rsidRDefault="00224716" w:rsidP="0058648F">
            <w:pPr>
              <w:widowControl w:val="0"/>
            </w:pPr>
            <w:r>
              <w:t xml:space="preserve">Lead </w:t>
            </w:r>
            <w:r w:rsidR="00CC004B">
              <w:t>NGO</w:t>
            </w:r>
            <w:r w:rsidR="00DE1782">
              <w:t>s</w:t>
            </w:r>
          </w:p>
        </w:tc>
        <w:tc>
          <w:tcPr>
            <w:tcW w:w="3543" w:type="dxa"/>
            <w:shd w:val="clear" w:color="auto" w:fill="A2DCD1" w:themeFill="accent1" w:themeFillTint="99"/>
          </w:tcPr>
          <w:p w14:paraId="3BB98286" w14:textId="77777777" w:rsidR="00CC004B" w:rsidRDefault="00CC004B" w:rsidP="0058648F">
            <w:pPr>
              <w:widowControl w:val="0"/>
              <w:cnfStyle w:val="100000000000" w:firstRow="1" w:lastRow="0" w:firstColumn="0" w:lastColumn="0" w:oddVBand="0" w:evenVBand="0" w:oddHBand="0" w:evenHBand="0" w:firstRowFirstColumn="0" w:firstRowLastColumn="0" w:lastRowFirstColumn="0" w:lastRowLastColumn="0"/>
            </w:pPr>
            <w:r>
              <w:t>Project</w:t>
            </w:r>
          </w:p>
        </w:tc>
        <w:tc>
          <w:tcPr>
            <w:tcW w:w="2410" w:type="dxa"/>
            <w:shd w:val="clear" w:color="auto" w:fill="A2DCD1" w:themeFill="accent1" w:themeFillTint="99"/>
          </w:tcPr>
          <w:p w14:paraId="56D126CB" w14:textId="77777777" w:rsidR="00CC004B" w:rsidRDefault="00CC004B" w:rsidP="0058648F">
            <w:pPr>
              <w:widowControl w:val="0"/>
              <w:cnfStyle w:val="100000000000" w:firstRow="1" w:lastRow="0" w:firstColumn="0" w:lastColumn="0" w:oddVBand="0" w:evenVBand="0" w:oddHBand="0" w:evenHBand="0" w:firstRowFirstColumn="0" w:firstRowLastColumn="0" w:lastRowFirstColumn="0" w:lastRowLastColumn="0"/>
            </w:pPr>
            <w:r>
              <w:t>Location</w:t>
            </w:r>
          </w:p>
        </w:tc>
      </w:tr>
      <w:tr w:rsidR="00CC004B" w14:paraId="24F6214A" w14:textId="77777777" w:rsidTr="00DE1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56DF0AD0" w14:textId="059D0D96" w:rsidR="00CC004B" w:rsidRPr="00DE1782" w:rsidRDefault="00CC004B" w:rsidP="0058648F">
            <w:pPr>
              <w:widowControl w:val="0"/>
              <w:rPr>
                <w:rFonts w:eastAsiaTheme="majorEastAsia" w:cstheme="majorBidi"/>
                <w:iCs/>
                <w:caps/>
                <w:spacing w:val="-10"/>
                <w:kern w:val="28"/>
                <w:sz w:val="20"/>
                <w:szCs w:val="20"/>
              </w:rPr>
            </w:pPr>
            <w:r w:rsidRPr="00DE1782">
              <w:rPr>
                <w:sz w:val="20"/>
                <w:szCs w:val="20"/>
              </w:rPr>
              <w:t>Marie Stopes International Australia</w:t>
            </w:r>
            <w:r w:rsidR="00224716">
              <w:rPr>
                <w:sz w:val="20"/>
                <w:szCs w:val="20"/>
              </w:rPr>
              <w:t xml:space="preserve">, </w:t>
            </w:r>
            <w:r w:rsidR="00C96748" w:rsidRPr="00DE1782">
              <w:rPr>
                <w:sz w:val="20"/>
                <w:szCs w:val="20"/>
              </w:rPr>
              <w:t>WaterAid Australia</w:t>
            </w:r>
          </w:p>
        </w:tc>
        <w:tc>
          <w:tcPr>
            <w:tcW w:w="3543" w:type="dxa"/>
          </w:tcPr>
          <w:p w14:paraId="45AEB989" w14:textId="27D01F32" w:rsidR="00CC004B" w:rsidRPr="00DE1782" w:rsidRDefault="00610C84" w:rsidP="0036647A">
            <w:pPr>
              <w:widowControl w:val="0"/>
              <w:cnfStyle w:val="000000100000" w:firstRow="0" w:lastRow="0" w:firstColumn="0" w:lastColumn="0" w:oddVBand="0" w:evenVBand="0" w:oddHBand="1" w:evenHBand="0" w:firstRowFirstColumn="0" w:firstRowLastColumn="0" w:lastRowFirstColumn="0" w:lastRowLastColumn="0"/>
              <w:rPr>
                <w:sz w:val="20"/>
                <w:szCs w:val="20"/>
              </w:rPr>
            </w:pPr>
            <w:r w:rsidRPr="00DE1782">
              <w:rPr>
                <w:sz w:val="20"/>
                <w:szCs w:val="20"/>
              </w:rPr>
              <w:t>Keeping girls in school through improved reproductive and menstrual health</w:t>
            </w:r>
          </w:p>
        </w:tc>
        <w:tc>
          <w:tcPr>
            <w:tcW w:w="2410" w:type="dxa"/>
          </w:tcPr>
          <w:p w14:paraId="5B108CCB" w14:textId="77777777" w:rsidR="00CC004B" w:rsidRPr="00DE1782" w:rsidRDefault="00CC004B" w:rsidP="0058648F">
            <w:pPr>
              <w:widowControl w:val="0"/>
              <w:cnfStyle w:val="000000100000" w:firstRow="0" w:lastRow="0" w:firstColumn="0" w:lastColumn="0" w:oddVBand="0" w:evenVBand="0" w:oddHBand="1" w:evenHBand="0" w:firstRowFirstColumn="0" w:firstRowLastColumn="0" w:lastRowFirstColumn="0" w:lastRowLastColumn="0"/>
              <w:rPr>
                <w:rFonts w:eastAsiaTheme="majorEastAsia" w:cstheme="majorBidi"/>
                <w:b/>
                <w:iCs/>
                <w:caps/>
                <w:spacing w:val="-10"/>
                <w:kern w:val="28"/>
                <w:sz w:val="20"/>
                <w:szCs w:val="20"/>
              </w:rPr>
            </w:pPr>
            <w:r w:rsidRPr="00DE1782">
              <w:rPr>
                <w:sz w:val="20"/>
                <w:szCs w:val="20"/>
              </w:rPr>
              <w:t>Papua New Guinea and Timor-Leste</w:t>
            </w:r>
          </w:p>
        </w:tc>
      </w:tr>
      <w:tr w:rsidR="00CC004B" w14:paraId="4805B6AF" w14:textId="77777777" w:rsidTr="00DE1782">
        <w:tc>
          <w:tcPr>
            <w:cnfStyle w:val="001000000000" w:firstRow="0" w:lastRow="0" w:firstColumn="1" w:lastColumn="0" w:oddVBand="0" w:evenVBand="0" w:oddHBand="0" w:evenHBand="0" w:firstRowFirstColumn="0" w:firstRowLastColumn="0" w:lastRowFirstColumn="0" w:lastRowLastColumn="0"/>
            <w:tcW w:w="3686" w:type="dxa"/>
          </w:tcPr>
          <w:p w14:paraId="1167C9AF" w14:textId="53484901" w:rsidR="00CC004B" w:rsidRPr="00DE1782" w:rsidRDefault="00CC004B" w:rsidP="0058648F">
            <w:pPr>
              <w:widowControl w:val="0"/>
              <w:rPr>
                <w:rFonts w:eastAsiaTheme="majorEastAsia" w:cstheme="majorBidi"/>
                <w:iCs/>
                <w:caps/>
                <w:spacing w:val="-10"/>
                <w:kern w:val="28"/>
                <w:sz w:val="20"/>
                <w:szCs w:val="20"/>
              </w:rPr>
            </w:pPr>
            <w:r w:rsidRPr="00DE1782">
              <w:rPr>
                <w:sz w:val="20"/>
                <w:szCs w:val="20"/>
              </w:rPr>
              <w:t>Act for Peace</w:t>
            </w:r>
          </w:p>
        </w:tc>
        <w:tc>
          <w:tcPr>
            <w:tcW w:w="3543" w:type="dxa"/>
          </w:tcPr>
          <w:p w14:paraId="55B10215" w14:textId="50F46E22" w:rsidR="00CC004B" w:rsidRPr="00DE1782" w:rsidRDefault="00610C84" w:rsidP="0058648F">
            <w:pPr>
              <w:cnfStyle w:val="000000000000" w:firstRow="0" w:lastRow="0" w:firstColumn="0" w:lastColumn="0" w:oddVBand="0" w:evenVBand="0" w:oddHBand="0" w:evenHBand="0" w:firstRowFirstColumn="0" w:firstRowLastColumn="0" w:lastRowFirstColumn="0" w:lastRowLastColumn="0"/>
              <w:rPr>
                <w:sz w:val="20"/>
                <w:szCs w:val="20"/>
              </w:rPr>
            </w:pPr>
            <w:r w:rsidRPr="00DE1782">
              <w:rPr>
                <w:sz w:val="20"/>
                <w:szCs w:val="20"/>
              </w:rPr>
              <w:t>'I'm Prepared' Equality for refugee women in the return- reintegration context</w:t>
            </w:r>
          </w:p>
        </w:tc>
        <w:tc>
          <w:tcPr>
            <w:tcW w:w="2410" w:type="dxa"/>
          </w:tcPr>
          <w:p w14:paraId="02A9D2B9" w14:textId="77777777" w:rsidR="00CC004B" w:rsidRPr="00DE1782" w:rsidRDefault="00CC004B" w:rsidP="0058648F">
            <w:pPr>
              <w:cnfStyle w:val="000000000000" w:firstRow="0" w:lastRow="0" w:firstColumn="0" w:lastColumn="0" w:oddVBand="0" w:evenVBand="0" w:oddHBand="0" w:evenHBand="0" w:firstRowFirstColumn="0" w:firstRowLastColumn="0" w:lastRowFirstColumn="0" w:lastRowLastColumn="0"/>
              <w:rPr>
                <w:sz w:val="20"/>
                <w:szCs w:val="20"/>
              </w:rPr>
            </w:pPr>
            <w:r w:rsidRPr="00DE1782">
              <w:rPr>
                <w:sz w:val="20"/>
                <w:szCs w:val="20"/>
              </w:rPr>
              <w:t xml:space="preserve">Sri Lanka, India, </w:t>
            </w:r>
            <w:proofErr w:type="gramStart"/>
            <w:r w:rsidRPr="00DE1782">
              <w:rPr>
                <w:sz w:val="20"/>
                <w:szCs w:val="20"/>
              </w:rPr>
              <w:t>Thailand</w:t>
            </w:r>
            <w:proofErr w:type="gramEnd"/>
            <w:r w:rsidRPr="00DE1782">
              <w:rPr>
                <w:sz w:val="20"/>
                <w:szCs w:val="20"/>
              </w:rPr>
              <w:t xml:space="preserve"> and Myanmar</w:t>
            </w:r>
          </w:p>
        </w:tc>
      </w:tr>
      <w:tr w:rsidR="00CC004B" w14:paraId="0D4FD902" w14:textId="77777777" w:rsidTr="00DE1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1E3E2940" w14:textId="51E2569C" w:rsidR="00CC004B" w:rsidRPr="00DE1782" w:rsidRDefault="00CC004B" w:rsidP="0058648F">
            <w:pPr>
              <w:widowControl w:val="0"/>
              <w:spacing w:after="0"/>
              <w:rPr>
                <w:sz w:val="20"/>
                <w:szCs w:val="20"/>
              </w:rPr>
            </w:pPr>
            <w:r w:rsidRPr="00DE1782">
              <w:rPr>
                <w:sz w:val="20"/>
                <w:szCs w:val="20"/>
              </w:rPr>
              <w:t>ActionAid</w:t>
            </w:r>
            <w:r w:rsidR="00224716">
              <w:rPr>
                <w:sz w:val="20"/>
                <w:szCs w:val="20"/>
              </w:rPr>
              <w:t xml:space="preserve"> Australia</w:t>
            </w:r>
          </w:p>
        </w:tc>
        <w:tc>
          <w:tcPr>
            <w:tcW w:w="3543" w:type="dxa"/>
          </w:tcPr>
          <w:p w14:paraId="51C14647" w14:textId="41FE005F" w:rsidR="00CC004B" w:rsidRPr="00DE1782" w:rsidRDefault="00610C84" w:rsidP="0058648F">
            <w:pPr>
              <w:cnfStyle w:val="000000100000" w:firstRow="0" w:lastRow="0" w:firstColumn="0" w:lastColumn="0" w:oddVBand="0" w:evenVBand="0" w:oddHBand="1" w:evenHBand="0" w:firstRowFirstColumn="0" w:firstRowLastColumn="0" w:lastRowFirstColumn="0" w:lastRowLastColumn="0"/>
              <w:rPr>
                <w:sz w:val="20"/>
                <w:szCs w:val="20"/>
              </w:rPr>
            </w:pPr>
            <w:r w:rsidRPr="00DE1782">
              <w:rPr>
                <w:sz w:val="20"/>
                <w:szCs w:val="20"/>
              </w:rPr>
              <w:t>Gender Responsive Alternatives on Climate Change</w:t>
            </w:r>
          </w:p>
        </w:tc>
        <w:tc>
          <w:tcPr>
            <w:tcW w:w="2410" w:type="dxa"/>
          </w:tcPr>
          <w:p w14:paraId="7EB1FD50" w14:textId="77777777" w:rsidR="00CC004B" w:rsidRPr="00DE1782" w:rsidRDefault="00CC004B" w:rsidP="0058648F">
            <w:pPr>
              <w:cnfStyle w:val="000000100000" w:firstRow="0" w:lastRow="0" w:firstColumn="0" w:lastColumn="0" w:oddVBand="0" w:evenVBand="0" w:oddHBand="1" w:evenHBand="0" w:firstRowFirstColumn="0" w:firstRowLastColumn="0" w:lastRowFirstColumn="0" w:lastRowLastColumn="0"/>
              <w:rPr>
                <w:sz w:val="20"/>
                <w:szCs w:val="20"/>
              </w:rPr>
            </w:pPr>
            <w:r w:rsidRPr="00DE1782">
              <w:rPr>
                <w:sz w:val="20"/>
                <w:szCs w:val="20"/>
              </w:rPr>
              <w:t xml:space="preserve">Cambodia, Kenya, Vanuatu </w:t>
            </w:r>
          </w:p>
        </w:tc>
      </w:tr>
      <w:tr w:rsidR="00CC004B" w14:paraId="6018604E" w14:textId="77777777" w:rsidTr="00DE1782">
        <w:tc>
          <w:tcPr>
            <w:cnfStyle w:val="001000000000" w:firstRow="0" w:lastRow="0" w:firstColumn="1" w:lastColumn="0" w:oddVBand="0" w:evenVBand="0" w:oddHBand="0" w:evenHBand="0" w:firstRowFirstColumn="0" w:firstRowLastColumn="0" w:lastRowFirstColumn="0" w:lastRowLastColumn="0"/>
            <w:tcW w:w="3686" w:type="dxa"/>
          </w:tcPr>
          <w:p w14:paraId="4B44C76A" w14:textId="55F19DE6" w:rsidR="00CC004B" w:rsidRPr="00DE1782" w:rsidRDefault="00CC004B" w:rsidP="0058648F">
            <w:pPr>
              <w:widowControl w:val="0"/>
              <w:spacing w:after="0"/>
              <w:rPr>
                <w:sz w:val="20"/>
                <w:szCs w:val="20"/>
              </w:rPr>
            </w:pPr>
            <w:r w:rsidRPr="00DE1782">
              <w:rPr>
                <w:sz w:val="20"/>
                <w:szCs w:val="20"/>
              </w:rPr>
              <w:t>CARE</w:t>
            </w:r>
            <w:r w:rsidR="00DE1782">
              <w:rPr>
                <w:sz w:val="20"/>
                <w:szCs w:val="20"/>
              </w:rPr>
              <w:t xml:space="preserve"> Australia</w:t>
            </w:r>
          </w:p>
        </w:tc>
        <w:tc>
          <w:tcPr>
            <w:tcW w:w="3543" w:type="dxa"/>
          </w:tcPr>
          <w:p w14:paraId="28A3155C" w14:textId="281EBC3B" w:rsidR="00CC004B" w:rsidRPr="00DE1782" w:rsidRDefault="00610C84" w:rsidP="00610C84">
            <w:pPr>
              <w:cnfStyle w:val="000000000000" w:firstRow="0" w:lastRow="0" w:firstColumn="0" w:lastColumn="0" w:oddVBand="0" w:evenVBand="0" w:oddHBand="0" w:evenHBand="0" w:firstRowFirstColumn="0" w:firstRowLastColumn="0" w:lastRowFirstColumn="0" w:lastRowLastColumn="0"/>
              <w:rPr>
                <w:sz w:val="20"/>
                <w:szCs w:val="20"/>
              </w:rPr>
            </w:pPr>
            <w:r w:rsidRPr="00DE1782">
              <w:rPr>
                <w:sz w:val="20"/>
                <w:szCs w:val="20"/>
              </w:rPr>
              <w:t>Enhancing Women's Voice to Stop Sexual Harassment (STOP)</w:t>
            </w:r>
          </w:p>
        </w:tc>
        <w:tc>
          <w:tcPr>
            <w:tcW w:w="2410" w:type="dxa"/>
          </w:tcPr>
          <w:p w14:paraId="13773AD3" w14:textId="77777777" w:rsidR="00CC004B" w:rsidRPr="00DE1782" w:rsidRDefault="00CC004B" w:rsidP="0058648F">
            <w:pPr>
              <w:cnfStyle w:val="000000000000" w:firstRow="0" w:lastRow="0" w:firstColumn="0" w:lastColumn="0" w:oddVBand="0" w:evenVBand="0" w:oddHBand="0" w:evenHBand="0" w:firstRowFirstColumn="0" w:firstRowLastColumn="0" w:lastRowFirstColumn="0" w:lastRowLastColumn="0"/>
              <w:rPr>
                <w:sz w:val="20"/>
                <w:szCs w:val="20"/>
              </w:rPr>
            </w:pPr>
            <w:r w:rsidRPr="00DE1782">
              <w:rPr>
                <w:sz w:val="20"/>
                <w:szCs w:val="20"/>
              </w:rPr>
              <w:t>Cambodia, Myanmar</w:t>
            </w:r>
          </w:p>
        </w:tc>
      </w:tr>
      <w:tr w:rsidR="00CC004B" w14:paraId="3F1C6CD2" w14:textId="77777777" w:rsidTr="00DE1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22337E42" w14:textId="31437272" w:rsidR="00CC004B" w:rsidRPr="00DE1782" w:rsidRDefault="00CC004B" w:rsidP="0058648F">
            <w:pPr>
              <w:widowControl w:val="0"/>
              <w:spacing w:after="0"/>
              <w:rPr>
                <w:sz w:val="20"/>
                <w:szCs w:val="20"/>
              </w:rPr>
            </w:pPr>
            <w:proofErr w:type="spellStart"/>
            <w:r w:rsidRPr="00DE1782">
              <w:rPr>
                <w:sz w:val="20"/>
                <w:szCs w:val="20"/>
              </w:rPr>
              <w:t>ChildFund</w:t>
            </w:r>
            <w:proofErr w:type="spellEnd"/>
            <w:r w:rsidRPr="00DE1782">
              <w:rPr>
                <w:sz w:val="20"/>
                <w:szCs w:val="20"/>
              </w:rPr>
              <w:t xml:space="preserve"> Australia</w:t>
            </w:r>
          </w:p>
        </w:tc>
        <w:tc>
          <w:tcPr>
            <w:tcW w:w="3543" w:type="dxa"/>
          </w:tcPr>
          <w:p w14:paraId="2C7F6F5D" w14:textId="53EBB2A1" w:rsidR="00CC004B" w:rsidRPr="00DE1782" w:rsidRDefault="0036647A" w:rsidP="0058648F">
            <w:pPr>
              <w:cnfStyle w:val="000000100000" w:firstRow="0" w:lastRow="0" w:firstColumn="0" w:lastColumn="0" w:oddVBand="0" w:evenVBand="0" w:oddHBand="1" w:evenHBand="0" w:firstRowFirstColumn="0" w:firstRowLastColumn="0" w:lastRowFirstColumn="0" w:lastRowLastColumn="0"/>
              <w:rPr>
                <w:sz w:val="20"/>
                <w:szCs w:val="20"/>
              </w:rPr>
            </w:pPr>
            <w:r w:rsidRPr="00DE1782">
              <w:rPr>
                <w:sz w:val="20"/>
                <w:szCs w:val="20"/>
              </w:rPr>
              <w:t>Rights, Respect, Resilience: skills for safe, equitable and respectful relationships</w:t>
            </w:r>
          </w:p>
        </w:tc>
        <w:tc>
          <w:tcPr>
            <w:tcW w:w="2410" w:type="dxa"/>
          </w:tcPr>
          <w:p w14:paraId="2FDFFDE8" w14:textId="77777777" w:rsidR="00CC004B" w:rsidRPr="00DE1782" w:rsidRDefault="00CC004B" w:rsidP="0058648F">
            <w:pPr>
              <w:cnfStyle w:val="000000100000" w:firstRow="0" w:lastRow="0" w:firstColumn="0" w:lastColumn="0" w:oddVBand="0" w:evenVBand="0" w:oddHBand="1" w:evenHBand="0" w:firstRowFirstColumn="0" w:firstRowLastColumn="0" w:lastRowFirstColumn="0" w:lastRowLastColumn="0"/>
              <w:rPr>
                <w:sz w:val="20"/>
                <w:szCs w:val="20"/>
              </w:rPr>
            </w:pPr>
            <w:r w:rsidRPr="00DE1782">
              <w:rPr>
                <w:sz w:val="20"/>
                <w:szCs w:val="20"/>
              </w:rPr>
              <w:t>Papua New Guinea</w:t>
            </w:r>
          </w:p>
        </w:tc>
      </w:tr>
      <w:tr w:rsidR="00CC004B" w14:paraId="65D4CD7D" w14:textId="77777777" w:rsidTr="00DE1782">
        <w:tc>
          <w:tcPr>
            <w:cnfStyle w:val="001000000000" w:firstRow="0" w:lastRow="0" w:firstColumn="1" w:lastColumn="0" w:oddVBand="0" w:evenVBand="0" w:oddHBand="0" w:evenHBand="0" w:firstRowFirstColumn="0" w:firstRowLastColumn="0" w:lastRowFirstColumn="0" w:lastRowLastColumn="0"/>
            <w:tcW w:w="3686" w:type="dxa"/>
          </w:tcPr>
          <w:p w14:paraId="40878F54" w14:textId="038A5CDB" w:rsidR="00CC004B" w:rsidRPr="00DE1782" w:rsidRDefault="00CC004B" w:rsidP="0058648F">
            <w:pPr>
              <w:widowControl w:val="0"/>
              <w:spacing w:after="0"/>
              <w:rPr>
                <w:sz w:val="20"/>
                <w:szCs w:val="20"/>
              </w:rPr>
            </w:pPr>
            <w:r w:rsidRPr="00DE1782">
              <w:rPr>
                <w:sz w:val="20"/>
                <w:szCs w:val="20"/>
              </w:rPr>
              <w:t>World Vision Australia</w:t>
            </w:r>
          </w:p>
        </w:tc>
        <w:tc>
          <w:tcPr>
            <w:tcW w:w="3543" w:type="dxa"/>
          </w:tcPr>
          <w:p w14:paraId="2B925798" w14:textId="6AF589C6" w:rsidR="00610C84" w:rsidRPr="00DE1782" w:rsidRDefault="00610C84" w:rsidP="0058648F">
            <w:pPr>
              <w:cnfStyle w:val="000000000000" w:firstRow="0" w:lastRow="0" w:firstColumn="0" w:lastColumn="0" w:oddVBand="0" w:evenVBand="0" w:oddHBand="0" w:evenHBand="0" w:firstRowFirstColumn="0" w:firstRowLastColumn="0" w:lastRowFirstColumn="0" w:lastRowLastColumn="0"/>
              <w:rPr>
                <w:sz w:val="20"/>
                <w:szCs w:val="20"/>
              </w:rPr>
            </w:pPr>
            <w:r w:rsidRPr="00DE1782">
              <w:rPr>
                <w:sz w:val="20"/>
                <w:szCs w:val="20"/>
              </w:rPr>
              <w:t>Action Against Gender Violence: Engaging Men, Youth and Children</w:t>
            </w:r>
          </w:p>
        </w:tc>
        <w:tc>
          <w:tcPr>
            <w:tcW w:w="2410" w:type="dxa"/>
          </w:tcPr>
          <w:p w14:paraId="28372009" w14:textId="77777777" w:rsidR="00CC004B" w:rsidRPr="00DE1782" w:rsidRDefault="00CC004B" w:rsidP="0058648F">
            <w:pPr>
              <w:cnfStyle w:val="000000000000" w:firstRow="0" w:lastRow="0" w:firstColumn="0" w:lastColumn="0" w:oddVBand="0" w:evenVBand="0" w:oddHBand="0" w:evenHBand="0" w:firstRowFirstColumn="0" w:firstRowLastColumn="0" w:lastRowFirstColumn="0" w:lastRowLastColumn="0"/>
              <w:rPr>
                <w:sz w:val="20"/>
                <w:szCs w:val="20"/>
              </w:rPr>
            </w:pPr>
            <w:r w:rsidRPr="00DE1782">
              <w:rPr>
                <w:sz w:val="20"/>
                <w:szCs w:val="20"/>
              </w:rPr>
              <w:t xml:space="preserve">Papua New Guinea, Vanuatu </w:t>
            </w:r>
          </w:p>
        </w:tc>
      </w:tr>
    </w:tbl>
    <w:p w14:paraId="091AE9BF" w14:textId="40F3B634" w:rsidR="00596176" w:rsidRDefault="00596176">
      <w:pPr>
        <w:suppressAutoHyphens w:val="0"/>
        <w:spacing w:before="0" w:after="120" w:line="440" w:lineRule="atLeast"/>
        <w:rPr>
          <w:rFonts w:eastAsiaTheme="majorEastAsia" w:cstheme="majorBidi"/>
          <w:b/>
          <w:iCs/>
          <w:caps/>
          <w:spacing w:val="-10"/>
          <w:kern w:val="28"/>
        </w:rPr>
      </w:pPr>
    </w:p>
    <w:p w14:paraId="7EA4EE98" w14:textId="77777777" w:rsidR="00FA5AFA" w:rsidRPr="00FA5AFA" w:rsidRDefault="00FA5AFA" w:rsidP="00B6510B">
      <w:pPr>
        <w:pStyle w:val="ListParagraph"/>
        <w:widowControl w:val="0"/>
        <w:rPr>
          <w:rFonts w:eastAsiaTheme="majorEastAsia" w:cstheme="majorBidi"/>
          <w:b/>
          <w:iCs/>
          <w:caps/>
          <w:spacing w:val="-10"/>
          <w:kern w:val="28"/>
        </w:rPr>
      </w:pPr>
    </w:p>
    <w:p w14:paraId="3D62F6B7" w14:textId="77777777" w:rsidR="00224716" w:rsidRDefault="00224716" w:rsidP="00BF7951">
      <w:pPr>
        <w:widowControl w:val="0"/>
        <w:rPr>
          <w:rStyle w:val="IntenseReference"/>
          <w:sz w:val="28"/>
          <w:szCs w:val="28"/>
        </w:rPr>
      </w:pPr>
    </w:p>
    <w:p w14:paraId="1244C3DA" w14:textId="77777777" w:rsidR="00F73A2A" w:rsidRDefault="00F73A2A" w:rsidP="00BF7951">
      <w:pPr>
        <w:widowControl w:val="0"/>
        <w:rPr>
          <w:rStyle w:val="IntenseReference"/>
          <w:sz w:val="28"/>
          <w:szCs w:val="28"/>
        </w:rPr>
      </w:pPr>
    </w:p>
    <w:p w14:paraId="5EDFD973" w14:textId="29336637" w:rsidR="00BF7951" w:rsidRPr="003F3F9A" w:rsidRDefault="003E029B" w:rsidP="003F3F9A">
      <w:pPr>
        <w:pStyle w:val="Heading2"/>
        <w:rPr>
          <w:rStyle w:val="IntenseReference"/>
          <w:b/>
          <w:bCs w:val="0"/>
          <w:sz w:val="28"/>
          <w:szCs w:val="28"/>
        </w:rPr>
      </w:pPr>
      <w:r w:rsidRPr="003F3F9A">
        <w:rPr>
          <w:rStyle w:val="IntenseReference"/>
          <w:b/>
          <w:bCs w:val="0"/>
          <w:sz w:val="28"/>
          <w:szCs w:val="28"/>
        </w:rPr>
        <w:t>G</w:t>
      </w:r>
      <w:r w:rsidR="001137DD" w:rsidRPr="003F3F9A">
        <w:rPr>
          <w:rStyle w:val="IntenseReference"/>
          <w:b/>
          <w:bCs w:val="0"/>
          <w:sz w:val="28"/>
          <w:szCs w:val="28"/>
        </w:rPr>
        <w:t xml:space="preserve">ender </w:t>
      </w:r>
      <w:r w:rsidR="00412B12" w:rsidRPr="003F3F9A">
        <w:rPr>
          <w:rStyle w:val="IntenseReference"/>
          <w:b/>
          <w:bCs w:val="0"/>
          <w:sz w:val="28"/>
          <w:szCs w:val="28"/>
        </w:rPr>
        <w:t xml:space="preserve">equality </w:t>
      </w:r>
      <w:r w:rsidR="001137DD" w:rsidRPr="003F3F9A">
        <w:rPr>
          <w:rStyle w:val="IntenseReference"/>
          <w:b/>
          <w:bCs w:val="0"/>
          <w:sz w:val="28"/>
          <w:szCs w:val="28"/>
        </w:rPr>
        <w:t xml:space="preserve">approaches </w:t>
      </w:r>
      <w:r w:rsidR="003A001F" w:rsidRPr="003F3F9A">
        <w:rPr>
          <w:rStyle w:val="IntenseReference"/>
          <w:b/>
          <w:bCs w:val="0"/>
          <w:sz w:val="28"/>
          <w:szCs w:val="28"/>
        </w:rPr>
        <w:t>and outcomes</w:t>
      </w:r>
    </w:p>
    <w:p w14:paraId="7A4E9B9E" w14:textId="1C60AF6F" w:rsidR="001137DD" w:rsidRPr="00715425" w:rsidRDefault="001137DD" w:rsidP="001137DD">
      <w:pPr>
        <w:widowControl w:val="0"/>
        <w:spacing w:after="0"/>
        <w:rPr>
          <w:color w:val="auto"/>
        </w:rPr>
      </w:pPr>
      <w:r w:rsidRPr="00715425">
        <w:rPr>
          <w:color w:val="auto"/>
        </w:rPr>
        <w:t xml:space="preserve">Good gender programming focuses on increasing understanding of gender equality, </w:t>
      </w:r>
      <w:r w:rsidR="00BD0366" w:rsidRPr="00715425">
        <w:rPr>
          <w:color w:val="auto"/>
        </w:rPr>
        <w:t xml:space="preserve">as rooted in unequal power relations, </w:t>
      </w:r>
      <w:r w:rsidRPr="00715425">
        <w:rPr>
          <w:color w:val="auto"/>
        </w:rPr>
        <w:t>women’s access to and control of resources, changing policies and challenging gender norms and harmful attitudes</w:t>
      </w:r>
      <w:r w:rsidR="00412B12" w:rsidRPr="00715425">
        <w:rPr>
          <w:color w:val="auto"/>
        </w:rPr>
        <w:t>, and mainstreaming considerations of women’s safety</w:t>
      </w:r>
      <w:r w:rsidRPr="00715425">
        <w:rPr>
          <w:color w:val="auto"/>
          <w:vertAlign w:val="superscript"/>
        </w:rPr>
        <w:footnoteReference w:id="1"/>
      </w:r>
      <w:r w:rsidRPr="00715425">
        <w:rPr>
          <w:color w:val="auto"/>
        </w:rPr>
        <w:t xml:space="preserve">. </w:t>
      </w:r>
      <w:proofErr w:type="gramStart"/>
      <w:r w:rsidRPr="00715425">
        <w:rPr>
          <w:color w:val="auto"/>
        </w:rPr>
        <w:t>All of</w:t>
      </w:r>
      <w:proofErr w:type="gramEnd"/>
      <w:r w:rsidRPr="00715425">
        <w:rPr>
          <w:color w:val="auto"/>
        </w:rPr>
        <w:t xml:space="preserve"> the GAP projects were implemented in line with this good practice:  </w:t>
      </w:r>
    </w:p>
    <w:p w14:paraId="6BA1A505" w14:textId="42E12E54" w:rsidR="00AE2FDF" w:rsidRPr="00715425" w:rsidRDefault="00624168" w:rsidP="00AE2FDF">
      <w:pPr>
        <w:rPr>
          <w:color w:val="auto"/>
        </w:rPr>
      </w:pPr>
      <w:r w:rsidRPr="00715425">
        <w:rPr>
          <w:color w:val="auto"/>
        </w:rPr>
        <w:t xml:space="preserve">All projects focused on </w:t>
      </w:r>
      <w:r w:rsidRPr="00715425">
        <w:rPr>
          <w:b/>
          <w:bCs/>
          <w:color w:val="auto"/>
        </w:rPr>
        <w:t xml:space="preserve">awareness and </w:t>
      </w:r>
      <w:r w:rsidR="00842223" w:rsidRPr="00715425">
        <w:rPr>
          <w:b/>
          <w:bCs/>
          <w:color w:val="auto"/>
        </w:rPr>
        <w:t>consciousness-raising</w:t>
      </w:r>
      <w:r w:rsidR="00C44034" w:rsidRPr="00715425">
        <w:rPr>
          <w:color w:val="auto"/>
        </w:rPr>
        <w:t xml:space="preserve"> that</w:t>
      </w:r>
      <w:r w:rsidRPr="00715425">
        <w:rPr>
          <w:color w:val="auto"/>
        </w:rPr>
        <w:t xml:space="preserve"> increased knowledge for men, women, girls, and boys on gender equality, menstrual health and hygiene, </w:t>
      </w:r>
      <w:r w:rsidR="00C44034" w:rsidRPr="00715425">
        <w:rPr>
          <w:color w:val="auto"/>
        </w:rPr>
        <w:t xml:space="preserve">refugee </w:t>
      </w:r>
      <w:r w:rsidRPr="00715425">
        <w:rPr>
          <w:color w:val="auto"/>
        </w:rPr>
        <w:t>repatriation processes, violence against women</w:t>
      </w:r>
      <w:r w:rsidR="00C44034" w:rsidRPr="00715425">
        <w:rPr>
          <w:color w:val="auto"/>
        </w:rPr>
        <w:t xml:space="preserve">, </w:t>
      </w:r>
      <w:r w:rsidR="00C90A22" w:rsidRPr="00715425">
        <w:rPr>
          <w:color w:val="auto"/>
        </w:rPr>
        <w:t xml:space="preserve">gendered impacts of </w:t>
      </w:r>
      <w:r w:rsidRPr="00715425">
        <w:rPr>
          <w:color w:val="auto"/>
        </w:rPr>
        <w:t xml:space="preserve">climate change and how to access </w:t>
      </w:r>
      <w:r w:rsidR="00C44034" w:rsidRPr="00715425">
        <w:rPr>
          <w:color w:val="auto"/>
        </w:rPr>
        <w:t>violence against women</w:t>
      </w:r>
      <w:r w:rsidRPr="00715425">
        <w:rPr>
          <w:color w:val="auto"/>
        </w:rPr>
        <w:t xml:space="preserve"> and </w:t>
      </w:r>
      <w:r w:rsidR="00C44034" w:rsidRPr="00715425">
        <w:rPr>
          <w:color w:val="auto"/>
        </w:rPr>
        <w:t xml:space="preserve">sexual reproductive health </w:t>
      </w:r>
      <w:r w:rsidRPr="00715425">
        <w:rPr>
          <w:color w:val="auto"/>
        </w:rPr>
        <w:t>services.</w:t>
      </w:r>
      <w:r w:rsidR="00C800C3" w:rsidRPr="00715425">
        <w:rPr>
          <w:color w:val="auto"/>
        </w:rPr>
        <w:t xml:space="preserve"> </w:t>
      </w:r>
      <w:r w:rsidR="00AE2FDF" w:rsidRPr="00715425">
        <w:rPr>
          <w:color w:val="auto"/>
        </w:rPr>
        <w:t xml:space="preserve">Women who participated in the </w:t>
      </w:r>
      <w:r w:rsidR="00AE2FDF" w:rsidRPr="00715425">
        <w:rPr>
          <w:b/>
          <w:bCs/>
          <w:color w:val="auto"/>
        </w:rPr>
        <w:t>Act for Peace</w:t>
      </w:r>
      <w:r w:rsidR="00AE2FDF" w:rsidRPr="00715425">
        <w:rPr>
          <w:color w:val="auto"/>
        </w:rPr>
        <w:t xml:space="preserve"> project gained </w:t>
      </w:r>
      <w:r w:rsidR="00842223" w:rsidRPr="00715425">
        <w:rPr>
          <w:color w:val="auto"/>
        </w:rPr>
        <w:t>vital</w:t>
      </w:r>
      <w:r w:rsidR="00AE2FDF" w:rsidRPr="00715425">
        <w:rPr>
          <w:color w:val="auto"/>
        </w:rPr>
        <w:t xml:space="preserve"> information relevant to their status as refugees, donor support and options for return and reintegration. Women also became more informed about risks and opportunities for protection in camps and as part of return and reintegration processes. </w:t>
      </w:r>
      <w:r w:rsidR="00842223" w:rsidRPr="00715425">
        <w:rPr>
          <w:color w:val="auto"/>
        </w:rPr>
        <w:t>In addition, men</w:t>
      </w:r>
      <w:r w:rsidR="00AE2FDF" w:rsidRPr="00715425">
        <w:rPr>
          <w:color w:val="auto"/>
        </w:rPr>
        <w:t xml:space="preserve"> and women became more aware of sexual abuse and family violence. As a result</w:t>
      </w:r>
      <w:r w:rsidR="00C44034" w:rsidRPr="00715425">
        <w:rPr>
          <w:color w:val="auto"/>
        </w:rPr>
        <w:t xml:space="preserve"> of the </w:t>
      </w:r>
      <w:r w:rsidR="00AE2FDF" w:rsidRPr="00715425">
        <w:rPr>
          <w:color w:val="auto"/>
        </w:rPr>
        <w:t>project</w:t>
      </w:r>
      <w:r w:rsidR="00C44034" w:rsidRPr="00715425">
        <w:rPr>
          <w:color w:val="auto"/>
        </w:rPr>
        <w:t>,</w:t>
      </w:r>
      <w:r w:rsidR="00AE2FDF" w:rsidRPr="00715425">
        <w:rPr>
          <w:color w:val="auto"/>
        </w:rPr>
        <w:t xml:space="preserve"> </w:t>
      </w:r>
      <w:r w:rsidR="00C44034" w:rsidRPr="00715425">
        <w:rPr>
          <w:color w:val="auto"/>
        </w:rPr>
        <w:t xml:space="preserve">refugee </w:t>
      </w:r>
      <w:r w:rsidR="00AE2FDF" w:rsidRPr="00715425">
        <w:rPr>
          <w:color w:val="auto"/>
        </w:rPr>
        <w:t>women had increased self-confidence</w:t>
      </w:r>
      <w:r w:rsidR="00842223" w:rsidRPr="00715425">
        <w:rPr>
          <w:color w:val="auto"/>
        </w:rPr>
        <w:t>. They felt</w:t>
      </w:r>
      <w:r w:rsidR="00C44034" w:rsidRPr="00715425">
        <w:rPr>
          <w:color w:val="auto"/>
        </w:rPr>
        <w:t xml:space="preserve"> </w:t>
      </w:r>
      <w:r w:rsidR="00AE2FDF" w:rsidRPr="00715425">
        <w:rPr>
          <w:color w:val="auto"/>
        </w:rPr>
        <w:t xml:space="preserve">empowered to make informed decisions for their protection and access to financial resources through the repatriation and return process. </w:t>
      </w:r>
    </w:p>
    <w:p w14:paraId="6E2827C6" w14:textId="4AFF7E5D" w:rsidR="00624168" w:rsidRPr="00715425" w:rsidRDefault="00624168" w:rsidP="00624168">
      <w:pPr>
        <w:rPr>
          <w:color w:val="auto"/>
        </w:rPr>
      </w:pPr>
      <w:r w:rsidRPr="00715425">
        <w:rPr>
          <w:color w:val="auto"/>
        </w:rPr>
        <w:t xml:space="preserve">Delivering </w:t>
      </w:r>
      <w:r w:rsidR="00C44034" w:rsidRPr="00715425">
        <w:rPr>
          <w:b/>
          <w:bCs/>
          <w:color w:val="auto"/>
        </w:rPr>
        <w:t xml:space="preserve">gender equality </w:t>
      </w:r>
      <w:r w:rsidRPr="00715425">
        <w:rPr>
          <w:b/>
          <w:bCs/>
          <w:color w:val="auto"/>
        </w:rPr>
        <w:t xml:space="preserve">awareness and training activities in tandem with </w:t>
      </w:r>
      <w:r w:rsidR="00C44034" w:rsidRPr="00715425">
        <w:rPr>
          <w:b/>
          <w:bCs/>
          <w:color w:val="auto"/>
        </w:rPr>
        <w:t xml:space="preserve">increasing women and </w:t>
      </w:r>
      <w:r w:rsidR="00842223" w:rsidRPr="00715425">
        <w:rPr>
          <w:b/>
          <w:bCs/>
          <w:color w:val="auto"/>
        </w:rPr>
        <w:t>girls'</w:t>
      </w:r>
      <w:r w:rsidR="00C44034" w:rsidRPr="00715425">
        <w:rPr>
          <w:b/>
          <w:bCs/>
          <w:color w:val="auto"/>
        </w:rPr>
        <w:t xml:space="preserve"> access to violence response</w:t>
      </w:r>
      <w:r w:rsidRPr="00715425">
        <w:rPr>
          <w:b/>
          <w:bCs/>
          <w:color w:val="auto"/>
        </w:rPr>
        <w:t xml:space="preserve"> services </w:t>
      </w:r>
      <w:r w:rsidRPr="00715425">
        <w:rPr>
          <w:color w:val="auto"/>
        </w:rPr>
        <w:t xml:space="preserve">is considered good practice in </w:t>
      </w:r>
      <w:r w:rsidR="00842223" w:rsidRPr="00715425">
        <w:rPr>
          <w:color w:val="auto"/>
        </w:rPr>
        <w:t>preventing</w:t>
      </w:r>
      <w:r w:rsidRPr="00715425">
        <w:rPr>
          <w:color w:val="auto"/>
        </w:rPr>
        <w:t xml:space="preserve"> </w:t>
      </w:r>
      <w:r w:rsidR="00C44034" w:rsidRPr="00715425">
        <w:rPr>
          <w:color w:val="auto"/>
        </w:rPr>
        <w:t>violence against women</w:t>
      </w:r>
      <w:r w:rsidR="00FC1446" w:rsidRPr="00715425">
        <w:rPr>
          <w:color w:val="auto"/>
        </w:rPr>
        <w:t>.</w:t>
      </w:r>
      <w:r w:rsidR="00FC1446" w:rsidRPr="00715425">
        <w:rPr>
          <w:color w:val="auto"/>
          <w:vertAlign w:val="superscript"/>
        </w:rPr>
        <w:footnoteReference w:id="2"/>
      </w:r>
      <w:r w:rsidR="00C44034" w:rsidRPr="00715425">
        <w:rPr>
          <w:color w:val="auto"/>
        </w:rPr>
        <w:t xml:space="preserve"> Gender equality training often results in the disclosure of violence</w:t>
      </w:r>
      <w:r w:rsidR="00FC1446" w:rsidRPr="00715425">
        <w:rPr>
          <w:color w:val="auto"/>
        </w:rPr>
        <w:t>. Developing</w:t>
      </w:r>
      <w:r w:rsidR="00C44034" w:rsidRPr="00715425">
        <w:rPr>
          <w:color w:val="auto"/>
        </w:rPr>
        <w:t xml:space="preserve"> partnerships with existing violence response services is an </w:t>
      </w:r>
      <w:r w:rsidR="00842223" w:rsidRPr="00715425">
        <w:rPr>
          <w:color w:val="auto"/>
        </w:rPr>
        <w:t>essential</w:t>
      </w:r>
      <w:r w:rsidR="00C44034" w:rsidRPr="00715425">
        <w:rPr>
          <w:color w:val="auto"/>
        </w:rPr>
        <w:t xml:space="preserve"> first step in </w:t>
      </w:r>
      <w:r w:rsidR="00842223" w:rsidRPr="00715425">
        <w:rPr>
          <w:color w:val="auto"/>
        </w:rPr>
        <w:t>implementing</w:t>
      </w:r>
      <w:r w:rsidR="00C44034" w:rsidRPr="00715425">
        <w:rPr>
          <w:color w:val="auto"/>
        </w:rPr>
        <w:t xml:space="preserve"> gender equality programs to support women to realise their rights to be free from violence. </w:t>
      </w:r>
      <w:r w:rsidRPr="00715425">
        <w:rPr>
          <w:color w:val="auto"/>
        </w:rPr>
        <w:t xml:space="preserve">All </w:t>
      </w:r>
      <w:r w:rsidR="009454DE" w:rsidRPr="00715425">
        <w:rPr>
          <w:color w:val="auto"/>
        </w:rPr>
        <w:t xml:space="preserve">projects </w:t>
      </w:r>
      <w:r w:rsidRPr="00715425">
        <w:rPr>
          <w:color w:val="auto"/>
        </w:rPr>
        <w:t xml:space="preserve">had an element of linking </w:t>
      </w:r>
      <w:r w:rsidR="00C44034" w:rsidRPr="00715425">
        <w:rPr>
          <w:color w:val="auto"/>
        </w:rPr>
        <w:t>violence response</w:t>
      </w:r>
      <w:r w:rsidRPr="00715425">
        <w:rPr>
          <w:color w:val="auto"/>
        </w:rPr>
        <w:t xml:space="preserve"> service</w:t>
      </w:r>
      <w:r w:rsidR="00C44034" w:rsidRPr="00715425">
        <w:rPr>
          <w:color w:val="auto"/>
        </w:rPr>
        <w:t xml:space="preserve">s </w:t>
      </w:r>
      <w:r w:rsidRPr="00715425">
        <w:rPr>
          <w:color w:val="auto"/>
        </w:rPr>
        <w:t>to awareness programs</w:t>
      </w:r>
      <w:r w:rsidR="00C44034" w:rsidRPr="00715425">
        <w:rPr>
          <w:color w:val="auto"/>
        </w:rPr>
        <w:t>.</w:t>
      </w:r>
      <w:r w:rsidR="00842223" w:rsidRPr="00715425">
        <w:rPr>
          <w:color w:val="auto"/>
        </w:rPr>
        <w:t xml:space="preserve"> For example, </w:t>
      </w:r>
      <w:proofErr w:type="spellStart"/>
      <w:r w:rsidRPr="00715425">
        <w:rPr>
          <w:b/>
          <w:bCs/>
          <w:color w:val="auto"/>
        </w:rPr>
        <w:t>ChildFund</w:t>
      </w:r>
      <w:proofErr w:type="spellEnd"/>
      <w:r w:rsidR="00C44034" w:rsidRPr="00715425">
        <w:rPr>
          <w:color w:val="auto"/>
        </w:rPr>
        <w:t xml:space="preserve"> </w:t>
      </w:r>
      <w:r w:rsidR="00C90A22" w:rsidRPr="00715425">
        <w:rPr>
          <w:b/>
          <w:bCs/>
          <w:color w:val="auto"/>
        </w:rPr>
        <w:t>Australia</w:t>
      </w:r>
      <w:r w:rsidR="00C90A22" w:rsidRPr="00715425">
        <w:rPr>
          <w:color w:val="auto"/>
        </w:rPr>
        <w:t xml:space="preserve"> </w:t>
      </w:r>
      <w:r w:rsidR="00C44034" w:rsidRPr="00715425">
        <w:rPr>
          <w:color w:val="auto"/>
        </w:rPr>
        <w:t>facilitated</w:t>
      </w:r>
      <w:r w:rsidRPr="00715425">
        <w:rPr>
          <w:color w:val="auto"/>
        </w:rPr>
        <w:t xml:space="preserve"> </w:t>
      </w:r>
      <w:r w:rsidR="00C44034" w:rsidRPr="00715425">
        <w:rPr>
          <w:color w:val="auto"/>
        </w:rPr>
        <w:t xml:space="preserve">family </w:t>
      </w:r>
      <w:r w:rsidRPr="00715425">
        <w:rPr>
          <w:color w:val="auto"/>
        </w:rPr>
        <w:t xml:space="preserve">violence response services </w:t>
      </w:r>
      <w:r w:rsidR="00C44034" w:rsidRPr="00715425">
        <w:rPr>
          <w:color w:val="auto"/>
        </w:rPr>
        <w:t xml:space="preserve">to visit </w:t>
      </w:r>
      <w:r w:rsidRPr="00715425">
        <w:rPr>
          <w:color w:val="auto"/>
        </w:rPr>
        <w:t>schools and communities to provide counselling and support</w:t>
      </w:r>
      <w:r w:rsidR="00C44034" w:rsidRPr="00715425">
        <w:rPr>
          <w:color w:val="auto"/>
        </w:rPr>
        <w:t xml:space="preserve"> for adolescent boys and girls</w:t>
      </w:r>
      <w:r w:rsidRPr="00715425">
        <w:rPr>
          <w:color w:val="auto"/>
        </w:rPr>
        <w:t xml:space="preserve">. </w:t>
      </w:r>
      <w:r w:rsidR="00C44034" w:rsidRPr="00715425">
        <w:rPr>
          <w:color w:val="auto"/>
        </w:rPr>
        <w:t>The family violence support services</w:t>
      </w:r>
      <w:r w:rsidRPr="00715425">
        <w:rPr>
          <w:color w:val="auto"/>
        </w:rPr>
        <w:t xml:space="preserve"> also supported teachers with strategies to discuss </w:t>
      </w:r>
      <w:r w:rsidR="00C44034" w:rsidRPr="00715425">
        <w:rPr>
          <w:color w:val="auto"/>
        </w:rPr>
        <w:t>sexual reproductive health</w:t>
      </w:r>
      <w:r w:rsidRPr="00715425">
        <w:rPr>
          <w:color w:val="auto"/>
        </w:rPr>
        <w:t xml:space="preserve"> and</w:t>
      </w:r>
      <w:r w:rsidR="00C44034" w:rsidRPr="00715425">
        <w:rPr>
          <w:color w:val="auto"/>
        </w:rPr>
        <w:t xml:space="preserve"> family violence</w:t>
      </w:r>
      <w:r w:rsidRPr="00715425">
        <w:rPr>
          <w:color w:val="auto"/>
        </w:rPr>
        <w:t xml:space="preserve">. These linkages resulted in a commitment from schools to improve formal referral pathways to </w:t>
      </w:r>
      <w:r w:rsidR="00C44034" w:rsidRPr="00715425">
        <w:rPr>
          <w:color w:val="auto"/>
        </w:rPr>
        <w:t>family violence</w:t>
      </w:r>
      <w:r w:rsidRPr="00715425">
        <w:rPr>
          <w:color w:val="auto"/>
        </w:rPr>
        <w:t xml:space="preserve"> response</w:t>
      </w:r>
      <w:r w:rsidR="00C44034" w:rsidRPr="00715425">
        <w:rPr>
          <w:color w:val="auto"/>
        </w:rPr>
        <w:t xml:space="preserve"> services</w:t>
      </w:r>
      <w:r w:rsidRPr="00715425">
        <w:rPr>
          <w:color w:val="auto"/>
        </w:rPr>
        <w:t xml:space="preserve">. </w:t>
      </w:r>
    </w:p>
    <w:p w14:paraId="014C0622" w14:textId="46B9D7E1" w:rsidR="00624168" w:rsidRPr="00715425" w:rsidRDefault="00C800C3" w:rsidP="00B6510B">
      <w:pPr>
        <w:rPr>
          <w:b/>
          <w:bCs/>
          <w:color w:val="auto"/>
        </w:rPr>
      </w:pPr>
      <w:r w:rsidRPr="00715425">
        <w:rPr>
          <w:color w:val="auto"/>
        </w:rPr>
        <w:t>All</w:t>
      </w:r>
      <w:r w:rsidR="00624168" w:rsidRPr="00715425">
        <w:rPr>
          <w:color w:val="auto"/>
        </w:rPr>
        <w:t xml:space="preserve"> six of the GAP </w:t>
      </w:r>
      <w:r w:rsidR="00C90A22" w:rsidRPr="00715425">
        <w:rPr>
          <w:color w:val="auto"/>
        </w:rPr>
        <w:t>p</w:t>
      </w:r>
      <w:r w:rsidR="00624168" w:rsidRPr="00715425">
        <w:rPr>
          <w:color w:val="auto"/>
        </w:rPr>
        <w:t xml:space="preserve">rojects aimed to </w:t>
      </w:r>
      <w:r w:rsidR="00624168" w:rsidRPr="00715425">
        <w:rPr>
          <w:b/>
          <w:bCs/>
          <w:color w:val="auto"/>
        </w:rPr>
        <w:t>cha</w:t>
      </w:r>
      <w:r w:rsidR="00C44034" w:rsidRPr="00715425">
        <w:rPr>
          <w:b/>
          <w:bCs/>
          <w:color w:val="auto"/>
        </w:rPr>
        <w:t>llenge</w:t>
      </w:r>
      <w:r w:rsidR="00624168" w:rsidRPr="00715425">
        <w:rPr>
          <w:b/>
          <w:bCs/>
          <w:color w:val="auto"/>
        </w:rPr>
        <w:t xml:space="preserve"> </w:t>
      </w:r>
      <w:r w:rsidR="00A33B87" w:rsidRPr="00715425">
        <w:rPr>
          <w:b/>
          <w:bCs/>
          <w:color w:val="auto"/>
        </w:rPr>
        <w:t>gender norms</w:t>
      </w:r>
      <w:r w:rsidR="00624168" w:rsidRPr="00715425">
        <w:rPr>
          <w:color w:val="auto"/>
        </w:rPr>
        <w:t xml:space="preserve">. In many contexts where GAP projects were </w:t>
      </w:r>
      <w:r w:rsidR="00C44034" w:rsidRPr="00715425">
        <w:rPr>
          <w:color w:val="auto"/>
        </w:rPr>
        <w:t>implemented,</w:t>
      </w:r>
      <w:r w:rsidR="00624168" w:rsidRPr="00715425">
        <w:rPr>
          <w:color w:val="auto"/>
        </w:rPr>
        <w:t xml:space="preserve"> decision-making</w:t>
      </w:r>
      <w:r w:rsidR="00993BD9" w:rsidRPr="00715425">
        <w:rPr>
          <w:color w:val="auto"/>
        </w:rPr>
        <w:t xml:space="preserve"> was </w:t>
      </w:r>
      <w:proofErr w:type="gramStart"/>
      <w:r w:rsidR="00993BD9" w:rsidRPr="00715425">
        <w:rPr>
          <w:color w:val="auto"/>
        </w:rPr>
        <w:t>male-dominated</w:t>
      </w:r>
      <w:proofErr w:type="gramEnd"/>
      <w:r w:rsidR="00842223" w:rsidRPr="00715425">
        <w:rPr>
          <w:color w:val="auto"/>
        </w:rPr>
        <w:t>. Therefore</w:t>
      </w:r>
      <w:r w:rsidRPr="00715425">
        <w:rPr>
          <w:color w:val="auto"/>
        </w:rPr>
        <w:t>, several</w:t>
      </w:r>
      <w:r w:rsidR="00624168" w:rsidRPr="00715425">
        <w:rPr>
          <w:color w:val="auto"/>
        </w:rPr>
        <w:t xml:space="preserve"> </w:t>
      </w:r>
      <w:r w:rsidRPr="00715425">
        <w:rPr>
          <w:color w:val="auto"/>
        </w:rPr>
        <w:t>projects supported</w:t>
      </w:r>
      <w:r w:rsidR="00624168" w:rsidRPr="00715425">
        <w:rPr>
          <w:color w:val="auto"/>
        </w:rPr>
        <w:t xml:space="preserve"> women’s leadership.  As a result of GAP projects, women reported having more status with their communities and </w:t>
      </w:r>
      <w:r w:rsidR="00842223" w:rsidRPr="00715425">
        <w:rPr>
          <w:color w:val="auto"/>
        </w:rPr>
        <w:t>influencing</w:t>
      </w:r>
      <w:r w:rsidR="00624168" w:rsidRPr="00715425">
        <w:rPr>
          <w:color w:val="auto"/>
        </w:rPr>
        <w:t xml:space="preserve"> decision-making in public and private spheres.</w:t>
      </w:r>
      <w:r w:rsidR="00842223" w:rsidRPr="00715425">
        <w:rPr>
          <w:color w:val="auto"/>
        </w:rPr>
        <w:t xml:space="preserve"> For example, </w:t>
      </w:r>
      <w:r w:rsidR="00624168" w:rsidRPr="00715425">
        <w:rPr>
          <w:b/>
          <w:bCs/>
          <w:color w:val="auto"/>
        </w:rPr>
        <w:t>ActionAid</w:t>
      </w:r>
      <w:r w:rsidR="00624168" w:rsidRPr="00715425">
        <w:rPr>
          <w:color w:val="auto"/>
        </w:rPr>
        <w:t xml:space="preserve"> </w:t>
      </w:r>
      <w:r w:rsidR="00C90A22" w:rsidRPr="00715425">
        <w:rPr>
          <w:b/>
          <w:bCs/>
          <w:color w:val="auto"/>
        </w:rPr>
        <w:t>Australia</w:t>
      </w:r>
      <w:r w:rsidR="00C90A22" w:rsidRPr="00715425">
        <w:rPr>
          <w:color w:val="auto"/>
        </w:rPr>
        <w:t xml:space="preserve"> </w:t>
      </w:r>
      <w:r w:rsidR="00624168" w:rsidRPr="00715425">
        <w:rPr>
          <w:color w:val="auto"/>
        </w:rPr>
        <w:t xml:space="preserve">in Cambodia, </w:t>
      </w:r>
      <w:proofErr w:type="gramStart"/>
      <w:r w:rsidR="00624168" w:rsidRPr="00715425">
        <w:rPr>
          <w:color w:val="auto"/>
        </w:rPr>
        <w:t>Kenya</w:t>
      </w:r>
      <w:proofErr w:type="gramEnd"/>
      <w:r w:rsidR="00624168" w:rsidRPr="00715425">
        <w:rPr>
          <w:color w:val="auto"/>
        </w:rPr>
        <w:t xml:space="preserve"> and Vanuatu increased women’s knowledge on the gendered impacts of climate change </w:t>
      </w:r>
      <w:r w:rsidR="00A33B87" w:rsidRPr="00715425">
        <w:rPr>
          <w:color w:val="auto"/>
        </w:rPr>
        <w:t>and</w:t>
      </w:r>
      <w:r w:rsidR="00624168" w:rsidRPr="00715425">
        <w:rPr>
          <w:color w:val="auto"/>
        </w:rPr>
        <w:t xml:space="preserve"> leadership skills. </w:t>
      </w:r>
      <w:r w:rsidR="003A001F" w:rsidRPr="00715425">
        <w:rPr>
          <w:color w:val="auto"/>
        </w:rPr>
        <w:t>Men and women’s</w:t>
      </w:r>
      <w:r w:rsidR="00624168" w:rsidRPr="00715425">
        <w:rPr>
          <w:color w:val="auto"/>
        </w:rPr>
        <w:t xml:space="preserve"> </w:t>
      </w:r>
      <w:r w:rsidR="003A001F" w:rsidRPr="00715425">
        <w:rPr>
          <w:color w:val="auto"/>
        </w:rPr>
        <w:t>attitudes about women in leadership</w:t>
      </w:r>
      <w:r w:rsidR="00624168" w:rsidRPr="00715425">
        <w:rPr>
          <w:color w:val="auto"/>
        </w:rPr>
        <w:t xml:space="preserve"> we</w:t>
      </w:r>
      <w:r w:rsidR="003A001F" w:rsidRPr="00715425">
        <w:rPr>
          <w:color w:val="auto"/>
        </w:rPr>
        <w:t>re</w:t>
      </w:r>
      <w:r w:rsidR="00624168" w:rsidRPr="00715425">
        <w:rPr>
          <w:color w:val="auto"/>
        </w:rPr>
        <w:t xml:space="preserve"> shifted </w:t>
      </w:r>
      <w:r w:rsidR="003A001F" w:rsidRPr="00715425">
        <w:rPr>
          <w:color w:val="auto"/>
        </w:rPr>
        <w:t>through</w:t>
      </w:r>
      <w:r w:rsidR="00624168" w:rsidRPr="00715425">
        <w:rPr>
          <w:color w:val="auto"/>
        </w:rPr>
        <w:t xml:space="preserve"> increasing women’s access to </w:t>
      </w:r>
      <w:r w:rsidRPr="00715425">
        <w:rPr>
          <w:color w:val="auto"/>
        </w:rPr>
        <w:t xml:space="preserve">local and national </w:t>
      </w:r>
      <w:r w:rsidR="00624168" w:rsidRPr="00715425">
        <w:rPr>
          <w:color w:val="auto"/>
        </w:rPr>
        <w:t>government decision making processes about climate change policy.</w:t>
      </w:r>
      <w:r w:rsidR="00993BD9" w:rsidRPr="00715425">
        <w:rPr>
          <w:color w:val="auto"/>
        </w:rPr>
        <w:t xml:space="preserve">  The project resulted in women influencing policy changes such as the Baringo Country’s Climate Change Adaptation Action Plan 2018-2022 in Kenya.</w:t>
      </w:r>
    </w:p>
    <w:p w14:paraId="5575782E" w14:textId="46E93262" w:rsidR="00993BD9" w:rsidRPr="00F73A2A" w:rsidRDefault="001137DD" w:rsidP="00224716">
      <w:pPr>
        <w:widowControl w:val="0"/>
        <w:spacing w:after="0"/>
        <w:rPr>
          <w:color w:val="auto"/>
        </w:rPr>
      </w:pPr>
      <w:r w:rsidRPr="00F73A2A">
        <w:rPr>
          <w:color w:val="auto"/>
        </w:rPr>
        <w:t xml:space="preserve">All </w:t>
      </w:r>
      <w:r w:rsidRPr="00F73A2A">
        <w:rPr>
          <w:b/>
          <w:bCs/>
          <w:color w:val="auto"/>
        </w:rPr>
        <w:t>six projects successfully influenced policies</w:t>
      </w:r>
      <w:r w:rsidRPr="00F73A2A">
        <w:rPr>
          <w:color w:val="auto"/>
        </w:rPr>
        <w:t>, practices, and curricula within national government and the private sector</w:t>
      </w:r>
      <w:r w:rsidR="00A33B87" w:rsidRPr="00F73A2A">
        <w:rPr>
          <w:color w:val="auto"/>
        </w:rPr>
        <w:t xml:space="preserve">. </w:t>
      </w:r>
      <w:r w:rsidRPr="00F73A2A">
        <w:rPr>
          <w:b/>
          <w:bCs/>
          <w:color w:val="auto"/>
        </w:rPr>
        <w:t>The GAP partners were well-placed as ANGOs to leverage existing long-term relationships</w:t>
      </w:r>
      <w:r w:rsidR="00412B12" w:rsidRPr="00F73A2A">
        <w:rPr>
          <w:b/>
          <w:bCs/>
          <w:color w:val="auto"/>
        </w:rPr>
        <w:t xml:space="preserve"> with government officials</w:t>
      </w:r>
      <w:r w:rsidRPr="00F73A2A">
        <w:rPr>
          <w:color w:val="auto"/>
        </w:rPr>
        <w:t xml:space="preserve"> </w:t>
      </w:r>
      <w:r w:rsidRPr="00F73A2A">
        <w:rPr>
          <w:b/>
          <w:bCs/>
          <w:color w:val="auto"/>
        </w:rPr>
        <w:t xml:space="preserve">to influence policy change </w:t>
      </w:r>
      <w:r w:rsidRPr="00F73A2A">
        <w:rPr>
          <w:color w:val="auto"/>
        </w:rPr>
        <w:t>within the three-year timeframe.</w:t>
      </w:r>
      <w:r w:rsidR="00842223" w:rsidRPr="00F73A2A">
        <w:rPr>
          <w:color w:val="auto"/>
        </w:rPr>
        <w:t xml:space="preserve"> For example, the</w:t>
      </w:r>
      <w:r w:rsidR="00A33B87" w:rsidRPr="00F73A2A">
        <w:rPr>
          <w:color w:val="auto"/>
        </w:rPr>
        <w:t xml:space="preserve"> Myanmar Occupational Safety and Health Law approved by the Union Parliament incorporated changes advocated by </w:t>
      </w:r>
      <w:r w:rsidR="00A33B87" w:rsidRPr="00F73A2A">
        <w:rPr>
          <w:b/>
          <w:bCs/>
          <w:color w:val="auto"/>
        </w:rPr>
        <w:t>CARE</w:t>
      </w:r>
      <w:r w:rsidR="00A33B87" w:rsidRPr="00F73A2A">
        <w:rPr>
          <w:color w:val="auto"/>
        </w:rPr>
        <w:t xml:space="preserve"> </w:t>
      </w:r>
      <w:r w:rsidR="00C90A22" w:rsidRPr="00F73A2A">
        <w:rPr>
          <w:b/>
          <w:bCs/>
          <w:color w:val="auto"/>
        </w:rPr>
        <w:t>Australia</w:t>
      </w:r>
      <w:r w:rsidR="00C90A22" w:rsidRPr="00F73A2A">
        <w:rPr>
          <w:color w:val="auto"/>
        </w:rPr>
        <w:t xml:space="preserve"> </w:t>
      </w:r>
      <w:r w:rsidR="00A33B87" w:rsidRPr="00F73A2A">
        <w:rPr>
          <w:color w:val="auto"/>
        </w:rPr>
        <w:t>and its partner organisations, such as the expansion of the scope of the</w:t>
      </w:r>
      <w:r w:rsidR="00F73A2A" w:rsidRPr="00F73A2A">
        <w:rPr>
          <w:color w:val="auto"/>
        </w:rPr>
        <w:t xml:space="preserve"> </w:t>
      </w:r>
      <w:r w:rsidR="00A33B87" w:rsidRPr="00F73A2A">
        <w:rPr>
          <w:color w:val="auto"/>
        </w:rPr>
        <w:t xml:space="preserve">provisions, the participation of women on Occupational Safety and Health committees, and inclusion of the need to provide Occupational Safety and Health training to committee members. </w:t>
      </w:r>
    </w:p>
    <w:p w14:paraId="21D23196" w14:textId="77777777" w:rsidR="00224716" w:rsidRPr="00224716" w:rsidRDefault="00224716" w:rsidP="00224716">
      <w:pPr>
        <w:widowControl w:val="0"/>
        <w:spacing w:after="0"/>
        <w:rPr>
          <w:rStyle w:val="IntenseReference"/>
          <w:b w:val="0"/>
          <w:bCs w:val="0"/>
          <w:smallCaps w:val="0"/>
          <w:color w:val="808080"/>
          <w:spacing w:val="0"/>
        </w:rPr>
      </w:pPr>
    </w:p>
    <w:p w14:paraId="4F19BE33" w14:textId="77777777" w:rsidR="00F73A2A" w:rsidRDefault="00F73A2A" w:rsidP="00B6510B">
      <w:pPr>
        <w:pStyle w:val="ListParagraph"/>
        <w:ind w:left="0"/>
        <w:rPr>
          <w:rStyle w:val="IntenseReference"/>
          <w:sz w:val="28"/>
          <w:szCs w:val="28"/>
        </w:rPr>
      </w:pPr>
    </w:p>
    <w:p w14:paraId="24618F3F" w14:textId="731A32BF" w:rsidR="00AB3D40" w:rsidRPr="003F3F9A" w:rsidRDefault="001137DD" w:rsidP="003F3F9A">
      <w:pPr>
        <w:pStyle w:val="Heading2"/>
        <w:rPr>
          <w:rStyle w:val="IntenseReference"/>
          <w:b/>
          <w:bCs w:val="0"/>
          <w:sz w:val="28"/>
          <w:szCs w:val="28"/>
        </w:rPr>
      </w:pPr>
      <w:r w:rsidRPr="003F3F9A">
        <w:rPr>
          <w:rStyle w:val="IntenseReference"/>
          <w:b/>
          <w:bCs w:val="0"/>
          <w:sz w:val="28"/>
          <w:szCs w:val="28"/>
        </w:rPr>
        <w:t xml:space="preserve">Innovation </w:t>
      </w:r>
    </w:p>
    <w:p w14:paraId="0DD28911" w14:textId="77777777" w:rsidR="00F73A2A" w:rsidRDefault="00F73A2A" w:rsidP="00842223">
      <w:pPr>
        <w:suppressAutoHyphens w:val="0"/>
        <w:spacing w:before="0" w:after="0" w:line="240" w:lineRule="auto"/>
        <w:rPr>
          <w:b/>
          <w:bCs/>
          <w:color w:val="808080"/>
        </w:rPr>
      </w:pPr>
    </w:p>
    <w:p w14:paraId="2AF6625E" w14:textId="32840578" w:rsidR="003A001F" w:rsidRPr="00F73A2A" w:rsidRDefault="003A001F" w:rsidP="00842223">
      <w:pPr>
        <w:suppressAutoHyphens w:val="0"/>
        <w:spacing w:before="0" w:after="0" w:line="240" w:lineRule="auto"/>
        <w:rPr>
          <w:color w:val="auto"/>
        </w:rPr>
      </w:pPr>
      <w:r w:rsidRPr="00F73A2A">
        <w:rPr>
          <w:b/>
          <w:bCs/>
          <w:color w:val="auto"/>
        </w:rPr>
        <w:t>Act for Peace</w:t>
      </w:r>
      <w:r w:rsidRPr="00F73A2A">
        <w:rPr>
          <w:b/>
          <w:bCs/>
          <w:i/>
          <w:iCs/>
          <w:color w:val="auto"/>
        </w:rPr>
        <w:t xml:space="preserve"> </w:t>
      </w:r>
      <w:r w:rsidRPr="00F73A2A">
        <w:rPr>
          <w:color w:val="auto"/>
        </w:rPr>
        <w:t xml:space="preserve">pioneered a refugee-led approach to strengthen women’s resilience and gender equality in the return and reintegration process for Tamil and </w:t>
      </w:r>
      <w:proofErr w:type="spellStart"/>
      <w:r w:rsidRPr="00F73A2A">
        <w:rPr>
          <w:color w:val="auto"/>
        </w:rPr>
        <w:t>Karenni</w:t>
      </w:r>
      <w:proofErr w:type="spellEnd"/>
      <w:r w:rsidRPr="00F73A2A">
        <w:rPr>
          <w:color w:val="auto"/>
        </w:rPr>
        <w:t xml:space="preserve"> refugees while developing evidence-based guidance to help women prepare for safe, dignified voluntary repatriation. This was a world-first approach based on engagement with regional and international refugees.  </w:t>
      </w:r>
      <w:r w:rsidR="00842223" w:rsidRPr="00F73A2A">
        <w:rPr>
          <w:color w:val="auto"/>
        </w:rPr>
        <w:t xml:space="preserve">The approach was featured as an example of good practice on the </w:t>
      </w:r>
      <w:hyperlink r:id="rId11" w:history="1">
        <w:r w:rsidR="00842223" w:rsidRPr="00F73A2A">
          <w:rPr>
            <w:rStyle w:val="Hyperlink"/>
            <w:rFonts w:eastAsiaTheme="majorEastAsia"/>
            <w:kern w:val="28"/>
            <w:lang w:val="en-AU" w:eastAsia="en-AU"/>
            <w14:cntxtAlts/>
          </w:rPr>
          <w:t>UNHCR Global Compact on Refugees digital platform</w:t>
        </w:r>
      </w:hyperlink>
      <w:r w:rsidR="00FC1446" w:rsidRPr="00F73A2A">
        <w:rPr>
          <w:color w:val="auto"/>
        </w:rPr>
        <w:t>. The platform shares</w:t>
      </w:r>
      <w:r w:rsidR="00842223" w:rsidRPr="00F73A2A">
        <w:rPr>
          <w:color w:val="auto"/>
        </w:rPr>
        <w:t xml:space="preserve"> projects and initiatives that are </w:t>
      </w:r>
      <w:r w:rsidR="00FC1446" w:rsidRPr="00F73A2A">
        <w:rPr>
          <w:color w:val="auto"/>
        </w:rPr>
        <w:t>based on learning</w:t>
      </w:r>
      <w:r w:rsidR="00842223" w:rsidRPr="00F73A2A">
        <w:rPr>
          <w:color w:val="auto"/>
        </w:rPr>
        <w:t xml:space="preserve"> </w:t>
      </w:r>
      <w:r w:rsidR="00FC1446" w:rsidRPr="00F73A2A">
        <w:rPr>
          <w:color w:val="auto"/>
        </w:rPr>
        <w:t xml:space="preserve">and </w:t>
      </w:r>
      <w:r w:rsidR="00842223" w:rsidRPr="00F73A2A">
        <w:rPr>
          <w:color w:val="auto"/>
        </w:rPr>
        <w:t>can inspire others to support refugees.</w:t>
      </w:r>
    </w:p>
    <w:p w14:paraId="49288A83" w14:textId="0D3A397C" w:rsidR="003A001F" w:rsidRPr="00F73A2A" w:rsidRDefault="003A001F" w:rsidP="003A001F">
      <w:pPr>
        <w:widowControl w:val="0"/>
        <w:rPr>
          <w:color w:val="auto"/>
        </w:rPr>
      </w:pPr>
      <w:r w:rsidRPr="00F73A2A">
        <w:rPr>
          <w:b/>
          <w:bCs/>
          <w:color w:val="auto"/>
        </w:rPr>
        <w:t xml:space="preserve">Marie Stopes International </w:t>
      </w:r>
      <w:r w:rsidR="00C90A22" w:rsidRPr="00F73A2A">
        <w:rPr>
          <w:b/>
          <w:bCs/>
          <w:color w:val="auto"/>
        </w:rPr>
        <w:t xml:space="preserve">Australia </w:t>
      </w:r>
      <w:r w:rsidRPr="00F73A2A">
        <w:rPr>
          <w:b/>
          <w:bCs/>
          <w:color w:val="auto"/>
        </w:rPr>
        <w:t>and WaterAid</w:t>
      </w:r>
      <w:r w:rsidRPr="00F73A2A">
        <w:rPr>
          <w:color w:val="auto"/>
        </w:rPr>
        <w:t xml:space="preserve"> </w:t>
      </w:r>
      <w:r w:rsidR="00C90A22" w:rsidRPr="00F73A2A">
        <w:rPr>
          <w:b/>
          <w:bCs/>
          <w:color w:val="auto"/>
        </w:rPr>
        <w:t>Australia</w:t>
      </w:r>
      <w:r w:rsidR="00C90A22" w:rsidRPr="00F73A2A">
        <w:rPr>
          <w:color w:val="auto"/>
        </w:rPr>
        <w:t xml:space="preserve"> </w:t>
      </w:r>
      <w:r w:rsidRPr="00F73A2A">
        <w:rPr>
          <w:color w:val="auto"/>
        </w:rPr>
        <w:t xml:space="preserve">integrated and adapted previously discrete approaches to sexual and reproductive health and menstrual health and hygiene to better meet adolescent health needs in secondary schools. This project was the first of its kind in the Asia Pacific. In PNG, </w:t>
      </w:r>
      <w:r w:rsidR="00842223" w:rsidRPr="00F73A2A">
        <w:rPr>
          <w:color w:val="auto"/>
        </w:rPr>
        <w:t xml:space="preserve">a </w:t>
      </w:r>
      <w:r w:rsidRPr="00F73A2A">
        <w:rPr>
          <w:color w:val="auto"/>
        </w:rPr>
        <w:t xml:space="preserve">substantial impact </w:t>
      </w:r>
      <w:r w:rsidR="00842223" w:rsidRPr="00F73A2A">
        <w:rPr>
          <w:color w:val="auto"/>
        </w:rPr>
        <w:t>of GAP was</w:t>
      </w:r>
      <w:r w:rsidRPr="00F73A2A">
        <w:rPr>
          <w:color w:val="auto"/>
        </w:rPr>
        <w:t xml:space="preserve"> the development of a Comprehensive Sexuality Education curriculum and a teacher’s toolkit. </w:t>
      </w:r>
      <w:r w:rsidR="00842223" w:rsidRPr="00F73A2A">
        <w:rPr>
          <w:color w:val="auto"/>
        </w:rPr>
        <w:t>In addition, teacher</w:t>
      </w:r>
      <w:r w:rsidRPr="00F73A2A">
        <w:rPr>
          <w:color w:val="auto"/>
        </w:rPr>
        <w:t xml:space="preserve"> training was implemented alongside the curriculum to build the capacity and confidence of teachers. The curriculum </w:t>
      </w:r>
      <w:r w:rsidR="00842223" w:rsidRPr="00F73A2A">
        <w:rPr>
          <w:color w:val="auto"/>
        </w:rPr>
        <w:t>wa</w:t>
      </w:r>
      <w:r w:rsidRPr="00F73A2A">
        <w:rPr>
          <w:color w:val="auto"/>
        </w:rPr>
        <w:t xml:space="preserve">s </w:t>
      </w:r>
      <w:r w:rsidR="00842223" w:rsidRPr="00F73A2A">
        <w:rPr>
          <w:color w:val="auto"/>
        </w:rPr>
        <w:t xml:space="preserve">a </w:t>
      </w:r>
      <w:r w:rsidRPr="00F73A2A">
        <w:rPr>
          <w:color w:val="auto"/>
        </w:rPr>
        <w:t>significant achievement as it is the first Comprehensive Sexuality Education curriculum endorsed by the PNG Department of Education. Educating students at a young age about puberty, their menstrual health and how to prevent pregnancy provides them with the knowledge and skills needed to make clear decisions about their sexual and reproductive health</w:t>
      </w:r>
      <w:r w:rsidR="00842223" w:rsidRPr="00F73A2A">
        <w:rPr>
          <w:color w:val="auto"/>
        </w:rPr>
        <w:t>.</w:t>
      </w:r>
    </w:p>
    <w:p w14:paraId="66842343" w14:textId="36E8758D" w:rsidR="00AB3D40" w:rsidRPr="003F3F9A" w:rsidRDefault="00AB3D40" w:rsidP="003F3F9A">
      <w:pPr>
        <w:pStyle w:val="Heading2"/>
        <w:rPr>
          <w:rStyle w:val="IntenseReference"/>
          <w:b/>
          <w:bCs w:val="0"/>
        </w:rPr>
      </w:pPr>
      <w:r w:rsidRPr="003F3F9A">
        <w:rPr>
          <w:rStyle w:val="IntenseReference"/>
          <w:b/>
          <w:bCs w:val="0"/>
          <w:sz w:val="28"/>
          <w:szCs w:val="28"/>
        </w:rPr>
        <w:t>Learning</w:t>
      </w:r>
      <w:r w:rsidRPr="003F3F9A">
        <w:rPr>
          <w:rStyle w:val="IntenseReference"/>
          <w:b/>
          <w:bCs w:val="0"/>
        </w:rPr>
        <w:t xml:space="preserve"> </w:t>
      </w:r>
    </w:p>
    <w:p w14:paraId="3BC426FF" w14:textId="06AED8AB" w:rsidR="00AB3D40" w:rsidRPr="00F73A2A" w:rsidRDefault="00AB3D40" w:rsidP="00AB3D40">
      <w:pPr>
        <w:widowControl w:val="0"/>
        <w:rPr>
          <w:color w:val="auto"/>
        </w:rPr>
      </w:pPr>
      <w:r w:rsidRPr="00F73A2A">
        <w:rPr>
          <w:color w:val="auto"/>
        </w:rPr>
        <w:t xml:space="preserve">The GAP accelerated learning and documentation of effective approaches within projects. Knowledge products were </w:t>
      </w:r>
      <w:r w:rsidR="00C131AC" w:rsidRPr="00F73A2A">
        <w:rPr>
          <w:color w:val="auto"/>
        </w:rPr>
        <w:t>shared widely</w:t>
      </w:r>
      <w:r w:rsidRPr="00F73A2A">
        <w:rPr>
          <w:color w:val="auto"/>
        </w:rPr>
        <w:t xml:space="preserve"> with the development sector, including:</w:t>
      </w:r>
    </w:p>
    <w:p w14:paraId="6F18E90A" w14:textId="6E90C881" w:rsidR="00AB3D40" w:rsidRPr="00F73A2A" w:rsidRDefault="00AB3D40" w:rsidP="00F566A9">
      <w:pPr>
        <w:pStyle w:val="Body"/>
        <w:widowControl w:val="0"/>
        <w:numPr>
          <w:ilvl w:val="0"/>
          <w:numId w:val="42"/>
        </w:numPr>
        <w:spacing w:after="120"/>
        <w:rPr>
          <w:rFonts w:asciiTheme="minorHAnsi" w:eastAsiaTheme="minorHAnsi" w:hAnsiTheme="minorHAnsi" w:cstheme="minorBidi"/>
          <w:b/>
          <w:bCs/>
          <w:color w:val="auto"/>
          <w:kern w:val="0"/>
          <w:lang w:val="en-GB" w:eastAsia="en-US"/>
          <w14:ligatures w14:val="none"/>
          <w14:cntxtAlts w14:val="0"/>
        </w:rPr>
      </w:pPr>
      <w:r w:rsidRPr="00F73A2A">
        <w:rPr>
          <w:rFonts w:asciiTheme="minorHAnsi" w:eastAsiaTheme="minorHAnsi" w:hAnsiTheme="minorHAnsi" w:cstheme="minorBidi"/>
          <w:color w:val="auto"/>
          <w:kern w:val="0"/>
          <w:lang w:val="en-GB" w:eastAsia="en-US"/>
          <w14:ligatures w14:val="none"/>
          <w14:cntxtAlts w14:val="0"/>
        </w:rPr>
        <w:t>Act for Peace and Institute for Sustainable Futures</w:t>
      </w:r>
      <w:hyperlink r:id="rId12" w:history="1">
        <w:r w:rsidRPr="00F73A2A">
          <w:rPr>
            <w:rStyle w:val="Hyperlink"/>
            <w:rFonts w:eastAsiaTheme="majorEastAsia"/>
            <w14:ligatures w14:val="none"/>
          </w:rPr>
          <w:t>: I’m Prepared Policy Brief</w:t>
        </w:r>
      </w:hyperlink>
      <w:r w:rsidRPr="00F73A2A">
        <w:rPr>
          <w:color w:val="auto"/>
          <w14:ligatures w14:val="none"/>
        </w:rPr>
        <w:t xml:space="preserve"> </w:t>
      </w:r>
      <w:r w:rsidR="0020591C" w:rsidRPr="00F73A2A">
        <w:rPr>
          <w:color w:val="auto"/>
          <w14:ligatures w14:val="none"/>
        </w:rPr>
        <w:t xml:space="preserve">, </w:t>
      </w:r>
      <w:r w:rsidR="00993BD9" w:rsidRPr="00F73A2A">
        <w:rPr>
          <w:rFonts w:asciiTheme="minorHAnsi" w:eastAsiaTheme="minorHAnsi" w:hAnsiTheme="minorHAnsi" w:cstheme="minorBidi"/>
          <w:color w:val="auto"/>
          <w:kern w:val="0"/>
          <w:lang w:val="en-GB" w:eastAsia="en-US"/>
          <w14:ligatures w14:val="none"/>
          <w14:cntxtAlts w14:val="0"/>
        </w:rPr>
        <w:t xml:space="preserve">which documents the refugee-led approach to strengthen women’s resilience and gender equality in the return and reintegration process for Tamil and </w:t>
      </w:r>
      <w:proofErr w:type="spellStart"/>
      <w:r w:rsidR="00993BD9" w:rsidRPr="00F73A2A">
        <w:rPr>
          <w:rFonts w:asciiTheme="minorHAnsi" w:eastAsiaTheme="minorHAnsi" w:hAnsiTheme="minorHAnsi" w:cstheme="minorBidi"/>
          <w:color w:val="auto"/>
          <w:kern w:val="0"/>
          <w:lang w:val="en-GB" w:eastAsia="en-US"/>
          <w14:ligatures w14:val="none"/>
          <w14:cntxtAlts w14:val="0"/>
        </w:rPr>
        <w:t>Karenni</w:t>
      </w:r>
      <w:proofErr w:type="spellEnd"/>
      <w:r w:rsidR="00993BD9" w:rsidRPr="00F73A2A">
        <w:rPr>
          <w:rFonts w:asciiTheme="minorHAnsi" w:eastAsiaTheme="minorHAnsi" w:hAnsiTheme="minorHAnsi" w:cstheme="minorBidi"/>
          <w:color w:val="auto"/>
          <w:kern w:val="0"/>
          <w:lang w:val="en-GB" w:eastAsia="en-US"/>
          <w14:ligatures w14:val="none"/>
          <w14:cntxtAlts w14:val="0"/>
        </w:rPr>
        <w:t xml:space="preserve"> refugees</w:t>
      </w:r>
      <w:r w:rsidR="00B6510B" w:rsidRPr="00F73A2A">
        <w:rPr>
          <w:rFonts w:asciiTheme="minorHAnsi" w:eastAsiaTheme="minorHAnsi" w:hAnsiTheme="minorHAnsi" w:cstheme="minorBidi"/>
          <w:color w:val="auto"/>
          <w:kern w:val="0"/>
          <w:lang w:val="en-GB" w:eastAsia="en-US"/>
          <w14:ligatures w14:val="none"/>
          <w14:cntxtAlts w14:val="0"/>
        </w:rPr>
        <w:t>.</w:t>
      </w:r>
    </w:p>
    <w:p w14:paraId="29B10DC2" w14:textId="5405E18E" w:rsidR="00AB3D40" w:rsidRPr="00F73A2A" w:rsidRDefault="00AB3D40" w:rsidP="00F566A9">
      <w:pPr>
        <w:pStyle w:val="Body"/>
        <w:widowControl w:val="0"/>
        <w:numPr>
          <w:ilvl w:val="0"/>
          <w:numId w:val="42"/>
        </w:numPr>
        <w:spacing w:after="120"/>
        <w:rPr>
          <w:rFonts w:asciiTheme="minorHAnsi" w:eastAsiaTheme="minorHAnsi" w:hAnsiTheme="minorHAnsi" w:cstheme="minorBidi"/>
          <w:color w:val="auto"/>
          <w:kern w:val="0"/>
          <w:lang w:val="en-GB" w:eastAsia="en-US"/>
          <w14:ligatures w14:val="none"/>
          <w14:cntxtAlts w14:val="0"/>
        </w:rPr>
      </w:pPr>
      <w:r w:rsidRPr="00F73A2A">
        <w:rPr>
          <w:rStyle w:val="Hyperlink"/>
          <w:u w:val="none"/>
          <w:lang w:val="en-GB" w:eastAsia="en-US"/>
        </w:rPr>
        <w:t>Marie Stopes International</w:t>
      </w:r>
      <w:r w:rsidR="00842223" w:rsidRPr="00F73A2A">
        <w:rPr>
          <w:rStyle w:val="Hyperlink"/>
          <w:u w:val="none"/>
          <w:lang w:val="en-GB" w:eastAsia="en-US"/>
        </w:rPr>
        <w:t xml:space="preserve"> </w:t>
      </w:r>
      <w:r w:rsidRPr="00F73A2A">
        <w:rPr>
          <w:rStyle w:val="Hyperlink"/>
          <w:u w:val="none"/>
          <w:lang w:val="en-GB" w:eastAsia="en-US"/>
        </w:rPr>
        <w:t>and WaterAid:</w:t>
      </w:r>
      <w:r w:rsidRPr="00F73A2A">
        <w:rPr>
          <w:color w:val="auto"/>
          <w14:ligatures w14:val="none"/>
        </w:rPr>
        <w:t xml:space="preserve"> “</w:t>
      </w:r>
      <w:hyperlink r:id="rId13" w:history="1">
        <w:r w:rsidRPr="00F73A2A">
          <w:rPr>
            <w:rStyle w:val="Hyperlink"/>
            <w:rFonts w:eastAsiaTheme="majorEastAsia"/>
            <w14:ligatures w14:val="none"/>
          </w:rPr>
          <w:t>Integrating Menstrual Health, Water, Sanitation, and Hygiene and Sexual and Reproductive Health in Asia and the Pacific Region</w:t>
        </w:r>
      </w:hyperlink>
      <w:r w:rsidRPr="00F73A2A">
        <w:rPr>
          <w:color w:val="auto"/>
          <w14:ligatures w14:val="none"/>
        </w:rPr>
        <w:t xml:space="preserve">” </w:t>
      </w:r>
      <w:r w:rsidR="00412B12" w:rsidRPr="00F73A2A">
        <w:rPr>
          <w:rFonts w:asciiTheme="minorHAnsi" w:eastAsiaTheme="minorHAnsi" w:hAnsiTheme="minorHAnsi" w:cstheme="minorBidi"/>
          <w:color w:val="auto"/>
          <w:kern w:val="0"/>
          <w:lang w:val="en-GB" w:eastAsia="en-US"/>
          <w14:ligatures w14:val="none"/>
          <w14:cntxtAlts w14:val="0"/>
        </w:rPr>
        <w:t xml:space="preserve">This </w:t>
      </w:r>
      <w:r w:rsidR="00FC1446" w:rsidRPr="00F73A2A">
        <w:rPr>
          <w:rFonts w:asciiTheme="minorHAnsi" w:eastAsiaTheme="minorHAnsi" w:hAnsiTheme="minorHAnsi" w:cstheme="minorBidi"/>
          <w:color w:val="auto"/>
          <w:kern w:val="0"/>
          <w:lang w:val="en-GB" w:eastAsia="en-US"/>
          <w14:ligatures w14:val="none"/>
          <w14:cntxtAlts w14:val="0"/>
        </w:rPr>
        <w:t xml:space="preserve">resource </w:t>
      </w:r>
      <w:r w:rsidR="00412B12" w:rsidRPr="00F73A2A">
        <w:rPr>
          <w:rFonts w:asciiTheme="minorHAnsi" w:eastAsiaTheme="minorHAnsi" w:hAnsiTheme="minorHAnsi" w:cstheme="minorBidi"/>
          <w:color w:val="auto"/>
          <w:kern w:val="0"/>
          <w:lang w:val="en-GB" w:eastAsia="en-US"/>
          <w14:ligatures w14:val="none"/>
          <w14:cntxtAlts w14:val="0"/>
        </w:rPr>
        <w:t xml:space="preserve">is focused on integrating menstrual health and hygiene and sexual and reproductive health into </w:t>
      </w:r>
      <w:r w:rsidR="00F566A9" w:rsidRPr="00F73A2A">
        <w:rPr>
          <w:rFonts w:asciiTheme="minorHAnsi" w:eastAsiaTheme="minorHAnsi" w:hAnsiTheme="minorHAnsi" w:cstheme="minorBidi"/>
          <w:color w:val="auto"/>
          <w:kern w:val="0"/>
          <w:lang w:val="en-GB" w:eastAsia="en-US"/>
          <w14:ligatures w14:val="none"/>
          <w14:cntxtAlts w14:val="0"/>
        </w:rPr>
        <w:t xml:space="preserve">the </w:t>
      </w:r>
      <w:r w:rsidR="00412B12" w:rsidRPr="00F73A2A">
        <w:rPr>
          <w:rFonts w:asciiTheme="minorHAnsi" w:eastAsiaTheme="minorHAnsi" w:hAnsiTheme="minorHAnsi" w:cstheme="minorBidi"/>
          <w:color w:val="auto"/>
          <w:kern w:val="0"/>
          <w:lang w:val="en-GB" w:eastAsia="en-US"/>
          <w14:ligatures w14:val="none"/>
          <w14:cntxtAlts w14:val="0"/>
        </w:rPr>
        <w:t>school curricula</w:t>
      </w:r>
      <w:r w:rsidR="00B6510B" w:rsidRPr="00F73A2A">
        <w:rPr>
          <w:rFonts w:asciiTheme="minorHAnsi" w:eastAsiaTheme="minorHAnsi" w:hAnsiTheme="minorHAnsi" w:cstheme="minorBidi"/>
          <w:color w:val="auto"/>
          <w:kern w:val="0"/>
          <w:lang w:val="en-GB" w:eastAsia="en-US"/>
          <w14:ligatures w14:val="none"/>
          <w14:cntxtAlts w14:val="0"/>
        </w:rPr>
        <w:t>.</w:t>
      </w:r>
    </w:p>
    <w:p w14:paraId="08699F53" w14:textId="6A8CC328" w:rsidR="00AB3D40" w:rsidRPr="00F73A2A" w:rsidRDefault="00AB3D40" w:rsidP="00F566A9">
      <w:pPr>
        <w:pStyle w:val="Body"/>
        <w:widowControl w:val="0"/>
        <w:numPr>
          <w:ilvl w:val="0"/>
          <w:numId w:val="42"/>
        </w:numPr>
        <w:spacing w:after="120"/>
        <w:rPr>
          <w:rFonts w:asciiTheme="minorHAnsi" w:eastAsiaTheme="minorHAnsi" w:hAnsiTheme="minorHAnsi" w:cs="MuseoSans-500"/>
          <w:color w:val="auto"/>
          <w:kern w:val="0"/>
          <w:u w:val="single" w:color="0070C0"/>
          <w:lang w:val="en-GB" w:eastAsia="en-US"/>
          <w14:ligatures w14:val="none"/>
          <w14:cntxtAlts w14:val="0"/>
        </w:rPr>
      </w:pPr>
      <w:r w:rsidRPr="00F73A2A">
        <w:rPr>
          <w:rStyle w:val="Hyperlink"/>
          <w:u w:val="none"/>
          <w:lang w:val="en-GB" w:eastAsia="en-US"/>
        </w:rPr>
        <w:t xml:space="preserve">ActionAid </w:t>
      </w:r>
      <w:r w:rsidR="00C90A22" w:rsidRPr="00F73A2A">
        <w:rPr>
          <w:rStyle w:val="Hyperlink"/>
          <w:u w:val="none"/>
          <w:lang w:val="en-GB" w:eastAsia="en-US"/>
        </w:rPr>
        <w:t xml:space="preserve">Australia </w:t>
      </w:r>
      <w:r w:rsidRPr="00F73A2A">
        <w:rPr>
          <w:rStyle w:val="Hyperlink"/>
          <w:u w:val="none"/>
          <w:lang w:val="en-GB" w:eastAsia="en-US"/>
        </w:rPr>
        <w:t>and Monash Gender Peace and Security. Monash University</w:t>
      </w:r>
      <w:r w:rsidRPr="00F73A2A">
        <w:rPr>
          <w:rStyle w:val="Hyperlink"/>
          <w:rFonts w:eastAsiaTheme="minorHAnsi"/>
          <w:kern w:val="0"/>
          <w:lang w:val="en-GB" w:eastAsia="en-US"/>
          <w14:cntxtAlts w14:val="0"/>
        </w:rPr>
        <w:t xml:space="preserve">: </w:t>
      </w:r>
      <w:hyperlink r:id="rId14" w:history="1">
        <w:r w:rsidRPr="00F73A2A">
          <w:rPr>
            <w:rStyle w:val="Hyperlink"/>
            <w:rFonts w:eastAsiaTheme="majorEastAsia"/>
            <w14:ligatures w14:val="none"/>
          </w:rPr>
          <w:t>Gender Responsive Alternatives to Climate Change Research Brief</w:t>
        </w:r>
      </w:hyperlink>
      <w:r w:rsidR="00C90A22" w:rsidRPr="00F73A2A">
        <w:rPr>
          <w:rStyle w:val="Hyperlink"/>
          <w:rFonts w:eastAsiaTheme="majorEastAsia"/>
          <w14:ligatures w14:val="none"/>
        </w:rPr>
        <w:t>.</w:t>
      </w:r>
    </w:p>
    <w:p w14:paraId="17580ED1" w14:textId="1EA3667A" w:rsidR="00993BD9" w:rsidRPr="00F73A2A" w:rsidRDefault="00AB3D40" w:rsidP="00B6510B">
      <w:pPr>
        <w:pStyle w:val="ListParagraph"/>
        <w:widowControl w:val="0"/>
        <w:numPr>
          <w:ilvl w:val="0"/>
          <w:numId w:val="42"/>
        </w:numPr>
        <w:spacing w:after="120"/>
        <w:rPr>
          <w:rStyle w:val="IntenseReference"/>
          <w:b w:val="0"/>
          <w:bCs w:val="0"/>
          <w:smallCaps w:val="0"/>
          <w:color w:val="auto"/>
          <w:spacing w:val="0"/>
        </w:rPr>
      </w:pPr>
      <w:r w:rsidRPr="00F73A2A">
        <w:rPr>
          <w:color w:val="auto"/>
        </w:rPr>
        <w:t xml:space="preserve">CARE Australia: </w:t>
      </w:r>
      <w:hyperlink r:id="rId15" w:history="1">
        <w:r w:rsidRPr="00F73A2A">
          <w:rPr>
            <w:rStyle w:val="Hyperlink"/>
          </w:rPr>
          <w:t>This is Not Working: Stopping sexual harassment in workplaces across our region</w:t>
        </w:r>
      </w:hyperlink>
      <w:r w:rsidR="00C90A22" w:rsidRPr="00F73A2A">
        <w:rPr>
          <w:rStyle w:val="Hyperlink"/>
        </w:rPr>
        <w:t>.</w:t>
      </w:r>
    </w:p>
    <w:sectPr w:rsidR="00993BD9" w:rsidRPr="00F73A2A" w:rsidSect="00BF7951">
      <w:headerReference w:type="default" r:id="rId16"/>
      <w:footerReference w:type="default" r:id="rId17"/>
      <w:headerReference w:type="first" r:id="rId18"/>
      <w:footerReference w:type="first" r:id="rId19"/>
      <w:pgSz w:w="11906" w:h="16838" w:code="9"/>
      <w:pgMar w:top="1701"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A5685" w14:textId="77777777" w:rsidR="009D1D96" w:rsidRDefault="009D1D96" w:rsidP="00D37B04">
      <w:r>
        <w:separator/>
      </w:r>
    </w:p>
  </w:endnote>
  <w:endnote w:type="continuationSeparator" w:id="0">
    <w:p w14:paraId="61357883" w14:textId="77777777" w:rsidR="009D1D96" w:rsidRDefault="009D1D96"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A26EE" w14:textId="77777777" w:rsidR="00FC322F" w:rsidRPr="00F73A2A" w:rsidRDefault="00FC322F" w:rsidP="00FC322F">
    <w:pPr>
      <w:pStyle w:val="Footer"/>
      <w:rPr>
        <w:b/>
        <w:color w:val="auto"/>
      </w:rPr>
    </w:pPr>
    <w:r w:rsidRPr="00F73A2A">
      <w:rPr>
        <w:b/>
        <w:noProof/>
        <w:color w:val="auto"/>
        <w:lang w:val="en-AU" w:eastAsia="en-AU"/>
      </w:rPr>
      <w:drawing>
        <wp:inline distT="0" distB="0" distL="0" distR="0" wp14:anchorId="1AD140D8" wp14:editId="68B165B9">
          <wp:extent cx="108000" cy="87480"/>
          <wp:effectExtent l="0" t="0" r="6350" b="8255"/>
          <wp:docPr id="35" name="Picture 35"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73A2A">
      <w:rPr>
        <w:b/>
        <w:color w:val="auto"/>
      </w:rPr>
      <w:t>@</w:t>
    </w:r>
    <w:proofErr w:type="gramStart"/>
    <w:r w:rsidRPr="00F73A2A">
      <w:rPr>
        <w:b/>
        <w:color w:val="auto"/>
      </w:rPr>
      <w:t xml:space="preserve">DFAT  </w:t>
    </w:r>
    <w:r w:rsidRPr="00F73A2A">
      <w:rPr>
        <w:rStyle w:val="Green"/>
        <w:b/>
        <w:color w:val="auto"/>
      </w:rPr>
      <w:t>DFAT.GOV.AU</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0E53A" w14:textId="77777777" w:rsidR="00FC322F" w:rsidRPr="00F73A2A" w:rsidRDefault="00FC322F" w:rsidP="00FC322F">
    <w:pPr>
      <w:pStyle w:val="Footer"/>
      <w:rPr>
        <w:b/>
        <w:color w:val="auto"/>
      </w:rPr>
    </w:pPr>
    <w:r w:rsidRPr="00F73A2A">
      <w:rPr>
        <w:b/>
        <w:noProof/>
        <w:color w:val="auto"/>
        <w:lang w:val="en-AU" w:eastAsia="en-AU"/>
      </w:rPr>
      <w:drawing>
        <wp:inline distT="0" distB="0" distL="0" distR="0" wp14:anchorId="5290BF53" wp14:editId="1608BB28">
          <wp:extent cx="108000" cy="87480"/>
          <wp:effectExtent l="0" t="0" r="6350" b="8255"/>
          <wp:docPr id="38" name="Picture 38"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73A2A">
      <w:rPr>
        <w:b/>
        <w:color w:val="auto"/>
      </w:rPr>
      <w:t>@</w:t>
    </w:r>
    <w:proofErr w:type="gramStart"/>
    <w:r w:rsidRPr="00F73A2A">
      <w:rPr>
        <w:b/>
        <w:color w:val="auto"/>
      </w:rPr>
      <w:t xml:space="preserve">DFAT  </w:t>
    </w:r>
    <w:r w:rsidRPr="00F73A2A">
      <w:rPr>
        <w:rStyle w:val="Green"/>
        <w:b/>
        <w:color w:val="auto"/>
      </w:rPr>
      <w:t>DFAT.GOV.AU</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75F8C" w14:textId="77777777" w:rsidR="009D1D96" w:rsidRPr="008C5A0E" w:rsidRDefault="009D1D96" w:rsidP="00D37B04">
      <w:pPr>
        <w:pStyle w:val="Footer"/>
      </w:pPr>
    </w:p>
  </w:footnote>
  <w:footnote w:type="continuationSeparator" w:id="0">
    <w:p w14:paraId="2AE561E6" w14:textId="77777777" w:rsidR="009D1D96" w:rsidRDefault="009D1D96" w:rsidP="00D37B04">
      <w:r>
        <w:continuationSeparator/>
      </w:r>
    </w:p>
  </w:footnote>
  <w:footnote w:id="1">
    <w:p w14:paraId="1576767A" w14:textId="77777777" w:rsidR="001137DD" w:rsidRDefault="001137DD" w:rsidP="001137DD">
      <w:pPr>
        <w:pStyle w:val="FootnoteText"/>
        <w:ind w:left="0" w:firstLine="0"/>
        <w:rPr>
          <w:color w:val="808080"/>
          <w:sz w:val="16"/>
          <w:szCs w:val="16"/>
          <w:lang w:val="en-US"/>
        </w:rPr>
      </w:pPr>
    </w:p>
    <w:p w14:paraId="358391D3" w14:textId="50528447" w:rsidR="001137DD" w:rsidRPr="001137DD" w:rsidRDefault="001137DD" w:rsidP="001137DD">
      <w:pPr>
        <w:pStyle w:val="FootnoteText"/>
        <w:ind w:left="0" w:firstLine="0"/>
        <w:rPr>
          <w:color w:val="808080"/>
          <w:sz w:val="16"/>
          <w:szCs w:val="16"/>
          <w:lang w:val="en-US"/>
        </w:rPr>
      </w:pPr>
      <w:r>
        <w:rPr>
          <w:rStyle w:val="FootnoteReference"/>
        </w:rPr>
        <w:footnoteRef/>
      </w:r>
      <w:r w:rsidRPr="00715425">
        <w:rPr>
          <w:color w:val="auto"/>
          <w:sz w:val="16"/>
          <w:szCs w:val="16"/>
          <w:lang w:val="en-US"/>
        </w:rPr>
        <w:t xml:space="preserve">Rao, Sandler, </w:t>
      </w:r>
      <w:proofErr w:type="gramStart"/>
      <w:r w:rsidRPr="00715425">
        <w:rPr>
          <w:color w:val="auto"/>
          <w:sz w:val="16"/>
          <w:szCs w:val="16"/>
          <w:lang w:val="en-US"/>
        </w:rPr>
        <w:t>Kelleher</w:t>
      </w:r>
      <w:proofErr w:type="gramEnd"/>
      <w:r w:rsidRPr="00715425">
        <w:rPr>
          <w:color w:val="auto"/>
          <w:sz w:val="16"/>
          <w:szCs w:val="16"/>
          <w:lang w:val="en-US"/>
        </w:rPr>
        <w:t xml:space="preserve"> and Miller (2016): </w:t>
      </w:r>
      <w:r w:rsidRPr="00715425">
        <w:rPr>
          <w:i/>
          <w:iCs/>
          <w:color w:val="auto"/>
          <w:sz w:val="16"/>
          <w:szCs w:val="16"/>
          <w:lang w:val="en-US"/>
        </w:rPr>
        <w:t>Gender at Work: Theory and Practice for 21</w:t>
      </w:r>
      <w:r w:rsidRPr="00715425">
        <w:rPr>
          <w:i/>
          <w:iCs/>
          <w:color w:val="auto"/>
          <w:sz w:val="16"/>
          <w:szCs w:val="16"/>
          <w:vertAlign w:val="superscript"/>
          <w:lang w:val="en-US"/>
        </w:rPr>
        <w:t>st</w:t>
      </w:r>
      <w:r w:rsidRPr="00715425">
        <w:rPr>
          <w:i/>
          <w:iCs/>
          <w:color w:val="auto"/>
          <w:sz w:val="16"/>
          <w:szCs w:val="16"/>
          <w:lang w:val="en-US"/>
        </w:rPr>
        <w:t xml:space="preserve"> Century </w:t>
      </w:r>
      <w:proofErr w:type="spellStart"/>
      <w:r w:rsidRPr="00715425">
        <w:rPr>
          <w:i/>
          <w:iCs/>
          <w:color w:val="auto"/>
          <w:sz w:val="16"/>
          <w:szCs w:val="16"/>
          <w:lang w:val="en-US"/>
        </w:rPr>
        <w:t>Organisations</w:t>
      </w:r>
      <w:proofErr w:type="spellEnd"/>
      <w:r w:rsidRPr="00715425">
        <w:rPr>
          <w:i/>
          <w:iCs/>
          <w:color w:val="auto"/>
          <w:sz w:val="16"/>
          <w:szCs w:val="16"/>
          <w:lang w:val="en-US"/>
        </w:rPr>
        <w:t>, Routledge</w:t>
      </w:r>
    </w:p>
  </w:footnote>
  <w:footnote w:id="2">
    <w:p w14:paraId="26C9336D" w14:textId="5981C924" w:rsidR="00FC1446" w:rsidRPr="001B4423" w:rsidRDefault="00FC1446" w:rsidP="00715425">
      <w:pPr>
        <w:pStyle w:val="FootnoteText"/>
        <w:ind w:left="0" w:firstLine="0"/>
        <w:rPr>
          <w:lang w:val="en-AU"/>
        </w:rPr>
      </w:pPr>
      <w:r w:rsidRPr="00715425">
        <w:rPr>
          <w:rStyle w:val="FootnoteReference"/>
          <w:color w:val="auto"/>
        </w:rPr>
        <w:footnoteRef/>
      </w:r>
      <w:r w:rsidRPr="00715425">
        <w:rPr>
          <w:color w:val="auto"/>
          <w:sz w:val="16"/>
          <w:szCs w:val="16"/>
          <w:lang w:val="en-AU"/>
        </w:rPr>
        <w:t xml:space="preserve">UN Women (2015). </w:t>
      </w:r>
      <w:r w:rsidRPr="00715425">
        <w:rPr>
          <w:i/>
          <w:iCs/>
          <w:color w:val="auto"/>
          <w:sz w:val="16"/>
          <w:szCs w:val="16"/>
          <w:lang w:val="en-AU"/>
        </w:rPr>
        <w:t>A Framework to Underpin Action to Prevention Violence Against Women</w:t>
      </w:r>
      <w:r w:rsidRPr="00715425">
        <w:rPr>
          <w:color w:val="auto"/>
          <w:sz w:val="16"/>
          <w:szCs w:val="16"/>
          <w:lang w:val="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94208" w14:textId="66C69F85" w:rsidR="002D5B25" w:rsidRPr="000854FD" w:rsidRDefault="00BF7951" w:rsidP="002D5B25">
    <w:pPr>
      <w:pStyle w:val="Header"/>
    </w:pPr>
    <w:r w:rsidRPr="00252C04">
      <w:rPr>
        <w:noProof/>
        <w:lang w:val="en-AU" w:eastAsia="en-AU"/>
      </w:rPr>
      <w:drawing>
        <wp:anchor distT="0" distB="0" distL="114300" distR="114300" simplePos="0" relativeHeight="251668480" behindDoc="1" locked="1" layoutInCell="1" allowOverlap="1" wp14:anchorId="0C16D6D7" wp14:editId="47BCF1E8">
          <wp:simplePos x="0" y="0"/>
          <wp:positionH relativeFrom="margin">
            <wp:align>right</wp:align>
          </wp:positionH>
          <wp:positionV relativeFrom="page">
            <wp:posOffset>902335</wp:posOffset>
          </wp:positionV>
          <wp:extent cx="1115060" cy="512445"/>
          <wp:effectExtent l="0" t="0" r="8890" b="190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66432" behindDoc="1" locked="1" layoutInCell="1" allowOverlap="1" wp14:anchorId="4B5EA755" wp14:editId="369935B0">
          <wp:simplePos x="0" y="0"/>
          <wp:positionH relativeFrom="margin">
            <wp:align>left</wp:align>
          </wp:positionH>
          <wp:positionV relativeFrom="page">
            <wp:posOffset>878205</wp:posOffset>
          </wp:positionV>
          <wp:extent cx="3166745" cy="554355"/>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002D5B25" w:rsidRPr="00943730">
      <w:rPr>
        <w:noProof/>
        <w:lang w:val="en-AU" w:eastAsia="en-AU"/>
      </w:rPr>
      <w:drawing>
        <wp:anchor distT="0" distB="0" distL="114300" distR="114300" simplePos="0" relativeHeight="251662336" behindDoc="1" locked="1" layoutInCell="1" allowOverlap="1" wp14:anchorId="2BFBBECE" wp14:editId="20B7787F">
          <wp:simplePos x="0" y="0"/>
          <wp:positionH relativeFrom="page">
            <wp:posOffset>12700</wp:posOffset>
          </wp:positionH>
          <wp:positionV relativeFrom="page">
            <wp:posOffset>0</wp:posOffset>
          </wp:positionV>
          <wp:extent cx="7559040" cy="10692765"/>
          <wp:effectExtent l="0" t="0" r="3810" b="0"/>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28D54" w14:textId="6FA79B10" w:rsidR="00D37B04" w:rsidRPr="00943730" w:rsidRDefault="00252C04" w:rsidP="00943730">
    <w:pPr>
      <w:pStyle w:val="Header"/>
    </w:pPr>
    <w:r w:rsidRPr="00252C04">
      <w:rPr>
        <w:noProof/>
        <w:lang w:val="en-AU" w:eastAsia="en-AU"/>
      </w:rPr>
      <w:drawing>
        <wp:anchor distT="0" distB="0" distL="114300" distR="114300" simplePos="0" relativeHeight="251664384" behindDoc="1" locked="1" layoutInCell="1" allowOverlap="1" wp14:anchorId="78986071" wp14:editId="399664B2">
          <wp:simplePos x="0" y="0"/>
          <wp:positionH relativeFrom="page">
            <wp:posOffset>5724525</wp:posOffset>
          </wp:positionH>
          <wp:positionV relativeFrom="page">
            <wp:posOffset>918210</wp:posOffset>
          </wp:positionV>
          <wp:extent cx="1115640" cy="512640"/>
          <wp:effectExtent l="0" t="0" r="8890" b="1905"/>
          <wp:wrapNone/>
          <wp:docPr id="60" name="Pictur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15640" cy="512640"/>
                  </a:xfrm>
                  <a:prstGeom prst="rect">
                    <a:avLst/>
                  </a:prstGeom>
                </pic:spPr>
              </pic:pic>
            </a:graphicData>
          </a:graphic>
          <wp14:sizeRelH relativeFrom="margin">
            <wp14:pctWidth>0</wp14:pctWidth>
          </wp14:sizeRelH>
          <wp14:sizeRelV relativeFrom="margin">
            <wp14:pctHeight>0</wp14:pctHeight>
          </wp14:sizeRelV>
        </wp:anchor>
      </w:drawing>
    </w:r>
    <w:r w:rsidR="002D5B25" w:rsidRPr="00943730">
      <w:rPr>
        <w:noProof/>
        <w:lang w:val="en-AU" w:eastAsia="en-AU"/>
      </w:rPr>
      <w:drawing>
        <wp:anchor distT="0" distB="0" distL="114300" distR="114300" simplePos="0" relativeHeight="251657216" behindDoc="1" locked="1" layoutInCell="1" allowOverlap="1" wp14:anchorId="32D19AEF" wp14:editId="59A1E238">
          <wp:simplePos x="0" y="0"/>
          <wp:positionH relativeFrom="page">
            <wp:posOffset>720090</wp:posOffset>
          </wp:positionH>
          <wp:positionV relativeFrom="page">
            <wp:posOffset>882015</wp:posOffset>
          </wp:positionV>
          <wp:extent cx="3166920" cy="554400"/>
          <wp:effectExtent l="0" t="0" r="0" b="0"/>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14:sizeRelH relativeFrom="margin">
            <wp14:pctWidth>0</wp14:pctWidth>
          </wp14:sizeRelH>
          <wp14:sizeRelV relativeFrom="margin">
            <wp14:pctHeight>0</wp14:pctHeight>
          </wp14:sizeRelV>
        </wp:anchor>
      </w:drawing>
    </w:r>
    <w:r w:rsidR="002D5B25" w:rsidRPr="00943730">
      <w:rPr>
        <w:noProof/>
        <w:lang w:val="en-AU" w:eastAsia="en-AU"/>
      </w:rPr>
      <w:drawing>
        <wp:anchor distT="0" distB="0" distL="114300" distR="114300" simplePos="0" relativeHeight="251656192" behindDoc="1" locked="1" layoutInCell="1" allowOverlap="1" wp14:anchorId="3DE9F33C" wp14:editId="32706B37">
          <wp:simplePos x="0" y="0"/>
          <wp:positionH relativeFrom="page">
            <wp:posOffset>12700</wp:posOffset>
          </wp:positionH>
          <wp:positionV relativeFrom="page">
            <wp:posOffset>0</wp:posOffset>
          </wp:positionV>
          <wp:extent cx="7559040" cy="10692130"/>
          <wp:effectExtent l="0" t="0" r="3810" b="0"/>
          <wp:wrapNone/>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r w:rsidR="00F73A2A">
      <w:t>JUNE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F6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7A24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CE23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4C40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A008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0AF3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967D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1474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C077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48F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745DF"/>
    <w:multiLevelType w:val="hybridMultilevel"/>
    <w:tmpl w:val="8214B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E62C11"/>
    <w:multiLevelType w:val="hybridMultilevel"/>
    <w:tmpl w:val="6E24B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5C1BF0"/>
    <w:multiLevelType w:val="hybridMultilevel"/>
    <w:tmpl w:val="0B284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5A42E2"/>
    <w:multiLevelType w:val="hybridMultilevel"/>
    <w:tmpl w:val="9CBE8B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4536B3"/>
    <w:multiLevelType w:val="multilevel"/>
    <w:tmpl w:val="416E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8"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15:restartNumberingAfterBreak="0">
    <w:nsid w:val="35DD1C1F"/>
    <w:multiLevelType w:val="hybridMultilevel"/>
    <w:tmpl w:val="1E38B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2C7475"/>
    <w:multiLevelType w:val="hybridMultilevel"/>
    <w:tmpl w:val="EF043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553D9F"/>
    <w:multiLevelType w:val="multilevel"/>
    <w:tmpl w:val="A6FA45D0"/>
    <w:numStyleLink w:val="BulletsList"/>
  </w:abstractNum>
  <w:abstractNum w:abstractNumId="22" w15:restartNumberingAfterBreak="0">
    <w:nsid w:val="57B33AC2"/>
    <w:multiLevelType w:val="hybridMultilevel"/>
    <w:tmpl w:val="364A2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5D3C1EA7"/>
    <w:multiLevelType w:val="multilevel"/>
    <w:tmpl w:val="A6FA45D0"/>
    <w:numStyleLink w:val="BulletsList"/>
  </w:abstractNum>
  <w:abstractNum w:abstractNumId="25"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72FA4272"/>
    <w:multiLevelType w:val="hybridMultilevel"/>
    <w:tmpl w:val="C6C87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7"/>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3"/>
  </w:num>
  <w:num w:numId="10">
    <w:abstractNumId w:val="2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4"/>
  </w:num>
  <w:num w:numId="22">
    <w:abstractNumId w:val="18"/>
  </w:num>
  <w:num w:numId="23">
    <w:abstractNumId w:val="18"/>
  </w:num>
  <w:num w:numId="24">
    <w:abstractNumId w:val="24"/>
  </w:num>
  <w:num w:numId="25">
    <w:abstractNumId w:val="24"/>
  </w:num>
  <w:num w:numId="26">
    <w:abstractNumId w:val="24"/>
  </w:num>
  <w:num w:numId="27">
    <w:abstractNumId w:val="23"/>
  </w:num>
  <w:num w:numId="28">
    <w:abstractNumId w:val="14"/>
  </w:num>
  <w:num w:numId="29">
    <w:abstractNumId w:val="14"/>
  </w:num>
  <w:num w:numId="30">
    <w:abstractNumId w:val="14"/>
  </w:num>
  <w:num w:numId="31">
    <w:abstractNumId w:val="17"/>
  </w:num>
  <w:num w:numId="32">
    <w:abstractNumId w:val="28"/>
  </w:num>
  <w:num w:numId="33">
    <w:abstractNumId w:val="21"/>
  </w:num>
  <w:num w:numId="34">
    <w:abstractNumId w:val="26"/>
  </w:num>
  <w:num w:numId="35">
    <w:abstractNumId w:val="16"/>
  </w:num>
  <w:num w:numId="36">
    <w:abstractNumId w:val="10"/>
  </w:num>
  <w:num w:numId="37">
    <w:abstractNumId w:val="11"/>
  </w:num>
  <w:num w:numId="38">
    <w:abstractNumId w:val="19"/>
  </w:num>
  <w:num w:numId="39">
    <w:abstractNumId w:val="22"/>
  </w:num>
  <w:num w:numId="40">
    <w:abstractNumId w:val="12"/>
  </w:num>
  <w:num w:numId="41">
    <w:abstractNumId w:val="13"/>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F38"/>
    <w:rsid w:val="00000F38"/>
    <w:rsid w:val="00001DA8"/>
    <w:rsid w:val="000020C1"/>
    <w:rsid w:val="0002080A"/>
    <w:rsid w:val="0002782F"/>
    <w:rsid w:val="0003085D"/>
    <w:rsid w:val="00035BBF"/>
    <w:rsid w:val="000475AE"/>
    <w:rsid w:val="00050806"/>
    <w:rsid w:val="000546D9"/>
    <w:rsid w:val="00054E4D"/>
    <w:rsid w:val="00060073"/>
    <w:rsid w:val="000616C6"/>
    <w:rsid w:val="000854FD"/>
    <w:rsid w:val="000B37F5"/>
    <w:rsid w:val="000D66D6"/>
    <w:rsid w:val="00113288"/>
    <w:rsid w:val="001137DD"/>
    <w:rsid w:val="001214BE"/>
    <w:rsid w:val="0013101C"/>
    <w:rsid w:val="0013648D"/>
    <w:rsid w:val="001461D6"/>
    <w:rsid w:val="001541EA"/>
    <w:rsid w:val="0016292D"/>
    <w:rsid w:val="001777B2"/>
    <w:rsid w:val="001C128C"/>
    <w:rsid w:val="001D663E"/>
    <w:rsid w:val="001E1DC0"/>
    <w:rsid w:val="00203277"/>
    <w:rsid w:val="0020591C"/>
    <w:rsid w:val="00205B2E"/>
    <w:rsid w:val="00224716"/>
    <w:rsid w:val="00233A0A"/>
    <w:rsid w:val="002356C0"/>
    <w:rsid w:val="0024006B"/>
    <w:rsid w:val="00252C04"/>
    <w:rsid w:val="00270627"/>
    <w:rsid w:val="002804C8"/>
    <w:rsid w:val="0028602A"/>
    <w:rsid w:val="002B5E10"/>
    <w:rsid w:val="002C42F5"/>
    <w:rsid w:val="002C793D"/>
    <w:rsid w:val="002D49FD"/>
    <w:rsid w:val="002D5B25"/>
    <w:rsid w:val="002F4F2B"/>
    <w:rsid w:val="003002C0"/>
    <w:rsid w:val="00301144"/>
    <w:rsid w:val="003031C6"/>
    <w:rsid w:val="00304984"/>
    <w:rsid w:val="00312BF8"/>
    <w:rsid w:val="003148B7"/>
    <w:rsid w:val="003158C3"/>
    <w:rsid w:val="003227AF"/>
    <w:rsid w:val="003274CD"/>
    <w:rsid w:val="00333501"/>
    <w:rsid w:val="003457C4"/>
    <w:rsid w:val="0035119D"/>
    <w:rsid w:val="0036647A"/>
    <w:rsid w:val="00384610"/>
    <w:rsid w:val="00384D40"/>
    <w:rsid w:val="00386504"/>
    <w:rsid w:val="0039344A"/>
    <w:rsid w:val="00395163"/>
    <w:rsid w:val="00397BD6"/>
    <w:rsid w:val="003A001F"/>
    <w:rsid w:val="003A14DD"/>
    <w:rsid w:val="003A37C3"/>
    <w:rsid w:val="003B4F12"/>
    <w:rsid w:val="003D4796"/>
    <w:rsid w:val="003E029B"/>
    <w:rsid w:val="003E15E1"/>
    <w:rsid w:val="003F0D91"/>
    <w:rsid w:val="003F2041"/>
    <w:rsid w:val="003F22A9"/>
    <w:rsid w:val="003F3F9A"/>
    <w:rsid w:val="0040094E"/>
    <w:rsid w:val="00400E44"/>
    <w:rsid w:val="00402ACC"/>
    <w:rsid w:val="004120EC"/>
    <w:rsid w:val="00412B12"/>
    <w:rsid w:val="00423F31"/>
    <w:rsid w:val="00431899"/>
    <w:rsid w:val="004340DA"/>
    <w:rsid w:val="00442055"/>
    <w:rsid w:val="00462683"/>
    <w:rsid w:val="00474C5B"/>
    <w:rsid w:val="00482AE8"/>
    <w:rsid w:val="0048492D"/>
    <w:rsid w:val="00486804"/>
    <w:rsid w:val="004939C4"/>
    <w:rsid w:val="004978B8"/>
    <w:rsid w:val="00497C5D"/>
    <w:rsid w:val="004B3775"/>
    <w:rsid w:val="004C6342"/>
    <w:rsid w:val="004C7FB9"/>
    <w:rsid w:val="004D0BA0"/>
    <w:rsid w:val="004D47D0"/>
    <w:rsid w:val="004E058F"/>
    <w:rsid w:val="004E3B87"/>
    <w:rsid w:val="00510921"/>
    <w:rsid w:val="00510AD3"/>
    <w:rsid w:val="00513348"/>
    <w:rsid w:val="00513AD8"/>
    <w:rsid w:val="005204D2"/>
    <w:rsid w:val="00522396"/>
    <w:rsid w:val="00522E74"/>
    <w:rsid w:val="00533B5D"/>
    <w:rsid w:val="00596176"/>
    <w:rsid w:val="005A20F6"/>
    <w:rsid w:val="005B42F9"/>
    <w:rsid w:val="005B55E8"/>
    <w:rsid w:val="005C6996"/>
    <w:rsid w:val="005C79A2"/>
    <w:rsid w:val="005D3655"/>
    <w:rsid w:val="005E3D87"/>
    <w:rsid w:val="005E4830"/>
    <w:rsid w:val="005E48A7"/>
    <w:rsid w:val="00610C84"/>
    <w:rsid w:val="00622B86"/>
    <w:rsid w:val="00623BA1"/>
    <w:rsid w:val="00624168"/>
    <w:rsid w:val="006346BC"/>
    <w:rsid w:val="00646328"/>
    <w:rsid w:val="00653167"/>
    <w:rsid w:val="0066652A"/>
    <w:rsid w:val="006719C3"/>
    <w:rsid w:val="00680522"/>
    <w:rsid w:val="00682167"/>
    <w:rsid w:val="006C42AF"/>
    <w:rsid w:val="00707B8C"/>
    <w:rsid w:val="00711D8E"/>
    <w:rsid w:val="00712672"/>
    <w:rsid w:val="00715425"/>
    <w:rsid w:val="00734E3F"/>
    <w:rsid w:val="00735986"/>
    <w:rsid w:val="00736985"/>
    <w:rsid w:val="00745DF5"/>
    <w:rsid w:val="0076250F"/>
    <w:rsid w:val="007706B8"/>
    <w:rsid w:val="00774EE4"/>
    <w:rsid w:val="0077563D"/>
    <w:rsid w:val="00780FA5"/>
    <w:rsid w:val="007B6200"/>
    <w:rsid w:val="007F3395"/>
    <w:rsid w:val="00801B9F"/>
    <w:rsid w:val="0080204D"/>
    <w:rsid w:val="00805B9C"/>
    <w:rsid w:val="0082037C"/>
    <w:rsid w:val="0083052F"/>
    <w:rsid w:val="0083370D"/>
    <w:rsid w:val="008413CA"/>
    <w:rsid w:val="00842223"/>
    <w:rsid w:val="008475F0"/>
    <w:rsid w:val="008557A7"/>
    <w:rsid w:val="00870928"/>
    <w:rsid w:val="00885A62"/>
    <w:rsid w:val="0089405C"/>
    <w:rsid w:val="00897FA2"/>
    <w:rsid w:val="008A5AFE"/>
    <w:rsid w:val="008C5A0E"/>
    <w:rsid w:val="008E0013"/>
    <w:rsid w:val="00943730"/>
    <w:rsid w:val="00945340"/>
    <w:rsid w:val="009454DE"/>
    <w:rsid w:val="00961E72"/>
    <w:rsid w:val="00975CA5"/>
    <w:rsid w:val="00983AED"/>
    <w:rsid w:val="00986590"/>
    <w:rsid w:val="00992C76"/>
    <w:rsid w:val="00993BD9"/>
    <w:rsid w:val="009969D6"/>
    <w:rsid w:val="009A3DD2"/>
    <w:rsid w:val="009B3F83"/>
    <w:rsid w:val="009B4D3B"/>
    <w:rsid w:val="009B7942"/>
    <w:rsid w:val="009D1D96"/>
    <w:rsid w:val="009D7407"/>
    <w:rsid w:val="009E0866"/>
    <w:rsid w:val="009E273C"/>
    <w:rsid w:val="009F075B"/>
    <w:rsid w:val="009F1350"/>
    <w:rsid w:val="009F6423"/>
    <w:rsid w:val="00A175B3"/>
    <w:rsid w:val="00A24A62"/>
    <w:rsid w:val="00A31C9F"/>
    <w:rsid w:val="00A33B87"/>
    <w:rsid w:val="00A4144F"/>
    <w:rsid w:val="00A61B4D"/>
    <w:rsid w:val="00A6573B"/>
    <w:rsid w:val="00A80F95"/>
    <w:rsid w:val="00A87FA3"/>
    <w:rsid w:val="00A91795"/>
    <w:rsid w:val="00A97BF1"/>
    <w:rsid w:val="00AA298A"/>
    <w:rsid w:val="00AA315B"/>
    <w:rsid w:val="00AB1352"/>
    <w:rsid w:val="00AB3D40"/>
    <w:rsid w:val="00AC164A"/>
    <w:rsid w:val="00AE2FDF"/>
    <w:rsid w:val="00AE448A"/>
    <w:rsid w:val="00AF2050"/>
    <w:rsid w:val="00B03CA8"/>
    <w:rsid w:val="00B33C0A"/>
    <w:rsid w:val="00B354D0"/>
    <w:rsid w:val="00B55E19"/>
    <w:rsid w:val="00B6510B"/>
    <w:rsid w:val="00B91DD0"/>
    <w:rsid w:val="00B91F55"/>
    <w:rsid w:val="00B94758"/>
    <w:rsid w:val="00BA4B6D"/>
    <w:rsid w:val="00BB26C5"/>
    <w:rsid w:val="00BB720A"/>
    <w:rsid w:val="00BB7412"/>
    <w:rsid w:val="00BC31BD"/>
    <w:rsid w:val="00BC57C0"/>
    <w:rsid w:val="00BD0366"/>
    <w:rsid w:val="00BF4DE6"/>
    <w:rsid w:val="00BF7951"/>
    <w:rsid w:val="00C06B13"/>
    <w:rsid w:val="00C131AC"/>
    <w:rsid w:val="00C27D25"/>
    <w:rsid w:val="00C42541"/>
    <w:rsid w:val="00C42CDE"/>
    <w:rsid w:val="00C44034"/>
    <w:rsid w:val="00C5182A"/>
    <w:rsid w:val="00C63EE9"/>
    <w:rsid w:val="00C800C3"/>
    <w:rsid w:val="00C90A22"/>
    <w:rsid w:val="00C93C22"/>
    <w:rsid w:val="00C96748"/>
    <w:rsid w:val="00CA16F3"/>
    <w:rsid w:val="00CA37B1"/>
    <w:rsid w:val="00CB1959"/>
    <w:rsid w:val="00CC004B"/>
    <w:rsid w:val="00CC308A"/>
    <w:rsid w:val="00CC741B"/>
    <w:rsid w:val="00CD0E4B"/>
    <w:rsid w:val="00CE22BA"/>
    <w:rsid w:val="00CE4C89"/>
    <w:rsid w:val="00CE6AF5"/>
    <w:rsid w:val="00CF07BA"/>
    <w:rsid w:val="00D0296C"/>
    <w:rsid w:val="00D124C8"/>
    <w:rsid w:val="00D324C8"/>
    <w:rsid w:val="00D32D6F"/>
    <w:rsid w:val="00D37B04"/>
    <w:rsid w:val="00D540C6"/>
    <w:rsid w:val="00D64BD1"/>
    <w:rsid w:val="00D92254"/>
    <w:rsid w:val="00DB63A2"/>
    <w:rsid w:val="00DD35EF"/>
    <w:rsid w:val="00DE084C"/>
    <w:rsid w:val="00DE1782"/>
    <w:rsid w:val="00E14F51"/>
    <w:rsid w:val="00E2518E"/>
    <w:rsid w:val="00E357B7"/>
    <w:rsid w:val="00E5330F"/>
    <w:rsid w:val="00E53800"/>
    <w:rsid w:val="00E6081F"/>
    <w:rsid w:val="00E77A9E"/>
    <w:rsid w:val="00E8296D"/>
    <w:rsid w:val="00E8457B"/>
    <w:rsid w:val="00EA04B2"/>
    <w:rsid w:val="00EA20F3"/>
    <w:rsid w:val="00ED2831"/>
    <w:rsid w:val="00ED43D1"/>
    <w:rsid w:val="00EE25F4"/>
    <w:rsid w:val="00EE4EE1"/>
    <w:rsid w:val="00EF08E6"/>
    <w:rsid w:val="00EF4574"/>
    <w:rsid w:val="00EF5FB3"/>
    <w:rsid w:val="00F0224C"/>
    <w:rsid w:val="00F25A93"/>
    <w:rsid w:val="00F2684E"/>
    <w:rsid w:val="00F36B85"/>
    <w:rsid w:val="00F5404C"/>
    <w:rsid w:val="00F566A9"/>
    <w:rsid w:val="00F700AF"/>
    <w:rsid w:val="00F729EF"/>
    <w:rsid w:val="00F73A2A"/>
    <w:rsid w:val="00F744A2"/>
    <w:rsid w:val="00F77CAE"/>
    <w:rsid w:val="00F82271"/>
    <w:rsid w:val="00F83428"/>
    <w:rsid w:val="00F96BB9"/>
    <w:rsid w:val="00FA5AFA"/>
    <w:rsid w:val="00FB00C0"/>
    <w:rsid w:val="00FC1446"/>
    <w:rsid w:val="00FC322F"/>
    <w:rsid w:val="00FC6069"/>
    <w:rsid w:val="00FE3F16"/>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DA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B3D40"/>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Normal"/>
    <w:next w:val="Normal"/>
    <w:link w:val="Heading2Char"/>
    <w:uiPriority w:val="9"/>
    <w:unhideWhenUsed/>
    <w:qFormat/>
    <w:rsid w:val="003F3F9A"/>
    <w:pPr>
      <w:tabs>
        <w:tab w:val="left" w:pos="8295"/>
      </w:tabs>
      <w:outlineLvl w:val="1"/>
    </w:pPr>
    <w:rPr>
      <w:rFonts w:eastAsiaTheme="majorEastAsia" w:cstheme="majorBidi"/>
      <w:b/>
      <w:iCs/>
      <w:caps/>
      <w:spacing w:val="-10"/>
      <w:kern w:val="28"/>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val="0"/>
      <w:sz w:val="24"/>
    </w:rPr>
  </w:style>
  <w:style w:type="paragraph" w:styleId="Heading5">
    <w:name w:val="heading 5"/>
    <w:basedOn w:val="Heading4"/>
    <w:next w:val="Normal"/>
    <w:link w:val="Heading5Char"/>
    <w:uiPriority w:val="9"/>
    <w:unhideWhenUsed/>
    <w:qFormat/>
    <w:rsid w:val="007706B8"/>
    <w:pPr>
      <w:spacing w:line="200" w:lineRule="atLeast"/>
      <w:outlineLvl w:val="4"/>
    </w:pPr>
    <w:rPr>
      <w:b w:val="0"/>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3F3F9A"/>
    <w:rPr>
      <w:rFonts w:eastAsiaTheme="majorEastAsia" w:cstheme="majorBidi"/>
      <w:b/>
      <w:iCs/>
      <w:caps/>
      <w:color w:val="495965" w:themeColor="text2"/>
      <w:spacing w:val="-10"/>
      <w:kern w:val="28"/>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pPr>
    <w:rPr>
      <w:bCs/>
    </w:rPr>
  </w:style>
  <w:style w:type="paragraph" w:customStyle="1" w:styleId="Heading3Numbered">
    <w:name w:val="Heading 3 Numbered"/>
    <w:basedOn w:val="Heading3"/>
    <w:next w:val="Normal"/>
    <w:qFormat/>
    <w:rsid w:val="00ED2831"/>
    <w:pPr>
      <w:numPr>
        <w:ilvl w:val="2"/>
        <w:numId w:val="23"/>
      </w:numPr>
      <w:spacing w:before="300"/>
    </w:p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B00C0"/>
    <w:pPr>
      <w:tabs>
        <w:tab w:val="center" w:pos="4513"/>
        <w:tab w:val="right" w:pos="9026"/>
      </w:tabs>
      <w:spacing w:before="0" w:after="0"/>
      <w:ind w:left="227"/>
    </w:pPr>
    <w:rPr>
      <w:b/>
      <w:caps/>
      <w:color w:val="000000" w:themeColor="text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B00C0"/>
    <w:rPr>
      <w:b/>
      <w:caps/>
      <w:color w:val="000000" w:themeColor="text1"/>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FOOTNOTES,fn,sing,single space,footnote text,f,Footnote Text1,Fodnotetekst Tegn,Fodnotetekst Tegn Char,footnote text Char Char Char,Fodnotetekst Tegn Char1,single space Char1,footnote text Char Char1,Geneva 9,ft,Boston 10,Font: Geneva 9"/>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FOOTNOTES Char,fn Char,sing Char,single space Char,footnote text Char,f Char,Footnote Text1 Char,Fodnotetekst Tegn Char2,Fodnotetekst Tegn Char Char,footnote text Char Char Char Char,Fodnotetekst Tegn Char1 Char,Geneva 9 Char,ft Char"/>
    <w:basedOn w:val="DefaultParagraphFont"/>
    <w:link w:val="FootnoteText"/>
    <w:uiPriority w:val="99"/>
    <w:rsid w:val="008C5A0E"/>
    <w:rPr>
      <w:color w:val="495965" w:themeColor="text2"/>
      <w:sz w:val="12"/>
      <w:szCs w:val="20"/>
    </w:rPr>
  </w:style>
  <w:style w:type="character" w:styleId="FootnoteReference">
    <w:name w:val="footnote reference"/>
    <w:aliases w:val="ftref,16 Point,Superscript 6 Point,BVI fnr Char Char Char1 Char1 Char,BVI fnr Car Car Char Char Char1 Char1 Char,BVI fnr Car Char Char Char1 Char1 Char,BVI fnr Car Car Car Car Char Char1 Char1 Char1 Char,Char Char,Footnote,Ref,fr,FO"/>
    <w:basedOn w:val="DefaultParagraphFont"/>
    <w:link w:val="footnotenumberCharChar"/>
    <w:uiPriority w:val="99"/>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961E72"/>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Square,Para,Paragraph,List Paragraph (numbered (a)),Paragraphe de liste PBLH,Liste 1,Bullets,References,references,List Paragraph1,Rec para,Dot pt,F5 List Paragraph,No Spacing1,List Paragraph Char Char Char,Indicator Text"/>
    <w:basedOn w:val="Normal"/>
    <w:link w:val="ListParagraphChar"/>
    <w:uiPriority w:val="34"/>
    <w:qFormat/>
    <w:locked/>
    <w:rsid w:val="002356C0"/>
    <w:pPr>
      <w:ind w:left="720"/>
      <w:contextualSpacing/>
    </w:pPr>
  </w:style>
  <w:style w:type="character" w:styleId="IntenseReference">
    <w:name w:val="Intense Reference"/>
    <w:basedOn w:val="DefaultParagraphFont"/>
    <w:uiPriority w:val="32"/>
    <w:qFormat/>
    <w:locked/>
    <w:rsid w:val="00F73A2A"/>
    <w:rPr>
      <w:b/>
      <w:bCs/>
      <w:smallCaps/>
      <w:color w:val="000000" w:themeColor="text1"/>
      <w:spacing w:val="5"/>
    </w:rPr>
  </w:style>
  <w:style w:type="paragraph" w:styleId="EndnoteText">
    <w:name w:val="endnote text"/>
    <w:basedOn w:val="Normal"/>
    <w:link w:val="EndnoteTextChar"/>
    <w:uiPriority w:val="99"/>
    <w:semiHidden/>
    <w:unhideWhenUsed/>
    <w:rsid w:val="001137DD"/>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137DD"/>
    <w:rPr>
      <w:color w:val="495965" w:themeColor="text2"/>
      <w:sz w:val="20"/>
      <w:szCs w:val="20"/>
      <w:lang w:val="en-GB"/>
    </w:rPr>
  </w:style>
  <w:style w:type="character" w:styleId="EndnoteReference">
    <w:name w:val="endnote reference"/>
    <w:basedOn w:val="DefaultParagraphFont"/>
    <w:uiPriority w:val="99"/>
    <w:semiHidden/>
    <w:unhideWhenUsed/>
    <w:rsid w:val="001137DD"/>
    <w:rPr>
      <w:vertAlign w:val="superscript"/>
    </w:rPr>
  </w:style>
  <w:style w:type="paragraph" w:customStyle="1" w:styleId="Body">
    <w:name w:val="Body"/>
    <w:basedOn w:val="Normal"/>
    <w:rsid w:val="00AB3D40"/>
    <w:pPr>
      <w:suppressAutoHyphens w:val="0"/>
      <w:spacing w:before="0" w:after="200" w:line="276" w:lineRule="auto"/>
    </w:pPr>
    <w:rPr>
      <w:rFonts w:ascii="Calibri" w:eastAsia="Times New Roman" w:hAnsi="Calibri" w:cs="Calibri"/>
      <w:color w:val="000000"/>
      <w:kern w:val="28"/>
      <w:lang w:val="en-AU" w:eastAsia="en-AU"/>
      <w14:ligatures w14:val="standard"/>
      <w14:cntxtAlts/>
    </w:rPr>
  </w:style>
  <w:style w:type="table" w:styleId="GridTable1Light-Accent1">
    <w:name w:val="Grid Table 1 Light Accent 1"/>
    <w:basedOn w:val="TableNormal"/>
    <w:uiPriority w:val="46"/>
    <w:locked/>
    <w:rsid w:val="0020591C"/>
    <w:pPr>
      <w:spacing w:after="0" w:line="240" w:lineRule="auto"/>
    </w:pPr>
    <w:tblPr>
      <w:tblStyleRowBandSize w:val="1"/>
      <w:tblStyleColBandSize w:val="1"/>
      <w:tblBorders>
        <w:top w:val="single" w:sz="4" w:space="0" w:color="C1E7E0" w:themeColor="accent1" w:themeTint="66"/>
        <w:left w:val="single" w:sz="4" w:space="0" w:color="C1E7E0" w:themeColor="accent1" w:themeTint="66"/>
        <w:bottom w:val="single" w:sz="4" w:space="0" w:color="C1E7E0" w:themeColor="accent1" w:themeTint="66"/>
        <w:right w:val="single" w:sz="4" w:space="0" w:color="C1E7E0" w:themeColor="accent1" w:themeTint="66"/>
        <w:insideH w:val="single" w:sz="4" w:space="0" w:color="C1E7E0" w:themeColor="accent1" w:themeTint="66"/>
        <w:insideV w:val="single" w:sz="4" w:space="0" w:color="C1E7E0" w:themeColor="accent1" w:themeTint="66"/>
      </w:tblBorders>
    </w:tblPr>
    <w:tblStylePr w:type="firstRow">
      <w:rPr>
        <w:b/>
        <w:bCs/>
      </w:rPr>
      <w:tblPr/>
      <w:tcPr>
        <w:tcBorders>
          <w:bottom w:val="single" w:sz="12" w:space="0" w:color="A2DCD1" w:themeColor="accent1" w:themeTint="99"/>
        </w:tcBorders>
      </w:tcPr>
    </w:tblStylePr>
    <w:tblStylePr w:type="lastRow">
      <w:rPr>
        <w:b/>
        <w:bCs/>
      </w:rPr>
      <w:tblPr/>
      <w:tcPr>
        <w:tcBorders>
          <w:top w:val="double" w:sz="2" w:space="0" w:color="A2DCD1" w:themeColor="accent1" w:themeTint="99"/>
        </w:tcBorders>
      </w:tcPr>
    </w:tblStylePr>
    <w:tblStylePr w:type="firstCol">
      <w:rPr>
        <w:b/>
        <w:bCs/>
      </w:rPr>
    </w:tblStylePr>
    <w:tblStylePr w:type="lastCol">
      <w:rPr>
        <w:b/>
        <w:bCs/>
      </w:rPr>
    </w:tblStylePr>
  </w:style>
  <w:style w:type="paragraph" w:customStyle="1" w:styleId="footnotenumberCharChar">
    <w:name w:val="footnote number Char Char"/>
    <w:aliases w:val="BVI fnr Char,BVI fnr Car Car Char,BVI fnr Car Char,BVI fnr Car Car Car Car Char Char Char,BVI fnr Car Car Car Car Char Char Char Char Char Char,BVI fnr Car Car Car Car Char Char Char1, BVI fnr Char, BVI fnr Car Car Char"/>
    <w:basedOn w:val="Normal"/>
    <w:next w:val="FootnoteText"/>
    <w:link w:val="FootnoteReference"/>
    <w:uiPriority w:val="99"/>
    <w:rsid w:val="00624168"/>
    <w:pPr>
      <w:suppressAutoHyphens w:val="0"/>
      <w:spacing w:before="0" w:after="160" w:line="240" w:lineRule="exact"/>
      <w:jc w:val="both"/>
    </w:pPr>
    <w:rPr>
      <w:color w:val="auto"/>
      <w:vertAlign w:val="superscript"/>
      <w:lang w:val="en-AU"/>
    </w:rPr>
  </w:style>
  <w:style w:type="table" w:styleId="GridTable4-Accent1">
    <w:name w:val="Grid Table 4 Accent 1"/>
    <w:basedOn w:val="TableNormal"/>
    <w:uiPriority w:val="49"/>
    <w:locked/>
    <w:rsid w:val="00FA5AFA"/>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character" w:customStyle="1" w:styleId="ListParagraphChar">
    <w:name w:val="List Paragraph Char"/>
    <w:aliases w:val="List Square Char,Para Char,Paragraph Char,List Paragraph (numbered (a)) Char,Paragraphe de liste PBLH Char,Liste 1 Char,Bullets Char,References Char,references Char,List Paragraph1 Char,Rec para Char,Dot pt Char,No Spacing1 Char"/>
    <w:link w:val="ListParagraph"/>
    <w:uiPriority w:val="34"/>
    <w:qFormat/>
    <w:locked/>
    <w:rsid w:val="003A001F"/>
    <w:rPr>
      <w:color w:val="495965" w:themeColor="text2"/>
      <w:lang w:val="en-GB"/>
    </w:rPr>
  </w:style>
  <w:style w:type="paragraph" w:customStyle="1" w:styleId="NFBodyText">
    <w:name w:val="NFBodyText"/>
    <w:link w:val="NFBodyTextChar"/>
    <w:qFormat/>
    <w:rsid w:val="00A33B87"/>
    <w:pPr>
      <w:spacing w:line="240" w:lineRule="auto"/>
    </w:pPr>
    <w:rPr>
      <w:rFonts w:ascii="Garamond" w:hAnsi="Garamond"/>
      <w:sz w:val="24"/>
    </w:rPr>
  </w:style>
  <w:style w:type="character" w:customStyle="1" w:styleId="NFBodyTextChar">
    <w:name w:val="NFBodyText Char"/>
    <w:basedOn w:val="DefaultParagraphFont"/>
    <w:link w:val="NFBodyText"/>
    <w:rsid w:val="00A33B87"/>
    <w:rPr>
      <w:rFonts w:ascii="Garamond" w:hAnsi="Garamond"/>
      <w:sz w:val="24"/>
    </w:rPr>
  </w:style>
  <w:style w:type="character" w:styleId="FollowedHyperlink">
    <w:name w:val="FollowedHyperlink"/>
    <w:basedOn w:val="DefaultParagraphFont"/>
    <w:uiPriority w:val="99"/>
    <w:semiHidden/>
    <w:unhideWhenUsed/>
    <w:rsid w:val="00842223"/>
    <w:rPr>
      <w:color w:val="800080" w:themeColor="followedHyperlink"/>
      <w:u w:val="single"/>
    </w:rPr>
  </w:style>
  <w:style w:type="character" w:styleId="UnresolvedMention">
    <w:name w:val="Unresolved Mention"/>
    <w:basedOn w:val="DefaultParagraphFont"/>
    <w:uiPriority w:val="99"/>
    <w:semiHidden/>
    <w:unhideWhenUsed/>
    <w:rsid w:val="00842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35560">
      <w:bodyDiv w:val="1"/>
      <w:marLeft w:val="0"/>
      <w:marRight w:val="0"/>
      <w:marTop w:val="0"/>
      <w:marBottom w:val="0"/>
      <w:divBdr>
        <w:top w:val="none" w:sz="0" w:space="0" w:color="auto"/>
        <w:left w:val="none" w:sz="0" w:space="0" w:color="auto"/>
        <w:bottom w:val="none" w:sz="0" w:space="0" w:color="auto"/>
        <w:right w:val="none" w:sz="0" w:space="0" w:color="auto"/>
      </w:divBdr>
    </w:div>
    <w:div w:id="143084819">
      <w:bodyDiv w:val="1"/>
      <w:marLeft w:val="0"/>
      <w:marRight w:val="0"/>
      <w:marTop w:val="0"/>
      <w:marBottom w:val="0"/>
      <w:divBdr>
        <w:top w:val="none" w:sz="0" w:space="0" w:color="auto"/>
        <w:left w:val="none" w:sz="0" w:space="0" w:color="auto"/>
        <w:bottom w:val="none" w:sz="0" w:space="0" w:color="auto"/>
        <w:right w:val="none" w:sz="0" w:space="0" w:color="auto"/>
      </w:divBdr>
    </w:div>
    <w:div w:id="846405769">
      <w:bodyDiv w:val="1"/>
      <w:marLeft w:val="0"/>
      <w:marRight w:val="0"/>
      <w:marTop w:val="0"/>
      <w:marBottom w:val="0"/>
      <w:divBdr>
        <w:top w:val="none" w:sz="0" w:space="0" w:color="auto"/>
        <w:left w:val="none" w:sz="0" w:space="0" w:color="auto"/>
        <w:bottom w:val="none" w:sz="0" w:space="0" w:color="auto"/>
        <w:right w:val="none" w:sz="0" w:space="0" w:color="auto"/>
      </w:divBdr>
    </w:div>
    <w:div w:id="913928853">
      <w:bodyDiv w:val="1"/>
      <w:marLeft w:val="0"/>
      <w:marRight w:val="0"/>
      <w:marTop w:val="0"/>
      <w:marBottom w:val="0"/>
      <w:divBdr>
        <w:top w:val="none" w:sz="0" w:space="0" w:color="auto"/>
        <w:left w:val="none" w:sz="0" w:space="0" w:color="auto"/>
        <w:bottom w:val="none" w:sz="0" w:space="0" w:color="auto"/>
        <w:right w:val="none" w:sz="0" w:space="0" w:color="auto"/>
      </w:divBdr>
    </w:div>
    <w:div w:id="1012802485">
      <w:bodyDiv w:val="1"/>
      <w:marLeft w:val="0"/>
      <w:marRight w:val="0"/>
      <w:marTop w:val="0"/>
      <w:marBottom w:val="0"/>
      <w:divBdr>
        <w:top w:val="none" w:sz="0" w:space="0" w:color="auto"/>
        <w:left w:val="none" w:sz="0" w:space="0" w:color="auto"/>
        <w:bottom w:val="none" w:sz="0" w:space="0" w:color="auto"/>
        <w:right w:val="none" w:sz="0" w:space="0" w:color="auto"/>
      </w:divBdr>
    </w:div>
    <w:div w:id="1019888870">
      <w:bodyDiv w:val="1"/>
      <w:marLeft w:val="0"/>
      <w:marRight w:val="0"/>
      <w:marTop w:val="0"/>
      <w:marBottom w:val="0"/>
      <w:divBdr>
        <w:top w:val="none" w:sz="0" w:space="0" w:color="auto"/>
        <w:left w:val="none" w:sz="0" w:space="0" w:color="auto"/>
        <w:bottom w:val="none" w:sz="0" w:space="0" w:color="auto"/>
        <w:right w:val="none" w:sz="0" w:space="0" w:color="auto"/>
      </w:divBdr>
    </w:div>
    <w:div w:id="1182670639">
      <w:bodyDiv w:val="1"/>
      <w:marLeft w:val="0"/>
      <w:marRight w:val="0"/>
      <w:marTop w:val="0"/>
      <w:marBottom w:val="0"/>
      <w:divBdr>
        <w:top w:val="none" w:sz="0" w:space="0" w:color="auto"/>
        <w:left w:val="none" w:sz="0" w:space="0" w:color="auto"/>
        <w:bottom w:val="none" w:sz="0" w:space="0" w:color="auto"/>
        <w:right w:val="none" w:sz="0" w:space="0" w:color="auto"/>
      </w:divBdr>
    </w:div>
    <w:div w:id="1375228233">
      <w:bodyDiv w:val="1"/>
      <w:marLeft w:val="0"/>
      <w:marRight w:val="0"/>
      <w:marTop w:val="0"/>
      <w:marBottom w:val="0"/>
      <w:divBdr>
        <w:top w:val="none" w:sz="0" w:space="0" w:color="auto"/>
        <w:left w:val="none" w:sz="0" w:space="0" w:color="auto"/>
        <w:bottom w:val="none" w:sz="0" w:space="0" w:color="auto"/>
        <w:right w:val="none" w:sz="0" w:space="0" w:color="auto"/>
      </w:divBdr>
    </w:div>
    <w:div w:id="1576473924">
      <w:bodyDiv w:val="1"/>
      <w:marLeft w:val="0"/>
      <w:marRight w:val="0"/>
      <w:marTop w:val="0"/>
      <w:marBottom w:val="0"/>
      <w:divBdr>
        <w:top w:val="none" w:sz="0" w:space="0" w:color="auto"/>
        <w:left w:val="none" w:sz="0" w:space="0" w:color="auto"/>
        <w:bottom w:val="none" w:sz="0" w:space="0" w:color="auto"/>
        <w:right w:val="none" w:sz="0" w:space="0" w:color="auto"/>
      </w:divBdr>
    </w:div>
    <w:div w:id="1649556843">
      <w:bodyDiv w:val="1"/>
      <w:marLeft w:val="0"/>
      <w:marRight w:val="0"/>
      <w:marTop w:val="0"/>
      <w:marBottom w:val="0"/>
      <w:divBdr>
        <w:top w:val="none" w:sz="0" w:space="0" w:color="auto"/>
        <w:left w:val="none" w:sz="0" w:space="0" w:color="auto"/>
        <w:bottom w:val="none" w:sz="0" w:space="0" w:color="auto"/>
        <w:right w:val="none" w:sz="0" w:space="0" w:color="auto"/>
      </w:divBdr>
    </w:div>
    <w:div w:id="1657687838">
      <w:bodyDiv w:val="1"/>
      <w:marLeft w:val="0"/>
      <w:marRight w:val="0"/>
      <w:marTop w:val="0"/>
      <w:marBottom w:val="0"/>
      <w:divBdr>
        <w:top w:val="none" w:sz="0" w:space="0" w:color="auto"/>
        <w:left w:val="none" w:sz="0" w:space="0" w:color="auto"/>
        <w:bottom w:val="none" w:sz="0" w:space="0" w:color="auto"/>
        <w:right w:val="none" w:sz="0" w:space="0" w:color="auto"/>
      </w:divBdr>
    </w:div>
    <w:div w:id="1705985303">
      <w:bodyDiv w:val="1"/>
      <w:marLeft w:val="0"/>
      <w:marRight w:val="0"/>
      <w:marTop w:val="0"/>
      <w:marBottom w:val="0"/>
      <w:divBdr>
        <w:top w:val="none" w:sz="0" w:space="0" w:color="auto"/>
        <w:left w:val="none" w:sz="0" w:space="0" w:color="auto"/>
        <w:bottom w:val="none" w:sz="0" w:space="0" w:color="auto"/>
        <w:right w:val="none" w:sz="0" w:space="0" w:color="auto"/>
      </w:divBdr>
    </w:div>
    <w:div w:id="1750544852">
      <w:bodyDiv w:val="1"/>
      <w:marLeft w:val="0"/>
      <w:marRight w:val="0"/>
      <w:marTop w:val="0"/>
      <w:marBottom w:val="0"/>
      <w:divBdr>
        <w:top w:val="none" w:sz="0" w:space="0" w:color="auto"/>
        <w:left w:val="none" w:sz="0" w:space="0" w:color="auto"/>
        <w:bottom w:val="none" w:sz="0" w:space="0" w:color="auto"/>
        <w:right w:val="none" w:sz="0" w:space="0" w:color="auto"/>
      </w:divBdr>
    </w:div>
    <w:div w:id="2077243213">
      <w:bodyDiv w:val="1"/>
      <w:marLeft w:val="0"/>
      <w:marRight w:val="0"/>
      <w:marTop w:val="0"/>
      <w:marBottom w:val="0"/>
      <w:divBdr>
        <w:top w:val="none" w:sz="0" w:space="0" w:color="auto"/>
        <w:left w:val="none" w:sz="0" w:space="0" w:color="auto"/>
        <w:bottom w:val="none" w:sz="0" w:space="0" w:color="auto"/>
        <w:right w:val="none" w:sz="0" w:space="0" w:color="auto"/>
      </w:divBdr>
    </w:div>
    <w:div w:id="211559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ashmatters.wateraid.org/publications/integrated-approaches-to-menstrual-health-in-asia-and-the-pacific"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ts.edu.au/isf/news/im-prepared-program-recognised-unhc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balcompactrefugees.org/article/equality-refugee-women-return-reintegration-context" TargetMode="External"/><Relationship Id="rId5" Type="http://schemas.openxmlformats.org/officeDocument/2006/relationships/webSettings" Target="webSettings.xml"/><Relationship Id="rId15" Type="http://schemas.openxmlformats.org/officeDocument/2006/relationships/hyperlink" Target="https://caretoact.org.au/"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ctionaid.org.au/resources/gender-responsive-alternatives-to-climate-change-research-brie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C370744-611F-144D-8F1D-6215FCF9B38D}">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27D46-C88B-4014-8CF1-DCB42B9E3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1171</Words>
  <Characters>7167</Characters>
  <Application>Microsoft Office Word</Application>
  <DocSecurity>0</DocSecurity>
  <Lines>137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2022-02-17T00:53:00Z</dcterms:created>
  <dcterms:modified xsi:type="dcterms:W3CDTF">2022-02-17T00:53:00Z</dcterms:modified>
  <cp:category/>
</cp:coreProperties>
</file>