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21452" w14:textId="77777777" w:rsidR="00FE6F2A" w:rsidRDefault="00FE6F2A" w:rsidP="00F25A93">
      <w:pPr>
        <w:pStyle w:val="SpacebeforeTitle"/>
      </w:pPr>
    </w:p>
    <w:p w14:paraId="2343BC74" w14:textId="67DFCBBE" w:rsidR="00276324" w:rsidRPr="00A73B58" w:rsidRDefault="00276324" w:rsidP="00276324">
      <w:pPr>
        <w:pStyle w:val="Title"/>
        <w:rPr>
          <w:sz w:val="40"/>
          <w:szCs w:val="56"/>
        </w:rPr>
      </w:pPr>
      <w:bookmarkStart w:id="0" w:name="_Hlk74682281"/>
      <w:r w:rsidRPr="00A73B58">
        <w:rPr>
          <w:sz w:val="40"/>
          <w:szCs w:val="56"/>
        </w:rPr>
        <w:t>Gender action platform</w:t>
      </w:r>
      <w:r w:rsidR="00CB155B">
        <w:rPr>
          <w:sz w:val="40"/>
          <w:szCs w:val="56"/>
        </w:rPr>
        <w:t xml:space="preserve"> (GAP)</w:t>
      </w:r>
    </w:p>
    <w:bookmarkEnd w:id="0"/>
    <w:p w14:paraId="78A16D27" w14:textId="77777777" w:rsidR="00276324" w:rsidRDefault="00276324" w:rsidP="00276324">
      <w:pPr>
        <w:pStyle w:val="Subtitle"/>
        <w:rPr>
          <w:sz w:val="40"/>
          <w:szCs w:val="28"/>
        </w:rPr>
      </w:pPr>
      <w:r w:rsidRPr="00A73B58">
        <w:rPr>
          <w:rFonts w:ascii="Times New Roman" w:hAnsi="Times New Roman" w:cs="Times New Roman"/>
          <w:noProof/>
          <w:color w:val="auto"/>
          <w:sz w:val="28"/>
          <w:szCs w:val="28"/>
        </w:rPr>
        <w:drawing>
          <wp:anchor distT="36576" distB="36576" distL="36576" distR="36576" simplePos="0" relativeHeight="251659264" behindDoc="0" locked="0" layoutInCell="1" allowOverlap="1" wp14:anchorId="19045C3F" wp14:editId="0AAA8935">
            <wp:simplePos x="0" y="0"/>
            <wp:positionH relativeFrom="margin">
              <wp:align>right</wp:align>
            </wp:positionH>
            <wp:positionV relativeFrom="paragraph">
              <wp:posOffset>278187</wp:posOffset>
            </wp:positionV>
            <wp:extent cx="6113936" cy="1175739"/>
            <wp:effectExtent l="0" t="0" r="1270" b="571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3936" cy="1175739"/>
                    </a:xfrm>
                    <a:prstGeom prst="rect">
                      <a:avLst/>
                    </a:prstGeom>
                    <a:noFill/>
                    <a:ln>
                      <a:noFill/>
                    </a:ln>
                    <a:effectLst>
                      <a:softEdge rad="19050"/>
                    </a:effectLst>
                  </pic:spPr>
                </pic:pic>
              </a:graphicData>
            </a:graphic>
            <wp14:sizeRelH relativeFrom="page">
              <wp14:pctWidth>0</wp14:pctWidth>
            </wp14:sizeRelH>
            <wp14:sizeRelV relativeFrom="page">
              <wp14:pctHeight>0</wp14:pctHeight>
            </wp14:sizeRelV>
          </wp:anchor>
        </w:drawing>
      </w:r>
      <w:r w:rsidRPr="00A73B58">
        <w:rPr>
          <w:sz w:val="40"/>
          <w:szCs w:val="28"/>
        </w:rPr>
        <w:t xml:space="preserve">ENGAGING MEN and Boys </w:t>
      </w:r>
    </w:p>
    <w:p w14:paraId="63E56827" w14:textId="77777777" w:rsidR="00276324" w:rsidRPr="00083026" w:rsidRDefault="00276324" w:rsidP="00276324"/>
    <w:p w14:paraId="72D98B16" w14:textId="77777777" w:rsidR="00276324" w:rsidRPr="00083026" w:rsidRDefault="00276324" w:rsidP="00276324"/>
    <w:p w14:paraId="1EB9D2EA" w14:textId="77777777" w:rsidR="00276324" w:rsidRPr="00083026" w:rsidRDefault="00276324" w:rsidP="00276324"/>
    <w:p w14:paraId="59DD21AA" w14:textId="77777777" w:rsidR="00276324" w:rsidRPr="00083026" w:rsidRDefault="00276324" w:rsidP="00276324"/>
    <w:p w14:paraId="7F60C51E" w14:textId="21915BCA" w:rsidR="003620D6" w:rsidRPr="00276324" w:rsidRDefault="00F62072" w:rsidP="00317062">
      <w:r>
        <w:rPr>
          <w:noProof/>
        </w:rPr>
        <mc:AlternateContent>
          <mc:Choice Requires="wps">
            <w:drawing>
              <wp:anchor distT="45720" distB="45720" distL="114300" distR="114300" simplePos="0" relativeHeight="251667456" behindDoc="0" locked="0" layoutInCell="1" allowOverlap="1" wp14:anchorId="7465FDCA" wp14:editId="4B5E62FC">
                <wp:simplePos x="0" y="0"/>
                <wp:positionH relativeFrom="column">
                  <wp:posOffset>4862195</wp:posOffset>
                </wp:positionH>
                <wp:positionV relativeFrom="paragraph">
                  <wp:posOffset>36195</wp:posOffset>
                </wp:positionV>
                <wp:extent cx="1257300" cy="2095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9550"/>
                        </a:xfrm>
                        <a:prstGeom prst="rect">
                          <a:avLst/>
                        </a:prstGeom>
                        <a:solidFill>
                          <a:srgbClr val="FFFFFF">
                            <a:alpha val="0"/>
                          </a:srgbClr>
                        </a:solidFill>
                        <a:ln w="9525">
                          <a:noFill/>
                          <a:miter lim="800000"/>
                          <a:headEnd/>
                          <a:tailEnd/>
                        </a:ln>
                      </wps:spPr>
                      <wps:txbx>
                        <w:txbxContent>
                          <w:p w14:paraId="0AF29B1E" w14:textId="6AD852FC" w:rsidR="00F62072" w:rsidRPr="00F62072" w:rsidRDefault="00F62072" w:rsidP="00F62072">
                            <w:pPr>
                              <w:spacing w:before="0" w:after="0" w:line="240" w:lineRule="auto"/>
                              <w:rPr>
                                <w:color w:val="BFBFBF" w:themeColor="background1" w:themeShade="BF"/>
                                <w:sz w:val="16"/>
                                <w:szCs w:val="16"/>
                              </w:rPr>
                            </w:pPr>
                            <w:r w:rsidRPr="00FE7E80">
                              <w:rPr>
                                <w:color w:val="auto"/>
                                <w:sz w:val="16"/>
                                <w:szCs w:val="16"/>
                              </w:rPr>
                              <w:t>Photo credit: Bruce Bailey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FDCA" id="_x0000_t202" coordsize="21600,21600" o:spt="202" path="m,l,21600r21600,l21600,xe">
                <v:stroke joinstyle="miter"/>
                <v:path gradientshapeok="t" o:connecttype="rect"/>
              </v:shapetype>
              <v:shape id="Text Box 2" o:spid="_x0000_s1026" type="#_x0000_t202" alt="&quot;&quot;" style="position:absolute;margin-left:382.85pt;margin-top:2.85pt;width:99pt;height:1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" stroked="f">
                <v:fill opacity="0"/>
                <v:textbox>
                  <w:txbxContent>
                    <w:p w14:paraId="0AF29B1E" w14:textId="6AD852FC" w:rsidR="00F62072" w:rsidRPr="00F62072" w:rsidRDefault="00F62072" w:rsidP="00F62072">
                      <w:pPr>
                        <w:spacing w:before="0" w:after="0" w:line="240" w:lineRule="auto"/>
                        <w:rPr>
                          <w:color w:val="BFBFBF" w:themeColor="background1" w:themeShade="BF"/>
                          <w:sz w:val="16"/>
                          <w:szCs w:val="16"/>
                        </w:rPr>
                      </w:pPr>
                      <w:r w:rsidRPr="00FE7E80">
                        <w:rPr>
                          <w:color w:val="auto"/>
                          <w:sz w:val="16"/>
                          <w:szCs w:val="16"/>
                        </w:rPr>
                        <w:t>Photo credit: Bruce Bailey</w:t>
                      </w:r>
                    </w:p>
                  </w:txbxContent>
                </v:textbox>
                <w10:wrap type="square"/>
              </v:shape>
            </w:pict>
          </mc:Fallback>
        </mc:AlternateContent>
      </w:r>
    </w:p>
    <w:p w14:paraId="419B681D" w14:textId="6D8233C3" w:rsidR="00C72663" w:rsidRDefault="00276324" w:rsidP="00FC1574">
      <w:pPr>
        <w:ind w:left="709"/>
        <w:rPr>
          <w:rFonts w:eastAsiaTheme="majorEastAsia" w:cstheme="majorBidi"/>
          <w:b/>
          <w:iCs/>
          <w:caps/>
          <w:spacing w:val="-10"/>
          <w:kern w:val="28"/>
        </w:rPr>
      </w:pPr>
      <w:bookmarkStart w:id="1" w:name="_Hlk74767535"/>
      <w:r w:rsidRPr="00083026">
        <w:rPr>
          <w:rFonts w:ascii="Times New Roman" w:hAnsi="Times New Roman" w:cs="Times New Roman"/>
          <w:noProof/>
          <w:color w:val="auto"/>
        </w:rPr>
        <w:drawing>
          <wp:anchor distT="36576" distB="36576" distL="36576" distR="36576" simplePos="0" relativeHeight="251661312" behindDoc="0" locked="0" layoutInCell="1" allowOverlap="1" wp14:anchorId="7404354E" wp14:editId="7F08483E">
            <wp:simplePos x="0" y="0"/>
            <wp:positionH relativeFrom="margin">
              <wp:align>left</wp:align>
            </wp:positionH>
            <wp:positionV relativeFrom="paragraph">
              <wp:posOffset>86581</wp:posOffset>
            </wp:positionV>
            <wp:extent cx="215409" cy="215409"/>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409" cy="21540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C1574">
        <w:rPr>
          <w:rStyle w:val="Heading2Char"/>
        </w:rPr>
        <w:t>GAP Summary</w:t>
      </w:r>
    </w:p>
    <w:p w14:paraId="596A7D33" w14:textId="01F606AB" w:rsidR="00276324" w:rsidRPr="00276324" w:rsidRDefault="00276324" w:rsidP="00C72663">
      <w:r w:rsidRPr="00276324">
        <w:t>The Gender Action Platform (GAP) strengthened Australian non-government organisation (ANGO) programming to achieve gender equality outcomes in developing countries</w:t>
      </w:r>
      <w:r w:rsidR="000012C8">
        <w:t xml:space="preserve">. In summary: </w:t>
      </w:r>
    </w:p>
    <w:p w14:paraId="705EC7E2" w14:textId="522F34AC" w:rsidR="00C72663" w:rsidRPr="00276324" w:rsidRDefault="00C72663" w:rsidP="00C72663">
      <w:pPr>
        <w:pStyle w:val="ListParagraph"/>
        <w:widowControl w:val="0"/>
        <w:numPr>
          <w:ilvl w:val="0"/>
          <w:numId w:val="38"/>
        </w:numPr>
        <w:spacing w:after="0"/>
      </w:pPr>
      <w:r>
        <w:t>The GAP included</w:t>
      </w:r>
      <w:r w:rsidR="00D66266">
        <w:t xml:space="preserve"> six</w:t>
      </w:r>
      <w:r>
        <w:t xml:space="preserve"> projects </w:t>
      </w:r>
      <w:r w:rsidR="00D66266">
        <w:t>to address</w:t>
      </w:r>
      <w:r>
        <w:t xml:space="preserve"> women’s economic empowerment, gender-based violence and women’s leadership.</w:t>
      </w:r>
    </w:p>
    <w:p w14:paraId="6551E75D" w14:textId="4C8AD852" w:rsidR="00276324" w:rsidRPr="00276324" w:rsidRDefault="00276324" w:rsidP="00276324">
      <w:pPr>
        <w:pStyle w:val="ListParagraph"/>
        <w:widowControl w:val="0"/>
        <w:numPr>
          <w:ilvl w:val="0"/>
          <w:numId w:val="38"/>
        </w:numPr>
        <w:spacing w:after="0"/>
      </w:pPr>
      <w:r w:rsidRPr="00276324">
        <w:t>The GAP design prioritised innovation, collaboration, and shared learning</w:t>
      </w:r>
    </w:p>
    <w:p w14:paraId="1225D2D3" w14:textId="77777777" w:rsidR="00276324" w:rsidRPr="00276324" w:rsidRDefault="00276324" w:rsidP="00276324">
      <w:pPr>
        <w:pStyle w:val="ListParagraph"/>
        <w:widowControl w:val="0"/>
        <w:numPr>
          <w:ilvl w:val="0"/>
          <w:numId w:val="38"/>
        </w:numPr>
        <w:spacing w:after="0"/>
      </w:pPr>
      <w:r w:rsidRPr="00276324">
        <w:t xml:space="preserve">Implementation dates: July 2017 to December 2020 </w:t>
      </w:r>
    </w:p>
    <w:p w14:paraId="6802306F" w14:textId="607B09A8" w:rsidR="00276324" w:rsidRDefault="00276324" w:rsidP="00276324">
      <w:pPr>
        <w:pStyle w:val="ListParagraph"/>
        <w:widowControl w:val="0"/>
        <w:numPr>
          <w:ilvl w:val="0"/>
          <w:numId w:val="38"/>
        </w:numPr>
        <w:spacing w:after="0"/>
      </w:pPr>
      <w:r w:rsidRPr="00276324">
        <w:t>The GAP reached 226,131 people including 144,139 women and girls (64%); 96,340 women (42%) and 47,779 girls (21%)</w:t>
      </w:r>
      <w:r w:rsidR="009F07F8">
        <w:t xml:space="preserve"> and</w:t>
      </w:r>
      <w:r w:rsidRPr="00276324">
        <w:t xml:space="preserve"> 4,217 people with disabilities (2%)</w:t>
      </w:r>
      <w:r w:rsidR="009F07F8">
        <w:t>.</w:t>
      </w:r>
    </w:p>
    <w:p w14:paraId="261D8335" w14:textId="77777777" w:rsidR="003C1068" w:rsidRDefault="003C1068" w:rsidP="00317062">
      <w:pPr>
        <w:pStyle w:val="ListParagraph"/>
        <w:widowControl w:val="0"/>
        <w:spacing w:after="0"/>
      </w:pPr>
    </w:p>
    <w:p w14:paraId="25FECC7F" w14:textId="77777777" w:rsidR="00C72663" w:rsidRPr="00FC1574" w:rsidRDefault="00C72663" w:rsidP="00C72663">
      <w:pPr>
        <w:pStyle w:val="ListParagraph"/>
        <w:widowControl w:val="0"/>
        <w:rPr>
          <w:rStyle w:val="Heading2Char"/>
        </w:rPr>
      </w:pPr>
      <w:r w:rsidRPr="00FC1574">
        <w:rPr>
          <w:rStyle w:val="Heading2Char"/>
        </w:rPr>
        <w:drawing>
          <wp:anchor distT="0" distB="0" distL="114300" distR="114300" simplePos="0" relativeHeight="251673600" behindDoc="0" locked="0" layoutInCell="1" allowOverlap="1" wp14:anchorId="723770FF" wp14:editId="7BC86589">
            <wp:simplePos x="0" y="0"/>
            <wp:positionH relativeFrom="margin">
              <wp:align>left</wp:align>
            </wp:positionH>
            <wp:positionV relativeFrom="paragraph">
              <wp:posOffset>2540</wp:posOffset>
            </wp:positionV>
            <wp:extent cx="213995" cy="219075"/>
            <wp:effectExtent l="0" t="0" r="0" b="9525"/>
            <wp:wrapThrough wrapText="bothSides">
              <wp:wrapPolygon edited="0">
                <wp:start x="0" y="0"/>
                <wp:lineTo x="0" y="20661"/>
                <wp:lineTo x="19228" y="20661"/>
                <wp:lineTo x="19228"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 cy="219075"/>
                    </a:xfrm>
                    <a:prstGeom prst="rect">
                      <a:avLst/>
                    </a:prstGeom>
                    <a:noFill/>
                  </pic:spPr>
                </pic:pic>
              </a:graphicData>
            </a:graphic>
            <wp14:sizeRelH relativeFrom="page">
              <wp14:pctWidth>0</wp14:pctWidth>
            </wp14:sizeRelH>
            <wp14:sizeRelV relativeFrom="page">
              <wp14:pctHeight>0</wp14:pctHeight>
            </wp14:sizeRelV>
          </wp:anchor>
        </w:drawing>
      </w:r>
      <w:r w:rsidRPr="00FC1574">
        <w:rPr>
          <w:rStyle w:val="Heading2Char"/>
        </w:rPr>
        <w:t>PROJECTS, participating NGOs and locations</w:t>
      </w:r>
    </w:p>
    <w:tbl>
      <w:tblPr>
        <w:tblStyle w:val="GridTable4-Accent1"/>
        <w:tblW w:w="9639" w:type="dxa"/>
        <w:tblInd w:w="137" w:type="dxa"/>
        <w:tblLook w:val="04A0" w:firstRow="1" w:lastRow="0" w:firstColumn="1" w:lastColumn="0" w:noHBand="0" w:noVBand="1"/>
      </w:tblPr>
      <w:tblGrid>
        <w:gridCol w:w="2835"/>
        <w:gridCol w:w="4394"/>
        <w:gridCol w:w="2410"/>
      </w:tblGrid>
      <w:tr w:rsidR="00C72663" w14:paraId="2A2F77C0" w14:textId="77777777" w:rsidTr="00310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C1E7E0" w:themeFill="accent1" w:themeFillTint="66"/>
          </w:tcPr>
          <w:p w14:paraId="3AF7FA61" w14:textId="15B9CB3F" w:rsidR="00C72663" w:rsidRPr="00276324" w:rsidRDefault="00C72663" w:rsidP="00036A9D">
            <w:pPr>
              <w:widowControl w:val="0"/>
            </w:pPr>
            <w:r>
              <w:t>Lead NGO</w:t>
            </w:r>
          </w:p>
        </w:tc>
        <w:tc>
          <w:tcPr>
            <w:tcW w:w="4394" w:type="dxa"/>
            <w:shd w:val="clear" w:color="auto" w:fill="C1E7E0" w:themeFill="accent1" w:themeFillTint="66"/>
          </w:tcPr>
          <w:p w14:paraId="564D37B3" w14:textId="77777777" w:rsidR="00C72663" w:rsidRDefault="00C72663" w:rsidP="00036A9D">
            <w:pPr>
              <w:widowControl w:val="0"/>
              <w:cnfStyle w:val="100000000000" w:firstRow="1" w:lastRow="0" w:firstColumn="0" w:lastColumn="0" w:oddVBand="0" w:evenVBand="0" w:oddHBand="0" w:evenHBand="0" w:firstRowFirstColumn="0" w:firstRowLastColumn="0" w:lastRowFirstColumn="0" w:lastRowLastColumn="0"/>
            </w:pPr>
            <w:r>
              <w:t>Project</w:t>
            </w:r>
          </w:p>
        </w:tc>
        <w:tc>
          <w:tcPr>
            <w:tcW w:w="2410" w:type="dxa"/>
            <w:shd w:val="clear" w:color="auto" w:fill="C1E7E0" w:themeFill="accent1" w:themeFillTint="66"/>
          </w:tcPr>
          <w:p w14:paraId="6B5EAD69" w14:textId="77777777" w:rsidR="00C72663" w:rsidRDefault="00C72663" w:rsidP="00036A9D">
            <w:pPr>
              <w:widowControl w:val="0"/>
              <w:cnfStyle w:val="100000000000" w:firstRow="1" w:lastRow="0" w:firstColumn="0" w:lastColumn="0" w:oddVBand="0" w:evenVBand="0" w:oddHBand="0" w:evenHBand="0" w:firstRowFirstColumn="0" w:firstRowLastColumn="0" w:lastRowFirstColumn="0" w:lastRowLastColumn="0"/>
            </w:pPr>
            <w:r>
              <w:t>Location</w:t>
            </w:r>
          </w:p>
        </w:tc>
      </w:tr>
      <w:tr w:rsidR="00C72663" w14:paraId="2BBD7C59" w14:textId="77777777" w:rsidTr="00D66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A11DC16" w14:textId="74B165C7" w:rsidR="00C72663" w:rsidRPr="00DE1782" w:rsidRDefault="00C72663" w:rsidP="00036A9D">
            <w:pPr>
              <w:widowControl w:val="0"/>
              <w:rPr>
                <w:rFonts w:eastAsiaTheme="majorEastAsia" w:cstheme="majorBidi"/>
                <w:iCs/>
                <w:caps/>
                <w:spacing w:val="-10"/>
                <w:kern w:val="28"/>
                <w:sz w:val="20"/>
                <w:szCs w:val="20"/>
              </w:rPr>
            </w:pPr>
            <w:r w:rsidRPr="00DE1782">
              <w:rPr>
                <w:sz w:val="20"/>
                <w:szCs w:val="20"/>
              </w:rPr>
              <w:t>Marie Stopes International Australia</w:t>
            </w:r>
            <w:r>
              <w:rPr>
                <w:sz w:val="20"/>
                <w:szCs w:val="20"/>
              </w:rPr>
              <w:t xml:space="preserve"> and </w:t>
            </w:r>
            <w:r w:rsidRPr="00DE1782">
              <w:rPr>
                <w:sz w:val="20"/>
                <w:szCs w:val="20"/>
              </w:rPr>
              <w:t>WaterAid Australia</w:t>
            </w:r>
          </w:p>
        </w:tc>
        <w:tc>
          <w:tcPr>
            <w:tcW w:w="4394" w:type="dxa"/>
          </w:tcPr>
          <w:p w14:paraId="1A3521F2" w14:textId="77777777" w:rsidR="00C72663" w:rsidRPr="00DE1782" w:rsidRDefault="00C72663" w:rsidP="00036A9D">
            <w:pPr>
              <w:widowControl w:val="0"/>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'I'm Prepared' Equality for refugee women in the return- reintegration context</w:t>
            </w:r>
          </w:p>
        </w:tc>
        <w:tc>
          <w:tcPr>
            <w:tcW w:w="2410" w:type="dxa"/>
          </w:tcPr>
          <w:p w14:paraId="0363EE66" w14:textId="77777777" w:rsidR="00C72663" w:rsidRPr="00DE1782" w:rsidRDefault="00C72663" w:rsidP="00036A9D">
            <w:pPr>
              <w:widowControl w:val="0"/>
              <w:cnfStyle w:val="000000100000" w:firstRow="0" w:lastRow="0" w:firstColumn="0" w:lastColumn="0" w:oddVBand="0" w:evenVBand="0" w:oddHBand="1" w:evenHBand="0" w:firstRowFirstColumn="0" w:firstRowLastColumn="0" w:lastRowFirstColumn="0" w:lastRowLastColumn="0"/>
              <w:rPr>
                <w:rFonts w:eastAsiaTheme="majorEastAsia" w:cstheme="majorBidi"/>
                <w:b/>
                <w:iCs/>
                <w:caps/>
                <w:spacing w:val="-10"/>
                <w:kern w:val="28"/>
                <w:sz w:val="20"/>
                <w:szCs w:val="20"/>
              </w:rPr>
            </w:pPr>
            <w:r w:rsidRPr="00DE1782">
              <w:rPr>
                <w:sz w:val="20"/>
                <w:szCs w:val="20"/>
              </w:rPr>
              <w:t>Papua New Guinea and Timor-Leste</w:t>
            </w:r>
          </w:p>
        </w:tc>
      </w:tr>
      <w:tr w:rsidR="00C72663" w14:paraId="4861BD11" w14:textId="77777777" w:rsidTr="00D66266">
        <w:tc>
          <w:tcPr>
            <w:cnfStyle w:val="001000000000" w:firstRow="0" w:lastRow="0" w:firstColumn="1" w:lastColumn="0" w:oddVBand="0" w:evenVBand="0" w:oddHBand="0" w:evenHBand="0" w:firstRowFirstColumn="0" w:firstRowLastColumn="0" w:lastRowFirstColumn="0" w:lastRowLastColumn="0"/>
            <w:tcW w:w="2835" w:type="dxa"/>
          </w:tcPr>
          <w:p w14:paraId="1F582C24" w14:textId="0F45C339" w:rsidR="00C72663" w:rsidRPr="00DE1782" w:rsidRDefault="00C72663" w:rsidP="00036A9D">
            <w:pPr>
              <w:widowControl w:val="0"/>
              <w:rPr>
                <w:rFonts w:eastAsiaTheme="majorEastAsia" w:cstheme="majorBidi"/>
                <w:iCs/>
                <w:caps/>
                <w:spacing w:val="-10"/>
                <w:kern w:val="28"/>
                <w:sz w:val="20"/>
                <w:szCs w:val="20"/>
              </w:rPr>
            </w:pPr>
            <w:r w:rsidRPr="00DE1782">
              <w:rPr>
                <w:sz w:val="20"/>
                <w:szCs w:val="20"/>
              </w:rPr>
              <w:t>Act for Peace</w:t>
            </w:r>
          </w:p>
        </w:tc>
        <w:tc>
          <w:tcPr>
            <w:tcW w:w="4394" w:type="dxa"/>
          </w:tcPr>
          <w:p w14:paraId="14A21156" w14:textId="77777777" w:rsidR="00C72663" w:rsidRPr="00DE1782" w:rsidRDefault="00C72663" w:rsidP="00036A9D">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Action Against Gender Violence: Engaging Men, Youth and Children</w:t>
            </w:r>
          </w:p>
        </w:tc>
        <w:tc>
          <w:tcPr>
            <w:tcW w:w="2410" w:type="dxa"/>
          </w:tcPr>
          <w:p w14:paraId="287FC2D2" w14:textId="77777777" w:rsidR="00C72663" w:rsidRPr="00DE1782" w:rsidRDefault="00C72663" w:rsidP="00036A9D">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 xml:space="preserve">Sri Lanka, India, </w:t>
            </w:r>
            <w:proofErr w:type="gramStart"/>
            <w:r w:rsidRPr="00DE1782">
              <w:rPr>
                <w:sz w:val="20"/>
                <w:szCs w:val="20"/>
              </w:rPr>
              <w:t>Thailand</w:t>
            </w:r>
            <w:proofErr w:type="gramEnd"/>
            <w:r w:rsidRPr="00DE1782">
              <w:rPr>
                <w:sz w:val="20"/>
                <w:szCs w:val="20"/>
              </w:rPr>
              <w:t xml:space="preserve"> and Myanmar</w:t>
            </w:r>
          </w:p>
        </w:tc>
      </w:tr>
      <w:tr w:rsidR="00C72663" w14:paraId="09A4237A" w14:textId="77777777" w:rsidTr="00D66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89F19A7" w14:textId="13C828BE" w:rsidR="00C72663" w:rsidRPr="00DE1782" w:rsidRDefault="00C72663" w:rsidP="00036A9D">
            <w:pPr>
              <w:widowControl w:val="0"/>
              <w:spacing w:after="0"/>
              <w:rPr>
                <w:sz w:val="20"/>
                <w:szCs w:val="20"/>
              </w:rPr>
            </w:pPr>
            <w:r w:rsidRPr="00DE1782">
              <w:rPr>
                <w:sz w:val="20"/>
                <w:szCs w:val="20"/>
              </w:rPr>
              <w:t>ActionAid</w:t>
            </w:r>
          </w:p>
        </w:tc>
        <w:tc>
          <w:tcPr>
            <w:tcW w:w="4394" w:type="dxa"/>
          </w:tcPr>
          <w:p w14:paraId="3AA80BC3" w14:textId="77777777" w:rsidR="00C72663" w:rsidRPr="00DE1782" w:rsidRDefault="00C72663" w:rsidP="00036A9D">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Keeping girls in school through improved reproductive and menstrual health</w:t>
            </w:r>
          </w:p>
        </w:tc>
        <w:tc>
          <w:tcPr>
            <w:tcW w:w="2410" w:type="dxa"/>
          </w:tcPr>
          <w:p w14:paraId="5BD8077D" w14:textId="77777777" w:rsidR="00C72663" w:rsidRPr="00DE1782" w:rsidRDefault="00C72663" w:rsidP="00036A9D">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 xml:space="preserve">Cambodia, Kenya, Vanuatu </w:t>
            </w:r>
          </w:p>
        </w:tc>
      </w:tr>
      <w:tr w:rsidR="00C72663" w14:paraId="4D508FD0" w14:textId="77777777" w:rsidTr="00D66266">
        <w:tc>
          <w:tcPr>
            <w:cnfStyle w:val="001000000000" w:firstRow="0" w:lastRow="0" w:firstColumn="1" w:lastColumn="0" w:oddVBand="0" w:evenVBand="0" w:oddHBand="0" w:evenHBand="0" w:firstRowFirstColumn="0" w:firstRowLastColumn="0" w:lastRowFirstColumn="0" w:lastRowLastColumn="0"/>
            <w:tcW w:w="2835" w:type="dxa"/>
          </w:tcPr>
          <w:p w14:paraId="78F1A35C" w14:textId="3BFBD349" w:rsidR="00C72663" w:rsidRPr="00DE1782" w:rsidRDefault="00C72663" w:rsidP="00036A9D">
            <w:pPr>
              <w:widowControl w:val="0"/>
              <w:spacing w:after="0"/>
              <w:rPr>
                <w:sz w:val="20"/>
                <w:szCs w:val="20"/>
              </w:rPr>
            </w:pPr>
            <w:r w:rsidRPr="00DE1782">
              <w:rPr>
                <w:sz w:val="20"/>
                <w:szCs w:val="20"/>
              </w:rPr>
              <w:t>CARE</w:t>
            </w:r>
            <w:r>
              <w:rPr>
                <w:sz w:val="20"/>
                <w:szCs w:val="20"/>
              </w:rPr>
              <w:t xml:space="preserve"> Australia</w:t>
            </w:r>
            <w:r w:rsidR="00D66266">
              <w:rPr>
                <w:sz w:val="20"/>
                <w:szCs w:val="20"/>
              </w:rPr>
              <w:t xml:space="preserve"> </w:t>
            </w:r>
          </w:p>
        </w:tc>
        <w:tc>
          <w:tcPr>
            <w:tcW w:w="4394" w:type="dxa"/>
          </w:tcPr>
          <w:p w14:paraId="6914E86C" w14:textId="77777777" w:rsidR="00C72663" w:rsidRPr="00DE1782" w:rsidRDefault="00C72663" w:rsidP="00036A9D">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Gender Responsive Alternatives on Climate Change</w:t>
            </w:r>
          </w:p>
        </w:tc>
        <w:tc>
          <w:tcPr>
            <w:tcW w:w="2410" w:type="dxa"/>
          </w:tcPr>
          <w:p w14:paraId="62255591" w14:textId="77777777" w:rsidR="00C72663" w:rsidRPr="00DE1782" w:rsidRDefault="00C72663" w:rsidP="00036A9D">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Cambodia, Myanmar</w:t>
            </w:r>
          </w:p>
        </w:tc>
      </w:tr>
      <w:tr w:rsidR="00C72663" w14:paraId="0753A5FC" w14:textId="77777777" w:rsidTr="00D66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6AA0D3C" w14:textId="6C5FE65D" w:rsidR="00C72663" w:rsidRPr="00DE1782" w:rsidRDefault="00C72663" w:rsidP="00036A9D">
            <w:pPr>
              <w:widowControl w:val="0"/>
              <w:spacing w:after="0"/>
              <w:rPr>
                <w:sz w:val="20"/>
                <w:szCs w:val="20"/>
              </w:rPr>
            </w:pPr>
            <w:proofErr w:type="spellStart"/>
            <w:r w:rsidRPr="00DE1782">
              <w:rPr>
                <w:sz w:val="20"/>
                <w:szCs w:val="20"/>
              </w:rPr>
              <w:t>ChildFund</w:t>
            </w:r>
            <w:proofErr w:type="spellEnd"/>
            <w:r w:rsidRPr="00DE1782">
              <w:rPr>
                <w:sz w:val="20"/>
                <w:szCs w:val="20"/>
              </w:rPr>
              <w:t xml:space="preserve"> Australia</w:t>
            </w:r>
          </w:p>
        </w:tc>
        <w:tc>
          <w:tcPr>
            <w:tcW w:w="4394" w:type="dxa"/>
          </w:tcPr>
          <w:p w14:paraId="64CA7523" w14:textId="77777777" w:rsidR="00C72663" w:rsidRPr="00DE1782" w:rsidRDefault="00C72663" w:rsidP="00036A9D">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Rights, Respect, Resilience: skills for safe, equitable and respectful relationships</w:t>
            </w:r>
          </w:p>
        </w:tc>
        <w:tc>
          <w:tcPr>
            <w:tcW w:w="2410" w:type="dxa"/>
          </w:tcPr>
          <w:p w14:paraId="45FC9E59" w14:textId="77777777" w:rsidR="00C72663" w:rsidRPr="00DE1782" w:rsidRDefault="00C72663" w:rsidP="00036A9D">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Papua New Guinea</w:t>
            </w:r>
          </w:p>
        </w:tc>
      </w:tr>
      <w:tr w:rsidR="00C72663" w14:paraId="2F0F1F7B" w14:textId="77777777" w:rsidTr="00D66266">
        <w:tc>
          <w:tcPr>
            <w:cnfStyle w:val="001000000000" w:firstRow="0" w:lastRow="0" w:firstColumn="1" w:lastColumn="0" w:oddVBand="0" w:evenVBand="0" w:oddHBand="0" w:evenHBand="0" w:firstRowFirstColumn="0" w:firstRowLastColumn="0" w:lastRowFirstColumn="0" w:lastRowLastColumn="0"/>
            <w:tcW w:w="2835" w:type="dxa"/>
          </w:tcPr>
          <w:p w14:paraId="2F136C5F" w14:textId="195574BE" w:rsidR="00C72663" w:rsidRPr="00DE1782" w:rsidRDefault="00C72663" w:rsidP="00036A9D">
            <w:pPr>
              <w:widowControl w:val="0"/>
              <w:spacing w:after="0"/>
              <w:rPr>
                <w:sz w:val="20"/>
                <w:szCs w:val="20"/>
              </w:rPr>
            </w:pPr>
            <w:r w:rsidRPr="00DE1782">
              <w:rPr>
                <w:sz w:val="20"/>
                <w:szCs w:val="20"/>
              </w:rPr>
              <w:t>World Vision Australia</w:t>
            </w:r>
          </w:p>
        </w:tc>
        <w:tc>
          <w:tcPr>
            <w:tcW w:w="4394" w:type="dxa"/>
          </w:tcPr>
          <w:p w14:paraId="1731385A" w14:textId="77777777" w:rsidR="00C72663" w:rsidRPr="00DE1782" w:rsidRDefault="00C72663" w:rsidP="00036A9D">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Enhancing Women's Voice to Stop Sexual Harassment (STOP)</w:t>
            </w:r>
          </w:p>
        </w:tc>
        <w:tc>
          <w:tcPr>
            <w:tcW w:w="2410" w:type="dxa"/>
          </w:tcPr>
          <w:p w14:paraId="564BA53E" w14:textId="77777777" w:rsidR="00C72663" w:rsidRPr="00DE1782" w:rsidRDefault="00C72663" w:rsidP="00036A9D">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 xml:space="preserve">Papua New Guinea, Vanuatu </w:t>
            </w:r>
          </w:p>
        </w:tc>
      </w:tr>
    </w:tbl>
    <w:p w14:paraId="7EDFB170" w14:textId="77777777" w:rsidR="00C72663" w:rsidRDefault="00C72663" w:rsidP="00C72663">
      <w:r w:rsidRPr="00276324">
        <w:t>Good gender programming involves four main approaches: Increasing consciousness about gender equality</w:t>
      </w:r>
      <w:r>
        <w:t>, i</w:t>
      </w:r>
      <w:r w:rsidRPr="00276324">
        <w:t>mproving access to resources and opportunit</w:t>
      </w:r>
      <w:r>
        <w:t>ies, i</w:t>
      </w:r>
      <w:r w:rsidRPr="00276324">
        <w:t xml:space="preserve">nfluencing policies and </w:t>
      </w:r>
      <w:r>
        <w:t>institutions and c</w:t>
      </w:r>
      <w:r w:rsidRPr="00276324">
        <w:t>hallenging norms and attitudes</w:t>
      </w:r>
      <w:r w:rsidRPr="003620D6">
        <w:rPr>
          <w:vertAlign w:val="superscript"/>
        </w:rPr>
        <w:footnoteReference w:id="1"/>
      </w:r>
      <w:r>
        <w:t xml:space="preserve">. These are not discrete, but they reinforce each other to contribute to gender equality. </w:t>
      </w:r>
    </w:p>
    <w:p w14:paraId="3CCDE07A" w14:textId="663B4A06" w:rsidR="00774EE4" w:rsidRDefault="002B1805" w:rsidP="004C6342">
      <w:r w:rsidRPr="00E87A7A">
        <w:lastRenderedPageBreak/>
        <w:t xml:space="preserve">Engaging men and boys </w:t>
      </w:r>
      <w:proofErr w:type="gramStart"/>
      <w:r w:rsidRPr="00E87A7A">
        <w:t>is</w:t>
      </w:r>
      <w:proofErr w:type="gramEnd"/>
      <w:r w:rsidRPr="00E87A7A">
        <w:t xml:space="preserve"> crucial for success with each of these approaches as men have an equal role to </w:t>
      </w:r>
      <w:r>
        <w:t>women</w:t>
      </w:r>
      <w:r w:rsidRPr="00E87A7A">
        <w:t xml:space="preserve"> in promoting gender equality. </w:t>
      </w:r>
      <w:r>
        <w:t>Men</w:t>
      </w:r>
      <w:r w:rsidRPr="00E87A7A">
        <w:t xml:space="preserve"> often have greater</w:t>
      </w:r>
      <w:r>
        <w:t xml:space="preserve"> access to financial resources and opportunities and</w:t>
      </w:r>
      <w:r w:rsidRPr="00E87A7A">
        <w:t xml:space="preserve"> dominate decision and </w:t>
      </w:r>
      <w:r w:rsidR="00A62387">
        <w:t>decision-making</w:t>
      </w:r>
      <w:r w:rsidRPr="00E87A7A">
        <w:t xml:space="preserve"> in many contexts. Male partners are the primary perpetrator of violence against women, which is informed by </w:t>
      </w:r>
      <w:r w:rsidR="00A62387">
        <w:t xml:space="preserve">attitudes that </w:t>
      </w:r>
      <w:r w:rsidRPr="00E87A7A">
        <w:t>normalis</w:t>
      </w:r>
      <w:r w:rsidR="00A62387">
        <w:t>e</w:t>
      </w:r>
      <w:r w:rsidRPr="00E87A7A">
        <w:t xml:space="preserve"> gender inequality.  Finally, men benefit from gender norm change which </w:t>
      </w:r>
      <w:r w:rsidR="00A62387">
        <w:t>expands</w:t>
      </w:r>
      <w:r>
        <w:t xml:space="preserve"> societal attitudes </w:t>
      </w:r>
      <w:r w:rsidR="00A62387">
        <w:t xml:space="preserve">about </w:t>
      </w:r>
      <w:r>
        <w:t xml:space="preserve">masculinity. Below are examples of </w:t>
      </w:r>
      <w:r w:rsidR="0034613A">
        <w:t xml:space="preserve">approaches used by </w:t>
      </w:r>
      <w:r>
        <w:t xml:space="preserve">GAP partners </w:t>
      </w:r>
      <w:r w:rsidR="0034613A">
        <w:t xml:space="preserve">to </w:t>
      </w:r>
      <w:r>
        <w:t>engage men</w:t>
      </w:r>
      <w:r w:rsidR="0034613A">
        <w:t xml:space="preserve"> and boys.</w:t>
      </w:r>
      <w:bookmarkEnd w:id="1"/>
    </w:p>
    <w:p w14:paraId="5C773C3F" w14:textId="3258F604" w:rsidR="00746C77" w:rsidRPr="00317062" w:rsidRDefault="00746C77" w:rsidP="004C6342">
      <w:pPr>
        <w:rPr>
          <w:b/>
          <w:bCs/>
        </w:rPr>
      </w:pPr>
      <w:r>
        <w:t xml:space="preserve">Men and boys were engaged </w:t>
      </w:r>
      <w:r w:rsidR="00292030">
        <w:t>in all GAP projects</w:t>
      </w:r>
      <w:r>
        <w:t xml:space="preserve"> to raise awareness of gender equality, violence against women</w:t>
      </w:r>
      <w:r w:rsidR="00A62387">
        <w:t>,</w:t>
      </w:r>
      <w:r>
        <w:t xml:space="preserve"> menstrual health and hygiene, sexual and reproductive </w:t>
      </w:r>
      <w:proofErr w:type="spellStart"/>
      <w:proofErr w:type="gramStart"/>
      <w:r>
        <w:t>health</w:t>
      </w:r>
      <w:r w:rsidR="0034613A">
        <w:t>,</w:t>
      </w:r>
      <w:r>
        <w:t>gendered</w:t>
      </w:r>
      <w:proofErr w:type="spellEnd"/>
      <w:proofErr w:type="gramEnd"/>
      <w:r>
        <w:t xml:space="preserve"> impacts of climate change and repatriation of refugees. For example, </w:t>
      </w:r>
      <w:r w:rsidRPr="00317062">
        <w:rPr>
          <w:b/>
          <w:bCs/>
        </w:rPr>
        <w:t>Marie Stopes</w:t>
      </w:r>
      <w:r>
        <w:t xml:space="preserve"> </w:t>
      </w:r>
      <w:r w:rsidR="00131C8D" w:rsidRPr="00C72663">
        <w:rPr>
          <w:b/>
          <w:bCs/>
        </w:rPr>
        <w:t>International Australia</w:t>
      </w:r>
      <w:r w:rsidR="00131C8D">
        <w:t xml:space="preserve"> </w:t>
      </w:r>
      <w:r>
        <w:t xml:space="preserve">Timor-Leste produced a short video to raise </w:t>
      </w:r>
      <w:r w:rsidRPr="00317062">
        <w:rPr>
          <w:b/>
          <w:bCs/>
        </w:rPr>
        <w:t>awareness of menstrual health and hygiene</w:t>
      </w:r>
      <w:r>
        <w:t xml:space="preserve"> with men to combat myths and social taboos. The video was shared on Facebook and at events and education sessions in Timor-Leste. </w:t>
      </w:r>
      <w:r w:rsidR="00A62387">
        <w:t xml:space="preserve">In addition, </w:t>
      </w:r>
      <w:r>
        <w:t xml:space="preserve">Marie Stopes and WaterAid found that involving men and boys in discussions surrounding menstruation contributed to transforming negative gender stereotypes and traditional beliefs. </w:t>
      </w:r>
    </w:p>
    <w:p w14:paraId="6BD6AAD3" w14:textId="72B75135" w:rsidR="00292030" w:rsidRDefault="00746C77" w:rsidP="00292030">
      <w:pPr>
        <w:widowControl w:val="0"/>
        <w:spacing w:after="0"/>
      </w:pPr>
      <w:r w:rsidRPr="00317062">
        <w:rPr>
          <w:b/>
          <w:bCs/>
        </w:rPr>
        <w:t>Act for Peace</w:t>
      </w:r>
      <w:r>
        <w:t xml:space="preserve"> </w:t>
      </w:r>
      <w:r w:rsidRPr="00317062">
        <w:t>engaged men</w:t>
      </w:r>
      <w:r w:rsidR="002B1805" w:rsidRPr="00317062">
        <w:t xml:space="preserve"> </w:t>
      </w:r>
      <w:r>
        <w:t>to</w:t>
      </w:r>
      <w:r w:rsidR="002B1805" w:rsidRPr="00317062">
        <w:t xml:space="preserve"> </w:t>
      </w:r>
      <w:r w:rsidR="00292030">
        <w:t xml:space="preserve">address </w:t>
      </w:r>
      <w:r w:rsidR="002B1805" w:rsidRPr="00317062">
        <w:t xml:space="preserve">the </w:t>
      </w:r>
      <w:r>
        <w:t>barrier</w:t>
      </w:r>
      <w:r w:rsidR="002B1805" w:rsidRPr="00317062">
        <w:t xml:space="preserve">s to </w:t>
      </w:r>
      <w:r w:rsidR="002B1805" w:rsidRPr="006C211F">
        <w:rPr>
          <w:b/>
          <w:bCs/>
        </w:rPr>
        <w:t xml:space="preserve">women’s control over </w:t>
      </w:r>
      <w:r w:rsidRPr="00317062">
        <w:rPr>
          <w:b/>
          <w:bCs/>
        </w:rPr>
        <w:t xml:space="preserve">financial </w:t>
      </w:r>
      <w:r w:rsidR="002B1805" w:rsidRPr="006C211F">
        <w:rPr>
          <w:b/>
          <w:bCs/>
        </w:rPr>
        <w:t>resources</w:t>
      </w:r>
      <w:r>
        <w:t xml:space="preserve">. </w:t>
      </w:r>
      <w:r w:rsidR="002B1805" w:rsidRPr="00317062">
        <w:t>The program addressed this through Community Economic Development Forums</w:t>
      </w:r>
      <w:r w:rsidR="00A62387">
        <w:t>,</w:t>
      </w:r>
      <w:r w:rsidR="002B1805" w:rsidRPr="00317062">
        <w:t xml:space="preserve"> partly comprised of influential leaders in the community and </w:t>
      </w:r>
      <w:r w:rsidR="00DF6CE8" w:rsidRPr="00317062">
        <w:t>businesspeople</w:t>
      </w:r>
      <w:r w:rsidR="00DF6CE8">
        <w:t xml:space="preserve"> - </w:t>
      </w:r>
      <w:r w:rsidR="002B1805" w:rsidRPr="00317062">
        <w:t>usually men</w:t>
      </w:r>
      <w:r w:rsidR="00DF6CE8">
        <w:t xml:space="preserve"> - </w:t>
      </w:r>
      <w:r w:rsidR="002B1805" w:rsidRPr="00317062">
        <w:t xml:space="preserve">who the program hoped to harness as champions of change. The Forums were designed to help </w:t>
      </w:r>
      <w:r w:rsidR="00563337">
        <w:t xml:space="preserve">refugee </w:t>
      </w:r>
      <w:r w:rsidR="002B1805" w:rsidRPr="00317062">
        <w:t xml:space="preserve">women </w:t>
      </w:r>
      <w:r w:rsidR="00563337">
        <w:t>access markets and engage</w:t>
      </w:r>
      <w:r w:rsidR="00A62387" w:rsidRPr="00E87A7A">
        <w:t xml:space="preserve"> male leaders as champions of change </w:t>
      </w:r>
      <w:r w:rsidR="00A62387">
        <w:t>to</w:t>
      </w:r>
      <w:r w:rsidR="00A62387" w:rsidRPr="00E87A7A">
        <w:t xml:space="preserve"> promote understanding of </w:t>
      </w:r>
      <w:r w:rsidR="00563337">
        <w:t>women's contributions</w:t>
      </w:r>
      <w:r w:rsidR="00A62387" w:rsidRPr="00E87A7A">
        <w:t xml:space="preserve"> to more sustainable, safe</w:t>
      </w:r>
      <w:r w:rsidR="00A62387">
        <w:t>,</w:t>
      </w:r>
      <w:r w:rsidR="00A62387" w:rsidRPr="00E87A7A">
        <w:t xml:space="preserve"> and dignified </w:t>
      </w:r>
      <w:r w:rsidR="00563337">
        <w:t>processes of returning to their home countries</w:t>
      </w:r>
      <w:r w:rsidR="00A62387" w:rsidRPr="00E87A7A">
        <w:t>.</w:t>
      </w:r>
      <w:r w:rsidR="002B1805" w:rsidRPr="00317062">
        <w:t xml:space="preserve"> </w:t>
      </w:r>
      <w:r w:rsidR="00A62387">
        <w:t xml:space="preserve">They also </w:t>
      </w:r>
      <w:r w:rsidR="002B1805" w:rsidRPr="00317062">
        <w:t>support</w:t>
      </w:r>
      <w:r w:rsidR="00A62387">
        <w:t>ed</w:t>
      </w:r>
      <w:r w:rsidR="002B1805" w:rsidRPr="00317062">
        <w:t xml:space="preserve"> leaders and men </w:t>
      </w:r>
      <w:r w:rsidR="00A62387">
        <w:t>in the broader</w:t>
      </w:r>
      <w:r w:rsidR="002B1805" w:rsidRPr="00317062">
        <w:t xml:space="preserve"> community to understand and support gender-sensitive preparedness and women’s rights</w:t>
      </w:r>
      <w:r w:rsidR="00A62387">
        <w:t xml:space="preserve">. However, </w:t>
      </w:r>
      <w:r w:rsidR="00563337">
        <w:t>Act</w:t>
      </w:r>
      <w:r w:rsidR="00A62387">
        <w:t xml:space="preserve"> </w:t>
      </w:r>
      <w:r>
        <w:t xml:space="preserve">for Peace found that it </w:t>
      </w:r>
      <w:r w:rsidR="00A62387">
        <w:t xml:space="preserve">is </w:t>
      </w:r>
      <w:r w:rsidR="002B1805" w:rsidRPr="00317062">
        <w:t xml:space="preserve">difficult to </w:t>
      </w:r>
      <w:r w:rsidR="00563337">
        <w:t xml:space="preserve">quickly </w:t>
      </w:r>
      <w:r w:rsidR="002B1805" w:rsidRPr="00317062">
        <w:t>shift some of the entrenched cultural norms</w:t>
      </w:r>
      <w:r w:rsidR="00283220">
        <w:t>, which</w:t>
      </w:r>
      <w:r w:rsidR="00563337">
        <w:t xml:space="preserve"> require</w:t>
      </w:r>
      <w:r w:rsidR="00A62387">
        <w:t xml:space="preserve"> </w:t>
      </w:r>
      <w:r w:rsidR="00563337">
        <w:t xml:space="preserve">a </w:t>
      </w:r>
      <w:r w:rsidR="00A62387">
        <w:t>long-term commitment.</w:t>
      </w:r>
    </w:p>
    <w:p w14:paraId="57DB9F88" w14:textId="63C01152" w:rsidR="00292030" w:rsidRDefault="00292030" w:rsidP="00292030">
      <w:pPr>
        <w:widowControl w:val="0"/>
        <w:spacing w:after="0"/>
      </w:pPr>
      <w:r w:rsidRPr="00317062">
        <w:rPr>
          <w:b/>
          <w:bCs/>
        </w:rPr>
        <w:t>CARE</w:t>
      </w:r>
      <w:r>
        <w:t xml:space="preserve"> </w:t>
      </w:r>
      <w:r w:rsidR="00DF6CE8" w:rsidRPr="00C72663">
        <w:rPr>
          <w:b/>
          <w:bCs/>
        </w:rPr>
        <w:t xml:space="preserve">Australia </w:t>
      </w:r>
      <w:r>
        <w:t xml:space="preserve">improved </w:t>
      </w:r>
      <w:r w:rsidRPr="00317062">
        <w:rPr>
          <w:b/>
          <w:bCs/>
        </w:rPr>
        <w:t>women’s access to workplaces free from sexual harassment</w:t>
      </w:r>
      <w:r>
        <w:t xml:space="preserve">. CARE </w:t>
      </w:r>
      <w:r w:rsidR="00DF6CE8" w:rsidRPr="00C72663">
        <w:rPr>
          <w:b/>
          <w:bCs/>
        </w:rPr>
        <w:t xml:space="preserve">Australia </w:t>
      </w:r>
      <w:r>
        <w:t xml:space="preserve">engaged with senior leadership of garment factories and presented them with a business case on how addressing sexual harassment </w:t>
      </w:r>
      <w:r w:rsidR="00563337">
        <w:t>improves</w:t>
      </w:r>
      <w:r>
        <w:t xml:space="preserve"> productivity. Through the GAP, CARE </w:t>
      </w:r>
      <w:r w:rsidR="00131C8D" w:rsidRPr="00C72663">
        <w:rPr>
          <w:b/>
          <w:bCs/>
        </w:rPr>
        <w:t>Australia</w:t>
      </w:r>
      <w:r w:rsidR="00131C8D">
        <w:t xml:space="preserve"> </w:t>
      </w:r>
      <w:r w:rsidR="00563337">
        <w:t>supported</w:t>
      </w:r>
      <w:r>
        <w:t xml:space="preserve"> the development of sexual harassment policies in 29 factories in Cambodia and Myanmar.</w:t>
      </w:r>
    </w:p>
    <w:p w14:paraId="3C884910" w14:textId="7DD86AE1" w:rsidR="00292030" w:rsidRDefault="00276324" w:rsidP="00292030">
      <w:proofErr w:type="spellStart"/>
      <w:r w:rsidRPr="00276324">
        <w:rPr>
          <w:b/>
          <w:bCs/>
        </w:rPr>
        <w:t>ChildFund</w:t>
      </w:r>
      <w:proofErr w:type="spellEnd"/>
      <w:r w:rsidRPr="00276324">
        <w:rPr>
          <w:b/>
          <w:bCs/>
        </w:rPr>
        <w:t xml:space="preserve"> </w:t>
      </w:r>
      <w:r w:rsidR="00131C8D">
        <w:rPr>
          <w:b/>
          <w:bCs/>
        </w:rPr>
        <w:t xml:space="preserve">Australia </w:t>
      </w:r>
      <w:r w:rsidRPr="00276324">
        <w:t xml:space="preserve">and </w:t>
      </w:r>
      <w:r w:rsidRPr="00276324">
        <w:rPr>
          <w:b/>
          <w:bCs/>
        </w:rPr>
        <w:t>Marie Stopes</w:t>
      </w:r>
      <w:r w:rsidR="00131C8D">
        <w:rPr>
          <w:b/>
          <w:bCs/>
        </w:rPr>
        <w:t xml:space="preserve"> International Australia </w:t>
      </w:r>
      <w:r w:rsidRPr="00276324">
        <w:rPr>
          <w:b/>
          <w:bCs/>
        </w:rPr>
        <w:t xml:space="preserve">/Water Aid </w:t>
      </w:r>
      <w:r w:rsidR="00131C8D">
        <w:rPr>
          <w:b/>
          <w:bCs/>
        </w:rPr>
        <w:t xml:space="preserve">Australia </w:t>
      </w:r>
      <w:r w:rsidRPr="00276324">
        <w:t>were based in schools</w:t>
      </w:r>
      <w:r w:rsidR="00A9039D">
        <w:t xml:space="preserve"> and communities</w:t>
      </w:r>
      <w:r w:rsidRPr="00276324">
        <w:t xml:space="preserve"> and </w:t>
      </w:r>
      <w:r w:rsidR="00A9039D">
        <w:t>focused on</w:t>
      </w:r>
      <w:r w:rsidRPr="00276324">
        <w:t xml:space="preserve"> </w:t>
      </w:r>
      <w:r w:rsidR="00292030" w:rsidRPr="00317062">
        <w:rPr>
          <w:b/>
          <w:bCs/>
        </w:rPr>
        <w:t xml:space="preserve">adolescent boys and girls </w:t>
      </w:r>
      <w:r w:rsidRPr="00317062">
        <w:rPr>
          <w:b/>
          <w:bCs/>
        </w:rPr>
        <w:t>to influence attitudes</w:t>
      </w:r>
      <w:r w:rsidR="0018351D">
        <w:rPr>
          <w:b/>
          <w:bCs/>
        </w:rPr>
        <w:t xml:space="preserve"> about</w:t>
      </w:r>
      <w:r w:rsidRPr="00317062">
        <w:rPr>
          <w:b/>
          <w:bCs/>
        </w:rPr>
        <w:t xml:space="preserve"> gender equality</w:t>
      </w:r>
      <w:r w:rsidRPr="00276324">
        <w:t xml:space="preserve"> </w:t>
      </w:r>
      <w:r w:rsidRPr="00317062">
        <w:rPr>
          <w:b/>
          <w:bCs/>
        </w:rPr>
        <w:t>and sexual and reproductive health</w:t>
      </w:r>
      <w:r w:rsidR="006C211F">
        <w:t xml:space="preserve"> through the school curriculum</w:t>
      </w:r>
      <w:r w:rsidRPr="00276324">
        <w:t xml:space="preserve">. </w:t>
      </w:r>
      <w:proofErr w:type="spellStart"/>
      <w:r w:rsidR="00292030" w:rsidRPr="00BD79A4">
        <w:t>ChildFund</w:t>
      </w:r>
      <w:proofErr w:type="spellEnd"/>
      <w:r w:rsidR="00131C8D">
        <w:t xml:space="preserve"> Australia</w:t>
      </w:r>
      <w:r w:rsidR="00292030" w:rsidRPr="00BD79A4">
        <w:t xml:space="preserve"> and </w:t>
      </w:r>
      <w:r w:rsidR="00131C8D" w:rsidRPr="00C72663">
        <w:t>Marie Stopes International Australia /Water Aid Australia</w:t>
      </w:r>
      <w:r w:rsidR="00131C8D">
        <w:rPr>
          <w:b/>
          <w:bCs/>
        </w:rPr>
        <w:t xml:space="preserve"> </w:t>
      </w:r>
      <w:r w:rsidR="00292030" w:rsidRPr="00BD79A4">
        <w:t>found that teachers were reluctant to teach sexual education due to social norms</w:t>
      </w:r>
      <w:r w:rsidR="00563337">
        <w:t xml:space="preserve">. </w:t>
      </w:r>
      <w:proofErr w:type="gramStart"/>
      <w:r w:rsidR="00563337">
        <w:t>In</w:t>
      </w:r>
      <w:r w:rsidR="006C211F">
        <w:t xml:space="preserve"> particular male</w:t>
      </w:r>
      <w:proofErr w:type="gramEnd"/>
      <w:r w:rsidR="006C211F">
        <w:t xml:space="preserve"> teachers found it challenging </w:t>
      </w:r>
      <w:r w:rsidR="00292030" w:rsidRPr="00BD79A4">
        <w:t xml:space="preserve">discussing menstruation and </w:t>
      </w:r>
      <w:r w:rsidR="006C211F">
        <w:t>sexual and reproductive health</w:t>
      </w:r>
      <w:r w:rsidR="00292030" w:rsidRPr="00BD79A4">
        <w:t xml:space="preserve">. This </w:t>
      </w:r>
      <w:r w:rsidR="00563337">
        <w:t xml:space="preserve">issue </w:t>
      </w:r>
      <w:r w:rsidR="00292030" w:rsidRPr="00BD79A4">
        <w:t>was tackled by</w:t>
      </w:r>
      <w:r w:rsidR="00563337">
        <w:t xml:space="preserve"> providing</w:t>
      </w:r>
      <w:r w:rsidR="00292030" w:rsidRPr="00BD79A4">
        <w:t xml:space="preserve"> </w:t>
      </w:r>
      <w:r w:rsidR="00563337">
        <w:t>more</w:t>
      </w:r>
      <w:r w:rsidR="006C211F">
        <w:t xml:space="preserve"> </w:t>
      </w:r>
      <w:r w:rsidR="00292030" w:rsidRPr="00BD79A4">
        <w:t>training</w:t>
      </w:r>
      <w:r w:rsidR="00563337">
        <w:t>,</w:t>
      </w:r>
      <w:r w:rsidR="00292030" w:rsidRPr="00BD79A4">
        <w:t xml:space="preserve"> </w:t>
      </w:r>
      <w:proofErr w:type="gramStart"/>
      <w:r w:rsidR="00292030" w:rsidRPr="00BD79A4">
        <w:t>materials</w:t>
      </w:r>
      <w:proofErr w:type="gramEnd"/>
      <w:r w:rsidR="00292030" w:rsidRPr="00BD79A4">
        <w:t xml:space="preserve"> and ongoing support</w:t>
      </w:r>
      <w:r w:rsidR="00563337">
        <w:t xml:space="preserve"> </w:t>
      </w:r>
      <w:r w:rsidR="00563337" w:rsidRPr="00BD79A4">
        <w:t>for teachers</w:t>
      </w:r>
      <w:r w:rsidR="00292030" w:rsidRPr="00BD79A4">
        <w:t xml:space="preserve">. </w:t>
      </w:r>
      <w:r w:rsidR="006C211F">
        <w:t>At the end of the project, male teachers</w:t>
      </w:r>
      <w:r w:rsidR="00292030" w:rsidRPr="00BD79A4">
        <w:t xml:space="preserve"> stated that they felt comfortable approaching the</w:t>
      </w:r>
      <w:r w:rsidR="006C211F">
        <w:t>se</w:t>
      </w:r>
      <w:r w:rsidR="00292030" w:rsidRPr="00BD79A4">
        <w:t xml:space="preserve"> topi</w:t>
      </w:r>
      <w:r w:rsidR="006C211F">
        <w:t>cs</w:t>
      </w:r>
      <w:r w:rsidR="00292030" w:rsidRPr="00BD79A4">
        <w:t xml:space="preserve"> with</w:t>
      </w:r>
      <w:r w:rsidR="00292030">
        <w:t>in</w:t>
      </w:r>
      <w:r w:rsidR="00292030" w:rsidRPr="00BD79A4">
        <w:t xml:space="preserve"> their mixed-gender classes.</w:t>
      </w:r>
    </w:p>
    <w:p w14:paraId="335156E4" w14:textId="1380FB52" w:rsidR="00E85A9A" w:rsidRDefault="00E85A9A" w:rsidP="00E85A9A">
      <w:r w:rsidRPr="00317062">
        <w:rPr>
          <w:b/>
          <w:bCs/>
          <w:lang w:eastAsia="en-AU"/>
        </w:rPr>
        <w:t>Action Aid</w:t>
      </w:r>
      <w:r>
        <w:rPr>
          <w:lang w:eastAsia="en-AU"/>
        </w:rPr>
        <w:t xml:space="preserve"> </w:t>
      </w:r>
      <w:r w:rsidR="00131C8D" w:rsidRPr="00C72663">
        <w:rPr>
          <w:b/>
          <w:bCs/>
          <w:lang w:eastAsia="en-AU"/>
        </w:rPr>
        <w:t>Australia</w:t>
      </w:r>
      <w:r w:rsidR="00131C8D">
        <w:rPr>
          <w:lang w:eastAsia="en-AU"/>
        </w:rPr>
        <w:t xml:space="preserve"> </w:t>
      </w:r>
      <w:r>
        <w:rPr>
          <w:lang w:eastAsia="en-AU"/>
        </w:rPr>
        <w:t xml:space="preserve">focused on </w:t>
      </w:r>
      <w:r w:rsidRPr="00317062">
        <w:rPr>
          <w:b/>
          <w:bCs/>
          <w:lang w:eastAsia="en-AU"/>
        </w:rPr>
        <w:t>increasing women’s visibility in community leadership</w:t>
      </w:r>
      <w:r>
        <w:rPr>
          <w:lang w:eastAsia="en-AU"/>
        </w:rPr>
        <w:t xml:space="preserve"> positions to increase positive female role models. This challenged norms of male leadership in contexts where community leaders were predominantly men. ActionAid </w:t>
      </w:r>
      <w:r w:rsidR="00131C8D">
        <w:rPr>
          <w:lang w:eastAsia="en-AU"/>
        </w:rPr>
        <w:t xml:space="preserve">Australia </w:t>
      </w:r>
      <w:r>
        <w:rPr>
          <w:lang w:eastAsia="en-AU"/>
        </w:rPr>
        <w:t>also engaged with male partners of the women leaders to encourage them to support their partners.</w:t>
      </w:r>
      <w:r w:rsidRPr="009825B8">
        <w:t xml:space="preserve"> </w:t>
      </w:r>
    </w:p>
    <w:p w14:paraId="47A93EB2" w14:textId="77777777" w:rsidR="00C72663" w:rsidRDefault="007908AF" w:rsidP="00C72663">
      <w:pPr>
        <w:pStyle w:val="ListParagraph"/>
        <w:ind w:left="0"/>
      </w:pPr>
      <w:r w:rsidRPr="00317062">
        <w:rPr>
          <w:b/>
          <w:bCs/>
        </w:rPr>
        <w:t>World Vision Australia</w:t>
      </w:r>
      <w:r>
        <w:t xml:space="preserve"> piloted a new approach of </w:t>
      </w:r>
      <w:r w:rsidRPr="00317062">
        <w:rPr>
          <w:b/>
          <w:bCs/>
        </w:rPr>
        <w:t>working with known male perpetrators of violence</w:t>
      </w:r>
      <w:r>
        <w:t xml:space="preserve"> to change norms associated with men ‘disciplining’ their wives by building an understanding of gender inequality as the driver of violence coupled with anger management techniques.</w:t>
      </w:r>
    </w:p>
    <w:p w14:paraId="4FE4D894" w14:textId="77777777" w:rsidR="00C72663" w:rsidRDefault="00C72663" w:rsidP="00C72663">
      <w:pPr>
        <w:pStyle w:val="ListParagraph"/>
        <w:ind w:left="0"/>
      </w:pPr>
    </w:p>
    <w:p w14:paraId="67DAAEB2" w14:textId="42D71246" w:rsidR="00276324" w:rsidRPr="00C72663" w:rsidRDefault="00E85A9A" w:rsidP="00C72663">
      <w:pPr>
        <w:pStyle w:val="ListParagraph"/>
        <w:ind w:left="0"/>
      </w:pPr>
      <w:r w:rsidRPr="00317062">
        <w:rPr>
          <w:b/>
          <w:bCs/>
        </w:rPr>
        <w:t>All projects</w:t>
      </w:r>
      <w:r>
        <w:t xml:space="preserve"> resulted in </w:t>
      </w:r>
      <w:r w:rsidRPr="00317062">
        <w:rPr>
          <w:b/>
          <w:bCs/>
        </w:rPr>
        <w:t>changes in policies and practice</w:t>
      </w:r>
      <w:r>
        <w:t xml:space="preserve"> within the private sector, government and church, which were </w:t>
      </w:r>
      <w:proofErr w:type="gramStart"/>
      <w:r>
        <w:t>male-dominated</w:t>
      </w:r>
      <w:proofErr w:type="gramEnd"/>
      <w:r>
        <w:t xml:space="preserve">. </w:t>
      </w:r>
      <w:r w:rsidR="001C036A">
        <w:t xml:space="preserve">Successful strategies </w:t>
      </w:r>
      <w:r w:rsidR="00283220">
        <w:t>included</w:t>
      </w:r>
      <w:r w:rsidR="001C036A">
        <w:t xml:space="preserve"> identifying male</w:t>
      </w:r>
      <w:r>
        <w:t xml:space="preserve"> champions</w:t>
      </w:r>
      <w:r w:rsidR="0018351D">
        <w:t xml:space="preserve"> who had aligned values</w:t>
      </w:r>
      <w:r>
        <w:t xml:space="preserve"> and </w:t>
      </w:r>
      <w:r w:rsidR="001C036A">
        <w:t>ensuring</w:t>
      </w:r>
      <w:r>
        <w:t xml:space="preserve"> that </w:t>
      </w:r>
      <w:r w:rsidR="001C036A">
        <w:t>policies aligned to</w:t>
      </w:r>
      <w:r w:rsidR="0018351D">
        <w:t xml:space="preserve"> national and</w:t>
      </w:r>
      <w:r>
        <w:t xml:space="preserve"> international commitments to gender equality.</w:t>
      </w:r>
      <w:r w:rsidR="00E04773">
        <w:t xml:space="preserve"> For example, </w:t>
      </w:r>
      <w:r w:rsidR="00131C8D" w:rsidRPr="00E62BD9">
        <w:t>Marie Stopes International Australia /Water Aid Australia</w:t>
      </w:r>
      <w:r w:rsidR="00131C8D">
        <w:rPr>
          <w:b/>
          <w:bCs/>
        </w:rPr>
        <w:t xml:space="preserve"> </w:t>
      </w:r>
      <w:r w:rsidR="00E04773">
        <w:t xml:space="preserve">invested in strategic government engagement </w:t>
      </w:r>
      <w:r w:rsidR="00563337">
        <w:t>to integrate</w:t>
      </w:r>
      <w:r w:rsidR="00E04773">
        <w:t xml:space="preserve"> </w:t>
      </w:r>
      <w:r w:rsidR="00E04773" w:rsidRPr="00E87A7A">
        <w:t>comprehensive sexuality education</w:t>
      </w:r>
      <w:r w:rsidR="00E04773">
        <w:t xml:space="preserve"> into the school curriculum in PNG, primarily </w:t>
      </w:r>
      <w:r w:rsidR="00E04773">
        <w:lastRenderedPageBreak/>
        <w:t xml:space="preserve">due to the sensitivity of the content. </w:t>
      </w:r>
      <w:r w:rsidR="00563337">
        <w:t>Engagement</w:t>
      </w:r>
      <w:r w:rsidR="00E04773">
        <w:t xml:space="preserve"> included coordinating the Community of Practice and </w:t>
      </w:r>
      <w:r w:rsidR="00563337">
        <w:t>ongoing consultation</w:t>
      </w:r>
      <w:r w:rsidR="00E04773">
        <w:t xml:space="preserve"> with government agency staff in curriculum development. </w:t>
      </w:r>
    </w:p>
    <w:p w14:paraId="4C447043" w14:textId="6CE4B2D5" w:rsidR="00276324" w:rsidRPr="00317062" w:rsidRDefault="00641BD7" w:rsidP="00276324">
      <w:pPr>
        <w:rPr>
          <w:rStyle w:val="IntenseReference"/>
          <w:sz w:val="28"/>
          <w:szCs w:val="28"/>
        </w:rPr>
      </w:pPr>
      <w:r>
        <w:rPr>
          <w:rStyle w:val="IntenseReference"/>
        </w:rPr>
        <w:t xml:space="preserve">Challenges:  </w:t>
      </w:r>
      <w:r w:rsidR="00276324" w:rsidRPr="00317062">
        <w:rPr>
          <w:rStyle w:val="IntenseReference"/>
        </w:rPr>
        <w:t>Resistance and Backlash</w:t>
      </w:r>
    </w:p>
    <w:p w14:paraId="1FEEFC0B" w14:textId="7EFDAF0E" w:rsidR="001C036A" w:rsidRDefault="00276324" w:rsidP="001C036A">
      <w:proofErr w:type="gramStart"/>
      <w:r w:rsidRPr="00276324">
        <w:t>The majority of</w:t>
      </w:r>
      <w:proofErr w:type="gramEnd"/>
      <w:r w:rsidRPr="00276324">
        <w:t xml:space="preserve"> GAP partners reported challenges with engaging men</w:t>
      </w:r>
      <w:r w:rsidR="00563337">
        <w:t>, particularly</w:t>
      </w:r>
      <w:r w:rsidRPr="00276324">
        <w:t xml:space="preserve"> balancing pressure for change against the risk of resistance and backlash.  </w:t>
      </w:r>
    </w:p>
    <w:p w14:paraId="2905D791" w14:textId="7294376A" w:rsidR="001C036A" w:rsidRDefault="00276324" w:rsidP="001C036A">
      <w:r w:rsidRPr="00276324">
        <w:t xml:space="preserve">Resistance and backlash are expected in programs that challenge gender norms and tackle harmful attitudes of men to women and girls. </w:t>
      </w:r>
      <w:r w:rsidR="001C036A">
        <w:t xml:space="preserve"> </w:t>
      </w:r>
      <w:r w:rsidR="001C036A" w:rsidRPr="00276324">
        <w:t>Resistance can take several forms, from passive resistance to</w:t>
      </w:r>
      <w:r w:rsidR="001C036A">
        <w:t xml:space="preserve"> physical</w:t>
      </w:r>
      <w:r w:rsidR="001C036A" w:rsidRPr="00276324">
        <w:t xml:space="preserve"> violence against women. </w:t>
      </w:r>
      <w:r w:rsidRPr="00276324">
        <w:t>GAP partners reported tension between challenging gender norms and working within existing norms to affect change.</w:t>
      </w:r>
      <w:r w:rsidR="001C036A">
        <w:t xml:space="preserve"> The GAP partners did not find </w:t>
      </w:r>
      <w:r w:rsidR="00563337">
        <w:t xml:space="preserve">a </w:t>
      </w:r>
      <w:r w:rsidR="001C036A">
        <w:t>specific solution to this issue but found that challenging norms requires constant testing and refining approaches. Planning for backlash through partnership</w:t>
      </w:r>
      <w:r w:rsidR="00563337">
        <w:t>s</w:t>
      </w:r>
      <w:r w:rsidR="001C036A">
        <w:t xml:space="preserve"> with </w:t>
      </w:r>
      <w:r w:rsidR="00563337">
        <w:t>violence support</w:t>
      </w:r>
      <w:r w:rsidR="001C036A">
        <w:t xml:space="preserve"> service agencies</w:t>
      </w:r>
      <w:r w:rsidR="00563337">
        <w:t xml:space="preserve"> (counselling, </w:t>
      </w:r>
      <w:r w:rsidR="00563337" w:rsidRPr="00E87A7A">
        <w:t xml:space="preserve">shelter, </w:t>
      </w:r>
      <w:proofErr w:type="gramStart"/>
      <w:r w:rsidR="00563337" w:rsidRPr="00E87A7A">
        <w:t>health</w:t>
      </w:r>
      <w:proofErr w:type="gramEnd"/>
      <w:r w:rsidR="00563337" w:rsidRPr="00E87A7A">
        <w:t xml:space="preserve"> and police</w:t>
      </w:r>
      <w:r w:rsidR="00563337">
        <w:t>)</w:t>
      </w:r>
      <w:r w:rsidR="001C036A">
        <w:t xml:space="preserve"> was also a key strategy.</w:t>
      </w:r>
    </w:p>
    <w:p w14:paraId="1F959D24" w14:textId="3B1EDF82" w:rsidR="00276324" w:rsidRPr="00276324" w:rsidRDefault="00276324" w:rsidP="00317062">
      <w:pPr>
        <w:widowControl w:val="0"/>
        <w:spacing w:after="0"/>
      </w:pPr>
      <w:r w:rsidRPr="00276324">
        <w:t xml:space="preserve">Managing resistance and backlash are closely related to Do No Harm approaches.  </w:t>
      </w:r>
      <w:r w:rsidR="001C036A" w:rsidRPr="00E87A7A">
        <w:t xml:space="preserve">A Do No Harm approach to aid programming recognises that programs can cause unintended harm to participants – including violence against women – and that </w:t>
      </w:r>
      <w:r w:rsidR="0018351D">
        <w:t>programs</w:t>
      </w:r>
      <w:r w:rsidR="001C036A" w:rsidRPr="00E87A7A">
        <w:t xml:space="preserve"> can also perpetuate and reinforce </w:t>
      </w:r>
      <w:r w:rsidR="001C036A">
        <w:t>gender norms and</w:t>
      </w:r>
      <w:r w:rsidR="001C036A" w:rsidRPr="00E87A7A">
        <w:t xml:space="preserve"> gender inequality</w:t>
      </w:r>
      <w:r w:rsidR="001C036A">
        <w:t>.</w:t>
      </w:r>
      <w:r w:rsidR="001C036A" w:rsidRPr="00E87A7A">
        <w:t xml:space="preserve"> These risks </w:t>
      </w:r>
      <w:r w:rsidR="0018351D">
        <w:t xml:space="preserve">were actively managed by </w:t>
      </w:r>
      <w:r w:rsidR="00563337">
        <w:t>most of the</w:t>
      </w:r>
      <w:r w:rsidRPr="00276324">
        <w:t xml:space="preserve"> GAP partners </w:t>
      </w:r>
      <w:r w:rsidR="0018351D">
        <w:t>through</w:t>
      </w:r>
      <w:r w:rsidRPr="00276324">
        <w:t xml:space="preserve"> approaches </w:t>
      </w:r>
      <w:r w:rsidR="00283220">
        <w:t xml:space="preserve">such </w:t>
      </w:r>
      <w:proofErr w:type="gramStart"/>
      <w:r w:rsidR="00283220">
        <w:t xml:space="preserve">as </w:t>
      </w:r>
      <w:r w:rsidRPr="00276324">
        <w:t xml:space="preserve"> </w:t>
      </w:r>
      <w:r w:rsidR="0018351D">
        <w:t>developing</w:t>
      </w:r>
      <w:proofErr w:type="gramEnd"/>
      <w:r w:rsidR="0018351D">
        <w:t xml:space="preserve"> partnerships and referral processes with</w:t>
      </w:r>
      <w:r w:rsidRPr="00276324">
        <w:t xml:space="preserve"> existing violence response services (counselling, police, health services)</w:t>
      </w:r>
      <w:r w:rsidR="001C036A">
        <w:t xml:space="preserve">.  It was also crucial for project staff to have training on referring cases of violence to appropriate services. </w:t>
      </w:r>
    </w:p>
    <w:p w14:paraId="23D745B3" w14:textId="253990CA" w:rsidR="00276324" w:rsidRPr="00317062" w:rsidRDefault="00276324" w:rsidP="00276324">
      <w:pPr>
        <w:rPr>
          <w:rStyle w:val="IntenseReference"/>
        </w:rPr>
      </w:pPr>
      <w:r w:rsidRPr="00317062">
        <w:rPr>
          <w:rStyle w:val="IntenseReference"/>
        </w:rPr>
        <w:t xml:space="preserve">Recommendations </w:t>
      </w:r>
    </w:p>
    <w:p w14:paraId="1CA54F2C" w14:textId="1744E495" w:rsidR="00A9039D" w:rsidRPr="00276324" w:rsidRDefault="00276324" w:rsidP="00317062">
      <w:r w:rsidRPr="00276324">
        <w:t xml:space="preserve">Issues with managing resistance and backlash were not necessarily resolved, but </w:t>
      </w:r>
      <w:bookmarkStart w:id="2" w:name="_Hlk81234988"/>
      <w:r w:rsidRPr="00276324">
        <w:t>strategies recommended by GAP partners for future gender equality</w:t>
      </w:r>
      <w:bookmarkEnd w:id="2"/>
      <w:r w:rsidR="00C72663">
        <w:t xml:space="preserve"> </w:t>
      </w:r>
      <w:r w:rsidR="00283220">
        <w:t xml:space="preserve">projects </w:t>
      </w:r>
      <w:r w:rsidRPr="00276324">
        <w:t>included:</w:t>
      </w:r>
    </w:p>
    <w:p w14:paraId="41853141" w14:textId="0702BF38" w:rsidR="00276324" w:rsidRPr="00276324" w:rsidRDefault="00276324" w:rsidP="00276324">
      <w:pPr>
        <w:pStyle w:val="ListParagraph"/>
        <w:widowControl w:val="0"/>
        <w:numPr>
          <w:ilvl w:val="0"/>
          <w:numId w:val="38"/>
        </w:numPr>
        <w:spacing w:after="0"/>
      </w:pPr>
      <w:r w:rsidRPr="00276324">
        <w:t xml:space="preserve">Plan for backlash through </w:t>
      </w:r>
      <w:r w:rsidRPr="00317062">
        <w:rPr>
          <w:b/>
          <w:bCs/>
        </w:rPr>
        <w:t>partnerships with violence response services</w:t>
      </w:r>
      <w:r w:rsidRPr="00317062">
        <w:t>.</w:t>
      </w:r>
      <w:r w:rsidR="00452088" w:rsidRPr="00317062">
        <w:t xml:space="preserve"> </w:t>
      </w:r>
      <w:r w:rsidR="00452088">
        <w:t>The first step is to identify what support services are available.  GAP partners created formal partnerships with</w:t>
      </w:r>
      <w:r w:rsidR="0018351D">
        <w:t xml:space="preserve"> existing</w:t>
      </w:r>
      <w:r w:rsidR="00452088">
        <w:t xml:space="preserve"> violence response services.</w:t>
      </w:r>
      <w:r w:rsidR="0018351D">
        <w:t xml:space="preserve"> </w:t>
      </w:r>
    </w:p>
    <w:p w14:paraId="2DBF601C" w14:textId="1FA076E6" w:rsidR="00276324" w:rsidRPr="00276324" w:rsidRDefault="00276324" w:rsidP="00317062">
      <w:pPr>
        <w:pStyle w:val="ListParagraph"/>
        <w:widowControl w:val="0"/>
        <w:numPr>
          <w:ilvl w:val="0"/>
          <w:numId w:val="38"/>
        </w:numPr>
        <w:spacing w:after="0"/>
      </w:pPr>
      <w:r w:rsidRPr="00276324">
        <w:t>Provid</w:t>
      </w:r>
      <w:r w:rsidR="00A62387">
        <w:t>e</w:t>
      </w:r>
      <w:r w:rsidRPr="00276324">
        <w:t xml:space="preserve"> </w:t>
      </w:r>
      <w:r w:rsidRPr="00317062">
        <w:rPr>
          <w:b/>
          <w:bCs/>
        </w:rPr>
        <w:t xml:space="preserve">project and partner staff </w:t>
      </w:r>
      <w:r w:rsidR="00563337">
        <w:rPr>
          <w:b/>
          <w:bCs/>
        </w:rPr>
        <w:t xml:space="preserve">training </w:t>
      </w:r>
      <w:r w:rsidRPr="00317062">
        <w:rPr>
          <w:b/>
          <w:bCs/>
        </w:rPr>
        <w:t>on</w:t>
      </w:r>
      <w:r w:rsidRPr="00276324">
        <w:t xml:space="preserve"> </w:t>
      </w:r>
      <w:r w:rsidRPr="00317062">
        <w:rPr>
          <w:b/>
          <w:bCs/>
        </w:rPr>
        <w:t>managing disclosures of violence and referral pathways to violence response services</w:t>
      </w:r>
      <w:r w:rsidRPr="00276324">
        <w:t>.</w:t>
      </w:r>
      <w:r w:rsidR="007908AF">
        <w:t xml:space="preserve"> </w:t>
      </w:r>
      <w:r w:rsidR="00317062">
        <w:t>Women who experience violence must be</w:t>
      </w:r>
      <w:r w:rsidR="0018351D">
        <w:t xml:space="preserve"> referred to existing services</w:t>
      </w:r>
      <w:r w:rsidR="00E04773">
        <w:t>.</w:t>
      </w:r>
      <w:r w:rsidR="0018351D">
        <w:t xml:space="preserve"> </w:t>
      </w:r>
      <w:r w:rsidR="00E04773">
        <w:t>P</w:t>
      </w:r>
      <w:r w:rsidR="0018351D">
        <w:t>roject staff should not provide counselling because these are specialist skills and can put project staff at risk of violence. Referral skills include survivor centred approaches that support women’s decision making rather than telling women what they should do.</w:t>
      </w:r>
    </w:p>
    <w:p w14:paraId="21D6CF51" w14:textId="297F8CDA" w:rsidR="00276324" w:rsidRPr="00276324" w:rsidRDefault="00276324" w:rsidP="00276324">
      <w:pPr>
        <w:pStyle w:val="ListParagraph"/>
        <w:widowControl w:val="0"/>
        <w:numPr>
          <w:ilvl w:val="0"/>
          <w:numId w:val="38"/>
        </w:numPr>
        <w:spacing w:after="0"/>
      </w:pPr>
      <w:r w:rsidRPr="00276324">
        <w:t xml:space="preserve">Foster stronger </w:t>
      </w:r>
      <w:r w:rsidRPr="00317062">
        <w:rPr>
          <w:b/>
          <w:bCs/>
        </w:rPr>
        <w:t xml:space="preserve">relationships between schools, </w:t>
      </w:r>
      <w:r w:rsidR="00A62387" w:rsidRPr="00317062">
        <w:rPr>
          <w:b/>
          <w:bCs/>
        </w:rPr>
        <w:t>violence support services</w:t>
      </w:r>
      <w:r w:rsidR="00A62387">
        <w:t xml:space="preserve"> for</w:t>
      </w:r>
      <w:r w:rsidRPr="00276324">
        <w:t xml:space="preserve"> </w:t>
      </w:r>
      <w:r w:rsidR="0018351D">
        <w:t xml:space="preserve">adolescents </w:t>
      </w:r>
      <w:r w:rsidRPr="00276324">
        <w:t xml:space="preserve">experiencing family violence. </w:t>
      </w:r>
      <w:proofErr w:type="spellStart"/>
      <w:r w:rsidR="0018351D">
        <w:t>Childfund</w:t>
      </w:r>
      <w:proofErr w:type="spellEnd"/>
      <w:r w:rsidR="0018351D">
        <w:t xml:space="preserve"> facilitated visits from violence support services to schools and communities.</w:t>
      </w:r>
    </w:p>
    <w:p w14:paraId="48DC124B" w14:textId="6BCE765E" w:rsidR="00276324" w:rsidRDefault="00571F47" w:rsidP="00276324">
      <w:pPr>
        <w:pStyle w:val="ListParagraph"/>
        <w:widowControl w:val="0"/>
        <w:numPr>
          <w:ilvl w:val="0"/>
          <w:numId w:val="38"/>
        </w:numPr>
        <w:spacing w:after="0"/>
      </w:pPr>
      <w:r>
        <w:t xml:space="preserve">Identify and </w:t>
      </w:r>
      <w:r w:rsidRPr="00317062">
        <w:rPr>
          <w:b/>
          <w:bCs/>
        </w:rPr>
        <w:t>test</w:t>
      </w:r>
      <w:r w:rsidR="00276324" w:rsidRPr="00317062">
        <w:rPr>
          <w:b/>
          <w:bCs/>
        </w:rPr>
        <w:t xml:space="preserve"> entry points </w:t>
      </w:r>
      <w:r w:rsidR="00A62387">
        <w:rPr>
          <w:b/>
          <w:bCs/>
        </w:rPr>
        <w:t>for</w:t>
      </w:r>
      <w:r w:rsidR="00A62387" w:rsidRPr="00317062">
        <w:rPr>
          <w:b/>
          <w:bCs/>
        </w:rPr>
        <w:t xml:space="preserve"> </w:t>
      </w:r>
      <w:r w:rsidR="00276324" w:rsidRPr="00317062">
        <w:rPr>
          <w:b/>
          <w:bCs/>
        </w:rPr>
        <w:t>issues that are taboo and difficult to discuss</w:t>
      </w:r>
      <w:r w:rsidR="00276324" w:rsidRPr="00276324">
        <w:t>.</w:t>
      </w:r>
      <w:r w:rsidR="007908AF">
        <w:t xml:space="preserve"> </w:t>
      </w:r>
      <w:r w:rsidR="00E04773">
        <w:t>Challenging norms is built over time and based on good relationships with community members and integrated through a range of training and interventions.</w:t>
      </w:r>
    </w:p>
    <w:p w14:paraId="5BDF9C6E" w14:textId="3353BCAB" w:rsidR="00E04773" w:rsidRDefault="007908AF" w:rsidP="00E04773">
      <w:pPr>
        <w:pStyle w:val="ListParagraph"/>
        <w:numPr>
          <w:ilvl w:val="0"/>
          <w:numId w:val="38"/>
        </w:numPr>
      </w:pPr>
      <w:r w:rsidRPr="00317062">
        <w:rPr>
          <w:b/>
          <w:bCs/>
        </w:rPr>
        <w:t>Start small and test strategies</w:t>
      </w:r>
      <w:r w:rsidRPr="00317062">
        <w:t xml:space="preserve">. </w:t>
      </w:r>
      <w:r w:rsidR="00E04773">
        <w:t>World Vision</w:t>
      </w:r>
      <w:r w:rsidR="00131C8D">
        <w:t xml:space="preserve"> Australia</w:t>
      </w:r>
      <w:r w:rsidR="00A62387">
        <w:t>’s</w:t>
      </w:r>
      <w:r w:rsidR="00E04773">
        <w:t xml:space="preserve"> work with</w:t>
      </w:r>
      <w:r w:rsidRPr="00317062">
        <w:t xml:space="preserve"> male perpetrators</w:t>
      </w:r>
      <w:r w:rsidR="00E04773">
        <w:t xml:space="preserve"> </w:t>
      </w:r>
      <w:r w:rsidR="00317062">
        <w:t>of</w:t>
      </w:r>
      <w:r w:rsidR="00E04773">
        <w:t xml:space="preserve"> violence</w:t>
      </w:r>
      <w:r w:rsidR="00A62387">
        <w:t xml:space="preserve"> was </w:t>
      </w:r>
      <w:r w:rsidRPr="00317062">
        <w:t xml:space="preserve">a risky approach that </w:t>
      </w:r>
      <w:r w:rsidR="00A62387">
        <w:t>could</w:t>
      </w:r>
      <w:r w:rsidRPr="00317062">
        <w:t xml:space="preserve"> </w:t>
      </w:r>
      <w:r w:rsidR="00317062">
        <w:t>increase</w:t>
      </w:r>
      <w:r w:rsidR="00A62387">
        <w:t xml:space="preserve"> violence against women</w:t>
      </w:r>
      <w:r w:rsidRPr="00317062">
        <w:t xml:space="preserve">. Therefore, </w:t>
      </w:r>
      <w:r w:rsidR="00A62387">
        <w:t>World Vision</w:t>
      </w:r>
      <w:r w:rsidRPr="00317062">
        <w:t xml:space="preserve"> </w:t>
      </w:r>
      <w:r w:rsidR="00131C8D">
        <w:t xml:space="preserve">Australia </w:t>
      </w:r>
      <w:r w:rsidRPr="00317062">
        <w:t xml:space="preserve">accessed technical advice and rolled out the project as a small pilot, supported by research by the Australian National University’s (ANU) School of Regulation and Global Governance. </w:t>
      </w:r>
    </w:p>
    <w:p w14:paraId="504D3EAC" w14:textId="4E8C2D4D" w:rsidR="00276324" w:rsidRDefault="00276324" w:rsidP="00317062">
      <w:pPr>
        <w:pStyle w:val="ListParagraph"/>
      </w:pPr>
      <w:r w:rsidRPr="00317062">
        <w:rPr>
          <w:b/>
          <w:bCs/>
        </w:rPr>
        <w:t>Identify male champions.</w:t>
      </w:r>
      <w:r w:rsidR="00E04773" w:rsidRPr="00317062">
        <w:rPr>
          <w:b/>
          <w:bCs/>
        </w:rPr>
        <w:t xml:space="preserve"> </w:t>
      </w:r>
      <w:r w:rsidR="00E04773">
        <w:t xml:space="preserve">The </w:t>
      </w:r>
      <w:r w:rsidR="00A62387">
        <w:t>identification</w:t>
      </w:r>
      <w:r w:rsidR="00E04773">
        <w:t xml:space="preserve"> of male champions is based on relationships and political economy analysis.</w:t>
      </w:r>
      <w:r w:rsidR="00317062">
        <w:t xml:space="preserve"> In addition, male</w:t>
      </w:r>
      <w:r w:rsidR="00E04773" w:rsidRPr="00317062">
        <w:t xml:space="preserve"> champions</w:t>
      </w:r>
      <w:r w:rsidR="00E04773">
        <w:t xml:space="preserve"> </w:t>
      </w:r>
      <w:r w:rsidR="00A62387">
        <w:t xml:space="preserve">should </w:t>
      </w:r>
      <w:proofErr w:type="gramStart"/>
      <w:r w:rsidR="00A62387">
        <w:t xml:space="preserve">demonstrate  </w:t>
      </w:r>
      <w:r w:rsidR="00E04773">
        <w:t>a</w:t>
      </w:r>
      <w:proofErr w:type="gramEnd"/>
      <w:r w:rsidR="00E04773" w:rsidRPr="00BD79A4">
        <w:t xml:space="preserve"> willingness to engage with gender equality training. </w:t>
      </w:r>
    </w:p>
    <w:sectPr w:rsidR="00276324" w:rsidSect="00317062">
      <w:headerReference w:type="default" r:id="rId11"/>
      <w:footerReference w:type="default" r:id="rId12"/>
      <w:headerReference w:type="first" r:id="rId13"/>
      <w:footerReference w:type="first" r:id="rId14"/>
      <w:type w:val="continuous"/>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5DB4F" w14:textId="77777777" w:rsidR="00022070" w:rsidRDefault="00022070" w:rsidP="00D37B04">
      <w:r>
        <w:separator/>
      </w:r>
    </w:p>
  </w:endnote>
  <w:endnote w:type="continuationSeparator" w:id="0">
    <w:p w14:paraId="3A941B7E" w14:textId="77777777" w:rsidR="00022070" w:rsidRDefault="00022070"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C3748" w14:textId="77777777" w:rsidR="00FC322F" w:rsidRPr="00FC322F" w:rsidRDefault="00FC322F" w:rsidP="00FC322F">
    <w:pPr>
      <w:pStyle w:val="Footer"/>
      <w:rPr>
        <w:b/>
      </w:rPr>
    </w:pPr>
    <w:r w:rsidRPr="00FC322F">
      <w:rPr>
        <w:b/>
        <w:noProof/>
        <w:lang w:val="en-AU" w:eastAsia="en-AU"/>
      </w:rPr>
      <w:drawing>
        <wp:inline distT="0" distB="0" distL="0" distR="0" wp14:anchorId="271114A0" wp14:editId="55510588">
          <wp:extent cx="108000" cy="87480"/>
          <wp:effectExtent l="0" t="0" r="6350" b="8255"/>
          <wp:docPr id="44" name="Picture 44"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31028C">
      <w:rPr>
        <w:b/>
      </w:rPr>
      <w:t xml:space="preserve">DFAT  </w:t>
    </w:r>
    <w:r w:rsidRPr="0031028C">
      <w:rPr>
        <w:rStyle w:val="Green"/>
        <w:b/>
        <w:color w:val="auto"/>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FD6A3" w14:textId="77777777" w:rsidR="00FC322F" w:rsidRPr="00FC322F" w:rsidRDefault="00FC322F" w:rsidP="00FC322F">
    <w:pPr>
      <w:pStyle w:val="Footer"/>
      <w:rPr>
        <w:b/>
      </w:rPr>
    </w:pPr>
    <w:r w:rsidRPr="00FC322F">
      <w:rPr>
        <w:b/>
        <w:noProof/>
        <w:lang w:val="en-AU" w:eastAsia="en-AU"/>
      </w:rPr>
      <w:drawing>
        <wp:inline distT="0" distB="0" distL="0" distR="0" wp14:anchorId="5004D2FD" wp14:editId="641F1B3C">
          <wp:extent cx="108000" cy="87480"/>
          <wp:effectExtent l="0" t="0" r="6350" b="8255"/>
          <wp:docPr id="48" name="Picture 4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31028C">
      <w:rPr>
        <w:b/>
      </w:rPr>
      <w:t xml:space="preserve">DFAT  </w:t>
    </w:r>
    <w:r w:rsidRPr="0031028C">
      <w:rPr>
        <w:rStyle w:val="Green"/>
        <w:b/>
        <w:color w:val="auto"/>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28C3B" w14:textId="77777777" w:rsidR="00022070" w:rsidRPr="008C5A0E" w:rsidRDefault="00022070" w:rsidP="00D37B04">
      <w:pPr>
        <w:pStyle w:val="Footer"/>
      </w:pPr>
    </w:p>
  </w:footnote>
  <w:footnote w:type="continuationSeparator" w:id="0">
    <w:p w14:paraId="45B21400" w14:textId="77777777" w:rsidR="00022070" w:rsidRDefault="00022070" w:rsidP="00D37B04">
      <w:r>
        <w:continuationSeparator/>
      </w:r>
    </w:p>
  </w:footnote>
  <w:footnote w:id="1">
    <w:p w14:paraId="66A70B2C" w14:textId="77777777" w:rsidR="00C72663" w:rsidRPr="00E87A7A" w:rsidRDefault="00C72663" w:rsidP="00C72663">
      <w:pPr>
        <w:pStyle w:val="FootnoteText"/>
        <w:rPr>
          <w:i/>
          <w:iCs/>
          <w:color w:val="808080"/>
          <w:sz w:val="16"/>
          <w:szCs w:val="16"/>
          <w:lang w:val="en-US"/>
        </w:rPr>
      </w:pPr>
      <w:r>
        <w:rPr>
          <w:rStyle w:val="FootnoteReference"/>
        </w:rPr>
        <w:footnoteRef/>
      </w:r>
      <w:r>
        <w:t xml:space="preserve"> </w:t>
      </w:r>
      <w:r w:rsidRPr="0031028C">
        <w:rPr>
          <w:color w:val="auto"/>
          <w:sz w:val="16"/>
          <w:szCs w:val="16"/>
          <w:lang w:val="en-US"/>
        </w:rPr>
        <w:t xml:space="preserve">Rao, Sandler, </w:t>
      </w:r>
      <w:proofErr w:type="gramStart"/>
      <w:r w:rsidRPr="0031028C">
        <w:rPr>
          <w:color w:val="auto"/>
          <w:sz w:val="16"/>
          <w:szCs w:val="16"/>
          <w:lang w:val="en-US"/>
        </w:rPr>
        <w:t>Kelleher</w:t>
      </w:r>
      <w:proofErr w:type="gramEnd"/>
      <w:r w:rsidRPr="0031028C">
        <w:rPr>
          <w:color w:val="auto"/>
          <w:sz w:val="16"/>
          <w:szCs w:val="16"/>
          <w:lang w:val="en-US"/>
        </w:rPr>
        <w:t xml:space="preserve"> and Miller (2016): </w:t>
      </w:r>
      <w:r w:rsidRPr="0031028C">
        <w:rPr>
          <w:i/>
          <w:iCs/>
          <w:color w:val="auto"/>
          <w:sz w:val="16"/>
          <w:szCs w:val="16"/>
          <w:lang w:val="en-US"/>
        </w:rPr>
        <w:t>Gender at Work: Theory and Practice for 21</w:t>
      </w:r>
      <w:r w:rsidRPr="0031028C">
        <w:rPr>
          <w:i/>
          <w:iCs/>
          <w:color w:val="auto"/>
          <w:sz w:val="11"/>
          <w:szCs w:val="11"/>
          <w:vertAlign w:val="superscript"/>
          <w:lang w:val="en-US"/>
        </w:rPr>
        <w:t>st</w:t>
      </w:r>
      <w:r w:rsidRPr="0031028C">
        <w:rPr>
          <w:i/>
          <w:iCs/>
          <w:color w:val="auto"/>
          <w:sz w:val="16"/>
          <w:szCs w:val="16"/>
          <w:lang w:val="en-US"/>
        </w:rPr>
        <w:t xml:space="preserve"> Century </w:t>
      </w:r>
      <w:proofErr w:type="spellStart"/>
      <w:r w:rsidRPr="0031028C">
        <w:rPr>
          <w:i/>
          <w:iCs/>
          <w:color w:val="auto"/>
          <w:sz w:val="16"/>
          <w:szCs w:val="16"/>
          <w:lang w:val="en-US"/>
        </w:rPr>
        <w:t>Organisations</w:t>
      </w:r>
      <w:proofErr w:type="spellEnd"/>
      <w:r w:rsidRPr="0031028C">
        <w:rPr>
          <w:i/>
          <w:iCs/>
          <w:color w:val="auto"/>
          <w:sz w:val="16"/>
          <w:szCs w:val="16"/>
          <w:lang w:val="en-US"/>
        </w:rPr>
        <w:t xml:space="preserve">, </w:t>
      </w:r>
      <w:r w:rsidRPr="0031028C">
        <w:rPr>
          <w:color w:val="auto"/>
          <w:sz w:val="16"/>
          <w:szCs w:val="16"/>
          <w:lang w:val="en-US"/>
        </w:rPr>
        <w:t>Routledge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844D2"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10DDE0B9" wp14:editId="66F49434">
          <wp:simplePos x="0" y="0"/>
          <wp:positionH relativeFrom="page">
            <wp:posOffset>12700</wp:posOffset>
          </wp:positionH>
          <wp:positionV relativeFrom="page">
            <wp:posOffset>0</wp:posOffset>
          </wp:positionV>
          <wp:extent cx="7559040" cy="10692765"/>
          <wp:effectExtent l="0" t="0" r="381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727C9" w14:textId="1CF85D34" w:rsidR="00D37B04" w:rsidRPr="006175E7" w:rsidRDefault="00252C04" w:rsidP="00D6717A">
    <w:pPr>
      <w:rPr>
        <w:b/>
        <w:bCs/>
      </w:rPr>
    </w:pPr>
    <w:r w:rsidRPr="00252C04">
      <w:rPr>
        <w:noProof/>
        <w:lang w:val="en-AU" w:eastAsia="en-AU"/>
      </w:rPr>
      <w:drawing>
        <wp:anchor distT="0" distB="0" distL="114300" distR="114300" simplePos="0" relativeHeight="251664384" behindDoc="1" locked="1" layoutInCell="1" allowOverlap="1" wp14:anchorId="204E1038" wp14:editId="4FE682A7">
          <wp:simplePos x="0" y="0"/>
          <wp:positionH relativeFrom="page">
            <wp:posOffset>5724525</wp:posOffset>
          </wp:positionH>
          <wp:positionV relativeFrom="page">
            <wp:posOffset>918210</wp:posOffset>
          </wp:positionV>
          <wp:extent cx="1115640" cy="512640"/>
          <wp:effectExtent l="0" t="0" r="8890" b="190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002D5B25" w:rsidRPr="00943730">
      <w:rPr>
        <w:noProof/>
        <w:lang w:val="en-AU" w:eastAsia="en-AU"/>
      </w:rPr>
      <w:drawing>
        <wp:anchor distT="0" distB="0" distL="114300" distR="114300" simplePos="0" relativeHeight="251657216" behindDoc="1" locked="1" layoutInCell="1" allowOverlap="1" wp14:anchorId="04BB998C" wp14:editId="592F32DC">
          <wp:simplePos x="0" y="0"/>
          <wp:positionH relativeFrom="page">
            <wp:posOffset>720090</wp:posOffset>
          </wp:positionH>
          <wp:positionV relativeFrom="page">
            <wp:posOffset>882015</wp:posOffset>
          </wp:positionV>
          <wp:extent cx="3166920" cy="554400"/>
          <wp:effectExtent l="0" t="0" r="0" b="0"/>
          <wp:wrapNone/>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002D5B25" w:rsidRPr="00943730">
      <w:rPr>
        <w:noProof/>
        <w:lang w:val="en-AU" w:eastAsia="en-AU"/>
      </w:rPr>
      <w:drawing>
        <wp:anchor distT="0" distB="0" distL="114300" distR="114300" simplePos="0" relativeHeight="251656192" behindDoc="1" locked="1" layoutInCell="1" allowOverlap="1" wp14:anchorId="55ABFD6E" wp14:editId="5625FEBD">
          <wp:simplePos x="0" y="0"/>
          <wp:positionH relativeFrom="page">
            <wp:posOffset>12700</wp:posOffset>
          </wp:positionH>
          <wp:positionV relativeFrom="page">
            <wp:posOffset>0</wp:posOffset>
          </wp:positionV>
          <wp:extent cx="7559040" cy="10692130"/>
          <wp:effectExtent l="0" t="0" r="381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6175E7">
      <w:t xml:space="preserve">    </w:t>
    </w:r>
    <w:r w:rsidR="006175E7" w:rsidRPr="006175E7">
      <w:rPr>
        <w:b/>
        <w:bCs/>
      </w:rPr>
      <w:t>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41F72"/>
    <w:multiLevelType w:val="hybridMultilevel"/>
    <w:tmpl w:val="3420119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030BBA"/>
    <w:multiLevelType w:val="hybridMultilevel"/>
    <w:tmpl w:val="1958ACC6"/>
    <w:lvl w:ilvl="0" w:tplc="A15485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F3F6AAC"/>
    <w:multiLevelType w:val="multilevel"/>
    <w:tmpl w:val="397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37C6250"/>
    <w:multiLevelType w:val="hybridMultilevel"/>
    <w:tmpl w:val="B9F0A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A95E21"/>
    <w:multiLevelType w:val="multilevel"/>
    <w:tmpl w:val="A8F6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705262"/>
    <w:multiLevelType w:val="hybridMultilevel"/>
    <w:tmpl w:val="CB341A2E"/>
    <w:lvl w:ilvl="0" w:tplc="A1548586">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5738D2"/>
    <w:multiLevelType w:val="hybridMultilevel"/>
    <w:tmpl w:val="04047270"/>
    <w:lvl w:ilvl="0" w:tplc="A154858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06669"/>
    <w:multiLevelType w:val="hybridMultilevel"/>
    <w:tmpl w:val="44CCB814"/>
    <w:lvl w:ilvl="0" w:tplc="A15485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553D9F"/>
    <w:multiLevelType w:val="multilevel"/>
    <w:tmpl w:val="A6FA45D0"/>
    <w:numStyleLink w:val="BulletsList"/>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3C1EA7"/>
    <w:multiLevelType w:val="multilevel"/>
    <w:tmpl w:val="A6FA45D0"/>
    <w:numStyleLink w:val="BulletsList"/>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72FA4272"/>
    <w:multiLevelType w:val="hybridMultilevel"/>
    <w:tmpl w:val="34D4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9772AC4"/>
    <w:multiLevelType w:val="hybridMultilevel"/>
    <w:tmpl w:val="9A4A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6"/>
  </w:num>
  <w:num w:numId="23">
    <w:abstractNumId w:val="16"/>
  </w:num>
  <w:num w:numId="24">
    <w:abstractNumId w:val="24"/>
  </w:num>
  <w:num w:numId="25">
    <w:abstractNumId w:val="24"/>
  </w:num>
  <w:num w:numId="26">
    <w:abstractNumId w:val="24"/>
  </w:num>
  <w:num w:numId="27">
    <w:abstractNumId w:val="23"/>
  </w:num>
  <w:num w:numId="28">
    <w:abstractNumId w:val="11"/>
  </w:num>
  <w:num w:numId="29">
    <w:abstractNumId w:val="11"/>
  </w:num>
  <w:num w:numId="30">
    <w:abstractNumId w:val="11"/>
  </w:num>
  <w:num w:numId="31">
    <w:abstractNumId w:val="14"/>
  </w:num>
  <w:num w:numId="32">
    <w:abstractNumId w:val="28"/>
  </w:num>
  <w:num w:numId="33">
    <w:abstractNumId w:val="22"/>
  </w:num>
  <w:num w:numId="34">
    <w:abstractNumId w:val="12"/>
  </w:num>
  <w:num w:numId="35">
    <w:abstractNumId w:val="21"/>
  </w:num>
  <w:num w:numId="36">
    <w:abstractNumId w:val="20"/>
  </w:num>
  <w:num w:numId="37">
    <w:abstractNumId w:val="17"/>
  </w:num>
  <w:num w:numId="38">
    <w:abstractNumId w:val="26"/>
  </w:num>
  <w:num w:numId="39">
    <w:abstractNumId w:val="19"/>
  </w:num>
  <w:num w:numId="40">
    <w:abstractNumId w:val="18"/>
  </w:num>
  <w:num w:numId="41">
    <w:abstractNumId w:val="15"/>
  </w:num>
  <w:num w:numId="42">
    <w:abstractNumId w:val="2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4"/>
    <w:rsid w:val="000012C8"/>
    <w:rsid w:val="00001DA8"/>
    <w:rsid w:val="000020C1"/>
    <w:rsid w:val="0002080A"/>
    <w:rsid w:val="00022070"/>
    <w:rsid w:val="0002782F"/>
    <w:rsid w:val="00035BBF"/>
    <w:rsid w:val="00050806"/>
    <w:rsid w:val="000546D9"/>
    <w:rsid w:val="00054E4D"/>
    <w:rsid w:val="00060073"/>
    <w:rsid w:val="000616C6"/>
    <w:rsid w:val="000767E9"/>
    <w:rsid w:val="000848B9"/>
    <w:rsid w:val="000854FD"/>
    <w:rsid w:val="0008781F"/>
    <w:rsid w:val="000B37F5"/>
    <w:rsid w:val="000D66D6"/>
    <w:rsid w:val="000F0BA6"/>
    <w:rsid w:val="00111BE3"/>
    <w:rsid w:val="00113288"/>
    <w:rsid w:val="001214BE"/>
    <w:rsid w:val="0013101C"/>
    <w:rsid w:val="00131C8D"/>
    <w:rsid w:val="001461D6"/>
    <w:rsid w:val="001541EA"/>
    <w:rsid w:val="00162858"/>
    <w:rsid w:val="0018351D"/>
    <w:rsid w:val="001A3CF1"/>
    <w:rsid w:val="001C036A"/>
    <w:rsid w:val="001C2F82"/>
    <w:rsid w:val="001D663E"/>
    <w:rsid w:val="001E1DC0"/>
    <w:rsid w:val="00203277"/>
    <w:rsid w:val="00205B2E"/>
    <w:rsid w:val="00252C04"/>
    <w:rsid w:val="00276324"/>
    <w:rsid w:val="00283220"/>
    <w:rsid w:val="00284543"/>
    <w:rsid w:val="0028602A"/>
    <w:rsid w:val="00292030"/>
    <w:rsid w:val="002B1805"/>
    <w:rsid w:val="002B5E10"/>
    <w:rsid w:val="002C793D"/>
    <w:rsid w:val="002D5B25"/>
    <w:rsid w:val="002F4F2B"/>
    <w:rsid w:val="003002C0"/>
    <w:rsid w:val="00301144"/>
    <w:rsid w:val="003031C6"/>
    <w:rsid w:val="00304984"/>
    <w:rsid w:val="00307860"/>
    <w:rsid w:val="0031028C"/>
    <w:rsid w:val="00312BF8"/>
    <w:rsid w:val="003148B7"/>
    <w:rsid w:val="003158C3"/>
    <w:rsid w:val="00317062"/>
    <w:rsid w:val="003274CD"/>
    <w:rsid w:val="00333501"/>
    <w:rsid w:val="003457C4"/>
    <w:rsid w:val="0034613A"/>
    <w:rsid w:val="0035119D"/>
    <w:rsid w:val="003620D6"/>
    <w:rsid w:val="00366705"/>
    <w:rsid w:val="00384D40"/>
    <w:rsid w:val="0039344A"/>
    <w:rsid w:val="00395163"/>
    <w:rsid w:val="003B4F12"/>
    <w:rsid w:val="003C1068"/>
    <w:rsid w:val="003D2CC8"/>
    <w:rsid w:val="003D7866"/>
    <w:rsid w:val="003F2041"/>
    <w:rsid w:val="00402ACC"/>
    <w:rsid w:val="004120EC"/>
    <w:rsid w:val="00421F32"/>
    <w:rsid w:val="00423F31"/>
    <w:rsid w:val="00431899"/>
    <w:rsid w:val="00442055"/>
    <w:rsid w:val="00452088"/>
    <w:rsid w:val="00482AE8"/>
    <w:rsid w:val="0048492D"/>
    <w:rsid w:val="00486804"/>
    <w:rsid w:val="004939C4"/>
    <w:rsid w:val="004B3775"/>
    <w:rsid w:val="004C6342"/>
    <w:rsid w:val="004D0BA0"/>
    <w:rsid w:val="004E058F"/>
    <w:rsid w:val="004E3B87"/>
    <w:rsid w:val="00510921"/>
    <w:rsid w:val="00510AD3"/>
    <w:rsid w:val="00513348"/>
    <w:rsid w:val="00513AD8"/>
    <w:rsid w:val="005204D2"/>
    <w:rsid w:val="00522396"/>
    <w:rsid w:val="00533B5D"/>
    <w:rsid w:val="005511EA"/>
    <w:rsid w:val="00563337"/>
    <w:rsid w:val="00571F47"/>
    <w:rsid w:val="005775A9"/>
    <w:rsid w:val="00590E2A"/>
    <w:rsid w:val="005A20F6"/>
    <w:rsid w:val="005A38AB"/>
    <w:rsid w:val="005B55E8"/>
    <w:rsid w:val="005D3655"/>
    <w:rsid w:val="005E4830"/>
    <w:rsid w:val="00613223"/>
    <w:rsid w:val="006175E7"/>
    <w:rsid w:val="00622B86"/>
    <w:rsid w:val="00623BA1"/>
    <w:rsid w:val="006346BC"/>
    <w:rsid w:val="00641BD7"/>
    <w:rsid w:val="006435E5"/>
    <w:rsid w:val="0066652A"/>
    <w:rsid w:val="006719C3"/>
    <w:rsid w:val="00680522"/>
    <w:rsid w:val="00681C4A"/>
    <w:rsid w:val="00682167"/>
    <w:rsid w:val="00696544"/>
    <w:rsid w:val="006C211F"/>
    <w:rsid w:val="006C42AF"/>
    <w:rsid w:val="00711D8E"/>
    <w:rsid w:val="00712672"/>
    <w:rsid w:val="00720AD0"/>
    <w:rsid w:val="00734E3F"/>
    <w:rsid w:val="00736985"/>
    <w:rsid w:val="00745DF5"/>
    <w:rsid w:val="00746C77"/>
    <w:rsid w:val="0076250F"/>
    <w:rsid w:val="007706B8"/>
    <w:rsid w:val="00774EE4"/>
    <w:rsid w:val="00780FA5"/>
    <w:rsid w:val="00787730"/>
    <w:rsid w:val="007908AF"/>
    <w:rsid w:val="007B6200"/>
    <w:rsid w:val="007F3395"/>
    <w:rsid w:val="00801B9F"/>
    <w:rsid w:val="0080204D"/>
    <w:rsid w:val="008051F7"/>
    <w:rsid w:val="00805B9C"/>
    <w:rsid w:val="0083052F"/>
    <w:rsid w:val="00846243"/>
    <w:rsid w:val="008475F0"/>
    <w:rsid w:val="008557A7"/>
    <w:rsid w:val="00870928"/>
    <w:rsid w:val="00884758"/>
    <w:rsid w:val="00885A62"/>
    <w:rsid w:val="0089405C"/>
    <w:rsid w:val="008947A4"/>
    <w:rsid w:val="00897FA2"/>
    <w:rsid w:val="008A5AFE"/>
    <w:rsid w:val="008C0E2A"/>
    <w:rsid w:val="008C5A0E"/>
    <w:rsid w:val="008D6B9A"/>
    <w:rsid w:val="00915AEC"/>
    <w:rsid w:val="0092193E"/>
    <w:rsid w:val="00943730"/>
    <w:rsid w:val="00944E9C"/>
    <w:rsid w:val="00961E72"/>
    <w:rsid w:val="00975CA5"/>
    <w:rsid w:val="00983AED"/>
    <w:rsid w:val="00986590"/>
    <w:rsid w:val="00992C76"/>
    <w:rsid w:val="009969D6"/>
    <w:rsid w:val="009A3DD2"/>
    <w:rsid w:val="009B4D3B"/>
    <w:rsid w:val="009B7942"/>
    <w:rsid w:val="009D7407"/>
    <w:rsid w:val="009E0866"/>
    <w:rsid w:val="009E273C"/>
    <w:rsid w:val="009F07F8"/>
    <w:rsid w:val="009F1350"/>
    <w:rsid w:val="009F6423"/>
    <w:rsid w:val="00A175B3"/>
    <w:rsid w:val="00A24A62"/>
    <w:rsid w:val="00A31C9F"/>
    <w:rsid w:val="00A4144F"/>
    <w:rsid w:val="00A61B4D"/>
    <w:rsid w:val="00A62387"/>
    <w:rsid w:val="00A66DBF"/>
    <w:rsid w:val="00A80F95"/>
    <w:rsid w:val="00A9039D"/>
    <w:rsid w:val="00A91795"/>
    <w:rsid w:val="00A97BF1"/>
    <w:rsid w:val="00AA298A"/>
    <w:rsid w:val="00AA315B"/>
    <w:rsid w:val="00AA4A28"/>
    <w:rsid w:val="00AB10D2"/>
    <w:rsid w:val="00AC164A"/>
    <w:rsid w:val="00AE448A"/>
    <w:rsid w:val="00AF2050"/>
    <w:rsid w:val="00B03CA8"/>
    <w:rsid w:val="00B13F24"/>
    <w:rsid w:val="00B33C0A"/>
    <w:rsid w:val="00B55E19"/>
    <w:rsid w:val="00B90790"/>
    <w:rsid w:val="00B94758"/>
    <w:rsid w:val="00B94E46"/>
    <w:rsid w:val="00BA4B6D"/>
    <w:rsid w:val="00BB26C5"/>
    <w:rsid w:val="00BC31BD"/>
    <w:rsid w:val="00BF4DE6"/>
    <w:rsid w:val="00C06B13"/>
    <w:rsid w:val="00C27D25"/>
    <w:rsid w:val="00C42541"/>
    <w:rsid w:val="00C42CDE"/>
    <w:rsid w:val="00C5182A"/>
    <w:rsid w:val="00C63EE9"/>
    <w:rsid w:val="00C72663"/>
    <w:rsid w:val="00CA16F3"/>
    <w:rsid w:val="00CA35E4"/>
    <w:rsid w:val="00CA37B1"/>
    <w:rsid w:val="00CB155B"/>
    <w:rsid w:val="00CB1959"/>
    <w:rsid w:val="00CC741B"/>
    <w:rsid w:val="00CD0E4B"/>
    <w:rsid w:val="00CE4C89"/>
    <w:rsid w:val="00CE5597"/>
    <w:rsid w:val="00CF07BA"/>
    <w:rsid w:val="00CF7735"/>
    <w:rsid w:val="00D0296C"/>
    <w:rsid w:val="00D32D6F"/>
    <w:rsid w:val="00D37B04"/>
    <w:rsid w:val="00D540C6"/>
    <w:rsid w:val="00D64BD1"/>
    <w:rsid w:val="00D66266"/>
    <w:rsid w:val="00D6717A"/>
    <w:rsid w:val="00D92254"/>
    <w:rsid w:val="00D95B09"/>
    <w:rsid w:val="00DE084C"/>
    <w:rsid w:val="00DF6CE8"/>
    <w:rsid w:val="00E04773"/>
    <w:rsid w:val="00E14F51"/>
    <w:rsid w:val="00E357B7"/>
    <w:rsid w:val="00E53800"/>
    <w:rsid w:val="00E60470"/>
    <w:rsid w:val="00E6081F"/>
    <w:rsid w:val="00E8296D"/>
    <w:rsid w:val="00E8457B"/>
    <w:rsid w:val="00E85A9A"/>
    <w:rsid w:val="00EA04B2"/>
    <w:rsid w:val="00EA0DAF"/>
    <w:rsid w:val="00EA20F3"/>
    <w:rsid w:val="00ED2831"/>
    <w:rsid w:val="00ED3A7F"/>
    <w:rsid w:val="00ED43D1"/>
    <w:rsid w:val="00EE25F4"/>
    <w:rsid w:val="00EE4EE1"/>
    <w:rsid w:val="00EF4574"/>
    <w:rsid w:val="00EF5FB3"/>
    <w:rsid w:val="00F25A93"/>
    <w:rsid w:val="00F2684E"/>
    <w:rsid w:val="00F5404C"/>
    <w:rsid w:val="00F62072"/>
    <w:rsid w:val="00F72526"/>
    <w:rsid w:val="00F729EF"/>
    <w:rsid w:val="00F744A2"/>
    <w:rsid w:val="00F77CAE"/>
    <w:rsid w:val="00F8196B"/>
    <w:rsid w:val="00F82271"/>
    <w:rsid w:val="00F83428"/>
    <w:rsid w:val="00F96BB9"/>
    <w:rsid w:val="00FC1574"/>
    <w:rsid w:val="00FC322F"/>
    <w:rsid w:val="00FC6069"/>
    <w:rsid w:val="00FE6D51"/>
    <w:rsid w:val="00FE6F2A"/>
    <w:rsid w:val="00FE7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F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Normal"/>
    <w:next w:val="Normal"/>
    <w:link w:val="Heading2Char"/>
    <w:uiPriority w:val="9"/>
    <w:unhideWhenUsed/>
    <w:qFormat/>
    <w:rsid w:val="00FC1574"/>
    <w:pPr>
      <w:outlineLvl w:val="1"/>
    </w:pPr>
    <w:rPr>
      <w:rFonts w:eastAsiaTheme="majorEastAsia" w:cstheme="majorBidi"/>
      <w:b/>
      <w:iCs/>
      <w:caps/>
      <w:spacing w:val="-10"/>
      <w:kern w:val="28"/>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val="0"/>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FC1574"/>
    <w:rPr>
      <w:rFonts w:eastAsiaTheme="majorEastAsia" w:cstheme="majorBidi"/>
      <w:b/>
      <w:iCs/>
      <w:caps/>
      <w:color w:val="495965" w:themeColor="text2"/>
      <w:spacing w:val="-10"/>
      <w:kern w:val="28"/>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pPr>
    <w:rPr>
      <w:bCs/>
    </w:rPr>
  </w:style>
  <w:style w:type="paragraph" w:customStyle="1" w:styleId="Heading3Numbered">
    <w:name w:val="Heading 3 Numbered"/>
    <w:basedOn w:val="Heading3"/>
    <w:next w:val="Normal"/>
    <w:qFormat/>
    <w:rsid w:val="00ED2831"/>
    <w:pPr>
      <w:numPr>
        <w:ilvl w:val="2"/>
        <w:numId w:val="23"/>
      </w:numPr>
      <w:spacing w:before="300"/>
    </w:p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E7E80"/>
    <w:pPr>
      <w:spacing w:before="0" w:after="0" w:line="240" w:lineRule="exact"/>
      <w:ind w:left="284" w:right="284"/>
    </w:pPr>
    <w:rPr>
      <w:color w:val="auto"/>
    </w:rPr>
  </w:style>
  <w:style w:type="character" w:customStyle="1" w:styleId="FooterChar">
    <w:name w:val="Footer Char"/>
    <w:basedOn w:val="DefaultParagraphFont"/>
    <w:link w:val="Footer"/>
    <w:uiPriority w:val="99"/>
    <w:rsid w:val="00FE7E80"/>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OOTNOTES,fn,sing,single space,footnote text,f,Footnote Text1,Fodnotetekst Tegn,Fodnotetekst Tegn Char,footnote text Char Char Char,Fodnotetekst Tegn Char1,single space Char1,footnote text Char Char1,Geneva 9,ft,Boston 10,Font: Geneva 9"/>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OOTNOTES Char,fn Char,sing Char,single space Char,footnote text Char,f Char,Footnote Text1 Char,Fodnotetekst Tegn Char2,Fodnotetekst Tegn Char Char,footnote text Char Char Char Char,Fodnotetekst Tegn Char1 Char,Geneva 9 Char,ft Char"/>
    <w:basedOn w:val="DefaultParagraphFont"/>
    <w:link w:val="FootnoteText"/>
    <w:uiPriority w:val="99"/>
    <w:rsid w:val="008C5A0E"/>
    <w:rPr>
      <w:color w:val="495965" w:themeColor="text2"/>
      <w:sz w:val="12"/>
      <w:szCs w:val="20"/>
    </w:rPr>
  </w:style>
  <w:style w:type="character" w:styleId="FootnoteReference">
    <w:name w:val="footnote reference"/>
    <w:aliases w:val="ftref,16 Point,Superscript 6 Point,BVI fnr Char Char Char1 Char1 Char,BVI fnr Car Car Char Char Char1 Char1 Char,BVI fnr Car Char Char Char1 Char1 Char,BVI fnr Car Car Car Car Char Char1 Char1 Char1 Char,Char Char,Footnote,Ref,fr,FO"/>
    <w:basedOn w:val="DefaultParagraphFont"/>
    <w:link w:val="footnotenumberCharChar"/>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Square,Para,Paragraph,List Paragraph (numbered (a)),Paragraphe de liste PBLH,Liste 1,Bullets,References,references,List Paragraph1,Rec para,Dot pt,F5 List Paragraph,No Spacing1,List Paragraph Char Char Char,Indicator Text"/>
    <w:basedOn w:val="Normal"/>
    <w:link w:val="ListParagraphChar"/>
    <w:uiPriority w:val="34"/>
    <w:qFormat/>
    <w:locked/>
    <w:rsid w:val="00276324"/>
    <w:pPr>
      <w:ind w:left="720"/>
      <w:contextualSpacing/>
    </w:pPr>
  </w:style>
  <w:style w:type="character" w:styleId="IntenseReference">
    <w:name w:val="Intense Reference"/>
    <w:basedOn w:val="DefaultParagraphFont"/>
    <w:uiPriority w:val="32"/>
    <w:qFormat/>
    <w:locked/>
    <w:rsid w:val="0031028C"/>
    <w:rPr>
      <w:b/>
      <w:bCs/>
      <w:smallCaps/>
      <w:color w:val="auto"/>
      <w:spacing w:val="5"/>
    </w:rPr>
  </w:style>
  <w:style w:type="paragraph" w:customStyle="1" w:styleId="Body">
    <w:name w:val="Body"/>
    <w:basedOn w:val="Normal"/>
    <w:qFormat/>
    <w:rsid w:val="00276324"/>
    <w:pPr>
      <w:suppressAutoHyphens w:val="0"/>
      <w:spacing w:before="0" w:after="200" w:line="276" w:lineRule="auto"/>
    </w:pPr>
    <w:rPr>
      <w:rFonts w:ascii="Calibri" w:eastAsia="Times New Roman" w:hAnsi="Calibri" w:cs="Calibri"/>
      <w:color w:val="000000"/>
      <w:kern w:val="28"/>
      <w:lang w:val="en-AU" w:eastAsia="en-AU"/>
      <w14:ligatures w14:val="standard"/>
      <w14:cntxtAlts/>
    </w:rPr>
  </w:style>
  <w:style w:type="table" w:styleId="GridTable4-Accent1">
    <w:name w:val="Grid Table 4 Accent 1"/>
    <w:basedOn w:val="TableNormal"/>
    <w:uiPriority w:val="49"/>
    <w:locked/>
    <w:rsid w:val="001C2F82"/>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link w:val="FootnoteReference"/>
    <w:uiPriority w:val="99"/>
    <w:rsid w:val="00A66DBF"/>
    <w:pPr>
      <w:suppressAutoHyphens w:val="0"/>
      <w:spacing w:before="0" w:after="160" w:line="240" w:lineRule="exact"/>
      <w:jc w:val="both"/>
    </w:pPr>
    <w:rPr>
      <w:color w:val="auto"/>
      <w:vertAlign w:val="superscript"/>
      <w:lang w:val="en-AU"/>
    </w:rPr>
  </w:style>
  <w:style w:type="paragraph" w:styleId="NormalWeb">
    <w:name w:val="Normal (Web)"/>
    <w:basedOn w:val="Normal"/>
    <w:uiPriority w:val="99"/>
    <w:semiHidden/>
    <w:unhideWhenUsed/>
    <w:rsid w:val="00641BD7"/>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GB"/>
    </w:rPr>
  </w:style>
  <w:style w:type="table" w:styleId="GridTable1Light-Accent1">
    <w:name w:val="Grid Table 1 Light Accent 1"/>
    <w:basedOn w:val="TableNormal"/>
    <w:uiPriority w:val="46"/>
    <w:locked/>
    <w:rsid w:val="002B1805"/>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List Square Char,Para Char,Paragraph Char,List Paragraph (numbered (a)) Char,Paragraphe de liste PBLH Char,Liste 1 Char,Bullets Char,References Char,references Char,List Paragraph1 Char,Rec para Char,Dot pt Char,No Spacing1 Char"/>
    <w:link w:val="ListParagraph"/>
    <w:uiPriority w:val="34"/>
    <w:qFormat/>
    <w:locked/>
    <w:rsid w:val="00A9039D"/>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841905">
      <w:bodyDiv w:val="1"/>
      <w:marLeft w:val="0"/>
      <w:marRight w:val="0"/>
      <w:marTop w:val="0"/>
      <w:marBottom w:val="0"/>
      <w:divBdr>
        <w:top w:val="none" w:sz="0" w:space="0" w:color="auto"/>
        <w:left w:val="none" w:sz="0" w:space="0" w:color="auto"/>
        <w:bottom w:val="none" w:sz="0" w:space="0" w:color="auto"/>
        <w:right w:val="none" w:sz="0" w:space="0" w:color="auto"/>
      </w:divBdr>
    </w:div>
    <w:div w:id="936711769">
      <w:bodyDiv w:val="1"/>
      <w:marLeft w:val="0"/>
      <w:marRight w:val="0"/>
      <w:marTop w:val="0"/>
      <w:marBottom w:val="0"/>
      <w:divBdr>
        <w:top w:val="none" w:sz="0" w:space="0" w:color="auto"/>
        <w:left w:val="none" w:sz="0" w:space="0" w:color="auto"/>
        <w:bottom w:val="none" w:sz="0" w:space="0" w:color="auto"/>
        <w:right w:val="none" w:sz="0" w:space="0" w:color="auto"/>
      </w:divBdr>
    </w:div>
    <w:div w:id="936862739">
      <w:bodyDiv w:val="1"/>
      <w:marLeft w:val="0"/>
      <w:marRight w:val="0"/>
      <w:marTop w:val="0"/>
      <w:marBottom w:val="0"/>
      <w:divBdr>
        <w:top w:val="none" w:sz="0" w:space="0" w:color="auto"/>
        <w:left w:val="none" w:sz="0" w:space="0" w:color="auto"/>
        <w:bottom w:val="none" w:sz="0" w:space="0" w:color="auto"/>
        <w:right w:val="none" w:sz="0" w:space="0" w:color="auto"/>
      </w:divBdr>
    </w:div>
    <w:div w:id="186694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176B9D-F314-5143-B831-A62783621F2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E8879-0394-4B22-A82F-AAE59890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8391</Characters>
  <Application>Microsoft Office Word</Application>
  <DocSecurity>0</DocSecurity>
  <Lines>144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2022-02-17T01:00:00Z</dcterms:created>
  <dcterms:modified xsi:type="dcterms:W3CDTF">2022-02-17T01:00:00Z</dcterms:modified>
  <cp:category/>
</cp:coreProperties>
</file>