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E2DE0" w14:textId="68B2B1DB" w:rsidR="0031310F" w:rsidRDefault="0031310F" w:rsidP="0031310F"/>
    <w:p w14:paraId="2A5E0357" w14:textId="77777777" w:rsidR="0031310F" w:rsidRPr="00CB42C2" w:rsidRDefault="0031310F" w:rsidP="00CB42C2"/>
    <w:p w14:paraId="3688DDCD" w14:textId="5765CAF3" w:rsidR="00CC3E20" w:rsidRDefault="002356C0" w:rsidP="00CB42C2">
      <w:pPr>
        <w:pStyle w:val="Title"/>
      </w:pPr>
      <w:r>
        <w:t>gender action platform</w:t>
      </w:r>
      <w:r w:rsidR="00CC3E20">
        <w:t xml:space="preserve"> (GAP)</w:t>
      </w:r>
    </w:p>
    <w:p w14:paraId="72419C9A" w14:textId="19B11331" w:rsidR="00CD0E4B" w:rsidRPr="002D6207" w:rsidRDefault="005A633F" w:rsidP="00CB42C2">
      <w:pPr>
        <w:pStyle w:val="Title"/>
        <w:rPr>
          <w:b w:val="0"/>
          <w:bCs w:val="0"/>
        </w:rPr>
      </w:pPr>
      <w:r w:rsidRPr="002D6207">
        <w:rPr>
          <w:b w:val="0"/>
          <w:bCs w:val="0"/>
        </w:rPr>
        <w:t xml:space="preserve">CHANGING GENDER </w:t>
      </w:r>
      <w:r w:rsidR="002356C0" w:rsidRPr="002D6207">
        <w:rPr>
          <w:b w:val="0"/>
          <w:bCs w:val="0"/>
        </w:rPr>
        <w:t xml:space="preserve">norms </w:t>
      </w:r>
    </w:p>
    <w:p w14:paraId="5E8F56C7" w14:textId="3939EB62" w:rsidR="004C6342" w:rsidRDefault="005F0FBD" w:rsidP="004C6342">
      <w:r>
        <w:rPr>
          <w:rFonts w:ascii="Times New Roman" w:hAnsi="Times New Roman" w:cs="Times New Roman"/>
          <w:noProof/>
          <w:color w:val="auto"/>
          <w:sz w:val="24"/>
        </w:rPr>
        <w:drawing>
          <wp:anchor distT="0" distB="0" distL="114300" distR="114300" simplePos="0" relativeHeight="251659264" behindDoc="1" locked="0" layoutInCell="1" allowOverlap="1" wp14:anchorId="757E376A" wp14:editId="7B77AFCB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6115050" cy="15875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87500"/>
                    </a:xfrm>
                    <a:prstGeom prst="rect">
                      <a:avLst/>
                    </a:prstGeom>
                    <a:noFill/>
                    <a:effectLst>
                      <a:softEdge rad="190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3893F" w14:textId="45E4F799" w:rsidR="00056E9C" w:rsidRDefault="00056E9C" w:rsidP="004C6342"/>
    <w:p w14:paraId="7BFB8DE2" w14:textId="7C7F071E" w:rsidR="00056E9C" w:rsidRDefault="00056E9C" w:rsidP="004C6342"/>
    <w:p w14:paraId="3040F905" w14:textId="77777777" w:rsidR="00056E9C" w:rsidRDefault="00056E9C" w:rsidP="004C6342"/>
    <w:p w14:paraId="3C00EF01" w14:textId="77777777" w:rsidR="00774EE4" w:rsidRDefault="00774EE4" w:rsidP="0048492D"/>
    <w:p w14:paraId="78A65E76" w14:textId="33C2C500" w:rsidR="002356C0" w:rsidRDefault="002356C0" w:rsidP="002356C0">
      <w:r>
        <w:rPr>
          <w:noProof/>
        </w:rPr>
        <mc:AlternateContent>
          <mc:Choice Requires="wps">
            <w:drawing>
              <wp:inline distT="0" distB="0" distL="0" distR="0" wp14:anchorId="08346F20" wp14:editId="1DB8D95E">
                <wp:extent cx="1567180" cy="225425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9B05C" w14:textId="6C7405EA" w:rsidR="00E9169F" w:rsidRPr="00F62072" w:rsidRDefault="00E9169F" w:rsidP="002356C0">
                            <w:pPr>
                              <w:spacing w:before="0" w:after="0" w:line="240" w:lineRule="auto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C63A7C">
                              <w:rPr>
                                <w:color w:val="auto"/>
                                <w:sz w:val="16"/>
                                <w:szCs w:val="16"/>
                              </w:rPr>
                              <w:t>Photo credit: Bruce Bailey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346F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23.4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" stroked="f">
                <v:fill opacity="0"/>
                <v:textbox>
                  <w:txbxContent>
                    <w:p w14:paraId="4AE9B05C" w14:textId="6C7405EA" w:rsidR="00E9169F" w:rsidRPr="00F62072" w:rsidRDefault="00E9169F" w:rsidP="002356C0">
                      <w:pPr>
                        <w:spacing w:before="0" w:after="0" w:line="240" w:lineRule="auto"/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C63A7C">
                        <w:rPr>
                          <w:color w:val="auto"/>
                          <w:sz w:val="16"/>
                          <w:szCs w:val="16"/>
                        </w:rPr>
                        <w:t>Photo credit: Bruce Bailey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CBDF34" w14:textId="534BDC9D" w:rsidR="00987A0E" w:rsidRDefault="002356C0" w:rsidP="00ED7EDE">
      <w:pPr>
        <w:tabs>
          <w:tab w:val="left" w:pos="8295"/>
        </w:tabs>
        <w:rPr>
          <w:b/>
          <w:bCs/>
          <w:color w:val="auto"/>
        </w:rPr>
      </w:pPr>
      <w:r w:rsidRPr="00083026">
        <w:rPr>
          <w:b/>
          <w:bCs/>
          <w:color w:val="auto"/>
        </w:rPr>
        <w:t xml:space="preserve">        </w:t>
      </w:r>
    </w:p>
    <w:p w14:paraId="205B495B" w14:textId="77777777" w:rsidR="00F8333D" w:rsidRDefault="00F8333D" w:rsidP="00ED7EDE">
      <w:pPr>
        <w:tabs>
          <w:tab w:val="left" w:pos="8295"/>
        </w:tabs>
        <w:rPr>
          <w:b/>
          <w:bCs/>
          <w:color w:val="auto"/>
        </w:rPr>
      </w:pPr>
    </w:p>
    <w:p w14:paraId="25D0A5EF" w14:textId="233A09FD" w:rsidR="00ED7EDE" w:rsidRDefault="00987A0E" w:rsidP="00CB42C2">
      <w:pPr>
        <w:tabs>
          <w:tab w:val="left" w:pos="8295"/>
        </w:tabs>
        <w:ind w:left="567"/>
        <w:rPr>
          <w:rFonts w:eastAsiaTheme="majorEastAsia" w:cstheme="majorBidi"/>
          <w:b/>
          <w:iCs/>
          <w:caps/>
          <w:spacing w:val="-10"/>
          <w:kern w:val="28"/>
        </w:rPr>
      </w:pPr>
      <w:r w:rsidRPr="004772AE">
        <w:rPr>
          <w:rStyle w:val="Heading2Char"/>
        </w:rPr>
        <w:drawing>
          <wp:anchor distT="36576" distB="36576" distL="36576" distR="36576" simplePos="0" relativeHeight="251661312" behindDoc="0" locked="0" layoutInCell="1" allowOverlap="1" wp14:anchorId="357EE585" wp14:editId="5777BADF">
            <wp:simplePos x="0" y="0"/>
            <wp:positionH relativeFrom="margin">
              <wp:posOffset>-1270</wp:posOffset>
            </wp:positionH>
            <wp:positionV relativeFrom="paragraph">
              <wp:posOffset>45085</wp:posOffset>
            </wp:positionV>
            <wp:extent cx="215409" cy="215409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09" cy="21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6C0" w:rsidRPr="004772AE">
        <w:rPr>
          <w:rStyle w:val="Heading2Char"/>
        </w:rPr>
        <w:t>GAP Summ</w:t>
      </w:r>
      <w:r w:rsidR="00ED7EDE" w:rsidRPr="004772AE">
        <w:rPr>
          <w:rStyle w:val="Heading2Char"/>
        </w:rPr>
        <w:t>ary</w:t>
      </w:r>
    </w:p>
    <w:p w14:paraId="2F5DD184" w14:textId="23D1DA73" w:rsidR="002356C0" w:rsidRPr="00C63A7C" w:rsidRDefault="002356C0" w:rsidP="00CB42C2">
      <w:pPr>
        <w:tabs>
          <w:tab w:val="left" w:pos="8295"/>
        </w:tabs>
        <w:rPr>
          <w:color w:val="auto"/>
        </w:rPr>
      </w:pPr>
      <w:r w:rsidRPr="00C63A7C">
        <w:rPr>
          <w:color w:val="auto"/>
        </w:rPr>
        <w:t>The Gender Action Platform (GAP) strengthened Australian non-government organisation (ANGO) programming to achieve gender equality outcomes in developing countries</w:t>
      </w:r>
      <w:r w:rsidR="00DF550F" w:rsidRPr="00C63A7C">
        <w:rPr>
          <w:color w:val="auto"/>
        </w:rPr>
        <w:t xml:space="preserve">. In summary: </w:t>
      </w:r>
    </w:p>
    <w:p w14:paraId="4759720E" w14:textId="77777777" w:rsidR="005F0FBD" w:rsidRPr="00C63A7C" w:rsidRDefault="005F0FBD" w:rsidP="005F0FBD">
      <w:pPr>
        <w:pStyle w:val="ListParagraph"/>
        <w:widowControl w:val="0"/>
        <w:numPr>
          <w:ilvl w:val="0"/>
          <w:numId w:val="34"/>
        </w:numPr>
        <w:spacing w:after="0"/>
        <w:rPr>
          <w:color w:val="auto"/>
        </w:rPr>
      </w:pPr>
      <w:r w:rsidRPr="00C63A7C">
        <w:rPr>
          <w:color w:val="auto"/>
        </w:rPr>
        <w:t>The GAP included six projects addressing women’s economic empowerment, gender-based violence and women’s leadership.</w:t>
      </w:r>
    </w:p>
    <w:p w14:paraId="3D3B8B45" w14:textId="0E98509B" w:rsidR="002356C0" w:rsidRPr="00C63A7C" w:rsidRDefault="002356C0" w:rsidP="002356C0">
      <w:pPr>
        <w:pStyle w:val="ListParagraph"/>
        <w:widowControl w:val="0"/>
        <w:numPr>
          <w:ilvl w:val="0"/>
          <w:numId w:val="34"/>
        </w:numPr>
        <w:spacing w:after="0"/>
        <w:rPr>
          <w:color w:val="auto"/>
        </w:rPr>
      </w:pPr>
      <w:r w:rsidRPr="00C63A7C">
        <w:rPr>
          <w:color w:val="auto"/>
        </w:rPr>
        <w:t>The GAP design prioritised innovation, collaboration, and shared learning</w:t>
      </w:r>
    </w:p>
    <w:p w14:paraId="305AB97F" w14:textId="77777777" w:rsidR="002356C0" w:rsidRPr="00C63A7C" w:rsidRDefault="002356C0" w:rsidP="002356C0">
      <w:pPr>
        <w:pStyle w:val="ListParagraph"/>
        <w:widowControl w:val="0"/>
        <w:numPr>
          <w:ilvl w:val="0"/>
          <w:numId w:val="34"/>
        </w:numPr>
        <w:spacing w:after="0"/>
        <w:rPr>
          <w:color w:val="auto"/>
        </w:rPr>
      </w:pPr>
      <w:r w:rsidRPr="00C63A7C">
        <w:rPr>
          <w:color w:val="auto"/>
        </w:rPr>
        <w:t xml:space="preserve">Implementation dates: July 2017 to December 2020 </w:t>
      </w:r>
    </w:p>
    <w:p w14:paraId="2A33E409" w14:textId="774B552F" w:rsidR="002356C0" w:rsidRPr="00C63A7C" w:rsidRDefault="002356C0" w:rsidP="002356C0">
      <w:pPr>
        <w:pStyle w:val="ListParagraph"/>
        <w:widowControl w:val="0"/>
        <w:numPr>
          <w:ilvl w:val="0"/>
          <w:numId w:val="34"/>
        </w:numPr>
        <w:spacing w:after="0"/>
        <w:rPr>
          <w:color w:val="auto"/>
        </w:rPr>
      </w:pPr>
      <w:r w:rsidRPr="00C63A7C">
        <w:rPr>
          <w:color w:val="auto"/>
        </w:rPr>
        <w:t>The GAP reached 226,131 people including 144,139 women and girls (64%); 96,340 women (42%) and 47,779 girls (21%)</w:t>
      </w:r>
      <w:r w:rsidR="00D23CA7" w:rsidRPr="00C63A7C">
        <w:rPr>
          <w:color w:val="auto"/>
        </w:rPr>
        <w:t xml:space="preserve"> and</w:t>
      </w:r>
      <w:r w:rsidRPr="00C63A7C">
        <w:rPr>
          <w:color w:val="auto"/>
        </w:rPr>
        <w:t xml:space="preserve"> 4,217 people with disabilities (2%)</w:t>
      </w:r>
      <w:r w:rsidR="00D23CA7" w:rsidRPr="00C63A7C">
        <w:rPr>
          <w:color w:val="auto"/>
        </w:rPr>
        <w:t>.</w:t>
      </w:r>
    </w:p>
    <w:p w14:paraId="200FDA85" w14:textId="77777777" w:rsidR="00DF550F" w:rsidRDefault="00DF550F" w:rsidP="00E0512F">
      <w:pPr>
        <w:pStyle w:val="ListParagraph"/>
        <w:widowControl w:val="0"/>
        <w:spacing w:after="0"/>
      </w:pPr>
    </w:p>
    <w:p w14:paraId="23C00516" w14:textId="4136FB7A" w:rsidR="002356C0" w:rsidRPr="004772AE" w:rsidRDefault="002356C0" w:rsidP="002356C0">
      <w:pPr>
        <w:widowControl w:val="0"/>
        <w:rPr>
          <w:rStyle w:val="Heading2Char"/>
        </w:rPr>
      </w:pPr>
      <w:r w:rsidRPr="004772AE">
        <w:rPr>
          <w:rStyle w:val="Heading2Char"/>
        </w:rPr>
        <w:drawing>
          <wp:anchor distT="0" distB="0" distL="114300" distR="114300" simplePos="0" relativeHeight="251662336" behindDoc="0" locked="0" layoutInCell="1" allowOverlap="1" wp14:anchorId="5E94E2BF" wp14:editId="3C13B02B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13995" cy="219075"/>
            <wp:effectExtent l="0" t="0" r="0" b="9525"/>
            <wp:wrapThrough wrapText="bothSides">
              <wp:wrapPolygon edited="0">
                <wp:start x="0" y="0"/>
                <wp:lineTo x="0" y="20661"/>
                <wp:lineTo x="19228" y="20661"/>
                <wp:lineTo x="19228" y="0"/>
                <wp:lineTo x="0" y="0"/>
              </wp:wrapPolygon>
            </wp:wrapThrough>
            <wp:docPr id="33" name="Pictur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2AE">
        <w:rPr>
          <w:rStyle w:val="Heading2Char"/>
        </w:rPr>
        <w:t>participating</w:t>
      </w:r>
      <w:r w:rsidR="00D23CA7" w:rsidRPr="004772AE">
        <w:rPr>
          <w:rStyle w:val="Heading2Char"/>
        </w:rPr>
        <w:t xml:space="preserve"> NGOs</w:t>
      </w:r>
      <w:r w:rsidR="00D82289" w:rsidRPr="004772AE">
        <w:rPr>
          <w:rStyle w:val="Heading2Char"/>
        </w:rPr>
        <w:t>, PROJECTS</w:t>
      </w:r>
      <w:r w:rsidR="00ED7EDE" w:rsidRPr="004772AE">
        <w:rPr>
          <w:rStyle w:val="Heading2Char"/>
        </w:rPr>
        <w:t xml:space="preserve"> and locations</w:t>
      </w:r>
    </w:p>
    <w:tbl>
      <w:tblPr>
        <w:tblStyle w:val="GridTable4-Accent1"/>
        <w:tblW w:w="9639" w:type="dxa"/>
        <w:tblInd w:w="137" w:type="dxa"/>
        <w:tblLook w:val="04A0" w:firstRow="1" w:lastRow="0" w:firstColumn="1" w:lastColumn="0" w:noHBand="0" w:noVBand="1"/>
      </w:tblPr>
      <w:tblGrid>
        <w:gridCol w:w="3686"/>
        <w:gridCol w:w="3543"/>
        <w:gridCol w:w="2410"/>
      </w:tblGrid>
      <w:tr w:rsidR="00D82289" w14:paraId="56970410" w14:textId="77777777" w:rsidTr="00157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1E7E0" w:themeFill="accent1" w:themeFillTint="66"/>
          </w:tcPr>
          <w:p w14:paraId="18A01C79" w14:textId="45C0F1B2" w:rsidR="00D82289" w:rsidRPr="00276324" w:rsidRDefault="00F8333D" w:rsidP="00036A9D">
            <w:pPr>
              <w:widowControl w:val="0"/>
            </w:pPr>
            <w:r>
              <w:t>Lead NGO</w:t>
            </w:r>
          </w:p>
        </w:tc>
        <w:tc>
          <w:tcPr>
            <w:tcW w:w="3543" w:type="dxa"/>
            <w:shd w:val="clear" w:color="auto" w:fill="C1E7E0" w:themeFill="accent1" w:themeFillTint="66"/>
          </w:tcPr>
          <w:p w14:paraId="51710C5F" w14:textId="77777777" w:rsidR="00D82289" w:rsidRDefault="00D82289" w:rsidP="00036A9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</w:tc>
        <w:tc>
          <w:tcPr>
            <w:tcW w:w="2410" w:type="dxa"/>
            <w:shd w:val="clear" w:color="auto" w:fill="C1E7E0" w:themeFill="accent1" w:themeFillTint="66"/>
          </w:tcPr>
          <w:p w14:paraId="78F47E1D" w14:textId="77777777" w:rsidR="00D82289" w:rsidRDefault="00D82289" w:rsidP="00036A9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</w:tr>
      <w:tr w:rsidR="00D82289" w14:paraId="58D90294" w14:textId="77777777" w:rsidTr="0003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A83B872" w14:textId="13B807C1" w:rsidR="00D82289" w:rsidRPr="00DE1782" w:rsidRDefault="00D82289" w:rsidP="00036A9D">
            <w:pPr>
              <w:widowControl w:val="0"/>
              <w:rPr>
                <w:rFonts w:eastAsiaTheme="majorEastAsia" w:cstheme="majorBidi"/>
                <w:iCs/>
                <w:caps/>
                <w:spacing w:val="-10"/>
                <w:kern w:val="28"/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Marie Stopes International Australia</w:t>
            </w:r>
            <w:r w:rsidR="00F8333D">
              <w:rPr>
                <w:sz w:val="20"/>
                <w:szCs w:val="20"/>
              </w:rPr>
              <w:t xml:space="preserve"> and </w:t>
            </w:r>
            <w:r w:rsidRPr="00DE1782">
              <w:rPr>
                <w:sz w:val="20"/>
                <w:szCs w:val="20"/>
              </w:rPr>
              <w:t>WaterAid Australia</w:t>
            </w:r>
          </w:p>
        </w:tc>
        <w:tc>
          <w:tcPr>
            <w:tcW w:w="3543" w:type="dxa"/>
          </w:tcPr>
          <w:p w14:paraId="2A47D711" w14:textId="77777777" w:rsidR="00D82289" w:rsidRPr="00DE1782" w:rsidRDefault="00D82289" w:rsidP="00036A9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'I'm Prepared' Equality for refugee women in the return- reintegration context</w:t>
            </w:r>
          </w:p>
        </w:tc>
        <w:tc>
          <w:tcPr>
            <w:tcW w:w="2410" w:type="dxa"/>
          </w:tcPr>
          <w:p w14:paraId="21125F26" w14:textId="77777777" w:rsidR="00D82289" w:rsidRPr="00DE1782" w:rsidRDefault="00D82289" w:rsidP="00036A9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iCs/>
                <w:caps/>
                <w:spacing w:val="-10"/>
                <w:kern w:val="28"/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Papua New Guinea and Timor-Leste</w:t>
            </w:r>
          </w:p>
        </w:tc>
      </w:tr>
      <w:tr w:rsidR="00D82289" w14:paraId="726633FE" w14:textId="77777777" w:rsidTr="00036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844D670" w14:textId="160E3130" w:rsidR="00D82289" w:rsidRPr="00DE1782" w:rsidRDefault="00D82289" w:rsidP="00036A9D">
            <w:pPr>
              <w:widowControl w:val="0"/>
              <w:rPr>
                <w:rFonts w:eastAsiaTheme="majorEastAsia" w:cstheme="majorBidi"/>
                <w:iCs/>
                <w:caps/>
                <w:spacing w:val="-10"/>
                <w:kern w:val="28"/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Act for Peace</w:t>
            </w:r>
          </w:p>
        </w:tc>
        <w:tc>
          <w:tcPr>
            <w:tcW w:w="3543" w:type="dxa"/>
          </w:tcPr>
          <w:p w14:paraId="23E34508" w14:textId="77777777" w:rsidR="00D82289" w:rsidRPr="00DE1782" w:rsidRDefault="00D82289" w:rsidP="0003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Action Against Gender Violence: Engaging Men, Youth and Children</w:t>
            </w:r>
          </w:p>
        </w:tc>
        <w:tc>
          <w:tcPr>
            <w:tcW w:w="2410" w:type="dxa"/>
          </w:tcPr>
          <w:p w14:paraId="60DBFC2D" w14:textId="77777777" w:rsidR="00D82289" w:rsidRPr="00DE1782" w:rsidRDefault="00D82289" w:rsidP="0003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 xml:space="preserve">Sri Lanka, India, </w:t>
            </w:r>
            <w:proofErr w:type="gramStart"/>
            <w:r w:rsidRPr="00DE1782">
              <w:rPr>
                <w:sz w:val="20"/>
                <w:szCs w:val="20"/>
              </w:rPr>
              <w:t>Thailand</w:t>
            </w:r>
            <w:proofErr w:type="gramEnd"/>
            <w:r w:rsidRPr="00DE1782">
              <w:rPr>
                <w:sz w:val="20"/>
                <w:szCs w:val="20"/>
              </w:rPr>
              <w:t xml:space="preserve"> and Myanmar</w:t>
            </w:r>
          </w:p>
        </w:tc>
      </w:tr>
      <w:tr w:rsidR="00D82289" w14:paraId="211F16A3" w14:textId="77777777" w:rsidTr="0003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5E59BD2" w14:textId="3E42DED0" w:rsidR="00D82289" w:rsidRPr="00DE1782" w:rsidRDefault="00D82289" w:rsidP="00036A9D">
            <w:pPr>
              <w:widowControl w:val="0"/>
              <w:spacing w:after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ActionAid</w:t>
            </w:r>
            <w:r w:rsidR="005F0FBD">
              <w:rPr>
                <w:sz w:val="20"/>
                <w:szCs w:val="20"/>
              </w:rPr>
              <w:t xml:space="preserve"> Australia</w:t>
            </w:r>
          </w:p>
        </w:tc>
        <w:tc>
          <w:tcPr>
            <w:tcW w:w="3543" w:type="dxa"/>
          </w:tcPr>
          <w:p w14:paraId="6497AD90" w14:textId="77777777" w:rsidR="00D82289" w:rsidRPr="00DE1782" w:rsidRDefault="00D82289" w:rsidP="00036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Keeping girls in school through improved reproductive and menstrual health</w:t>
            </w:r>
          </w:p>
        </w:tc>
        <w:tc>
          <w:tcPr>
            <w:tcW w:w="2410" w:type="dxa"/>
          </w:tcPr>
          <w:p w14:paraId="29EA6B32" w14:textId="77777777" w:rsidR="00D82289" w:rsidRPr="00DE1782" w:rsidRDefault="00D82289" w:rsidP="00036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 xml:space="preserve">Cambodia, Kenya, Vanuatu </w:t>
            </w:r>
          </w:p>
        </w:tc>
      </w:tr>
      <w:tr w:rsidR="00D82289" w14:paraId="03262E1D" w14:textId="77777777" w:rsidTr="00036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0B42AE7" w14:textId="266A9A65" w:rsidR="00D82289" w:rsidRPr="00DE1782" w:rsidRDefault="00D82289" w:rsidP="00036A9D">
            <w:pPr>
              <w:widowControl w:val="0"/>
              <w:spacing w:after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CARE</w:t>
            </w:r>
            <w:r>
              <w:rPr>
                <w:sz w:val="20"/>
                <w:szCs w:val="20"/>
              </w:rPr>
              <w:t xml:space="preserve"> Australia</w:t>
            </w:r>
          </w:p>
        </w:tc>
        <w:tc>
          <w:tcPr>
            <w:tcW w:w="3543" w:type="dxa"/>
          </w:tcPr>
          <w:p w14:paraId="5ADEC8E4" w14:textId="77777777" w:rsidR="00D82289" w:rsidRPr="00DE1782" w:rsidRDefault="00D82289" w:rsidP="0003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Gender Responsive Alternatives on Climate Change</w:t>
            </w:r>
          </w:p>
        </w:tc>
        <w:tc>
          <w:tcPr>
            <w:tcW w:w="2410" w:type="dxa"/>
          </w:tcPr>
          <w:p w14:paraId="2FCDBF07" w14:textId="77777777" w:rsidR="00D82289" w:rsidRPr="00DE1782" w:rsidRDefault="00D82289" w:rsidP="0003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Cambodia, Myanmar</w:t>
            </w:r>
          </w:p>
        </w:tc>
      </w:tr>
      <w:tr w:rsidR="00D82289" w14:paraId="3E1CE3C3" w14:textId="77777777" w:rsidTr="0003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AC3B559" w14:textId="62B1DD72" w:rsidR="00D82289" w:rsidRPr="00DE1782" w:rsidRDefault="00D82289" w:rsidP="00036A9D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DE1782">
              <w:rPr>
                <w:sz w:val="20"/>
                <w:szCs w:val="20"/>
              </w:rPr>
              <w:t>ChildFund</w:t>
            </w:r>
            <w:proofErr w:type="spellEnd"/>
            <w:r w:rsidRPr="00DE1782">
              <w:rPr>
                <w:sz w:val="20"/>
                <w:szCs w:val="20"/>
              </w:rPr>
              <w:t xml:space="preserve"> Australia</w:t>
            </w:r>
          </w:p>
        </w:tc>
        <w:tc>
          <w:tcPr>
            <w:tcW w:w="3543" w:type="dxa"/>
          </w:tcPr>
          <w:p w14:paraId="7110F49E" w14:textId="77777777" w:rsidR="00D82289" w:rsidRPr="00DE1782" w:rsidRDefault="00D82289" w:rsidP="00036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Rights, Respect, Resilience: skills for safe, equitable and respectful relationships</w:t>
            </w:r>
          </w:p>
        </w:tc>
        <w:tc>
          <w:tcPr>
            <w:tcW w:w="2410" w:type="dxa"/>
          </w:tcPr>
          <w:p w14:paraId="328547B6" w14:textId="77777777" w:rsidR="00D82289" w:rsidRPr="00DE1782" w:rsidRDefault="00D82289" w:rsidP="00036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Papua New Guinea</w:t>
            </w:r>
          </w:p>
        </w:tc>
      </w:tr>
      <w:tr w:rsidR="00D82289" w14:paraId="4D4AD02A" w14:textId="77777777" w:rsidTr="00036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5A9717" w14:textId="25C996D0" w:rsidR="00D82289" w:rsidRPr="00DE1782" w:rsidRDefault="00D82289" w:rsidP="00036A9D">
            <w:pPr>
              <w:widowControl w:val="0"/>
              <w:spacing w:after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World Vision Australi</w:t>
            </w:r>
            <w:r w:rsidR="005F0FBD">
              <w:rPr>
                <w:sz w:val="20"/>
                <w:szCs w:val="20"/>
              </w:rPr>
              <w:t>a</w:t>
            </w:r>
          </w:p>
        </w:tc>
        <w:tc>
          <w:tcPr>
            <w:tcW w:w="3543" w:type="dxa"/>
          </w:tcPr>
          <w:p w14:paraId="2F6332BC" w14:textId="77777777" w:rsidR="00D82289" w:rsidRPr="00DE1782" w:rsidRDefault="00D82289" w:rsidP="0003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>Enhancing Women's Voice to Stop Sexual Harassment (STOP)</w:t>
            </w:r>
          </w:p>
        </w:tc>
        <w:tc>
          <w:tcPr>
            <w:tcW w:w="2410" w:type="dxa"/>
          </w:tcPr>
          <w:p w14:paraId="0B9E2700" w14:textId="77777777" w:rsidR="00D82289" w:rsidRPr="00DE1782" w:rsidRDefault="00D82289" w:rsidP="0003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1782">
              <w:rPr>
                <w:sz w:val="20"/>
                <w:szCs w:val="20"/>
              </w:rPr>
              <w:t xml:space="preserve">Papua New Guinea, Vanuatu </w:t>
            </w:r>
          </w:p>
        </w:tc>
      </w:tr>
    </w:tbl>
    <w:p w14:paraId="571640F7" w14:textId="2B5D7023" w:rsidR="00E0512F" w:rsidRDefault="00E0512F" w:rsidP="0031310F">
      <w:pPr>
        <w:widowControl w:val="0"/>
        <w:rPr>
          <w:rStyle w:val="IntenseReference"/>
          <w:color w:val="495965" w:themeColor="text2"/>
          <w:sz w:val="28"/>
          <w:szCs w:val="28"/>
        </w:rPr>
      </w:pPr>
    </w:p>
    <w:p w14:paraId="3AA3C2A3" w14:textId="5CEFCE20" w:rsidR="005F0FBD" w:rsidRDefault="005F0FBD" w:rsidP="0031310F">
      <w:pPr>
        <w:widowControl w:val="0"/>
        <w:rPr>
          <w:rStyle w:val="IntenseReference"/>
          <w:color w:val="495965" w:themeColor="text2"/>
          <w:sz w:val="20"/>
          <w:szCs w:val="20"/>
        </w:rPr>
      </w:pPr>
    </w:p>
    <w:p w14:paraId="58943346" w14:textId="05BE32F0" w:rsidR="00DF550F" w:rsidRPr="006C73FF" w:rsidRDefault="00345E9E" w:rsidP="008952A0">
      <w:r w:rsidRPr="006C73FF">
        <w:rPr>
          <w:rStyle w:val="IntenseReference"/>
          <w:color w:val="auto"/>
          <w:sz w:val="28"/>
          <w:szCs w:val="28"/>
        </w:rPr>
        <w:t>G</w:t>
      </w:r>
      <w:r w:rsidR="0031310F" w:rsidRPr="006C73FF">
        <w:rPr>
          <w:rStyle w:val="IntenseReference"/>
          <w:color w:val="auto"/>
          <w:sz w:val="28"/>
          <w:szCs w:val="28"/>
        </w:rPr>
        <w:t>ender norms</w:t>
      </w:r>
      <w:r w:rsidR="0031310F" w:rsidRPr="006C73FF">
        <w:t xml:space="preserve"> </w:t>
      </w:r>
    </w:p>
    <w:p w14:paraId="080D1648" w14:textId="308D54ED" w:rsidR="0031310F" w:rsidRPr="00C63A7C" w:rsidRDefault="00DF550F" w:rsidP="0031310F">
      <w:pPr>
        <w:widowControl w:val="0"/>
        <w:rPr>
          <w:color w:val="auto"/>
        </w:rPr>
      </w:pPr>
      <w:r w:rsidRPr="00C63A7C">
        <w:rPr>
          <w:color w:val="auto"/>
        </w:rPr>
        <w:t xml:space="preserve">Gender norms </w:t>
      </w:r>
      <w:r w:rsidR="0031310F" w:rsidRPr="00C63A7C">
        <w:rPr>
          <w:color w:val="auto"/>
        </w:rPr>
        <w:t xml:space="preserve">are the expectations to which women and men generally conform within a society, </w:t>
      </w:r>
      <w:proofErr w:type="gramStart"/>
      <w:r w:rsidR="0031310F" w:rsidRPr="00C63A7C">
        <w:rPr>
          <w:color w:val="auto"/>
        </w:rPr>
        <w:t>culture</w:t>
      </w:r>
      <w:proofErr w:type="gramEnd"/>
      <w:r w:rsidR="0031310F" w:rsidRPr="00C63A7C">
        <w:rPr>
          <w:color w:val="auto"/>
        </w:rPr>
        <w:t xml:space="preserve"> and community at a point in time. Gender norms inform roles, attitudes and behaviours of men and women within households and society. </w:t>
      </w:r>
      <w:r w:rsidR="0031310F" w:rsidRPr="00C63A7C">
        <w:rPr>
          <w:b/>
          <w:bCs/>
          <w:color w:val="auto"/>
        </w:rPr>
        <w:t>Changing gender norms is a long-term process</w:t>
      </w:r>
      <w:r w:rsidR="0031310F" w:rsidRPr="00C63A7C">
        <w:rPr>
          <w:color w:val="auto"/>
        </w:rPr>
        <w:t xml:space="preserve">. However, </w:t>
      </w:r>
      <w:r w:rsidR="0031310F" w:rsidRPr="00C63A7C">
        <w:rPr>
          <w:b/>
          <w:bCs/>
          <w:color w:val="auto"/>
        </w:rPr>
        <w:t>changes in knowledge, attitudes</w:t>
      </w:r>
      <w:r w:rsidR="005038B5" w:rsidRPr="00C63A7C">
        <w:rPr>
          <w:b/>
          <w:bCs/>
          <w:color w:val="auto"/>
        </w:rPr>
        <w:t>,</w:t>
      </w:r>
      <w:r w:rsidR="0031310F" w:rsidRPr="00C63A7C">
        <w:rPr>
          <w:b/>
          <w:bCs/>
          <w:color w:val="auto"/>
        </w:rPr>
        <w:t xml:space="preserve"> and behaviours are indicators of norms change </w:t>
      </w:r>
      <w:r w:rsidR="0031310F" w:rsidRPr="00C63A7C">
        <w:rPr>
          <w:color w:val="auto"/>
        </w:rPr>
        <w:t>and can be measured in shorter</w:t>
      </w:r>
      <w:r w:rsidR="00E0512F" w:rsidRPr="00C63A7C">
        <w:rPr>
          <w:color w:val="auto"/>
        </w:rPr>
        <w:t xml:space="preserve"> </w:t>
      </w:r>
      <w:r w:rsidR="0031310F" w:rsidRPr="00C63A7C">
        <w:rPr>
          <w:color w:val="auto"/>
        </w:rPr>
        <w:t xml:space="preserve">project phases. Often gender equality projects only erroneously </w:t>
      </w:r>
      <w:r w:rsidR="005038B5" w:rsidRPr="00C63A7C">
        <w:rPr>
          <w:color w:val="auto"/>
        </w:rPr>
        <w:t>report on</w:t>
      </w:r>
      <w:r w:rsidR="0031310F" w:rsidRPr="00C63A7C">
        <w:rPr>
          <w:color w:val="auto"/>
        </w:rPr>
        <w:t xml:space="preserve"> numbers of people that attend training or workshops and increased understanding of gender equality issues but do not measure attitudes and behaviours.</w:t>
      </w:r>
    </w:p>
    <w:p w14:paraId="028841E8" w14:textId="327DFC92" w:rsidR="001C128C" w:rsidRPr="006C73FF" w:rsidRDefault="0027347A" w:rsidP="001C128C">
      <w:pPr>
        <w:widowControl w:val="0"/>
        <w:rPr>
          <w:rStyle w:val="IntenseReference"/>
          <w:color w:val="auto"/>
          <w:sz w:val="28"/>
          <w:szCs w:val="28"/>
        </w:rPr>
      </w:pPr>
      <w:r w:rsidRPr="006C73FF">
        <w:rPr>
          <w:rStyle w:val="IntenseReference"/>
          <w:color w:val="auto"/>
          <w:sz w:val="28"/>
          <w:szCs w:val="28"/>
        </w:rPr>
        <w:t>S</w:t>
      </w:r>
      <w:r w:rsidR="001C128C" w:rsidRPr="006C73FF">
        <w:rPr>
          <w:rStyle w:val="IntenseReference"/>
          <w:color w:val="auto"/>
          <w:sz w:val="28"/>
          <w:szCs w:val="28"/>
        </w:rPr>
        <w:t>trategies</w:t>
      </w:r>
      <w:r w:rsidR="00B47C28" w:rsidRPr="006C73FF">
        <w:rPr>
          <w:rStyle w:val="IntenseReference"/>
          <w:color w:val="auto"/>
          <w:sz w:val="28"/>
          <w:szCs w:val="28"/>
        </w:rPr>
        <w:t xml:space="preserve"> for addressing gender norms</w:t>
      </w:r>
    </w:p>
    <w:p w14:paraId="188175A2" w14:textId="227CD9E0" w:rsidR="00B47C28" w:rsidRPr="00C63A7C" w:rsidRDefault="00B47C28">
      <w:pPr>
        <w:widowControl w:val="0"/>
        <w:rPr>
          <w:color w:val="auto"/>
        </w:rPr>
      </w:pPr>
      <w:r w:rsidRPr="00C63A7C">
        <w:rPr>
          <w:color w:val="auto"/>
        </w:rPr>
        <w:t>In many contexts where</w:t>
      </w:r>
      <w:r w:rsidR="00931DF7" w:rsidRPr="00C63A7C">
        <w:rPr>
          <w:color w:val="auto"/>
        </w:rPr>
        <w:t xml:space="preserve"> the</w:t>
      </w:r>
      <w:r w:rsidRPr="00C63A7C">
        <w:rPr>
          <w:color w:val="auto"/>
        </w:rPr>
        <w:t xml:space="preserve"> GAP projects were implemented, women had limited </w:t>
      </w:r>
      <w:r w:rsidR="005038B5" w:rsidRPr="00C63A7C">
        <w:rPr>
          <w:color w:val="auto"/>
        </w:rPr>
        <w:t>decision-making access; therefore,</w:t>
      </w:r>
      <w:r w:rsidRPr="00C63A7C">
        <w:rPr>
          <w:color w:val="auto"/>
        </w:rPr>
        <w:t xml:space="preserve"> </w:t>
      </w:r>
      <w:r w:rsidRPr="00C63A7C">
        <w:rPr>
          <w:b/>
          <w:bCs/>
          <w:color w:val="auto"/>
        </w:rPr>
        <w:t>supporting women’s leadership and decision-making</w:t>
      </w:r>
      <w:r w:rsidRPr="00C63A7C">
        <w:rPr>
          <w:color w:val="auto"/>
        </w:rPr>
        <w:t xml:space="preserve"> was a </w:t>
      </w:r>
      <w:r w:rsidR="00931DF7" w:rsidRPr="00C63A7C">
        <w:rPr>
          <w:color w:val="auto"/>
        </w:rPr>
        <w:t>key strategy in most projects.</w:t>
      </w:r>
      <w:r w:rsidR="004233DB" w:rsidRPr="00C63A7C">
        <w:rPr>
          <w:color w:val="auto"/>
        </w:rPr>
        <w:t xml:space="preserve"> </w:t>
      </w:r>
      <w:r w:rsidRPr="00C63A7C">
        <w:rPr>
          <w:color w:val="auto"/>
        </w:rPr>
        <w:t>For example</w:t>
      </w:r>
      <w:r w:rsidR="005038B5" w:rsidRPr="00C63A7C">
        <w:rPr>
          <w:color w:val="auto"/>
        </w:rPr>
        <w:t>,</w:t>
      </w:r>
      <w:r w:rsidRPr="00C63A7C">
        <w:rPr>
          <w:color w:val="auto"/>
        </w:rPr>
        <w:t xml:space="preserve"> </w:t>
      </w:r>
      <w:r w:rsidRPr="00C63A7C">
        <w:rPr>
          <w:b/>
          <w:bCs/>
          <w:color w:val="auto"/>
        </w:rPr>
        <w:t xml:space="preserve">ActionAid </w:t>
      </w:r>
      <w:r w:rsidR="00D57820" w:rsidRPr="00C63A7C">
        <w:rPr>
          <w:b/>
          <w:bCs/>
          <w:color w:val="auto"/>
        </w:rPr>
        <w:t>Australia</w:t>
      </w:r>
      <w:r w:rsidR="00D57820" w:rsidRPr="00C63A7C">
        <w:rPr>
          <w:color w:val="auto"/>
        </w:rPr>
        <w:t xml:space="preserve"> </w:t>
      </w:r>
      <w:r w:rsidRPr="00C63A7C">
        <w:rPr>
          <w:color w:val="auto"/>
        </w:rPr>
        <w:t xml:space="preserve">in Cambodia, </w:t>
      </w:r>
      <w:proofErr w:type="gramStart"/>
      <w:r w:rsidRPr="00C63A7C">
        <w:rPr>
          <w:color w:val="auto"/>
        </w:rPr>
        <w:t>Kenya</w:t>
      </w:r>
      <w:proofErr w:type="gramEnd"/>
      <w:r w:rsidRPr="00C63A7C">
        <w:rPr>
          <w:color w:val="auto"/>
        </w:rPr>
        <w:t xml:space="preserve"> and Vanuatu increased women’s knowledge on the gendered impacts of climate change and confidence building through leadership skills training and exchanges with women leaders. Norms we</w:t>
      </w:r>
      <w:r w:rsidR="0012626A" w:rsidRPr="00C63A7C">
        <w:rPr>
          <w:color w:val="auto"/>
        </w:rPr>
        <w:t>re</w:t>
      </w:r>
      <w:r w:rsidRPr="00C63A7C">
        <w:rPr>
          <w:color w:val="auto"/>
        </w:rPr>
        <w:t xml:space="preserve"> shifted by increasing women’s access to male-dominated government decision making processes about climate change policy.</w:t>
      </w:r>
      <w:r w:rsidR="004233DB" w:rsidRPr="00C63A7C">
        <w:rPr>
          <w:color w:val="auto"/>
        </w:rPr>
        <w:t xml:space="preserve"> As a result, women reported having more status with their communities and</w:t>
      </w:r>
      <w:r w:rsidR="005038B5" w:rsidRPr="00C63A7C">
        <w:rPr>
          <w:color w:val="auto"/>
        </w:rPr>
        <w:t xml:space="preserve"> increased</w:t>
      </w:r>
      <w:r w:rsidR="004233DB" w:rsidRPr="00C63A7C">
        <w:rPr>
          <w:color w:val="auto"/>
        </w:rPr>
        <w:t xml:space="preserve"> influence </w:t>
      </w:r>
      <w:r w:rsidR="005038B5" w:rsidRPr="00C63A7C">
        <w:rPr>
          <w:color w:val="auto"/>
        </w:rPr>
        <w:t>in</w:t>
      </w:r>
      <w:r w:rsidR="004233DB" w:rsidRPr="00C63A7C">
        <w:rPr>
          <w:color w:val="auto"/>
        </w:rPr>
        <w:t xml:space="preserve"> decision-making in public and private spheres. </w:t>
      </w:r>
    </w:p>
    <w:p w14:paraId="5C7A4C5C" w14:textId="2ABF26E4" w:rsidR="002239A5" w:rsidRPr="00C63A7C" w:rsidRDefault="002239A5" w:rsidP="00CB42C2">
      <w:pPr>
        <w:rPr>
          <w:color w:val="auto"/>
        </w:rPr>
      </w:pPr>
      <w:r w:rsidRPr="00C63A7C">
        <w:rPr>
          <w:color w:val="auto"/>
        </w:rPr>
        <w:t xml:space="preserve">GAP partners also </w:t>
      </w:r>
      <w:r w:rsidR="005A60B6" w:rsidRPr="00C63A7C">
        <w:rPr>
          <w:color w:val="auto"/>
        </w:rPr>
        <w:t>specifically</w:t>
      </w:r>
      <w:r w:rsidRPr="00C63A7C">
        <w:rPr>
          <w:color w:val="auto"/>
        </w:rPr>
        <w:t xml:space="preserve"> </w:t>
      </w:r>
      <w:r w:rsidRPr="00C63A7C">
        <w:rPr>
          <w:b/>
          <w:bCs/>
          <w:color w:val="auto"/>
        </w:rPr>
        <w:t>addressed harmful attitudes that support violence against women</w:t>
      </w:r>
      <w:r w:rsidRPr="00C63A7C">
        <w:rPr>
          <w:color w:val="auto"/>
        </w:rPr>
        <w:t xml:space="preserve">.  For example, </w:t>
      </w:r>
      <w:r w:rsidRPr="00C63A7C">
        <w:rPr>
          <w:b/>
          <w:bCs/>
          <w:color w:val="auto"/>
        </w:rPr>
        <w:t xml:space="preserve">CARE </w:t>
      </w:r>
      <w:r w:rsidR="00D57820" w:rsidRPr="00C63A7C">
        <w:rPr>
          <w:b/>
          <w:bCs/>
          <w:color w:val="auto"/>
        </w:rPr>
        <w:t xml:space="preserve">Australia </w:t>
      </w:r>
      <w:r w:rsidRPr="00C63A7C">
        <w:rPr>
          <w:color w:val="auto"/>
        </w:rPr>
        <w:t>found that men’s and women’s attitudes and behaviour toward sexual harassment had changed for factory managers and female employees. In Myanmar, from the baseline to the evaluation</w:t>
      </w:r>
      <w:r w:rsidR="005A60B6" w:rsidRPr="00C63A7C">
        <w:rPr>
          <w:color w:val="auto"/>
        </w:rPr>
        <w:t>,</w:t>
      </w:r>
      <w:r w:rsidRPr="00C63A7C">
        <w:rPr>
          <w:color w:val="auto"/>
        </w:rPr>
        <w:t xml:space="preserve"> the proportion of factory managers who believe </w:t>
      </w:r>
      <w:r w:rsidR="005A60B6" w:rsidRPr="00C63A7C">
        <w:rPr>
          <w:i/>
          <w:iCs/>
          <w:color w:val="auto"/>
        </w:rPr>
        <w:t>‘</w:t>
      </w:r>
      <w:r w:rsidRPr="00C63A7C">
        <w:rPr>
          <w:i/>
          <w:iCs/>
          <w:color w:val="auto"/>
        </w:rPr>
        <w:t>it isn’t sexual harassment if the worker did not immediately complain about the behaviour</w:t>
      </w:r>
      <w:r w:rsidR="005A60B6" w:rsidRPr="00C63A7C">
        <w:rPr>
          <w:i/>
          <w:iCs/>
          <w:color w:val="auto"/>
        </w:rPr>
        <w:t>’</w:t>
      </w:r>
      <w:r w:rsidRPr="00C63A7C">
        <w:rPr>
          <w:color w:val="auto"/>
        </w:rPr>
        <w:t xml:space="preserve"> halved from 1 in 3 to 1 in 6.  In Cambodia, the baseline found 1 in 5 women had observed </w:t>
      </w:r>
      <w:r w:rsidR="005A60B6" w:rsidRPr="00C63A7C">
        <w:rPr>
          <w:i/>
          <w:iCs/>
          <w:color w:val="auto"/>
        </w:rPr>
        <w:t>‘</w:t>
      </w:r>
      <w:r w:rsidRPr="00C63A7C">
        <w:rPr>
          <w:i/>
          <w:iCs/>
          <w:color w:val="auto"/>
        </w:rPr>
        <w:t>inappropriate touching embracing or kissing a co-worker without their consent</w:t>
      </w:r>
      <w:r w:rsidR="005A60B6" w:rsidRPr="00C63A7C">
        <w:rPr>
          <w:i/>
          <w:iCs/>
          <w:color w:val="auto"/>
        </w:rPr>
        <w:t>’</w:t>
      </w:r>
      <w:r w:rsidR="005038B5" w:rsidRPr="00C63A7C">
        <w:rPr>
          <w:i/>
          <w:iCs/>
          <w:color w:val="auto"/>
        </w:rPr>
        <w:t xml:space="preserve">. </w:t>
      </w:r>
      <w:r w:rsidR="005038B5" w:rsidRPr="00C63A7C">
        <w:rPr>
          <w:color w:val="auto"/>
        </w:rPr>
        <w:t>However, in</w:t>
      </w:r>
      <w:r w:rsidRPr="00C63A7C">
        <w:rPr>
          <w:color w:val="auto"/>
        </w:rPr>
        <w:t xml:space="preserve"> the evaluation</w:t>
      </w:r>
      <w:r w:rsidR="005038B5" w:rsidRPr="00C63A7C">
        <w:rPr>
          <w:color w:val="auto"/>
        </w:rPr>
        <w:t>,</w:t>
      </w:r>
      <w:r w:rsidRPr="00C63A7C">
        <w:rPr>
          <w:color w:val="auto"/>
        </w:rPr>
        <w:t xml:space="preserve"> only 6% reported this behaviour. </w:t>
      </w:r>
    </w:p>
    <w:p w14:paraId="4502F7AA" w14:textId="0243BB5E" w:rsidR="002239A5" w:rsidRPr="00C63A7C" w:rsidRDefault="002239A5" w:rsidP="00E0512F">
      <w:pPr>
        <w:widowControl w:val="0"/>
        <w:spacing w:before="0" w:after="0" w:line="240" w:lineRule="auto"/>
        <w:rPr>
          <w:color w:val="auto"/>
        </w:rPr>
      </w:pPr>
      <w:r w:rsidRPr="00C63A7C">
        <w:rPr>
          <w:color w:val="auto"/>
        </w:rPr>
        <w:t>Projects focused on</w:t>
      </w:r>
      <w:r w:rsidR="0031310F" w:rsidRPr="00C63A7C">
        <w:rPr>
          <w:color w:val="auto"/>
        </w:rPr>
        <w:t xml:space="preserve"> </w:t>
      </w:r>
      <w:r w:rsidR="0031310F" w:rsidRPr="00C63A7C">
        <w:rPr>
          <w:b/>
          <w:bCs/>
          <w:color w:val="auto"/>
        </w:rPr>
        <w:t>adolescent</w:t>
      </w:r>
      <w:r w:rsidRPr="00C63A7C">
        <w:rPr>
          <w:b/>
          <w:bCs/>
          <w:color w:val="auto"/>
        </w:rPr>
        <w:t xml:space="preserve"> boys and girls</w:t>
      </w:r>
      <w:r w:rsidRPr="00C63A7C">
        <w:rPr>
          <w:color w:val="auto"/>
        </w:rPr>
        <w:t xml:space="preserve"> aim</w:t>
      </w:r>
      <w:r w:rsidR="0031310F" w:rsidRPr="00C63A7C">
        <w:rPr>
          <w:color w:val="auto"/>
        </w:rPr>
        <w:t>ed</w:t>
      </w:r>
      <w:r w:rsidRPr="00C63A7C">
        <w:rPr>
          <w:color w:val="auto"/>
        </w:rPr>
        <w:t xml:space="preserve"> to change attitudes and offer children alternatives to entrenched gender norms and </w:t>
      </w:r>
      <w:r w:rsidRPr="00C63A7C">
        <w:rPr>
          <w:b/>
          <w:bCs/>
          <w:color w:val="auto"/>
        </w:rPr>
        <w:t>promote generational change in gender relations</w:t>
      </w:r>
      <w:r w:rsidRPr="00C63A7C">
        <w:rPr>
          <w:color w:val="auto"/>
        </w:rPr>
        <w:t xml:space="preserve">. </w:t>
      </w:r>
      <w:r w:rsidR="005038B5" w:rsidRPr="00C63A7C">
        <w:rPr>
          <w:color w:val="auto"/>
        </w:rPr>
        <w:t>For example, two</w:t>
      </w:r>
      <w:r w:rsidRPr="00C63A7C">
        <w:rPr>
          <w:color w:val="auto"/>
        </w:rPr>
        <w:t xml:space="preserve"> GAP projects (</w:t>
      </w:r>
      <w:proofErr w:type="spellStart"/>
      <w:r w:rsidRPr="00C63A7C">
        <w:rPr>
          <w:b/>
          <w:bCs/>
          <w:color w:val="auto"/>
        </w:rPr>
        <w:t>ChildFund</w:t>
      </w:r>
      <w:proofErr w:type="spellEnd"/>
      <w:r w:rsidRPr="00C63A7C">
        <w:rPr>
          <w:b/>
          <w:bCs/>
          <w:color w:val="auto"/>
        </w:rPr>
        <w:t xml:space="preserve"> </w:t>
      </w:r>
      <w:r w:rsidR="00D57820" w:rsidRPr="00C63A7C">
        <w:rPr>
          <w:b/>
          <w:bCs/>
          <w:color w:val="auto"/>
        </w:rPr>
        <w:t xml:space="preserve">Australia </w:t>
      </w:r>
      <w:r w:rsidRPr="00C63A7C">
        <w:rPr>
          <w:b/>
          <w:bCs/>
          <w:color w:val="auto"/>
        </w:rPr>
        <w:t>and Marie Stopes</w:t>
      </w:r>
      <w:r w:rsidR="00D57820" w:rsidRPr="00C63A7C">
        <w:rPr>
          <w:b/>
          <w:bCs/>
          <w:color w:val="auto"/>
        </w:rPr>
        <w:t xml:space="preserve"> International Australia </w:t>
      </w:r>
      <w:r w:rsidRPr="00C63A7C">
        <w:rPr>
          <w:b/>
          <w:bCs/>
          <w:color w:val="auto"/>
        </w:rPr>
        <w:t>/Water Aid</w:t>
      </w:r>
      <w:r w:rsidR="00D57820" w:rsidRPr="00C63A7C">
        <w:rPr>
          <w:b/>
          <w:bCs/>
          <w:color w:val="auto"/>
        </w:rPr>
        <w:t xml:space="preserve"> Australia</w:t>
      </w:r>
      <w:r w:rsidRPr="00C63A7C">
        <w:rPr>
          <w:b/>
          <w:bCs/>
          <w:color w:val="auto"/>
        </w:rPr>
        <w:t>)</w:t>
      </w:r>
      <w:r w:rsidRPr="00C63A7C">
        <w:rPr>
          <w:color w:val="auto"/>
        </w:rPr>
        <w:t xml:space="preserve"> focused on adolescent boys and girls in schools and communities to address their attitudes to gender equality and sexual and reproductive health. </w:t>
      </w:r>
      <w:r w:rsidR="005A60B6" w:rsidRPr="00C63A7C">
        <w:rPr>
          <w:color w:val="auto"/>
        </w:rPr>
        <w:t xml:space="preserve">Both projects found that </w:t>
      </w:r>
      <w:r w:rsidR="005038B5" w:rsidRPr="00C63A7C">
        <w:rPr>
          <w:color w:val="auto"/>
        </w:rPr>
        <w:t>teachers' attitudes</w:t>
      </w:r>
      <w:r w:rsidR="005A60B6" w:rsidRPr="00C63A7C">
        <w:rPr>
          <w:color w:val="auto"/>
        </w:rPr>
        <w:t xml:space="preserve"> </w:t>
      </w:r>
      <w:r w:rsidR="005038B5" w:rsidRPr="00C63A7C">
        <w:rPr>
          <w:color w:val="auto"/>
        </w:rPr>
        <w:t>had</w:t>
      </w:r>
      <w:r w:rsidR="005A60B6" w:rsidRPr="00C63A7C">
        <w:rPr>
          <w:color w:val="auto"/>
        </w:rPr>
        <w:t xml:space="preserve"> to be addressed through intensive training to ensure they had sufficient knowledge and supportive attitudes toward menstruation, sexual and reproductive </w:t>
      </w:r>
      <w:proofErr w:type="gramStart"/>
      <w:r w:rsidR="005A60B6" w:rsidRPr="00C63A7C">
        <w:rPr>
          <w:color w:val="auto"/>
        </w:rPr>
        <w:t>health</w:t>
      </w:r>
      <w:proofErr w:type="gramEnd"/>
      <w:r w:rsidR="005A60B6" w:rsidRPr="00C63A7C">
        <w:rPr>
          <w:color w:val="auto"/>
        </w:rPr>
        <w:t xml:space="preserve"> and respectful relationships.</w:t>
      </w:r>
      <w:r w:rsidR="00931DF7" w:rsidRPr="00C63A7C">
        <w:rPr>
          <w:color w:val="auto"/>
        </w:rPr>
        <w:t xml:space="preserve"> </w:t>
      </w:r>
    </w:p>
    <w:p w14:paraId="7B34E2B1" w14:textId="08E5E39F" w:rsidR="00AA7C2D" w:rsidRPr="00E0512F" w:rsidRDefault="00AA7C2D" w:rsidP="00CB42C2">
      <w:pPr>
        <w:pStyle w:val="IntenseQuote"/>
        <w:rPr>
          <w:sz w:val="20"/>
          <w:szCs w:val="20"/>
        </w:rPr>
      </w:pPr>
      <w:r w:rsidRPr="00E0512F">
        <w:rPr>
          <w:sz w:val="20"/>
          <w:szCs w:val="20"/>
        </w:rPr>
        <w:t>‘There has been a big change in the community about women’s leadership. A lot of community</w:t>
      </w:r>
      <w:r w:rsidR="00E0512F">
        <w:rPr>
          <w:sz w:val="20"/>
          <w:szCs w:val="20"/>
        </w:rPr>
        <w:t xml:space="preserve"> </w:t>
      </w:r>
      <w:r w:rsidRPr="00E0512F">
        <w:rPr>
          <w:sz w:val="20"/>
          <w:szCs w:val="20"/>
        </w:rPr>
        <w:t>people feel confident to raise their concerns and family issues and share them in public. In the pas</w:t>
      </w:r>
      <w:r w:rsidR="00E0512F">
        <w:rPr>
          <w:sz w:val="20"/>
          <w:szCs w:val="20"/>
        </w:rPr>
        <w:t xml:space="preserve">t </w:t>
      </w:r>
      <w:r w:rsidRPr="00E0512F">
        <w:rPr>
          <w:sz w:val="20"/>
          <w:szCs w:val="20"/>
        </w:rPr>
        <w:t xml:space="preserve">this did not happen.” </w:t>
      </w:r>
      <w:proofErr w:type="spellStart"/>
      <w:r w:rsidRPr="00E0512F">
        <w:rPr>
          <w:sz w:val="20"/>
          <w:szCs w:val="20"/>
        </w:rPr>
        <w:t>Pursat</w:t>
      </w:r>
      <w:proofErr w:type="spellEnd"/>
      <w:r w:rsidRPr="00E0512F">
        <w:rPr>
          <w:sz w:val="20"/>
          <w:szCs w:val="20"/>
        </w:rPr>
        <w:t xml:space="preserve"> - Deputy Commune Chief (ActionAid Cambodia)</w:t>
      </w:r>
    </w:p>
    <w:p w14:paraId="1FC19482" w14:textId="679C84EC" w:rsidR="001C128C" w:rsidRPr="006C73FF" w:rsidRDefault="00CF284A" w:rsidP="00E0512F">
      <w:pPr>
        <w:widowControl w:val="0"/>
        <w:spacing w:before="0" w:after="0" w:line="240" w:lineRule="auto"/>
        <w:rPr>
          <w:rStyle w:val="IntenseReference"/>
          <w:color w:val="auto"/>
          <w:sz w:val="28"/>
          <w:szCs w:val="28"/>
        </w:rPr>
      </w:pPr>
      <w:r w:rsidRPr="006C73FF">
        <w:rPr>
          <w:rStyle w:val="IntenseReference"/>
          <w:color w:val="auto"/>
          <w:sz w:val="28"/>
          <w:szCs w:val="28"/>
        </w:rPr>
        <w:t>Lessons</w:t>
      </w:r>
    </w:p>
    <w:p w14:paraId="69DDDBB3" w14:textId="7CC41F8E" w:rsidR="002239A5" w:rsidRPr="00C63A7C" w:rsidRDefault="002239A5" w:rsidP="002239A5">
      <w:pPr>
        <w:widowControl w:val="0"/>
        <w:rPr>
          <w:color w:val="auto"/>
        </w:rPr>
      </w:pPr>
      <w:r w:rsidRPr="00C63A7C">
        <w:rPr>
          <w:color w:val="auto"/>
        </w:rPr>
        <w:t xml:space="preserve">All projects reported that three years was </w:t>
      </w:r>
      <w:r w:rsidR="005038B5" w:rsidRPr="00C63A7C">
        <w:rPr>
          <w:color w:val="auto"/>
        </w:rPr>
        <w:t>a short</w:t>
      </w:r>
      <w:r w:rsidRPr="00C63A7C">
        <w:rPr>
          <w:color w:val="auto"/>
        </w:rPr>
        <w:t xml:space="preserve"> timeframe </w:t>
      </w:r>
      <w:r w:rsidR="00D57820" w:rsidRPr="00C63A7C">
        <w:rPr>
          <w:color w:val="auto"/>
        </w:rPr>
        <w:t xml:space="preserve">to </w:t>
      </w:r>
      <w:r w:rsidR="0031310F" w:rsidRPr="00C63A7C">
        <w:rPr>
          <w:color w:val="auto"/>
        </w:rPr>
        <w:t>substantially</w:t>
      </w:r>
      <w:r w:rsidRPr="00C63A7C">
        <w:rPr>
          <w:color w:val="auto"/>
        </w:rPr>
        <w:t xml:space="preserve"> change attitudes and behaviours. Some indications of change in attitudes were reported, but </w:t>
      </w:r>
      <w:r w:rsidRPr="00C63A7C">
        <w:rPr>
          <w:b/>
          <w:bCs/>
          <w:color w:val="auto"/>
        </w:rPr>
        <w:t>harmful attitudes often proved to be persistent</w:t>
      </w:r>
      <w:r w:rsidRPr="00C63A7C">
        <w:rPr>
          <w:color w:val="auto"/>
        </w:rPr>
        <w:t>:</w:t>
      </w:r>
    </w:p>
    <w:p w14:paraId="65CECEF7" w14:textId="77777777" w:rsidR="005F0FBD" w:rsidRPr="005F0FBD" w:rsidRDefault="005F0FBD" w:rsidP="005F0FBD">
      <w:pPr>
        <w:pStyle w:val="ListParagraph"/>
        <w:widowControl w:val="0"/>
        <w:rPr>
          <w:color w:val="808080"/>
        </w:rPr>
      </w:pPr>
    </w:p>
    <w:p w14:paraId="379F9EDE" w14:textId="77777777" w:rsidR="005F0FBD" w:rsidRPr="005F0FBD" w:rsidRDefault="005F0FBD" w:rsidP="005F0FBD">
      <w:pPr>
        <w:pStyle w:val="ListParagraph"/>
        <w:widowControl w:val="0"/>
        <w:rPr>
          <w:color w:val="808080"/>
        </w:rPr>
      </w:pPr>
    </w:p>
    <w:p w14:paraId="39F159B6" w14:textId="77777777" w:rsidR="005F0FBD" w:rsidRPr="005F0FBD" w:rsidRDefault="005F0FBD" w:rsidP="005F0FBD">
      <w:pPr>
        <w:pStyle w:val="ListParagraph"/>
        <w:widowControl w:val="0"/>
        <w:rPr>
          <w:color w:val="808080"/>
        </w:rPr>
      </w:pPr>
    </w:p>
    <w:p w14:paraId="173E5769" w14:textId="77777777" w:rsidR="005F0FBD" w:rsidRPr="005F0FBD" w:rsidRDefault="005F0FBD" w:rsidP="005F0FBD">
      <w:pPr>
        <w:pStyle w:val="ListParagraph"/>
        <w:widowControl w:val="0"/>
        <w:rPr>
          <w:color w:val="808080"/>
        </w:rPr>
      </w:pPr>
    </w:p>
    <w:p w14:paraId="1A34CAB4" w14:textId="77777777" w:rsidR="00C63A7C" w:rsidRPr="00C63A7C" w:rsidRDefault="00C63A7C" w:rsidP="00C63A7C">
      <w:pPr>
        <w:pStyle w:val="ListParagraph"/>
        <w:widowControl w:val="0"/>
        <w:rPr>
          <w:color w:val="808080"/>
        </w:rPr>
      </w:pPr>
    </w:p>
    <w:p w14:paraId="1F04BFB4" w14:textId="77777777" w:rsidR="00C63A7C" w:rsidRPr="00C63A7C" w:rsidRDefault="00C63A7C" w:rsidP="00C63A7C">
      <w:pPr>
        <w:pStyle w:val="ListParagraph"/>
        <w:widowControl w:val="0"/>
        <w:rPr>
          <w:color w:val="808080"/>
        </w:rPr>
      </w:pPr>
    </w:p>
    <w:p w14:paraId="549F3F8E" w14:textId="765110F7" w:rsidR="00E0512F" w:rsidRPr="00C63A7C" w:rsidRDefault="005038B5" w:rsidP="005F0FBD">
      <w:pPr>
        <w:pStyle w:val="ListParagraph"/>
        <w:widowControl w:val="0"/>
        <w:numPr>
          <w:ilvl w:val="0"/>
          <w:numId w:val="40"/>
        </w:numPr>
        <w:rPr>
          <w:color w:val="auto"/>
        </w:rPr>
      </w:pPr>
      <w:r w:rsidRPr="00C63A7C">
        <w:rPr>
          <w:b/>
          <w:bCs/>
          <w:color w:val="auto"/>
        </w:rPr>
        <w:t>World Vision</w:t>
      </w:r>
      <w:r w:rsidR="00D57820" w:rsidRPr="00C63A7C">
        <w:rPr>
          <w:b/>
          <w:bCs/>
          <w:color w:val="auto"/>
        </w:rPr>
        <w:t xml:space="preserve"> Australia</w:t>
      </w:r>
      <w:r w:rsidRPr="00C63A7C">
        <w:rPr>
          <w:color w:val="auto"/>
        </w:rPr>
        <w:t xml:space="preserve"> reported some</w:t>
      </w:r>
      <w:r w:rsidR="002239A5" w:rsidRPr="00C63A7C">
        <w:rPr>
          <w:color w:val="auto"/>
        </w:rPr>
        <w:t xml:space="preserve"> changes in attitudes regarding the acceptability of violence </w:t>
      </w:r>
    </w:p>
    <w:p w14:paraId="7F424647" w14:textId="59029F1F" w:rsidR="002239A5" w:rsidRPr="00C63A7C" w:rsidRDefault="002239A5" w:rsidP="005F0FBD">
      <w:pPr>
        <w:pStyle w:val="ListParagraph"/>
        <w:widowControl w:val="0"/>
        <w:rPr>
          <w:color w:val="auto"/>
        </w:rPr>
      </w:pPr>
      <w:r w:rsidRPr="00C63A7C">
        <w:rPr>
          <w:color w:val="auto"/>
        </w:rPr>
        <w:t>against women in PNG and Vanuatu</w:t>
      </w:r>
      <w:r w:rsidR="005038B5" w:rsidRPr="00C63A7C">
        <w:rPr>
          <w:color w:val="auto"/>
        </w:rPr>
        <w:t>. However,</w:t>
      </w:r>
      <w:r w:rsidRPr="00C63A7C">
        <w:rPr>
          <w:color w:val="auto"/>
        </w:rPr>
        <w:t xml:space="preserve"> a substantial proportion of program participants and change agents</w:t>
      </w:r>
      <w:r w:rsidR="005A60B6" w:rsidRPr="00C63A7C">
        <w:rPr>
          <w:color w:val="auto"/>
        </w:rPr>
        <w:t>, including violence counsellors</w:t>
      </w:r>
      <w:r w:rsidR="005038B5" w:rsidRPr="00C63A7C">
        <w:rPr>
          <w:color w:val="auto"/>
        </w:rPr>
        <w:t>,</w:t>
      </w:r>
      <w:r w:rsidRPr="00C63A7C">
        <w:rPr>
          <w:color w:val="auto"/>
        </w:rPr>
        <w:t xml:space="preserve"> still thought that there were instances in which it was acceptable for women to be beaten</w:t>
      </w:r>
      <w:r w:rsidR="005038B5" w:rsidRPr="00C63A7C">
        <w:rPr>
          <w:color w:val="auto"/>
        </w:rPr>
        <w:t xml:space="preserve">.  </w:t>
      </w:r>
      <w:r w:rsidRPr="00C63A7C">
        <w:rPr>
          <w:color w:val="auto"/>
        </w:rPr>
        <w:t xml:space="preserve"> </w:t>
      </w:r>
    </w:p>
    <w:p w14:paraId="2C8F1358" w14:textId="74AC6019" w:rsidR="002239A5" w:rsidRPr="00C63A7C" w:rsidRDefault="002239A5" w:rsidP="002239A5">
      <w:pPr>
        <w:pStyle w:val="ListParagraph"/>
        <w:widowControl w:val="0"/>
        <w:numPr>
          <w:ilvl w:val="0"/>
          <w:numId w:val="40"/>
        </w:numPr>
        <w:rPr>
          <w:color w:val="auto"/>
        </w:rPr>
      </w:pPr>
      <w:r w:rsidRPr="00C63A7C">
        <w:rPr>
          <w:b/>
          <w:bCs/>
          <w:color w:val="auto"/>
        </w:rPr>
        <w:t>ActionAid</w:t>
      </w:r>
      <w:r w:rsidRPr="00C63A7C">
        <w:rPr>
          <w:color w:val="auto"/>
        </w:rPr>
        <w:t xml:space="preserve"> </w:t>
      </w:r>
      <w:r w:rsidR="00D57820" w:rsidRPr="00C63A7C">
        <w:rPr>
          <w:b/>
          <w:bCs/>
          <w:color w:val="auto"/>
        </w:rPr>
        <w:t>Australia</w:t>
      </w:r>
      <w:r w:rsidR="00D57820" w:rsidRPr="00C63A7C">
        <w:rPr>
          <w:color w:val="auto"/>
        </w:rPr>
        <w:t xml:space="preserve"> </w:t>
      </w:r>
      <w:r w:rsidR="00AA7C2D" w:rsidRPr="00C63A7C">
        <w:rPr>
          <w:color w:val="auto"/>
        </w:rPr>
        <w:t>learned</w:t>
      </w:r>
      <w:r w:rsidRPr="00C63A7C">
        <w:rPr>
          <w:color w:val="auto"/>
        </w:rPr>
        <w:t xml:space="preserve"> that although female leaders felt a higher degree of trust from male leaders, Women continue</w:t>
      </w:r>
      <w:r w:rsidR="00AA7C2D" w:rsidRPr="00C63A7C">
        <w:rPr>
          <w:color w:val="auto"/>
        </w:rPr>
        <w:t>d</w:t>
      </w:r>
      <w:r w:rsidRPr="00C63A7C">
        <w:rPr>
          <w:color w:val="auto"/>
        </w:rPr>
        <w:t xml:space="preserve"> to face cultural barriers to their expanding leadership and advocacy roles due to the patriarchal </w:t>
      </w:r>
      <w:r w:rsidR="00AA7C2D" w:rsidRPr="00C63A7C">
        <w:rPr>
          <w:color w:val="auto"/>
        </w:rPr>
        <w:t>norms.</w:t>
      </w:r>
    </w:p>
    <w:p w14:paraId="01BFA78C" w14:textId="1A4AC204" w:rsidR="0031310F" w:rsidRPr="00C63A7C" w:rsidRDefault="00AA7C2D" w:rsidP="00E0512F">
      <w:pPr>
        <w:pStyle w:val="ListParagraph"/>
        <w:widowControl w:val="0"/>
        <w:numPr>
          <w:ilvl w:val="0"/>
          <w:numId w:val="40"/>
        </w:numPr>
        <w:rPr>
          <w:color w:val="auto"/>
        </w:rPr>
      </w:pPr>
      <w:r w:rsidRPr="00C63A7C">
        <w:rPr>
          <w:b/>
          <w:bCs/>
          <w:color w:val="auto"/>
        </w:rPr>
        <w:t>CARE</w:t>
      </w:r>
      <w:r w:rsidR="002239A5" w:rsidRPr="00C63A7C">
        <w:rPr>
          <w:b/>
          <w:bCs/>
          <w:color w:val="auto"/>
        </w:rPr>
        <w:t xml:space="preserve"> </w:t>
      </w:r>
      <w:r w:rsidR="00D57820" w:rsidRPr="00C63A7C">
        <w:rPr>
          <w:b/>
          <w:bCs/>
          <w:color w:val="auto"/>
        </w:rPr>
        <w:t xml:space="preserve">Australia </w:t>
      </w:r>
      <w:r w:rsidRPr="00C63A7C">
        <w:rPr>
          <w:color w:val="auto"/>
        </w:rPr>
        <w:t>found</w:t>
      </w:r>
      <w:r w:rsidR="002239A5" w:rsidRPr="00C63A7C">
        <w:rPr>
          <w:color w:val="auto"/>
        </w:rPr>
        <w:t xml:space="preserve"> that while there was a decrease in reported instances of sexual harassment following the CARE sexual harassment prevention project in factories, 40% of female workers in Myanmar still felt it would be risky to </w:t>
      </w:r>
      <w:r w:rsidR="00E9169F" w:rsidRPr="00C63A7C">
        <w:rPr>
          <w:color w:val="auto"/>
        </w:rPr>
        <w:t>act</w:t>
      </w:r>
      <w:r w:rsidR="002239A5" w:rsidRPr="00C63A7C">
        <w:rPr>
          <w:color w:val="auto"/>
        </w:rPr>
        <w:t xml:space="preserve"> against sexual harassment in their </w:t>
      </w:r>
      <w:r w:rsidRPr="00C63A7C">
        <w:rPr>
          <w:color w:val="auto"/>
        </w:rPr>
        <w:t>factories</w:t>
      </w:r>
      <w:r w:rsidR="002239A5" w:rsidRPr="00C63A7C">
        <w:rPr>
          <w:color w:val="auto"/>
        </w:rPr>
        <w:t xml:space="preserve">. </w:t>
      </w:r>
    </w:p>
    <w:p w14:paraId="23966365" w14:textId="6C65CDB6" w:rsidR="001C128C" w:rsidRPr="00C63A7C" w:rsidRDefault="002239A5" w:rsidP="001C128C">
      <w:pPr>
        <w:widowControl w:val="0"/>
        <w:spacing w:after="0"/>
        <w:jc w:val="both"/>
        <w:rPr>
          <w:color w:val="auto"/>
        </w:rPr>
      </w:pPr>
      <w:r w:rsidRPr="00C63A7C">
        <w:rPr>
          <w:color w:val="auto"/>
        </w:rPr>
        <w:t xml:space="preserve">Norm change programs need to be underpinned by </w:t>
      </w:r>
      <w:r w:rsidRPr="00C63A7C">
        <w:rPr>
          <w:b/>
          <w:bCs/>
          <w:color w:val="auto"/>
        </w:rPr>
        <w:t>robust</w:t>
      </w:r>
      <w:r w:rsidR="001C128C" w:rsidRPr="00C63A7C">
        <w:rPr>
          <w:b/>
          <w:bCs/>
          <w:color w:val="auto"/>
        </w:rPr>
        <w:t xml:space="preserve"> data collection processes</w:t>
      </w:r>
      <w:r w:rsidRPr="00C63A7C">
        <w:rPr>
          <w:color w:val="auto"/>
        </w:rPr>
        <w:t>. GAP projects</w:t>
      </w:r>
      <w:r w:rsidR="001C128C" w:rsidRPr="00C63A7C">
        <w:rPr>
          <w:color w:val="auto"/>
        </w:rPr>
        <w:t xml:space="preserve"> </w:t>
      </w:r>
      <w:r w:rsidRPr="00C63A7C">
        <w:rPr>
          <w:color w:val="auto"/>
        </w:rPr>
        <w:t xml:space="preserve">used </w:t>
      </w:r>
      <w:r w:rsidR="001C128C" w:rsidRPr="00C63A7C">
        <w:rPr>
          <w:color w:val="auto"/>
        </w:rPr>
        <w:t xml:space="preserve">knowledge, </w:t>
      </w:r>
      <w:proofErr w:type="gramStart"/>
      <w:r w:rsidR="001C128C" w:rsidRPr="00C63A7C">
        <w:rPr>
          <w:color w:val="auto"/>
        </w:rPr>
        <w:t>attitude</w:t>
      </w:r>
      <w:proofErr w:type="gramEnd"/>
      <w:r w:rsidR="001C128C" w:rsidRPr="00C63A7C">
        <w:rPr>
          <w:color w:val="auto"/>
        </w:rPr>
        <w:t xml:space="preserve"> and behaviour (or practice) surveys, and qualitative information, which is good practice.   However, many projects had methodological issues in data collection, such as </w:t>
      </w:r>
      <w:r w:rsidR="00AA7C2D" w:rsidRPr="00C63A7C">
        <w:rPr>
          <w:color w:val="auto"/>
        </w:rPr>
        <w:t>slightly different baseline and end-line questions</w:t>
      </w:r>
      <w:r w:rsidR="001C128C" w:rsidRPr="00C63A7C">
        <w:rPr>
          <w:color w:val="auto"/>
        </w:rPr>
        <w:t xml:space="preserve"> or inconsistent sampling. These issues made it difficult to report on percentage changes</w:t>
      </w:r>
      <w:r w:rsidRPr="00C63A7C">
        <w:rPr>
          <w:color w:val="auto"/>
        </w:rPr>
        <w:t xml:space="preserve"> in attitudes</w:t>
      </w:r>
      <w:r w:rsidR="001C128C" w:rsidRPr="00C63A7C">
        <w:rPr>
          <w:color w:val="auto"/>
        </w:rPr>
        <w:t xml:space="preserve">. </w:t>
      </w:r>
      <w:r w:rsidRPr="00C63A7C">
        <w:rPr>
          <w:color w:val="auto"/>
        </w:rPr>
        <w:t xml:space="preserve">Three of the six GAP projects worked with universities to support </w:t>
      </w:r>
      <w:r w:rsidR="00AA7C2D" w:rsidRPr="00C63A7C">
        <w:rPr>
          <w:color w:val="auto"/>
        </w:rPr>
        <w:t>longitudinal data</w:t>
      </w:r>
      <w:r w:rsidRPr="00C63A7C">
        <w:rPr>
          <w:color w:val="auto"/>
        </w:rPr>
        <w:t xml:space="preserve"> studies</w:t>
      </w:r>
      <w:r w:rsidR="00CB42C2" w:rsidRPr="00C63A7C">
        <w:rPr>
          <w:color w:val="auto"/>
        </w:rPr>
        <w:t>,</w:t>
      </w:r>
      <w:r w:rsidRPr="00C63A7C">
        <w:rPr>
          <w:color w:val="auto"/>
        </w:rPr>
        <w:t xml:space="preserve"> which demonstrated incremental attitude changes.</w:t>
      </w:r>
    </w:p>
    <w:p w14:paraId="5CCF67B0" w14:textId="4F8D2D25" w:rsidR="002239A5" w:rsidRPr="00C63A7C" w:rsidRDefault="005A60B6" w:rsidP="00CB42C2">
      <w:pPr>
        <w:rPr>
          <w:color w:val="auto"/>
        </w:rPr>
      </w:pPr>
      <w:r w:rsidRPr="00C63A7C">
        <w:rPr>
          <w:color w:val="auto"/>
        </w:rPr>
        <w:t>The theory of change is also crucial to norms change projects</w:t>
      </w:r>
      <w:r w:rsidR="00E0512F" w:rsidRPr="00C63A7C">
        <w:rPr>
          <w:color w:val="auto"/>
        </w:rPr>
        <w:t xml:space="preserve">. </w:t>
      </w:r>
      <w:r w:rsidR="002239A5" w:rsidRPr="00C63A7C">
        <w:rPr>
          <w:color w:val="auto"/>
        </w:rPr>
        <w:t xml:space="preserve">Some of the projects focused on </w:t>
      </w:r>
      <w:r w:rsidR="002239A5" w:rsidRPr="00C63A7C">
        <w:rPr>
          <w:b/>
          <w:bCs/>
          <w:color w:val="auto"/>
        </w:rPr>
        <w:t xml:space="preserve">expected </w:t>
      </w:r>
      <w:r w:rsidR="005038B5" w:rsidRPr="00C63A7C">
        <w:rPr>
          <w:b/>
          <w:bCs/>
          <w:color w:val="auto"/>
        </w:rPr>
        <w:t>attitudes</w:t>
      </w:r>
      <w:r w:rsidR="002239A5" w:rsidRPr="00C63A7C">
        <w:rPr>
          <w:b/>
          <w:bCs/>
          <w:color w:val="auto"/>
        </w:rPr>
        <w:t xml:space="preserve"> in primary </w:t>
      </w:r>
      <w:r w:rsidRPr="00C63A7C">
        <w:rPr>
          <w:b/>
          <w:bCs/>
          <w:color w:val="auto"/>
        </w:rPr>
        <w:t>change agents</w:t>
      </w:r>
      <w:r w:rsidR="002239A5" w:rsidRPr="00C63A7C">
        <w:rPr>
          <w:b/>
          <w:bCs/>
          <w:color w:val="auto"/>
        </w:rPr>
        <w:t xml:space="preserve"> </w:t>
      </w:r>
      <w:r w:rsidR="002239A5" w:rsidRPr="00C63A7C">
        <w:rPr>
          <w:color w:val="auto"/>
        </w:rPr>
        <w:t>such as private sector organisations and government officials</w:t>
      </w:r>
      <w:r w:rsidR="00AA7C2D" w:rsidRPr="00C63A7C">
        <w:rPr>
          <w:color w:val="auto"/>
        </w:rPr>
        <w:t>,</w:t>
      </w:r>
      <w:r w:rsidRPr="00C63A7C">
        <w:rPr>
          <w:color w:val="auto"/>
        </w:rPr>
        <w:t xml:space="preserve"> </w:t>
      </w:r>
      <w:r w:rsidR="00CB42C2" w:rsidRPr="00C63A7C">
        <w:rPr>
          <w:color w:val="auto"/>
        </w:rPr>
        <w:t>along with</w:t>
      </w:r>
      <w:r w:rsidRPr="00C63A7C">
        <w:rPr>
          <w:color w:val="auto"/>
        </w:rPr>
        <w:t xml:space="preserve"> </w:t>
      </w:r>
      <w:r w:rsidR="005038B5" w:rsidRPr="00C63A7C">
        <w:rPr>
          <w:color w:val="auto"/>
        </w:rPr>
        <w:t xml:space="preserve">attitude </w:t>
      </w:r>
      <w:r w:rsidRPr="00C63A7C">
        <w:rPr>
          <w:color w:val="auto"/>
        </w:rPr>
        <w:t>changes expected in project participants</w:t>
      </w:r>
      <w:r w:rsidR="002239A5" w:rsidRPr="00C63A7C">
        <w:rPr>
          <w:color w:val="auto"/>
        </w:rPr>
        <w:t xml:space="preserve">.  Including </w:t>
      </w:r>
      <w:r w:rsidR="00CB42C2" w:rsidRPr="00C63A7C">
        <w:rPr>
          <w:color w:val="auto"/>
        </w:rPr>
        <w:t xml:space="preserve">the </w:t>
      </w:r>
      <w:r w:rsidR="0031310F" w:rsidRPr="00C63A7C">
        <w:rPr>
          <w:color w:val="auto"/>
        </w:rPr>
        <w:t xml:space="preserve">expected attitude of change agents </w:t>
      </w:r>
      <w:r w:rsidR="002239A5" w:rsidRPr="00C63A7C">
        <w:rPr>
          <w:color w:val="auto"/>
        </w:rPr>
        <w:t xml:space="preserve">is essential because the attitudes and behaviours of </w:t>
      </w:r>
      <w:r w:rsidR="0031310F" w:rsidRPr="00C63A7C">
        <w:rPr>
          <w:color w:val="auto"/>
        </w:rPr>
        <w:t>change agents</w:t>
      </w:r>
      <w:r w:rsidR="002239A5" w:rsidRPr="00C63A7C">
        <w:rPr>
          <w:color w:val="auto"/>
        </w:rPr>
        <w:t xml:space="preserve"> influence the attitudes of project participants. Many projects also measured the attitudes of project staff</w:t>
      </w:r>
      <w:r w:rsidRPr="00C63A7C">
        <w:rPr>
          <w:color w:val="auto"/>
        </w:rPr>
        <w:t xml:space="preserve"> which is good practice.</w:t>
      </w:r>
    </w:p>
    <w:p w14:paraId="3C111693" w14:textId="1043A74E" w:rsidR="00B47C28" w:rsidRPr="00C63A7C" w:rsidRDefault="00B47C28" w:rsidP="00B47C28">
      <w:pPr>
        <w:rPr>
          <w:color w:val="auto"/>
        </w:rPr>
      </w:pPr>
      <w:r w:rsidRPr="00C63A7C">
        <w:rPr>
          <w:color w:val="auto"/>
        </w:rPr>
        <w:t xml:space="preserve">GAP projects documented challenges in </w:t>
      </w:r>
      <w:r w:rsidRPr="00C63A7C">
        <w:rPr>
          <w:b/>
          <w:bCs/>
          <w:color w:val="auto"/>
        </w:rPr>
        <w:t>balancing exposure versus reach for training activities</w:t>
      </w:r>
      <w:r w:rsidRPr="00C63A7C">
        <w:rPr>
          <w:color w:val="auto"/>
        </w:rPr>
        <w:t xml:space="preserve"> aimed to </w:t>
      </w:r>
      <w:r w:rsidR="004233DB" w:rsidRPr="00C63A7C">
        <w:rPr>
          <w:color w:val="auto"/>
        </w:rPr>
        <w:t>change attitudes</w:t>
      </w:r>
      <w:r w:rsidRPr="00C63A7C">
        <w:rPr>
          <w:color w:val="auto"/>
        </w:rPr>
        <w:t xml:space="preserve">. That is, whether to target </w:t>
      </w:r>
      <w:proofErr w:type="gramStart"/>
      <w:r w:rsidRPr="00C63A7C">
        <w:rPr>
          <w:color w:val="auto"/>
        </w:rPr>
        <w:t>a large number of</w:t>
      </w:r>
      <w:proofErr w:type="gramEnd"/>
      <w:r w:rsidRPr="00C63A7C">
        <w:rPr>
          <w:color w:val="auto"/>
        </w:rPr>
        <w:t xml:space="preserve"> training participants (high reach) or to work with few training participants and work more intensively (high exposure). GAP projects found that it was more</w:t>
      </w:r>
      <w:r w:rsidR="004233DB" w:rsidRPr="00C63A7C">
        <w:rPr>
          <w:color w:val="auto"/>
        </w:rPr>
        <w:t xml:space="preserve"> effective</w:t>
      </w:r>
      <w:r w:rsidRPr="00C63A7C">
        <w:rPr>
          <w:color w:val="auto"/>
        </w:rPr>
        <w:t xml:space="preserve"> to focus on a smaller group of people because grasping the </w:t>
      </w:r>
      <w:r w:rsidR="00CB42C2" w:rsidRPr="00C63A7C">
        <w:rPr>
          <w:color w:val="auto"/>
        </w:rPr>
        <w:t>fundamental</w:t>
      </w:r>
      <w:r w:rsidRPr="00C63A7C">
        <w:rPr>
          <w:color w:val="auto"/>
        </w:rPr>
        <w:t xml:space="preserve"> concepts of gender equality and then </w:t>
      </w:r>
      <w:r w:rsidR="00CB42C2" w:rsidRPr="00C63A7C">
        <w:rPr>
          <w:color w:val="auto"/>
        </w:rPr>
        <w:t>applying</w:t>
      </w:r>
      <w:r w:rsidRPr="00C63A7C">
        <w:rPr>
          <w:color w:val="auto"/>
        </w:rPr>
        <w:t xml:space="preserve"> them takes time. </w:t>
      </w:r>
    </w:p>
    <w:p w14:paraId="7DFF7C47" w14:textId="17F25715" w:rsidR="001C128C" w:rsidRPr="006C73FF" w:rsidRDefault="001C128C" w:rsidP="001C128C">
      <w:pPr>
        <w:widowControl w:val="0"/>
        <w:rPr>
          <w:rStyle w:val="IntenseReference"/>
          <w:color w:val="auto"/>
          <w:sz w:val="28"/>
          <w:szCs w:val="28"/>
        </w:rPr>
      </w:pPr>
      <w:r w:rsidRPr="006C73FF">
        <w:rPr>
          <w:rStyle w:val="IntenseReference"/>
          <w:color w:val="auto"/>
          <w:sz w:val="28"/>
          <w:szCs w:val="28"/>
        </w:rPr>
        <w:t xml:space="preserve">Recommendations </w:t>
      </w:r>
    </w:p>
    <w:p w14:paraId="0CF1CBF7" w14:textId="10A87BE1" w:rsidR="005A60B6" w:rsidRPr="00C63A7C" w:rsidRDefault="001C128C" w:rsidP="00CB42C2">
      <w:pPr>
        <w:rPr>
          <w:color w:val="auto"/>
        </w:rPr>
      </w:pPr>
      <w:r w:rsidRPr="00C63A7C">
        <w:rPr>
          <w:color w:val="auto"/>
        </w:rPr>
        <w:t xml:space="preserve">NGOs </w:t>
      </w:r>
      <w:r w:rsidR="005A60B6" w:rsidRPr="00C63A7C">
        <w:rPr>
          <w:color w:val="auto"/>
        </w:rPr>
        <w:t>can improve norms change projects through</w:t>
      </w:r>
      <w:r w:rsidR="00DF550F" w:rsidRPr="00C63A7C">
        <w:rPr>
          <w:color w:val="auto"/>
        </w:rPr>
        <w:t>:</w:t>
      </w:r>
    </w:p>
    <w:p w14:paraId="202C5928" w14:textId="7584E269" w:rsidR="00931DF7" w:rsidRPr="00C63A7C" w:rsidRDefault="00931DF7" w:rsidP="00931DF7">
      <w:pPr>
        <w:pStyle w:val="ListParagraph"/>
        <w:numPr>
          <w:ilvl w:val="0"/>
          <w:numId w:val="42"/>
        </w:numPr>
        <w:rPr>
          <w:color w:val="auto"/>
        </w:rPr>
      </w:pPr>
      <w:r w:rsidRPr="00C63A7C">
        <w:rPr>
          <w:b/>
          <w:bCs/>
          <w:color w:val="auto"/>
        </w:rPr>
        <w:t>Gender analysis</w:t>
      </w:r>
      <w:r w:rsidRPr="00C63A7C">
        <w:rPr>
          <w:color w:val="auto"/>
        </w:rPr>
        <w:t xml:space="preserve"> to understand norms, </w:t>
      </w:r>
      <w:proofErr w:type="gramStart"/>
      <w:r w:rsidRPr="00C63A7C">
        <w:rPr>
          <w:color w:val="auto"/>
        </w:rPr>
        <w:t>attitudes</w:t>
      </w:r>
      <w:proofErr w:type="gramEnd"/>
      <w:r w:rsidRPr="00C63A7C">
        <w:rPr>
          <w:color w:val="auto"/>
        </w:rPr>
        <w:t xml:space="preserve"> and behaviours within the context.</w:t>
      </w:r>
    </w:p>
    <w:p w14:paraId="4FBE2938" w14:textId="4771C3A6" w:rsidR="00931DF7" w:rsidRPr="00C63A7C" w:rsidRDefault="001C128C" w:rsidP="00CB42C2">
      <w:pPr>
        <w:pStyle w:val="ListParagraph"/>
        <w:numPr>
          <w:ilvl w:val="0"/>
          <w:numId w:val="42"/>
        </w:numPr>
        <w:rPr>
          <w:color w:val="auto"/>
        </w:rPr>
      </w:pPr>
      <w:r w:rsidRPr="00C63A7C">
        <w:rPr>
          <w:color w:val="auto"/>
        </w:rPr>
        <w:t>Ensur</w:t>
      </w:r>
      <w:r w:rsidR="005A60B6" w:rsidRPr="00C63A7C">
        <w:rPr>
          <w:color w:val="auto"/>
        </w:rPr>
        <w:t>e</w:t>
      </w:r>
      <w:r w:rsidRPr="00C63A7C">
        <w:rPr>
          <w:color w:val="auto"/>
        </w:rPr>
        <w:t xml:space="preserve"> that </w:t>
      </w:r>
      <w:r w:rsidRPr="00C63A7C">
        <w:rPr>
          <w:b/>
          <w:bCs/>
          <w:color w:val="auto"/>
        </w:rPr>
        <w:t>project designs</w:t>
      </w:r>
      <w:r w:rsidRPr="00C63A7C">
        <w:rPr>
          <w:color w:val="auto"/>
        </w:rPr>
        <w:t xml:space="preserve"> </w:t>
      </w:r>
      <w:r w:rsidR="005038B5" w:rsidRPr="00C63A7C">
        <w:rPr>
          <w:b/>
          <w:bCs/>
          <w:color w:val="auto"/>
        </w:rPr>
        <w:t>include expected</w:t>
      </w:r>
      <w:r w:rsidR="005038B5" w:rsidRPr="00C63A7C">
        <w:rPr>
          <w:color w:val="auto"/>
        </w:rPr>
        <w:t xml:space="preserve"> </w:t>
      </w:r>
      <w:r w:rsidRPr="00C63A7C">
        <w:rPr>
          <w:b/>
          <w:bCs/>
          <w:color w:val="auto"/>
        </w:rPr>
        <w:t xml:space="preserve">attitudes and behaviours of key </w:t>
      </w:r>
      <w:r w:rsidR="005A60B6" w:rsidRPr="00C63A7C">
        <w:rPr>
          <w:b/>
          <w:bCs/>
          <w:color w:val="auto"/>
        </w:rPr>
        <w:t>change agents</w:t>
      </w:r>
      <w:r w:rsidR="005A60B6" w:rsidRPr="00C63A7C">
        <w:rPr>
          <w:color w:val="auto"/>
        </w:rPr>
        <w:t xml:space="preserve"> (teachers, government staff, violence support service providers) </w:t>
      </w:r>
      <w:r w:rsidR="005038B5" w:rsidRPr="00C63A7C">
        <w:rPr>
          <w:color w:val="auto"/>
        </w:rPr>
        <w:t>in</w:t>
      </w:r>
      <w:r w:rsidRPr="00C63A7C">
        <w:rPr>
          <w:color w:val="auto"/>
        </w:rPr>
        <w:t xml:space="preserve"> theories of change </w:t>
      </w:r>
      <w:r w:rsidR="00CB42C2" w:rsidRPr="00C63A7C">
        <w:rPr>
          <w:color w:val="auto"/>
        </w:rPr>
        <w:t>along with</w:t>
      </w:r>
      <w:r w:rsidRPr="00C63A7C">
        <w:rPr>
          <w:color w:val="auto"/>
        </w:rPr>
        <w:t xml:space="preserve"> </w:t>
      </w:r>
      <w:r w:rsidR="005038B5" w:rsidRPr="00C63A7C">
        <w:rPr>
          <w:color w:val="auto"/>
        </w:rPr>
        <w:t xml:space="preserve">staff and </w:t>
      </w:r>
      <w:r w:rsidRPr="00C63A7C">
        <w:rPr>
          <w:color w:val="auto"/>
        </w:rPr>
        <w:t>project participants.</w:t>
      </w:r>
      <w:r w:rsidR="00931DF7" w:rsidRPr="00C63A7C">
        <w:rPr>
          <w:color w:val="auto"/>
        </w:rPr>
        <w:t xml:space="preserve">  </w:t>
      </w:r>
    </w:p>
    <w:p w14:paraId="11417905" w14:textId="580FB94F" w:rsidR="00931DF7" w:rsidRPr="00C63A7C" w:rsidRDefault="005A60B6" w:rsidP="00931DF7">
      <w:pPr>
        <w:pStyle w:val="ListParagraph"/>
        <w:numPr>
          <w:ilvl w:val="0"/>
          <w:numId w:val="42"/>
        </w:numPr>
        <w:spacing w:after="0"/>
        <w:jc w:val="both"/>
        <w:rPr>
          <w:color w:val="auto"/>
        </w:rPr>
      </w:pPr>
      <w:r w:rsidRPr="00C63A7C">
        <w:rPr>
          <w:color w:val="auto"/>
        </w:rPr>
        <w:t xml:space="preserve">Invest in staff training on </w:t>
      </w:r>
      <w:r w:rsidRPr="00C63A7C">
        <w:rPr>
          <w:b/>
          <w:bCs/>
          <w:color w:val="auto"/>
        </w:rPr>
        <w:t>data collection</w:t>
      </w:r>
      <w:r w:rsidRPr="00C63A7C">
        <w:rPr>
          <w:color w:val="auto"/>
        </w:rPr>
        <w:t xml:space="preserve"> to measure changes in knowledge, attitudes, and behaviours related to gender equality or get support from </w:t>
      </w:r>
      <w:r w:rsidR="00931DF7" w:rsidRPr="00C63A7C">
        <w:rPr>
          <w:color w:val="auto"/>
        </w:rPr>
        <w:t>universities</w:t>
      </w:r>
      <w:r w:rsidRPr="00C63A7C">
        <w:rPr>
          <w:color w:val="auto"/>
        </w:rPr>
        <w:t xml:space="preserve"> or </w:t>
      </w:r>
      <w:r w:rsidR="005038B5" w:rsidRPr="00C63A7C">
        <w:rPr>
          <w:color w:val="auto"/>
        </w:rPr>
        <w:t>specialist</w:t>
      </w:r>
      <w:r w:rsidRPr="00C63A7C">
        <w:rPr>
          <w:color w:val="auto"/>
        </w:rPr>
        <w:t xml:space="preserve"> research organisations.</w:t>
      </w:r>
      <w:r w:rsidR="00931DF7" w:rsidRPr="00C63A7C">
        <w:rPr>
          <w:color w:val="auto"/>
        </w:rPr>
        <w:t xml:space="preserve">  Results may demonstrate that attitudes do not change quickly</w:t>
      </w:r>
      <w:r w:rsidR="00CB42C2" w:rsidRPr="00C63A7C">
        <w:rPr>
          <w:color w:val="auto"/>
        </w:rPr>
        <w:t>,</w:t>
      </w:r>
      <w:r w:rsidR="00931DF7" w:rsidRPr="00C63A7C">
        <w:rPr>
          <w:color w:val="auto"/>
        </w:rPr>
        <w:t xml:space="preserve"> and interventions need to be continually adapted.</w:t>
      </w:r>
    </w:p>
    <w:p w14:paraId="6CB2884A" w14:textId="14A4C19D" w:rsidR="00931DF7" w:rsidRPr="00C63A7C" w:rsidRDefault="00931DF7" w:rsidP="00931DF7">
      <w:pPr>
        <w:pStyle w:val="ListParagraph"/>
        <w:numPr>
          <w:ilvl w:val="0"/>
          <w:numId w:val="42"/>
        </w:numPr>
        <w:rPr>
          <w:color w:val="auto"/>
        </w:rPr>
      </w:pPr>
      <w:r w:rsidRPr="00C63A7C">
        <w:rPr>
          <w:color w:val="auto"/>
        </w:rPr>
        <w:t xml:space="preserve">Focusing </w:t>
      </w:r>
      <w:r w:rsidRPr="00C63A7C">
        <w:rPr>
          <w:b/>
          <w:bCs/>
          <w:color w:val="auto"/>
        </w:rPr>
        <w:t>intensely on fewer target groups and/or locations</w:t>
      </w:r>
      <w:r w:rsidRPr="00C63A7C">
        <w:rPr>
          <w:color w:val="auto"/>
        </w:rPr>
        <w:t xml:space="preserve"> rather than spreading project resources thinly across many communities.</w:t>
      </w:r>
    </w:p>
    <w:p w14:paraId="2FECCE65" w14:textId="7F253F41" w:rsidR="002356C0" w:rsidRPr="00C63A7C" w:rsidRDefault="00931DF7" w:rsidP="00D579FD">
      <w:pPr>
        <w:pStyle w:val="ListParagraph"/>
        <w:numPr>
          <w:ilvl w:val="0"/>
          <w:numId w:val="42"/>
        </w:numPr>
        <w:rPr>
          <w:color w:val="auto"/>
        </w:rPr>
      </w:pPr>
      <w:r w:rsidRPr="00C63A7C">
        <w:rPr>
          <w:b/>
          <w:bCs/>
          <w:color w:val="auto"/>
        </w:rPr>
        <w:t>Consider resistance and backlash</w:t>
      </w:r>
      <w:r w:rsidRPr="00C63A7C">
        <w:rPr>
          <w:color w:val="auto"/>
        </w:rPr>
        <w:t>. Challenging norms can result in violent backlash.  Recommendations for managing resistance and backlash are included in the GAP Engaging</w:t>
      </w:r>
      <w:r w:rsidR="00DF550F" w:rsidRPr="00C63A7C">
        <w:rPr>
          <w:color w:val="auto"/>
        </w:rPr>
        <w:t xml:space="preserve"> Men and </w:t>
      </w:r>
      <w:r w:rsidRPr="00C63A7C">
        <w:rPr>
          <w:color w:val="auto"/>
        </w:rPr>
        <w:t>Boys summary.</w:t>
      </w:r>
    </w:p>
    <w:sectPr w:rsidR="002356C0" w:rsidRPr="00C63A7C" w:rsidSect="00BF795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418" w:left="1134" w:header="425" w:footer="49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C0FDD" w14:textId="77777777" w:rsidR="00065A58" w:rsidRDefault="00065A58" w:rsidP="00D37B04">
      <w:r>
        <w:separator/>
      </w:r>
    </w:p>
  </w:endnote>
  <w:endnote w:type="continuationSeparator" w:id="0">
    <w:p w14:paraId="110188EC" w14:textId="77777777" w:rsidR="00065A58" w:rsidRDefault="00065A58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A26EE" w14:textId="77777777" w:rsidR="00E9169F" w:rsidRPr="00FC322F" w:rsidRDefault="00E9169F" w:rsidP="00FC322F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1AD140D8" wp14:editId="68B165B9">
          <wp:extent cx="108000" cy="87480"/>
          <wp:effectExtent l="0" t="0" r="6350" b="8255"/>
          <wp:docPr id="35" name="Picture 35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3A7C">
      <w:rPr>
        <w:b/>
        <w:color w:val="auto"/>
      </w:rPr>
      <w:t>@</w:t>
    </w:r>
    <w:proofErr w:type="gramStart"/>
    <w:r w:rsidRPr="00C63A7C">
      <w:rPr>
        <w:b/>
        <w:color w:val="auto"/>
      </w:rPr>
      <w:t xml:space="preserve">DFAT  </w:t>
    </w:r>
    <w:r w:rsidRPr="00C63A7C">
      <w:rPr>
        <w:rStyle w:val="Green"/>
        <w:b/>
        <w:color w:val="auto"/>
      </w:rPr>
      <w:t>DFAT.GOV.AU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0E53A" w14:textId="77777777" w:rsidR="00E9169F" w:rsidRPr="00FC322F" w:rsidRDefault="00E9169F" w:rsidP="00FC322F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5290BF53" wp14:editId="1608BB28">
          <wp:extent cx="108000" cy="87480"/>
          <wp:effectExtent l="0" t="0" r="6350" b="8255"/>
          <wp:docPr id="38" name="Picture 38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3A7C">
      <w:rPr>
        <w:b/>
        <w:color w:val="auto"/>
      </w:rPr>
      <w:t>@</w:t>
    </w:r>
    <w:proofErr w:type="gramStart"/>
    <w:r w:rsidRPr="00C63A7C">
      <w:rPr>
        <w:b/>
        <w:color w:val="auto"/>
      </w:rPr>
      <w:t xml:space="preserve">DFAT  </w:t>
    </w:r>
    <w:r w:rsidRPr="00C63A7C">
      <w:rPr>
        <w:rStyle w:val="Green"/>
        <w:b/>
        <w:color w:val="auto"/>
      </w:rPr>
      <w:t>DFAT.GOV.AU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0C1FA" w14:textId="77777777" w:rsidR="00065A58" w:rsidRPr="008C5A0E" w:rsidRDefault="00065A58" w:rsidP="00D37B04">
      <w:pPr>
        <w:pStyle w:val="Footer"/>
      </w:pPr>
    </w:p>
  </w:footnote>
  <w:footnote w:type="continuationSeparator" w:id="0">
    <w:p w14:paraId="76B54BF9" w14:textId="77777777" w:rsidR="00065A58" w:rsidRDefault="00065A58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2517" w14:textId="77777777" w:rsidR="00E9169F" w:rsidRDefault="00E9169F" w:rsidP="002D5B25">
    <w:pPr>
      <w:pStyle w:val="Header"/>
    </w:pPr>
    <w:r w:rsidRPr="00C63A7C">
      <w:rPr>
        <w:color w:val="auto"/>
      </w:rPr>
      <w:t>june 2021</w:t>
    </w:r>
  </w:p>
  <w:p w14:paraId="67C94208" w14:textId="70A89251" w:rsidR="00E9169F" w:rsidRPr="000854FD" w:rsidRDefault="00E9169F" w:rsidP="002D5B25">
    <w:pPr>
      <w:pStyle w:val="Header"/>
    </w:pPr>
    <w:r>
      <w:ptab w:relativeTo="margin" w:alignment="center" w:leader="none"/>
    </w:r>
    <w:r w:rsidRPr="00252C04">
      <w:rPr>
        <w:noProof/>
        <w:lang w:val="en-AU" w:eastAsia="en-AU"/>
      </w:rPr>
      <w:drawing>
        <wp:anchor distT="0" distB="0" distL="114300" distR="114300" simplePos="0" relativeHeight="251668480" behindDoc="1" locked="1" layoutInCell="1" allowOverlap="1" wp14:anchorId="0C16D6D7" wp14:editId="4392FADB">
          <wp:simplePos x="0" y="0"/>
          <wp:positionH relativeFrom="margin">
            <wp:align>right</wp:align>
          </wp:positionH>
          <wp:positionV relativeFrom="page">
            <wp:posOffset>902335</wp:posOffset>
          </wp:positionV>
          <wp:extent cx="1115060" cy="512445"/>
          <wp:effectExtent l="0" t="0" r="8890" b="1905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4B5EA755" wp14:editId="78AE863C">
          <wp:simplePos x="0" y="0"/>
          <wp:positionH relativeFrom="margin">
            <wp:align>left</wp:align>
          </wp:positionH>
          <wp:positionV relativeFrom="page">
            <wp:posOffset>878205</wp:posOffset>
          </wp:positionV>
          <wp:extent cx="3166745" cy="554355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4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1" wp14:anchorId="2BFBBECE" wp14:editId="628605F0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765"/>
          <wp:effectExtent l="0" t="0" r="3810" b="0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28D54" w14:textId="31580DD3" w:rsidR="00E9169F" w:rsidRPr="00943730" w:rsidRDefault="00E9169F" w:rsidP="00943730">
    <w:pPr>
      <w:pStyle w:val="Header"/>
    </w:pPr>
    <w:r w:rsidRPr="00252C04"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78986071" wp14:editId="4A9EB4E8">
          <wp:simplePos x="0" y="0"/>
          <wp:positionH relativeFrom="page">
            <wp:posOffset>5724525</wp:posOffset>
          </wp:positionH>
          <wp:positionV relativeFrom="page">
            <wp:posOffset>918210</wp:posOffset>
          </wp:positionV>
          <wp:extent cx="1115640" cy="512640"/>
          <wp:effectExtent l="0" t="0" r="8890" b="1905"/>
          <wp:wrapNone/>
          <wp:docPr id="60" name="Picture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40" cy="51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57216" behindDoc="1" locked="1" layoutInCell="1" allowOverlap="1" wp14:anchorId="32D19AEF" wp14:editId="458F17A0">
          <wp:simplePos x="0" y="0"/>
          <wp:positionH relativeFrom="page">
            <wp:posOffset>720090</wp:posOffset>
          </wp:positionH>
          <wp:positionV relativeFrom="page">
            <wp:posOffset>882015</wp:posOffset>
          </wp:positionV>
          <wp:extent cx="3166920" cy="554400"/>
          <wp:effectExtent l="0" t="0" r="0" b="0"/>
          <wp:wrapNone/>
          <wp:docPr id="36" name="Picture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2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56192" behindDoc="1" locked="1" layoutInCell="1" allowOverlap="1" wp14:anchorId="3DE9F33C" wp14:editId="271C6B2C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37" name="Picture 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33A">
      <w:rPr>
        <w:color w:val="auto"/>
      </w:rPr>
      <w:t>June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F6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2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E2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4C4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00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AF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967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147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07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48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05B12"/>
    <w:multiLevelType w:val="hybridMultilevel"/>
    <w:tmpl w:val="3AA65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C7097C"/>
    <w:multiLevelType w:val="multilevel"/>
    <w:tmpl w:val="32A8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1D20A84"/>
    <w:multiLevelType w:val="hybridMultilevel"/>
    <w:tmpl w:val="19ECB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A5C7E"/>
    <w:multiLevelType w:val="hybridMultilevel"/>
    <w:tmpl w:val="0FC6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53D9F"/>
    <w:multiLevelType w:val="multilevel"/>
    <w:tmpl w:val="A6FA45D0"/>
    <w:numStyleLink w:val="BulletsList"/>
  </w:abstractNum>
  <w:abstractNum w:abstractNumId="19" w15:restartNumberingAfterBreak="0">
    <w:nsid w:val="57104563"/>
    <w:multiLevelType w:val="hybridMultilevel"/>
    <w:tmpl w:val="DB8E73C2"/>
    <w:lvl w:ilvl="0" w:tplc="BC0E1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5C9D33FD"/>
    <w:multiLevelType w:val="hybridMultilevel"/>
    <w:tmpl w:val="4B38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C1EA7"/>
    <w:multiLevelType w:val="multilevel"/>
    <w:tmpl w:val="A6FA45D0"/>
    <w:numStyleLink w:val="BulletsList"/>
  </w:abstractNum>
  <w:abstractNum w:abstractNumId="23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4" w15:restartNumberingAfterBreak="0">
    <w:nsid w:val="62437CB2"/>
    <w:multiLevelType w:val="hybridMultilevel"/>
    <w:tmpl w:val="32A2C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A4272"/>
    <w:multiLevelType w:val="hybridMultilevel"/>
    <w:tmpl w:val="C6C87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07305"/>
    <w:multiLevelType w:val="multilevel"/>
    <w:tmpl w:val="A6FA45D0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5173D05"/>
    <w:multiLevelType w:val="hybridMultilevel"/>
    <w:tmpl w:val="30464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5"/>
  </w:num>
  <w:num w:numId="23">
    <w:abstractNumId w:val="15"/>
  </w:num>
  <w:num w:numId="24">
    <w:abstractNumId w:val="22"/>
  </w:num>
  <w:num w:numId="25">
    <w:abstractNumId w:val="22"/>
  </w:num>
  <w:num w:numId="26">
    <w:abstractNumId w:val="22"/>
  </w:num>
  <w:num w:numId="27">
    <w:abstractNumId w:val="20"/>
  </w:num>
  <w:num w:numId="28">
    <w:abstractNumId w:val="11"/>
  </w:num>
  <w:num w:numId="29">
    <w:abstractNumId w:val="11"/>
  </w:num>
  <w:num w:numId="30">
    <w:abstractNumId w:val="11"/>
  </w:num>
  <w:num w:numId="31">
    <w:abstractNumId w:val="14"/>
  </w:num>
  <w:num w:numId="32">
    <w:abstractNumId w:val="28"/>
  </w:num>
  <w:num w:numId="33">
    <w:abstractNumId w:val="18"/>
  </w:num>
  <w:num w:numId="34">
    <w:abstractNumId w:val="25"/>
  </w:num>
  <w:num w:numId="35">
    <w:abstractNumId w:val="13"/>
  </w:num>
  <w:num w:numId="36">
    <w:abstractNumId w:val="21"/>
  </w:num>
  <w:num w:numId="37">
    <w:abstractNumId w:val="17"/>
  </w:num>
  <w:num w:numId="38">
    <w:abstractNumId w:val="24"/>
  </w:num>
  <w:num w:numId="39">
    <w:abstractNumId w:val="19"/>
  </w:num>
  <w:num w:numId="40">
    <w:abstractNumId w:val="10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38"/>
    <w:rsid w:val="00000997"/>
    <w:rsid w:val="00000F38"/>
    <w:rsid w:val="00001DA8"/>
    <w:rsid w:val="000020C1"/>
    <w:rsid w:val="0001233A"/>
    <w:rsid w:val="0002080A"/>
    <w:rsid w:val="0002782F"/>
    <w:rsid w:val="00035BBF"/>
    <w:rsid w:val="00050774"/>
    <w:rsid w:val="00050806"/>
    <w:rsid w:val="000546D9"/>
    <w:rsid w:val="00054E4D"/>
    <w:rsid w:val="00056E9C"/>
    <w:rsid w:val="00060073"/>
    <w:rsid w:val="000616C6"/>
    <w:rsid w:val="00065A58"/>
    <w:rsid w:val="000854FD"/>
    <w:rsid w:val="000B1EAC"/>
    <w:rsid w:val="000B37F5"/>
    <w:rsid w:val="000C1192"/>
    <w:rsid w:val="000D04BB"/>
    <w:rsid w:val="000D66D6"/>
    <w:rsid w:val="00113288"/>
    <w:rsid w:val="001214BE"/>
    <w:rsid w:val="0012626A"/>
    <w:rsid w:val="0013101C"/>
    <w:rsid w:val="00137D28"/>
    <w:rsid w:val="001461D6"/>
    <w:rsid w:val="001541EA"/>
    <w:rsid w:val="00157FCF"/>
    <w:rsid w:val="001C128C"/>
    <w:rsid w:val="001D118D"/>
    <w:rsid w:val="001D663E"/>
    <w:rsid w:val="001E1DC0"/>
    <w:rsid w:val="001E2587"/>
    <w:rsid w:val="00203277"/>
    <w:rsid w:val="00205B2E"/>
    <w:rsid w:val="002239A5"/>
    <w:rsid w:val="00233A0A"/>
    <w:rsid w:val="002356C0"/>
    <w:rsid w:val="002407F1"/>
    <w:rsid w:val="00252C04"/>
    <w:rsid w:val="0027347A"/>
    <w:rsid w:val="00283DF9"/>
    <w:rsid w:val="0028602A"/>
    <w:rsid w:val="002B5E10"/>
    <w:rsid w:val="002C793D"/>
    <w:rsid w:val="002D5B25"/>
    <w:rsid w:val="002D6207"/>
    <w:rsid w:val="002F4F2B"/>
    <w:rsid w:val="003002C0"/>
    <w:rsid w:val="00301144"/>
    <w:rsid w:val="003031C6"/>
    <w:rsid w:val="003031E8"/>
    <w:rsid w:val="00304984"/>
    <w:rsid w:val="00312BF8"/>
    <w:rsid w:val="0031310F"/>
    <w:rsid w:val="003148B7"/>
    <w:rsid w:val="003158C3"/>
    <w:rsid w:val="003274CD"/>
    <w:rsid w:val="00333501"/>
    <w:rsid w:val="003457C4"/>
    <w:rsid w:val="00345E9E"/>
    <w:rsid w:val="0035119D"/>
    <w:rsid w:val="003639EC"/>
    <w:rsid w:val="00365BCE"/>
    <w:rsid w:val="00383191"/>
    <w:rsid w:val="00384D40"/>
    <w:rsid w:val="0039344A"/>
    <w:rsid w:val="00395163"/>
    <w:rsid w:val="003B4F12"/>
    <w:rsid w:val="003F2041"/>
    <w:rsid w:val="00402ACC"/>
    <w:rsid w:val="004120EC"/>
    <w:rsid w:val="004233DB"/>
    <w:rsid w:val="00423F31"/>
    <w:rsid w:val="00424765"/>
    <w:rsid w:val="00431899"/>
    <w:rsid w:val="00442055"/>
    <w:rsid w:val="004772AE"/>
    <w:rsid w:val="00482AE8"/>
    <w:rsid w:val="0048492D"/>
    <w:rsid w:val="00486804"/>
    <w:rsid w:val="004939C4"/>
    <w:rsid w:val="004B3775"/>
    <w:rsid w:val="004C6342"/>
    <w:rsid w:val="004D0BA0"/>
    <w:rsid w:val="004D1154"/>
    <w:rsid w:val="004E058F"/>
    <w:rsid w:val="004E3B87"/>
    <w:rsid w:val="004F3121"/>
    <w:rsid w:val="005007FB"/>
    <w:rsid w:val="005038B5"/>
    <w:rsid w:val="00510921"/>
    <w:rsid w:val="00510AD3"/>
    <w:rsid w:val="00513348"/>
    <w:rsid w:val="00513AD8"/>
    <w:rsid w:val="005204D2"/>
    <w:rsid w:val="00522396"/>
    <w:rsid w:val="00533B5D"/>
    <w:rsid w:val="005A20F6"/>
    <w:rsid w:val="005A60B6"/>
    <w:rsid w:val="005A633F"/>
    <w:rsid w:val="005B55E8"/>
    <w:rsid w:val="005D3655"/>
    <w:rsid w:val="005E4830"/>
    <w:rsid w:val="005F0FBD"/>
    <w:rsid w:val="005F7CCC"/>
    <w:rsid w:val="00622B86"/>
    <w:rsid w:val="00623BA1"/>
    <w:rsid w:val="006346BC"/>
    <w:rsid w:val="0066652A"/>
    <w:rsid w:val="006719C3"/>
    <w:rsid w:val="00680522"/>
    <w:rsid w:val="00682167"/>
    <w:rsid w:val="006862D6"/>
    <w:rsid w:val="00690D38"/>
    <w:rsid w:val="0069164D"/>
    <w:rsid w:val="006C42AF"/>
    <w:rsid w:val="006C73FF"/>
    <w:rsid w:val="00711D8E"/>
    <w:rsid w:val="00712672"/>
    <w:rsid w:val="00734E3F"/>
    <w:rsid w:val="00736985"/>
    <w:rsid w:val="00745DF5"/>
    <w:rsid w:val="0076250F"/>
    <w:rsid w:val="00766257"/>
    <w:rsid w:val="007706B8"/>
    <w:rsid w:val="007735EA"/>
    <w:rsid w:val="00774EE4"/>
    <w:rsid w:val="00780FA5"/>
    <w:rsid w:val="007B6200"/>
    <w:rsid w:val="007C3B9E"/>
    <w:rsid w:val="007F3395"/>
    <w:rsid w:val="00801B9F"/>
    <w:rsid w:val="0080204D"/>
    <w:rsid w:val="00805B9C"/>
    <w:rsid w:val="0083052F"/>
    <w:rsid w:val="0084659C"/>
    <w:rsid w:val="008475F0"/>
    <w:rsid w:val="008557A7"/>
    <w:rsid w:val="00860BA4"/>
    <w:rsid w:val="00860C45"/>
    <w:rsid w:val="00863208"/>
    <w:rsid w:val="00870928"/>
    <w:rsid w:val="00883595"/>
    <w:rsid w:val="0088437B"/>
    <w:rsid w:val="00885A62"/>
    <w:rsid w:val="0089405C"/>
    <w:rsid w:val="008952A0"/>
    <w:rsid w:val="00897FA2"/>
    <w:rsid w:val="008A5AFE"/>
    <w:rsid w:val="008C5A0E"/>
    <w:rsid w:val="008D0CC4"/>
    <w:rsid w:val="00931DF7"/>
    <w:rsid w:val="00943730"/>
    <w:rsid w:val="00961E72"/>
    <w:rsid w:val="009667D2"/>
    <w:rsid w:val="00975CA5"/>
    <w:rsid w:val="00983AED"/>
    <w:rsid w:val="00986590"/>
    <w:rsid w:val="00987A0E"/>
    <w:rsid w:val="00992C76"/>
    <w:rsid w:val="009969D6"/>
    <w:rsid w:val="009A3DD2"/>
    <w:rsid w:val="009B1ABE"/>
    <w:rsid w:val="009B4D3B"/>
    <w:rsid w:val="009B7942"/>
    <w:rsid w:val="009D7407"/>
    <w:rsid w:val="009E0866"/>
    <w:rsid w:val="009E273C"/>
    <w:rsid w:val="009E4E80"/>
    <w:rsid w:val="009F1350"/>
    <w:rsid w:val="009F306C"/>
    <w:rsid w:val="009F6423"/>
    <w:rsid w:val="00A175B3"/>
    <w:rsid w:val="00A24A62"/>
    <w:rsid w:val="00A31C9F"/>
    <w:rsid w:val="00A32860"/>
    <w:rsid w:val="00A4144F"/>
    <w:rsid w:val="00A51B9A"/>
    <w:rsid w:val="00A576E5"/>
    <w:rsid w:val="00A61B4D"/>
    <w:rsid w:val="00A70FFF"/>
    <w:rsid w:val="00A80F95"/>
    <w:rsid w:val="00A85215"/>
    <w:rsid w:val="00A91795"/>
    <w:rsid w:val="00A97BF1"/>
    <w:rsid w:val="00AA298A"/>
    <w:rsid w:val="00AA315B"/>
    <w:rsid w:val="00AA7C2D"/>
    <w:rsid w:val="00AC164A"/>
    <w:rsid w:val="00AE448A"/>
    <w:rsid w:val="00AF2050"/>
    <w:rsid w:val="00AF2C3C"/>
    <w:rsid w:val="00AF41CD"/>
    <w:rsid w:val="00B03CA8"/>
    <w:rsid w:val="00B045AA"/>
    <w:rsid w:val="00B33C0A"/>
    <w:rsid w:val="00B47C28"/>
    <w:rsid w:val="00B55E19"/>
    <w:rsid w:val="00B94758"/>
    <w:rsid w:val="00BA4B6D"/>
    <w:rsid w:val="00BB26C5"/>
    <w:rsid w:val="00BC31BD"/>
    <w:rsid w:val="00BD7F3D"/>
    <w:rsid w:val="00BE7962"/>
    <w:rsid w:val="00BF4DE6"/>
    <w:rsid w:val="00BF7951"/>
    <w:rsid w:val="00C06B13"/>
    <w:rsid w:val="00C27D25"/>
    <w:rsid w:val="00C3432D"/>
    <w:rsid w:val="00C42541"/>
    <w:rsid w:val="00C42CDE"/>
    <w:rsid w:val="00C5182A"/>
    <w:rsid w:val="00C63A7C"/>
    <w:rsid w:val="00C63EE9"/>
    <w:rsid w:val="00CA16F3"/>
    <w:rsid w:val="00CA37B1"/>
    <w:rsid w:val="00CB1959"/>
    <w:rsid w:val="00CB42C2"/>
    <w:rsid w:val="00CC3E20"/>
    <w:rsid w:val="00CC741B"/>
    <w:rsid w:val="00CD0E4B"/>
    <w:rsid w:val="00CE4C89"/>
    <w:rsid w:val="00CF07BA"/>
    <w:rsid w:val="00CF284A"/>
    <w:rsid w:val="00D0296C"/>
    <w:rsid w:val="00D106A8"/>
    <w:rsid w:val="00D123AD"/>
    <w:rsid w:val="00D23CA7"/>
    <w:rsid w:val="00D32D6F"/>
    <w:rsid w:val="00D37B04"/>
    <w:rsid w:val="00D540C6"/>
    <w:rsid w:val="00D57820"/>
    <w:rsid w:val="00D64BD1"/>
    <w:rsid w:val="00D82289"/>
    <w:rsid w:val="00D92254"/>
    <w:rsid w:val="00DB080B"/>
    <w:rsid w:val="00DC3FD6"/>
    <w:rsid w:val="00DE084C"/>
    <w:rsid w:val="00DE5659"/>
    <w:rsid w:val="00DF550F"/>
    <w:rsid w:val="00E0512F"/>
    <w:rsid w:val="00E14F51"/>
    <w:rsid w:val="00E357B7"/>
    <w:rsid w:val="00E459D3"/>
    <w:rsid w:val="00E53800"/>
    <w:rsid w:val="00E6081F"/>
    <w:rsid w:val="00E8296D"/>
    <w:rsid w:val="00E8457B"/>
    <w:rsid w:val="00E9169F"/>
    <w:rsid w:val="00EA04B2"/>
    <w:rsid w:val="00EA20F3"/>
    <w:rsid w:val="00EC50F3"/>
    <w:rsid w:val="00ED2831"/>
    <w:rsid w:val="00ED43D1"/>
    <w:rsid w:val="00ED7EDE"/>
    <w:rsid w:val="00EE25F4"/>
    <w:rsid w:val="00EE4EE1"/>
    <w:rsid w:val="00EF1212"/>
    <w:rsid w:val="00EF4574"/>
    <w:rsid w:val="00EF5FB3"/>
    <w:rsid w:val="00F25A93"/>
    <w:rsid w:val="00F2684E"/>
    <w:rsid w:val="00F5404C"/>
    <w:rsid w:val="00F729EF"/>
    <w:rsid w:val="00F744A2"/>
    <w:rsid w:val="00F77CAE"/>
    <w:rsid w:val="00F82271"/>
    <w:rsid w:val="00F8333D"/>
    <w:rsid w:val="00F83428"/>
    <w:rsid w:val="00F96BB9"/>
    <w:rsid w:val="00FC322F"/>
    <w:rsid w:val="00FC6069"/>
    <w:rsid w:val="00FD3ADE"/>
    <w:rsid w:val="00FE6D51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A1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C128C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6B8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2AE"/>
    <w:pPr>
      <w:tabs>
        <w:tab w:val="left" w:pos="8295"/>
      </w:tabs>
      <w:ind w:left="567"/>
      <w:outlineLvl w:val="1"/>
    </w:pPr>
    <w:rPr>
      <w:rFonts w:eastAsiaTheme="majorEastAsia" w:cstheme="majorBidi"/>
      <w:b/>
      <w:iCs/>
      <w:caps/>
      <w:spacing w:val="-10"/>
      <w:kern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 w:val="0"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706B8"/>
    <w:pPr>
      <w:spacing w:line="200" w:lineRule="atLeast"/>
      <w:outlineLvl w:val="4"/>
    </w:pPr>
    <w:rPr>
      <w:b w:val="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6B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772AE"/>
    <w:rPr>
      <w:rFonts w:eastAsiaTheme="majorEastAsia" w:cstheme="majorBidi"/>
      <w:b/>
      <w:iCs/>
      <w:caps/>
      <w:color w:val="495965" w:themeColor="text2"/>
      <w:spacing w:val="-10"/>
      <w:kern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7706B8"/>
    <w:pPr>
      <w:numPr>
        <w:numId w:val="33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/>
    </w:pPr>
  </w:style>
  <w:style w:type="numbering" w:customStyle="1" w:styleId="BulletsList">
    <w:name w:val="Bullets List"/>
    <w:uiPriority w:val="99"/>
    <w:rsid w:val="007706B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7706B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706B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961E72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1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List Square,Para,Paragraph,List Paragraph (numbered (a)),Paragraphe de liste PBLH,Liste 1,Bullets,References,references,List Paragraph1,Rec para,Dot pt,F5 List Paragraph,No Spacing1,List Paragraph Char Char Char,Indicator Text"/>
    <w:basedOn w:val="Normal"/>
    <w:link w:val="ListParagraphChar"/>
    <w:uiPriority w:val="34"/>
    <w:qFormat/>
    <w:locked/>
    <w:rsid w:val="002356C0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locked/>
    <w:rsid w:val="00157FCF"/>
    <w:rPr>
      <w:b/>
      <w:bCs/>
      <w:smallCaps/>
      <w:color w:val="3DA18F" w:themeColor="accent1" w:themeShade="BF"/>
      <w:spacing w:val="5"/>
    </w:rPr>
  </w:style>
  <w:style w:type="table" w:styleId="GridTable4-Accent1">
    <w:name w:val="Grid Table 4 Accent 1"/>
    <w:basedOn w:val="TableNormal"/>
    <w:uiPriority w:val="49"/>
    <w:locked/>
    <w:rsid w:val="00CF284A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BE7962"/>
    <w:pPr>
      <w:pBdr>
        <w:top w:val="single" w:sz="4" w:space="10" w:color="65C5B4" w:themeColor="accent1"/>
        <w:bottom w:val="single" w:sz="4" w:space="10" w:color="65C5B4" w:themeColor="accent1"/>
      </w:pBdr>
      <w:spacing w:before="360" w:after="360"/>
      <w:ind w:left="864" w:right="864"/>
      <w:jc w:val="center"/>
    </w:pPr>
    <w:rPr>
      <w:i/>
      <w:iCs/>
      <w:color w:val="296C6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962"/>
    <w:rPr>
      <w:i/>
      <w:iCs/>
      <w:color w:val="296C60" w:themeColor="accent1" w:themeShade="80"/>
      <w:lang w:val="en-GB"/>
    </w:rPr>
  </w:style>
  <w:style w:type="character" w:customStyle="1" w:styleId="ListParagraphChar">
    <w:name w:val="List Paragraph Char"/>
    <w:aliases w:val="List Square Char,Para Char,Paragraph Char,List Paragraph (numbered (a)) Char,Paragraphe de liste PBLH Char,Liste 1 Char,Bullets Char,References Char,references Char,List Paragraph1 Char,Rec para Char,Dot pt Char,No Spacing1 Char"/>
    <w:link w:val="ListParagraph"/>
    <w:uiPriority w:val="34"/>
    <w:qFormat/>
    <w:locked/>
    <w:rsid w:val="005F0FBD"/>
    <w:rPr>
      <w:color w:val="495965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A71C7C-D552-1649-99B4-7134A0A50764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1B18-EF19-463B-B500-8DA07E1E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6960</Characters>
  <Application>Microsoft Office Word</Application>
  <DocSecurity>0</DocSecurity>
  <Lines>145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2022-02-17T00:57:00Z</dcterms:created>
  <dcterms:modified xsi:type="dcterms:W3CDTF">2022-02-17T00:57:00Z</dcterms:modified>
  <cp:category/>
</cp:coreProperties>
</file>