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3.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9CAFA1" w14:textId="77777777" w:rsidR="003B5312" w:rsidRPr="00CF7CB1" w:rsidRDefault="00352E23" w:rsidP="00337BCF">
      <w:pPr>
        <w:pStyle w:val="Heading1"/>
        <w:numPr>
          <w:ilvl w:val="0"/>
          <w:numId w:val="0"/>
        </w:numPr>
        <w:adjustRightInd w:val="0"/>
        <w:spacing w:after="120"/>
        <w:rPr>
          <w:lang w:val="en-AU"/>
        </w:rPr>
      </w:pPr>
      <w:bookmarkStart w:id="0" w:name="_GoBack"/>
      <w:bookmarkEnd w:id="0"/>
      <w:r w:rsidRPr="00CF7CB1">
        <w:rPr>
          <w:lang w:val="en-AU"/>
        </w:rPr>
        <w:t>Gearing up for Trade:</w:t>
      </w:r>
      <w:r w:rsidRPr="00CF7CB1">
        <w:rPr>
          <w:lang w:val="en-AU"/>
        </w:rPr>
        <w:br/>
      </w:r>
      <w:r w:rsidR="003B5312" w:rsidRPr="00CF7CB1">
        <w:rPr>
          <w:lang w:val="en-AU"/>
        </w:rPr>
        <w:t>Australia’s support for trade facilitation programs</w:t>
      </w:r>
    </w:p>
    <w:p w14:paraId="1E0A6FA8" w14:textId="77777777" w:rsidR="003B5312" w:rsidRPr="00CF7CB1" w:rsidRDefault="003B5312" w:rsidP="00337BCF">
      <w:pPr>
        <w:spacing w:after="120"/>
        <w:rPr>
          <w:lang w:val="en-AU"/>
        </w:rPr>
      </w:pPr>
      <w:r w:rsidRPr="00CF7CB1">
        <w:rPr>
          <w:lang w:val="en-AU"/>
        </w:rPr>
        <w:t>Office of Development Effectiveness</w:t>
      </w:r>
    </w:p>
    <w:p w14:paraId="116A5467" w14:textId="77777777" w:rsidR="000741BC" w:rsidRPr="00CF7CB1" w:rsidRDefault="003B5312" w:rsidP="00337BCF">
      <w:pPr>
        <w:spacing w:after="120"/>
        <w:rPr>
          <w:b/>
          <w:lang w:val="en-AU"/>
        </w:rPr>
      </w:pPr>
      <w:r w:rsidRPr="00CF7CB1">
        <w:rPr>
          <w:b/>
          <w:lang w:val="en-AU"/>
        </w:rPr>
        <w:t>April 2016</w:t>
      </w:r>
    </w:p>
    <w:p w14:paraId="3734BB20" w14:textId="77777777" w:rsidR="000741BC" w:rsidRPr="00CF7CB1" w:rsidRDefault="000741BC" w:rsidP="00337BCF">
      <w:pPr>
        <w:spacing w:after="120"/>
        <w:rPr>
          <w:b/>
          <w:lang w:val="en-AU"/>
        </w:rPr>
      </w:pPr>
      <w:r w:rsidRPr="00CF7CB1">
        <w:rPr>
          <w:b/>
          <w:lang w:val="en-AU"/>
        </w:rPr>
        <w:br w:type="page"/>
      </w:r>
    </w:p>
    <w:p w14:paraId="7CFB8DF1" w14:textId="77777777" w:rsidR="00075F22" w:rsidRPr="00CF7CB1" w:rsidRDefault="00075F22" w:rsidP="00642AE1">
      <w:pPr>
        <w:pStyle w:val="Heading1"/>
        <w:numPr>
          <w:ilvl w:val="0"/>
          <w:numId w:val="0"/>
        </w:numPr>
        <w:ind w:left="266" w:hanging="266"/>
        <w:rPr>
          <w:lang w:val="en-AU"/>
        </w:rPr>
      </w:pPr>
      <w:r w:rsidRPr="00CF7CB1">
        <w:rPr>
          <w:lang w:val="en-AU"/>
        </w:rPr>
        <w:lastRenderedPageBreak/>
        <w:t>Foreword</w:t>
      </w:r>
    </w:p>
    <w:p w14:paraId="59815627" w14:textId="77777777" w:rsidR="003B5312" w:rsidRPr="00CF7CB1" w:rsidRDefault="003B5312" w:rsidP="00337BCF">
      <w:pPr>
        <w:spacing w:after="120"/>
        <w:rPr>
          <w:lang w:val="en-AU"/>
        </w:rPr>
      </w:pPr>
      <w:r w:rsidRPr="00CF7CB1">
        <w:rPr>
          <w:lang w:val="en-AU"/>
        </w:rPr>
        <w:t>International trade is a major driver of economic growth and poverty reduction. An increasingly integrated world economy offers great opportunities for those developing countries able to invest in building economic infrastructure, productive capacity, and a policy and regulatory environment conducive to inclusive and sustainable growth. This evaluation of trade facilitation investments is timely as Australia has set a target to increase its aid for trade expenditure to 20 per cent of the total aid budget by 2020. It provides examples of where and how aid for ‘trade facilitation’ is making an impact. The evaluation finds evidence of increased partner government capacity and contributions to the broader economic and development goals of</w:t>
      </w:r>
      <w:r w:rsidR="00337BCF" w:rsidRPr="00CF7CB1">
        <w:rPr>
          <w:lang w:val="en-AU"/>
        </w:rPr>
        <w:t xml:space="preserve"> </w:t>
      </w:r>
      <w:r w:rsidRPr="00CF7CB1">
        <w:rPr>
          <w:lang w:val="en-AU"/>
        </w:rPr>
        <w:t>partner countries.</w:t>
      </w:r>
    </w:p>
    <w:p w14:paraId="51D2FCE5" w14:textId="77777777" w:rsidR="003B5312" w:rsidRPr="00CF7CB1" w:rsidRDefault="003B5312" w:rsidP="00337BCF">
      <w:pPr>
        <w:spacing w:after="120"/>
        <w:rPr>
          <w:lang w:val="en-AU"/>
        </w:rPr>
      </w:pPr>
      <w:r w:rsidRPr="00CF7CB1">
        <w:rPr>
          <w:lang w:val="en-AU"/>
        </w:rPr>
        <w:t>The evaluation found that successful interventions need to be embedded in an integrated framework but also flexible enough to help partner countries take advantage of opportunities</w:t>
      </w:r>
      <w:r w:rsidR="0038322B" w:rsidRPr="00CF7CB1">
        <w:rPr>
          <w:lang w:val="en-AU"/>
        </w:rPr>
        <w:t xml:space="preserve"> </w:t>
      </w:r>
      <w:r w:rsidRPr="00CF7CB1">
        <w:rPr>
          <w:lang w:val="en-AU"/>
        </w:rPr>
        <w:t xml:space="preserve">as they emerge. They require sustained long term commitment, communication and coordination between all players, and strong dialogue and engagement with the private sector. The evaluation found that gender equality and women’s economic empowerment have </w:t>
      </w:r>
      <w:r w:rsidR="00337BCF" w:rsidRPr="00CF7CB1">
        <w:rPr>
          <w:lang w:val="en-AU"/>
        </w:rPr>
        <w:t>been given</w:t>
      </w:r>
      <w:r w:rsidRPr="00CF7CB1">
        <w:rPr>
          <w:lang w:val="en-AU"/>
        </w:rPr>
        <w:t xml:space="preserve"> little attention in trade facilitation investments although awareness is improving and</w:t>
      </w:r>
      <w:r w:rsidR="00337BCF" w:rsidRPr="00CF7CB1">
        <w:rPr>
          <w:lang w:val="en-AU"/>
        </w:rPr>
        <w:t xml:space="preserve"> </w:t>
      </w:r>
      <w:r w:rsidRPr="00CF7CB1">
        <w:rPr>
          <w:lang w:val="en-AU"/>
        </w:rPr>
        <w:t>the report proposes useful entry points for the future. The evaluation also identifies a need</w:t>
      </w:r>
      <w:r w:rsidR="0038322B" w:rsidRPr="00CF7CB1">
        <w:rPr>
          <w:lang w:val="en-AU"/>
        </w:rPr>
        <w:t xml:space="preserve"> </w:t>
      </w:r>
      <w:r w:rsidRPr="00CF7CB1">
        <w:rPr>
          <w:lang w:val="en-AU"/>
        </w:rPr>
        <w:t>for greater attention to monitoring and evaluation. Better data on the contribution of aid investments to trade reforms and ultimately to trade outcomes, economic growth and poverty reduction can help partner governments build momentum for further reform.</w:t>
      </w:r>
    </w:p>
    <w:p w14:paraId="263CB828" w14:textId="77777777" w:rsidR="003B5312" w:rsidRPr="00CF7CB1" w:rsidRDefault="003B5312" w:rsidP="00337BCF">
      <w:pPr>
        <w:spacing w:after="120"/>
        <w:rPr>
          <w:lang w:val="en-AU"/>
        </w:rPr>
      </w:pPr>
      <w:r w:rsidRPr="00CF7CB1">
        <w:rPr>
          <w:lang w:val="en-AU"/>
        </w:rPr>
        <w:t>I commend the evaluation team for their efforts in producing this report. I also acknowledge</w:t>
      </w:r>
      <w:r w:rsidR="0038322B" w:rsidRPr="00CF7CB1">
        <w:rPr>
          <w:lang w:val="en-AU"/>
        </w:rPr>
        <w:t xml:space="preserve"> </w:t>
      </w:r>
      <w:r w:rsidRPr="00CF7CB1">
        <w:rPr>
          <w:lang w:val="en-AU"/>
        </w:rPr>
        <w:t>the close involvement of experienced aid and trade officials in the now integrated Department   of Foreign Affairs and Trade. It gives readers useful insights into the journey of aid for trade</w:t>
      </w:r>
      <w:r w:rsidR="00337BCF" w:rsidRPr="00CF7CB1">
        <w:rPr>
          <w:lang w:val="en-AU"/>
        </w:rPr>
        <w:t xml:space="preserve"> from an </w:t>
      </w:r>
      <w:r w:rsidRPr="00CF7CB1">
        <w:rPr>
          <w:lang w:val="en-AU"/>
        </w:rPr>
        <w:t>Australian perspective.</w:t>
      </w:r>
    </w:p>
    <w:p w14:paraId="02719DA4" w14:textId="77777777" w:rsidR="009E0564" w:rsidRPr="00CF7CB1" w:rsidRDefault="003B5312" w:rsidP="009E0564">
      <w:pPr>
        <w:autoSpaceDE w:val="0"/>
        <w:autoSpaceDN w:val="0"/>
        <w:adjustRightInd w:val="0"/>
        <w:ind w:left="102" w:right="-20"/>
        <w:rPr>
          <w:rFonts w:ascii="Times New Roman" w:hAnsi="Times New Roman" w:cs="Times New Roman"/>
          <w:sz w:val="20"/>
          <w:szCs w:val="20"/>
          <w:lang w:val="en-AU"/>
        </w:rPr>
      </w:pPr>
      <w:r w:rsidRPr="00CF7CB1">
        <w:rPr>
          <w:lang w:val="en-AU"/>
        </w:rPr>
        <w:t xml:space="preserve"> </w:t>
      </w:r>
      <w:r w:rsidR="009E0564" w:rsidRPr="00CF7CB1">
        <w:rPr>
          <w:rFonts w:ascii="Times New Roman" w:hAnsi="Times New Roman" w:cs="Times New Roman"/>
          <w:noProof/>
          <w:sz w:val="24"/>
          <w:lang w:val="en-AU" w:eastAsia="en-AU"/>
        </w:rPr>
        <w:drawing>
          <wp:inline distT="0" distB="0" distL="0" distR="0" wp14:anchorId="461D845B" wp14:editId="6B5095EC">
            <wp:extent cx="1457325" cy="769599"/>
            <wp:effectExtent l="0" t="0" r="0" b="0"/>
            <wp:docPr id="3250" name="Picture 3250" title="Signature of Jim Ad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0184" cy="781671"/>
                    </a:xfrm>
                    <a:prstGeom prst="rect">
                      <a:avLst/>
                    </a:prstGeom>
                    <a:noFill/>
                    <a:ln>
                      <a:noFill/>
                    </a:ln>
                  </pic:spPr>
                </pic:pic>
              </a:graphicData>
            </a:graphic>
          </wp:inline>
        </w:drawing>
      </w:r>
    </w:p>
    <w:p w14:paraId="5BB95E83" w14:textId="77777777" w:rsidR="00487A79" w:rsidRPr="00CF7CB1" w:rsidRDefault="003B5312" w:rsidP="00337BCF">
      <w:pPr>
        <w:spacing w:after="120"/>
        <w:rPr>
          <w:b/>
          <w:lang w:val="en-AU"/>
        </w:rPr>
      </w:pPr>
      <w:r w:rsidRPr="00CF7CB1">
        <w:rPr>
          <w:b/>
          <w:lang w:val="en-AU"/>
        </w:rPr>
        <w:t>Jim Adams</w:t>
      </w:r>
    </w:p>
    <w:p w14:paraId="716BC1CC" w14:textId="77777777" w:rsidR="00487A79" w:rsidRPr="00CF7CB1" w:rsidRDefault="00487A79">
      <w:pPr>
        <w:rPr>
          <w:b/>
          <w:lang w:val="en-AU"/>
        </w:rPr>
      </w:pPr>
      <w:r w:rsidRPr="00CF7CB1">
        <w:rPr>
          <w:b/>
          <w:lang w:val="en-AU"/>
        </w:rPr>
        <w:br w:type="page"/>
      </w:r>
    </w:p>
    <w:p w14:paraId="4DF6A9C4" w14:textId="77777777" w:rsidR="003B5312" w:rsidRPr="00CF7CB1" w:rsidRDefault="00C443FF" w:rsidP="00C443FF">
      <w:pPr>
        <w:pStyle w:val="Heading1"/>
        <w:numPr>
          <w:ilvl w:val="0"/>
          <w:numId w:val="0"/>
        </w:numPr>
        <w:ind w:left="266" w:hanging="266"/>
        <w:rPr>
          <w:lang w:val="en-AU"/>
        </w:rPr>
      </w:pPr>
      <w:r w:rsidRPr="00CF7CB1">
        <w:rPr>
          <w:lang w:val="en-AU"/>
        </w:rPr>
        <w:lastRenderedPageBreak/>
        <w:t>Acknowledgement</w:t>
      </w:r>
      <w:r w:rsidR="008F4731" w:rsidRPr="00CF7CB1">
        <w:rPr>
          <w:lang w:val="en-AU"/>
        </w:rPr>
        <w:t>s</w:t>
      </w:r>
    </w:p>
    <w:p w14:paraId="0ADBAB62" w14:textId="77777777" w:rsidR="003B5312" w:rsidRPr="00CF7CB1" w:rsidRDefault="003B5312" w:rsidP="00337BCF">
      <w:pPr>
        <w:spacing w:after="120"/>
        <w:rPr>
          <w:lang w:val="en-AU"/>
        </w:rPr>
      </w:pPr>
      <w:r w:rsidRPr="00CF7CB1">
        <w:rPr>
          <w:lang w:val="en-AU"/>
        </w:rPr>
        <w:t>This evaluation was managed by the Office of Development Effectiveness (ODE) at the Australian Government Department of Foreign Affairs and Trade (DFAT). The evaluation team consisted of Ben Ward (Team leader, Coffey), David Goodwins (Evaluation specialist, Coffey), Peter Van Dierman (Trade specialist, EDS) and Kanu Negi (Assistant Director, ODE). Henni Arup (OTN) and Annmarie Reerink (Laos Post) also provided valuable inputs on gender analysis of the report.</w:t>
      </w:r>
    </w:p>
    <w:p w14:paraId="284A86A6" w14:textId="77777777" w:rsidR="00615EF3" w:rsidRPr="00CF7CB1" w:rsidRDefault="003B5312" w:rsidP="00337BCF">
      <w:pPr>
        <w:spacing w:after="120"/>
        <w:rPr>
          <w:lang w:val="en-AU"/>
        </w:rPr>
      </w:pPr>
      <w:r w:rsidRPr="00CF7CB1">
        <w:rPr>
          <w:lang w:val="en-AU"/>
        </w:rPr>
        <w:t>Robert Brink (Director, ODE) and Dereck Rooken-Smith (Head of ODE) provided timely</w:t>
      </w:r>
      <w:r w:rsidR="00D62262" w:rsidRPr="00CF7CB1">
        <w:rPr>
          <w:lang w:val="en-AU"/>
        </w:rPr>
        <w:t xml:space="preserve"> </w:t>
      </w:r>
      <w:r w:rsidRPr="00CF7CB1">
        <w:rPr>
          <w:lang w:val="en-AU"/>
        </w:rPr>
        <w:t>inputs and advice. DFAT’s Independent Evaluation Committee was responsible for ensuring</w:t>
      </w:r>
      <w:r w:rsidR="00794640" w:rsidRPr="00CF7CB1">
        <w:rPr>
          <w:lang w:val="en-AU"/>
        </w:rPr>
        <w:t xml:space="preserve"> </w:t>
      </w:r>
      <w:r w:rsidRPr="00CF7CB1">
        <w:rPr>
          <w:lang w:val="en-AU"/>
        </w:rPr>
        <w:t>independence, rigour and a quality process. The evaluation team and ODE would like to thank DFAT staff in Canberra, DFAT staff at posts (Fiji, Vanuatu, Cambodia and Laos), and Dr Ian Naumann from Department of Agriculture for their collaboration and cooperation throughout</w:t>
      </w:r>
      <w:r w:rsidR="0038322B" w:rsidRPr="00CF7CB1">
        <w:rPr>
          <w:lang w:val="en-AU"/>
        </w:rPr>
        <w:t xml:space="preserve"> </w:t>
      </w:r>
      <w:r w:rsidRPr="00CF7CB1">
        <w:rPr>
          <w:lang w:val="en-AU"/>
        </w:rPr>
        <w:t xml:space="preserve">the evaluation process. The team is appreciative of the assistance and insights provided by PHAMA program staff and </w:t>
      </w:r>
      <w:r w:rsidR="00794640" w:rsidRPr="00CF7CB1">
        <w:rPr>
          <w:lang w:val="en-AU"/>
        </w:rPr>
        <w:t>OCTA officials</w:t>
      </w:r>
      <w:r w:rsidRPr="00CF7CB1">
        <w:rPr>
          <w:lang w:val="en-AU"/>
        </w:rPr>
        <w:t xml:space="preserve"> involved in </w:t>
      </w:r>
      <w:r w:rsidR="00960358" w:rsidRPr="00CF7CB1">
        <w:rPr>
          <w:lang w:val="en-AU"/>
        </w:rPr>
        <w:t xml:space="preserve">PACER Plus </w:t>
      </w:r>
      <w:r w:rsidRPr="00CF7CB1">
        <w:rPr>
          <w:lang w:val="en-AU"/>
        </w:rPr>
        <w:t>negotiations.</w:t>
      </w:r>
    </w:p>
    <w:p w14:paraId="4E1C630C" w14:textId="77777777" w:rsidR="003B5312" w:rsidRPr="00CF7CB1" w:rsidRDefault="00615EF3" w:rsidP="00615EF3">
      <w:pPr>
        <w:rPr>
          <w:lang w:val="en-AU"/>
        </w:rPr>
      </w:pPr>
      <w:r w:rsidRPr="00CF7CB1">
        <w:rPr>
          <w:lang w:val="en-AU"/>
        </w:rPr>
        <w:br w:type="page"/>
      </w:r>
    </w:p>
    <w:p w14:paraId="3210ADE9" w14:textId="77777777" w:rsidR="00960358" w:rsidRPr="00CF7CB1" w:rsidRDefault="00960358" w:rsidP="00960358">
      <w:pPr>
        <w:pStyle w:val="Heading1"/>
        <w:numPr>
          <w:ilvl w:val="0"/>
          <w:numId w:val="0"/>
        </w:numPr>
        <w:ind w:left="266" w:hanging="266"/>
        <w:rPr>
          <w:lang w:val="en-AU"/>
        </w:rPr>
      </w:pPr>
      <w:r w:rsidRPr="00CF7CB1">
        <w:rPr>
          <w:lang w:val="en-AU"/>
        </w:rPr>
        <w:t>Executive Summary</w:t>
      </w:r>
    </w:p>
    <w:p w14:paraId="44EC825C" w14:textId="77777777" w:rsidR="003B5312" w:rsidRPr="00CF7CB1" w:rsidRDefault="00794640" w:rsidP="00960358">
      <w:pPr>
        <w:pStyle w:val="Heading2"/>
        <w:numPr>
          <w:ilvl w:val="0"/>
          <w:numId w:val="0"/>
        </w:numPr>
        <w:ind w:left="709" w:hanging="709"/>
        <w:rPr>
          <w:lang w:val="en-AU"/>
        </w:rPr>
      </w:pPr>
      <w:r w:rsidRPr="00CF7CB1">
        <w:rPr>
          <w:lang w:val="en-AU"/>
        </w:rPr>
        <w:t>Introduction and</w:t>
      </w:r>
      <w:r w:rsidR="003B5312" w:rsidRPr="00CF7CB1">
        <w:rPr>
          <w:lang w:val="en-AU"/>
        </w:rPr>
        <w:t xml:space="preserve"> context</w:t>
      </w:r>
    </w:p>
    <w:p w14:paraId="4051DE89" w14:textId="77777777" w:rsidR="003B5312" w:rsidRPr="00CF7CB1" w:rsidRDefault="003B5312" w:rsidP="00337BCF">
      <w:pPr>
        <w:spacing w:after="120"/>
        <w:rPr>
          <w:lang w:val="en-AU"/>
        </w:rPr>
      </w:pPr>
      <w:r w:rsidRPr="00CF7CB1">
        <w:rPr>
          <w:lang w:val="en-AU"/>
        </w:rPr>
        <w:t>International recognition of trade as a vehicle for sustainable development is gaining   momentum, as evidenced by the World Trade Organization (WTO) Doha development round, the global Aid for Trade agenda and the Sustainable Development Goals.</w:t>
      </w:r>
      <w:r w:rsidR="0077302C" w:rsidRPr="00CF7CB1">
        <w:rPr>
          <w:rStyle w:val="FootnoteReference"/>
          <w:lang w:val="en-AU"/>
        </w:rPr>
        <w:footnoteReference w:id="1"/>
      </w:r>
      <w:r w:rsidRPr="00CF7CB1">
        <w:rPr>
          <w:lang w:val="en-AU"/>
        </w:rPr>
        <w:t xml:space="preserve"> These </w:t>
      </w:r>
      <w:r w:rsidR="00794640" w:rsidRPr="00CF7CB1">
        <w:rPr>
          <w:lang w:val="en-AU"/>
        </w:rPr>
        <w:t>movements have</w:t>
      </w:r>
      <w:r w:rsidRPr="00CF7CB1">
        <w:rPr>
          <w:lang w:val="en-AU"/>
        </w:rPr>
        <w:t xml:space="preserve"> arisen out of the demands of developing countries. They ar</w:t>
      </w:r>
      <w:r w:rsidR="0077302C" w:rsidRPr="00CF7CB1">
        <w:rPr>
          <w:lang w:val="en-AU"/>
        </w:rPr>
        <w:t>e driven by an understanding</w:t>
      </w:r>
      <w:r w:rsidRPr="00CF7CB1">
        <w:rPr>
          <w:lang w:val="en-AU"/>
        </w:rPr>
        <w:t xml:space="preserve"> of the role trade can play in sustainable and inclusive economic growth and poverty reduction, especial</w:t>
      </w:r>
      <w:r w:rsidR="0077302C" w:rsidRPr="00CF7CB1">
        <w:rPr>
          <w:lang w:val="en-AU"/>
        </w:rPr>
        <w:t xml:space="preserve">ly where trade reforms are integrated into a comprehensive </w:t>
      </w:r>
      <w:r w:rsidR="00A20FBC" w:rsidRPr="00CF7CB1">
        <w:rPr>
          <w:lang w:val="en-AU"/>
        </w:rPr>
        <w:t>approach that ensures</w:t>
      </w:r>
      <w:r w:rsidRPr="00CF7CB1">
        <w:rPr>
          <w:lang w:val="en-AU"/>
        </w:rPr>
        <w:t xml:space="preserve"> the poor benefit. At the same time, there is acknowledgment that developing countries often struggle to take advantage of the benefits of trade liberalisation due to supply-side or internal constraints to trade. Aid for Trade can help address these.</w:t>
      </w:r>
    </w:p>
    <w:p w14:paraId="1FD302D1" w14:textId="77777777" w:rsidR="003B5312" w:rsidRPr="00CF7CB1" w:rsidRDefault="003B5312" w:rsidP="00337BCF">
      <w:pPr>
        <w:spacing w:after="120"/>
        <w:rPr>
          <w:lang w:val="en-AU"/>
        </w:rPr>
      </w:pPr>
      <w:r w:rsidRPr="00CF7CB1">
        <w:rPr>
          <w:lang w:val="en-AU"/>
        </w:rPr>
        <w:t>Aid for Trade (AfT) assistance is classified by the Office for Economic Co-operation and Development (OECD) Development Assistance Committee (DAC) into three themes: (1)</w:t>
      </w:r>
    </w:p>
    <w:p w14:paraId="7D1FC59E" w14:textId="77777777" w:rsidR="003B5312" w:rsidRPr="00CF7CB1" w:rsidRDefault="003B5312" w:rsidP="00337BCF">
      <w:pPr>
        <w:spacing w:after="120"/>
        <w:rPr>
          <w:lang w:val="en-AU"/>
        </w:rPr>
      </w:pPr>
      <w:r w:rsidRPr="00CF7CB1">
        <w:rPr>
          <w:lang w:val="en-AU"/>
        </w:rPr>
        <w:t>Trade policy and regulations, including trade facilitation; (2) Economic infrastructure such as transport, storage and communications; and (3) Building the productive capacity of the private sector. Australia has set a target of increasing AfT expenditure to 20 per cent of Australia’s aid budget by 2020.</w:t>
      </w:r>
    </w:p>
    <w:p w14:paraId="46ED395B" w14:textId="77777777" w:rsidR="003B5312" w:rsidRPr="00CF7CB1" w:rsidRDefault="003B5312" w:rsidP="00337BCF">
      <w:pPr>
        <w:spacing w:after="120"/>
        <w:rPr>
          <w:lang w:val="en-AU"/>
        </w:rPr>
      </w:pPr>
      <w:r w:rsidRPr="00CF7CB1">
        <w:rPr>
          <w:lang w:val="en-AU"/>
        </w:rPr>
        <w:t>Trade facilitation and related assistance is a priority area of the new Aid for Trade Strategy, Department of Foreign Affairs and Trade (July 2015). Australia is striving to be a recognised leader in promoting and supporting AfT in the Asia-Pacific region in order to foster sustainable economic growth and prosperity.</w:t>
      </w:r>
      <w:r w:rsidR="00EC723E" w:rsidRPr="00CF7CB1">
        <w:rPr>
          <w:rStyle w:val="FootnoteReference"/>
          <w:lang w:val="en-AU"/>
        </w:rPr>
        <w:footnoteReference w:id="2"/>
      </w:r>
      <w:r w:rsidRPr="00CF7CB1">
        <w:rPr>
          <w:lang w:val="en-AU"/>
        </w:rPr>
        <w:t xml:space="preserve"> Since 2013 Australia has increased its focus on AfT and has become one of the top 20 AfT </w:t>
      </w:r>
      <w:r w:rsidR="00A20FBC" w:rsidRPr="00CF7CB1">
        <w:rPr>
          <w:lang w:val="en-AU"/>
        </w:rPr>
        <w:t>donors.</w:t>
      </w:r>
      <w:r w:rsidR="007C28D6" w:rsidRPr="00CF7CB1">
        <w:rPr>
          <w:rStyle w:val="FootnoteReference"/>
          <w:lang w:val="en-AU"/>
        </w:rPr>
        <w:footnoteReference w:id="3"/>
      </w:r>
      <w:r w:rsidR="00A20FBC" w:rsidRPr="00CF7CB1">
        <w:rPr>
          <w:lang w:val="en-AU"/>
        </w:rPr>
        <w:t xml:space="preserve"> In</w:t>
      </w:r>
      <w:r w:rsidRPr="00CF7CB1">
        <w:rPr>
          <w:lang w:val="en-AU"/>
        </w:rPr>
        <w:t xml:space="preserve"> 2014/15 AfT investments are estimated to</w:t>
      </w:r>
      <w:r w:rsidR="00794640" w:rsidRPr="00CF7CB1">
        <w:rPr>
          <w:lang w:val="en-AU"/>
        </w:rPr>
        <w:t xml:space="preserve"> </w:t>
      </w:r>
      <w:r w:rsidRPr="00CF7CB1">
        <w:rPr>
          <w:lang w:val="en-AU"/>
        </w:rPr>
        <w:t>be AUD823 million or 16.4 per cent of total Official Development Assistance (ODA), and in 2015/16 it is estimated to be AUD698 million or 17.2 per cent of total ODA.</w:t>
      </w:r>
      <w:r w:rsidR="00CF0022" w:rsidRPr="00CF7CB1">
        <w:rPr>
          <w:rStyle w:val="FootnoteReference"/>
          <w:lang w:val="en-AU"/>
        </w:rPr>
        <w:footnoteReference w:id="4"/>
      </w:r>
    </w:p>
    <w:p w14:paraId="15BE34BF" w14:textId="77777777" w:rsidR="003B5312" w:rsidRPr="00CF7CB1" w:rsidRDefault="003B5312" w:rsidP="00337BCF">
      <w:pPr>
        <w:spacing w:after="120"/>
        <w:rPr>
          <w:lang w:val="en-AU"/>
        </w:rPr>
      </w:pPr>
      <w:r w:rsidRPr="00CF7CB1">
        <w:rPr>
          <w:lang w:val="en-AU"/>
        </w:rPr>
        <w:t>Globally the WTO, in conjunction with the Organisation for Economic Cooperation and Development (OECD), has acted as the main international bod</w:t>
      </w:r>
      <w:r w:rsidR="0038322B" w:rsidRPr="00CF7CB1">
        <w:rPr>
          <w:lang w:val="en-AU"/>
        </w:rPr>
        <w:t xml:space="preserve">y supporting and coordinating </w:t>
      </w:r>
      <w:r w:rsidRPr="00CF7CB1">
        <w:rPr>
          <w:lang w:val="en-AU"/>
        </w:rPr>
        <w:t>work on the AfT agenda. It has conducted biennial global revie</w:t>
      </w:r>
      <w:r w:rsidR="0038322B" w:rsidRPr="00CF7CB1">
        <w:rPr>
          <w:lang w:val="en-AU"/>
        </w:rPr>
        <w:t xml:space="preserve">ws of current and significant </w:t>
      </w:r>
      <w:r w:rsidRPr="00CF7CB1">
        <w:rPr>
          <w:lang w:val="en-AU"/>
        </w:rPr>
        <w:t>issues since 2007. The 2015 WTO theme of ‘Reducing Trade Costs for Inclusive, Sustainable Growth’ coincided with the conclusion of the WTO Trade Facilitation Agreement (TFA). This has brought to prominence issues around trade facilitation and support for developing countries to participate in trade, and to take advantage of the rapid increase in regional trade agreements (RTAs). Developing countries require significant capacity to successfully negotiate and</w:t>
      </w:r>
      <w:r w:rsidR="00A20FBC" w:rsidRPr="00CF7CB1">
        <w:rPr>
          <w:lang w:val="en-AU"/>
        </w:rPr>
        <w:t xml:space="preserve"> </w:t>
      </w:r>
      <w:r w:rsidRPr="00CF7CB1">
        <w:rPr>
          <w:lang w:val="en-AU"/>
        </w:rPr>
        <w:t>participate in RTAs due to their inherent complexity.</w:t>
      </w:r>
    </w:p>
    <w:p w14:paraId="3CFA5150" w14:textId="77777777" w:rsidR="003B5312" w:rsidRPr="00CF7CB1" w:rsidRDefault="003B5312" w:rsidP="00337BCF">
      <w:pPr>
        <w:spacing w:after="120"/>
        <w:rPr>
          <w:lang w:val="en-AU"/>
        </w:rPr>
      </w:pPr>
      <w:r w:rsidRPr="00CF7CB1">
        <w:rPr>
          <w:lang w:val="en-AU"/>
        </w:rPr>
        <w:t>There is now a growing interest in the gender dimension of trade given the constraints many women face, and the increasing evidence that gender equality and women’s economic empowerment can help boost exports, increase economic growth and achieve positive development outcomes.</w:t>
      </w:r>
      <w:r w:rsidR="007C4543" w:rsidRPr="00CF7CB1">
        <w:rPr>
          <w:rStyle w:val="FootnoteReference"/>
          <w:lang w:val="en-AU"/>
        </w:rPr>
        <w:footnoteReference w:id="5"/>
      </w:r>
      <w:r w:rsidRPr="00CF7CB1">
        <w:rPr>
          <w:lang w:val="en-AU"/>
        </w:rPr>
        <w:t xml:space="preserve"> However, the literature on gender and trade is limited with a focus on how trade liberalisation policies relate to achieving gender equality.</w:t>
      </w:r>
    </w:p>
    <w:p w14:paraId="6A0E404D" w14:textId="77777777" w:rsidR="003B5312" w:rsidRPr="00CF7CB1" w:rsidRDefault="003B5312" w:rsidP="00337BCF">
      <w:pPr>
        <w:spacing w:after="120"/>
        <w:rPr>
          <w:lang w:val="en-AU"/>
        </w:rPr>
      </w:pPr>
      <w:r w:rsidRPr="00CF7CB1">
        <w:rPr>
          <w:lang w:val="en-AU"/>
        </w:rPr>
        <w:t>Globally there is also greater emphasis being placed on monitoring and evaluation of AfT programs. This aligns with increasing demands for greater accountability and growing</w:t>
      </w:r>
      <w:r w:rsidR="00940595" w:rsidRPr="00CF7CB1">
        <w:rPr>
          <w:lang w:val="en-AU"/>
        </w:rPr>
        <w:t xml:space="preserve"> </w:t>
      </w:r>
      <w:r w:rsidRPr="00CF7CB1">
        <w:rPr>
          <w:lang w:val="en-AU"/>
        </w:rPr>
        <w:t>recognition of the importance of performance evaluation a</w:t>
      </w:r>
      <w:r w:rsidR="007C4543" w:rsidRPr="00CF7CB1">
        <w:rPr>
          <w:lang w:val="en-AU"/>
        </w:rPr>
        <w:t>nd enhancing aid effectiveness. Studies</w:t>
      </w:r>
      <w:r w:rsidR="007C4543" w:rsidRPr="00CF7CB1">
        <w:rPr>
          <w:rStyle w:val="FootnoteReference"/>
          <w:lang w:val="en-AU"/>
        </w:rPr>
        <w:footnoteReference w:id="6"/>
      </w:r>
      <w:r w:rsidRPr="00CF7CB1">
        <w:rPr>
          <w:lang w:val="en-AU"/>
        </w:rPr>
        <w:t xml:space="preserve"> indicate a number of shortfalls including a lack of evidence-based results chains, poor baseline data, lack of common indicators, and isolation of systems from partner governments.</w:t>
      </w:r>
    </w:p>
    <w:p w14:paraId="3FC5CCCC" w14:textId="77777777" w:rsidR="003B5312" w:rsidRPr="00CF7CB1" w:rsidRDefault="008422AF" w:rsidP="00EE4DA8">
      <w:pPr>
        <w:pStyle w:val="Heading2"/>
        <w:numPr>
          <w:ilvl w:val="0"/>
          <w:numId w:val="0"/>
        </w:numPr>
        <w:ind w:left="709" w:hanging="709"/>
        <w:rPr>
          <w:lang w:val="en-AU"/>
        </w:rPr>
      </w:pPr>
      <w:r w:rsidRPr="00CF7CB1">
        <w:rPr>
          <w:lang w:val="en-AU"/>
        </w:rPr>
        <w:t>About the</w:t>
      </w:r>
      <w:r w:rsidR="003B5312" w:rsidRPr="00CF7CB1">
        <w:rPr>
          <w:lang w:val="en-AU"/>
        </w:rPr>
        <w:t xml:space="preserve"> evaluation</w:t>
      </w:r>
    </w:p>
    <w:p w14:paraId="224E8D7F" w14:textId="77777777" w:rsidR="003B5312" w:rsidRPr="00CF7CB1" w:rsidRDefault="003B5312" w:rsidP="00337BCF">
      <w:pPr>
        <w:spacing w:after="120"/>
        <w:rPr>
          <w:lang w:val="en-AU"/>
        </w:rPr>
      </w:pPr>
      <w:r w:rsidRPr="00CF7CB1">
        <w:rPr>
          <w:lang w:val="en-AU"/>
        </w:rPr>
        <w:t>The purpose of this evaluation is to assess the effectiveness of Australia’s recent investments supporting trade facilitation and regional trade agreements, and how investments may be better targeted in the future. The scope of this evaluation is limited to objective one of DFAT’s current Aid for Trade Strategy ‘to improve the regulatory environment’ and its ‘trade and investment policy and trade facilitation’ elements. It fo</w:t>
      </w:r>
      <w:r w:rsidR="008422AF" w:rsidRPr="00CF7CB1">
        <w:rPr>
          <w:lang w:val="en-AU"/>
        </w:rPr>
        <w:t>cusses on three areas of inquir</w:t>
      </w:r>
      <w:r w:rsidRPr="00CF7CB1">
        <w:rPr>
          <w:lang w:val="en-AU"/>
        </w:rPr>
        <w:t>y: (1) How and to what extent the capacity of partner countries has been built to increase international trade?; (2) To what extent the relevant DFAT investments have led to positiv</w:t>
      </w:r>
      <w:r w:rsidR="008422AF" w:rsidRPr="00CF7CB1">
        <w:rPr>
          <w:lang w:val="en-AU"/>
        </w:rPr>
        <w:t>e changes in the partner countr</w:t>
      </w:r>
      <w:r w:rsidRPr="00CF7CB1">
        <w:rPr>
          <w:lang w:val="en-AU"/>
        </w:rPr>
        <w:t>y’s broader economic and development goals?; and (3) How do DFAT’s investments in trade facilitation and related assistance compare with international good practice?</w:t>
      </w:r>
    </w:p>
    <w:p w14:paraId="3A96FD61" w14:textId="77777777" w:rsidR="003B5312" w:rsidRPr="00CF7CB1" w:rsidRDefault="003B5312" w:rsidP="00337BCF">
      <w:pPr>
        <w:spacing w:after="120"/>
        <w:rPr>
          <w:lang w:val="en-AU"/>
        </w:rPr>
      </w:pPr>
      <w:r w:rsidRPr="00CF7CB1">
        <w:rPr>
          <w:lang w:val="en-AU"/>
        </w:rPr>
        <w:t>This evaluation defines trade facilitation and related assistance as all activities and efforts that remove obstacles to the movement of goods and services across borders. This includes simplification and harmonisation of import and export procedures; support to customs departments; tariff reforms; sanitary and phytosanitary measures; and regulatory reform.</w:t>
      </w:r>
    </w:p>
    <w:p w14:paraId="4D834D93" w14:textId="77777777" w:rsidR="003B5312" w:rsidRPr="00CF7CB1" w:rsidRDefault="003B5312" w:rsidP="00337BCF">
      <w:pPr>
        <w:spacing w:after="120"/>
        <w:rPr>
          <w:lang w:val="en-AU"/>
        </w:rPr>
      </w:pPr>
      <w:r w:rsidRPr="00CF7CB1">
        <w:rPr>
          <w:lang w:val="en-AU"/>
        </w:rPr>
        <w:t>The evaluation examined DFA</w:t>
      </w:r>
      <w:r w:rsidR="0044634F" w:rsidRPr="00CF7CB1">
        <w:rPr>
          <w:lang w:val="en-AU"/>
        </w:rPr>
        <w:t>T’s portfolio of AfT activities</w:t>
      </w:r>
      <w:r w:rsidR="0044634F" w:rsidRPr="00CF7CB1">
        <w:rPr>
          <w:rStyle w:val="FootnoteReference"/>
          <w:lang w:val="en-AU"/>
        </w:rPr>
        <w:footnoteReference w:id="7"/>
      </w:r>
      <w:r w:rsidRPr="00CF7CB1">
        <w:rPr>
          <w:lang w:val="en-AU"/>
        </w:rPr>
        <w:t xml:space="preserve"> with a detailed focus on four investments:</w:t>
      </w:r>
    </w:p>
    <w:p w14:paraId="4143EA5A" w14:textId="77777777" w:rsidR="003B5312" w:rsidRPr="00CF7CB1" w:rsidRDefault="003B5312" w:rsidP="0058504A">
      <w:pPr>
        <w:pStyle w:val="ListParagraph"/>
        <w:numPr>
          <w:ilvl w:val="0"/>
          <w:numId w:val="5"/>
        </w:numPr>
        <w:spacing w:after="120"/>
        <w:rPr>
          <w:lang w:val="en-AU"/>
        </w:rPr>
      </w:pPr>
      <w:r w:rsidRPr="00CF7CB1">
        <w:rPr>
          <w:b/>
          <w:lang w:val="en-AU"/>
        </w:rPr>
        <w:t>ASEAN–Australia and New Zealand Free Trade Agreement Economic Cooperation Support Program (AANZFTA AECSP) 2010-2018</w:t>
      </w:r>
      <w:r w:rsidRPr="00CF7CB1">
        <w:rPr>
          <w:lang w:val="en-AU"/>
        </w:rPr>
        <w:t xml:space="preserve">—an AUD27.5 million </w:t>
      </w:r>
      <w:r w:rsidR="008D6E5F">
        <w:rPr>
          <w:lang w:val="en-AU"/>
        </w:rPr>
        <w:t>eight</w:t>
      </w:r>
      <w:r w:rsidRPr="00CF7CB1">
        <w:rPr>
          <w:lang w:val="en-AU"/>
        </w:rPr>
        <w:t>-year program to help build the capacity of ASEAN countries to access the benefits of AANZFTA. This evaluation looked at three activities in Laos and Cambodia: (1) ASEAN Regional Diagnostic Network (ARDN), (2) Rules of Origin support, and (3) Madrid Protocol assistance.</w:t>
      </w:r>
    </w:p>
    <w:p w14:paraId="65825263" w14:textId="77777777" w:rsidR="003B5312" w:rsidRPr="00CF7CB1" w:rsidRDefault="003B5312" w:rsidP="0058504A">
      <w:pPr>
        <w:pStyle w:val="ListParagraph"/>
        <w:numPr>
          <w:ilvl w:val="0"/>
          <w:numId w:val="5"/>
        </w:numPr>
        <w:spacing w:after="120"/>
        <w:rPr>
          <w:lang w:val="en-AU"/>
        </w:rPr>
      </w:pPr>
      <w:r w:rsidRPr="00CF7CB1">
        <w:rPr>
          <w:b/>
          <w:lang w:val="en-AU"/>
        </w:rPr>
        <w:t>The Trade Development Facility 2 (TDF-2) 2013-2017</w:t>
      </w:r>
      <w:r w:rsidRPr="00CF7CB1">
        <w:rPr>
          <w:lang w:val="en-AU"/>
        </w:rPr>
        <w:t>—an AUD19.8 million program (AUD8.7 million contribution from Australia) in Laos that is providing support across five components: trade facilitation, sanitary and phytosanitary rules and technical barriers to trade, export competitiveness, business environment, trade policy, trade agreements and global opportunities.</w:t>
      </w:r>
    </w:p>
    <w:p w14:paraId="539F9C0C" w14:textId="77777777" w:rsidR="003B5312" w:rsidRPr="00CF7CB1" w:rsidRDefault="003B5312" w:rsidP="0058504A">
      <w:pPr>
        <w:pStyle w:val="ListParagraph"/>
        <w:numPr>
          <w:ilvl w:val="0"/>
          <w:numId w:val="5"/>
        </w:numPr>
        <w:spacing w:after="120"/>
        <w:rPr>
          <w:lang w:val="en-AU"/>
        </w:rPr>
      </w:pPr>
      <w:r w:rsidRPr="00CF7CB1">
        <w:rPr>
          <w:b/>
          <w:lang w:val="en-AU"/>
        </w:rPr>
        <w:t>Pacific Horticultural and Agricultural Market Access (PHAMA) 2009-2017</w:t>
      </w:r>
      <w:r w:rsidRPr="00CF7CB1">
        <w:rPr>
          <w:lang w:val="en-AU"/>
        </w:rPr>
        <w:t>—an AUD34.2 million trade facilitation program to assist the Pacific Island Countries and Territories (PICTs) address market access issues. PHAMA (Phase 2) assists Samoa, Tonga, Solomon</w:t>
      </w:r>
      <w:r w:rsidR="0044634F" w:rsidRPr="00CF7CB1">
        <w:rPr>
          <w:lang w:val="en-AU"/>
        </w:rPr>
        <w:t xml:space="preserve"> Islands, Vanuatu, PNG and Fiji</w:t>
      </w:r>
      <w:r w:rsidR="0044634F" w:rsidRPr="00CF7CB1">
        <w:rPr>
          <w:rStyle w:val="FootnoteReference"/>
          <w:lang w:val="en-AU"/>
        </w:rPr>
        <w:footnoteReference w:id="8"/>
      </w:r>
      <w:r w:rsidRPr="00CF7CB1">
        <w:rPr>
          <w:lang w:val="en-AU"/>
        </w:rPr>
        <w:t xml:space="preserve"> by addressing the quarantine, sanitary and phytosanitary and other market access requirements.</w:t>
      </w:r>
    </w:p>
    <w:p w14:paraId="2D324A68" w14:textId="77777777" w:rsidR="003B5312" w:rsidRPr="00CF7CB1" w:rsidRDefault="003B5312" w:rsidP="0058504A">
      <w:pPr>
        <w:pStyle w:val="ListParagraph"/>
        <w:numPr>
          <w:ilvl w:val="0"/>
          <w:numId w:val="5"/>
        </w:numPr>
        <w:spacing w:after="120"/>
        <w:rPr>
          <w:lang w:val="en-AU"/>
        </w:rPr>
      </w:pPr>
      <w:r w:rsidRPr="00CF7CB1">
        <w:rPr>
          <w:b/>
          <w:lang w:val="en-AU"/>
        </w:rPr>
        <w:t>Pacific Agreement on Closer Economic Relations (PACER Plus) 2007-2016</w:t>
      </w:r>
      <w:r w:rsidRPr="00CF7CB1">
        <w:rPr>
          <w:lang w:val="en-AU"/>
        </w:rPr>
        <w:t xml:space="preserve">, an AUD13.3 million initiative supporting Pacific island countries to negotiate and prepare for the implementation of a </w:t>
      </w:r>
      <w:r w:rsidR="00030C0D" w:rsidRPr="00CF7CB1">
        <w:rPr>
          <w:lang w:val="en-AU"/>
        </w:rPr>
        <w:t>regional economic integration</w:t>
      </w:r>
      <w:r w:rsidRPr="00CF7CB1">
        <w:rPr>
          <w:lang w:val="en-AU"/>
        </w:rPr>
        <w:t xml:space="preserve"> agreement.</w:t>
      </w:r>
    </w:p>
    <w:p w14:paraId="7D5D4DA5" w14:textId="77777777" w:rsidR="003B5312" w:rsidRPr="00CF7CB1" w:rsidRDefault="003B5312" w:rsidP="00337BCF">
      <w:pPr>
        <w:spacing w:after="120"/>
        <w:rPr>
          <w:lang w:val="en-AU"/>
        </w:rPr>
      </w:pPr>
      <w:r w:rsidRPr="00CF7CB1">
        <w:rPr>
          <w:lang w:val="en-AU"/>
        </w:rPr>
        <w:t>These investments were chosen because they are strategic priorities for Australia, cover South East Asia and the Pacific regions, have significant trade facilitation components, and generally have sufficient information available to meet evaluation requirements.</w:t>
      </w:r>
    </w:p>
    <w:p w14:paraId="7F78B949" w14:textId="77777777" w:rsidR="003B5312" w:rsidRPr="00CF7CB1" w:rsidRDefault="003B5312" w:rsidP="00337BCF">
      <w:pPr>
        <w:spacing w:after="120"/>
        <w:rPr>
          <w:lang w:val="en-AU"/>
        </w:rPr>
      </w:pPr>
      <w:r w:rsidRPr="00CF7CB1">
        <w:rPr>
          <w:lang w:val="en-AU"/>
        </w:rPr>
        <w:t>The four investments were designed and commenced implementation prior to Aid for Trade becoming a strategic aid program priority in 2014 and the release of the Aid for Trade Strategy.  The evaluation acknowledges that work is already progressing to address some of the findings   and recommendations for these investments, and more broadly across Aid for</w:t>
      </w:r>
      <w:r w:rsidR="00030C0D" w:rsidRPr="00CF7CB1">
        <w:rPr>
          <w:lang w:val="en-AU"/>
        </w:rPr>
        <w:t xml:space="preserve"> </w:t>
      </w:r>
      <w:r w:rsidRPr="00CF7CB1">
        <w:rPr>
          <w:lang w:val="en-AU"/>
        </w:rPr>
        <w:t>Trade investments.</w:t>
      </w:r>
    </w:p>
    <w:p w14:paraId="55691995" w14:textId="77777777" w:rsidR="003B5312" w:rsidRPr="00CF7CB1" w:rsidRDefault="003B5312" w:rsidP="00337BCF">
      <w:pPr>
        <w:spacing w:after="120"/>
        <w:rPr>
          <w:lang w:val="en-AU"/>
        </w:rPr>
      </w:pPr>
      <w:r w:rsidRPr="00CF7CB1">
        <w:rPr>
          <w:lang w:val="en-AU"/>
        </w:rPr>
        <w:t>The evaluation used predominantly qualitative techniques involving more than 90 in-depth interviews with primary stakeholders and beneficiaries in Australia, Vanuatu, Fiji, Laos and Cambodia. This was supplemented with quantitative data where available and relevant.</w:t>
      </w:r>
    </w:p>
    <w:p w14:paraId="3C0750E8" w14:textId="77777777" w:rsidR="003B5312" w:rsidRPr="00CF7CB1" w:rsidRDefault="003B5312" w:rsidP="00337BCF">
      <w:pPr>
        <w:spacing w:after="120"/>
        <w:rPr>
          <w:lang w:val="en-AU"/>
        </w:rPr>
      </w:pPr>
      <w:r w:rsidRPr="00CF7CB1">
        <w:rPr>
          <w:lang w:val="en-AU"/>
        </w:rPr>
        <w:t>A literature review was conducted in order to place Australia’s investments in context, and to compare to other international good practice examples.</w:t>
      </w:r>
    </w:p>
    <w:p w14:paraId="7FB79DB5" w14:textId="77777777" w:rsidR="003B5312" w:rsidRPr="00CF7CB1" w:rsidRDefault="00710F19" w:rsidP="00710F19">
      <w:pPr>
        <w:pStyle w:val="Heading2"/>
        <w:numPr>
          <w:ilvl w:val="0"/>
          <w:numId w:val="0"/>
        </w:numPr>
        <w:ind w:left="709" w:hanging="709"/>
        <w:rPr>
          <w:lang w:val="en-AU"/>
        </w:rPr>
      </w:pPr>
      <w:r w:rsidRPr="00CF7CB1">
        <w:rPr>
          <w:lang w:val="en-AU"/>
        </w:rPr>
        <w:t xml:space="preserve">Key findings </w:t>
      </w:r>
      <w:r w:rsidR="003B5312" w:rsidRPr="00CF7CB1">
        <w:rPr>
          <w:lang w:val="en-AU"/>
        </w:rPr>
        <w:t>and recommendations</w:t>
      </w:r>
    </w:p>
    <w:p w14:paraId="422A2942" w14:textId="77777777" w:rsidR="003B5312" w:rsidRPr="00CF7CB1" w:rsidRDefault="003B5312" w:rsidP="00337BCF">
      <w:pPr>
        <w:spacing w:after="120"/>
        <w:rPr>
          <w:b/>
          <w:lang w:val="en-AU"/>
        </w:rPr>
      </w:pPr>
      <w:r w:rsidRPr="00CF7CB1">
        <w:rPr>
          <w:b/>
          <w:lang w:val="en-AU"/>
        </w:rPr>
        <w:t>DFAT investments in trade facilitation have been effective in addressing capacity issues, have the potential to make significant impacts to poverty reduction, and contain many elements of good global practice.</w:t>
      </w:r>
    </w:p>
    <w:p w14:paraId="667D903B" w14:textId="77777777" w:rsidR="003B5312" w:rsidRPr="00CF7CB1" w:rsidRDefault="003B5312" w:rsidP="00CA3FBF">
      <w:pPr>
        <w:pStyle w:val="ListParagraph"/>
        <w:numPr>
          <w:ilvl w:val="0"/>
          <w:numId w:val="6"/>
        </w:numPr>
        <w:spacing w:after="120"/>
        <w:ind w:left="426" w:hanging="426"/>
        <w:rPr>
          <w:lang w:val="en-AU"/>
        </w:rPr>
      </w:pPr>
      <w:r w:rsidRPr="00CF7CB1">
        <w:rPr>
          <w:lang w:val="en-AU"/>
        </w:rPr>
        <w:t>Australia’s trade facilitation investments have assisted partner countries in Asia and the Pacific to advance their trade liberalisation and domestic economic reform objectives to better integrate with regional and global economies. These investments work best when they:</w:t>
      </w:r>
    </w:p>
    <w:p w14:paraId="7A131DAB" w14:textId="77777777" w:rsidR="003B5312" w:rsidRPr="00CF7CB1" w:rsidRDefault="003B5312" w:rsidP="006C4BEC">
      <w:pPr>
        <w:pStyle w:val="ListParagraph"/>
        <w:numPr>
          <w:ilvl w:val="0"/>
          <w:numId w:val="7"/>
        </w:numPr>
        <w:spacing w:after="120"/>
        <w:ind w:left="851" w:hanging="425"/>
        <w:rPr>
          <w:lang w:val="en-AU"/>
        </w:rPr>
      </w:pPr>
      <w:r w:rsidRPr="00CF7CB1">
        <w:rPr>
          <w:lang w:val="en-AU"/>
        </w:rPr>
        <w:t>Are responsive to partner government priorities (recognising that trade liberalisation is a complex political and technical process);</w:t>
      </w:r>
    </w:p>
    <w:p w14:paraId="4A661B16" w14:textId="77777777" w:rsidR="003B5312" w:rsidRPr="00CF7CB1" w:rsidRDefault="003B5312" w:rsidP="006C4BEC">
      <w:pPr>
        <w:pStyle w:val="ListParagraph"/>
        <w:numPr>
          <w:ilvl w:val="0"/>
          <w:numId w:val="7"/>
        </w:numPr>
        <w:spacing w:after="120"/>
        <w:ind w:left="851" w:hanging="425"/>
        <w:rPr>
          <w:lang w:val="en-AU"/>
        </w:rPr>
      </w:pPr>
      <w:r w:rsidRPr="00CF7CB1">
        <w:rPr>
          <w:lang w:val="en-AU"/>
        </w:rPr>
        <w:t>Complement and assist developing countries own efforts to boost economic growth; and</w:t>
      </w:r>
    </w:p>
    <w:p w14:paraId="4A29FF79" w14:textId="77777777" w:rsidR="003B5312" w:rsidRPr="00CF7CB1" w:rsidRDefault="003B5312" w:rsidP="006C4BEC">
      <w:pPr>
        <w:pStyle w:val="ListParagraph"/>
        <w:numPr>
          <w:ilvl w:val="0"/>
          <w:numId w:val="7"/>
        </w:numPr>
        <w:spacing w:after="120"/>
        <w:ind w:left="851" w:hanging="425"/>
        <w:rPr>
          <w:lang w:val="en-AU"/>
        </w:rPr>
      </w:pPr>
      <w:r w:rsidRPr="00CF7CB1">
        <w:rPr>
          <w:lang w:val="en-AU"/>
        </w:rPr>
        <w:t xml:space="preserve">Enable an </w:t>
      </w:r>
      <w:r w:rsidR="004061FB" w:rsidRPr="00CF7CB1">
        <w:rPr>
          <w:lang w:val="en-AU"/>
        </w:rPr>
        <w:t>environment for innovation and</w:t>
      </w:r>
      <w:r w:rsidRPr="00CF7CB1">
        <w:rPr>
          <w:lang w:val="en-AU"/>
        </w:rPr>
        <w:t xml:space="preserve"> competition.</w:t>
      </w:r>
    </w:p>
    <w:p w14:paraId="483A8EB0" w14:textId="77777777" w:rsidR="006F11E7" w:rsidRPr="00CF7CB1" w:rsidRDefault="003B5312" w:rsidP="00CA3FBF">
      <w:pPr>
        <w:pStyle w:val="ListParagraph"/>
        <w:numPr>
          <w:ilvl w:val="0"/>
          <w:numId w:val="6"/>
        </w:numPr>
        <w:spacing w:after="120"/>
        <w:ind w:left="426" w:hanging="426"/>
        <w:rPr>
          <w:lang w:val="en-AU"/>
        </w:rPr>
      </w:pPr>
      <w:r w:rsidRPr="00CF7CB1">
        <w:rPr>
          <w:lang w:val="en-AU"/>
        </w:rPr>
        <w:t>The evaluation found that DFAT’s investments have been effective in addressing capacity issues across a diverse range of areas. The flexibility in designs has enabled programs to be responsive to emerging needs. There are some good examples of well-targeted capacity development activities, such as customs training in Cambodia, that have demonstrated impressive multiplier effects and become institutionalised with minimal investment. However, others lack requisite institutional support to be sustained due to limited resources, particularly in the area of biosecurity for some ASEAN members.</w:t>
      </w:r>
    </w:p>
    <w:p w14:paraId="0980C597" w14:textId="77777777" w:rsidR="006F11E7" w:rsidRPr="00CF7CB1" w:rsidRDefault="003B5312" w:rsidP="00CA3FBF">
      <w:pPr>
        <w:pStyle w:val="ListParagraph"/>
        <w:numPr>
          <w:ilvl w:val="0"/>
          <w:numId w:val="6"/>
        </w:numPr>
        <w:spacing w:after="120"/>
        <w:ind w:left="426" w:hanging="426"/>
        <w:rPr>
          <w:lang w:val="en-AU"/>
        </w:rPr>
      </w:pPr>
      <w:r w:rsidRPr="00CF7CB1">
        <w:rPr>
          <w:lang w:val="en-AU"/>
        </w:rPr>
        <w:t>In terms of broader economic and development outcomes the evaluation found that investments in trade facilitation have the potential to make significant impacts. There is evidence, through programs such as PHAMA in the Pacific and AECSP in South East Asia, that trade facilitation investments are reaching the poor by assisting local farmers and businesses to more efficiently trade. The supply chain networks established by exporters and intermediaries demonstrate potential to help women suppliers and business owners. The challenge is to establish causal attribution to the extent that outcomes can be quantified and programs can be optimised to deliver maximum impact.</w:t>
      </w:r>
    </w:p>
    <w:p w14:paraId="2C28E88E" w14:textId="77777777" w:rsidR="006F11E7" w:rsidRPr="00CF7CB1" w:rsidRDefault="006F11E7" w:rsidP="00CA3FBF">
      <w:pPr>
        <w:pStyle w:val="ListParagraph"/>
        <w:numPr>
          <w:ilvl w:val="0"/>
          <w:numId w:val="6"/>
        </w:numPr>
        <w:spacing w:after="120"/>
        <w:ind w:left="426" w:hanging="426"/>
        <w:rPr>
          <w:lang w:val="en-AU"/>
        </w:rPr>
      </w:pPr>
      <w:r w:rsidRPr="00CF7CB1">
        <w:rPr>
          <w:lang w:val="en-AU"/>
        </w:rPr>
        <w:t>DFAT investments</w:t>
      </w:r>
      <w:r w:rsidR="003B5312" w:rsidRPr="00CF7CB1">
        <w:rPr>
          <w:lang w:val="en-AU"/>
        </w:rPr>
        <w:t xml:space="preserve"> were also found to contain many elements of good global practice </w:t>
      </w:r>
      <w:r w:rsidRPr="00CF7CB1">
        <w:rPr>
          <w:lang w:val="en-AU"/>
        </w:rPr>
        <w:t>although not</w:t>
      </w:r>
      <w:r w:rsidR="003B5312" w:rsidRPr="00CF7CB1">
        <w:rPr>
          <w:lang w:val="en-AU"/>
        </w:rPr>
        <w:t xml:space="preserve"> all were embodied in any one investment. The evaluation developed criteria from eight themes of good practice discussed in the literature: (1) Gove</w:t>
      </w:r>
      <w:r w:rsidR="0038322B" w:rsidRPr="00CF7CB1">
        <w:rPr>
          <w:lang w:val="en-AU"/>
        </w:rPr>
        <w:t xml:space="preserve">rnment ownership; (2) Private </w:t>
      </w:r>
      <w:r w:rsidR="003B5312" w:rsidRPr="00CF7CB1">
        <w:rPr>
          <w:lang w:val="en-AU"/>
        </w:rPr>
        <w:t>sector engagement; (3) Integrated approach; (4) Regional approach; (5) Addressing key constraints; (6) Gender equality and women’s economic empowerment; (7) Flexibility; and (8) Monitoring and Evaluation. Overall DFAT trade facilitation investments per formed well in most areas with improvements identified in: adopting a more integrated approach; greater private sector engagement; placing a greater focus on the gender dimension; and strengthening monitoring  and  evaluation systems.</w:t>
      </w:r>
    </w:p>
    <w:p w14:paraId="386E59FE" w14:textId="77777777" w:rsidR="006F11E7" w:rsidRPr="00CF7CB1" w:rsidRDefault="003B5312" w:rsidP="00CA3FBF">
      <w:pPr>
        <w:pStyle w:val="ListParagraph"/>
        <w:numPr>
          <w:ilvl w:val="0"/>
          <w:numId w:val="6"/>
        </w:numPr>
        <w:spacing w:after="120"/>
        <w:ind w:left="426" w:hanging="426"/>
        <w:rPr>
          <w:lang w:val="en-AU"/>
        </w:rPr>
      </w:pPr>
      <w:r w:rsidRPr="00CF7CB1">
        <w:rPr>
          <w:lang w:val="en-AU"/>
        </w:rPr>
        <w:t xml:space="preserve">The evaluation noted that the integration of </w:t>
      </w:r>
      <w:r w:rsidR="006F11E7" w:rsidRPr="00CF7CB1">
        <w:rPr>
          <w:lang w:val="en-AU"/>
        </w:rPr>
        <w:t>DFAT with</w:t>
      </w:r>
      <w:r w:rsidRPr="00CF7CB1">
        <w:rPr>
          <w:lang w:val="en-AU"/>
        </w:rPr>
        <w:t xml:space="preserve"> AusAID in 2013 has brought together</w:t>
      </w:r>
      <w:r w:rsidR="00D62262" w:rsidRPr="00CF7CB1">
        <w:rPr>
          <w:lang w:val="en-AU"/>
        </w:rPr>
        <w:t xml:space="preserve"> </w:t>
      </w:r>
      <w:r w:rsidRPr="00CF7CB1">
        <w:rPr>
          <w:lang w:val="en-AU"/>
        </w:rPr>
        <w:t xml:space="preserve">a range of aid and trade skill sets that when combined could effectively bring increased </w:t>
      </w:r>
      <w:r w:rsidR="006F11E7" w:rsidRPr="00CF7CB1">
        <w:rPr>
          <w:lang w:val="en-AU"/>
        </w:rPr>
        <w:t>capacity to</w:t>
      </w:r>
      <w:r w:rsidRPr="00CF7CB1">
        <w:rPr>
          <w:lang w:val="en-AU"/>
        </w:rPr>
        <w:t xml:space="preserve"> </w:t>
      </w:r>
      <w:r w:rsidR="006F11E7" w:rsidRPr="00CF7CB1">
        <w:rPr>
          <w:lang w:val="en-AU"/>
        </w:rPr>
        <w:t>deliver innovative and</w:t>
      </w:r>
      <w:r w:rsidRPr="00CF7CB1">
        <w:rPr>
          <w:lang w:val="en-AU"/>
        </w:rPr>
        <w:t xml:space="preserve"> effective </w:t>
      </w:r>
      <w:r w:rsidR="006F11E7" w:rsidRPr="00CF7CB1">
        <w:rPr>
          <w:lang w:val="en-AU"/>
        </w:rPr>
        <w:t>trade facilitation</w:t>
      </w:r>
      <w:r w:rsidRPr="00CF7CB1">
        <w:rPr>
          <w:lang w:val="en-AU"/>
        </w:rPr>
        <w:t xml:space="preserve"> initiatives.</w:t>
      </w:r>
    </w:p>
    <w:p w14:paraId="7C7F26E8" w14:textId="77777777" w:rsidR="006F11E7" w:rsidRPr="00CF7CB1" w:rsidRDefault="003B5312" w:rsidP="00CA3FBF">
      <w:pPr>
        <w:pStyle w:val="ListParagraph"/>
        <w:numPr>
          <w:ilvl w:val="0"/>
          <w:numId w:val="6"/>
        </w:numPr>
        <w:spacing w:after="120"/>
        <w:ind w:left="426" w:hanging="426"/>
        <w:rPr>
          <w:lang w:val="en-AU"/>
        </w:rPr>
      </w:pPr>
      <w:r w:rsidRPr="00CF7CB1">
        <w:rPr>
          <w:lang w:val="en-AU"/>
        </w:rPr>
        <w:t xml:space="preserve">The Australian Government’s commitment to improving gender equality and women’s economic empowerment provides an opportunity to influence trade facilitation program </w:t>
      </w:r>
      <w:r w:rsidR="006F11E7" w:rsidRPr="00CF7CB1">
        <w:rPr>
          <w:lang w:val="en-AU"/>
        </w:rPr>
        <w:t>designs and</w:t>
      </w:r>
      <w:r w:rsidRPr="00CF7CB1">
        <w:rPr>
          <w:lang w:val="en-AU"/>
        </w:rPr>
        <w:t xml:space="preserve"> </w:t>
      </w:r>
      <w:r w:rsidR="006F11E7" w:rsidRPr="00CF7CB1">
        <w:rPr>
          <w:lang w:val="en-AU"/>
        </w:rPr>
        <w:t>implementation for</w:t>
      </w:r>
      <w:r w:rsidRPr="00CF7CB1">
        <w:rPr>
          <w:lang w:val="en-AU"/>
        </w:rPr>
        <w:t xml:space="preserve"> </w:t>
      </w:r>
      <w:r w:rsidR="006F11E7" w:rsidRPr="00CF7CB1">
        <w:rPr>
          <w:lang w:val="en-AU"/>
        </w:rPr>
        <w:t>better development</w:t>
      </w:r>
      <w:r w:rsidRPr="00CF7CB1">
        <w:rPr>
          <w:lang w:val="en-AU"/>
        </w:rPr>
        <w:t xml:space="preserve"> outcomes.</w:t>
      </w:r>
    </w:p>
    <w:p w14:paraId="350496FB" w14:textId="77777777" w:rsidR="003B5312" w:rsidRPr="00CF7CB1" w:rsidRDefault="003B5312" w:rsidP="00CA3FBF">
      <w:pPr>
        <w:pStyle w:val="ListParagraph"/>
        <w:numPr>
          <w:ilvl w:val="0"/>
          <w:numId w:val="6"/>
        </w:numPr>
        <w:spacing w:after="120"/>
        <w:ind w:left="426" w:hanging="426"/>
        <w:rPr>
          <w:lang w:val="en-AU"/>
        </w:rPr>
      </w:pPr>
      <w:r w:rsidRPr="00CF7CB1">
        <w:rPr>
          <w:lang w:val="en-AU"/>
        </w:rPr>
        <w:t xml:space="preserve">The evaluation noted that the assessed investments were designed prior to Aid for Trade becoming a strategic aid program priority in 2014 and the release of the Aid for Trade Strategy in 2015. However the evaluation found that with increasing knowledge and guidance within the department, this trend is shifting and notable progress is being made to address </w:t>
      </w:r>
      <w:r w:rsidR="006F11E7" w:rsidRPr="00CF7CB1">
        <w:rPr>
          <w:lang w:val="en-AU"/>
        </w:rPr>
        <w:t>some of</w:t>
      </w:r>
      <w:r w:rsidRPr="00CF7CB1">
        <w:rPr>
          <w:lang w:val="en-AU"/>
        </w:rPr>
        <w:t xml:space="preserve"> the </w:t>
      </w:r>
      <w:r w:rsidR="006F11E7" w:rsidRPr="00CF7CB1">
        <w:rPr>
          <w:lang w:val="en-AU"/>
        </w:rPr>
        <w:t>findings and</w:t>
      </w:r>
      <w:r w:rsidRPr="00CF7CB1">
        <w:rPr>
          <w:lang w:val="en-AU"/>
        </w:rPr>
        <w:t xml:space="preserve"> </w:t>
      </w:r>
      <w:r w:rsidR="006F11E7" w:rsidRPr="00CF7CB1">
        <w:rPr>
          <w:lang w:val="en-AU"/>
        </w:rPr>
        <w:t>recommendations for</w:t>
      </w:r>
      <w:r w:rsidRPr="00CF7CB1">
        <w:rPr>
          <w:lang w:val="en-AU"/>
        </w:rPr>
        <w:t xml:space="preserve"> </w:t>
      </w:r>
      <w:r w:rsidR="006F11E7" w:rsidRPr="00CF7CB1">
        <w:rPr>
          <w:lang w:val="en-AU"/>
        </w:rPr>
        <w:t>trade facilitation investments</w:t>
      </w:r>
      <w:r w:rsidRPr="00CF7CB1">
        <w:rPr>
          <w:lang w:val="en-AU"/>
        </w:rPr>
        <w:t xml:space="preserve"> more broadly.</w:t>
      </w:r>
    </w:p>
    <w:p w14:paraId="0C20E90A" w14:textId="77777777" w:rsidR="003B5312" w:rsidRPr="00CF7CB1" w:rsidRDefault="003B5312" w:rsidP="00337BCF">
      <w:pPr>
        <w:spacing w:after="120"/>
        <w:rPr>
          <w:b/>
          <w:lang w:val="en-AU"/>
        </w:rPr>
      </w:pPr>
      <w:r w:rsidRPr="00CF7CB1">
        <w:rPr>
          <w:b/>
          <w:lang w:val="en-AU"/>
        </w:rPr>
        <w:t>There is a need for an integrated framework which applies to a trade facilitation investment.</w:t>
      </w:r>
    </w:p>
    <w:p w14:paraId="6598CD8B" w14:textId="77777777" w:rsidR="003B5312" w:rsidRPr="00CF7CB1" w:rsidRDefault="003B5312" w:rsidP="00CA3FBF">
      <w:pPr>
        <w:pStyle w:val="ListParagraph"/>
        <w:numPr>
          <w:ilvl w:val="0"/>
          <w:numId w:val="6"/>
        </w:numPr>
        <w:spacing w:after="120"/>
        <w:ind w:left="426" w:hanging="426"/>
        <w:rPr>
          <w:lang w:val="en-AU"/>
        </w:rPr>
      </w:pPr>
      <w:r w:rsidRPr="00CF7CB1">
        <w:rPr>
          <w:lang w:val="en-AU"/>
        </w:rPr>
        <w:t>An integrated framework includes a technical and political economy analysis, design and program logic and a performance framework:</w:t>
      </w:r>
    </w:p>
    <w:p w14:paraId="32122E14" w14:textId="77777777" w:rsidR="003B5312" w:rsidRPr="00CF7CB1" w:rsidRDefault="003B5312" w:rsidP="008D44B1">
      <w:pPr>
        <w:pStyle w:val="ListParagraph"/>
        <w:numPr>
          <w:ilvl w:val="0"/>
          <w:numId w:val="8"/>
        </w:numPr>
        <w:tabs>
          <w:tab w:val="num" w:pos="851"/>
        </w:tabs>
        <w:spacing w:after="120"/>
        <w:ind w:hanging="390"/>
        <w:rPr>
          <w:lang w:val="en-AU"/>
        </w:rPr>
      </w:pPr>
      <w:r w:rsidRPr="00CF7CB1">
        <w:rPr>
          <w:lang w:val="en-AU"/>
        </w:rPr>
        <w:t>Clearly articulated program logic model, showing the relationships between the resources, activities, outputs and outcomes or desired impact.</w:t>
      </w:r>
    </w:p>
    <w:p w14:paraId="7E7E9445" w14:textId="77777777" w:rsidR="003B5312" w:rsidRPr="00CF7CB1" w:rsidRDefault="003B5312" w:rsidP="0058504A">
      <w:pPr>
        <w:pStyle w:val="ListParagraph"/>
        <w:numPr>
          <w:ilvl w:val="0"/>
          <w:numId w:val="8"/>
        </w:numPr>
        <w:spacing w:after="120"/>
        <w:rPr>
          <w:lang w:val="en-AU"/>
        </w:rPr>
      </w:pPr>
      <w:r w:rsidRPr="00CF7CB1">
        <w:rPr>
          <w:lang w:val="en-AU"/>
        </w:rPr>
        <w:t>Strategies on how capacities built during the program would be sustained.</w:t>
      </w:r>
    </w:p>
    <w:p w14:paraId="590B278E" w14:textId="77777777" w:rsidR="003B5312" w:rsidRPr="00CF7CB1" w:rsidRDefault="003B5312" w:rsidP="0058504A">
      <w:pPr>
        <w:pStyle w:val="ListParagraph"/>
        <w:numPr>
          <w:ilvl w:val="0"/>
          <w:numId w:val="8"/>
        </w:numPr>
        <w:spacing w:after="120"/>
        <w:rPr>
          <w:lang w:val="en-AU"/>
        </w:rPr>
      </w:pPr>
      <w:r w:rsidRPr="00CF7CB1">
        <w:rPr>
          <w:lang w:val="en-AU"/>
        </w:rPr>
        <w:t>Adequate institutional strengthening support to complement the capacity building efforts.</w:t>
      </w:r>
    </w:p>
    <w:p w14:paraId="1BF9629B" w14:textId="77777777" w:rsidR="003B5312" w:rsidRPr="00CF7CB1" w:rsidRDefault="003B5312" w:rsidP="0058504A">
      <w:pPr>
        <w:pStyle w:val="ListParagraph"/>
        <w:numPr>
          <w:ilvl w:val="0"/>
          <w:numId w:val="8"/>
        </w:numPr>
        <w:spacing w:after="120"/>
        <w:rPr>
          <w:lang w:val="en-AU"/>
        </w:rPr>
      </w:pPr>
      <w:r w:rsidRPr="00CF7CB1">
        <w:rPr>
          <w:lang w:val="en-AU"/>
        </w:rPr>
        <w:t>Consideration of the time frames required for trade reforms, level of political commitment</w:t>
      </w:r>
      <w:r w:rsidR="0058504A" w:rsidRPr="00CF7CB1">
        <w:rPr>
          <w:lang w:val="en-AU"/>
        </w:rPr>
        <w:t>, and</w:t>
      </w:r>
      <w:r w:rsidRPr="00CF7CB1">
        <w:rPr>
          <w:lang w:val="en-AU"/>
        </w:rPr>
        <w:t xml:space="preserve"> </w:t>
      </w:r>
      <w:r w:rsidR="0058504A" w:rsidRPr="00CF7CB1">
        <w:rPr>
          <w:lang w:val="en-AU"/>
        </w:rPr>
        <w:t>other ODA</w:t>
      </w:r>
      <w:r w:rsidRPr="00CF7CB1">
        <w:rPr>
          <w:lang w:val="en-AU"/>
        </w:rPr>
        <w:t xml:space="preserve"> activities.</w:t>
      </w:r>
    </w:p>
    <w:p w14:paraId="49489CFD" w14:textId="77777777" w:rsidR="0058504A" w:rsidRPr="00CF7CB1" w:rsidRDefault="003B5312" w:rsidP="0058504A">
      <w:pPr>
        <w:pStyle w:val="ListParagraph"/>
        <w:numPr>
          <w:ilvl w:val="0"/>
          <w:numId w:val="8"/>
        </w:numPr>
        <w:spacing w:after="120"/>
        <w:rPr>
          <w:lang w:val="en-AU"/>
        </w:rPr>
      </w:pPr>
      <w:r w:rsidRPr="00CF7CB1">
        <w:rPr>
          <w:lang w:val="en-AU"/>
        </w:rPr>
        <w:t>Coordination with other donors and other areas of trade facilitation—recognising that the binding constraints to increasing trade and economic growth may be deficiencies in productive capacity and economic infrastructure.</w:t>
      </w:r>
    </w:p>
    <w:p w14:paraId="01BB7719" w14:textId="77777777" w:rsidR="0058504A" w:rsidRPr="00CF7CB1" w:rsidRDefault="003B5312" w:rsidP="008D44B1">
      <w:pPr>
        <w:pStyle w:val="ListParagraph"/>
        <w:numPr>
          <w:ilvl w:val="0"/>
          <w:numId w:val="8"/>
        </w:numPr>
        <w:tabs>
          <w:tab w:val="clear" w:pos="589"/>
          <w:tab w:val="num" w:pos="851"/>
        </w:tabs>
        <w:spacing w:after="120"/>
        <w:rPr>
          <w:lang w:val="en-AU"/>
        </w:rPr>
      </w:pPr>
      <w:r w:rsidRPr="00CF7CB1">
        <w:rPr>
          <w:lang w:val="en-AU"/>
        </w:rPr>
        <w:t>There should be focus on improving analysis of investment i</w:t>
      </w:r>
      <w:r w:rsidR="00A33F51" w:rsidRPr="00CF7CB1">
        <w:rPr>
          <w:lang w:val="en-AU"/>
        </w:rPr>
        <w:t xml:space="preserve">mpacts, but recognising it </w:t>
      </w:r>
      <w:r w:rsidRPr="00CF7CB1">
        <w:rPr>
          <w:lang w:val="en-AU"/>
        </w:rPr>
        <w:t xml:space="preserve">may be more realistic to focus on ‘contribution’ than ‘attribution’. International indicators should be adopted where applicable given the regional and global nature of </w:t>
      </w:r>
      <w:r w:rsidR="0058504A" w:rsidRPr="00CF7CB1">
        <w:rPr>
          <w:lang w:val="en-AU"/>
        </w:rPr>
        <w:t>trade facilitation inter</w:t>
      </w:r>
      <w:r w:rsidRPr="00CF7CB1">
        <w:rPr>
          <w:lang w:val="en-AU"/>
        </w:rPr>
        <w:t>ventions.</w:t>
      </w:r>
    </w:p>
    <w:p w14:paraId="0FD49DC0" w14:textId="77777777" w:rsidR="006224FE" w:rsidRPr="00CF7CB1" w:rsidRDefault="003B5312" w:rsidP="006224FE">
      <w:pPr>
        <w:pStyle w:val="ListParagraph"/>
        <w:numPr>
          <w:ilvl w:val="0"/>
          <w:numId w:val="8"/>
        </w:numPr>
        <w:spacing w:after="120"/>
        <w:rPr>
          <w:lang w:val="en-AU"/>
        </w:rPr>
      </w:pPr>
      <w:r w:rsidRPr="00CF7CB1">
        <w:rPr>
          <w:lang w:val="en-AU"/>
        </w:rPr>
        <w:t>Identification of gender specific challenges and practical strategies to address those challenges (going beyond collecting numbers for attendances but focussing on leadership abilities obtained by women, or economic gains experienced).</w:t>
      </w:r>
    </w:p>
    <w:p w14:paraId="6AB493E9" w14:textId="77777777" w:rsidR="003B5312" w:rsidRPr="00CF7CB1" w:rsidRDefault="003B5312" w:rsidP="006224FE">
      <w:pPr>
        <w:pStyle w:val="ListParagraph"/>
        <w:numPr>
          <w:ilvl w:val="0"/>
          <w:numId w:val="8"/>
        </w:numPr>
        <w:spacing w:after="120"/>
        <w:rPr>
          <w:lang w:val="en-AU"/>
        </w:rPr>
      </w:pPr>
      <w:r w:rsidRPr="00CF7CB1">
        <w:rPr>
          <w:lang w:val="en-AU"/>
        </w:rPr>
        <w:t>Strong monitoring and evaluation which assesses and establishes the impact of trade facilitation activities and their contribution to improved trade and higher level outcomes such as economic growth and poverty reducti</w:t>
      </w:r>
      <w:r w:rsidR="00254ABF" w:rsidRPr="00CF7CB1">
        <w:rPr>
          <w:lang w:val="en-AU"/>
        </w:rPr>
        <w:t xml:space="preserve">on. M&amp;E systems of the assessed </w:t>
      </w:r>
      <w:r w:rsidRPr="00CF7CB1">
        <w:rPr>
          <w:lang w:val="en-AU"/>
        </w:rPr>
        <w:t xml:space="preserve">interventions need strengthening in order to measure program impacts and enable </w:t>
      </w:r>
      <w:r w:rsidR="00FE4BEB" w:rsidRPr="00CF7CB1">
        <w:rPr>
          <w:lang w:val="en-AU"/>
        </w:rPr>
        <w:t>causal attribution to the</w:t>
      </w:r>
      <w:r w:rsidRPr="00CF7CB1">
        <w:rPr>
          <w:lang w:val="en-AU"/>
        </w:rPr>
        <w:t xml:space="preserve"> investments.</w:t>
      </w:r>
    </w:p>
    <w:p w14:paraId="2C9B353A" w14:textId="77777777" w:rsidR="00B04D08" w:rsidRPr="00CF7CB1" w:rsidRDefault="00B04D08" w:rsidP="00921DC7">
      <w:pPr>
        <w:pStyle w:val="Heading3"/>
        <w:pBdr>
          <w:top w:val="single" w:sz="4" w:space="1" w:color="auto"/>
          <w:left w:val="single" w:sz="4" w:space="4" w:color="auto"/>
          <w:bottom w:val="single" w:sz="4" w:space="1" w:color="auto"/>
          <w:right w:val="single" w:sz="4" w:space="4" w:color="auto"/>
        </w:pBdr>
        <w:rPr>
          <w:lang w:val="en-AU"/>
        </w:rPr>
      </w:pPr>
      <w:r w:rsidRPr="00CF7CB1">
        <w:rPr>
          <w:lang w:val="en-AU"/>
        </w:rPr>
        <w:t>Recommendation 1</w:t>
      </w:r>
    </w:p>
    <w:p w14:paraId="5955B4E8" w14:textId="77777777" w:rsidR="00B04D08" w:rsidRPr="00CF7CB1" w:rsidRDefault="00B04D08" w:rsidP="00921DC7">
      <w:pPr>
        <w:pBdr>
          <w:top w:val="single" w:sz="4" w:space="1" w:color="auto"/>
          <w:left w:val="single" w:sz="4" w:space="4" w:color="auto"/>
          <w:bottom w:val="single" w:sz="4" w:space="1" w:color="auto"/>
          <w:right w:val="single" w:sz="4" w:space="4" w:color="auto"/>
        </w:pBdr>
        <w:spacing w:after="120"/>
        <w:rPr>
          <w:lang w:val="en-AU"/>
        </w:rPr>
      </w:pPr>
      <w:r w:rsidRPr="00CF7CB1">
        <w:rPr>
          <w:lang w:val="en-AU"/>
        </w:rPr>
        <w:t>Investment  in capacity  development  for trade  facilitation  initiatives  should  be guided  by an integrated framework that promotes sustainable outcomes, including institutional strengthening,  and without  compromising  flexible  and responsive  approaches  to address</w:t>
      </w:r>
      <w:r w:rsidR="00C131D7" w:rsidRPr="00CF7CB1">
        <w:rPr>
          <w:lang w:val="en-AU"/>
        </w:rPr>
        <w:t xml:space="preserve"> </w:t>
      </w:r>
      <w:r w:rsidRPr="00CF7CB1">
        <w:rPr>
          <w:lang w:val="en-AU"/>
        </w:rPr>
        <w:t>emerging constraints and opportunities. An integrated framework includes a technical and political economy analysis, des</w:t>
      </w:r>
      <w:r w:rsidR="00C131D7" w:rsidRPr="00CF7CB1">
        <w:rPr>
          <w:lang w:val="en-AU"/>
        </w:rPr>
        <w:t>ign and program logic and a per</w:t>
      </w:r>
      <w:r w:rsidRPr="00CF7CB1">
        <w:rPr>
          <w:lang w:val="en-AU"/>
        </w:rPr>
        <w:t>formance</w:t>
      </w:r>
      <w:r w:rsidR="00C131D7" w:rsidRPr="00CF7CB1">
        <w:rPr>
          <w:lang w:val="en-AU"/>
        </w:rPr>
        <w:t xml:space="preserve"> </w:t>
      </w:r>
      <w:r w:rsidRPr="00CF7CB1">
        <w:rPr>
          <w:lang w:val="en-AU"/>
        </w:rPr>
        <w:t>framework.</w:t>
      </w:r>
    </w:p>
    <w:p w14:paraId="480A0305" w14:textId="77777777" w:rsidR="007B438B" w:rsidRPr="00CF7CB1" w:rsidRDefault="007B438B" w:rsidP="00921DC7">
      <w:pPr>
        <w:pStyle w:val="Heading3"/>
        <w:pBdr>
          <w:top w:val="single" w:sz="4" w:space="1" w:color="auto"/>
          <w:left w:val="single" w:sz="4" w:space="4" w:color="auto"/>
          <w:bottom w:val="single" w:sz="4" w:space="1" w:color="auto"/>
          <w:right w:val="single" w:sz="4" w:space="4" w:color="auto"/>
        </w:pBdr>
        <w:rPr>
          <w:lang w:val="en-AU"/>
        </w:rPr>
      </w:pPr>
      <w:r w:rsidRPr="00CF7CB1">
        <w:rPr>
          <w:lang w:val="en-AU"/>
        </w:rPr>
        <w:t>Recommendation 2</w:t>
      </w:r>
    </w:p>
    <w:p w14:paraId="4322AF62" w14:textId="77777777" w:rsidR="007B438B" w:rsidRPr="00CF7CB1" w:rsidRDefault="007B438B" w:rsidP="00921DC7">
      <w:pPr>
        <w:pBdr>
          <w:top w:val="single" w:sz="4" w:space="1" w:color="auto"/>
          <w:left w:val="single" w:sz="4" w:space="4" w:color="auto"/>
          <w:bottom w:val="single" w:sz="4" w:space="1" w:color="auto"/>
          <w:right w:val="single" w:sz="4" w:space="4" w:color="auto"/>
        </w:pBdr>
        <w:spacing w:after="120"/>
        <w:rPr>
          <w:lang w:val="en-AU"/>
        </w:rPr>
      </w:pPr>
      <w:r w:rsidRPr="00CF7CB1">
        <w:rPr>
          <w:lang w:val="en-AU"/>
        </w:rPr>
        <w:t>DFAT should continue to build on its experience in incorporating gender and trade in its programs, and ensure all future trade facilitation program designs adequately consider gender dimensions and an analysis of gender gaps. Gender equality and women’s empowerment objectives should be explicitly stated as development goals in the designs, identified in the program logic models, and monitored and evaluated using gender indicators and sex- disaggregation of data related to people. Good international practice should be followed around analysis of gender equality gaps.</w:t>
      </w:r>
    </w:p>
    <w:p w14:paraId="24AF10E7" w14:textId="77777777" w:rsidR="003B5312" w:rsidRPr="00CF7CB1" w:rsidRDefault="003B5312" w:rsidP="00337BCF">
      <w:pPr>
        <w:spacing w:after="120"/>
        <w:rPr>
          <w:b/>
          <w:lang w:val="en-AU"/>
        </w:rPr>
      </w:pPr>
      <w:r w:rsidRPr="00CF7CB1">
        <w:rPr>
          <w:b/>
          <w:lang w:val="en-AU"/>
        </w:rPr>
        <w:t>Trade facilitation investments need to be flexible, linked to government priorities, private sector priorities and require partner government ownership to be successful.</w:t>
      </w:r>
    </w:p>
    <w:p w14:paraId="6B2840A3" w14:textId="77777777" w:rsidR="003B5312" w:rsidRPr="00CF7CB1" w:rsidRDefault="003B5312" w:rsidP="00CA3FBF">
      <w:pPr>
        <w:pStyle w:val="ListParagraph"/>
        <w:numPr>
          <w:ilvl w:val="0"/>
          <w:numId w:val="6"/>
        </w:numPr>
        <w:spacing w:after="120"/>
        <w:ind w:left="426" w:hanging="426"/>
        <w:rPr>
          <w:lang w:val="en-AU"/>
        </w:rPr>
      </w:pPr>
      <w:r w:rsidRPr="00CF7CB1">
        <w:rPr>
          <w:lang w:val="en-AU"/>
        </w:rPr>
        <w:t>Trade facilitation interventions require flexible approaches as trade facilitation is a complex</w:t>
      </w:r>
      <w:r w:rsidR="006224FE" w:rsidRPr="00CF7CB1">
        <w:rPr>
          <w:lang w:val="en-AU"/>
        </w:rPr>
        <w:t xml:space="preserve"> </w:t>
      </w:r>
      <w:r w:rsidRPr="00CF7CB1">
        <w:rPr>
          <w:lang w:val="en-AU"/>
        </w:rPr>
        <w:t>long- term process. Lack of capacity, political and economic events, use of different approaches by different countries to address the same trade issues, requires flexibility in implementation. Furthermore, capacity building and gender aspects can take many years to develop and translate into practices and reformed attitudes.</w:t>
      </w:r>
    </w:p>
    <w:p w14:paraId="02449B70" w14:textId="77777777" w:rsidR="004058D1" w:rsidRPr="00CF7CB1" w:rsidRDefault="00254ABF" w:rsidP="00CA3FBF">
      <w:pPr>
        <w:pStyle w:val="ListParagraph"/>
        <w:numPr>
          <w:ilvl w:val="0"/>
          <w:numId w:val="6"/>
        </w:numPr>
        <w:spacing w:after="120"/>
        <w:ind w:left="426" w:hanging="426"/>
        <w:rPr>
          <w:lang w:val="en-AU"/>
        </w:rPr>
      </w:pPr>
      <w:r w:rsidRPr="00CF7CB1">
        <w:rPr>
          <w:lang w:val="en-AU"/>
        </w:rPr>
        <w:t>Government to</w:t>
      </w:r>
      <w:r w:rsidR="003B5312" w:rsidRPr="00CF7CB1">
        <w:rPr>
          <w:lang w:val="en-AU"/>
        </w:rPr>
        <w:t xml:space="preserve"> </w:t>
      </w:r>
      <w:r w:rsidRPr="00CF7CB1">
        <w:rPr>
          <w:lang w:val="en-AU"/>
        </w:rPr>
        <w:t>government approaches are</w:t>
      </w:r>
      <w:r w:rsidR="003B5312" w:rsidRPr="00CF7CB1">
        <w:rPr>
          <w:lang w:val="en-AU"/>
        </w:rPr>
        <w:t xml:space="preserve"> </w:t>
      </w:r>
      <w:r w:rsidRPr="00CF7CB1">
        <w:rPr>
          <w:lang w:val="en-AU"/>
        </w:rPr>
        <w:t>critical in</w:t>
      </w:r>
      <w:r w:rsidR="003B5312" w:rsidRPr="00CF7CB1">
        <w:rPr>
          <w:lang w:val="en-AU"/>
        </w:rPr>
        <w:t xml:space="preserve"> </w:t>
      </w:r>
      <w:r w:rsidRPr="00CF7CB1">
        <w:rPr>
          <w:lang w:val="en-AU"/>
        </w:rPr>
        <w:t xml:space="preserve">maintaining political </w:t>
      </w:r>
      <w:r w:rsidR="003B5312" w:rsidRPr="00CF7CB1">
        <w:rPr>
          <w:lang w:val="en-AU"/>
        </w:rPr>
        <w:t>ownership</w:t>
      </w:r>
      <w:r w:rsidR="006224FE" w:rsidRPr="00CF7CB1">
        <w:rPr>
          <w:lang w:val="en-AU"/>
        </w:rPr>
        <w:t xml:space="preserve"> </w:t>
      </w:r>
      <w:r w:rsidR="003B5312" w:rsidRPr="00CF7CB1">
        <w:rPr>
          <w:lang w:val="en-AU"/>
        </w:rPr>
        <w:t xml:space="preserve">and continuing economic engagement, while recognising the resource intensive nature of </w:t>
      </w:r>
      <w:r w:rsidR="006224FE" w:rsidRPr="00CF7CB1">
        <w:rPr>
          <w:lang w:val="en-AU"/>
        </w:rPr>
        <w:t>such engagement</w:t>
      </w:r>
      <w:r w:rsidR="003B5312" w:rsidRPr="00CF7CB1">
        <w:rPr>
          <w:lang w:val="en-AU"/>
        </w:rPr>
        <w:t>.</w:t>
      </w:r>
    </w:p>
    <w:p w14:paraId="1D0BD2A9" w14:textId="77777777" w:rsidR="003B5312" w:rsidRPr="00CF7CB1" w:rsidRDefault="003B5312" w:rsidP="00CA3FBF">
      <w:pPr>
        <w:pStyle w:val="ListParagraph"/>
        <w:numPr>
          <w:ilvl w:val="0"/>
          <w:numId w:val="6"/>
        </w:numPr>
        <w:spacing w:after="120"/>
        <w:ind w:left="426" w:hanging="426"/>
        <w:rPr>
          <w:lang w:val="en-AU"/>
        </w:rPr>
      </w:pPr>
      <w:r w:rsidRPr="00CF7CB1">
        <w:rPr>
          <w:lang w:val="en-AU"/>
        </w:rPr>
        <w:t>Political will, commitment and ownership by the partner government is another critical factor. Partner governments need to be committed to introduce or continue reforms and ultimately support and sustain trade facilitation projects. While it is acknowledged that governments   generally lack the capacity and resources for such reforms, donors can make use of the</w:t>
      </w:r>
      <w:r w:rsidR="00D62262" w:rsidRPr="00CF7CB1">
        <w:rPr>
          <w:lang w:val="en-AU"/>
        </w:rPr>
        <w:t xml:space="preserve"> </w:t>
      </w:r>
      <w:r w:rsidRPr="00CF7CB1">
        <w:rPr>
          <w:lang w:val="en-AU"/>
        </w:rPr>
        <w:t>Diagnostic Trade Integration Studies (DTIS) through the Enhanced Integrated Framework (EIF)</w:t>
      </w:r>
      <w:r w:rsidR="004058D1" w:rsidRPr="00CF7CB1">
        <w:rPr>
          <w:rStyle w:val="FootnoteReference"/>
          <w:lang w:val="en-AU"/>
        </w:rPr>
        <w:footnoteReference w:id="9"/>
      </w:r>
      <w:r w:rsidRPr="00CF7CB1">
        <w:rPr>
          <w:lang w:val="en-AU"/>
        </w:rPr>
        <w:t>, which provide a well-recognised mechanism for country diagnostics and engagement on the key trade  reforms needed.</w:t>
      </w:r>
    </w:p>
    <w:p w14:paraId="699D4EFF" w14:textId="77777777" w:rsidR="003B5312" w:rsidRPr="00CF7CB1" w:rsidRDefault="003B5312" w:rsidP="00CA3FBF">
      <w:pPr>
        <w:pStyle w:val="ListParagraph"/>
        <w:numPr>
          <w:ilvl w:val="0"/>
          <w:numId w:val="6"/>
        </w:numPr>
        <w:spacing w:after="120"/>
        <w:ind w:left="426" w:hanging="426"/>
        <w:rPr>
          <w:lang w:val="en-AU"/>
        </w:rPr>
      </w:pPr>
      <w:r w:rsidRPr="00CF7CB1">
        <w:rPr>
          <w:lang w:val="en-AU"/>
        </w:rPr>
        <w:t>Design and implementation of trade facilitation activities, particularly related to trade facilitation, requires strong support within the private sector. Governments and the private sector need to work closely together to identify viable opportunities and address barriers to trade.</w:t>
      </w:r>
      <w:r w:rsidR="004058D1" w:rsidRPr="00CF7CB1">
        <w:rPr>
          <w:lang w:val="en-AU"/>
        </w:rPr>
        <w:t xml:space="preserve"> </w:t>
      </w:r>
      <w:r w:rsidRPr="00CF7CB1">
        <w:rPr>
          <w:lang w:val="en-AU"/>
        </w:rPr>
        <w:t xml:space="preserve">This is particularly relevant to sanitary and phytosanitary (SPS) measures that can restrict market access. It is acknowledged that some parts of the private sector may not support international trade liberalisation and that </w:t>
      </w:r>
      <w:r w:rsidR="00CA3FBF">
        <w:rPr>
          <w:lang w:val="en-AU"/>
        </w:rPr>
        <w:t>g</w:t>
      </w:r>
      <w:r w:rsidRPr="00CF7CB1">
        <w:rPr>
          <w:lang w:val="en-AU"/>
        </w:rPr>
        <w:t>overnments have different levels of incentives in interacting with private sector representatives.</w:t>
      </w:r>
    </w:p>
    <w:p w14:paraId="52EC86EB" w14:textId="77777777" w:rsidR="000A11A5" w:rsidRPr="00CF7CB1" w:rsidRDefault="000A11A5" w:rsidP="00921DC7">
      <w:pPr>
        <w:pStyle w:val="Heading3"/>
        <w:pBdr>
          <w:top w:val="single" w:sz="4" w:space="1" w:color="auto"/>
          <w:left w:val="single" w:sz="4" w:space="4" w:color="auto"/>
          <w:bottom w:val="single" w:sz="4" w:space="1" w:color="auto"/>
          <w:right w:val="single" w:sz="4" w:space="4" w:color="auto"/>
        </w:pBdr>
        <w:rPr>
          <w:lang w:val="en-AU"/>
        </w:rPr>
      </w:pPr>
      <w:r w:rsidRPr="00CF7CB1">
        <w:rPr>
          <w:lang w:val="en-AU"/>
        </w:rPr>
        <w:t>Recommendation 3</w:t>
      </w:r>
    </w:p>
    <w:p w14:paraId="5700CFFE" w14:textId="77777777" w:rsidR="000A11A5" w:rsidRPr="00CF7CB1" w:rsidRDefault="000A11A5" w:rsidP="00921DC7">
      <w:pPr>
        <w:pBdr>
          <w:top w:val="single" w:sz="4" w:space="1" w:color="auto"/>
          <w:left w:val="single" w:sz="4" w:space="4" w:color="auto"/>
          <w:bottom w:val="single" w:sz="4" w:space="1" w:color="auto"/>
          <w:right w:val="single" w:sz="4" w:space="4" w:color="auto"/>
        </w:pBdr>
        <w:spacing w:after="120"/>
        <w:rPr>
          <w:lang w:val="en-AU"/>
        </w:rPr>
      </w:pPr>
      <w:r w:rsidRPr="00CF7CB1">
        <w:rPr>
          <w:lang w:val="en-AU"/>
        </w:rPr>
        <w:t>DFAT trade facilitation initiatives should include private sector engagement considerations throughout key stages, including planning and design. The investments should include an element of strong public-private dialogue particularly in partner countries.</w:t>
      </w:r>
    </w:p>
    <w:p w14:paraId="55382F52" w14:textId="77777777" w:rsidR="003B5312" w:rsidRPr="00CF7CB1" w:rsidRDefault="003B5312" w:rsidP="00337BCF">
      <w:pPr>
        <w:spacing w:after="120"/>
        <w:rPr>
          <w:b/>
          <w:lang w:val="en-AU"/>
        </w:rPr>
      </w:pPr>
      <w:r w:rsidRPr="00CF7CB1">
        <w:rPr>
          <w:b/>
          <w:lang w:val="en-AU"/>
        </w:rPr>
        <w:t>Internal coordination and communication between Australia’s bilateral, regional and global programs needs to be strengthened. This can be done by introducing shared values and implementable incentives for cooperation across regional and bilateral programs.</w:t>
      </w:r>
    </w:p>
    <w:p w14:paraId="677C33C7" w14:textId="77777777" w:rsidR="001A31FA" w:rsidRPr="00CF7CB1" w:rsidRDefault="003B5312" w:rsidP="00CA3FBF">
      <w:pPr>
        <w:pStyle w:val="ListParagraph"/>
        <w:numPr>
          <w:ilvl w:val="0"/>
          <w:numId w:val="6"/>
        </w:numPr>
        <w:spacing w:after="120"/>
        <w:ind w:left="426" w:hanging="426"/>
        <w:rPr>
          <w:lang w:val="en-AU"/>
        </w:rPr>
      </w:pPr>
      <w:r w:rsidRPr="00CF7CB1">
        <w:rPr>
          <w:lang w:val="en-AU"/>
        </w:rPr>
        <w:t>Given the cross-border nature of trade facilitation, regional approaches are often required. By its nature trade is regional and production characterised by global and regional value chains. Bilateral aid programs can complement regional initiatives by assisting partners to implement trade agreements or unilateral reforms.</w:t>
      </w:r>
    </w:p>
    <w:p w14:paraId="22DB5514" w14:textId="77777777" w:rsidR="003B5312" w:rsidRPr="00CF7CB1" w:rsidRDefault="003B5312" w:rsidP="00CA3FBF">
      <w:pPr>
        <w:pStyle w:val="ListParagraph"/>
        <w:numPr>
          <w:ilvl w:val="0"/>
          <w:numId w:val="6"/>
        </w:numPr>
        <w:spacing w:after="120"/>
        <w:ind w:left="426" w:hanging="426"/>
        <w:rPr>
          <w:lang w:val="en-AU"/>
        </w:rPr>
      </w:pPr>
      <w:r w:rsidRPr="00CF7CB1">
        <w:rPr>
          <w:lang w:val="en-AU"/>
        </w:rPr>
        <w:t>Improving communication and coordination between bilateral, regional and global program managers as well as with other government bodies (e.g. Australia Centre for International  Agricultural Research (ACIAR), Department of Agriculture, Customs) is required to minimise</w:t>
      </w:r>
      <w:r w:rsidR="00D62262" w:rsidRPr="00CF7CB1">
        <w:rPr>
          <w:lang w:val="en-AU"/>
        </w:rPr>
        <w:t xml:space="preserve"> </w:t>
      </w:r>
      <w:r w:rsidRPr="00CF7CB1">
        <w:rPr>
          <w:lang w:val="en-AU"/>
        </w:rPr>
        <w:t xml:space="preserve">overlap  and  maximise  opportunities  for  </w:t>
      </w:r>
      <w:r w:rsidR="001A31FA" w:rsidRPr="00CF7CB1">
        <w:rPr>
          <w:lang w:val="en-AU"/>
        </w:rPr>
        <w:t>effective  cooperation. There is a</w:t>
      </w:r>
      <w:r w:rsidRPr="00CF7CB1">
        <w:rPr>
          <w:lang w:val="en-AU"/>
        </w:rPr>
        <w:t xml:space="preserve"> </w:t>
      </w:r>
      <w:r w:rsidR="001A31FA" w:rsidRPr="00CF7CB1">
        <w:rPr>
          <w:lang w:val="en-AU"/>
        </w:rPr>
        <w:t>role for DFAT’s Office</w:t>
      </w:r>
      <w:r w:rsidRPr="00CF7CB1">
        <w:rPr>
          <w:lang w:val="en-AU"/>
        </w:rPr>
        <w:t xml:space="preserve"> of </w:t>
      </w:r>
      <w:r w:rsidR="001A31FA" w:rsidRPr="00CF7CB1">
        <w:rPr>
          <w:lang w:val="en-AU"/>
        </w:rPr>
        <w:t>Trade Negotiations</w:t>
      </w:r>
      <w:r w:rsidRPr="00CF7CB1">
        <w:rPr>
          <w:lang w:val="en-AU"/>
        </w:rPr>
        <w:t xml:space="preserve"> to work with </w:t>
      </w:r>
      <w:r w:rsidR="001A31FA" w:rsidRPr="00CF7CB1">
        <w:rPr>
          <w:lang w:val="en-AU"/>
        </w:rPr>
        <w:t>DFAT’s geographic</w:t>
      </w:r>
      <w:r w:rsidRPr="00CF7CB1">
        <w:rPr>
          <w:lang w:val="en-AU"/>
        </w:rPr>
        <w:t xml:space="preserve"> divisions and posts to build understanding</w:t>
      </w:r>
      <w:r w:rsidR="00D62262" w:rsidRPr="00CF7CB1">
        <w:rPr>
          <w:lang w:val="en-AU"/>
        </w:rPr>
        <w:t xml:space="preserve"> </w:t>
      </w:r>
      <w:r w:rsidRPr="00CF7CB1">
        <w:rPr>
          <w:lang w:val="en-AU"/>
        </w:rPr>
        <w:t xml:space="preserve">of trade facilitation and identify how existing and future investments can work more effectively </w:t>
      </w:r>
      <w:r w:rsidR="001A31FA" w:rsidRPr="00CF7CB1">
        <w:rPr>
          <w:lang w:val="en-AU"/>
        </w:rPr>
        <w:t>together and avoid</w:t>
      </w:r>
      <w:r w:rsidRPr="00CF7CB1">
        <w:rPr>
          <w:lang w:val="en-AU"/>
        </w:rPr>
        <w:t xml:space="preserve"> duplication.</w:t>
      </w:r>
    </w:p>
    <w:p w14:paraId="535B9670" w14:textId="77777777" w:rsidR="003B5312" w:rsidRPr="00CF7CB1" w:rsidRDefault="003B5312" w:rsidP="00CA3FBF">
      <w:pPr>
        <w:pStyle w:val="ListParagraph"/>
        <w:numPr>
          <w:ilvl w:val="0"/>
          <w:numId w:val="6"/>
        </w:numPr>
        <w:spacing w:after="120"/>
        <w:ind w:left="426" w:hanging="426"/>
        <w:rPr>
          <w:lang w:val="en-AU"/>
        </w:rPr>
      </w:pPr>
      <w:r w:rsidRPr="00CF7CB1">
        <w:rPr>
          <w:lang w:val="en-AU"/>
        </w:rPr>
        <w:t>DFAT’s aid investment plans, designs and agreements should also be used to identify areas of duplication, complementarities and linkages. The DFAT Aid Quality Check template currently</w:t>
      </w:r>
      <w:r w:rsidR="001A31FA" w:rsidRPr="00CF7CB1">
        <w:rPr>
          <w:lang w:val="en-AU"/>
        </w:rPr>
        <w:t xml:space="preserve"> </w:t>
      </w:r>
      <w:r w:rsidRPr="00CF7CB1">
        <w:rPr>
          <w:lang w:val="en-AU"/>
        </w:rPr>
        <w:t>requires staff to rate how well investments are harmonised with other donors. This requirement should be broadened to include harmonsation with other Australian investments.</w:t>
      </w:r>
    </w:p>
    <w:p w14:paraId="7BA72D09" w14:textId="77777777" w:rsidR="001A31FA" w:rsidRPr="00CF7CB1" w:rsidRDefault="003B5312" w:rsidP="00CA3FBF">
      <w:pPr>
        <w:pStyle w:val="ListParagraph"/>
        <w:numPr>
          <w:ilvl w:val="0"/>
          <w:numId w:val="6"/>
        </w:numPr>
        <w:spacing w:after="120"/>
        <w:ind w:left="426" w:hanging="426"/>
        <w:rPr>
          <w:lang w:val="en-AU"/>
        </w:rPr>
      </w:pPr>
      <w:r w:rsidRPr="00CF7CB1">
        <w:rPr>
          <w:lang w:val="en-AU"/>
        </w:rPr>
        <w:t>In regards to PACER Plus, there is an opportunity for the Office of the Chief Trade Adviser (OCTA) or its successor body, to enhance linkages and build synergies between its programs and other DFAT-funded activities through WTO (Global Trust Fund and Services program) and WIPO (World Intellectual Property Organisation). This collaboration would also enable the officials to receive up-to-date trade training in regional and WTO context, Institute for International Trade (University of Adelaide) and International Centre for Trade and Sustainable Development (ICTSD). These training initiatives are also helping developing countries build their capacity for trade negotiations, so synergies between programs and activities can be explored.</w:t>
      </w:r>
    </w:p>
    <w:p w14:paraId="5777B71E" w14:textId="77777777" w:rsidR="001A31FA" w:rsidRPr="00CF7CB1" w:rsidRDefault="003B5312" w:rsidP="00CA3FBF">
      <w:pPr>
        <w:pStyle w:val="ListParagraph"/>
        <w:numPr>
          <w:ilvl w:val="0"/>
          <w:numId w:val="6"/>
        </w:numPr>
        <w:spacing w:after="120"/>
        <w:ind w:left="426" w:hanging="426"/>
        <w:rPr>
          <w:lang w:val="en-AU"/>
        </w:rPr>
      </w:pPr>
      <w:r w:rsidRPr="00CF7CB1">
        <w:rPr>
          <w:lang w:val="en-AU"/>
        </w:rPr>
        <w:t>Linkages existing between trade facilitation reforms, infrastructure development, and productive capacity need to be strengthened. The programs need to be flexible and adapt to emerging needs and demands in these three areas during implementation.</w:t>
      </w:r>
    </w:p>
    <w:p w14:paraId="26B8D5B0" w14:textId="77777777" w:rsidR="00CA3FBF" w:rsidRDefault="003B5312" w:rsidP="00CA3FBF">
      <w:pPr>
        <w:pStyle w:val="ListParagraph"/>
        <w:numPr>
          <w:ilvl w:val="0"/>
          <w:numId w:val="6"/>
        </w:numPr>
        <w:spacing w:after="120"/>
        <w:ind w:left="426" w:hanging="426"/>
        <w:rPr>
          <w:lang w:val="en-AU"/>
        </w:rPr>
      </w:pPr>
      <w:r w:rsidRPr="00CF7CB1">
        <w:rPr>
          <w:lang w:val="en-AU"/>
        </w:rPr>
        <w:t>DFAT needs to continue its efforts in developing a mix of trade and aid skill sets for its staff. Post integration DFAT is better placed to develop staff skill sets in both areas, which is essential for the success of trade facilitation investments.</w:t>
      </w:r>
    </w:p>
    <w:p w14:paraId="1BEA87F9" w14:textId="77777777" w:rsidR="003B5312" w:rsidRPr="00CA3FBF" w:rsidRDefault="00CA3FBF" w:rsidP="00CA3FBF">
      <w:pPr>
        <w:rPr>
          <w:lang w:val="en-AU"/>
        </w:rPr>
      </w:pPr>
      <w:r>
        <w:rPr>
          <w:lang w:val="en-AU"/>
        </w:rPr>
        <w:br w:type="page"/>
      </w:r>
    </w:p>
    <w:p w14:paraId="0F6F166E" w14:textId="77777777" w:rsidR="003B5312" w:rsidRPr="00CF7CB1" w:rsidRDefault="00F63116" w:rsidP="00921DC7">
      <w:pPr>
        <w:pStyle w:val="Heading3"/>
        <w:pBdr>
          <w:top w:val="single" w:sz="4" w:space="1" w:color="auto"/>
          <w:left w:val="single" w:sz="4" w:space="4" w:color="auto"/>
          <w:bottom w:val="single" w:sz="4" w:space="1" w:color="auto"/>
          <w:right w:val="single" w:sz="4" w:space="4" w:color="auto"/>
        </w:pBdr>
        <w:rPr>
          <w:lang w:val="en-AU"/>
        </w:rPr>
      </w:pPr>
      <w:r w:rsidRPr="00CF7CB1">
        <w:rPr>
          <w:lang w:val="en-AU"/>
        </w:rPr>
        <w:t>Recommendation 4</w:t>
      </w:r>
    </w:p>
    <w:p w14:paraId="33BC2B91" w14:textId="77777777" w:rsidR="00F63116" w:rsidRPr="00CF7CB1" w:rsidRDefault="00F63116" w:rsidP="00921DC7">
      <w:pPr>
        <w:pBdr>
          <w:top w:val="single" w:sz="4" w:space="1" w:color="auto"/>
          <w:left w:val="single" w:sz="4" w:space="4" w:color="auto"/>
          <w:bottom w:val="single" w:sz="4" w:space="1" w:color="auto"/>
          <w:right w:val="single" w:sz="4" w:space="4" w:color="auto"/>
        </w:pBdr>
        <w:spacing w:after="120"/>
        <w:rPr>
          <w:lang w:val="en-AU"/>
        </w:rPr>
      </w:pPr>
      <w:r w:rsidRPr="00CF7CB1">
        <w:rPr>
          <w:lang w:val="en-AU"/>
        </w:rPr>
        <w:t>DFAT should improve communication and coordination between regional, bilateral and global programs working on aid for trade by requiring its investment m</w:t>
      </w:r>
      <w:r w:rsidR="00921DC7" w:rsidRPr="00CF7CB1">
        <w:rPr>
          <w:lang w:val="en-AU"/>
        </w:rPr>
        <w:t>anagers to identify synergies</w:t>
      </w:r>
      <w:r w:rsidRPr="00CF7CB1">
        <w:rPr>
          <w:lang w:val="en-AU"/>
        </w:rPr>
        <w:t xml:space="preserve"> in DFAT’s Aid Investment Plans, design and contracting processes, and Aid Quality Checks.</w:t>
      </w:r>
    </w:p>
    <w:p w14:paraId="54E01697" w14:textId="77777777" w:rsidR="005E1381" w:rsidRDefault="005E1381">
      <w:pPr>
        <w:rPr>
          <w:lang w:val="en-AU"/>
        </w:rPr>
      </w:pPr>
    </w:p>
    <w:p w14:paraId="33CF928C" w14:textId="77777777" w:rsidR="00822696" w:rsidRDefault="00822696">
      <w:pPr>
        <w:rPr>
          <w:lang w:val="en-AU"/>
        </w:rPr>
      </w:pPr>
      <w:r w:rsidRPr="00CF7CB1">
        <w:rPr>
          <w:lang w:val="en-AU"/>
        </w:rPr>
        <w:br w:type="page"/>
      </w:r>
    </w:p>
    <w:p w14:paraId="3D35C9B8" w14:textId="77777777" w:rsidR="005E1381" w:rsidRDefault="005E1381" w:rsidP="002B1F0C">
      <w:pPr>
        <w:pStyle w:val="Heading1"/>
        <w:numPr>
          <w:ilvl w:val="0"/>
          <w:numId w:val="0"/>
        </w:numPr>
        <w:ind w:left="266" w:hanging="266"/>
      </w:pPr>
      <w:r>
        <w:t>Management response</w:t>
      </w:r>
    </w:p>
    <w:p w14:paraId="53886EE9" w14:textId="77777777" w:rsidR="002B1F0C" w:rsidRPr="002B1F0C" w:rsidRDefault="002B1F0C" w:rsidP="002B1F0C">
      <w:pPr>
        <w:rPr>
          <w:lang w:val="en-GB"/>
        </w:rPr>
      </w:pPr>
      <w:r w:rsidRPr="002B1F0C">
        <w:rPr>
          <w:lang w:val="en-GB"/>
        </w:rPr>
        <w:t xml:space="preserve">The Department of Foreign Affairs and Trade (DFAT) welcomes the evaluation by the Office of Development Effectiveness ‘Gearing up for Trade—Australia’s support for trade facilitation programs’. The evaluation is a timely contribution to the evidence base, following the inclusion of aid for trade in the Sustainable Development Goals and as Australia seeks to increase its aid for trade investments to 20 per cent of official development assistance by 2020. </w:t>
      </w:r>
    </w:p>
    <w:p w14:paraId="3413BD08" w14:textId="77777777" w:rsidR="002B1F0C" w:rsidRPr="002B1F0C" w:rsidRDefault="002B1F0C" w:rsidP="002B1F0C">
      <w:pPr>
        <w:rPr>
          <w:lang w:val="en-GB"/>
        </w:rPr>
      </w:pPr>
      <w:r w:rsidRPr="002B1F0C">
        <w:rPr>
          <w:spacing w:val="-2"/>
          <w:lang w:val="en-GB"/>
        </w:rPr>
        <w:t xml:space="preserve">DFAT notes the evaluation’s conclusions that investments in trade facilitation and related assistance, a subset of aid for trade investments, have been effective in addressing capacity issues and can make significant, positive impacts towards poverty reduction. Such investments have addressed capacity issues through flexible and targeted designs, which generally adapt to emerging needs. They also have the potential to make significant impacts in broader economic and development outcomes. Further, the evaluation found that the integration of DFAT with AusAID in 2013 has brought together a range of aid and trade skill sets that, when combined, can effectively bring increased capacity to deliver innovative and effective aid for trade initiatives. </w:t>
      </w:r>
    </w:p>
    <w:p w14:paraId="7447B452" w14:textId="77777777" w:rsidR="002B1F0C" w:rsidRPr="002B1F0C" w:rsidRDefault="002B1F0C" w:rsidP="002B1F0C">
      <w:pPr>
        <w:rPr>
          <w:lang w:val="en-GB"/>
        </w:rPr>
      </w:pPr>
      <w:r w:rsidRPr="002B1F0C">
        <w:rPr>
          <w:spacing w:val="-2"/>
          <w:lang w:val="en-GB"/>
        </w:rPr>
        <w:t xml:space="preserve">The evaluation also highlights that DFAT investments performed well in most areas of global practice. Further improvements could include in: adopting a more integrated approach; greater private sector engagement; placing a greater focus on the gender dimension; and strengthening monitoring and evaluation systems. DFAT is committed to improving these elements in its future aid for trade investments, in line with the Government’s development policy. </w:t>
      </w:r>
      <w:r w:rsidRPr="002B1F0C">
        <w:rPr>
          <w:lang w:val="en-GB"/>
        </w:rPr>
        <w:t xml:space="preserve"> </w:t>
      </w:r>
    </w:p>
    <w:p w14:paraId="7DDD9483" w14:textId="77777777" w:rsidR="002B1F0C" w:rsidRDefault="002B1F0C" w:rsidP="002B1F0C">
      <w:pPr>
        <w:rPr>
          <w:lang w:val="en-GB"/>
        </w:rPr>
      </w:pPr>
      <w:r w:rsidRPr="002B1F0C">
        <w:rPr>
          <w:lang w:val="en-GB"/>
        </w:rPr>
        <w:t>DFAT notes that the subset of aid for trade investments evaluated were designed and commenced before the release of Australia’s new development policy—</w:t>
      </w:r>
      <w:r w:rsidRPr="002B1F0C">
        <w:rPr>
          <w:rFonts w:ascii="FranklinGothic-BookOblique" w:hAnsi="FranklinGothic-BookOblique" w:cs="FranklinGothic-BookOblique"/>
          <w:i/>
          <w:iCs/>
          <w:lang w:val="en-GB"/>
        </w:rPr>
        <w:t>Australian aid: promoting prosperity, reducing poverty, enhancing stability.</w:t>
      </w:r>
      <w:r w:rsidRPr="002B1F0C">
        <w:rPr>
          <w:lang w:val="en-GB"/>
        </w:rPr>
        <w:t xml:space="preserve"> Aid for trade became a targeted strategic priority for the Australian aid program under the new aid paradigm for the first time.</w:t>
      </w:r>
    </w:p>
    <w:p w14:paraId="389766FE" w14:textId="77777777" w:rsidR="002B1F0C" w:rsidRDefault="002B1F0C" w:rsidP="002B1F0C">
      <w:pPr>
        <w:rPr>
          <w:lang w:val="en-GB"/>
        </w:rPr>
      </w:pPr>
    </w:p>
    <w:p w14:paraId="2356EC6D" w14:textId="77777777" w:rsidR="00C973EA" w:rsidRDefault="00C973EA">
      <w:pPr>
        <w:rPr>
          <w:rFonts w:eastAsiaTheme="majorEastAsia" w:cstheme="majorBidi"/>
          <w:b/>
          <w:bCs/>
          <w:sz w:val="28"/>
          <w:szCs w:val="26"/>
        </w:rPr>
      </w:pPr>
      <w:r>
        <w:br w:type="page"/>
      </w:r>
    </w:p>
    <w:p w14:paraId="58B8D661" w14:textId="77777777" w:rsidR="002B1F0C" w:rsidRPr="002B1F0C" w:rsidRDefault="002B1F0C" w:rsidP="002B1F0C">
      <w:pPr>
        <w:pStyle w:val="Heading2"/>
        <w:numPr>
          <w:ilvl w:val="0"/>
          <w:numId w:val="0"/>
        </w:numPr>
        <w:ind w:left="709" w:hanging="709"/>
      </w:pPr>
      <w:r w:rsidRPr="002B1F0C">
        <w:t>Management responses to recommendations</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20" w:firstRow="1" w:lastRow="0" w:firstColumn="0" w:lastColumn="0" w:noHBand="0" w:noVBand="0"/>
      </w:tblPr>
      <w:tblGrid>
        <w:gridCol w:w="3798"/>
        <w:gridCol w:w="1191"/>
        <w:gridCol w:w="3798"/>
      </w:tblGrid>
      <w:tr w:rsidR="002B1F0C" w:rsidRPr="002B1F0C" w14:paraId="521CDC89" w14:textId="77777777" w:rsidTr="00075D8D">
        <w:trPr>
          <w:trHeight w:val="60"/>
        </w:trPr>
        <w:tc>
          <w:tcPr>
            <w:tcW w:w="8787" w:type="dxa"/>
            <w:gridSpan w:val="3"/>
            <w:shd w:val="clear" w:color="auto" w:fill="auto"/>
            <w:tcMar>
              <w:top w:w="113" w:type="dxa"/>
              <w:left w:w="113" w:type="dxa"/>
              <w:bottom w:w="113" w:type="dxa"/>
              <w:right w:w="113" w:type="dxa"/>
            </w:tcMar>
            <w:vAlign w:val="center"/>
          </w:tcPr>
          <w:p w14:paraId="46053DB3" w14:textId="77777777" w:rsidR="002B1F0C" w:rsidRPr="002B1F0C" w:rsidRDefault="002B1F0C" w:rsidP="002B1F0C">
            <w:pPr>
              <w:pStyle w:val="Tableheader"/>
              <w:rPr>
                <w:lang w:val="en-GB"/>
              </w:rPr>
            </w:pPr>
            <w:r w:rsidRPr="002B1F0C">
              <w:rPr>
                <w:lang w:val="en-GB"/>
              </w:rPr>
              <w:t>Recommendation 1</w:t>
            </w:r>
          </w:p>
        </w:tc>
      </w:tr>
      <w:tr w:rsidR="002B1F0C" w:rsidRPr="002B1F0C" w14:paraId="11C058ED" w14:textId="77777777" w:rsidTr="00075D8D">
        <w:trPr>
          <w:trHeight w:val="10077"/>
        </w:trPr>
        <w:tc>
          <w:tcPr>
            <w:tcW w:w="3798" w:type="dxa"/>
            <w:shd w:val="clear" w:color="auto" w:fill="auto"/>
            <w:tcMar>
              <w:top w:w="113" w:type="dxa"/>
              <w:left w:w="113" w:type="dxa"/>
              <w:bottom w:w="113" w:type="dxa"/>
              <w:right w:w="113" w:type="dxa"/>
            </w:tcMar>
          </w:tcPr>
          <w:p w14:paraId="38454BD0" w14:textId="77777777" w:rsidR="002B1F0C" w:rsidRPr="00C973EA" w:rsidRDefault="002B1F0C" w:rsidP="00C973EA">
            <w:pPr>
              <w:pStyle w:val="Tabletext"/>
              <w:rPr>
                <w:b w:val="0"/>
                <w:lang w:val="en-GB"/>
              </w:rPr>
            </w:pPr>
            <w:r w:rsidRPr="00C973EA">
              <w:rPr>
                <w:b w:val="0"/>
                <w:lang w:val="en-GB"/>
              </w:rPr>
              <w:t>Investment in capacity development for trade facilitation initiatives should be guided by an integrated framework that promotes sustainable outcomes, including institutional strengthening, and without compromising flexible and responsive approaches to address emerging constraints and opportunities. An integrated framework includes a technical and political economy analysis, design and program logic and a performance framework.</w:t>
            </w:r>
          </w:p>
        </w:tc>
        <w:tc>
          <w:tcPr>
            <w:tcW w:w="1191" w:type="dxa"/>
            <w:shd w:val="clear" w:color="auto" w:fill="auto"/>
            <w:tcMar>
              <w:top w:w="113" w:type="dxa"/>
              <w:left w:w="113" w:type="dxa"/>
              <w:bottom w:w="113" w:type="dxa"/>
              <w:right w:w="113" w:type="dxa"/>
            </w:tcMar>
          </w:tcPr>
          <w:p w14:paraId="557A2E72" w14:textId="77777777" w:rsidR="002B1F0C" w:rsidRPr="00C973EA" w:rsidRDefault="002B1F0C" w:rsidP="00C973EA">
            <w:pPr>
              <w:pStyle w:val="Tabletext"/>
              <w:rPr>
                <w:b w:val="0"/>
                <w:lang w:val="en-GB"/>
              </w:rPr>
            </w:pPr>
            <w:r w:rsidRPr="00C973EA">
              <w:rPr>
                <w:b w:val="0"/>
                <w:lang w:val="en-GB"/>
              </w:rPr>
              <w:t xml:space="preserve">Agree </w:t>
            </w:r>
          </w:p>
        </w:tc>
        <w:tc>
          <w:tcPr>
            <w:tcW w:w="3798" w:type="dxa"/>
            <w:shd w:val="clear" w:color="auto" w:fill="auto"/>
            <w:tcMar>
              <w:top w:w="113" w:type="dxa"/>
              <w:left w:w="113" w:type="dxa"/>
              <w:bottom w:w="113" w:type="dxa"/>
              <w:right w:w="57" w:type="dxa"/>
            </w:tcMar>
          </w:tcPr>
          <w:p w14:paraId="4B54BAFB" w14:textId="77777777" w:rsidR="002B1F0C" w:rsidRPr="00C973EA" w:rsidRDefault="002B1F0C" w:rsidP="00C973EA">
            <w:pPr>
              <w:pStyle w:val="Tabletext"/>
              <w:rPr>
                <w:b w:val="0"/>
                <w:spacing w:val="-2"/>
                <w:lang w:val="en-GB"/>
              </w:rPr>
            </w:pPr>
            <w:r w:rsidRPr="00C973EA">
              <w:rPr>
                <w:b w:val="0"/>
                <w:spacing w:val="-3"/>
                <w:lang w:val="en-GB"/>
              </w:rPr>
              <w:t xml:space="preserve">The evaluation analysed investments that existed prior to the release of the Strategy for Australia’s Aid for Trade Investments in July 2015. The </w:t>
            </w:r>
            <w:r w:rsidRPr="00C973EA">
              <w:rPr>
                <w:rFonts w:ascii="FranklinGothic-BookOblique" w:hAnsi="FranklinGothic-BookOblique" w:cs="FranklinGothic-BookOblique"/>
                <w:b w:val="0"/>
                <w:i/>
                <w:iCs/>
                <w:spacing w:val="-3"/>
                <w:lang w:val="en-GB"/>
              </w:rPr>
              <w:t>Strategy establishes a framework for future Australian aid for trade investments</w:t>
            </w:r>
            <w:r w:rsidRPr="00C973EA">
              <w:rPr>
                <w:b w:val="0"/>
                <w:spacing w:val="-3"/>
                <w:lang w:val="en-GB"/>
              </w:rPr>
              <w:t xml:space="preserve"> to ensure they are well planned and effective, meet the needs of our developing country partners, and are aligned with Australian interests. The Strategy includes a program logic. The Strategy was released at the Fifth Global Review of Aid for Trade in Geneva.</w:t>
            </w:r>
            <w:r w:rsidRPr="00C973EA">
              <w:rPr>
                <w:b w:val="0"/>
                <w:spacing w:val="-2"/>
                <w:lang w:val="en-GB"/>
              </w:rPr>
              <w:t xml:space="preserve"> </w:t>
            </w:r>
          </w:p>
          <w:p w14:paraId="0C961AC9" w14:textId="77777777" w:rsidR="002B1F0C" w:rsidRPr="00C973EA" w:rsidRDefault="002B1F0C" w:rsidP="00C973EA">
            <w:pPr>
              <w:pStyle w:val="Tabletext"/>
              <w:rPr>
                <w:b w:val="0"/>
                <w:lang w:val="en-GB"/>
              </w:rPr>
            </w:pPr>
            <w:r w:rsidRPr="00C973EA">
              <w:rPr>
                <w:b w:val="0"/>
                <w:lang w:val="en-GB"/>
              </w:rPr>
              <w:t xml:space="preserve">The Department will update the Strategy by the end of 2016 to reflect lessons learnt, including, where relevant, the findings and recommendations of the ODE evaluation. </w:t>
            </w:r>
          </w:p>
          <w:p w14:paraId="758E3E33" w14:textId="77777777" w:rsidR="002B1F0C" w:rsidRPr="00C973EA" w:rsidRDefault="002B1F0C" w:rsidP="00C973EA">
            <w:pPr>
              <w:pStyle w:val="Tabletext"/>
              <w:rPr>
                <w:b w:val="0"/>
                <w:lang w:val="en-GB"/>
              </w:rPr>
            </w:pPr>
            <w:r w:rsidRPr="00C973EA">
              <w:rPr>
                <w:b w:val="0"/>
                <w:lang w:val="en-GB"/>
              </w:rPr>
              <w:t>As recognised in the evaluation report, DFAT is unique among its OECD counterparts in having a dedicated area with the role of ensuring coherence and coordination in aid for trade policy, as well as providing internal expertise for the organisation in undertaking aid for trade investments.</w:t>
            </w:r>
          </w:p>
          <w:p w14:paraId="6CF518AB" w14:textId="77777777" w:rsidR="002B1F0C" w:rsidRPr="00C973EA" w:rsidRDefault="002B1F0C" w:rsidP="00C973EA">
            <w:pPr>
              <w:pStyle w:val="Tabletext"/>
              <w:rPr>
                <w:b w:val="0"/>
                <w:lang w:val="en-GB"/>
              </w:rPr>
            </w:pPr>
            <w:r w:rsidRPr="00C973EA">
              <w:rPr>
                <w:b w:val="0"/>
                <w:spacing w:val="-2"/>
                <w:lang w:val="en-GB"/>
              </w:rPr>
              <w:t>DFAT will now disseminate the findings of the evaluation, including through training of aid program managers located in posts in Asia and the Pacific.</w:t>
            </w:r>
          </w:p>
        </w:tc>
      </w:tr>
    </w:tbl>
    <w:p w14:paraId="3E325C0A" w14:textId="77777777" w:rsidR="002B1F0C" w:rsidRPr="002B1F0C" w:rsidRDefault="002B1F0C" w:rsidP="002B1F0C">
      <w:pPr>
        <w:keepNext/>
        <w:keepLines/>
        <w:widowControl w:val="0"/>
        <w:tabs>
          <w:tab w:val="left" w:pos="567"/>
        </w:tabs>
        <w:suppressAutoHyphens/>
        <w:autoSpaceDE w:val="0"/>
        <w:autoSpaceDN w:val="0"/>
        <w:adjustRightInd w:val="0"/>
        <w:spacing w:before="340" w:after="113" w:line="320" w:lineRule="atLeast"/>
        <w:textAlignment w:val="baseline"/>
        <w:rPr>
          <w:rFonts w:ascii="FranklinGothic-Book" w:hAnsi="FranklinGothic-Book" w:cs="FranklinGothic-Book"/>
          <w:color w:val="034D96"/>
          <w:spacing w:val="3"/>
          <w:sz w:val="28"/>
          <w:szCs w:val="28"/>
        </w:rPr>
      </w:pPr>
      <w:r w:rsidRPr="002B1F0C">
        <w:rPr>
          <w:rFonts w:ascii="FranklinGothic-Book" w:hAnsi="FranklinGothic-Book" w:cs="FranklinGothic-Book"/>
          <w:color w:val="034D96"/>
          <w:spacing w:val="3"/>
          <w:sz w:val="28"/>
          <w:szCs w:val="28"/>
        </w:rPr>
        <w:t xml:space="preserve"> </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20" w:firstRow="1" w:lastRow="0" w:firstColumn="0" w:lastColumn="0" w:noHBand="0" w:noVBand="0"/>
      </w:tblPr>
      <w:tblGrid>
        <w:gridCol w:w="3798"/>
        <w:gridCol w:w="1191"/>
        <w:gridCol w:w="3798"/>
      </w:tblGrid>
      <w:tr w:rsidR="002B1F0C" w:rsidRPr="00C973EA" w14:paraId="3618DA9D" w14:textId="77777777" w:rsidTr="00075D8D">
        <w:trPr>
          <w:trHeight w:val="572"/>
        </w:trPr>
        <w:tc>
          <w:tcPr>
            <w:tcW w:w="8787" w:type="dxa"/>
            <w:gridSpan w:val="3"/>
            <w:shd w:val="clear" w:color="auto" w:fill="auto"/>
            <w:tcMar>
              <w:top w:w="113" w:type="dxa"/>
              <w:left w:w="113" w:type="dxa"/>
              <w:bottom w:w="113" w:type="dxa"/>
              <w:right w:w="113" w:type="dxa"/>
            </w:tcMar>
            <w:vAlign w:val="center"/>
          </w:tcPr>
          <w:p w14:paraId="2D01B8BC" w14:textId="77777777" w:rsidR="002B1F0C" w:rsidRPr="00C973EA" w:rsidRDefault="002B1F0C" w:rsidP="00C973EA">
            <w:pPr>
              <w:pStyle w:val="Tablehead"/>
              <w:rPr>
                <w:lang w:val="en-GB"/>
              </w:rPr>
            </w:pPr>
            <w:r w:rsidRPr="00C973EA">
              <w:rPr>
                <w:lang w:val="en-GB"/>
              </w:rPr>
              <w:t>Recommendation 2</w:t>
            </w:r>
          </w:p>
        </w:tc>
      </w:tr>
      <w:tr w:rsidR="002B1F0C" w:rsidRPr="00C973EA" w14:paraId="2613DABD" w14:textId="77777777" w:rsidTr="00075D8D">
        <w:trPr>
          <w:trHeight w:hRule="exact" w:val="10606"/>
        </w:trPr>
        <w:tc>
          <w:tcPr>
            <w:tcW w:w="3798" w:type="dxa"/>
            <w:shd w:val="clear" w:color="auto" w:fill="auto"/>
            <w:tcMar>
              <w:top w:w="113" w:type="dxa"/>
              <w:left w:w="113" w:type="dxa"/>
              <w:bottom w:w="113" w:type="dxa"/>
              <w:right w:w="113" w:type="dxa"/>
            </w:tcMar>
          </w:tcPr>
          <w:p w14:paraId="72879C76" w14:textId="77777777" w:rsidR="002B1F0C" w:rsidRPr="00C973EA" w:rsidRDefault="002B1F0C" w:rsidP="00C973EA">
            <w:pPr>
              <w:pStyle w:val="Tabletext"/>
              <w:rPr>
                <w:rFonts w:ascii="FranklinGothic-Book" w:hAnsi="FranklinGothic-Book" w:cs="FranklinGothic-Book"/>
                <w:b w:val="0"/>
                <w:color w:val="000000"/>
                <w:sz w:val="21"/>
                <w:szCs w:val="21"/>
                <w:lang w:val="en-GB"/>
              </w:rPr>
            </w:pPr>
            <w:r w:rsidRPr="00C973EA">
              <w:rPr>
                <w:rFonts w:ascii="FranklinGothic-Book" w:hAnsi="FranklinGothic-Book" w:cs="FranklinGothic-Book"/>
                <w:b w:val="0"/>
                <w:color w:val="000000"/>
                <w:sz w:val="21"/>
                <w:szCs w:val="21"/>
                <w:lang w:val="en-GB"/>
              </w:rPr>
              <w:t>DFAT should continue to build on its experience in incorporating gender and trade in its programs, and ensure all future trade facilitation program designs adequately consider gender dimensions and an analysis of gender gaps. Gender equality and women’s empowerment objectives should be explicitly stated as development goals in the designs, identified in the program logic models, and monitored and evaluated using gender indicators and sex-disaggregation of data related to people. Good international practice should be followed around analysis of gender equality gaps.</w:t>
            </w:r>
          </w:p>
        </w:tc>
        <w:tc>
          <w:tcPr>
            <w:tcW w:w="1191" w:type="dxa"/>
            <w:shd w:val="clear" w:color="auto" w:fill="auto"/>
            <w:tcMar>
              <w:top w:w="113" w:type="dxa"/>
              <w:left w:w="113" w:type="dxa"/>
              <w:bottom w:w="113" w:type="dxa"/>
              <w:right w:w="113" w:type="dxa"/>
            </w:tcMar>
          </w:tcPr>
          <w:p w14:paraId="578A5C7E" w14:textId="77777777" w:rsidR="002B1F0C" w:rsidRPr="00C973EA" w:rsidRDefault="002B1F0C" w:rsidP="00C973EA">
            <w:pPr>
              <w:pStyle w:val="Tabletext"/>
              <w:rPr>
                <w:rFonts w:ascii="FranklinGothic-Book" w:hAnsi="FranklinGothic-Book" w:cs="FranklinGothic-Book"/>
                <w:b w:val="0"/>
                <w:color w:val="000000"/>
                <w:sz w:val="21"/>
                <w:szCs w:val="21"/>
                <w:lang w:val="en-GB"/>
              </w:rPr>
            </w:pPr>
            <w:r w:rsidRPr="00C973EA">
              <w:rPr>
                <w:rFonts w:ascii="FranklinGothic-Book" w:hAnsi="FranklinGothic-Book" w:cs="FranklinGothic-Book"/>
                <w:b w:val="0"/>
                <w:color w:val="000000"/>
                <w:sz w:val="21"/>
                <w:szCs w:val="21"/>
                <w:lang w:val="en-GB"/>
              </w:rPr>
              <w:t xml:space="preserve">Agree </w:t>
            </w:r>
          </w:p>
        </w:tc>
        <w:tc>
          <w:tcPr>
            <w:tcW w:w="3798" w:type="dxa"/>
            <w:shd w:val="clear" w:color="auto" w:fill="auto"/>
            <w:tcMar>
              <w:top w:w="113" w:type="dxa"/>
              <w:left w:w="113" w:type="dxa"/>
              <w:bottom w:w="113" w:type="dxa"/>
              <w:right w:w="113" w:type="dxa"/>
            </w:tcMar>
          </w:tcPr>
          <w:p w14:paraId="720B30E7" w14:textId="77777777" w:rsidR="002B1F0C" w:rsidRPr="00C973EA" w:rsidRDefault="002B1F0C" w:rsidP="00C973EA">
            <w:pPr>
              <w:pStyle w:val="Tabletext"/>
              <w:rPr>
                <w:rFonts w:ascii="FranklinGothic-Book" w:hAnsi="FranklinGothic-Book" w:cs="FranklinGothic-Book"/>
                <w:b w:val="0"/>
                <w:color w:val="000000"/>
                <w:spacing w:val="-2"/>
                <w:sz w:val="21"/>
                <w:szCs w:val="21"/>
                <w:lang w:val="en-GB"/>
              </w:rPr>
            </w:pPr>
            <w:r w:rsidRPr="00C973EA">
              <w:rPr>
                <w:rFonts w:ascii="FranklinGothic-Book" w:hAnsi="FranklinGothic-Book" w:cs="FranklinGothic-Book"/>
                <w:b w:val="0"/>
                <w:color w:val="000000"/>
                <w:spacing w:val="-2"/>
                <w:sz w:val="21"/>
                <w:szCs w:val="21"/>
                <w:lang w:val="en-GB"/>
              </w:rPr>
              <w:t xml:space="preserve">Aid for trade investments can make a significant contribution to advancing gender equality and economic empowerment of women. The evaluation analysed investments that existed prior to the release of the </w:t>
            </w:r>
            <w:r w:rsidRPr="00C973EA">
              <w:rPr>
                <w:rFonts w:ascii="FranklinGothic-BookOblique" w:hAnsi="FranklinGothic-BookOblique" w:cs="FranklinGothic-BookOblique"/>
                <w:b w:val="0"/>
                <w:i/>
                <w:iCs/>
                <w:color w:val="000000"/>
                <w:spacing w:val="-2"/>
                <w:sz w:val="21"/>
                <w:szCs w:val="21"/>
                <w:lang w:val="en-GB"/>
              </w:rPr>
              <w:t>Strategy for Australia’s Aid for Trade Investments</w:t>
            </w:r>
            <w:r w:rsidRPr="00C973EA">
              <w:rPr>
                <w:rFonts w:ascii="FranklinGothic-Book" w:hAnsi="FranklinGothic-Book" w:cs="FranklinGothic-Book"/>
                <w:b w:val="0"/>
                <w:color w:val="000000"/>
                <w:spacing w:val="-2"/>
                <w:sz w:val="21"/>
                <w:szCs w:val="21"/>
                <w:lang w:val="en-GB"/>
              </w:rPr>
              <w:t xml:space="preserve"> in July 2015. The Strategy acknowledges that aid for trade investments have historically performed poorly on incorporation of gender considerations. The Strategy highlights women’s economic empowerment as a priority area for aid for trade investments. Similarly, the Department’s </w:t>
            </w:r>
            <w:r w:rsidRPr="00C973EA">
              <w:rPr>
                <w:rFonts w:ascii="FranklinGothic-BookOblique" w:hAnsi="FranklinGothic-BookOblique" w:cs="FranklinGothic-BookOblique"/>
                <w:b w:val="0"/>
                <w:i/>
                <w:iCs/>
                <w:color w:val="000000"/>
                <w:spacing w:val="-2"/>
                <w:sz w:val="21"/>
                <w:szCs w:val="21"/>
                <w:lang w:val="en-GB"/>
              </w:rPr>
              <w:t>Gender Equality and Women’s Empowerment Strategy,</w:t>
            </w:r>
            <w:r w:rsidRPr="00C973EA">
              <w:rPr>
                <w:rFonts w:ascii="FranklinGothic-Book" w:hAnsi="FranklinGothic-Book" w:cs="FranklinGothic-Book"/>
                <w:b w:val="0"/>
                <w:color w:val="000000"/>
                <w:spacing w:val="-2"/>
                <w:sz w:val="21"/>
                <w:szCs w:val="21"/>
                <w:lang w:val="en-GB"/>
              </w:rPr>
              <w:t xml:space="preserve"> released in February 2016, includes promoting women’s economic empowerment as one of its three priorities, with specific reference to of aid for trade investments. </w:t>
            </w:r>
          </w:p>
          <w:p w14:paraId="325FF3AC" w14:textId="77777777" w:rsidR="002B1F0C" w:rsidRPr="00C973EA" w:rsidRDefault="002B1F0C" w:rsidP="00C973EA">
            <w:pPr>
              <w:pStyle w:val="Tabletext"/>
              <w:rPr>
                <w:rFonts w:ascii="FranklinGothic-Book" w:hAnsi="FranklinGothic-Book" w:cs="FranklinGothic-Book"/>
                <w:b w:val="0"/>
                <w:color w:val="000000"/>
                <w:sz w:val="21"/>
                <w:szCs w:val="21"/>
                <w:lang w:val="en-GB"/>
              </w:rPr>
            </w:pPr>
            <w:r w:rsidRPr="00C973EA">
              <w:rPr>
                <w:rFonts w:ascii="FranklinGothic-Book" w:hAnsi="FranklinGothic-Book" w:cs="FranklinGothic-Book"/>
                <w:b w:val="0"/>
                <w:color w:val="000000"/>
                <w:spacing w:val="-2"/>
                <w:sz w:val="21"/>
                <w:szCs w:val="21"/>
                <w:lang w:val="en-GB"/>
              </w:rPr>
              <w:t>The Department is committed to making significant progress in the intersection of aid for trade and gender, and exploring good practice and lessons learnt, including opportunities to incentivise partners (partner government agencies and aid program deliverers) and donors to undertake practical steps to address gender inequalities. It is of note, for example, that at Australia’s and other donors’ behest, the World</w:t>
            </w:r>
            <w:r w:rsidRPr="00C973EA">
              <w:rPr>
                <w:rFonts w:ascii="FranklinGothic-Book" w:hAnsi="FranklinGothic-Book" w:cs="FranklinGothic-Book"/>
                <w:b w:val="0"/>
                <w:color w:val="000000"/>
                <w:sz w:val="21"/>
                <w:szCs w:val="21"/>
                <w:lang w:val="en-GB"/>
              </w:rPr>
              <w:t xml:space="preserve"> Trade Organization adopted the economic empowerment of women, as part of its renewed aid for trade work program.</w:t>
            </w:r>
          </w:p>
        </w:tc>
      </w:tr>
    </w:tbl>
    <w:p w14:paraId="62BB428D" w14:textId="77777777" w:rsidR="002B1F0C" w:rsidRPr="002B1F0C" w:rsidRDefault="002B1F0C" w:rsidP="002B1F0C">
      <w:pPr>
        <w:widowControl w:val="0"/>
        <w:tabs>
          <w:tab w:val="left" w:pos="567"/>
        </w:tabs>
        <w:suppressAutoHyphens/>
        <w:autoSpaceDE w:val="0"/>
        <w:autoSpaceDN w:val="0"/>
        <w:adjustRightInd w:val="0"/>
        <w:spacing w:before="57" w:after="57" w:line="240" w:lineRule="atLeast"/>
        <w:textAlignment w:val="center"/>
        <w:rPr>
          <w:rFonts w:ascii="FranklinGothic-Book" w:hAnsi="FranklinGothic-Book" w:cs="FranklinGothic-Book"/>
          <w:color w:val="000000"/>
          <w:sz w:val="21"/>
          <w:szCs w:val="21"/>
          <w:lang w:val="en-GB"/>
        </w:rPr>
      </w:pPr>
      <w:r w:rsidRPr="002B1F0C">
        <w:rPr>
          <w:rFonts w:ascii="FranklinGothic-Book" w:hAnsi="FranklinGothic-Book" w:cs="FranklinGothic-Book"/>
          <w:color w:val="000000"/>
          <w:sz w:val="21"/>
          <w:szCs w:val="21"/>
          <w:lang w:val="en-GB"/>
        </w:rPr>
        <w:tab/>
      </w:r>
    </w:p>
    <w:tbl>
      <w:tblPr>
        <w:tblW w:w="0" w:type="auto"/>
        <w:tblInd w:w="113" w:type="dxa"/>
        <w:tblLayout w:type="fixed"/>
        <w:tblCellMar>
          <w:left w:w="0" w:type="dxa"/>
          <w:right w:w="0" w:type="dxa"/>
        </w:tblCellMar>
        <w:tblLook w:val="0020" w:firstRow="1" w:lastRow="0" w:firstColumn="0" w:lastColumn="0" w:noHBand="0" w:noVBand="0"/>
      </w:tblPr>
      <w:tblGrid>
        <w:gridCol w:w="3798"/>
        <w:gridCol w:w="1191"/>
        <w:gridCol w:w="3798"/>
      </w:tblGrid>
      <w:tr w:rsidR="002B1F0C" w:rsidRPr="002B1F0C" w14:paraId="049DF629" w14:textId="77777777" w:rsidTr="00075D8D">
        <w:trPr>
          <w:trHeight w:val="438"/>
        </w:trPr>
        <w:tc>
          <w:tcPr>
            <w:tcW w:w="8787" w:type="dxa"/>
            <w:gridSpan w:val="3"/>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vAlign w:val="center"/>
          </w:tcPr>
          <w:p w14:paraId="44F4F669" w14:textId="77777777" w:rsidR="002B1F0C" w:rsidRPr="00C973EA" w:rsidRDefault="002B1F0C" w:rsidP="00C973EA">
            <w:pPr>
              <w:pStyle w:val="Tablehead"/>
              <w:rPr>
                <w:lang w:val="en-GB"/>
              </w:rPr>
            </w:pPr>
            <w:r w:rsidRPr="00C973EA">
              <w:rPr>
                <w:lang w:val="en-GB"/>
              </w:rPr>
              <w:t>Recommendation 3</w:t>
            </w:r>
          </w:p>
        </w:tc>
      </w:tr>
      <w:tr w:rsidR="002B1F0C" w:rsidRPr="002B1F0C" w14:paraId="27A17997" w14:textId="77777777" w:rsidTr="00075D8D">
        <w:trPr>
          <w:trHeight w:val="5977"/>
        </w:trPr>
        <w:tc>
          <w:tcPr>
            <w:tcW w:w="3798"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14:paraId="3AF93878" w14:textId="77777777" w:rsidR="002B1F0C" w:rsidRPr="00C973EA" w:rsidRDefault="002B1F0C" w:rsidP="00C973EA">
            <w:pPr>
              <w:pStyle w:val="Tabletext"/>
              <w:rPr>
                <w:b w:val="0"/>
              </w:rPr>
            </w:pPr>
            <w:r w:rsidRPr="00C973EA">
              <w:rPr>
                <w:b w:val="0"/>
              </w:rPr>
              <w:t>DFAT trade facilitation initiatives should include private sector engagement considerations throughout key stages, including planning and design. The investments should include an element of strong public-private dialogue particularly in partner countries.</w:t>
            </w:r>
          </w:p>
        </w:tc>
        <w:tc>
          <w:tcPr>
            <w:tcW w:w="1191"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14:paraId="05F82891" w14:textId="77777777" w:rsidR="002B1F0C" w:rsidRPr="00C973EA" w:rsidRDefault="002B1F0C" w:rsidP="00C973EA">
            <w:pPr>
              <w:pStyle w:val="Tabletext"/>
              <w:rPr>
                <w:b w:val="0"/>
              </w:rPr>
            </w:pPr>
            <w:r w:rsidRPr="00C973EA">
              <w:rPr>
                <w:b w:val="0"/>
              </w:rPr>
              <w:t xml:space="preserve">Agree </w:t>
            </w:r>
          </w:p>
        </w:tc>
        <w:tc>
          <w:tcPr>
            <w:tcW w:w="3798"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14:paraId="1C38F568" w14:textId="77777777" w:rsidR="002B1F0C" w:rsidRPr="00C973EA" w:rsidRDefault="002B1F0C" w:rsidP="00C973EA">
            <w:pPr>
              <w:pStyle w:val="Tabletext"/>
              <w:rPr>
                <w:b w:val="0"/>
              </w:rPr>
            </w:pPr>
            <w:r w:rsidRPr="00C973EA">
              <w:rPr>
                <w:b w:val="0"/>
              </w:rPr>
              <w:t xml:space="preserve">The Department notes Australia’s development policy focus on private sector development and engagement to achieve sustainability in aid investments. The evaluation analysed investments that existed prior to this policy focus, which is outlined in the Strategy for Australia’s Aid for Trade Investments; the Ministerial Statement on Engaging the Private Sector in Aid and Development: and the Strategy for Australia’s Aid Investments in Private Sector Development. </w:t>
            </w:r>
          </w:p>
          <w:p w14:paraId="502B4922" w14:textId="77777777" w:rsidR="002B1F0C" w:rsidRPr="00C973EA" w:rsidRDefault="002B1F0C" w:rsidP="00C973EA">
            <w:pPr>
              <w:pStyle w:val="Tabletext"/>
              <w:rPr>
                <w:b w:val="0"/>
              </w:rPr>
            </w:pPr>
            <w:r w:rsidRPr="00C973EA">
              <w:rPr>
                <w:b w:val="0"/>
              </w:rPr>
              <w:t>Recent actions that have begun to enable the involvement of private sector engagement and public-private</w:t>
            </w:r>
            <w:r w:rsidR="00C973EA" w:rsidRPr="00C973EA">
              <w:rPr>
                <w:b w:val="0"/>
              </w:rPr>
              <w:t xml:space="preserve"> dialogue in trade facilitation </w:t>
            </w:r>
            <w:r w:rsidRPr="00C973EA">
              <w:rPr>
                <w:b w:val="0"/>
              </w:rPr>
              <w:t xml:space="preserve">investments include Australia’s support of the Enhanced Integrated Framework </w:t>
            </w:r>
            <w:r w:rsidR="00C973EA" w:rsidRPr="00C973EA">
              <w:rPr>
                <w:b w:val="0"/>
              </w:rPr>
              <w:t xml:space="preserve">and the Global Alliance </w:t>
            </w:r>
            <w:r w:rsidRPr="00C973EA">
              <w:rPr>
                <w:b w:val="0"/>
              </w:rPr>
              <w:t xml:space="preserve">for Trade Facilitation. </w:t>
            </w:r>
          </w:p>
        </w:tc>
      </w:tr>
    </w:tbl>
    <w:p w14:paraId="78C26055" w14:textId="77777777" w:rsidR="00C973EA" w:rsidRDefault="00C973EA" w:rsidP="002B1F0C">
      <w:pPr>
        <w:widowControl w:val="0"/>
        <w:tabs>
          <w:tab w:val="left" w:pos="567"/>
        </w:tabs>
        <w:suppressAutoHyphens/>
        <w:autoSpaceDE w:val="0"/>
        <w:autoSpaceDN w:val="0"/>
        <w:adjustRightInd w:val="0"/>
        <w:spacing w:before="57" w:after="57" w:line="270" w:lineRule="atLeast"/>
        <w:textAlignment w:val="center"/>
        <w:rPr>
          <w:rFonts w:ascii="FranklinGothic-Book" w:hAnsi="FranklinGothic-Book" w:cs="FranklinGothic-Book"/>
          <w:color w:val="000000"/>
          <w:sz w:val="21"/>
          <w:szCs w:val="21"/>
          <w:lang w:val="en-GB"/>
        </w:rPr>
      </w:pPr>
    </w:p>
    <w:p w14:paraId="53F68BD9" w14:textId="77777777" w:rsidR="00C973EA" w:rsidRDefault="00C973EA" w:rsidP="00C973EA">
      <w:pPr>
        <w:rPr>
          <w:lang w:val="en-GB"/>
        </w:rPr>
      </w:pPr>
      <w:r>
        <w:rPr>
          <w:lang w:val="en-GB"/>
        </w:rPr>
        <w:br w:type="page"/>
      </w:r>
    </w:p>
    <w:p w14:paraId="345FDE1F" w14:textId="77777777" w:rsidR="002B1F0C" w:rsidRPr="002B1F0C" w:rsidRDefault="002B1F0C" w:rsidP="002B1F0C">
      <w:pPr>
        <w:widowControl w:val="0"/>
        <w:tabs>
          <w:tab w:val="left" w:pos="567"/>
        </w:tabs>
        <w:suppressAutoHyphens/>
        <w:autoSpaceDE w:val="0"/>
        <w:autoSpaceDN w:val="0"/>
        <w:adjustRightInd w:val="0"/>
        <w:spacing w:before="57" w:after="57" w:line="270" w:lineRule="atLeast"/>
        <w:textAlignment w:val="center"/>
        <w:rPr>
          <w:rFonts w:ascii="FranklinGothic-Book" w:hAnsi="FranklinGothic-Book" w:cs="FranklinGothic-Book"/>
          <w:color w:val="000000"/>
          <w:sz w:val="21"/>
          <w:szCs w:val="21"/>
          <w:lang w:val="en-GB"/>
        </w:rPr>
      </w:pPr>
    </w:p>
    <w:tbl>
      <w:tblPr>
        <w:tblW w:w="0" w:type="auto"/>
        <w:tblInd w:w="113" w:type="dxa"/>
        <w:tblLayout w:type="fixed"/>
        <w:tblCellMar>
          <w:left w:w="0" w:type="dxa"/>
          <w:right w:w="0" w:type="dxa"/>
        </w:tblCellMar>
        <w:tblLook w:val="0000" w:firstRow="0" w:lastRow="0" w:firstColumn="0" w:lastColumn="0" w:noHBand="0" w:noVBand="0"/>
      </w:tblPr>
      <w:tblGrid>
        <w:gridCol w:w="3798"/>
        <w:gridCol w:w="1191"/>
        <w:gridCol w:w="3798"/>
      </w:tblGrid>
      <w:tr w:rsidR="00C973EA" w14:paraId="10BC1045" w14:textId="77777777" w:rsidTr="00C973EA">
        <w:trPr>
          <w:trHeight w:val="404"/>
        </w:trPr>
        <w:tc>
          <w:tcPr>
            <w:tcW w:w="8787" w:type="dxa"/>
            <w:gridSpan w:val="3"/>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vAlign w:val="center"/>
          </w:tcPr>
          <w:p w14:paraId="5CD92061" w14:textId="77777777" w:rsidR="00C973EA" w:rsidRPr="00C973EA" w:rsidRDefault="00C973EA" w:rsidP="00C973EA">
            <w:pPr>
              <w:pStyle w:val="Tablehead"/>
            </w:pPr>
            <w:r w:rsidRPr="00C973EA">
              <w:t>Recommendation 4</w:t>
            </w:r>
          </w:p>
        </w:tc>
      </w:tr>
      <w:tr w:rsidR="00C973EA" w14:paraId="4A23EEF8" w14:textId="77777777" w:rsidTr="00C973EA">
        <w:trPr>
          <w:trHeight w:val="60"/>
        </w:trPr>
        <w:tc>
          <w:tcPr>
            <w:tcW w:w="3798"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14:paraId="19C8D12E" w14:textId="77777777" w:rsidR="00C973EA" w:rsidRPr="00C973EA" w:rsidRDefault="00C973EA" w:rsidP="00C973EA">
            <w:pPr>
              <w:pStyle w:val="Tabletext"/>
              <w:rPr>
                <w:b w:val="0"/>
              </w:rPr>
            </w:pPr>
            <w:r w:rsidRPr="00C973EA">
              <w:rPr>
                <w:b w:val="0"/>
              </w:rPr>
              <w:t>DFAT should improve communication and coordination between regional, bilateral and global programs working on aid for trade by requiring its investment managers to identify synergies in DFAT’s Aid Investment Plans, design and contracting processes, and Aid Quality Checks.</w:t>
            </w:r>
          </w:p>
        </w:tc>
        <w:tc>
          <w:tcPr>
            <w:tcW w:w="1191"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14:paraId="480D8855" w14:textId="77777777" w:rsidR="00C973EA" w:rsidRPr="00C973EA" w:rsidRDefault="00C973EA" w:rsidP="00C973EA">
            <w:pPr>
              <w:pStyle w:val="Tabletext"/>
              <w:rPr>
                <w:b w:val="0"/>
              </w:rPr>
            </w:pPr>
            <w:r w:rsidRPr="00C973EA">
              <w:rPr>
                <w:b w:val="0"/>
              </w:rPr>
              <w:t xml:space="preserve">Agree </w:t>
            </w:r>
          </w:p>
        </w:tc>
        <w:tc>
          <w:tcPr>
            <w:tcW w:w="3798"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14:paraId="4A340EAD" w14:textId="77777777" w:rsidR="00C973EA" w:rsidRPr="00C973EA" w:rsidRDefault="00C973EA" w:rsidP="00C973EA">
            <w:pPr>
              <w:pStyle w:val="Tabletext"/>
              <w:rPr>
                <w:b w:val="0"/>
              </w:rPr>
            </w:pPr>
            <w:r w:rsidRPr="00C973EA">
              <w:rPr>
                <w:b w:val="0"/>
              </w:rPr>
              <w:t xml:space="preserve">The challenges identified by the ODE on coordination between bilateral, regional and multilateral programs are not isolated to aid for trade investments. They are issues that continue to receive attention across the aid program. On the aid for trade front, greater efforts will be made to improve awareness of aid for trade investments across the portfolio, and facilitate dialogue between relevant areas. These efforts will be integrated with the reporting requirements and products outlined in the performance framework for Australia’s aid program: </w:t>
            </w:r>
            <w:r w:rsidRPr="00C973EA">
              <w:rPr>
                <w:rFonts w:ascii="FranklinGothic-BookOblique" w:hAnsi="FranklinGothic-BookOblique" w:cs="FranklinGothic-BookOblique"/>
                <w:b w:val="0"/>
                <w:i/>
                <w:iCs/>
              </w:rPr>
              <w:t xml:space="preserve">Making Performance Count: enhancing the accountability and effectiveness of Australian aid. </w:t>
            </w:r>
          </w:p>
        </w:tc>
      </w:tr>
    </w:tbl>
    <w:p w14:paraId="5F937E0D" w14:textId="77777777" w:rsidR="002B1F0C" w:rsidRPr="002B1F0C" w:rsidRDefault="002B1F0C" w:rsidP="002B1F0C">
      <w:pPr>
        <w:rPr>
          <w:lang w:val="en-GB"/>
        </w:rPr>
      </w:pPr>
    </w:p>
    <w:p w14:paraId="3857B062" w14:textId="77777777" w:rsidR="002B1F0C" w:rsidRPr="002B1F0C" w:rsidRDefault="002B1F0C" w:rsidP="002B1F0C">
      <w:pPr>
        <w:widowControl w:val="0"/>
        <w:tabs>
          <w:tab w:val="left" w:pos="567"/>
        </w:tabs>
        <w:suppressAutoHyphens/>
        <w:autoSpaceDE w:val="0"/>
        <w:autoSpaceDN w:val="0"/>
        <w:adjustRightInd w:val="0"/>
        <w:spacing w:before="57" w:after="57" w:line="270" w:lineRule="atLeast"/>
        <w:textAlignment w:val="center"/>
        <w:rPr>
          <w:rFonts w:ascii="FranklinGothic-Book" w:hAnsi="FranklinGothic-Book" w:cs="FranklinGothic-Book"/>
          <w:color w:val="000000"/>
          <w:sz w:val="21"/>
          <w:szCs w:val="21"/>
          <w:lang w:val="en-GB"/>
        </w:rPr>
      </w:pPr>
    </w:p>
    <w:p w14:paraId="17167C84" w14:textId="77777777" w:rsidR="00C973EA" w:rsidRDefault="00C973EA">
      <w:r>
        <w:br w:type="page"/>
      </w:r>
    </w:p>
    <w:p w14:paraId="54B3906B" w14:textId="77777777" w:rsidR="002B1F0C" w:rsidRPr="002B1F0C" w:rsidRDefault="002B1F0C" w:rsidP="002B1F0C"/>
    <w:p w14:paraId="07B8491E" w14:textId="77777777" w:rsidR="00822696" w:rsidRPr="00CF7CB1" w:rsidRDefault="00822696" w:rsidP="00BC5572">
      <w:pPr>
        <w:pStyle w:val="Heading1"/>
        <w:numPr>
          <w:ilvl w:val="0"/>
          <w:numId w:val="9"/>
        </w:numPr>
        <w:tabs>
          <w:tab w:val="clear" w:pos="357"/>
          <w:tab w:val="left" w:pos="0"/>
        </w:tabs>
        <w:ind w:left="0" w:firstLine="0"/>
        <w:rPr>
          <w:lang w:val="en-AU"/>
        </w:rPr>
      </w:pPr>
      <w:r w:rsidRPr="00CF7CB1">
        <w:rPr>
          <w:lang w:val="en-AU"/>
        </w:rPr>
        <w:t xml:space="preserve">Expanding the benefits of international trade: an Australian priority </w:t>
      </w:r>
    </w:p>
    <w:p w14:paraId="43D9BB1F" w14:textId="77777777" w:rsidR="003B5312" w:rsidRPr="00CF7CB1" w:rsidRDefault="005324ED" w:rsidP="00592888">
      <w:pPr>
        <w:pStyle w:val="Heading2"/>
        <w:rPr>
          <w:lang w:val="en-AU"/>
        </w:rPr>
      </w:pPr>
      <w:r w:rsidRPr="00CF7CB1">
        <w:rPr>
          <w:lang w:val="en-AU"/>
        </w:rPr>
        <w:t xml:space="preserve">Introduction </w:t>
      </w:r>
      <w:r w:rsidR="003B5312" w:rsidRPr="00CF7CB1">
        <w:rPr>
          <w:lang w:val="en-AU"/>
        </w:rPr>
        <w:t>and background</w:t>
      </w:r>
    </w:p>
    <w:p w14:paraId="12EC6915" w14:textId="77777777" w:rsidR="003B5312" w:rsidRPr="00CF7CB1" w:rsidRDefault="003B5312" w:rsidP="00337BCF">
      <w:pPr>
        <w:spacing w:after="120"/>
        <w:rPr>
          <w:lang w:val="en-AU"/>
        </w:rPr>
      </w:pPr>
      <w:r w:rsidRPr="00CF7CB1">
        <w:rPr>
          <w:lang w:val="en-AU"/>
        </w:rPr>
        <w:t>Australia is striving to be a recognised leader in promoting and supporting Aid for Trade (AfT) in the Asia-Pacific region in order to foster sustainable e</w:t>
      </w:r>
      <w:r w:rsidR="00945D69" w:rsidRPr="00CF7CB1">
        <w:rPr>
          <w:lang w:val="en-AU"/>
        </w:rPr>
        <w:t>conomic growth and prosperity.</w:t>
      </w:r>
      <w:r w:rsidR="00945D69" w:rsidRPr="00CF7CB1">
        <w:rPr>
          <w:rStyle w:val="FootnoteReference"/>
          <w:lang w:val="en-AU"/>
        </w:rPr>
        <w:footnoteReference w:id="10"/>
      </w:r>
      <w:r w:rsidRPr="00CF7CB1">
        <w:rPr>
          <w:lang w:val="en-AU"/>
        </w:rPr>
        <w:t xml:space="preserve"> AfT is about addressing the internal barriers to trade in developing countries. These barriers are classified</w:t>
      </w:r>
      <w:r w:rsidR="00945D69" w:rsidRPr="00CF7CB1">
        <w:rPr>
          <w:lang w:val="en-AU"/>
        </w:rPr>
        <w:t xml:space="preserve"> according to three key themes</w:t>
      </w:r>
      <w:r w:rsidR="00945D69" w:rsidRPr="00CF7CB1">
        <w:rPr>
          <w:rStyle w:val="FootnoteReference"/>
          <w:lang w:val="en-AU"/>
        </w:rPr>
        <w:footnoteReference w:id="11"/>
      </w:r>
      <w:r w:rsidRPr="00CF7CB1">
        <w:rPr>
          <w:lang w:val="en-AU"/>
        </w:rPr>
        <w:t>: (1) Trade policy and regulations, including trade facilitation; (2) Economic infrastructure such as transport, storage and communications; and (3) Building the productive capacity of the private sector. Australia has set a target of increasing AfT expenditure to 20 per cent of Australia’s aid budget by 2020.</w:t>
      </w:r>
    </w:p>
    <w:p w14:paraId="128815C9" w14:textId="77777777" w:rsidR="003B5312" w:rsidRPr="00893288" w:rsidRDefault="003B5312" w:rsidP="00893288">
      <w:pPr>
        <w:pBdr>
          <w:top w:val="single" w:sz="4" w:space="1" w:color="auto"/>
          <w:bottom w:val="single" w:sz="4" w:space="1" w:color="auto"/>
        </w:pBdr>
        <w:spacing w:before="120" w:after="120"/>
        <w:rPr>
          <w:sz w:val="26"/>
          <w:szCs w:val="26"/>
          <w:lang w:val="en-AU"/>
        </w:rPr>
      </w:pPr>
      <w:r w:rsidRPr="00893288">
        <w:rPr>
          <w:sz w:val="26"/>
          <w:szCs w:val="26"/>
          <w:lang w:val="en-AU"/>
        </w:rPr>
        <w:t xml:space="preserve">Aid for Trade is about helping developing countries, in particular the least developed, to build the trade capacity and infrastructure they need to benefit </w:t>
      </w:r>
      <w:r w:rsidR="00B20FE5" w:rsidRPr="00893288">
        <w:rPr>
          <w:sz w:val="26"/>
          <w:szCs w:val="26"/>
          <w:lang w:val="en-AU"/>
        </w:rPr>
        <w:t>from trade</w:t>
      </w:r>
      <w:r w:rsidRPr="00893288">
        <w:rPr>
          <w:sz w:val="26"/>
          <w:szCs w:val="26"/>
          <w:lang w:val="en-AU"/>
        </w:rPr>
        <w:t xml:space="preserve"> opening.</w:t>
      </w:r>
    </w:p>
    <w:p w14:paraId="09B87A9E" w14:textId="77777777" w:rsidR="003B5312" w:rsidRPr="00CF7CB1" w:rsidRDefault="003B5312" w:rsidP="000C77D3">
      <w:pPr>
        <w:pStyle w:val="Source"/>
        <w:pBdr>
          <w:top w:val="single" w:sz="4" w:space="1" w:color="auto"/>
          <w:bottom w:val="single" w:sz="4" w:space="1" w:color="auto"/>
        </w:pBdr>
        <w:rPr>
          <w:lang w:val="en-AU"/>
        </w:rPr>
      </w:pPr>
      <w:r w:rsidRPr="00CF7CB1">
        <w:rPr>
          <w:lang w:val="en-AU"/>
        </w:rPr>
        <w:t>WTO Aid for Trade Fact Sheet</w:t>
      </w:r>
    </w:p>
    <w:p w14:paraId="0544B487" w14:textId="77777777" w:rsidR="003B5312" w:rsidRPr="00CF7CB1" w:rsidRDefault="003B5312" w:rsidP="00896909">
      <w:pPr>
        <w:spacing w:before="120" w:after="120"/>
        <w:rPr>
          <w:lang w:val="en-AU"/>
        </w:rPr>
      </w:pPr>
      <w:r w:rsidRPr="00CF7CB1">
        <w:rPr>
          <w:lang w:val="en-AU"/>
        </w:rPr>
        <w:t>International trade is important for sustained economic growth and job creation. Whether trade and economic growth translate into poverty reduction, however, depends on a range of policy, structural, capacity and market issues. For developing countries, opening trade regimes and achieving market access are often not sufficient for improving outcomes for the poor. Structural impediments and a disconnect between trade liberalisation and the benefits for the poor, may mean that the poor, and particularly women, only receive marginal benefits from a country’s improved trade position.</w:t>
      </w:r>
    </w:p>
    <w:p w14:paraId="37CE4A34" w14:textId="77777777" w:rsidR="003B5312" w:rsidRPr="00CF7CB1" w:rsidRDefault="003B5312" w:rsidP="00337BCF">
      <w:pPr>
        <w:spacing w:after="120"/>
        <w:rPr>
          <w:lang w:val="en-AU"/>
        </w:rPr>
      </w:pPr>
      <w:r w:rsidRPr="00CF7CB1">
        <w:rPr>
          <w:lang w:val="en-AU"/>
        </w:rPr>
        <w:t>The Sustainable Development Goal (SDGs) explicitly recognises the importance of trade in setting targets for achieving a universal open trading system, increasing developed countries’ exports, and improving market ac</w:t>
      </w:r>
      <w:r w:rsidR="00945D69" w:rsidRPr="00CF7CB1">
        <w:rPr>
          <w:lang w:val="en-AU"/>
        </w:rPr>
        <w:t>cess for developing countries.</w:t>
      </w:r>
      <w:r w:rsidR="00945D69" w:rsidRPr="00CF7CB1">
        <w:rPr>
          <w:rStyle w:val="FootnoteReference"/>
          <w:lang w:val="en-AU"/>
        </w:rPr>
        <w:footnoteReference w:id="12"/>
      </w:r>
    </w:p>
    <w:p w14:paraId="00017859" w14:textId="77777777" w:rsidR="003B5312" w:rsidRPr="00CF7CB1" w:rsidRDefault="003B5312" w:rsidP="00337BCF">
      <w:pPr>
        <w:spacing w:after="120"/>
        <w:rPr>
          <w:lang w:val="en-AU"/>
        </w:rPr>
      </w:pPr>
      <w:r w:rsidRPr="00CF7CB1">
        <w:rPr>
          <w:lang w:val="en-AU"/>
        </w:rPr>
        <w:t xml:space="preserve">AfT provides a framework for helping developing countries participate in international trade and improve </w:t>
      </w:r>
      <w:r w:rsidR="002109F6" w:rsidRPr="00CF7CB1">
        <w:rPr>
          <w:lang w:val="en-AU"/>
        </w:rPr>
        <w:t>the benefits for the poor and</w:t>
      </w:r>
      <w:r w:rsidRPr="00CF7CB1">
        <w:rPr>
          <w:lang w:val="en-AU"/>
        </w:rPr>
        <w:t xml:space="preserve"> disadvantaged.</w:t>
      </w:r>
    </w:p>
    <w:p w14:paraId="53729E6F" w14:textId="77777777" w:rsidR="003B5312" w:rsidRPr="00CF7CB1" w:rsidRDefault="003B5312" w:rsidP="00337BCF">
      <w:pPr>
        <w:spacing w:after="120"/>
        <w:rPr>
          <w:lang w:val="en-AU"/>
        </w:rPr>
      </w:pPr>
      <w:r w:rsidRPr="00CF7CB1">
        <w:rPr>
          <w:lang w:val="en-AU"/>
        </w:rPr>
        <w:t>In July 2015 the Australian Government releas</w:t>
      </w:r>
      <w:r w:rsidR="00784EFF" w:rsidRPr="00CF7CB1">
        <w:rPr>
          <w:lang w:val="en-AU"/>
        </w:rPr>
        <w:t>ed its Aid for Trade Strategy.</w:t>
      </w:r>
      <w:r w:rsidR="00784EFF" w:rsidRPr="00CF7CB1">
        <w:rPr>
          <w:rStyle w:val="FootnoteReference"/>
          <w:lang w:val="en-AU"/>
        </w:rPr>
        <w:footnoteReference w:id="13"/>
      </w:r>
      <w:r w:rsidRPr="00CF7CB1">
        <w:rPr>
          <w:lang w:val="en-AU"/>
        </w:rPr>
        <w:t xml:space="preserve"> This strategy recognises the role of AfT initiatives in improving the economic conditions of developing</w:t>
      </w:r>
      <w:r w:rsidR="00B62C79" w:rsidRPr="00CF7CB1">
        <w:rPr>
          <w:lang w:val="en-AU"/>
        </w:rPr>
        <w:t xml:space="preserve"> </w:t>
      </w:r>
      <w:r w:rsidRPr="00CF7CB1">
        <w:rPr>
          <w:lang w:val="en-AU"/>
        </w:rPr>
        <w:t>country partners. It establishes an overarching framework to ensure investments are effective, meet the needs of developing country partners, and align with Australian interests. It focusses on three primary objectives aligned with partner country needs:</w:t>
      </w:r>
    </w:p>
    <w:p w14:paraId="6F34F9B1" w14:textId="77777777" w:rsidR="00B62C79" w:rsidRPr="00CF7CB1" w:rsidRDefault="00B62C79" w:rsidP="00BC5572">
      <w:pPr>
        <w:pStyle w:val="ListParagraph"/>
        <w:numPr>
          <w:ilvl w:val="0"/>
          <w:numId w:val="10"/>
        </w:numPr>
        <w:spacing w:after="120"/>
        <w:rPr>
          <w:lang w:val="en-AU"/>
        </w:rPr>
      </w:pPr>
      <w:r w:rsidRPr="00CF7CB1">
        <w:rPr>
          <w:lang w:val="en-AU"/>
        </w:rPr>
        <w:t xml:space="preserve">Improving </w:t>
      </w:r>
      <w:r w:rsidR="003B5312" w:rsidRPr="00CF7CB1">
        <w:rPr>
          <w:lang w:val="en-AU"/>
        </w:rPr>
        <w:t>th</w:t>
      </w:r>
      <w:r w:rsidRPr="00CF7CB1">
        <w:rPr>
          <w:lang w:val="en-AU"/>
        </w:rPr>
        <w:t>e</w:t>
      </w:r>
      <w:r w:rsidR="003B5312" w:rsidRPr="00CF7CB1">
        <w:rPr>
          <w:lang w:val="en-AU"/>
        </w:rPr>
        <w:t xml:space="preserve"> regulatory environment</w:t>
      </w:r>
    </w:p>
    <w:p w14:paraId="5E5BDC2E" w14:textId="77777777" w:rsidR="00B62C79" w:rsidRPr="00CF7CB1" w:rsidRDefault="00B62C79" w:rsidP="00BC5572">
      <w:pPr>
        <w:pStyle w:val="ListParagraph"/>
        <w:numPr>
          <w:ilvl w:val="0"/>
          <w:numId w:val="10"/>
        </w:numPr>
        <w:spacing w:after="120"/>
        <w:rPr>
          <w:lang w:val="en-AU"/>
        </w:rPr>
      </w:pPr>
      <w:r w:rsidRPr="00CF7CB1">
        <w:rPr>
          <w:lang w:val="en-AU"/>
        </w:rPr>
        <w:t xml:space="preserve">Addressing poor </w:t>
      </w:r>
      <w:r w:rsidR="003B5312" w:rsidRPr="00CF7CB1">
        <w:rPr>
          <w:lang w:val="en-AU"/>
        </w:rPr>
        <w:t>economic infrastructure</w:t>
      </w:r>
    </w:p>
    <w:p w14:paraId="051ACBAC" w14:textId="77777777" w:rsidR="003B5312" w:rsidRPr="00CF7CB1" w:rsidRDefault="003B5312" w:rsidP="00BC5572">
      <w:pPr>
        <w:pStyle w:val="ListParagraph"/>
        <w:numPr>
          <w:ilvl w:val="0"/>
          <w:numId w:val="10"/>
        </w:numPr>
        <w:spacing w:after="120"/>
        <w:rPr>
          <w:lang w:val="en-AU"/>
        </w:rPr>
      </w:pPr>
      <w:r w:rsidRPr="00CF7CB1">
        <w:rPr>
          <w:lang w:val="en-AU"/>
        </w:rPr>
        <w:t>Improving the prod</w:t>
      </w:r>
      <w:r w:rsidR="00B62C79" w:rsidRPr="00CF7CB1">
        <w:rPr>
          <w:lang w:val="en-AU"/>
        </w:rPr>
        <w:t>uctive capacity of the private</w:t>
      </w:r>
      <w:r w:rsidRPr="00CF7CB1">
        <w:rPr>
          <w:lang w:val="en-AU"/>
        </w:rPr>
        <w:t xml:space="preserve"> sector</w:t>
      </w:r>
    </w:p>
    <w:p w14:paraId="70043BBB" w14:textId="77777777" w:rsidR="003B5312" w:rsidRPr="00CF7CB1" w:rsidRDefault="003B5312" w:rsidP="00337BCF">
      <w:pPr>
        <w:spacing w:after="120"/>
        <w:rPr>
          <w:lang w:val="en-AU"/>
        </w:rPr>
      </w:pPr>
      <w:r w:rsidRPr="00CF7CB1">
        <w:rPr>
          <w:lang w:val="en-AU"/>
        </w:rPr>
        <w:t>The Aid for Trade Strategy supports developing countries’ efforts to benefit from the global rules-based trading system, implement domestic reform, and increase economic growth.</w:t>
      </w:r>
    </w:p>
    <w:p w14:paraId="6D746240" w14:textId="77777777" w:rsidR="003B5312" w:rsidRPr="00CF7CB1" w:rsidRDefault="003B5312" w:rsidP="00337BCF">
      <w:pPr>
        <w:spacing w:after="120"/>
        <w:rPr>
          <w:lang w:val="en-AU"/>
        </w:rPr>
      </w:pPr>
      <w:r w:rsidRPr="00CF7CB1">
        <w:rPr>
          <w:lang w:val="en-AU"/>
        </w:rPr>
        <w:t>To this end, Australia’s priority areas for investments include: trade and investment policy and trade facilitation; global value chains (GVCs); infrastructure; private sector development; economic empowerment of women; knowledge and skills development; agriculture;</w:t>
      </w:r>
      <w:r w:rsidR="002D23D3" w:rsidRPr="00CF7CB1">
        <w:rPr>
          <w:lang w:val="en-AU"/>
        </w:rPr>
        <w:t xml:space="preserve"> </w:t>
      </w:r>
      <w:r w:rsidRPr="00CF7CB1">
        <w:rPr>
          <w:lang w:val="en-AU"/>
        </w:rPr>
        <w:t>and services.</w:t>
      </w:r>
    </w:p>
    <w:p w14:paraId="24EA320E" w14:textId="77777777" w:rsidR="003B5312" w:rsidRPr="00CF7CB1" w:rsidRDefault="003B5312" w:rsidP="00337BCF">
      <w:pPr>
        <w:spacing w:after="120"/>
        <w:rPr>
          <w:lang w:val="en-AU"/>
        </w:rPr>
      </w:pPr>
      <w:r w:rsidRPr="00CF7CB1">
        <w:rPr>
          <w:lang w:val="en-AU"/>
        </w:rPr>
        <w:t>Trade and investment policy and trade facilitation, is one of the eight priority areas for   investments for Australia under the Aid for Trade Strategy. Trade facilitation and related   assistance is targeted at predominantly ‘at the border’ initiatives. These focus on reducing</w:t>
      </w:r>
      <w:r w:rsidR="0038322B" w:rsidRPr="00CF7CB1">
        <w:rPr>
          <w:lang w:val="en-AU"/>
        </w:rPr>
        <w:t xml:space="preserve"> </w:t>
      </w:r>
      <w:r w:rsidRPr="00CF7CB1">
        <w:rPr>
          <w:lang w:val="en-AU"/>
        </w:rPr>
        <w:t>border protection and transaction costs, and can be through a reduction in tariffs and non-tariff measures (NTMs) which are more often ‘behind the border’, improving customs, as well as improving other public institutions and regulatory requirements related to cross-border trade.</w:t>
      </w:r>
    </w:p>
    <w:p w14:paraId="478EFFDA" w14:textId="77777777" w:rsidR="003B5312" w:rsidRPr="00CF7CB1" w:rsidRDefault="003B5312" w:rsidP="00337BCF">
      <w:pPr>
        <w:spacing w:after="120"/>
        <w:rPr>
          <w:lang w:val="en-AU"/>
        </w:rPr>
      </w:pPr>
      <w:r w:rsidRPr="00CF7CB1">
        <w:rPr>
          <w:lang w:val="en-AU"/>
        </w:rPr>
        <w:t>This evaluation focusses on trade facilitation and related assistance as defined on next page. The definition used in this evaluation is broader than that used by World Trade Organization (WTO) and Organisation for Economic Cooperation and Development (OECD</w:t>
      </w:r>
      <w:r w:rsidR="00784EFF" w:rsidRPr="00CF7CB1">
        <w:rPr>
          <w:lang w:val="en-AU"/>
        </w:rPr>
        <w:t>).</w:t>
      </w:r>
      <w:r w:rsidR="00784EFF" w:rsidRPr="00CF7CB1">
        <w:rPr>
          <w:rStyle w:val="FootnoteReference"/>
          <w:lang w:val="en-AU"/>
        </w:rPr>
        <w:footnoteReference w:id="14"/>
      </w:r>
    </w:p>
    <w:p w14:paraId="53FA33F2" w14:textId="77777777" w:rsidR="00892519" w:rsidRPr="00CF7CB1" w:rsidRDefault="00892519">
      <w:pPr>
        <w:rPr>
          <w:lang w:val="en-AU"/>
        </w:rPr>
      </w:pPr>
      <w:r w:rsidRPr="00CF7CB1">
        <w:rPr>
          <w:lang w:val="en-AU"/>
        </w:rPr>
        <w:br w:type="page"/>
      </w:r>
    </w:p>
    <w:p w14:paraId="40A7BE61" w14:textId="77777777" w:rsidR="00892519" w:rsidRPr="00CF7CB1" w:rsidRDefault="00892519" w:rsidP="004F219A">
      <w:pPr>
        <w:pStyle w:val="Heading3"/>
        <w:pBdr>
          <w:top w:val="single" w:sz="4" w:space="1" w:color="auto"/>
          <w:left w:val="single" w:sz="4" w:space="4" w:color="auto"/>
          <w:bottom w:val="single" w:sz="4" w:space="1" w:color="auto"/>
          <w:right w:val="single" w:sz="4" w:space="4" w:color="auto"/>
        </w:pBdr>
        <w:rPr>
          <w:lang w:val="en-AU"/>
        </w:rPr>
      </w:pPr>
      <w:r w:rsidRPr="00CF7CB1">
        <w:rPr>
          <w:lang w:val="en-AU"/>
        </w:rPr>
        <w:t>Definition—Trade facilitation and related assistance</w:t>
      </w:r>
    </w:p>
    <w:p w14:paraId="7E3F658D" w14:textId="77777777" w:rsidR="00892519" w:rsidRPr="00CF7CB1" w:rsidRDefault="00892519" w:rsidP="004F219A">
      <w:pPr>
        <w:pBdr>
          <w:top w:val="single" w:sz="4" w:space="1" w:color="auto"/>
          <w:left w:val="single" w:sz="4" w:space="4" w:color="auto"/>
          <w:bottom w:val="single" w:sz="4" w:space="1" w:color="auto"/>
          <w:right w:val="single" w:sz="4" w:space="4" w:color="auto"/>
        </w:pBdr>
        <w:spacing w:after="120"/>
        <w:rPr>
          <w:lang w:val="en-AU"/>
        </w:rPr>
      </w:pPr>
      <w:r w:rsidRPr="00CF7CB1">
        <w:rPr>
          <w:lang w:val="en-AU"/>
        </w:rPr>
        <w:t>For the purpose of this evaluation we use the term ‘trade facilitation and related assistance’ which includes all activities and efforts that remove obstacles to the movement of goods and services across borders, and any other technical assistance or capacity building projects and programs that enhance or facilitate trade including:</w:t>
      </w:r>
    </w:p>
    <w:p w14:paraId="6127DC04" w14:textId="77777777" w:rsidR="00892519" w:rsidRPr="00CF7CB1" w:rsidRDefault="00892519" w:rsidP="00BC5572">
      <w:pPr>
        <w:pStyle w:val="ListParagraph"/>
        <w:numPr>
          <w:ilvl w:val="0"/>
          <w:numId w:val="12"/>
        </w:numPr>
        <w:pBdr>
          <w:top w:val="single" w:sz="4" w:space="1" w:color="auto"/>
          <w:left w:val="single" w:sz="4" w:space="4" w:color="auto"/>
          <w:bottom w:val="single" w:sz="4" w:space="1" w:color="auto"/>
          <w:right w:val="single" w:sz="4" w:space="4" w:color="auto"/>
        </w:pBdr>
        <w:spacing w:after="120"/>
        <w:rPr>
          <w:lang w:val="en-AU"/>
        </w:rPr>
      </w:pPr>
      <w:r w:rsidRPr="00CF7CB1">
        <w:rPr>
          <w:lang w:val="en-AU"/>
        </w:rPr>
        <w:t>Simplification and harmonisation international trade procedures including import and export procedures (customs valuation, licensing procedures, transport formalities, payments, insurance)</w:t>
      </w:r>
    </w:p>
    <w:p w14:paraId="513060CA" w14:textId="77777777" w:rsidR="00892519" w:rsidRPr="00CF7CB1" w:rsidRDefault="00892519" w:rsidP="00BC5572">
      <w:pPr>
        <w:pStyle w:val="ListParagraph"/>
        <w:numPr>
          <w:ilvl w:val="0"/>
          <w:numId w:val="12"/>
        </w:numPr>
        <w:pBdr>
          <w:top w:val="single" w:sz="4" w:space="1" w:color="auto"/>
          <w:left w:val="single" w:sz="4" w:space="4" w:color="auto"/>
          <w:bottom w:val="single" w:sz="4" w:space="1" w:color="auto"/>
          <w:right w:val="single" w:sz="4" w:space="4" w:color="auto"/>
        </w:pBdr>
        <w:spacing w:after="120"/>
        <w:rPr>
          <w:lang w:val="en-AU"/>
        </w:rPr>
      </w:pPr>
      <w:r w:rsidRPr="00CF7CB1">
        <w:rPr>
          <w:lang w:val="en-AU"/>
        </w:rPr>
        <w:t>Support to customs departments</w:t>
      </w:r>
    </w:p>
    <w:p w14:paraId="47FE0F55" w14:textId="77777777" w:rsidR="00892519" w:rsidRPr="00CF7CB1" w:rsidRDefault="00892519" w:rsidP="00BC5572">
      <w:pPr>
        <w:pStyle w:val="ListParagraph"/>
        <w:numPr>
          <w:ilvl w:val="0"/>
          <w:numId w:val="12"/>
        </w:numPr>
        <w:pBdr>
          <w:top w:val="single" w:sz="4" w:space="1" w:color="auto"/>
          <w:left w:val="single" w:sz="4" w:space="4" w:color="auto"/>
          <w:bottom w:val="single" w:sz="4" w:space="1" w:color="auto"/>
          <w:right w:val="single" w:sz="4" w:space="4" w:color="auto"/>
        </w:pBdr>
        <w:spacing w:after="120"/>
        <w:rPr>
          <w:lang w:val="en-AU"/>
        </w:rPr>
      </w:pPr>
      <w:r w:rsidRPr="00CF7CB1">
        <w:rPr>
          <w:lang w:val="en-AU"/>
        </w:rPr>
        <w:t>Tariff reforms</w:t>
      </w:r>
    </w:p>
    <w:p w14:paraId="789F0392" w14:textId="77777777" w:rsidR="00892519" w:rsidRPr="00CF7CB1" w:rsidRDefault="00892519" w:rsidP="00BC5572">
      <w:pPr>
        <w:pStyle w:val="ListParagraph"/>
        <w:numPr>
          <w:ilvl w:val="0"/>
          <w:numId w:val="12"/>
        </w:numPr>
        <w:pBdr>
          <w:top w:val="single" w:sz="4" w:space="1" w:color="auto"/>
          <w:left w:val="single" w:sz="4" w:space="4" w:color="auto"/>
          <w:bottom w:val="single" w:sz="4" w:space="1" w:color="auto"/>
          <w:right w:val="single" w:sz="4" w:space="4" w:color="auto"/>
        </w:pBdr>
        <w:spacing w:after="120"/>
        <w:rPr>
          <w:lang w:val="en-AU"/>
        </w:rPr>
      </w:pPr>
      <w:r w:rsidRPr="00CF7CB1">
        <w:rPr>
          <w:lang w:val="en-AU"/>
        </w:rPr>
        <w:t>Sanitary and phytosanitary measures</w:t>
      </w:r>
    </w:p>
    <w:p w14:paraId="0758F420" w14:textId="77777777" w:rsidR="00892519" w:rsidRPr="00CF7CB1" w:rsidRDefault="00892519" w:rsidP="00BC5572">
      <w:pPr>
        <w:pStyle w:val="ListParagraph"/>
        <w:numPr>
          <w:ilvl w:val="0"/>
          <w:numId w:val="12"/>
        </w:numPr>
        <w:pBdr>
          <w:top w:val="single" w:sz="4" w:space="1" w:color="auto"/>
          <w:left w:val="single" w:sz="4" w:space="4" w:color="auto"/>
          <w:bottom w:val="single" w:sz="4" w:space="1" w:color="auto"/>
          <w:right w:val="single" w:sz="4" w:space="4" w:color="auto"/>
        </w:pBdr>
        <w:spacing w:after="120"/>
        <w:rPr>
          <w:lang w:val="en-AU"/>
        </w:rPr>
      </w:pPr>
      <w:r w:rsidRPr="00CF7CB1">
        <w:rPr>
          <w:lang w:val="en-AU"/>
        </w:rPr>
        <w:t>Regulatory reform</w:t>
      </w:r>
    </w:p>
    <w:p w14:paraId="7A9A1B4E" w14:textId="77777777" w:rsidR="003B5312" w:rsidRPr="00CF7CB1" w:rsidRDefault="003B5312" w:rsidP="00337BCF">
      <w:pPr>
        <w:spacing w:after="120"/>
        <w:rPr>
          <w:lang w:val="en-AU"/>
        </w:rPr>
      </w:pPr>
      <w:r w:rsidRPr="00CF7CB1">
        <w:rPr>
          <w:lang w:val="en-AU"/>
        </w:rPr>
        <w:t>Trade facilitation and related assistance is important because it directly affects a country’s ability to participate in international trade. Focussing on these areas can provide opportunities for trade by improving market access, or addressing critical bottlenecks that may restrict trade and increase transaction costs. Moreover, this area also benefits from requiring relatively small, but carefully targeted, investments compared to infrastructure investments or improving productive capacity.</w:t>
      </w:r>
    </w:p>
    <w:p w14:paraId="05167B92" w14:textId="77777777" w:rsidR="003B5312" w:rsidRPr="00CF7CB1" w:rsidRDefault="003B5312" w:rsidP="00337BCF">
      <w:pPr>
        <w:spacing w:after="120"/>
        <w:rPr>
          <w:lang w:val="en-AU"/>
        </w:rPr>
      </w:pPr>
      <w:r w:rsidRPr="00CF7CB1">
        <w:rPr>
          <w:lang w:val="en-AU"/>
        </w:rPr>
        <w:t>In terms of trade cost reductions per unit of expenditure, reforms to customs and border administration and other ‘soft’ measures are the ‘low-hanging fruit’ of trade facilitation, offering the grea</w:t>
      </w:r>
      <w:r w:rsidR="00035808" w:rsidRPr="00CF7CB1">
        <w:rPr>
          <w:lang w:val="en-AU"/>
        </w:rPr>
        <w:t>test gains for the least cost.</w:t>
      </w:r>
      <w:r w:rsidR="00035808" w:rsidRPr="00CF7CB1">
        <w:rPr>
          <w:rStyle w:val="FootnoteReference"/>
          <w:lang w:val="en-AU"/>
        </w:rPr>
        <w:footnoteReference w:id="15"/>
      </w:r>
      <w:r w:rsidRPr="00CF7CB1">
        <w:rPr>
          <w:lang w:val="en-AU"/>
        </w:rPr>
        <w:t xml:space="preserve"> These investments can therefore result in potentially large gains representing good value for money. For example, large investments in farm to market roads and port handling facilities can be of little use if:</w:t>
      </w:r>
    </w:p>
    <w:p w14:paraId="4A8F49CF" w14:textId="77777777" w:rsidR="003B5312" w:rsidRPr="00CF7CB1" w:rsidRDefault="003B5312" w:rsidP="00BC5572">
      <w:pPr>
        <w:pStyle w:val="ListParagraph"/>
        <w:numPr>
          <w:ilvl w:val="0"/>
          <w:numId w:val="13"/>
        </w:numPr>
        <w:spacing w:after="120"/>
        <w:rPr>
          <w:lang w:val="en-AU"/>
        </w:rPr>
      </w:pPr>
      <w:r w:rsidRPr="00CF7CB1">
        <w:rPr>
          <w:lang w:val="en-AU"/>
        </w:rPr>
        <w:t>Suppliers are unable to secure the confidence of regulatory authorities, or of the intending importers, in the claims they make to the conformity of their goods with applicable sanitary and phytosanitary (SPS) and other requirements in the intended country of import,</w:t>
      </w:r>
    </w:p>
    <w:p w14:paraId="760F65C2" w14:textId="77777777" w:rsidR="003B5312" w:rsidRPr="00CF7CB1" w:rsidRDefault="003B5312" w:rsidP="00BC5572">
      <w:pPr>
        <w:pStyle w:val="ListParagraph"/>
        <w:numPr>
          <w:ilvl w:val="0"/>
          <w:numId w:val="13"/>
        </w:numPr>
        <w:spacing w:after="120"/>
        <w:rPr>
          <w:lang w:val="en-AU"/>
        </w:rPr>
      </w:pPr>
      <w:r w:rsidRPr="00CF7CB1">
        <w:rPr>
          <w:lang w:val="en-AU"/>
        </w:rPr>
        <w:t>Customs practices, formalities, requirements and procedures prevent the timely clearance of the goods for export or otherwise impose prohibitive costs,</w:t>
      </w:r>
    </w:p>
    <w:p w14:paraId="47BFC254" w14:textId="77777777" w:rsidR="003B5312" w:rsidRPr="00CF7CB1" w:rsidRDefault="003B5312" w:rsidP="00BC5572">
      <w:pPr>
        <w:pStyle w:val="ListParagraph"/>
        <w:numPr>
          <w:ilvl w:val="0"/>
          <w:numId w:val="13"/>
        </w:numPr>
        <w:spacing w:after="120"/>
        <w:rPr>
          <w:lang w:val="en-AU"/>
        </w:rPr>
      </w:pPr>
      <w:r w:rsidRPr="00CF7CB1">
        <w:rPr>
          <w:lang w:val="en-AU"/>
        </w:rPr>
        <w:t>Domestic regulatory requirements imposed on operators and users of the port handling facilities result in inefficient and cost-ineffective transport logistics.</w:t>
      </w:r>
    </w:p>
    <w:p w14:paraId="228EFE4A" w14:textId="77777777" w:rsidR="003B5312" w:rsidRPr="00CF7CB1" w:rsidRDefault="003B5312" w:rsidP="00366891">
      <w:pPr>
        <w:pStyle w:val="Heading3"/>
        <w:rPr>
          <w:lang w:val="en-AU"/>
        </w:rPr>
      </w:pPr>
      <w:r w:rsidRPr="00CF7CB1">
        <w:rPr>
          <w:lang w:val="en-AU"/>
        </w:rPr>
        <w:t>Australia’s Investment in Aid for Trade and Trade Facilitation</w:t>
      </w:r>
    </w:p>
    <w:p w14:paraId="62BE1454" w14:textId="77777777" w:rsidR="003B5312" w:rsidRPr="00CF7CB1" w:rsidRDefault="003B5312" w:rsidP="00337BCF">
      <w:pPr>
        <w:spacing w:after="120"/>
        <w:rPr>
          <w:lang w:val="en-AU"/>
        </w:rPr>
      </w:pPr>
      <w:r w:rsidRPr="00CF7CB1">
        <w:rPr>
          <w:lang w:val="en-AU"/>
        </w:rPr>
        <w:t>Since 2013 Australia has increased its focus on aid for trade and has become</w:t>
      </w:r>
      <w:r w:rsidR="004B435E" w:rsidRPr="00CF7CB1">
        <w:rPr>
          <w:lang w:val="en-AU"/>
        </w:rPr>
        <w:t xml:space="preserve"> one of the top 20 AfT donors.</w:t>
      </w:r>
      <w:r w:rsidR="004B435E" w:rsidRPr="00CF7CB1">
        <w:rPr>
          <w:rStyle w:val="FootnoteReference"/>
          <w:lang w:val="en-AU"/>
        </w:rPr>
        <w:footnoteReference w:id="16"/>
      </w:r>
      <w:r w:rsidRPr="00CF7CB1">
        <w:rPr>
          <w:lang w:val="en-AU"/>
        </w:rPr>
        <w:t xml:space="preserve"> In 2014/15 AfT investments are estimated to be AUD823 million or 16.4 per cent of total Official Development Assistance (ODA), and in 2015/16 it is estimated to be AUD698 million </w:t>
      </w:r>
      <w:r w:rsidR="004B435E" w:rsidRPr="00CF7CB1">
        <w:rPr>
          <w:lang w:val="en-AU"/>
        </w:rPr>
        <w:t>or 17.2 per cent of total ODA.</w:t>
      </w:r>
      <w:r w:rsidR="004B435E" w:rsidRPr="00CF7CB1">
        <w:rPr>
          <w:rStyle w:val="FootnoteReference"/>
          <w:lang w:val="en-AU"/>
        </w:rPr>
        <w:footnoteReference w:id="17"/>
      </w:r>
    </w:p>
    <w:p w14:paraId="311EC43E" w14:textId="77777777" w:rsidR="003B5312" w:rsidRPr="00CF7CB1" w:rsidRDefault="003B5312" w:rsidP="00337BCF">
      <w:pPr>
        <w:spacing w:after="120"/>
        <w:rPr>
          <w:lang w:val="en-AU"/>
        </w:rPr>
      </w:pPr>
      <w:r w:rsidRPr="00CF7CB1">
        <w:rPr>
          <w:lang w:val="en-AU"/>
        </w:rPr>
        <w:t>The AfT estimated expenditure by region in 2015-16 is provided in Figure 1. Figure 2 provides the spread of Australia’s Investment in Trade Policy, Regulations and Facilitation between 2005 and 2020. In this period DFAT had programmed at least 24 investments valued at AUD542.5</w:t>
      </w:r>
      <w:r w:rsidR="004B435E" w:rsidRPr="00CF7CB1">
        <w:rPr>
          <w:lang w:val="en-AU"/>
        </w:rPr>
        <w:t xml:space="preserve"> </w:t>
      </w:r>
      <w:r w:rsidRPr="00CF7CB1">
        <w:rPr>
          <w:lang w:val="en-AU"/>
        </w:rPr>
        <w:t xml:space="preserve">million for trade policy, regulations and facilitation. By location, Asia regional investments accounted for approximately 21 per cent; Pacific regional programs for 14 per cent; Pacific country programs for 55 per cent (dominated by the Solomon </w:t>
      </w:r>
      <w:r w:rsidR="004E265F" w:rsidRPr="00CF7CB1">
        <w:rPr>
          <w:lang w:val="en-AU"/>
        </w:rPr>
        <w:t>Islands</w:t>
      </w:r>
      <w:r w:rsidR="004E265F" w:rsidRPr="00CF7CB1">
        <w:rPr>
          <w:rStyle w:val="FootnoteReference"/>
          <w:lang w:val="en-AU"/>
        </w:rPr>
        <w:footnoteReference w:id="18"/>
      </w:r>
      <w:r w:rsidRPr="00CF7CB1">
        <w:rPr>
          <w:lang w:val="en-AU"/>
        </w:rPr>
        <w:t>); and Asia country programs for 6 per cent. By type of sub-category within Trade P</w:t>
      </w:r>
      <w:r w:rsidR="004E265F" w:rsidRPr="00CF7CB1">
        <w:rPr>
          <w:lang w:val="en-AU"/>
        </w:rPr>
        <w:t>olicy and Regulations (using</w:t>
      </w:r>
      <w:r w:rsidRPr="00CF7CB1">
        <w:rPr>
          <w:lang w:val="en-AU"/>
        </w:rPr>
        <w:t xml:space="preserve"> OECD codes), over half of all Australia’s programmed inv</w:t>
      </w:r>
      <w:r w:rsidR="004E265F" w:rsidRPr="00CF7CB1">
        <w:rPr>
          <w:lang w:val="en-AU"/>
        </w:rPr>
        <w:t>estments are targeted at trade</w:t>
      </w:r>
      <w:r w:rsidRPr="00CF7CB1">
        <w:rPr>
          <w:lang w:val="en-AU"/>
        </w:rPr>
        <w:t xml:space="preserve"> facilitation (59 per cent), followed by Regional Trade Agreements (17 per cent) and trade policy (12 per cent).</w:t>
      </w:r>
    </w:p>
    <w:p w14:paraId="045B3D51" w14:textId="77777777" w:rsidR="003B5312" w:rsidRPr="00CF7CB1" w:rsidRDefault="003B5312" w:rsidP="00FC7312">
      <w:pPr>
        <w:pStyle w:val="Caption"/>
        <w:rPr>
          <w:lang w:val="en-AU"/>
        </w:rPr>
      </w:pPr>
      <w:r w:rsidRPr="00CF7CB1">
        <w:rPr>
          <w:lang w:val="en-AU"/>
        </w:rPr>
        <w:t>Figure 1: Aid for Trade estimated expenditure by Region 2015–16</w:t>
      </w:r>
    </w:p>
    <w:p w14:paraId="3B4C0825" w14:textId="77777777" w:rsidR="00E95E6A" w:rsidRPr="00CF7CB1" w:rsidRDefault="00E95E6A" w:rsidP="00337BCF">
      <w:pPr>
        <w:spacing w:after="120"/>
        <w:rPr>
          <w:lang w:val="en-AU"/>
        </w:rPr>
      </w:pPr>
      <w:r w:rsidRPr="00CF7CB1">
        <w:rPr>
          <w:noProof/>
          <w:lang w:val="en-AU" w:eastAsia="en-AU"/>
        </w:rPr>
        <mc:AlternateContent>
          <mc:Choice Requires="wpg">
            <w:drawing>
              <wp:inline distT="0" distB="0" distL="0" distR="0" wp14:anchorId="374CA86A" wp14:editId="628C828F">
                <wp:extent cx="5560060" cy="2418080"/>
                <wp:effectExtent l="0" t="0" r="2540" b="1270"/>
                <wp:docPr id="3273" name="Group 3273" descr="This figure shows Aid for Trade estimated expenditure by Region for fiscal year 2015–2016 which includes 27 per cent in the Pacific, 27 per cent in East Asia, 8 per cent in South and West Asia and 2 per cent in Africa and the Middle East. The remaining 36 per cent corresponds to investments in the rest of the world which include Latin America and the Caribbean as well as ODA not attributed to particular countries or regions." title="Aid for Trade estimated expenditure by Region 201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0060" cy="2418080"/>
                          <a:chOff x="0" y="0"/>
                          <a:chExt cx="8756" cy="3808"/>
                        </a:xfrm>
                      </wpg:grpSpPr>
                      <wpg:grpSp>
                        <wpg:cNvPr id="3274" name="Group 3191"/>
                        <wpg:cNvGrpSpPr>
                          <a:grpSpLocks/>
                        </wpg:cNvGrpSpPr>
                        <wpg:grpSpPr bwMode="auto">
                          <a:xfrm>
                            <a:off x="0" y="0"/>
                            <a:ext cx="8756" cy="3808"/>
                            <a:chOff x="0" y="0"/>
                            <a:chExt cx="8756" cy="3808"/>
                          </a:xfrm>
                        </wpg:grpSpPr>
                        <wps:wsp>
                          <wps:cNvPr id="3275" name="Freeform 3192"/>
                          <wps:cNvSpPr>
                            <a:spLocks/>
                          </wps:cNvSpPr>
                          <wps:spPr bwMode="auto">
                            <a:xfrm>
                              <a:off x="0" y="0"/>
                              <a:ext cx="8756" cy="3808"/>
                            </a:xfrm>
                            <a:custGeom>
                              <a:avLst/>
                              <a:gdLst>
                                <a:gd name="T0" fmla="*/ 0 w 8756"/>
                                <a:gd name="T1" fmla="*/ 3808 h 3808"/>
                                <a:gd name="T2" fmla="*/ 8755 w 8756"/>
                                <a:gd name="T3" fmla="*/ 3808 h 3808"/>
                                <a:gd name="T4" fmla="*/ 8755 w 8756"/>
                                <a:gd name="T5" fmla="*/ 0 h 3808"/>
                                <a:gd name="T6" fmla="*/ 0 w 8756"/>
                                <a:gd name="T7" fmla="*/ 0 h 3808"/>
                                <a:gd name="T8" fmla="*/ 0 w 8756"/>
                                <a:gd name="T9" fmla="*/ 3808 h 3808"/>
                              </a:gdLst>
                              <a:ahLst/>
                              <a:cxnLst>
                                <a:cxn ang="0">
                                  <a:pos x="T0" y="T1"/>
                                </a:cxn>
                                <a:cxn ang="0">
                                  <a:pos x="T2" y="T3"/>
                                </a:cxn>
                                <a:cxn ang="0">
                                  <a:pos x="T4" y="T5"/>
                                </a:cxn>
                                <a:cxn ang="0">
                                  <a:pos x="T6" y="T7"/>
                                </a:cxn>
                                <a:cxn ang="0">
                                  <a:pos x="T8" y="T9"/>
                                </a:cxn>
                              </a:cxnLst>
                              <a:rect l="0" t="0" r="r" b="b"/>
                              <a:pathLst>
                                <a:path w="8756" h="3808">
                                  <a:moveTo>
                                    <a:pt x="0" y="3808"/>
                                  </a:moveTo>
                                  <a:lnTo>
                                    <a:pt x="8755" y="3808"/>
                                  </a:lnTo>
                                  <a:lnTo>
                                    <a:pt x="8755" y="0"/>
                                  </a:lnTo>
                                  <a:lnTo>
                                    <a:pt x="0" y="0"/>
                                  </a:lnTo>
                                  <a:lnTo>
                                    <a:pt x="0" y="3808"/>
                                  </a:lnTo>
                                  <a:close/>
                                </a:path>
                              </a:pathLst>
                            </a:custGeom>
                            <a:solidFill>
                              <a:srgbClr val="DEEA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76" name="Group 3193"/>
                        <wpg:cNvGrpSpPr>
                          <a:grpSpLocks/>
                        </wpg:cNvGrpSpPr>
                        <wpg:grpSpPr bwMode="auto">
                          <a:xfrm>
                            <a:off x="2965" y="651"/>
                            <a:ext cx="1413" cy="2321"/>
                            <a:chOff x="2965" y="651"/>
                            <a:chExt cx="1413" cy="2321"/>
                          </a:xfrm>
                        </wpg:grpSpPr>
                        <wps:wsp>
                          <wps:cNvPr id="3277" name="Freeform 3194"/>
                          <wps:cNvSpPr>
                            <a:spLocks/>
                          </wps:cNvSpPr>
                          <wps:spPr bwMode="auto">
                            <a:xfrm>
                              <a:off x="2965" y="651"/>
                              <a:ext cx="1413" cy="2321"/>
                            </a:xfrm>
                            <a:custGeom>
                              <a:avLst/>
                              <a:gdLst>
                                <a:gd name="T0" fmla="+- 0 4378 2965"/>
                                <a:gd name="T1" fmla="*/ T0 w 1413"/>
                                <a:gd name="T2" fmla="+- 0 651 651"/>
                                <a:gd name="T3" fmla="*/ 651 h 2321"/>
                                <a:gd name="T4" fmla="+- 0 4299 2965"/>
                                <a:gd name="T5" fmla="*/ T4 w 1413"/>
                                <a:gd name="T6" fmla="+- 0 653 651"/>
                                <a:gd name="T7" fmla="*/ 653 h 2321"/>
                                <a:gd name="T8" fmla="+- 0 4222 2965"/>
                                <a:gd name="T9" fmla="*/ T8 w 1413"/>
                                <a:gd name="T10" fmla="+- 0 658 651"/>
                                <a:gd name="T11" fmla="*/ 658 h 2321"/>
                                <a:gd name="T12" fmla="+- 0 4147 2965"/>
                                <a:gd name="T13" fmla="*/ T12 w 1413"/>
                                <a:gd name="T14" fmla="+- 0 668 651"/>
                                <a:gd name="T15" fmla="*/ 668 h 2321"/>
                                <a:gd name="T16" fmla="+- 0 4072 2965"/>
                                <a:gd name="T17" fmla="*/ T16 w 1413"/>
                                <a:gd name="T18" fmla="+- 0 682 651"/>
                                <a:gd name="T19" fmla="*/ 682 h 2321"/>
                                <a:gd name="T20" fmla="+- 0 4000 2965"/>
                                <a:gd name="T21" fmla="*/ T20 w 1413"/>
                                <a:gd name="T22" fmla="+- 0 699 651"/>
                                <a:gd name="T23" fmla="*/ 699 h 2321"/>
                                <a:gd name="T24" fmla="+- 0 3928 2965"/>
                                <a:gd name="T25" fmla="*/ T24 w 1413"/>
                                <a:gd name="T26" fmla="+- 0 721 651"/>
                                <a:gd name="T27" fmla="*/ 721 h 2321"/>
                                <a:gd name="T28" fmla="+- 0 3859 2965"/>
                                <a:gd name="T29" fmla="*/ T28 w 1413"/>
                                <a:gd name="T30" fmla="+- 0 746 651"/>
                                <a:gd name="T31" fmla="*/ 746 h 2321"/>
                                <a:gd name="T32" fmla="+- 0 3790 2965"/>
                                <a:gd name="T33" fmla="*/ T32 w 1413"/>
                                <a:gd name="T34" fmla="+- 0 776 651"/>
                                <a:gd name="T35" fmla="*/ 776 h 2321"/>
                                <a:gd name="T36" fmla="+- 0 3723 2965"/>
                                <a:gd name="T37" fmla="*/ T36 w 1413"/>
                                <a:gd name="T38" fmla="+- 0 809 651"/>
                                <a:gd name="T39" fmla="*/ 809 h 2321"/>
                                <a:gd name="T40" fmla="+- 0 3658 2965"/>
                                <a:gd name="T41" fmla="*/ T40 w 1413"/>
                                <a:gd name="T42" fmla="+- 0 846 651"/>
                                <a:gd name="T43" fmla="*/ 846 h 2321"/>
                                <a:gd name="T44" fmla="+- 0 3594 2965"/>
                                <a:gd name="T45" fmla="*/ T44 w 1413"/>
                                <a:gd name="T46" fmla="+- 0 887 651"/>
                                <a:gd name="T47" fmla="*/ 887 h 2321"/>
                                <a:gd name="T48" fmla="+- 0 3531 2965"/>
                                <a:gd name="T49" fmla="*/ T48 w 1413"/>
                                <a:gd name="T50" fmla="+- 0 932 651"/>
                                <a:gd name="T51" fmla="*/ 932 h 2321"/>
                                <a:gd name="T52" fmla="+- 0 3469 2965"/>
                                <a:gd name="T53" fmla="*/ T52 w 1413"/>
                                <a:gd name="T54" fmla="+- 0 981 651"/>
                                <a:gd name="T55" fmla="*/ 981 h 2321"/>
                                <a:gd name="T56" fmla="+- 0 3413 2965"/>
                                <a:gd name="T57" fmla="*/ T56 w 1413"/>
                                <a:gd name="T58" fmla="+- 0 1031 651"/>
                                <a:gd name="T59" fmla="*/ 1031 h 2321"/>
                                <a:gd name="T60" fmla="+- 0 3360 2965"/>
                                <a:gd name="T61" fmla="*/ T60 w 1413"/>
                                <a:gd name="T62" fmla="+- 0 1083 651"/>
                                <a:gd name="T63" fmla="*/ 1083 h 2321"/>
                                <a:gd name="T64" fmla="+- 0 3311 2965"/>
                                <a:gd name="T65" fmla="*/ T64 w 1413"/>
                                <a:gd name="T66" fmla="+- 0 1137 651"/>
                                <a:gd name="T67" fmla="*/ 1137 h 2321"/>
                                <a:gd name="T68" fmla="+- 0 3264 2965"/>
                                <a:gd name="T69" fmla="*/ T68 w 1413"/>
                                <a:gd name="T70" fmla="+- 0 1193 651"/>
                                <a:gd name="T71" fmla="*/ 1193 h 2321"/>
                                <a:gd name="T72" fmla="+- 0 3221 2965"/>
                                <a:gd name="T73" fmla="*/ T72 w 1413"/>
                                <a:gd name="T74" fmla="+- 0 1251 651"/>
                                <a:gd name="T75" fmla="*/ 1251 h 2321"/>
                                <a:gd name="T76" fmla="+- 0 3181 2965"/>
                                <a:gd name="T77" fmla="*/ T76 w 1413"/>
                                <a:gd name="T78" fmla="+- 0 1311 651"/>
                                <a:gd name="T79" fmla="*/ 1311 h 2321"/>
                                <a:gd name="T80" fmla="+- 0 3145 2965"/>
                                <a:gd name="T81" fmla="*/ T80 w 1413"/>
                                <a:gd name="T82" fmla="+- 0 1373 651"/>
                                <a:gd name="T83" fmla="*/ 1373 h 2321"/>
                                <a:gd name="T84" fmla="+- 0 3112 2965"/>
                                <a:gd name="T85" fmla="*/ T84 w 1413"/>
                                <a:gd name="T86" fmla="+- 0 1435 651"/>
                                <a:gd name="T87" fmla="*/ 1435 h 2321"/>
                                <a:gd name="T88" fmla="+- 0 3082 2965"/>
                                <a:gd name="T89" fmla="*/ T88 w 1413"/>
                                <a:gd name="T90" fmla="+- 0 1500 651"/>
                                <a:gd name="T91" fmla="*/ 1500 h 2321"/>
                                <a:gd name="T92" fmla="+- 0 3055 2965"/>
                                <a:gd name="T93" fmla="*/ T92 w 1413"/>
                                <a:gd name="T94" fmla="+- 0 1565 651"/>
                                <a:gd name="T95" fmla="*/ 1565 h 2321"/>
                                <a:gd name="T96" fmla="+- 0 3032 2965"/>
                                <a:gd name="T97" fmla="*/ T96 w 1413"/>
                                <a:gd name="T98" fmla="+- 0 1632 651"/>
                                <a:gd name="T99" fmla="*/ 1632 h 2321"/>
                                <a:gd name="T100" fmla="+- 0 3012 2965"/>
                                <a:gd name="T101" fmla="*/ T100 w 1413"/>
                                <a:gd name="T102" fmla="+- 0 1699 651"/>
                                <a:gd name="T103" fmla="*/ 1699 h 2321"/>
                                <a:gd name="T104" fmla="+- 0 2996 2965"/>
                                <a:gd name="T105" fmla="*/ T104 w 1413"/>
                                <a:gd name="T106" fmla="+- 0 1767 651"/>
                                <a:gd name="T107" fmla="*/ 1767 h 2321"/>
                                <a:gd name="T108" fmla="+- 0 2983 2965"/>
                                <a:gd name="T109" fmla="*/ T108 w 1413"/>
                                <a:gd name="T110" fmla="+- 0 1836 651"/>
                                <a:gd name="T111" fmla="*/ 1836 h 2321"/>
                                <a:gd name="T112" fmla="+- 0 2974 2965"/>
                                <a:gd name="T113" fmla="*/ T112 w 1413"/>
                                <a:gd name="T114" fmla="+- 0 1905 651"/>
                                <a:gd name="T115" fmla="*/ 1905 h 2321"/>
                                <a:gd name="T116" fmla="+- 0 2968 2965"/>
                                <a:gd name="T117" fmla="*/ T116 w 1413"/>
                                <a:gd name="T118" fmla="+- 0 1975 651"/>
                                <a:gd name="T119" fmla="*/ 1975 h 2321"/>
                                <a:gd name="T120" fmla="+- 0 2965 2965"/>
                                <a:gd name="T121" fmla="*/ T120 w 1413"/>
                                <a:gd name="T122" fmla="+- 0 2045 651"/>
                                <a:gd name="T123" fmla="*/ 2045 h 2321"/>
                                <a:gd name="T124" fmla="+- 0 2966 2965"/>
                                <a:gd name="T125" fmla="*/ T124 w 1413"/>
                                <a:gd name="T126" fmla="+- 0 2115 651"/>
                                <a:gd name="T127" fmla="*/ 2115 h 2321"/>
                                <a:gd name="T128" fmla="+- 0 2970 2965"/>
                                <a:gd name="T129" fmla="*/ T128 w 1413"/>
                                <a:gd name="T130" fmla="+- 0 2185 651"/>
                                <a:gd name="T131" fmla="*/ 2185 h 2321"/>
                                <a:gd name="T132" fmla="+- 0 2978 2965"/>
                                <a:gd name="T133" fmla="*/ T132 w 1413"/>
                                <a:gd name="T134" fmla="+- 0 2255 651"/>
                                <a:gd name="T135" fmla="*/ 2255 h 2321"/>
                                <a:gd name="T136" fmla="+- 0 2989 2965"/>
                                <a:gd name="T137" fmla="*/ T136 w 1413"/>
                                <a:gd name="T138" fmla="+- 0 2324 651"/>
                                <a:gd name="T139" fmla="*/ 2324 h 2321"/>
                                <a:gd name="T140" fmla="+- 0 3004 2965"/>
                                <a:gd name="T141" fmla="*/ T140 w 1413"/>
                                <a:gd name="T142" fmla="+- 0 2393 651"/>
                                <a:gd name="T143" fmla="*/ 2393 h 2321"/>
                                <a:gd name="T144" fmla="+- 0 3022 2965"/>
                                <a:gd name="T145" fmla="*/ T144 w 1413"/>
                                <a:gd name="T146" fmla="+- 0 2462 651"/>
                                <a:gd name="T147" fmla="*/ 2462 h 2321"/>
                                <a:gd name="T148" fmla="+- 0 3044 2965"/>
                                <a:gd name="T149" fmla="*/ T148 w 1413"/>
                                <a:gd name="T150" fmla="+- 0 2529 651"/>
                                <a:gd name="T151" fmla="*/ 2529 h 2321"/>
                                <a:gd name="T152" fmla="+- 0 3069 2965"/>
                                <a:gd name="T153" fmla="*/ T152 w 1413"/>
                                <a:gd name="T154" fmla="+- 0 2596 651"/>
                                <a:gd name="T155" fmla="*/ 2596 h 2321"/>
                                <a:gd name="T156" fmla="+- 0 3098 2965"/>
                                <a:gd name="T157" fmla="*/ T156 w 1413"/>
                                <a:gd name="T158" fmla="+- 0 2662 651"/>
                                <a:gd name="T159" fmla="*/ 2662 h 2321"/>
                                <a:gd name="T160" fmla="+- 0 3130 2965"/>
                                <a:gd name="T161" fmla="*/ T160 w 1413"/>
                                <a:gd name="T162" fmla="+- 0 2727 651"/>
                                <a:gd name="T163" fmla="*/ 2727 h 2321"/>
                                <a:gd name="T164" fmla="+- 0 3166 2965"/>
                                <a:gd name="T165" fmla="*/ T164 w 1413"/>
                                <a:gd name="T166" fmla="+- 0 2790 651"/>
                                <a:gd name="T167" fmla="*/ 2790 h 2321"/>
                                <a:gd name="T168" fmla="+- 0 3205 2965"/>
                                <a:gd name="T169" fmla="*/ T168 w 1413"/>
                                <a:gd name="T170" fmla="+- 0 2852 651"/>
                                <a:gd name="T171" fmla="*/ 2852 h 2321"/>
                                <a:gd name="T172" fmla="+- 0 3249 2965"/>
                                <a:gd name="T173" fmla="*/ T172 w 1413"/>
                                <a:gd name="T174" fmla="+- 0 2913 651"/>
                                <a:gd name="T175" fmla="*/ 2913 h 2321"/>
                                <a:gd name="T176" fmla="+- 0 3295 2965"/>
                                <a:gd name="T177" fmla="*/ T176 w 1413"/>
                                <a:gd name="T178" fmla="+- 0 2971 651"/>
                                <a:gd name="T179" fmla="*/ 2971 h 2321"/>
                                <a:gd name="T180" fmla="+- 0 4378 2965"/>
                                <a:gd name="T181" fmla="*/ T180 w 1413"/>
                                <a:gd name="T182" fmla="+- 0 2063 651"/>
                                <a:gd name="T183" fmla="*/ 2063 h 2321"/>
                                <a:gd name="T184" fmla="+- 0 4378 2965"/>
                                <a:gd name="T185" fmla="*/ T184 w 1413"/>
                                <a:gd name="T186" fmla="+- 0 651 651"/>
                                <a:gd name="T187" fmla="*/ 651 h 23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413" h="2321">
                                  <a:moveTo>
                                    <a:pt x="1413" y="0"/>
                                  </a:moveTo>
                                  <a:lnTo>
                                    <a:pt x="1334" y="2"/>
                                  </a:lnTo>
                                  <a:lnTo>
                                    <a:pt x="1257" y="7"/>
                                  </a:lnTo>
                                  <a:lnTo>
                                    <a:pt x="1182" y="17"/>
                                  </a:lnTo>
                                  <a:lnTo>
                                    <a:pt x="1107" y="31"/>
                                  </a:lnTo>
                                  <a:lnTo>
                                    <a:pt x="1035" y="48"/>
                                  </a:lnTo>
                                  <a:lnTo>
                                    <a:pt x="963" y="70"/>
                                  </a:lnTo>
                                  <a:lnTo>
                                    <a:pt x="894" y="95"/>
                                  </a:lnTo>
                                  <a:lnTo>
                                    <a:pt x="825" y="125"/>
                                  </a:lnTo>
                                  <a:lnTo>
                                    <a:pt x="758" y="158"/>
                                  </a:lnTo>
                                  <a:lnTo>
                                    <a:pt x="693" y="195"/>
                                  </a:lnTo>
                                  <a:lnTo>
                                    <a:pt x="629" y="236"/>
                                  </a:lnTo>
                                  <a:lnTo>
                                    <a:pt x="566" y="281"/>
                                  </a:lnTo>
                                  <a:lnTo>
                                    <a:pt x="504" y="330"/>
                                  </a:lnTo>
                                  <a:lnTo>
                                    <a:pt x="448" y="380"/>
                                  </a:lnTo>
                                  <a:lnTo>
                                    <a:pt x="395" y="432"/>
                                  </a:lnTo>
                                  <a:lnTo>
                                    <a:pt x="346" y="486"/>
                                  </a:lnTo>
                                  <a:lnTo>
                                    <a:pt x="299" y="542"/>
                                  </a:lnTo>
                                  <a:lnTo>
                                    <a:pt x="256" y="600"/>
                                  </a:lnTo>
                                  <a:lnTo>
                                    <a:pt x="216" y="660"/>
                                  </a:lnTo>
                                  <a:lnTo>
                                    <a:pt x="180" y="722"/>
                                  </a:lnTo>
                                  <a:lnTo>
                                    <a:pt x="147" y="784"/>
                                  </a:lnTo>
                                  <a:lnTo>
                                    <a:pt x="117" y="849"/>
                                  </a:lnTo>
                                  <a:lnTo>
                                    <a:pt x="90" y="914"/>
                                  </a:lnTo>
                                  <a:lnTo>
                                    <a:pt x="67" y="981"/>
                                  </a:lnTo>
                                  <a:lnTo>
                                    <a:pt x="47" y="1048"/>
                                  </a:lnTo>
                                  <a:lnTo>
                                    <a:pt x="31" y="1116"/>
                                  </a:lnTo>
                                  <a:lnTo>
                                    <a:pt x="18" y="1185"/>
                                  </a:lnTo>
                                  <a:lnTo>
                                    <a:pt x="9" y="1254"/>
                                  </a:lnTo>
                                  <a:lnTo>
                                    <a:pt x="3" y="1324"/>
                                  </a:lnTo>
                                  <a:lnTo>
                                    <a:pt x="0" y="1394"/>
                                  </a:lnTo>
                                  <a:lnTo>
                                    <a:pt x="1" y="1464"/>
                                  </a:lnTo>
                                  <a:lnTo>
                                    <a:pt x="5" y="1534"/>
                                  </a:lnTo>
                                  <a:lnTo>
                                    <a:pt x="13" y="1604"/>
                                  </a:lnTo>
                                  <a:lnTo>
                                    <a:pt x="24" y="1673"/>
                                  </a:lnTo>
                                  <a:lnTo>
                                    <a:pt x="39" y="1742"/>
                                  </a:lnTo>
                                  <a:lnTo>
                                    <a:pt x="57" y="1811"/>
                                  </a:lnTo>
                                  <a:lnTo>
                                    <a:pt x="79" y="1878"/>
                                  </a:lnTo>
                                  <a:lnTo>
                                    <a:pt x="104" y="1945"/>
                                  </a:lnTo>
                                  <a:lnTo>
                                    <a:pt x="133" y="2011"/>
                                  </a:lnTo>
                                  <a:lnTo>
                                    <a:pt x="165" y="2076"/>
                                  </a:lnTo>
                                  <a:lnTo>
                                    <a:pt x="201" y="2139"/>
                                  </a:lnTo>
                                  <a:lnTo>
                                    <a:pt x="240" y="2201"/>
                                  </a:lnTo>
                                  <a:lnTo>
                                    <a:pt x="284" y="2262"/>
                                  </a:lnTo>
                                  <a:lnTo>
                                    <a:pt x="330" y="2320"/>
                                  </a:lnTo>
                                  <a:lnTo>
                                    <a:pt x="1413" y="1412"/>
                                  </a:lnTo>
                                  <a:lnTo>
                                    <a:pt x="1413" y="0"/>
                                  </a:lnTo>
                                  <a:close/>
                                </a:path>
                              </a:pathLst>
                            </a:custGeom>
                            <a:solidFill>
                              <a:srgbClr val="009B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78" name="Group 3195"/>
                        <wpg:cNvGrpSpPr>
                          <a:grpSpLocks/>
                        </wpg:cNvGrpSpPr>
                        <wpg:grpSpPr bwMode="auto">
                          <a:xfrm>
                            <a:off x="3295" y="2063"/>
                            <a:ext cx="1083" cy="1034"/>
                            <a:chOff x="3295" y="2063"/>
                            <a:chExt cx="1083" cy="1034"/>
                          </a:xfrm>
                        </wpg:grpSpPr>
                        <wps:wsp>
                          <wps:cNvPr id="3279" name="Freeform 3196"/>
                          <wps:cNvSpPr>
                            <a:spLocks/>
                          </wps:cNvSpPr>
                          <wps:spPr bwMode="auto">
                            <a:xfrm>
                              <a:off x="3295" y="2063"/>
                              <a:ext cx="1083" cy="1034"/>
                            </a:xfrm>
                            <a:custGeom>
                              <a:avLst/>
                              <a:gdLst>
                                <a:gd name="T0" fmla="+- 0 4378 3295"/>
                                <a:gd name="T1" fmla="*/ T0 w 1083"/>
                                <a:gd name="T2" fmla="+- 0 2063 2063"/>
                                <a:gd name="T3" fmla="*/ 2063 h 1034"/>
                                <a:gd name="T4" fmla="+- 0 3295 3295"/>
                                <a:gd name="T5" fmla="*/ T4 w 1083"/>
                                <a:gd name="T6" fmla="+- 0 2971 2063"/>
                                <a:gd name="T7" fmla="*/ 2971 h 1034"/>
                                <a:gd name="T8" fmla="+- 0 3324 3295"/>
                                <a:gd name="T9" fmla="*/ T8 w 1083"/>
                                <a:gd name="T10" fmla="+- 0 3005 2063"/>
                                <a:gd name="T11" fmla="*/ 3005 h 1034"/>
                                <a:gd name="T12" fmla="+- 0 3353 3295"/>
                                <a:gd name="T13" fmla="*/ T12 w 1083"/>
                                <a:gd name="T14" fmla="+- 0 3036 2063"/>
                                <a:gd name="T15" fmla="*/ 3036 h 1034"/>
                                <a:gd name="T16" fmla="+- 0 3382 3295"/>
                                <a:gd name="T17" fmla="*/ T16 w 1083"/>
                                <a:gd name="T18" fmla="+- 0 3066 2063"/>
                                <a:gd name="T19" fmla="*/ 3066 h 1034"/>
                                <a:gd name="T20" fmla="+- 0 3414 3295"/>
                                <a:gd name="T21" fmla="*/ T20 w 1083"/>
                                <a:gd name="T22" fmla="+- 0 3096 2063"/>
                                <a:gd name="T23" fmla="*/ 3096 h 1034"/>
                                <a:gd name="T24" fmla="+- 0 4378 3295"/>
                                <a:gd name="T25" fmla="*/ T24 w 1083"/>
                                <a:gd name="T26" fmla="+- 0 2063 2063"/>
                                <a:gd name="T27" fmla="*/ 2063 h 1034"/>
                              </a:gdLst>
                              <a:ahLst/>
                              <a:cxnLst>
                                <a:cxn ang="0">
                                  <a:pos x="T1" y="T3"/>
                                </a:cxn>
                                <a:cxn ang="0">
                                  <a:pos x="T5" y="T7"/>
                                </a:cxn>
                                <a:cxn ang="0">
                                  <a:pos x="T9" y="T11"/>
                                </a:cxn>
                                <a:cxn ang="0">
                                  <a:pos x="T13" y="T15"/>
                                </a:cxn>
                                <a:cxn ang="0">
                                  <a:pos x="T17" y="T19"/>
                                </a:cxn>
                                <a:cxn ang="0">
                                  <a:pos x="T21" y="T23"/>
                                </a:cxn>
                                <a:cxn ang="0">
                                  <a:pos x="T25" y="T27"/>
                                </a:cxn>
                              </a:cxnLst>
                              <a:rect l="0" t="0" r="r" b="b"/>
                              <a:pathLst>
                                <a:path w="1083" h="1034">
                                  <a:moveTo>
                                    <a:pt x="1083" y="0"/>
                                  </a:moveTo>
                                  <a:lnTo>
                                    <a:pt x="0" y="908"/>
                                  </a:lnTo>
                                  <a:lnTo>
                                    <a:pt x="29" y="942"/>
                                  </a:lnTo>
                                  <a:lnTo>
                                    <a:pt x="58" y="973"/>
                                  </a:lnTo>
                                  <a:lnTo>
                                    <a:pt x="87" y="1003"/>
                                  </a:lnTo>
                                  <a:lnTo>
                                    <a:pt x="119" y="1033"/>
                                  </a:lnTo>
                                  <a:lnTo>
                                    <a:pt x="1083" y="0"/>
                                  </a:lnTo>
                                  <a:close/>
                                </a:path>
                              </a:pathLst>
                            </a:custGeom>
                            <a:solidFill>
                              <a:srgbClr val="69B0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80" name="Group 3197"/>
                        <wpg:cNvGrpSpPr>
                          <a:grpSpLocks/>
                        </wpg:cNvGrpSpPr>
                        <wpg:grpSpPr bwMode="auto">
                          <a:xfrm>
                            <a:off x="3414" y="2063"/>
                            <a:ext cx="964" cy="1371"/>
                            <a:chOff x="3414" y="2063"/>
                            <a:chExt cx="964" cy="1371"/>
                          </a:xfrm>
                        </wpg:grpSpPr>
                        <wps:wsp>
                          <wps:cNvPr id="3281" name="Freeform 3198"/>
                          <wps:cNvSpPr>
                            <a:spLocks/>
                          </wps:cNvSpPr>
                          <wps:spPr bwMode="auto">
                            <a:xfrm>
                              <a:off x="3414" y="2063"/>
                              <a:ext cx="964" cy="1371"/>
                            </a:xfrm>
                            <a:custGeom>
                              <a:avLst/>
                              <a:gdLst>
                                <a:gd name="T0" fmla="+- 0 4378 3414"/>
                                <a:gd name="T1" fmla="*/ T0 w 964"/>
                                <a:gd name="T2" fmla="+- 0 2063 2063"/>
                                <a:gd name="T3" fmla="*/ 2063 h 1371"/>
                                <a:gd name="T4" fmla="+- 0 3414 3414"/>
                                <a:gd name="T5" fmla="*/ T4 w 964"/>
                                <a:gd name="T6" fmla="+- 0 3096 2063"/>
                                <a:gd name="T7" fmla="*/ 3096 h 1371"/>
                                <a:gd name="T8" fmla="+- 0 3476 3414"/>
                                <a:gd name="T9" fmla="*/ T8 w 964"/>
                                <a:gd name="T10" fmla="+- 0 3151 2063"/>
                                <a:gd name="T11" fmla="*/ 3151 h 1371"/>
                                <a:gd name="T12" fmla="+- 0 3538 3414"/>
                                <a:gd name="T13" fmla="*/ T12 w 964"/>
                                <a:gd name="T14" fmla="+- 0 3201 2063"/>
                                <a:gd name="T15" fmla="*/ 3201 h 1371"/>
                                <a:gd name="T16" fmla="+- 0 3603 3414"/>
                                <a:gd name="T17" fmla="*/ T16 w 964"/>
                                <a:gd name="T18" fmla="+- 0 3246 2063"/>
                                <a:gd name="T19" fmla="*/ 3246 h 1371"/>
                                <a:gd name="T20" fmla="+- 0 3669 3414"/>
                                <a:gd name="T21" fmla="*/ T20 w 964"/>
                                <a:gd name="T22" fmla="+- 0 3287 2063"/>
                                <a:gd name="T23" fmla="*/ 3287 h 1371"/>
                                <a:gd name="T24" fmla="+- 0 3737 3414"/>
                                <a:gd name="T25" fmla="*/ T24 w 964"/>
                                <a:gd name="T26" fmla="+- 0 3324 2063"/>
                                <a:gd name="T27" fmla="*/ 3324 h 1371"/>
                                <a:gd name="T28" fmla="+- 0 3808 3414"/>
                                <a:gd name="T29" fmla="*/ T28 w 964"/>
                                <a:gd name="T30" fmla="+- 0 3358 2063"/>
                                <a:gd name="T31" fmla="*/ 3358 h 1371"/>
                                <a:gd name="T32" fmla="+- 0 3881 3414"/>
                                <a:gd name="T33" fmla="*/ T32 w 964"/>
                                <a:gd name="T34" fmla="+- 0 3387 2063"/>
                                <a:gd name="T35" fmla="*/ 3387 h 1371"/>
                                <a:gd name="T36" fmla="+- 0 3957 3414"/>
                                <a:gd name="T37" fmla="*/ T36 w 964"/>
                                <a:gd name="T38" fmla="+- 0 3412 2063"/>
                                <a:gd name="T39" fmla="*/ 3412 h 1371"/>
                                <a:gd name="T40" fmla="+- 0 4036 3414"/>
                                <a:gd name="T41" fmla="*/ T40 w 964"/>
                                <a:gd name="T42" fmla="+- 0 3434 2063"/>
                                <a:gd name="T43" fmla="*/ 3434 h 1371"/>
                                <a:gd name="T44" fmla="+- 0 4378 3414"/>
                                <a:gd name="T45" fmla="*/ T44 w 964"/>
                                <a:gd name="T46" fmla="+- 0 2063 2063"/>
                                <a:gd name="T47" fmla="*/ 2063 h 1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64" h="1371">
                                  <a:moveTo>
                                    <a:pt x="964" y="0"/>
                                  </a:moveTo>
                                  <a:lnTo>
                                    <a:pt x="0" y="1033"/>
                                  </a:lnTo>
                                  <a:lnTo>
                                    <a:pt x="62" y="1088"/>
                                  </a:lnTo>
                                  <a:lnTo>
                                    <a:pt x="124" y="1138"/>
                                  </a:lnTo>
                                  <a:lnTo>
                                    <a:pt x="189" y="1183"/>
                                  </a:lnTo>
                                  <a:lnTo>
                                    <a:pt x="255" y="1224"/>
                                  </a:lnTo>
                                  <a:lnTo>
                                    <a:pt x="323" y="1261"/>
                                  </a:lnTo>
                                  <a:lnTo>
                                    <a:pt x="394" y="1295"/>
                                  </a:lnTo>
                                  <a:lnTo>
                                    <a:pt x="467" y="1324"/>
                                  </a:lnTo>
                                  <a:lnTo>
                                    <a:pt x="543" y="1349"/>
                                  </a:lnTo>
                                  <a:lnTo>
                                    <a:pt x="622" y="1371"/>
                                  </a:lnTo>
                                  <a:lnTo>
                                    <a:pt x="964" y="0"/>
                                  </a:lnTo>
                                  <a:close/>
                                </a:path>
                              </a:pathLst>
                            </a:custGeom>
                            <a:solidFill>
                              <a:srgbClr val="F475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82" name="Group 3199"/>
                        <wpg:cNvGrpSpPr>
                          <a:grpSpLocks/>
                        </wpg:cNvGrpSpPr>
                        <wpg:grpSpPr bwMode="auto">
                          <a:xfrm>
                            <a:off x="4036" y="2063"/>
                            <a:ext cx="1744" cy="1413"/>
                            <a:chOff x="4036" y="2063"/>
                            <a:chExt cx="1744" cy="1413"/>
                          </a:xfrm>
                        </wpg:grpSpPr>
                        <wps:wsp>
                          <wps:cNvPr id="3283" name="Freeform 3200"/>
                          <wps:cNvSpPr>
                            <a:spLocks/>
                          </wps:cNvSpPr>
                          <wps:spPr bwMode="auto">
                            <a:xfrm>
                              <a:off x="4036" y="2063"/>
                              <a:ext cx="1744" cy="1413"/>
                            </a:xfrm>
                            <a:custGeom>
                              <a:avLst/>
                              <a:gdLst>
                                <a:gd name="T0" fmla="+- 0 4378 4036"/>
                                <a:gd name="T1" fmla="*/ T0 w 1744"/>
                                <a:gd name="T2" fmla="+- 0 2063 2063"/>
                                <a:gd name="T3" fmla="*/ 2063 h 1413"/>
                                <a:gd name="T4" fmla="+- 0 4036 4036"/>
                                <a:gd name="T5" fmla="*/ T4 w 1744"/>
                                <a:gd name="T6" fmla="+- 0 3434 2063"/>
                                <a:gd name="T7" fmla="*/ 3434 h 1413"/>
                                <a:gd name="T8" fmla="+- 0 4079 4036"/>
                                <a:gd name="T9" fmla="*/ T8 w 1744"/>
                                <a:gd name="T10" fmla="+- 0 3444 2063"/>
                                <a:gd name="T11" fmla="*/ 3444 h 1413"/>
                                <a:gd name="T12" fmla="+- 0 4120 4036"/>
                                <a:gd name="T13" fmla="*/ T12 w 1744"/>
                                <a:gd name="T14" fmla="+- 0 3453 2063"/>
                                <a:gd name="T15" fmla="*/ 3453 h 1413"/>
                                <a:gd name="T16" fmla="+- 0 4161 4036"/>
                                <a:gd name="T17" fmla="*/ T16 w 1744"/>
                                <a:gd name="T18" fmla="+- 0 3459 2063"/>
                                <a:gd name="T19" fmla="*/ 3459 h 1413"/>
                                <a:gd name="T20" fmla="+- 0 4205 4036"/>
                                <a:gd name="T21" fmla="*/ T20 w 1744"/>
                                <a:gd name="T22" fmla="+- 0 3465 2063"/>
                                <a:gd name="T23" fmla="*/ 3465 h 1413"/>
                                <a:gd name="T24" fmla="+- 0 4280 4036"/>
                                <a:gd name="T25" fmla="*/ T24 w 1744"/>
                                <a:gd name="T26" fmla="+- 0 3473 2063"/>
                                <a:gd name="T27" fmla="*/ 3473 h 1413"/>
                                <a:gd name="T28" fmla="+- 0 4354 4036"/>
                                <a:gd name="T29" fmla="*/ T28 w 1744"/>
                                <a:gd name="T30" fmla="+- 0 3476 2063"/>
                                <a:gd name="T31" fmla="*/ 3476 h 1413"/>
                                <a:gd name="T32" fmla="+- 0 4428 4036"/>
                                <a:gd name="T33" fmla="*/ T32 w 1744"/>
                                <a:gd name="T34" fmla="+- 0 3475 2063"/>
                                <a:gd name="T35" fmla="*/ 3475 h 1413"/>
                                <a:gd name="T36" fmla="+- 0 4501 4036"/>
                                <a:gd name="T37" fmla="*/ T36 w 1744"/>
                                <a:gd name="T38" fmla="+- 0 3471 2063"/>
                                <a:gd name="T39" fmla="*/ 3471 h 1413"/>
                                <a:gd name="T40" fmla="+- 0 4572 4036"/>
                                <a:gd name="T41" fmla="*/ T40 w 1744"/>
                                <a:gd name="T42" fmla="+- 0 3463 2063"/>
                                <a:gd name="T43" fmla="*/ 3463 h 1413"/>
                                <a:gd name="T44" fmla="+- 0 4643 4036"/>
                                <a:gd name="T45" fmla="*/ T44 w 1744"/>
                                <a:gd name="T46" fmla="+- 0 3451 2063"/>
                                <a:gd name="T47" fmla="*/ 3451 h 1413"/>
                                <a:gd name="T48" fmla="+- 0 4713 4036"/>
                                <a:gd name="T49" fmla="*/ T48 w 1744"/>
                                <a:gd name="T50" fmla="+- 0 3436 2063"/>
                                <a:gd name="T51" fmla="*/ 3436 h 1413"/>
                                <a:gd name="T52" fmla="+- 0 4782 4036"/>
                                <a:gd name="T53" fmla="*/ T52 w 1744"/>
                                <a:gd name="T54" fmla="+- 0 3417 2063"/>
                                <a:gd name="T55" fmla="*/ 3417 h 1413"/>
                                <a:gd name="T56" fmla="+- 0 4849 4036"/>
                                <a:gd name="T57" fmla="*/ T56 w 1744"/>
                                <a:gd name="T58" fmla="+- 0 3395 2063"/>
                                <a:gd name="T59" fmla="*/ 3395 h 1413"/>
                                <a:gd name="T60" fmla="+- 0 4915 4036"/>
                                <a:gd name="T61" fmla="*/ T60 w 1744"/>
                                <a:gd name="T62" fmla="+- 0 3370 2063"/>
                                <a:gd name="T63" fmla="*/ 3370 h 1413"/>
                                <a:gd name="T64" fmla="+- 0 4979 4036"/>
                                <a:gd name="T65" fmla="*/ T64 w 1744"/>
                                <a:gd name="T66" fmla="+- 0 3342 2063"/>
                                <a:gd name="T67" fmla="*/ 3342 h 1413"/>
                                <a:gd name="T68" fmla="+- 0 5042 4036"/>
                                <a:gd name="T69" fmla="*/ T68 w 1744"/>
                                <a:gd name="T70" fmla="+- 0 3310 2063"/>
                                <a:gd name="T71" fmla="*/ 3310 h 1413"/>
                                <a:gd name="T72" fmla="+- 0 5103 4036"/>
                                <a:gd name="T73" fmla="*/ T72 w 1744"/>
                                <a:gd name="T74" fmla="+- 0 3276 2063"/>
                                <a:gd name="T75" fmla="*/ 3276 h 1413"/>
                                <a:gd name="T76" fmla="+- 0 5162 4036"/>
                                <a:gd name="T77" fmla="*/ T76 w 1744"/>
                                <a:gd name="T78" fmla="+- 0 3238 2063"/>
                                <a:gd name="T79" fmla="*/ 3238 h 1413"/>
                                <a:gd name="T80" fmla="+- 0 5220 4036"/>
                                <a:gd name="T81" fmla="*/ T80 w 1744"/>
                                <a:gd name="T82" fmla="+- 0 3198 2063"/>
                                <a:gd name="T83" fmla="*/ 3198 h 1413"/>
                                <a:gd name="T84" fmla="+- 0 5275 4036"/>
                                <a:gd name="T85" fmla="*/ T84 w 1744"/>
                                <a:gd name="T86" fmla="+- 0 3155 2063"/>
                                <a:gd name="T87" fmla="*/ 3155 h 1413"/>
                                <a:gd name="T88" fmla="+- 0 5328 4036"/>
                                <a:gd name="T89" fmla="*/ T88 w 1744"/>
                                <a:gd name="T90" fmla="+- 0 3109 2063"/>
                                <a:gd name="T91" fmla="*/ 3109 h 1413"/>
                                <a:gd name="T92" fmla="+- 0 5378 4036"/>
                                <a:gd name="T93" fmla="*/ T92 w 1744"/>
                                <a:gd name="T94" fmla="+- 0 3061 2063"/>
                                <a:gd name="T95" fmla="*/ 3061 h 1413"/>
                                <a:gd name="T96" fmla="+- 0 5427 4036"/>
                                <a:gd name="T97" fmla="*/ T96 w 1744"/>
                                <a:gd name="T98" fmla="+- 0 3010 2063"/>
                                <a:gd name="T99" fmla="*/ 3010 h 1413"/>
                                <a:gd name="T100" fmla="+- 0 5472 4036"/>
                                <a:gd name="T101" fmla="*/ T100 w 1744"/>
                                <a:gd name="T102" fmla="+- 0 2956 2063"/>
                                <a:gd name="T103" fmla="*/ 2956 h 1413"/>
                                <a:gd name="T104" fmla="+- 0 5516 4036"/>
                                <a:gd name="T105" fmla="*/ T104 w 1744"/>
                                <a:gd name="T106" fmla="+- 0 2901 2063"/>
                                <a:gd name="T107" fmla="*/ 2901 h 1413"/>
                                <a:gd name="T108" fmla="+- 0 5556 4036"/>
                                <a:gd name="T109" fmla="*/ T108 w 1744"/>
                                <a:gd name="T110" fmla="+- 0 2843 2063"/>
                                <a:gd name="T111" fmla="*/ 2843 h 1413"/>
                                <a:gd name="T112" fmla="+- 0 5594 4036"/>
                                <a:gd name="T113" fmla="*/ T112 w 1744"/>
                                <a:gd name="T114" fmla="+- 0 2783 2063"/>
                                <a:gd name="T115" fmla="*/ 2783 h 1413"/>
                                <a:gd name="T116" fmla="+- 0 5628 4036"/>
                                <a:gd name="T117" fmla="*/ T116 w 1744"/>
                                <a:gd name="T118" fmla="+- 0 2721 2063"/>
                                <a:gd name="T119" fmla="*/ 2721 h 1413"/>
                                <a:gd name="T120" fmla="+- 0 5660 4036"/>
                                <a:gd name="T121" fmla="*/ T120 w 1744"/>
                                <a:gd name="T122" fmla="+- 0 2657 2063"/>
                                <a:gd name="T123" fmla="*/ 2657 h 1413"/>
                                <a:gd name="T124" fmla="+- 0 5688 4036"/>
                                <a:gd name="T125" fmla="*/ T124 w 1744"/>
                                <a:gd name="T126" fmla="+- 0 2591 2063"/>
                                <a:gd name="T127" fmla="*/ 2591 h 1413"/>
                                <a:gd name="T128" fmla="+- 0 5714 4036"/>
                                <a:gd name="T129" fmla="*/ T128 w 1744"/>
                                <a:gd name="T130" fmla="+- 0 2523 2063"/>
                                <a:gd name="T131" fmla="*/ 2523 h 1413"/>
                                <a:gd name="T132" fmla="+- 0 5736 4036"/>
                                <a:gd name="T133" fmla="*/ T132 w 1744"/>
                                <a:gd name="T134" fmla="+- 0 2454 2063"/>
                                <a:gd name="T135" fmla="*/ 2454 h 1413"/>
                                <a:gd name="T136" fmla="+- 0 5754 4036"/>
                                <a:gd name="T137" fmla="*/ T136 w 1744"/>
                                <a:gd name="T138" fmla="+- 0 2382 2063"/>
                                <a:gd name="T139" fmla="*/ 2382 h 1413"/>
                                <a:gd name="T140" fmla="+- 0 5769 4036"/>
                                <a:gd name="T141" fmla="*/ T140 w 1744"/>
                                <a:gd name="T142" fmla="+- 0 2310 2063"/>
                                <a:gd name="T143" fmla="*/ 2310 h 1413"/>
                                <a:gd name="T144" fmla="+- 0 5780 4036"/>
                                <a:gd name="T145" fmla="*/ T144 w 1744"/>
                                <a:gd name="T146" fmla="+- 0 2235 2063"/>
                                <a:gd name="T147" fmla="*/ 2235 h 1413"/>
                                <a:gd name="T148" fmla="+- 0 4378 4036"/>
                                <a:gd name="T149" fmla="*/ T148 w 1744"/>
                                <a:gd name="T150" fmla="+- 0 2063 2063"/>
                                <a:gd name="T151" fmla="*/ 2063 h 1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744" h="1413">
                                  <a:moveTo>
                                    <a:pt x="342" y="0"/>
                                  </a:moveTo>
                                  <a:lnTo>
                                    <a:pt x="0" y="1371"/>
                                  </a:lnTo>
                                  <a:lnTo>
                                    <a:pt x="43" y="1381"/>
                                  </a:lnTo>
                                  <a:lnTo>
                                    <a:pt x="84" y="1390"/>
                                  </a:lnTo>
                                  <a:lnTo>
                                    <a:pt x="125" y="1396"/>
                                  </a:lnTo>
                                  <a:lnTo>
                                    <a:pt x="169" y="1402"/>
                                  </a:lnTo>
                                  <a:lnTo>
                                    <a:pt x="244" y="1410"/>
                                  </a:lnTo>
                                  <a:lnTo>
                                    <a:pt x="318" y="1413"/>
                                  </a:lnTo>
                                  <a:lnTo>
                                    <a:pt x="392" y="1412"/>
                                  </a:lnTo>
                                  <a:lnTo>
                                    <a:pt x="465" y="1408"/>
                                  </a:lnTo>
                                  <a:lnTo>
                                    <a:pt x="536" y="1400"/>
                                  </a:lnTo>
                                  <a:lnTo>
                                    <a:pt x="607" y="1388"/>
                                  </a:lnTo>
                                  <a:lnTo>
                                    <a:pt x="677" y="1373"/>
                                  </a:lnTo>
                                  <a:lnTo>
                                    <a:pt x="746" y="1354"/>
                                  </a:lnTo>
                                  <a:lnTo>
                                    <a:pt x="813" y="1332"/>
                                  </a:lnTo>
                                  <a:lnTo>
                                    <a:pt x="879" y="1307"/>
                                  </a:lnTo>
                                  <a:lnTo>
                                    <a:pt x="943" y="1279"/>
                                  </a:lnTo>
                                  <a:lnTo>
                                    <a:pt x="1006" y="1247"/>
                                  </a:lnTo>
                                  <a:lnTo>
                                    <a:pt x="1067" y="1213"/>
                                  </a:lnTo>
                                  <a:lnTo>
                                    <a:pt x="1126" y="1175"/>
                                  </a:lnTo>
                                  <a:lnTo>
                                    <a:pt x="1184" y="1135"/>
                                  </a:lnTo>
                                  <a:lnTo>
                                    <a:pt x="1239" y="1092"/>
                                  </a:lnTo>
                                  <a:lnTo>
                                    <a:pt x="1292" y="1046"/>
                                  </a:lnTo>
                                  <a:lnTo>
                                    <a:pt x="1342" y="998"/>
                                  </a:lnTo>
                                  <a:lnTo>
                                    <a:pt x="1391" y="947"/>
                                  </a:lnTo>
                                  <a:lnTo>
                                    <a:pt x="1436" y="893"/>
                                  </a:lnTo>
                                  <a:lnTo>
                                    <a:pt x="1480" y="838"/>
                                  </a:lnTo>
                                  <a:lnTo>
                                    <a:pt x="1520" y="780"/>
                                  </a:lnTo>
                                  <a:lnTo>
                                    <a:pt x="1558" y="720"/>
                                  </a:lnTo>
                                  <a:lnTo>
                                    <a:pt x="1592" y="658"/>
                                  </a:lnTo>
                                  <a:lnTo>
                                    <a:pt x="1624" y="594"/>
                                  </a:lnTo>
                                  <a:lnTo>
                                    <a:pt x="1652" y="528"/>
                                  </a:lnTo>
                                  <a:lnTo>
                                    <a:pt x="1678" y="460"/>
                                  </a:lnTo>
                                  <a:lnTo>
                                    <a:pt x="1700" y="391"/>
                                  </a:lnTo>
                                  <a:lnTo>
                                    <a:pt x="1718" y="319"/>
                                  </a:lnTo>
                                  <a:lnTo>
                                    <a:pt x="1733" y="247"/>
                                  </a:lnTo>
                                  <a:lnTo>
                                    <a:pt x="1744" y="172"/>
                                  </a:lnTo>
                                  <a:lnTo>
                                    <a:pt x="342" y="0"/>
                                  </a:lnTo>
                                  <a:close/>
                                </a:path>
                              </a:pathLst>
                            </a:custGeom>
                            <a:solidFill>
                              <a:srgbClr val="C66D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84" name="Group 3201"/>
                        <wpg:cNvGrpSpPr>
                          <a:grpSpLocks/>
                        </wpg:cNvGrpSpPr>
                        <wpg:grpSpPr bwMode="auto">
                          <a:xfrm>
                            <a:off x="4378" y="651"/>
                            <a:ext cx="1413" cy="1585"/>
                            <a:chOff x="4378" y="651"/>
                            <a:chExt cx="1413" cy="1585"/>
                          </a:xfrm>
                        </wpg:grpSpPr>
                        <wps:wsp>
                          <wps:cNvPr id="3285" name="Freeform 3202"/>
                          <wps:cNvSpPr>
                            <a:spLocks/>
                          </wps:cNvSpPr>
                          <wps:spPr bwMode="auto">
                            <a:xfrm>
                              <a:off x="4378" y="651"/>
                              <a:ext cx="1413" cy="1585"/>
                            </a:xfrm>
                            <a:custGeom>
                              <a:avLst/>
                              <a:gdLst>
                                <a:gd name="T0" fmla="+- 0 4378 4378"/>
                                <a:gd name="T1" fmla="*/ T0 w 1413"/>
                                <a:gd name="T2" fmla="+- 0 651 651"/>
                                <a:gd name="T3" fmla="*/ 651 h 1585"/>
                                <a:gd name="T4" fmla="+- 0 4378 4378"/>
                                <a:gd name="T5" fmla="*/ T4 w 1413"/>
                                <a:gd name="T6" fmla="+- 0 2063 651"/>
                                <a:gd name="T7" fmla="*/ 2063 h 1585"/>
                                <a:gd name="T8" fmla="+- 0 5780 4378"/>
                                <a:gd name="T9" fmla="*/ T8 w 1413"/>
                                <a:gd name="T10" fmla="+- 0 2235 651"/>
                                <a:gd name="T11" fmla="*/ 2235 h 1585"/>
                                <a:gd name="T12" fmla="+- 0 5785 4378"/>
                                <a:gd name="T13" fmla="*/ T12 w 1413"/>
                                <a:gd name="T14" fmla="+- 0 2191 651"/>
                                <a:gd name="T15" fmla="*/ 2191 h 1585"/>
                                <a:gd name="T16" fmla="+- 0 5788 4378"/>
                                <a:gd name="T17" fmla="*/ T16 w 1413"/>
                                <a:gd name="T18" fmla="+- 0 2150 651"/>
                                <a:gd name="T19" fmla="*/ 2150 h 1585"/>
                                <a:gd name="T20" fmla="+- 0 5790 4378"/>
                                <a:gd name="T21" fmla="*/ T20 w 1413"/>
                                <a:gd name="T22" fmla="+- 0 2108 651"/>
                                <a:gd name="T23" fmla="*/ 2108 h 1585"/>
                                <a:gd name="T24" fmla="+- 0 5790 4378"/>
                                <a:gd name="T25" fmla="*/ T24 w 1413"/>
                                <a:gd name="T26" fmla="+- 0 2063 651"/>
                                <a:gd name="T27" fmla="*/ 2063 h 1585"/>
                                <a:gd name="T28" fmla="+- 0 5788 4378"/>
                                <a:gd name="T29" fmla="*/ T28 w 1413"/>
                                <a:gd name="T30" fmla="+- 0 1988 651"/>
                                <a:gd name="T31" fmla="*/ 1988 h 1585"/>
                                <a:gd name="T32" fmla="+- 0 5783 4378"/>
                                <a:gd name="T33" fmla="*/ T32 w 1413"/>
                                <a:gd name="T34" fmla="+- 0 1914 651"/>
                                <a:gd name="T35" fmla="*/ 1914 h 1585"/>
                                <a:gd name="T36" fmla="+- 0 5773 4378"/>
                                <a:gd name="T37" fmla="*/ T36 w 1413"/>
                                <a:gd name="T38" fmla="+- 0 1841 651"/>
                                <a:gd name="T39" fmla="*/ 1841 h 1585"/>
                                <a:gd name="T40" fmla="+- 0 5760 4378"/>
                                <a:gd name="T41" fmla="*/ T40 w 1413"/>
                                <a:gd name="T42" fmla="+- 0 1770 651"/>
                                <a:gd name="T43" fmla="*/ 1770 h 1585"/>
                                <a:gd name="T44" fmla="+- 0 5743 4378"/>
                                <a:gd name="T45" fmla="*/ T44 w 1413"/>
                                <a:gd name="T46" fmla="+- 0 1699 651"/>
                                <a:gd name="T47" fmla="*/ 1699 h 1585"/>
                                <a:gd name="T48" fmla="+- 0 5723 4378"/>
                                <a:gd name="T49" fmla="*/ T48 w 1413"/>
                                <a:gd name="T50" fmla="+- 0 1630 651"/>
                                <a:gd name="T51" fmla="*/ 1630 h 1585"/>
                                <a:gd name="T52" fmla="+- 0 5699 4378"/>
                                <a:gd name="T53" fmla="*/ T52 w 1413"/>
                                <a:gd name="T54" fmla="+- 0 1563 651"/>
                                <a:gd name="T55" fmla="*/ 1563 h 1585"/>
                                <a:gd name="T56" fmla="+- 0 5672 4378"/>
                                <a:gd name="T57" fmla="*/ T56 w 1413"/>
                                <a:gd name="T58" fmla="+- 0 1497 651"/>
                                <a:gd name="T59" fmla="*/ 1497 h 1585"/>
                                <a:gd name="T60" fmla="+- 0 5642 4378"/>
                                <a:gd name="T61" fmla="*/ T60 w 1413"/>
                                <a:gd name="T62" fmla="+- 0 1433 651"/>
                                <a:gd name="T63" fmla="*/ 1433 h 1585"/>
                                <a:gd name="T64" fmla="+- 0 5609 4378"/>
                                <a:gd name="T65" fmla="*/ T64 w 1413"/>
                                <a:gd name="T66" fmla="+- 0 1371 651"/>
                                <a:gd name="T67" fmla="*/ 1371 h 1585"/>
                                <a:gd name="T68" fmla="+- 0 5573 4378"/>
                                <a:gd name="T69" fmla="*/ T68 w 1413"/>
                                <a:gd name="T70" fmla="+- 0 1310 651"/>
                                <a:gd name="T71" fmla="*/ 1310 h 1585"/>
                                <a:gd name="T72" fmla="+- 0 5534 4378"/>
                                <a:gd name="T73" fmla="*/ T72 w 1413"/>
                                <a:gd name="T74" fmla="+- 0 1252 651"/>
                                <a:gd name="T75" fmla="*/ 1252 h 1585"/>
                                <a:gd name="T76" fmla="+- 0 5492 4378"/>
                                <a:gd name="T77" fmla="*/ T76 w 1413"/>
                                <a:gd name="T78" fmla="+- 0 1195 651"/>
                                <a:gd name="T79" fmla="*/ 1195 h 1585"/>
                                <a:gd name="T80" fmla="+- 0 5448 4378"/>
                                <a:gd name="T81" fmla="*/ T80 w 1413"/>
                                <a:gd name="T82" fmla="+- 0 1141 651"/>
                                <a:gd name="T83" fmla="*/ 1141 h 1585"/>
                                <a:gd name="T84" fmla="+- 0 5401 4378"/>
                                <a:gd name="T85" fmla="*/ T84 w 1413"/>
                                <a:gd name="T86" fmla="+- 0 1089 651"/>
                                <a:gd name="T87" fmla="*/ 1089 h 1585"/>
                                <a:gd name="T88" fmla="+- 0 5352 4378"/>
                                <a:gd name="T89" fmla="*/ T88 w 1413"/>
                                <a:gd name="T90" fmla="+- 0 1040 651"/>
                                <a:gd name="T91" fmla="*/ 1040 h 1585"/>
                                <a:gd name="T92" fmla="+- 0 5300 4378"/>
                                <a:gd name="T93" fmla="*/ T92 w 1413"/>
                                <a:gd name="T94" fmla="+- 0 993 651"/>
                                <a:gd name="T95" fmla="*/ 993 h 1585"/>
                                <a:gd name="T96" fmla="+- 0 5245 4378"/>
                                <a:gd name="T97" fmla="*/ T96 w 1413"/>
                                <a:gd name="T98" fmla="+- 0 949 651"/>
                                <a:gd name="T99" fmla="*/ 949 h 1585"/>
                                <a:gd name="T100" fmla="+- 0 5189 4378"/>
                                <a:gd name="T101" fmla="*/ T100 w 1413"/>
                                <a:gd name="T102" fmla="+- 0 907 651"/>
                                <a:gd name="T103" fmla="*/ 907 h 1585"/>
                                <a:gd name="T104" fmla="+- 0 5131 4378"/>
                                <a:gd name="T105" fmla="*/ T104 w 1413"/>
                                <a:gd name="T106" fmla="+- 0 868 651"/>
                                <a:gd name="T107" fmla="*/ 868 h 1585"/>
                                <a:gd name="T108" fmla="+- 0 5070 4378"/>
                                <a:gd name="T109" fmla="*/ T108 w 1413"/>
                                <a:gd name="T110" fmla="+- 0 832 651"/>
                                <a:gd name="T111" fmla="*/ 832 h 1585"/>
                                <a:gd name="T112" fmla="+- 0 5008 4378"/>
                                <a:gd name="T113" fmla="*/ T112 w 1413"/>
                                <a:gd name="T114" fmla="+- 0 799 651"/>
                                <a:gd name="T115" fmla="*/ 799 h 1585"/>
                                <a:gd name="T116" fmla="+- 0 4944 4378"/>
                                <a:gd name="T117" fmla="*/ T116 w 1413"/>
                                <a:gd name="T118" fmla="+- 0 769 651"/>
                                <a:gd name="T119" fmla="*/ 769 h 1585"/>
                                <a:gd name="T120" fmla="+- 0 4878 4378"/>
                                <a:gd name="T121" fmla="*/ T120 w 1413"/>
                                <a:gd name="T122" fmla="+- 0 742 651"/>
                                <a:gd name="T123" fmla="*/ 742 h 1585"/>
                                <a:gd name="T124" fmla="+- 0 4811 4378"/>
                                <a:gd name="T125" fmla="*/ T124 w 1413"/>
                                <a:gd name="T126" fmla="+- 0 718 651"/>
                                <a:gd name="T127" fmla="*/ 718 h 1585"/>
                                <a:gd name="T128" fmla="+- 0 4742 4378"/>
                                <a:gd name="T129" fmla="*/ T128 w 1413"/>
                                <a:gd name="T130" fmla="+- 0 698 651"/>
                                <a:gd name="T131" fmla="*/ 698 h 1585"/>
                                <a:gd name="T132" fmla="+- 0 4671 4378"/>
                                <a:gd name="T133" fmla="*/ T132 w 1413"/>
                                <a:gd name="T134" fmla="+- 0 681 651"/>
                                <a:gd name="T135" fmla="*/ 681 h 1585"/>
                                <a:gd name="T136" fmla="+- 0 4600 4378"/>
                                <a:gd name="T137" fmla="*/ T136 w 1413"/>
                                <a:gd name="T138" fmla="+- 0 668 651"/>
                                <a:gd name="T139" fmla="*/ 668 h 1585"/>
                                <a:gd name="T140" fmla="+- 0 4527 4378"/>
                                <a:gd name="T141" fmla="*/ T140 w 1413"/>
                                <a:gd name="T142" fmla="+- 0 658 651"/>
                                <a:gd name="T143" fmla="*/ 658 h 1585"/>
                                <a:gd name="T144" fmla="+- 0 4453 4378"/>
                                <a:gd name="T145" fmla="*/ T144 w 1413"/>
                                <a:gd name="T146" fmla="+- 0 653 651"/>
                                <a:gd name="T147" fmla="*/ 653 h 1585"/>
                                <a:gd name="T148" fmla="+- 0 4378 4378"/>
                                <a:gd name="T149" fmla="*/ T148 w 1413"/>
                                <a:gd name="T150" fmla="+- 0 651 651"/>
                                <a:gd name="T151" fmla="*/ 651 h 1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413" h="1585">
                                  <a:moveTo>
                                    <a:pt x="0" y="0"/>
                                  </a:moveTo>
                                  <a:lnTo>
                                    <a:pt x="0" y="1412"/>
                                  </a:lnTo>
                                  <a:lnTo>
                                    <a:pt x="1402" y="1584"/>
                                  </a:lnTo>
                                  <a:lnTo>
                                    <a:pt x="1407" y="1540"/>
                                  </a:lnTo>
                                  <a:lnTo>
                                    <a:pt x="1410" y="1499"/>
                                  </a:lnTo>
                                  <a:lnTo>
                                    <a:pt x="1412" y="1457"/>
                                  </a:lnTo>
                                  <a:lnTo>
                                    <a:pt x="1412" y="1412"/>
                                  </a:lnTo>
                                  <a:lnTo>
                                    <a:pt x="1410" y="1337"/>
                                  </a:lnTo>
                                  <a:lnTo>
                                    <a:pt x="1405" y="1263"/>
                                  </a:lnTo>
                                  <a:lnTo>
                                    <a:pt x="1395" y="1190"/>
                                  </a:lnTo>
                                  <a:lnTo>
                                    <a:pt x="1382" y="1119"/>
                                  </a:lnTo>
                                  <a:lnTo>
                                    <a:pt x="1365" y="1048"/>
                                  </a:lnTo>
                                  <a:lnTo>
                                    <a:pt x="1345" y="979"/>
                                  </a:lnTo>
                                  <a:lnTo>
                                    <a:pt x="1321" y="912"/>
                                  </a:lnTo>
                                  <a:lnTo>
                                    <a:pt x="1294" y="846"/>
                                  </a:lnTo>
                                  <a:lnTo>
                                    <a:pt x="1264" y="782"/>
                                  </a:lnTo>
                                  <a:lnTo>
                                    <a:pt x="1231" y="720"/>
                                  </a:lnTo>
                                  <a:lnTo>
                                    <a:pt x="1195" y="659"/>
                                  </a:lnTo>
                                  <a:lnTo>
                                    <a:pt x="1156" y="601"/>
                                  </a:lnTo>
                                  <a:lnTo>
                                    <a:pt x="1114" y="544"/>
                                  </a:lnTo>
                                  <a:lnTo>
                                    <a:pt x="1070" y="490"/>
                                  </a:lnTo>
                                  <a:lnTo>
                                    <a:pt x="1023" y="438"/>
                                  </a:lnTo>
                                  <a:lnTo>
                                    <a:pt x="974" y="389"/>
                                  </a:lnTo>
                                  <a:lnTo>
                                    <a:pt x="922" y="342"/>
                                  </a:lnTo>
                                  <a:lnTo>
                                    <a:pt x="867" y="298"/>
                                  </a:lnTo>
                                  <a:lnTo>
                                    <a:pt x="811" y="256"/>
                                  </a:lnTo>
                                  <a:lnTo>
                                    <a:pt x="753" y="217"/>
                                  </a:lnTo>
                                  <a:lnTo>
                                    <a:pt x="692" y="181"/>
                                  </a:lnTo>
                                  <a:lnTo>
                                    <a:pt x="630" y="148"/>
                                  </a:lnTo>
                                  <a:lnTo>
                                    <a:pt x="566" y="118"/>
                                  </a:lnTo>
                                  <a:lnTo>
                                    <a:pt x="500" y="91"/>
                                  </a:lnTo>
                                  <a:lnTo>
                                    <a:pt x="433" y="67"/>
                                  </a:lnTo>
                                  <a:lnTo>
                                    <a:pt x="364" y="47"/>
                                  </a:lnTo>
                                  <a:lnTo>
                                    <a:pt x="293" y="30"/>
                                  </a:lnTo>
                                  <a:lnTo>
                                    <a:pt x="222" y="17"/>
                                  </a:lnTo>
                                  <a:lnTo>
                                    <a:pt x="149" y="7"/>
                                  </a:lnTo>
                                  <a:lnTo>
                                    <a:pt x="75" y="2"/>
                                  </a:lnTo>
                                  <a:lnTo>
                                    <a:pt x="0" y="0"/>
                                  </a:lnTo>
                                  <a:close/>
                                </a:path>
                              </a:pathLst>
                            </a:custGeom>
                            <a:solidFill>
                              <a:srgbClr val="0061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86" name="Group 3203"/>
                        <wpg:cNvGrpSpPr>
                          <a:grpSpLocks/>
                        </wpg:cNvGrpSpPr>
                        <wpg:grpSpPr bwMode="auto">
                          <a:xfrm>
                            <a:off x="2755" y="3006"/>
                            <a:ext cx="660" cy="286"/>
                            <a:chOff x="2755" y="3006"/>
                            <a:chExt cx="660" cy="286"/>
                          </a:xfrm>
                        </wpg:grpSpPr>
                        <wps:wsp>
                          <wps:cNvPr id="3287" name="Freeform 3204"/>
                          <wps:cNvSpPr>
                            <a:spLocks/>
                          </wps:cNvSpPr>
                          <wps:spPr bwMode="auto">
                            <a:xfrm>
                              <a:off x="2755" y="3006"/>
                              <a:ext cx="660" cy="286"/>
                            </a:xfrm>
                            <a:custGeom>
                              <a:avLst/>
                              <a:gdLst>
                                <a:gd name="T0" fmla="+- 0 2755 2755"/>
                                <a:gd name="T1" fmla="*/ T0 w 660"/>
                                <a:gd name="T2" fmla="+- 0 3291 3006"/>
                                <a:gd name="T3" fmla="*/ 3291 h 286"/>
                                <a:gd name="T4" fmla="+- 0 3043 2755"/>
                                <a:gd name="T5" fmla="*/ T4 w 660"/>
                                <a:gd name="T6" fmla="+- 0 3291 3006"/>
                                <a:gd name="T7" fmla="*/ 3291 h 286"/>
                                <a:gd name="T8" fmla="+- 0 3414 2755"/>
                                <a:gd name="T9" fmla="*/ T8 w 660"/>
                                <a:gd name="T10" fmla="+- 0 3006 3006"/>
                                <a:gd name="T11" fmla="*/ 3006 h 286"/>
                              </a:gdLst>
                              <a:ahLst/>
                              <a:cxnLst>
                                <a:cxn ang="0">
                                  <a:pos x="T1" y="T3"/>
                                </a:cxn>
                                <a:cxn ang="0">
                                  <a:pos x="T5" y="T7"/>
                                </a:cxn>
                                <a:cxn ang="0">
                                  <a:pos x="T9" y="T11"/>
                                </a:cxn>
                              </a:cxnLst>
                              <a:rect l="0" t="0" r="r" b="b"/>
                              <a:pathLst>
                                <a:path w="660" h="286">
                                  <a:moveTo>
                                    <a:pt x="0" y="285"/>
                                  </a:moveTo>
                                  <a:lnTo>
                                    <a:pt x="288" y="285"/>
                                  </a:lnTo>
                                  <a:lnTo>
                                    <a:pt x="659" y="0"/>
                                  </a:lnTo>
                                </a:path>
                              </a:pathLst>
                            </a:custGeom>
                            <a:noFill/>
                            <a:ln w="4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8" name="Text Box 3205"/>
                          <wps:cNvSpPr txBox="1">
                            <a:spLocks noChangeArrowheads="1"/>
                          </wps:cNvSpPr>
                          <wps:spPr bwMode="auto">
                            <a:xfrm>
                              <a:off x="227" y="247"/>
                              <a:ext cx="469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C9AEE" w14:textId="77777777" w:rsidR="006D19F2" w:rsidRDefault="006D19F2">
                                <w:pPr>
                                  <w:spacing w:line="179" w:lineRule="exact"/>
                                  <w:rPr>
                                    <w:rFonts w:eastAsia="Arial" w:cs="Arial"/>
                                    <w:sz w:val="18"/>
                                    <w:szCs w:val="18"/>
                                  </w:rPr>
                                </w:pPr>
                                <w:r>
                                  <w:rPr>
                                    <w:rFonts w:eastAsia="Arial" w:cs="Arial"/>
                                    <w:b/>
                                    <w:bCs/>
                                    <w:sz w:val="18"/>
                                    <w:szCs w:val="18"/>
                                  </w:rPr>
                                  <w:t>Aid</w:t>
                                </w:r>
                                <w:r>
                                  <w:rPr>
                                    <w:rFonts w:eastAsia="Arial" w:cs="Arial"/>
                                    <w:b/>
                                    <w:bCs/>
                                    <w:spacing w:val="-30"/>
                                    <w:sz w:val="18"/>
                                    <w:szCs w:val="18"/>
                                  </w:rPr>
                                  <w:t xml:space="preserve"> </w:t>
                                </w:r>
                                <w:r>
                                  <w:rPr>
                                    <w:rFonts w:eastAsia="Arial" w:cs="Arial"/>
                                    <w:b/>
                                    <w:bCs/>
                                    <w:sz w:val="18"/>
                                    <w:szCs w:val="18"/>
                                  </w:rPr>
                                  <w:t>for</w:t>
                                </w:r>
                                <w:r>
                                  <w:rPr>
                                    <w:rFonts w:eastAsia="Arial" w:cs="Arial"/>
                                    <w:b/>
                                    <w:bCs/>
                                    <w:spacing w:val="-30"/>
                                    <w:sz w:val="18"/>
                                    <w:szCs w:val="18"/>
                                  </w:rPr>
                                  <w:t xml:space="preserve"> </w:t>
                                </w:r>
                                <w:r>
                                  <w:rPr>
                                    <w:rFonts w:eastAsia="Arial" w:cs="Arial"/>
                                    <w:b/>
                                    <w:bCs/>
                                    <w:sz w:val="18"/>
                                    <w:szCs w:val="18"/>
                                  </w:rPr>
                                  <w:t>Trade</w:t>
                                </w:r>
                                <w:r>
                                  <w:rPr>
                                    <w:rFonts w:eastAsia="Arial" w:cs="Arial"/>
                                    <w:b/>
                                    <w:bCs/>
                                    <w:spacing w:val="-30"/>
                                    <w:sz w:val="18"/>
                                    <w:szCs w:val="18"/>
                                  </w:rPr>
                                  <w:t xml:space="preserve"> </w:t>
                                </w:r>
                                <w:r>
                                  <w:rPr>
                                    <w:rFonts w:eastAsia="Arial" w:cs="Arial"/>
                                    <w:b/>
                                    <w:bCs/>
                                    <w:sz w:val="18"/>
                                    <w:szCs w:val="18"/>
                                  </w:rPr>
                                  <w:t>estimated</w:t>
                                </w:r>
                                <w:r>
                                  <w:rPr>
                                    <w:rFonts w:eastAsia="Arial" w:cs="Arial"/>
                                    <w:b/>
                                    <w:bCs/>
                                    <w:spacing w:val="-30"/>
                                    <w:sz w:val="18"/>
                                    <w:szCs w:val="18"/>
                                  </w:rPr>
                                  <w:t xml:space="preserve"> </w:t>
                                </w:r>
                                <w:r>
                                  <w:rPr>
                                    <w:rFonts w:eastAsia="Arial" w:cs="Arial"/>
                                    <w:b/>
                                    <w:bCs/>
                                    <w:sz w:val="18"/>
                                    <w:szCs w:val="18"/>
                                  </w:rPr>
                                  <w:t>expenditure</w:t>
                                </w:r>
                                <w:r>
                                  <w:rPr>
                                    <w:rFonts w:eastAsia="Arial" w:cs="Arial"/>
                                    <w:b/>
                                    <w:bCs/>
                                    <w:spacing w:val="-30"/>
                                    <w:sz w:val="18"/>
                                    <w:szCs w:val="18"/>
                                  </w:rPr>
                                  <w:t xml:space="preserve"> </w:t>
                                </w:r>
                                <w:r>
                                  <w:rPr>
                                    <w:rFonts w:eastAsia="Arial" w:cs="Arial"/>
                                    <w:b/>
                                    <w:bCs/>
                                    <w:sz w:val="18"/>
                                    <w:szCs w:val="18"/>
                                  </w:rPr>
                                  <w:t>by</w:t>
                                </w:r>
                                <w:r>
                                  <w:rPr>
                                    <w:rFonts w:eastAsia="Arial" w:cs="Arial"/>
                                    <w:b/>
                                    <w:bCs/>
                                    <w:spacing w:val="-30"/>
                                    <w:sz w:val="18"/>
                                    <w:szCs w:val="18"/>
                                  </w:rPr>
                                  <w:t xml:space="preserve"> </w:t>
                                </w:r>
                                <w:r>
                                  <w:rPr>
                                    <w:rFonts w:eastAsia="Arial" w:cs="Arial"/>
                                    <w:b/>
                                    <w:bCs/>
                                    <w:sz w:val="18"/>
                                    <w:szCs w:val="18"/>
                                  </w:rPr>
                                  <w:t>region</w:t>
                                </w:r>
                                <w:r>
                                  <w:rPr>
                                    <w:rFonts w:eastAsia="Arial" w:cs="Arial"/>
                                    <w:b/>
                                    <w:bCs/>
                                    <w:spacing w:val="-30"/>
                                    <w:sz w:val="18"/>
                                    <w:szCs w:val="18"/>
                                  </w:rPr>
                                  <w:t xml:space="preserve"> </w:t>
                                </w:r>
                                <w:r>
                                  <w:rPr>
                                    <w:rFonts w:eastAsia="Arial" w:cs="Arial"/>
                                    <w:b/>
                                    <w:bCs/>
                                    <w:sz w:val="18"/>
                                    <w:szCs w:val="18"/>
                                  </w:rPr>
                                  <w:t>2015–2016</w:t>
                                </w:r>
                              </w:p>
                            </w:txbxContent>
                          </wps:txbx>
                          <wps:bodyPr rot="0" vert="horz" wrap="square" lIns="0" tIns="0" rIns="0" bIns="0" anchor="t" anchorCtr="0" upright="1">
                            <a:noAutofit/>
                          </wps:bodyPr>
                        </wps:wsp>
                        <wps:wsp>
                          <wps:cNvPr id="3289" name="Text Box 3206"/>
                          <wps:cNvSpPr txBox="1">
                            <a:spLocks noChangeArrowheads="1"/>
                          </wps:cNvSpPr>
                          <wps:spPr bwMode="auto">
                            <a:xfrm>
                              <a:off x="4844" y="1456"/>
                              <a:ext cx="266"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097D9" w14:textId="77777777" w:rsidR="006D19F2" w:rsidRDefault="006D19F2">
                                <w:pPr>
                                  <w:spacing w:line="140" w:lineRule="exact"/>
                                  <w:rPr>
                                    <w:rFonts w:eastAsia="Arial" w:cs="Arial"/>
                                    <w:sz w:val="14"/>
                                    <w:szCs w:val="14"/>
                                  </w:rPr>
                                </w:pPr>
                                <w:r>
                                  <w:rPr>
                                    <w:b/>
                                    <w:color w:val="FFFFFF"/>
                                    <w:w w:val="90"/>
                                    <w:sz w:val="14"/>
                                  </w:rPr>
                                  <w:t>27%</w:t>
                                </w:r>
                              </w:p>
                            </w:txbxContent>
                          </wps:txbx>
                          <wps:bodyPr rot="0" vert="horz" wrap="square" lIns="0" tIns="0" rIns="0" bIns="0" anchor="t" anchorCtr="0" upright="1">
                            <a:noAutofit/>
                          </wps:bodyPr>
                        </wps:wsp>
                        <wps:wsp>
                          <wps:cNvPr id="3290" name="Text Box 3207"/>
                          <wps:cNvSpPr txBox="1">
                            <a:spLocks noChangeArrowheads="1"/>
                          </wps:cNvSpPr>
                          <wps:spPr bwMode="auto">
                            <a:xfrm>
                              <a:off x="3554" y="1732"/>
                              <a:ext cx="266"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00192" w14:textId="77777777" w:rsidR="006D19F2" w:rsidRDefault="006D19F2">
                                <w:pPr>
                                  <w:spacing w:line="140" w:lineRule="exact"/>
                                  <w:rPr>
                                    <w:rFonts w:eastAsia="Arial" w:cs="Arial"/>
                                    <w:sz w:val="14"/>
                                    <w:szCs w:val="14"/>
                                  </w:rPr>
                                </w:pPr>
                                <w:r>
                                  <w:rPr>
                                    <w:b/>
                                    <w:color w:val="FFFFFF"/>
                                    <w:w w:val="90"/>
                                    <w:sz w:val="14"/>
                                  </w:rPr>
                                  <w:t>36%</w:t>
                                </w:r>
                              </w:p>
                            </w:txbxContent>
                          </wps:txbx>
                          <wps:bodyPr rot="0" vert="horz" wrap="square" lIns="0" tIns="0" rIns="0" bIns="0" anchor="t" anchorCtr="0" upright="1">
                            <a:noAutofit/>
                          </wps:bodyPr>
                        </wps:wsp>
                        <wps:wsp>
                          <wps:cNvPr id="3291" name="Text Box 3208"/>
                          <wps:cNvSpPr txBox="1">
                            <a:spLocks noChangeArrowheads="1"/>
                          </wps:cNvSpPr>
                          <wps:spPr bwMode="auto">
                            <a:xfrm>
                              <a:off x="4744" y="2665"/>
                              <a:ext cx="266"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C5071" w14:textId="77777777" w:rsidR="006D19F2" w:rsidRDefault="006D19F2">
                                <w:pPr>
                                  <w:spacing w:line="140" w:lineRule="exact"/>
                                  <w:rPr>
                                    <w:rFonts w:eastAsia="Arial" w:cs="Arial"/>
                                    <w:sz w:val="14"/>
                                    <w:szCs w:val="14"/>
                                  </w:rPr>
                                </w:pPr>
                                <w:r>
                                  <w:rPr>
                                    <w:b/>
                                    <w:color w:val="FFFFFF"/>
                                    <w:w w:val="90"/>
                                    <w:sz w:val="14"/>
                                  </w:rPr>
                                  <w:t>27%</w:t>
                                </w:r>
                              </w:p>
                            </w:txbxContent>
                          </wps:txbx>
                          <wps:bodyPr rot="0" vert="horz" wrap="square" lIns="0" tIns="0" rIns="0" bIns="0" anchor="t" anchorCtr="0" upright="1">
                            <a:noAutofit/>
                          </wps:bodyPr>
                        </wps:wsp>
                        <wps:wsp>
                          <wps:cNvPr id="3292" name="Text Box 3209"/>
                          <wps:cNvSpPr txBox="1">
                            <a:spLocks noChangeArrowheads="1"/>
                          </wps:cNvSpPr>
                          <wps:spPr bwMode="auto">
                            <a:xfrm>
                              <a:off x="3794" y="2890"/>
                              <a:ext cx="182"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49BF5" w14:textId="77777777" w:rsidR="006D19F2" w:rsidRDefault="006D19F2">
                                <w:pPr>
                                  <w:spacing w:line="140" w:lineRule="exact"/>
                                  <w:rPr>
                                    <w:rFonts w:eastAsia="Arial" w:cs="Arial"/>
                                    <w:sz w:val="14"/>
                                    <w:szCs w:val="14"/>
                                  </w:rPr>
                                </w:pPr>
                                <w:r>
                                  <w:rPr>
                                    <w:b/>
                                    <w:color w:val="FFFFFF"/>
                                    <w:w w:val="85"/>
                                    <w:sz w:val="14"/>
                                  </w:rPr>
                                  <w:t>8%</w:t>
                                </w:r>
                              </w:p>
                            </w:txbxContent>
                          </wps:txbx>
                          <wps:bodyPr rot="0" vert="horz" wrap="square" lIns="0" tIns="0" rIns="0" bIns="0" anchor="t" anchorCtr="0" upright="1">
                            <a:noAutofit/>
                          </wps:bodyPr>
                        </wps:wsp>
                        <wps:wsp>
                          <wps:cNvPr id="3293" name="Text Box 3210"/>
                          <wps:cNvSpPr txBox="1">
                            <a:spLocks noChangeArrowheads="1"/>
                          </wps:cNvSpPr>
                          <wps:spPr bwMode="auto">
                            <a:xfrm>
                              <a:off x="2755" y="3123"/>
                              <a:ext cx="182"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6575A" w14:textId="77777777" w:rsidR="006D19F2" w:rsidRDefault="006D19F2">
                                <w:pPr>
                                  <w:spacing w:line="140" w:lineRule="exact"/>
                                  <w:rPr>
                                    <w:rFonts w:eastAsia="Arial" w:cs="Arial"/>
                                    <w:sz w:val="14"/>
                                    <w:szCs w:val="14"/>
                                  </w:rPr>
                                </w:pPr>
                                <w:r>
                                  <w:rPr>
                                    <w:b/>
                                    <w:w w:val="85"/>
                                    <w:sz w:val="14"/>
                                  </w:rPr>
                                  <w:t>2%</w:t>
                                </w:r>
                              </w:p>
                            </w:txbxContent>
                          </wps:txbx>
                          <wps:bodyPr rot="0" vert="horz" wrap="square" lIns="0" tIns="0" rIns="0" bIns="0" anchor="t" anchorCtr="0" upright="1">
                            <a:noAutofit/>
                          </wps:bodyPr>
                        </wps:wsp>
                        <wps:wsp>
                          <wps:cNvPr id="3294" name="Text Box 3211"/>
                          <wps:cNvSpPr txBox="1">
                            <a:spLocks noChangeArrowheads="1"/>
                          </wps:cNvSpPr>
                          <wps:spPr bwMode="auto">
                            <a:xfrm>
                              <a:off x="6161" y="2680"/>
                              <a:ext cx="2114" cy="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DA20C" w14:textId="77777777" w:rsidR="006D19F2" w:rsidRDefault="006D19F2" w:rsidP="00BC5572">
                                <w:pPr>
                                  <w:widowControl w:val="0"/>
                                  <w:numPr>
                                    <w:ilvl w:val="0"/>
                                    <w:numId w:val="14"/>
                                  </w:numPr>
                                  <w:tabs>
                                    <w:tab w:val="left" w:pos="283"/>
                                  </w:tabs>
                                  <w:spacing w:line="149" w:lineRule="exact"/>
                                  <w:ind w:hanging="282"/>
                                  <w:rPr>
                                    <w:rFonts w:ascii="Franklin Gothic Book" w:eastAsia="Franklin Gothic Book" w:hAnsi="Franklin Gothic Book" w:cs="Franklin Gothic Book"/>
                                    <w:color w:val="0061A5"/>
                                    <w:sz w:val="14"/>
                                    <w:szCs w:val="14"/>
                                  </w:rPr>
                                </w:pPr>
                                <w:r>
                                  <w:rPr>
                                    <w:rFonts w:ascii="Franklin Gothic Book"/>
                                    <w:sz w:val="14"/>
                                  </w:rPr>
                                  <w:t>Pacific</w:t>
                                </w:r>
                                <w:r>
                                  <w:rPr>
                                    <w:rFonts w:ascii="Franklin Gothic Book"/>
                                    <w:spacing w:val="13"/>
                                    <w:sz w:val="14"/>
                                  </w:rPr>
                                  <w:t xml:space="preserve"> </w:t>
                                </w:r>
                                <w:r>
                                  <w:rPr>
                                    <w:rFonts w:ascii="Franklin Gothic Book"/>
                                    <w:sz w:val="14"/>
                                  </w:rPr>
                                  <w:t>27%</w:t>
                                </w:r>
                              </w:p>
                              <w:p w14:paraId="422E66B9" w14:textId="77777777" w:rsidR="006D19F2" w:rsidRDefault="006D19F2" w:rsidP="00BC5572">
                                <w:pPr>
                                  <w:widowControl w:val="0"/>
                                  <w:numPr>
                                    <w:ilvl w:val="0"/>
                                    <w:numId w:val="14"/>
                                  </w:numPr>
                                  <w:tabs>
                                    <w:tab w:val="left" w:pos="283"/>
                                  </w:tabs>
                                  <w:spacing w:before="20"/>
                                  <w:ind w:hanging="282"/>
                                  <w:rPr>
                                    <w:rFonts w:ascii="Franklin Gothic Book" w:eastAsia="Franklin Gothic Book" w:hAnsi="Franklin Gothic Book" w:cs="Franklin Gothic Book"/>
                                    <w:color w:val="C66D1A"/>
                                    <w:sz w:val="14"/>
                                    <w:szCs w:val="14"/>
                                  </w:rPr>
                                </w:pPr>
                                <w:r>
                                  <w:rPr>
                                    <w:rFonts w:ascii="Franklin Gothic Book"/>
                                    <w:w w:val="105"/>
                                    <w:sz w:val="14"/>
                                  </w:rPr>
                                  <w:t>East Asia</w:t>
                                </w:r>
                                <w:r>
                                  <w:rPr>
                                    <w:rFonts w:ascii="Franklin Gothic Book"/>
                                    <w:spacing w:val="-5"/>
                                    <w:w w:val="105"/>
                                    <w:sz w:val="14"/>
                                  </w:rPr>
                                  <w:t xml:space="preserve"> </w:t>
                                </w:r>
                                <w:r>
                                  <w:rPr>
                                    <w:rFonts w:ascii="Franklin Gothic Book"/>
                                    <w:w w:val="105"/>
                                    <w:sz w:val="14"/>
                                  </w:rPr>
                                  <w:t>27%</w:t>
                                </w:r>
                              </w:p>
                              <w:p w14:paraId="0927A22C" w14:textId="77777777" w:rsidR="006D19F2" w:rsidRDefault="006D19F2" w:rsidP="00BC5572">
                                <w:pPr>
                                  <w:widowControl w:val="0"/>
                                  <w:numPr>
                                    <w:ilvl w:val="0"/>
                                    <w:numId w:val="14"/>
                                  </w:numPr>
                                  <w:tabs>
                                    <w:tab w:val="left" w:pos="283"/>
                                  </w:tabs>
                                  <w:spacing w:before="20"/>
                                  <w:ind w:hanging="282"/>
                                  <w:rPr>
                                    <w:rFonts w:ascii="Franklin Gothic Book" w:eastAsia="Franklin Gothic Book" w:hAnsi="Franklin Gothic Book" w:cs="Franklin Gothic Book"/>
                                    <w:color w:val="F47521"/>
                                    <w:sz w:val="14"/>
                                    <w:szCs w:val="14"/>
                                  </w:rPr>
                                </w:pPr>
                                <w:r>
                                  <w:rPr>
                                    <w:rFonts w:ascii="Franklin Gothic Book"/>
                                    <w:w w:val="105"/>
                                    <w:sz w:val="14"/>
                                  </w:rPr>
                                  <w:t>South and West Asia</w:t>
                                </w:r>
                                <w:r>
                                  <w:rPr>
                                    <w:rFonts w:ascii="Franklin Gothic Book"/>
                                    <w:spacing w:val="-18"/>
                                    <w:w w:val="105"/>
                                    <w:sz w:val="14"/>
                                  </w:rPr>
                                  <w:t xml:space="preserve"> </w:t>
                                </w:r>
                                <w:r>
                                  <w:rPr>
                                    <w:rFonts w:ascii="Franklin Gothic Book"/>
                                    <w:w w:val="105"/>
                                    <w:sz w:val="14"/>
                                  </w:rPr>
                                  <w:t>8%</w:t>
                                </w:r>
                              </w:p>
                              <w:p w14:paraId="50853917" w14:textId="77777777" w:rsidR="006D19F2" w:rsidRDefault="006D19F2" w:rsidP="00BC5572">
                                <w:pPr>
                                  <w:widowControl w:val="0"/>
                                  <w:numPr>
                                    <w:ilvl w:val="0"/>
                                    <w:numId w:val="14"/>
                                  </w:numPr>
                                  <w:tabs>
                                    <w:tab w:val="left" w:pos="283"/>
                                  </w:tabs>
                                  <w:spacing w:before="20"/>
                                  <w:ind w:hanging="282"/>
                                  <w:rPr>
                                    <w:rFonts w:ascii="Franklin Gothic Book" w:eastAsia="Franklin Gothic Book" w:hAnsi="Franklin Gothic Book" w:cs="Franklin Gothic Book"/>
                                    <w:color w:val="69B0D3"/>
                                    <w:sz w:val="14"/>
                                    <w:szCs w:val="14"/>
                                  </w:rPr>
                                </w:pPr>
                                <w:r>
                                  <w:rPr>
                                    <w:rFonts w:ascii="Franklin Gothic Book"/>
                                    <w:sz w:val="14"/>
                                  </w:rPr>
                                  <w:t xml:space="preserve">Africa and the Middle East </w:t>
                                </w:r>
                                <w:r>
                                  <w:rPr>
                                    <w:rFonts w:ascii="Franklin Gothic Book"/>
                                    <w:spacing w:val="22"/>
                                    <w:sz w:val="14"/>
                                  </w:rPr>
                                  <w:t xml:space="preserve"> </w:t>
                                </w:r>
                                <w:r>
                                  <w:rPr>
                                    <w:rFonts w:ascii="Franklin Gothic Book"/>
                                    <w:sz w:val="14"/>
                                  </w:rPr>
                                  <w:t>2%</w:t>
                                </w:r>
                              </w:p>
                              <w:p w14:paraId="21EC0FA8" w14:textId="77777777" w:rsidR="006D19F2" w:rsidRDefault="006D19F2" w:rsidP="00BC5572">
                                <w:pPr>
                                  <w:widowControl w:val="0"/>
                                  <w:numPr>
                                    <w:ilvl w:val="0"/>
                                    <w:numId w:val="14"/>
                                  </w:numPr>
                                  <w:tabs>
                                    <w:tab w:val="left" w:pos="283"/>
                                  </w:tabs>
                                  <w:spacing w:before="20" w:line="153" w:lineRule="exact"/>
                                  <w:ind w:hanging="282"/>
                                  <w:rPr>
                                    <w:rFonts w:ascii="Franklin Gothic Book" w:eastAsia="Franklin Gothic Book" w:hAnsi="Franklin Gothic Book" w:cs="Franklin Gothic Book"/>
                                    <w:color w:val="009BCD"/>
                                    <w:sz w:val="14"/>
                                    <w:szCs w:val="14"/>
                                  </w:rPr>
                                </w:pPr>
                                <w:r>
                                  <w:rPr>
                                    <w:rFonts w:ascii="Franklin Gothic Book"/>
                                    <w:sz w:val="14"/>
                                  </w:rPr>
                                  <w:t xml:space="preserve">Rest of the World* </w:t>
                                </w:r>
                                <w:r>
                                  <w:rPr>
                                    <w:rFonts w:ascii="Franklin Gothic Book"/>
                                    <w:spacing w:val="7"/>
                                    <w:sz w:val="14"/>
                                  </w:rPr>
                                  <w:t xml:space="preserve"> </w:t>
                                </w:r>
                                <w:r>
                                  <w:rPr>
                                    <w:rFonts w:ascii="Franklin Gothic Book"/>
                                    <w:sz w:val="14"/>
                                  </w:rPr>
                                  <w:t>36%</w:t>
                                </w:r>
                              </w:p>
                            </w:txbxContent>
                          </wps:txbx>
                          <wps:bodyPr rot="0" vert="horz" wrap="square" lIns="0" tIns="0" rIns="0" bIns="0" anchor="t" anchorCtr="0" upright="1">
                            <a:noAutofit/>
                          </wps:bodyPr>
                        </wps:wsp>
                      </wpg:grpSp>
                    </wpg:wgp>
                  </a:graphicData>
                </a:graphic>
              </wp:inline>
            </w:drawing>
          </mc:Choice>
          <mc:Fallback xmlns:w15="http://schemas.microsoft.com/office/word/2012/wordml">
            <w:pict>
              <v:group w14:anchorId="374CA86A" id="Group 3273" o:spid="_x0000_s1026" alt="Title: Aid for Trade estimated expenditure by Region 2015–16 - Description: This figure shows Aid for Trade estimated expenditure by Region for fiscal year 2015–2016 which includes 27 per cent in the Pacific, 27 per cent in East Asia, 8 per cent in South and West Asia and 2 per cent in Africa and the Middle East. The remaining 36 per cent corresponds to investments in the rest of the world which include Latin America and the Caribbean as well as ODA not attributed to particular countries or regions." style="width:437.8pt;height:190.4pt;mso-position-horizontal-relative:char;mso-position-vertical-relative:line" coordsize="8756,3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">
                <v:group id="Group 3191" o:spid="_x0000_s1027" style="position:absolute;width:8756;height:3808" coordsize="8756,38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NL0VMcAAADdAAAADwAAAGRycy9kb3ducmV2LnhtbESPT2vCQBTE70K/w/IK&#10;3uom/mkluoqIlR5EaCyIt0f2mQSzb0N2m8Rv3xUKHoeZ+Q2zXPemEi01rrSsIB5FIIgzq0vOFfyc&#10;Pt/mIJxH1lhZJgV3crBevQyWmGjb8Te1qc9FgLBLUEHhfZ1I6bKCDLqRrYmDd7WNQR9kk0vdYBfg&#10;ppLjKHqXBksOCwXWtC0ou6W/RsG+w24ziXft4Xbd3i+n2fF8iEmp4Wu/WYDw1Ptn+L/9pRVMxh9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NL0VMcAAADd&#10;AAAADwAAAAAAAAAAAAAAAACqAgAAZHJzL2Rvd25yZXYueG1sUEsFBgAAAAAEAAQA+gAAAJ4DAAAA&#10;AA==&#10;">
                  <v:shape id="Freeform 3192" o:spid="_x0000_s1028" style="position:absolute;width:8756;height:3808;visibility:visible;mso-wrap-style:square;v-text-anchor:top" coordsize="8756,3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JMgA&#10;AADdAAAADwAAAGRycy9kb3ducmV2LnhtbESPQWvCQBSE7wX/w/IEL6VuTNFI6ipVEHsQrFbE4yP7&#10;msRm34bsqqm/visIPQ4z8w0zmbWmEhdqXGlZwaAfgSDOrC45V7D/Wr6MQTiPrLGyTAp+ycFs2nma&#10;YKrtlbd02flcBAi7FBUU3teplC4ryKDr25o4eN+2MeiDbHKpG7wGuKlkHEUjabDksFBgTYuCsp/d&#10;2ShI7HZNq1OejD7n2SneHOPn2/ygVK/bvr+B8NT6//Cj/aEVvMbJEO5vwhOQ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z9EkyAAAAN0AAAAPAAAAAAAAAAAAAAAAAJgCAABk&#10;cnMvZG93bnJldi54bWxQSwUGAAAAAAQABAD1AAAAjQMAAAAA&#10;" path="m,3808r8755,l8755,,,,,3808xe" fillcolor="#deeaf3" stroked="f">
                    <v:path arrowok="t" o:connecttype="custom" o:connectlocs="0,3808;8755,3808;8755,0;0,0;0,3808" o:connectangles="0,0,0,0,0"/>
                  </v:shape>
                </v:group>
                <v:group id="Group 3193" o:spid="_x0000_s1029" style="position:absolute;left:2965;top:651;width:1413;height:2321" coordorigin="2965,651" coordsize="1413,2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zPuMYAAADdAAAADwAAAGRycy9kb3ducmV2LnhtbESPT4vCMBTE7wv7HcJb&#10;8KZpFXWpRhHRZQ8i+AcWb4/m2Rabl9LEtn57Iwh7HGbmN8x82ZlSNFS7wrKCeBCBIE6tLjhTcD5t&#10;+98gnEfWWFomBQ9ysFx8fswx0bblAzVHn4kAYZeggtz7KpHSpTkZdANbEQfvamuDPsg6k7rGNsBN&#10;KYdRNJEGCw4LOVa0zim9He9GwU+L7WoUb5rd7bp+XE7j/d8uJqV6X91qBsJT5//D7/avVjAaTi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TM+4xgAAAN0A&#10;AAAPAAAAAAAAAAAAAAAAAKoCAABkcnMvZG93bnJldi54bWxQSwUGAAAAAAQABAD6AAAAnQMAAAAA&#10;">
                  <v:shape id="Freeform 3194" o:spid="_x0000_s1030" style="position:absolute;left:2965;top:651;width:1413;height:2321;visibility:visible;mso-wrap-style:square;v-text-anchor:top" coordsize="1413,2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7yycUA&#10;AADdAAAADwAAAGRycy9kb3ducmV2LnhtbESPT4vCMBTE7wt+h/CEva2pCla7RpGCrBcP/gOPj+Zt&#10;293mpSTZ2v32RhA8DjPzG2a57k0jOnK+tqxgPEpAEBdW11wqOJ+2H3MQPiBrbCyTgn/ysF4N3paY&#10;aXvjA3XHUIoIYZ+hgiqENpPSFxUZ9CPbEkfv2zqDIUpXSu3wFuGmkZMkmUmDNceFClvKKyp+j39G&#10;QXpKzdnNdluZd4vL9Ounvu5DrtT7sN98ggjUh1f42d5pBdNJmsLjTX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vLJxQAAAN0AAAAPAAAAAAAAAAAAAAAAAJgCAABkcnMv&#10;ZG93bnJldi54bWxQSwUGAAAAAAQABAD1AAAAigMAAAAA&#10;" path="m1413,r-79,2l1257,7r-75,10l1107,31r-72,17l963,70,894,95r-69,30l758,158r-65,37l629,236r-63,45l504,330r-56,50l395,432r-49,54l299,542r-43,58l216,660r-36,62l147,784r-30,65l90,914,67,981r-20,67l31,1116r-13,69l9,1254r-6,70l,1394r1,70l5,1534r8,70l24,1673r15,69l57,1811r22,67l104,1945r29,66l165,2076r36,63l240,2201r44,61l330,2320,1413,1412,1413,xe" fillcolor="#009bcd" stroked="f">
                    <v:path arrowok="t" o:connecttype="custom" o:connectlocs="1413,651;1334,653;1257,658;1182,668;1107,682;1035,699;963,721;894,746;825,776;758,809;693,846;629,887;566,932;504,981;448,1031;395,1083;346,1137;299,1193;256,1251;216,1311;180,1373;147,1435;117,1500;90,1565;67,1632;47,1699;31,1767;18,1836;9,1905;3,1975;0,2045;1,2115;5,2185;13,2255;24,2324;39,2393;57,2462;79,2529;104,2596;133,2662;165,2727;201,2790;240,2852;284,2913;330,2971;1413,2063;1413,651" o:connectangles="0,0,0,0,0,0,0,0,0,0,0,0,0,0,0,0,0,0,0,0,0,0,0,0,0,0,0,0,0,0,0,0,0,0,0,0,0,0,0,0,0,0,0,0,0,0,0"/>
                  </v:shape>
                </v:group>
                <v:group id="Group 3195" o:spid="_x0000_s1031" style="position:absolute;left:3295;top:2063;width:1083;height:1034" coordorigin="3295,2063" coordsize="1083,10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UcQAAADdAAAADwAAAGRycy9kb3ducmV2LnhtbERPy2rCQBTdF/yH4Qrd&#10;NZMYWkvqKCJWXEhBI5TuLplrEszcCZkxj7/vLApdHs57tRlNI3rqXG1ZQRLFIIgLq2suFVzzz5d3&#10;EM4ja2wsk4KJHGzWs6cVZtoOfKb+4ksRQthlqKDyvs2kdEVFBl1kW+LA3Wxn0AfYlVJ3OIRw08hF&#10;HL9JgzWHhgpb2lVU3C8Po+Aw4LBNk31/ut9200/++vV9Skip5/m4/QDhafT/4j/3UStIF8s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UcQAAADdAAAA&#10;DwAAAAAAAAAAAAAAAACqAgAAZHJzL2Rvd25yZXYueG1sUEsFBgAAAAAEAAQA+gAAAJsDAAAAAA==&#10;">
                  <v:shape id="Freeform 3196" o:spid="_x0000_s1032" style="position:absolute;left:3295;top:2063;width:1083;height:1034;visibility:visible;mso-wrap-style:square;v-text-anchor:top" coordsize="1083,1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Hh98UA&#10;AADdAAAADwAAAGRycy9kb3ducmV2LnhtbESPS2vDMBCE74X8B7GB3GrZTujDiRxKIaE9lBA7vS/W&#10;+kGslbGUxP33UaHQ4zAz3zCb7WR6caXRdZYVJFEMgriyuuNGwancPb6AcB5ZY2+ZFPyQg20+e9hg&#10;pu2Nj3QtfCMChF2GClrvh0xKV7Vk0EV2IA5ebUeDPsixkXrEW4CbXqZx/CQNdhwWWhzovaXqXFyM&#10;gnS54qQ++fKr/jz037JI90VplFrMp7c1CE+T/w//tT+0gmX6/Aq/b8IT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weH3xQAAAN0AAAAPAAAAAAAAAAAAAAAAAJgCAABkcnMv&#10;ZG93bnJldi54bWxQSwUGAAAAAAQABAD1AAAAigMAAAAA&#10;" path="m1083,l,908r29,34l58,973r29,30l119,1033,1083,xe" fillcolor="#69b0d3" stroked="f">
                    <v:path arrowok="t" o:connecttype="custom" o:connectlocs="1083,2063;0,2971;29,3005;58,3036;87,3066;119,3096;1083,2063" o:connectangles="0,0,0,0,0,0,0"/>
                  </v:shape>
                </v:group>
                <v:group id="Group 3197" o:spid="_x0000_s1033" style="position:absolute;left:3414;top:2063;width:964;height:1371" coordorigin="3414,2063" coordsize="964,1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yCcMMAAADdAAAADwAAAGRycy9kb3ducmV2LnhtbERPTYvCMBC9L/gfwgje&#10;1rTKLlJNRcQVDyKsCuJtaMa2tJmUJtvWf28OCx4f73u1HkwtOmpdaVlBPI1AEGdWl5wruF5+Phcg&#10;nEfWWFsmBU9ysE5HHytMtO35l7qzz0UIYZeggsL7JpHSZQUZdFPbEAfuYVuDPsA2l7rFPoSbWs6i&#10;6FsaLDk0FNjQtqCsOv8ZBfse+8083nXH6rF93i9fp9sxJqUm42GzBOFp8G/xv/ugFcxni7A/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PIJwwwAAAN0AAAAP&#10;AAAAAAAAAAAAAAAAAKoCAABkcnMvZG93bnJldi54bWxQSwUGAAAAAAQABAD6AAAAmgMAAAAA&#10;">
                  <v:shape id="Freeform 3198" o:spid="_x0000_s1034" style="position:absolute;left:3414;top:2063;width:964;height:1371;visibility:visible;mso-wrap-style:square;v-text-anchor:top" coordsize="964,1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Lys8YA&#10;AADdAAAADwAAAGRycy9kb3ducmV2LnhtbESPT2sCMRTE74V+h/AKvdWsLohsjVKFtl4U/FOlt8fm&#10;ubu6eVk2UeO3N4LgcZiZ3zDDcTC1OFPrKssKup0EBHFudcWFgs36+2MAwnlkjbVlUnAlB+PR68sQ&#10;M20vvKTzyhciQthlqKD0vsmkdHlJBl3HNsTR29vWoI+yLaRu8RLhppa9JOlLgxXHhRIbmpaUH1cn&#10;oyBZzgsKk9//P0oXwW736Y8/7JR6fwtfnyA8Bf8MP9ozrSDtDbpwfxOfgB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Lys8YAAADdAAAADwAAAAAAAAAAAAAAAACYAgAAZHJz&#10;L2Rvd25yZXYueG1sUEsFBgAAAAAEAAQA9QAAAIsDAAAAAA==&#10;" path="m964,l,1033r62,55l124,1138r65,45l255,1224r68,37l394,1295r73,29l543,1349r79,22l964,xe" fillcolor="#f47521" stroked="f">
                    <v:path arrowok="t" o:connecttype="custom" o:connectlocs="964,2063;0,3096;62,3151;124,3201;189,3246;255,3287;323,3324;394,3358;467,3387;543,3412;622,3434;964,2063" o:connectangles="0,0,0,0,0,0,0,0,0,0,0,0"/>
                  </v:shape>
                </v:group>
                <v:group id="Group 3199" o:spid="_x0000_s1035" style="position:absolute;left:4036;top:2063;width:1744;height:1413" coordorigin="4036,2063" coordsize="1744,1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K5nMUAAADdAAAADwAAAGRycy9kb3ducmV2LnhtbESPQYvCMBSE74L/ITzB&#10;m6at7CJdo4ioeBBhVZC9PZpnW2xeShPb+u83wsIeh5n5hlmselOJlhpXWlYQTyMQxJnVJecKrpfd&#10;ZA7CeWSNlWVS8CIHq+VwsMBU246/qT37XAQIuxQVFN7XqZQuK8igm9qaOHh32xj0QTa51A12AW4q&#10;mUTRpzRYclgosKZNQdnj/DQK9h1261m8bY+P++b1c/k43Y4xKTUe9esvEJ56/x/+ax+0glkyT+D9&#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iuZzFAAAA3QAA&#10;AA8AAAAAAAAAAAAAAAAAqgIAAGRycy9kb3ducmV2LnhtbFBLBQYAAAAABAAEAPoAAACcAwAAAAA=&#10;">
                  <v:shape id="Freeform 3200" o:spid="_x0000_s1036" style="position:absolute;left:4036;top:2063;width:1744;height:1413;visibility:visible;mso-wrap-style:square;v-text-anchor:top" coordsize="1744,1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kxpsYA&#10;AADdAAAADwAAAGRycy9kb3ducmV2LnhtbESPX0vDQBDE3wW/w7GCL9Je+scS0l5LFSK+2lraxyW3&#10;JsHcXppbm/jtPaHQx2HmN8OsNoNr1IW6UHs2MBknoIgLb2suDXzu81EKKgiyxcYzGfilAJv1/d0K&#10;M+t7/qDLTkoVSzhkaKASaTOtQ1GRwzD2LXH0vnznUKLsSm077GO5a/Q0SRbaYc1xocKWXisqvnc/&#10;zsDM5unp+Un32+P5bf5ysJLnezHm8WHYLkEJDXILX+l3G7lpOoP/N/EJ6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kxpsYAAADdAAAADwAAAAAAAAAAAAAAAACYAgAAZHJz&#10;L2Rvd25yZXYueG1sUEsFBgAAAAAEAAQA9QAAAIsDAAAAAA==&#10;" path="m342,l,1371r43,10l84,1390r41,6l169,1402r75,8l318,1413r74,-1l465,1408r71,-8l607,1388r70,-15l746,1354r67,-22l879,1307r64,-28l1006,1247r61,-34l1126,1175r58,-40l1239,1092r53,-46l1342,998r49,-51l1436,893r44,-55l1520,780r38,-60l1592,658r32,-64l1652,528r26,-68l1700,391r18,-72l1733,247r11,-75l342,xe" fillcolor="#c66d1a" stroked="f">
                    <v:path arrowok="t" o:connecttype="custom" o:connectlocs="342,2063;0,3434;43,3444;84,3453;125,3459;169,3465;244,3473;318,3476;392,3475;465,3471;536,3463;607,3451;677,3436;746,3417;813,3395;879,3370;943,3342;1006,3310;1067,3276;1126,3238;1184,3198;1239,3155;1292,3109;1342,3061;1391,3010;1436,2956;1480,2901;1520,2843;1558,2783;1592,2721;1624,2657;1652,2591;1678,2523;1700,2454;1718,2382;1733,2310;1744,2235;342,2063" o:connectangles="0,0,0,0,0,0,0,0,0,0,0,0,0,0,0,0,0,0,0,0,0,0,0,0,0,0,0,0,0,0,0,0,0,0,0,0,0,0"/>
                  </v:shape>
                </v:group>
                <v:group id="Group 3201" o:spid="_x0000_s1037" style="position:absolute;left:4378;top:651;width:1413;height:1585" coordorigin="4378,651" coordsize="1413,1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eEc8YAAADdAAAADwAAAGRycy9kb3ducmV2LnhtbESPT4vCMBTE7wt+h/CE&#10;va1pdVekGkVElz2I4B8Qb4/m2Rabl9LEtn57Iwh7HGbmN8xs0ZlSNFS7wrKCeBCBIE6tLjhTcDpu&#10;viYgnEfWWFomBQ9ysJj3PmaYaNvynpqDz0SAsEtQQe59lUjp0pwMuoGtiIN3tbVBH2SdSV1jG+Cm&#10;lMMoGkuDBYeFHCta5ZTeDnej4LfFdjmK1832dl09Lsef3Xkbk1Kf/W45BeGp8//hd/tPKxgNJ9/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B4RzxgAAAN0A&#10;AAAPAAAAAAAAAAAAAAAAAKoCAABkcnMvZG93bnJldi54bWxQSwUGAAAAAAQABAD6AAAAnQMAAAAA&#10;">
                  <v:shape id="Freeform 3202" o:spid="_x0000_s1038" style="position:absolute;left:4378;top:651;width:1413;height:1585;visibility:visible;mso-wrap-style:square;v-text-anchor:top" coordsize="1413,1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fS+MgA&#10;AADdAAAADwAAAGRycy9kb3ducmV2LnhtbESPQWvCQBSE70L/w/KEXkrdVGmr0VVKRZRCaWt70Nsz&#10;+0xCs29D9qnx37uFgsdhZr5hJrPWVepITSg9G3joJaCIM29Lzg38fC/uh6CCIFusPJOBMwWYTW86&#10;E0ytP/EXHdeSqwjhkKKBQqROtQ5ZQQ5Dz9fE0dv7xqFE2eTaNniKcFfpfpI8aYclx4UCa3otKPtd&#10;H5yB5eZzt/DVYHt+28oHrd7l+W4+Mua2276MQQm1cg3/t1fWwKA/fIS/N/EJ6O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J9L4yAAAAN0AAAAPAAAAAAAAAAAAAAAAAJgCAABk&#10;cnMvZG93bnJldi54bWxQSwUGAAAAAAQABAD1AAAAjQMAAAAA&#10;" path="m,l,1412r1402,172l1407,1540r3,-41l1412,1457r,-45l1410,1337r-5,-74l1395,1190r-13,-71l1365,1048r-20,-69l1321,912r-27,-66l1264,782r-33,-62l1195,659r-39,-58l1114,544r-44,-54l1023,438,974,389,922,342,867,298,811,256,753,217,692,181,630,148,566,118,500,91,433,67,364,47,293,30,222,17,149,7,75,2,,xe" fillcolor="#0061a5" stroked="f">
                    <v:path arrowok="t" o:connecttype="custom" o:connectlocs="0,651;0,2063;1402,2235;1407,2191;1410,2150;1412,2108;1412,2063;1410,1988;1405,1914;1395,1841;1382,1770;1365,1699;1345,1630;1321,1563;1294,1497;1264,1433;1231,1371;1195,1310;1156,1252;1114,1195;1070,1141;1023,1089;974,1040;922,993;867,949;811,907;753,868;692,832;630,799;566,769;500,742;433,718;364,698;293,681;222,668;149,658;75,653;0,651" o:connectangles="0,0,0,0,0,0,0,0,0,0,0,0,0,0,0,0,0,0,0,0,0,0,0,0,0,0,0,0,0,0,0,0,0,0,0,0,0,0"/>
                  </v:shape>
                </v:group>
                <v:group id="Group 3203" o:spid="_x0000_s1039" style="position:absolute;left:2755;top:3006;width:660;height:286" coordorigin="2755,3006" coordsize="660,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m/n8UAAADdAAAADwAAAGRycy9kb3ducmV2LnhtbESPQYvCMBSE7wv+h/AE&#10;b2taZUWqUURUPIiwKoi3R/Nsi81LaWJb/71ZEPY4zMw3zHzZmVI0VLvCsoJ4GIEgTq0uOFNwOW+/&#10;pyCcR9ZYWiYFL3KwXPS+5pho2/IvNSefiQBhl6CC3PsqkdKlORl0Q1sRB+9ua4M+yDqTusY2wE0p&#10;R1E0kQYLDgs5VrTOKX2cnkbBrsV2NY43zeFxX79u55/j9RCTUoN+t5qB8NT5//CnvdcKxqPpB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6Zv5/FAAAA3QAA&#10;AA8AAAAAAAAAAAAAAAAAqgIAAGRycy9kb3ducmV2LnhtbFBLBQYAAAAABAAEAPoAAACcAwAAAAA=&#10;">
                  <v:shape id="Freeform 3204" o:spid="_x0000_s1040" style="position:absolute;left:2755;top:3006;width:660;height:286;visibility:visible;mso-wrap-style:square;v-text-anchor:top" coordsize="660,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Oq8cA&#10;AADdAAAADwAAAGRycy9kb3ducmV2LnhtbESPT2vCQBTE7wW/w/KEXopuTKlKdBVpKeTioWn9c3xk&#10;X5PU7Nuwu9X47bsFweMwM79hluvetOJMzjeWFUzGCQji0uqGKwVfn++jOQgfkDW2lknBlTysV4OH&#10;JWbaXviDzkWoRISwz1BBHUKXSenLmgz6se2Io/dtncEQpaukdniJcNPKNEmm0mDDcaHGjl5rKk/F&#10;r1FQ7A/T3Lp09/KWPJ1+yibf0uGo1OOw3yxABOrDPXxr51rBczqfwf+b+ATk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HDqvHAAAA3QAAAA8AAAAAAAAAAAAAAAAAmAIAAGRy&#10;cy9kb3ducmV2LnhtbFBLBQYAAAAABAAEAPUAAACMAwAAAAA=&#10;" path="m,285r288,l659,e" filled="f" strokeweight=".1231mm">
                    <v:path arrowok="t" o:connecttype="custom" o:connectlocs="0,3291;288,3291;659,3006" o:connectangles="0,0,0"/>
                  </v:shape>
                  <v:shapetype id="_x0000_t202" coordsize="21600,21600" o:spt="202" path="m,l,21600r21600,l21600,xe">
                    <v:stroke joinstyle="miter"/>
                    <v:path gradientshapeok="t" o:connecttype="rect"/>
                  </v:shapetype>
                  <v:shape id="Text Box 3205" o:spid="_x0000_s1041" type="#_x0000_t202" style="position:absolute;left:227;top:247;width:469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iGrcQA&#10;AADdAAAADwAAAGRycy9kb3ducmV2LnhtbERPz2vCMBS+D/wfwht4W9M5KNoZRWTCQBhr68HjW/Ns&#10;g81L10Tb/ffLYbDjx/d7vZ1sJ+40eONYwXOSgiCunTbcKDhVh6clCB+QNXaOScEPedhuZg9rzLUb&#10;uaB7GRoRQ9jnqKANoc+l9HVLFn3ieuLIXdxgMUQ4NFIPOMZw28lFmmbSouHY0GJP+5bqa3mzCnZn&#10;Lt7M98fXZ3EpTFWtUj5mV6Xmj9PuFUSgKfyL/9zvWsHLYhnnxjfx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Ihq3EAAAA3QAAAA8AAAAAAAAAAAAAAAAAmAIAAGRycy9k&#10;b3ducmV2LnhtbFBLBQYAAAAABAAEAPUAAACJAwAAAAA=&#10;" filled="f" stroked="f">
                    <v:textbox inset="0,0,0,0">
                      <w:txbxContent>
                        <w:p w14:paraId="1E8C9AEE" w14:textId="77777777" w:rsidR="006D19F2" w:rsidRDefault="006D19F2">
                          <w:pPr>
                            <w:spacing w:line="179" w:lineRule="exact"/>
                            <w:rPr>
                              <w:rFonts w:eastAsia="Arial" w:cs="Arial"/>
                              <w:sz w:val="18"/>
                              <w:szCs w:val="18"/>
                            </w:rPr>
                          </w:pPr>
                          <w:r>
                            <w:rPr>
                              <w:rFonts w:eastAsia="Arial" w:cs="Arial"/>
                              <w:b/>
                              <w:bCs/>
                              <w:sz w:val="18"/>
                              <w:szCs w:val="18"/>
                            </w:rPr>
                            <w:t>Aid</w:t>
                          </w:r>
                          <w:r>
                            <w:rPr>
                              <w:rFonts w:eastAsia="Arial" w:cs="Arial"/>
                              <w:b/>
                              <w:bCs/>
                              <w:spacing w:val="-30"/>
                              <w:sz w:val="18"/>
                              <w:szCs w:val="18"/>
                            </w:rPr>
                            <w:t xml:space="preserve"> </w:t>
                          </w:r>
                          <w:r>
                            <w:rPr>
                              <w:rFonts w:eastAsia="Arial" w:cs="Arial"/>
                              <w:b/>
                              <w:bCs/>
                              <w:sz w:val="18"/>
                              <w:szCs w:val="18"/>
                            </w:rPr>
                            <w:t>for</w:t>
                          </w:r>
                          <w:r>
                            <w:rPr>
                              <w:rFonts w:eastAsia="Arial" w:cs="Arial"/>
                              <w:b/>
                              <w:bCs/>
                              <w:spacing w:val="-30"/>
                              <w:sz w:val="18"/>
                              <w:szCs w:val="18"/>
                            </w:rPr>
                            <w:t xml:space="preserve"> </w:t>
                          </w:r>
                          <w:r>
                            <w:rPr>
                              <w:rFonts w:eastAsia="Arial" w:cs="Arial"/>
                              <w:b/>
                              <w:bCs/>
                              <w:sz w:val="18"/>
                              <w:szCs w:val="18"/>
                            </w:rPr>
                            <w:t>Trade</w:t>
                          </w:r>
                          <w:r>
                            <w:rPr>
                              <w:rFonts w:eastAsia="Arial" w:cs="Arial"/>
                              <w:b/>
                              <w:bCs/>
                              <w:spacing w:val="-30"/>
                              <w:sz w:val="18"/>
                              <w:szCs w:val="18"/>
                            </w:rPr>
                            <w:t xml:space="preserve"> </w:t>
                          </w:r>
                          <w:r>
                            <w:rPr>
                              <w:rFonts w:eastAsia="Arial" w:cs="Arial"/>
                              <w:b/>
                              <w:bCs/>
                              <w:sz w:val="18"/>
                              <w:szCs w:val="18"/>
                            </w:rPr>
                            <w:t>estimated</w:t>
                          </w:r>
                          <w:r>
                            <w:rPr>
                              <w:rFonts w:eastAsia="Arial" w:cs="Arial"/>
                              <w:b/>
                              <w:bCs/>
                              <w:spacing w:val="-30"/>
                              <w:sz w:val="18"/>
                              <w:szCs w:val="18"/>
                            </w:rPr>
                            <w:t xml:space="preserve"> </w:t>
                          </w:r>
                          <w:r>
                            <w:rPr>
                              <w:rFonts w:eastAsia="Arial" w:cs="Arial"/>
                              <w:b/>
                              <w:bCs/>
                              <w:sz w:val="18"/>
                              <w:szCs w:val="18"/>
                            </w:rPr>
                            <w:t>expenditure</w:t>
                          </w:r>
                          <w:r>
                            <w:rPr>
                              <w:rFonts w:eastAsia="Arial" w:cs="Arial"/>
                              <w:b/>
                              <w:bCs/>
                              <w:spacing w:val="-30"/>
                              <w:sz w:val="18"/>
                              <w:szCs w:val="18"/>
                            </w:rPr>
                            <w:t xml:space="preserve"> </w:t>
                          </w:r>
                          <w:r>
                            <w:rPr>
                              <w:rFonts w:eastAsia="Arial" w:cs="Arial"/>
                              <w:b/>
                              <w:bCs/>
                              <w:sz w:val="18"/>
                              <w:szCs w:val="18"/>
                            </w:rPr>
                            <w:t>by</w:t>
                          </w:r>
                          <w:r>
                            <w:rPr>
                              <w:rFonts w:eastAsia="Arial" w:cs="Arial"/>
                              <w:b/>
                              <w:bCs/>
                              <w:spacing w:val="-30"/>
                              <w:sz w:val="18"/>
                              <w:szCs w:val="18"/>
                            </w:rPr>
                            <w:t xml:space="preserve"> </w:t>
                          </w:r>
                          <w:r>
                            <w:rPr>
                              <w:rFonts w:eastAsia="Arial" w:cs="Arial"/>
                              <w:b/>
                              <w:bCs/>
                              <w:sz w:val="18"/>
                              <w:szCs w:val="18"/>
                            </w:rPr>
                            <w:t>region</w:t>
                          </w:r>
                          <w:r>
                            <w:rPr>
                              <w:rFonts w:eastAsia="Arial" w:cs="Arial"/>
                              <w:b/>
                              <w:bCs/>
                              <w:spacing w:val="-30"/>
                              <w:sz w:val="18"/>
                              <w:szCs w:val="18"/>
                            </w:rPr>
                            <w:t xml:space="preserve"> </w:t>
                          </w:r>
                          <w:r>
                            <w:rPr>
                              <w:rFonts w:eastAsia="Arial" w:cs="Arial"/>
                              <w:b/>
                              <w:bCs/>
                              <w:sz w:val="18"/>
                              <w:szCs w:val="18"/>
                            </w:rPr>
                            <w:t>2015–2016</w:t>
                          </w:r>
                        </w:p>
                      </w:txbxContent>
                    </v:textbox>
                  </v:shape>
                  <v:shape id="Text Box 3206" o:spid="_x0000_s1042" type="#_x0000_t202" style="position:absolute;left:4844;top:1456;width:266;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QjNsUA&#10;AADdAAAADwAAAGRycy9kb3ducmV2LnhtbESPQWvCQBSE7wX/w/KE3upGBdHoKiItCAVpjAePz+wz&#10;Wcy+TbNbjf++Kwgeh5n5hlmsOluLK7XeOFYwHCQgiAunDZcKDvnXxxSED8gaa8ek4E4eVsve2wJT&#10;7W6c0XUfShEh7FNUUIXQpFL6oiKLfuAa4uidXWsxRNmWUrd4i3Bby1GSTKRFw3GhwoY2FRWX/Z9V&#10;sD5y9ml+d6ef7JyZPJ8l/D25KPXe79ZzEIG68Ao/21utYDyazuDxJj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BCM2xQAAAN0AAAAPAAAAAAAAAAAAAAAAAJgCAABkcnMv&#10;ZG93bnJldi54bWxQSwUGAAAAAAQABAD1AAAAigMAAAAA&#10;" filled="f" stroked="f">
                    <v:textbox inset="0,0,0,0">
                      <w:txbxContent>
                        <w:p w14:paraId="5A0097D9" w14:textId="77777777" w:rsidR="006D19F2" w:rsidRDefault="006D19F2">
                          <w:pPr>
                            <w:spacing w:line="140" w:lineRule="exact"/>
                            <w:rPr>
                              <w:rFonts w:eastAsia="Arial" w:cs="Arial"/>
                              <w:sz w:val="14"/>
                              <w:szCs w:val="14"/>
                            </w:rPr>
                          </w:pPr>
                          <w:r>
                            <w:rPr>
                              <w:b/>
                              <w:color w:val="FFFFFF"/>
                              <w:w w:val="90"/>
                              <w:sz w:val="14"/>
                            </w:rPr>
                            <w:t>27%</w:t>
                          </w:r>
                        </w:p>
                      </w:txbxContent>
                    </v:textbox>
                  </v:shape>
                  <v:shape id="Text Box 3207" o:spid="_x0000_s1043" type="#_x0000_t202" style="position:absolute;left:3554;top:1732;width:266;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cdsIA&#10;AADdAAAADwAAAGRycy9kb3ducmV2LnhtbERPTYvCMBC9C/6HMII3TVUQrUaRRWFBWKz1sMfZZmyD&#10;zaTbZLX++81B8Ph43+ttZ2txp9Ybxwom4wQEceG04VLBJT+MFiB8QNZYOyYFT/Kw3fR7a0y1e3BG&#10;93MoRQxhn6KCKoQmldIXFVn0Y9cQR+7qWoshwraUusVHDLe1nCbJXFo0HBsqbOijouJ2/rMKdt+c&#10;7c3v188pu2Ymz5cJH+c3pYaDbrcCEagLb/HL/akVzKbLuD++iU9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5xx2wgAAAN0AAAAPAAAAAAAAAAAAAAAAAJgCAABkcnMvZG93&#10;bnJldi54bWxQSwUGAAAAAAQABAD1AAAAhwMAAAAA&#10;" filled="f" stroked="f">
                    <v:textbox inset="0,0,0,0">
                      <w:txbxContent>
                        <w:p w14:paraId="7D500192" w14:textId="77777777" w:rsidR="006D19F2" w:rsidRDefault="006D19F2">
                          <w:pPr>
                            <w:spacing w:line="140" w:lineRule="exact"/>
                            <w:rPr>
                              <w:rFonts w:eastAsia="Arial" w:cs="Arial"/>
                              <w:sz w:val="14"/>
                              <w:szCs w:val="14"/>
                            </w:rPr>
                          </w:pPr>
                          <w:r>
                            <w:rPr>
                              <w:b/>
                              <w:color w:val="FFFFFF"/>
                              <w:w w:val="90"/>
                              <w:sz w:val="14"/>
                            </w:rPr>
                            <w:t>36%</w:t>
                          </w:r>
                        </w:p>
                      </w:txbxContent>
                    </v:textbox>
                  </v:shape>
                  <v:shape id="Text Box 3208" o:spid="_x0000_s1044" type="#_x0000_t202" style="position:absolute;left:4744;top:2665;width:266;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u57cUA&#10;AADdAAAADwAAAGRycy9kb3ducmV2LnhtbESPQWvCQBSE74L/YXlCb7rRgmh0FZEWhEJpjAePz+wz&#10;Wcy+jdlV03/fLQgeh5n5hlmuO1uLO7XeOFYwHiUgiAunDZcKDvnncAbCB2SNtWNS8Ese1qt+b4mp&#10;dg/O6L4PpYgQ9ikqqEJoUil9UZFFP3INcfTOrrUYomxLqVt8RLit5SRJptKi4bhQYUPbiorL/mYV&#10;bI6cfZjr9+knO2cmz+cJf00vSr0Nus0CRKAuvMLP9k4reJ/Mx/D/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q7ntxQAAAN0AAAAPAAAAAAAAAAAAAAAAAJgCAABkcnMv&#10;ZG93bnJldi54bWxQSwUGAAAAAAQABAD1AAAAigMAAAAA&#10;" filled="f" stroked="f">
                    <v:textbox inset="0,0,0,0">
                      <w:txbxContent>
                        <w:p w14:paraId="567C5071" w14:textId="77777777" w:rsidR="006D19F2" w:rsidRDefault="006D19F2">
                          <w:pPr>
                            <w:spacing w:line="140" w:lineRule="exact"/>
                            <w:rPr>
                              <w:rFonts w:eastAsia="Arial" w:cs="Arial"/>
                              <w:sz w:val="14"/>
                              <w:szCs w:val="14"/>
                            </w:rPr>
                          </w:pPr>
                          <w:r>
                            <w:rPr>
                              <w:b/>
                              <w:color w:val="FFFFFF"/>
                              <w:w w:val="90"/>
                              <w:sz w:val="14"/>
                            </w:rPr>
                            <w:t>27%</w:t>
                          </w:r>
                        </w:p>
                      </w:txbxContent>
                    </v:textbox>
                  </v:shape>
                  <v:shape id="Text Box 3209" o:spid="_x0000_s1045" type="#_x0000_t202" style="position:absolute;left:3794;top:2890;width:182;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knmsUA&#10;AADdAAAADwAAAGRycy9kb3ducmV2LnhtbESPQWvCQBSE70L/w/IKvenGFKRGVxFpQRCKMR56fM0+&#10;k8Xs25hdNf77rlDwOMzMN8x82dtGXKnzxrGC8SgBQVw6bbhScCi+hh8gfEDW2DgmBXfysFy8DOaY&#10;aXfjnK77UIkIYZ+hgjqENpPSlzVZ9CPXEkfv6DqLIcqukrrDW4TbRqZJMpEWDceFGlta11Se9her&#10;YPXD+ac5f//u8mNuimKa8HZyUurttV/NQATqwzP8395oBe/pNI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eSeaxQAAAN0AAAAPAAAAAAAAAAAAAAAAAJgCAABkcnMv&#10;ZG93bnJldi54bWxQSwUGAAAAAAQABAD1AAAAigMAAAAA&#10;" filled="f" stroked="f">
                    <v:textbox inset="0,0,0,0">
                      <w:txbxContent>
                        <w:p w14:paraId="3FB49BF5" w14:textId="77777777" w:rsidR="006D19F2" w:rsidRDefault="006D19F2">
                          <w:pPr>
                            <w:spacing w:line="140" w:lineRule="exact"/>
                            <w:rPr>
                              <w:rFonts w:eastAsia="Arial" w:cs="Arial"/>
                              <w:sz w:val="14"/>
                              <w:szCs w:val="14"/>
                            </w:rPr>
                          </w:pPr>
                          <w:r>
                            <w:rPr>
                              <w:b/>
                              <w:color w:val="FFFFFF"/>
                              <w:w w:val="85"/>
                              <w:sz w:val="14"/>
                            </w:rPr>
                            <w:t>8%</w:t>
                          </w:r>
                        </w:p>
                      </w:txbxContent>
                    </v:textbox>
                  </v:shape>
                  <v:shape id="Text Box 3210" o:spid="_x0000_s1046" type="#_x0000_t202" style="position:absolute;left:2755;top:3123;width:182;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WCAcUA&#10;AADdAAAADwAAAGRycy9kb3ducmV2LnhtbESPQWvCQBSE7wX/w/KE3upGBanRVUQUCkJpjAePz+wz&#10;Wcy+jdlV47/vFgoeh5n5hpkvO1uLO7XeOFYwHCQgiAunDZcKDvn24xOED8gaa8ek4Ekelove2xxT&#10;7R6c0X0fShEh7FNUUIXQpFL6oiKLfuAa4uidXWsxRNmWUrf4iHBby1GSTKRFw3GhwobWFRWX/c0q&#10;WB0525jr9+knO2cmz6cJ7yYXpd773WoGIlAXXuH/9pdWMB5Nx/D3Jj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NYIBxQAAAN0AAAAPAAAAAAAAAAAAAAAAAJgCAABkcnMv&#10;ZG93bnJldi54bWxQSwUGAAAAAAQABAD1AAAAigMAAAAA&#10;" filled="f" stroked="f">
                    <v:textbox inset="0,0,0,0">
                      <w:txbxContent>
                        <w:p w14:paraId="54A6575A" w14:textId="77777777" w:rsidR="006D19F2" w:rsidRDefault="006D19F2">
                          <w:pPr>
                            <w:spacing w:line="140" w:lineRule="exact"/>
                            <w:rPr>
                              <w:rFonts w:eastAsia="Arial" w:cs="Arial"/>
                              <w:sz w:val="14"/>
                              <w:szCs w:val="14"/>
                            </w:rPr>
                          </w:pPr>
                          <w:r>
                            <w:rPr>
                              <w:b/>
                              <w:w w:val="85"/>
                              <w:sz w:val="14"/>
                            </w:rPr>
                            <w:t>2%</w:t>
                          </w:r>
                        </w:p>
                      </w:txbxContent>
                    </v:textbox>
                  </v:shape>
                  <v:shape id="Text Box 3211" o:spid="_x0000_s1047" type="#_x0000_t202" style="position:absolute;left:6161;top:2680;width:2114;height: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wadcYA&#10;AADdAAAADwAAAGRycy9kb3ducmV2LnhtbESPQWvCQBSE7wX/w/KE3upGW0Sjq4goCIXSGA8en9ln&#10;sph9G7Orpv++Wyh4HGbmG2a+7Gwt7tR641jBcJCAIC6cNlwqOOTbtwkIH5A11o5JwQ95WC56L3NM&#10;tXtwRvd9KEWEsE9RQRVCk0rpi4os+oFriKN3dq3FEGVbSt3iI8JtLUdJMpYWDceFChtaV1Rc9jer&#10;YHXkbGOuX6fv7JyZPJ8m/Dm+KPXa71YzEIG68Az/t3dawfto+gF/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wadcYAAADdAAAADwAAAAAAAAAAAAAAAACYAgAAZHJz&#10;L2Rvd25yZXYueG1sUEsFBgAAAAAEAAQA9QAAAIsDAAAAAA==&#10;" filled="f" stroked="f">
                    <v:textbox inset="0,0,0,0">
                      <w:txbxContent>
                        <w:p w14:paraId="0AADA20C" w14:textId="77777777" w:rsidR="006D19F2" w:rsidRDefault="006D19F2" w:rsidP="00BC5572">
                          <w:pPr>
                            <w:widowControl w:val="0"/>
                            <w:numPr>
                              <w:ilvl w:val="0"/>
                              <w:numId w:val="14"/>
                            </w:numPr>
                            <w:tabs>
                              <w:tab w:val="left" w:pos="283"/>
                            </w:tabs>
                            <w:spacing w:line="149" w:lineRule="exact"/>
                            <w:ind w:hanging="282"/>
                            <w:rPr>
                              <w:rFonts w:ascii="Franklin Gothic Book" w:eastAsia="Franklin Gothic Book" w:hAnsi="Franklin Gothic Book" w:cs="Franklin Gothic Book"/>
                              <w:color w:val="0061A5"/>
                              <w:sz w:val="14"/>
                              <w:szCs w:val="14"/>
                            </w:rPr>
                          </w:pPr>
                          <w:r>
                            <w:rPr>
                              <w:rFonts w:ascii="Franklin Gothic Book"/>
                              <w:sz w:val="14"/>
                            </w:rPr>
                            <w:t>Pacific</w:t>
                          </w:r>
                          <w:r>
                            <w:rPr>
                              <w:rFonts w:ascii="Franklin Gothic Book"/>
                              <w:spacing w:val="13"/>
                              <w:sz w:val="14"/>
                            </w:rPr>
                            <w:t xml:space="preserve"> </w:t>
                          </w:r>
                          <w:r>
                            <w:rPr>
                              <w:rFonts w:ascii="Franklin Gothic Book"/>
                              <w:sz w:val="14"/>
                            </w:rPr>
                            <w:t>27%</w:t>
                          </w:r>
                        </w:p>
                        <w:p w14:paraId="422E66B9" w14:textId="77777777" w:rsidR="006D19F2" w:rsidRDefault="006D19F2" w:rsidP="00BC5572">
                          <w:pPr>
                            <w:widowControl w:val="0"/>
                            <w:numPr>
                              <w:ilvl w:val="0"/>
                              <w:numId w:val="14"/>
                            </w:numPr>
                            <w:tabs>
                              <w:tab w:val="left" w:pos="283"/>
                            </w:tabs>
                            <w:spacing w:before="20"/>
                            <w:ind w:hanging="282"/>
                            <w:rPr>
                              <w:rFonts w:ascii="Franklin Gothic Book" w:eastAsia="Franklin Gothic Book" w:hAnsi="Franklin Gothic Book" w:cs="Franklin Gothic Book"/>
                              <w:color w:val="C66D1A"/>
                              <w:sz w:val="14"/>
                              <w:szCs w:val="14"/>
                            </w:rPr>
                          </w:pPr>
                          <w:r>
                            <w:rPr>
                              <w:rFonts w:ascii="Franklin Gothic Book"/>
                              <w:w w:val="105"/>
                              <w:sz w:val="14"/>
                            </w:rPr>
                            <w:t>East Asia</w:t>
                          </w:r>
                          <w:r>
                            <w:rPr>
                              <w:rFonts w:ascii="Franklin Gothic Book"/>
                              <w:spacing w:val="-5"/>
                              <w:w w:val="105"/>
                              <w:sz w:val="14"/>
                            </w:rPr>
                            <w:t xml:space="preserve"> </w:t>
                          </w:r>
                          <w:r>
                            <w:rPr>
                              <w:rFonts w:ascii="Franklin Gothic Book"/>
                              <w:w w:val="105"/>
                              <w:sz w:val="14"/>
                            </w:rPr>
                            <w:t>27%</w:t>
                          </w:r>
                        </w:p>
                        <w:p w14:paraId="0927A22C" w14:textId="77777777" w:rsidR="006D19F2" w:rsidRDefault="006D19F2" w:rsidP="00BC5572">
                          <w:pPr>
                            <w:widowControl w:val="0"/>
                            <w:numPr>
                              <w:ilvl w:val="0"/>
                              <w:numId w:val="14"/>
                            </w:numPr>
                            <w:tabs>
                              <w:tab w:val="left" w:pos="283"/>
                            </w:tabs>
                            <w:spacing w:before="20"/>
                            <w:ind w:hanging="282"/>
                            <w:rPr>
                              <w:rFonts w:ascii="Franklin Gothic Book" w:eastAsia="Franklin Gothic Book" w:hAnsi="Franklin Gothic Book" w:cs="Franklin Gothic Book"/>
                              <w:color w:val="F47521"/>
                              <w:sz w:val="14"/>
                              <w:szCs w:val="14"/>
                            </w:rPr>
                          </w:pPr>
                          <w:r>
                            <w:rPr>
                              <w:rFonts w:ascii="Franklin Gothic Book"/>
                              <w:w w:val="105"/>
                              <w:sz w:val="14"/>
                            </w:rPr>
                            <w:t>South and West Asia</w:t>
                          </w:r>
                          <w:r>
                            <w:rPr>
                              <w:rFonts w:ascii="Franklin Gothic Book"/>
                              <w:spacing w:val="-18"/>
                              <w:w w:val="105"/>
                              <w:sz w:val="14"/>
                            </w:rPr>
                            <w:t xml:space="preserve"> </w:t>
                          </w:r>
                          <w:r>
                            <w:rPr>
                              <w:rFonts w:ascii="Franklin Gothic Book"/>
                              <w:w w:val="105"/>
                              <w:sz w:val="14"/>
                            </w:rPr>
                            <w:t>8%</w:t>
                          </w:r>
                        </w:p>
                        <w:p w14:paraId="50853917" w14:textId="77777777" w:rsidR="006D19F2" w:rsidRDefault="006D19F2" w:rsidP="00BC5572">
                          <w:pPr>
                            <w:widowControl w:val="0"/>
                            <w:numPr>
                              <w:ilvl w:val="0"/>
                              <w:numId w:val="14"/>
                            </w:numPr>
                            <w:tabs>
                              <w:tab w:val="left" w:pos="283"/>
                            </w:tabs>
                            <w:spacing w:before="20"/>
                            <w:ind w:hanging="282"/>
                            <w:rPr>
                              <w:rFonts w:ascii="Franklin Gothic Book" w:eastAsia="Franklin Gothic Book" w:hAnsi="Franklin Gothic Book" w:cs="Franklin Gothic Book"/>
                              <w:color w:val="69B0D3"/>
                              <w:sz w:val="14"/>
                              <w:szCs w:val="14"/>
                            </w:rPr>
                          </w:pPr>
                          <w:r>
                            <w:rPr>
                              <w:rFonts w:ascii="Franklin Gothic Book"/>
                              <w:sz w:val="14"/>
                            </w:rPr>
                            <w:t xml:space="preserve">Africa and the Middle East </w:t>
                          </w:r>
                          <w:r>
                            <w:rPr>
                              <w:rFonts w:ascii="Franklin Gothic Book"/>
                              <w:spacing w:val="22"/>
                              <w:sz w:val="14"/>
                            </w:rPr>
                            <w:t xml:space="preserve"> </w:t>
                          </w:r>
                          <w:r>
                            <w:rPr>
                              <w:rFonts w:ascii="Franklin Gothic Book"/>
                              <w:sz w:val="14"/>
                            </w:rPr>
                            <w:t>2%</w:t>
                          </w:r>
                        </w:p>
                        <w:p w14:paraId="21EC0FA8" w14:textId="77777777" w:rsidR="006D19F2" w:rsidRDefault="006D19F2" w:rsidP="00BC5572">
                          <w:pPr>
                            <w:widowControl w:val="0"/>
                            <w:numPr>
                              <w:ilvl w:val="0"/>
                              <w:numId w:val="14"/>
                            </w:numPr>
                            <w:tabs>
                              <w:tab w:val="left" w:pos="283"/>
                            </w:tabs>
                            <w:spacing w:before="20" w:line="153" w:lineRule="exact"/>
                            <w:ind w:hanging="282"/>
                            <w:rPr>
                              <w:rFonts w:ascii="Franklin Gothic Book" w:eastAsia="Franklin Gothic Book" w:hAnsi="Franklin Gothic Book" w:cs="Franklin Gothic Book"/>
                              <w:color w:val="009BCD"/>
                              <w:sz w:val="14"/>
                              <w:szCs w:val="14"/>
                            </w:rPr>
                          </w:pPr>
                          <w:r>
                            <w:rPr>
                              <w:rFonts w:ascii="Franklin Gothic Book"/>
                              <w:sz w:val="14"/>
                            </w:rPr>
                            <w:t xml:space="preserve">Rest of the World* </w:t>
                          </w:r>
                          <w:r>
                            <w:rPr>
                              <w:rFonts w:ascii="Franklin Gothic Book"/>
                              <w:spacing w:val="7"/>
                              <w:sz w:val="14"/>
                            </w:rPr>
                            <w:t xml:space="preserve"> </w:t>
                          </w:r>
                          <w:r>
                            <w:rPr>
                              <w:rFonts w:ascii="Franklin Gothic Book"/>
                              <w:sz w:val="14"/>
                            </w:rPr>
                            <w:t>36%</w:t>
                          </w:r>
                        </w:p>
                      </w:txbxContent>
                    </v:textbox>
                  </v:shape>
                </v:group>
                <w10:anchorlock/>
              </v:group>
            </w:pict>
          </mc:Fallback>
        </mc:AlternateContent>
      </w:r>
    </w:p>
    <w:p w14:paraId="6EE1445D" w14:textId="77777777" w:rsidR="003B5312" w:rsidRPr="00CF7CB1" w:rsidRDefault="003B5312" w:rsidP="00697988">
      <w:pPr>
        <w:pStyle w:val="Source"/>
        <w:rPr>
          <w:lang w:val="en-AU"/>
        </w:rPr>
      </w:pPr>
      <w:r w:rsidRPr="00CF7CB1">
        <w:rPr>
          <w:lang w:val="en-AU"/>
        </w:rPr>
        <w:t>*Includes ODA not attributed to particular countries or regions</w:t>
      </w:r>
    </w:p>
    <w:p w14:paraId="53088438" w14:textId="77777777" w:rsidR="003B5312" w:rsidRPr="00CF7CB1" w:rsidRDefault="003B5312" w:rsidP="00697988">
      <w:pPr>
        <w:pStyle w:val="Source"/>
        <w:rPr>
          <w:lang w:val="en-AU"/>
        </w:rPr>
      </w:pPr>
      <w:r w:rsidRPr="00CF7CB1">
        <w:rPr>
          <w:b/>
          <w:lang w:val="en-AU"/>
        </w:rPr>
        <w:t>Source:</w:t>
      </w:r>
      <w:r w:rsidRPr="00CF7CB1">
        <w:rPr>
          <w:lang w:val="en-AU"/>
        </w:rPr>
        <w:t xml:space="preserve"> Aid for Trade fact sheet</w:t>
      </w:r>
      <w:r w:rsidR="00697988" w:rsidRPr="00CF7CB1">
        <w:rPr>
          <w:lang w:val="en-AU"/>
        </w:rPr>
        <w:t xml:space="preserve"> </w:t>
      </w:r>
      <w:r w:rsidRPr="00CF7CB1">
        <w:rPr>
          <w:lang w:val="en-AU"/>
        </w:rPr>
        <w:t>http://dfat.gov.au/aid/topics/development-issues/aid-for-trade/Pages/aid-for-trade.aspx</w:t>
      </w:r>
    </w:p>
    <w:p w14:paraId="08C5297F" w14:textId="77777777" w:rsidR="003B5312" w:rsidRPr="00CF7CB1" w:rsidRDefault="003B5312" w:rsidP="004E265F">
      <w:pPr>
        <w:pStyle w:val="Caption"/>
        <w:rPr>
          <w:lang w:val="en-AU"/>
        </w:rPr>
      </w:pPr>
      <w:r w:rsidRPr="00CF7CB1">
        <w:rPr>
          <w:lang w:val="en-AU"/>
        </w:rPr>
        <w:t>Figure 2: Australia’s investment in Trade Policy, Regulations and Facilitation 2005 to 2020</w:t>
      </w:r>
    </w:p>
    <w:p w14:paraId="0ED595C0" w14:textId="77777777" w:rsidR="003B5312" w:rsidRPr="00CF7CB1" w:rsidRDefault="004E265F" w:rsidP="00337BCF">
      <w:pPr>
        <w:spacing w:after="120"/>
        <w:rPr>
          <w:lang w:val="en-AU"/>
        </w:rPr>
      </w:pPr>
      <w:r w:rsidRPr="00CF7CB1">
        <w:rPr>
          <w:noProof/>
          <w:lang w:val="en-AU" w:eastAsia="en-AU"/>
        </w:rPr>
        <mc:AlternateContent>
          <mc:Choice Requires="wpg">
            <w:drawing>
              <wp:inline distT="0" distB="0" distL="0" distR="0" wp14:anchorId="13CCDA74" wp14:editId="66A23A1A">
                <wp:extent cx="5558790" cy="2418080"/>
                <wp:effectExtent l="0" t="0" r="3810" b="1270"/>
                <wp:docPr id="3295" name="Group 3295" descr="This figure shows the value of Australia’s Investment in Trade Policy, Regulations and Facilitation between 2005 and 2020.  It is allocated as follows: 296.8 million for Pacific countries, 112.8 million for Asia regional, 77.8 million for Pacific regional, 35.2 million for Asia countries and 20 million Global." title="Australia’s investment in Trade Policy, Regulations and Facilitation 2005 to 2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8790" cy="2418080"/>
                          <a:chOff x="0" y="0"/>
                          <a:chExt cx="8754" cy="3808"/>
                        </a:xfrm>
                      </wpg:grpSpPr>
                      <wpg:grpSp>
                        <wpg:cNvPr id="3296" name="Group 3213"/>
                        <wpg:cNvGrpSpPr>
                          <a:grpSpLocks/>
                        </wpg:cNvGrpSpPr>
                        <wpg:grpSpPr bwMode="auto">
                          <a:xfrm>
                            <a:off x="0" y="0"/>
                            <a:ext cx="8754" cy="3808"/>
                            <a:chOff x="0" y="0"/>
                            <a:chExt cx="8754" cy="3808"/>
                          </a:xfrm>
                        </wpg:grpSpPr>
                        <wps:wsp>
                          <wps:cNvPr id="3297" name="Freeform 3214"/>
                          <wps:cNvSpPr>
                            <a:spLocks/>
                          </wps:cNvSpPr>
                          <wps:spPr bwMode="auto">
                            <a:xfrm>
                              <a:off x="0" y="0"/>
                              <a:ext cx="8754" cy="3808"/>
                            </a:xfrm>
                            <a:custGeom>
                              <a:avLst/>
                              <a:gdLst>
                                <a:gd name="T0" fmla="*/ 0 w 8754"/>
                                <a:gd name="T1" fmla="*/ 3807 h 3808"/>
                                <a:gd name="T2" fmla="*/ 8753 w 8754"/>
                                <a:gd name="T3" fmla="*/ 3807 h 3808"/>
                                <a:gd name="T4" fmla="*/ 8753 w 8754"/>
                                <a:gd name="T5" fmla="*/ 0 h 3808"/>
                                <a:gd name="T6" fmla="*/ 0 w 8754"/>
                                <a:gd name="T7" fmla="*/ 0 h 3808"/>
                                <a:gd name="T8" fmla="*/ 0 w 8754"/>
                                <a:gd name="T9" fmla="*/ 3807 h 3808"/>
                              </a:gdLst>
                              <a:ahLst/>
                              <a:cxnLst>
                                <a:cxn ang="0">
                                  <a:pos x="T0" y="T1"/>
                                </a:cxn>
                                <a:cxn ang="0">
                                  <a:pos x="T2" y="T3"/>
                                </a:cxn>
                                <a:cxn ang="0">
                                  <a:pos x="T4" y="T5"/>
                                </a:cxn>
                                <a:cxn ang="0">
                                  <a:pos x="T6" y="T7"/>
                                </a:cxn>
                                <a:cxn ang="0">
                                  <a:pos x="T8" y="T9"/>
                                </a:cxn>
                              </a:cxnLst>
                              <a:rect l="0" t="0" r="r" b="b"/>
                              <a:pathLst>
                                <a:path w="8754" h="3808">
                                  <a:moveTo>
                                    <a:pt x="0" y="3807"/>
                                  </a:moveTo>
                                  <a:lnTo>
                                    <a:pt x="8753" y="3807"/>
                                  </a:lnTo>
                                  <a:lnTo>
                                    <a:pt x="8753" y="0"/>
                                  </a:lnTo>
                                  <a:lnTo>
                                    <a:pt x="0" y="0"/>
                                  </a:lnTo>
                                  <a:lnTo>
                                    <a:pt x="0" y="3807"/>
                                  </a:lnTo>
                                  <a:close/>
                                </a:path>
                              </a:pathLst>
                            </a:custGeom>
                            <a:solidFill>
                              <a:srgbClr val="DEEA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98" name="Group 3215"/>
                        <wpg:cNvGrpSpPr>
                          <a:grpSpLocks/>
                        </wpg:cNvGrpSpPr>
                        <wpg:grpSpPr bwMode="auto">
                          <a:xfrm>
                            <a:off x="3802" y="708"/>
                            <a:ext cx="575" cy="1413"/>
                            <a:chOff x="3802" y="708"/>
                            <a:chExt cx="575" cy="1413"/>
                          </a:xfrm>
                        </wpg:grpSpPr>
                        <wps:wsp>
                          <wps:cNvPr id="3299" name="Freeform 3216"/>
                          <wps:cNvSpPr>
                            <a:spLocks/>
                          </wps:cNvSpPr>
                          <wps:spPr bwMode="auto">
                            <a:xfrm>
                              <a:off x="3802" y="708"/>
                              <a:ext cx="575" cy="1413"/>
                            </a:xfrm>
                            <a:custGeom>
                              <a:avLst/>
                              <a:gdLst>
                                <a:gd name="T0" fmla="+- 0 4377 3802"/>
                                <a:gd name="T1" fmla="*/ T0 w 575"/>
                                <a:gd name="T2" fmla="+- 0 708 708"/>
                                <a:gd name="T3" fmla="*/ 708 h 1413"/>
                                <a:gd name="T4" fmla="+- 0 4291 3802"/>
                                <a:gd name="T5" fmla="*/ T4 w 575"/>
                                <a:gd name="T6" fmla="+- 0 710 708"/>
                                <a:gd name="T7" fmla="*/ 710 h 1413"/>
                                <a:gd name="T8" fmla="+- 0 4207 3802"/>
                                <a:gd name="T9" fmla="*/ T8 w 575"/>
                                <a:gd name="T10" fmla="+- 0 718 708"/>
                                <a:gd name="T11" fmla="*/ 718 h 1413"/>
                                <a:gd name="T12" fmla="+- 0 4124 3802"/>
                                <a:gd name="T13" fmla="*/ T12 w 575"/>
                                <a:gd name="T14" fmla="+- 0 730 708"/>
                                <a:gd name="T15" fmla="*/ 730 h 1413"/>
                                <a:gd name="T16" fmla="+- 0 4042 3802"/>
                                <a:gd name="T17" fmla="*/ T16 w 575"/>
                                <a:gd name="T18" fmla="+- 0 747 708"/>
                                <a:gd name="T19" fmla="*/ 747 h 1413"/>
                                <a:gd name="T20" fmla="+- 0 3961 3802"/>
                                <a:gd name="T21" fmla="*/ T20 w 575"/>
                                <a:gd name="T22" fmla="+- 0 770 708"/>
                                <a:gd name="T23" fmla="*/ 770 h 1413"/>
                                <a:gd name="T24" fmla="+- 0 3881 3802"/>
                                <a:gd name="T25" fmla="*/ T24 w 575"/>
                                <a:gd name="T26" fmla="+- 0 797 708"/>
                                <a:gd name="T27" fmla="*/ 797 h 1413"/>
                                <a:gd name="T28" fmla="+- 0 3802 3802"/>
                                <a:gd name="T29" fmla="*/ T28 w 575"/>
                                <a:gd name="T30" fmla="+- 0 830 708"/>
                                <a:gd name="T31" fmla="*/ 830 h 1413"/>
                                <a:gd name="T32" fmla="+- 0 4377 3802"/>
                                <a:gd name="T33" fmla="*/ T32 w 575"/>
                                <a:gd name="T34" fmla="+- 0 2120 708"/>
                                <a:gd name="T35" fmla="*/ 2120 h 1413"/>
                                <a:gd name="T36" fmla="+- 0 4377 3802"/>
                                <a:gd name="T37" fmla="*/ T36 w 575"/>
                                <a:gd name="T38" fmla="+- 0 708 708"/>
                                <a:gd name="T39" fmla="*/ 708 h 1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75" h="1413">
                                  <a:moveTo>
                                    <a:pt x="575" y="0"/>
                                  </a:moveTo>
                                  <a:lnTo>
                                    <a:pt x="489" y="2"/>
                                  </a:lnTo>
                                  <a:lnTo>
                                    <a:pt x="405" y="10"/>
                                  </a:lnTo>
                                  <a:lnTo>
                                    <a:pt x="322" y="22"/>
                                  </a:lnTo>
                                  <a:lnTo>
                                    <a:pt x="240" y="39"/>
                                  </a:lnTo>
                                  <a:lnTo>
                                    <a:pt x="159" y="62"/>
                                  </a:lnTo>
                                  <a:lnTo>
                                    <a:pt x="79" y="89"/>
                                  </a:lnTo>
                                  <a:lnTo>
                                    <a:pt x="0" y="122"/>
                                  </a:lnTo>
                                  <a:lnTo>
                                    <a:pt x="575" y="1412"/>
                                  </a:lnTo>
                                  <a:lnTo>
                                    <a:pt x="575" y="0"/>
                                  </a:lnTo>
                                  <a:close/>
                                </a:path>
                              </a:pathLst>
                            </a:custGeom>
                            <a:solidFill>
                              <a:srgbClr val="F475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00" name="Group 3217"/>
                        <wpg:cNvGrpSpPr>
                          <a:grpSpLocks/>
                        </wpg:cNvGrpSpPr>
                        <wpg:grpSpPr bwMode="auto">
                          <a:xfrm>
                            <a:off x="2964" y="830"/>
                            <a:ext cx="2340" cy="2703"/>
                            <a:chOff x="2964" y="830"/>
                            <a:chExt cx="2340" cy="2703"/>
                          </a:xfrm>
                        </wpg:grpSpPr>
                        <wps:wsp>
                          <wps:cNvPr id="3301" name="Freeform 3218"/>
                          <wps:cNvSpPr>
                            <a:spLocks/>
                          </wps:cNvSpPr>
                          <wps:spPr bwMode="auto">
                            <a:xfrm>
                              <a:off x="2964" y="830"/>
                              <a:ext cx="2340" cy="2703"/>
                            </a:xfrm>
                            <a:custGeom>
                              <a:avLst/>
                              <a:gdLst>
                                <a:gd name="T0" fmla="+- 0 3725 2964"/>
                                <a:gd name="T1" fmla="*/ T0 w 2340"/>
                                <a:gd name="T2" fmla="+- 0 867 830"/>
                                <a:gd name="T3" fmla="*/ 867 h 2703"/>
                                <a:gd name="T4" fmla="+- 0 3583 2964"/>
                                <a:gd name="T5" fmla="*/ T4 w 2340"/>
                                <a:gd name="T6" fmla="+- 0 951 830"/>
                                <a:gd name="T7" fmla="*/ 951 h 2703"/>
                                <a:gd name="T8" fmla="+- 0 3450 2964"/>
                                <a:gd name="T9" fmla="*/ T8 w 2340"/>
                                <a:gd name="T10" fmla="+- 0 1054 830"/>
                                <a:gd name="T11" fmla="*/ 1054 h 2703"/>
                                <a:gd name="T12" fmla="+- 0 3343 2964"/>
                                <a:gd name="T13" fmla="*/ T12 w 2340"/>
                                <a:gd name="T14" fmla="+- 0 1158 830"/>
                                <a:gd name="T15" fmla="*/ 1158 h 2703"/>
                                <a:gd name="T16" fmla="+- 0 3248 2964"/>
                                <a:gd name="T17" fmla="*/ T16 w 2340"/>
                                <a:gd name="T18" fmla="+- 0 1270 830"/>
                                <a:gd name="T19" fmla="*/ 1270 h 2703"/>
                                <a:gd name="T20" fmla="+- 0 3168 2964"/>
                                <a:gd name="T21" fmla="*/ T20 w 2340"/>
                                <a:gd name="T22" fmla="+- 0 1389 830"/>
                                <a:gd name="T23" fmla="*/ 1389 h 2703"/>
                                <a:gd name="T24" fmla="+- 0 3100 2964"/>
                                <a:gd name="T25" fmla="*/ T24 w 2340"/>
                                <a:gd name="T26" fmla="+- 0 1515 830"/>
                                <a:gd name="T27" fmla="*/ 1515 h 2703"/>
                                <a:gd name="T28" fmla="+- 0 3046 2964"/>
                                <a:gd name="T29" fmla="*/ T28 w 2340"/>
                                <a:gd name="T30" fmla="+- 0 1645 830"/>
                                <a:gd name="T31" fmla="*/ 1645 h 2703"/>
                                <a:gd name="T32" fmla="+- 0 3006 2964"/>
                                <a:gd name="T33" fmla="*/ T32 w 2340"/>
                                <a:gd name="T34" fmla="+- 0 1780 830"/>
                                <a:gd name="T35" fmla="*/ 1780 h 2703"/>
                                <a:gd name="T36" fmla="+- 0 2979 2964"/>
                                <a:gd name="T37" fmla="*/ T36 w 2340"/>
                                <a:gd name="T38" fmla="+- 0 1917 830"/>
                                <a:gd name="T39" fmla="*/ 1917 h 2703"/>
                                <a:gd name="T40" fmla="+- 0 2966 2964"/>
                                <a:gd name="T41" fmla="*/ T40 w 2340"/>
                                <a:gd name="T42" fmla="+- 0 2057 830"/>
                                <a:gd name="T43" fmla="*/ 2057 h 2703"/>
                                <a:gd name="T44" fmla="+- 0 2966 2964"/>
                                <a:gd name="T45" fmla="*/ T44 w 2340"/>
                                <a:gd name="T46" fmla="+- 0 2197 830"/>
                                <a:gd name="T47" fmla="*/ 2197 h 2703"/>
                                <a:gd name="T48" fmla="+- 0 2981 2964"/>
                                <a:gd name="T49" fmla="*/ T48 w 2340"/>
                                <a:gd name="T50" fmla="+- 0 2336 830"/>
                                <a:gd name="T51" fmla="*/ 2336 h 2703"/>
                                <a:gd name="T52" fmla="+- 0 3009 2964"/>
                                <a:gd name="T53" fmla="*/ T52 w 2340"/>
                                <a:gd name="T54" fmla="+- 0 2474 830"/>
                                <a:gd name="T55" fmla="*/ 2474 h 2703"/>
                                <a:gd name="T56" fmla="+- 0 3051 2964"/>
                                <a:gd name="T57" fmla="*/ T56 w 2340"/>
                                <a:gd name="T58" fmla="+- 0 2610 830"/>
                                <a:gd name="T59" fmla="*/ 2610 h 2703"/>
                                <a:gd name="T60" fmla="+- 0 3108 2964"/>
                                <a:gd name="T61" fmla="*/ T60 w 2340"/>
                                <a:gd name="T62" fmla="+- 0 2741 830"/>
                                <a:gd name="T63" fmla="*/ 2741 h 2703"/>
                                <a:gd name="T64" fmla="+- 0 3178 2964"/>
                                <a:gd name="T65" fmla="*/ T64 w 2340"/>
                                <a:gd name="T66" fmla="+- 0 2868 830"/>
                                <a:gd name="T67" fmla="*/ 2868 h 2703"/>
                                <a:gd name="T68" fmla="+- 0 3263 2964"/>
                                <a:gd name="T69" fmla="*/ T68 w 2340"/>
                                <a:gd name="T70" fmla="+- 0 2989 830"/>
                                <a:gd name="T71" fmla="*/ 2989 h 2703"/>
                                <a:gd name="T72" fmla="+- 0 3361 2964"/>
                                <a:gd name="T73" fmla="*/ T72 w 2340"/>
                                <a:gd name="T74" fmla="+- 0 3102 830"/>
                                <a:gd name="T75" fmla="*/ 3102 h 2703"/>
                                <a:gd name="T76" fmla="+- 0 3469 2964"/>
                                <a:gd name="T77" fmla="*/ T76 w 2340"/>
                                <a:gd name="T78" fmla="+- 0 3203 830"/>
                                <a:gd name="T79" fmla="*/ 3203 h 2703"/>
                                <a:gd name="T80" fmla="+- 0 3585 2964"/>
                                <a:gd name="T81" fmla="*/ T80 w 2340"/>
                                <a:gd name="T82" fmla="+- 0 3291 830"/>
                                <a:gd name="T83" fmla="*/ 3291 h 2703"/>
                                <a:gd name="T84" fmla="+- 0 3708 2964"/>
                                <a:gd name="T85" fmla="*/ T84 w 2340"/>
                                <a:gd name="T86" fmla="+- 0 3365 830"/>
                                <a:gd name="T87" fmla="*/ 3365 h 2703"/>
                                <a:gd name="T88" fmla="+- 0 3836 2964"/>
                                <a:gd name="T89" fmla="*/ T88 w 2340"/>
                                <a:gd name="T90" fmla="+- 0 3426 830"/>
                                <a:gd name="T91" fmla="*/ 3426 h 2703"/>
                                <a:gd name="T92" fmla="+- 0 3969 2964"/>
                                <a:gd name="T93" fmla="*/ T92 w 2340"/>
                                <a:gd name="T94" fmla="+- 0 3473 830"/>
                                <a:gd name="T95" fmla="*/ 3473 h 2703"/>
                                <a:gd name="T96" fmla="+- 0 4105 2964"/>
                                <a:gd name="T97" fmla="*/ T96 w 2340"/>
                                <a:gd name="T98" fmla="+- 0 3506 830"/>
                                <a:gd name="T99" fmla="*/ 3506 h 2703"/>
                                <a:gd name="T100" fmla="+- 0 4243 2964"/>
                                <a:gd name="T101" fmla="*/ T100 w 2340"/>
                                <a:gd name="T102" fmla="+- 0 3527 830"/>
                                <a:gd name="T103" fmla="*/ 3527 h 2703"/>
                                <a:gd name="T104" fmla="+- 0 4383 2964"/>
                                <a:gd name="T105" fmla="*/ T104 w 2340"/>
                                <a:gd name="T106" fmla="+- 0 3533 830"/>
                                <a:gd name="T107" fmla="*/ 3533 h 2703"/>
                                <a:gd name="T108" fmla="+- 0 4523 2964"/>
                                <a:gd name="T109" fmla="*/ T108 w 2340"/>
                                <a:gd name="T110" fmla="+- 0 3525 830"/>
                                <a:gd name="T111" fmla="*/ 3525 h 2703"/>
                                <a:gd name="T112" fmla="+- 0 4662 2964"/>
                                <a:gd name="T113" fmla="*/ T112 w 2340"/>
                                <a:gd name="T114" fmla="+- 0 3504 830"/>
                                <a:gd name="T115" fmla="*/ 3504 h 2703"/>
                                <a:gd name="T116" fmla="+- 0 4799 2964"/>
                                <a:gd name="T117" fmla="*/ T116 w 2340"/>
                                <a:gd name="T118" fmla="+- 0 3469 830"/>
                                <a:gd name="T119" fmla="*/ 3469 h 2703"/>
                                <a:gd name="T120" fmla="+- 0 4932 2964"/>
                                <a:gd name="T121" fmla="*/ T120 w 2340"/>
                                <a:gd name="T122" fmla="+- 0 3419 830"/>
                                <a:gd name="T123" fmla="*/ 3419 h 2703"/>
                                <a:gd name="T124" fmla="+- 0 5062 2964"/>
                                <a:gd name="T125" fmla="*/ T124 w 2340"/>
                                <a:gd name="T126" fmla="+- 0 3356 830"/>
                                <a:gd name="T127" fmla="*/ 3356 h 2703"/>
                                <a:gd name="T128" fmla="+- 0 5186 2964"/>
                                <a:gd name="T129" fmla="*/ T128 w 2340"/>
                                <a:gd name="T130" fmla="+- 0 3278 830"/>
                                <a:gd name="T131" fmla="*/ 3278 h 2703"/>
                                <a:gd name="T132" fmla="+- 0 5303 2964"/>
                                <a:gd name="T133" fmla="*/ T132 w 2340"/>
                                <a:gd name="T134" fmla="+- 0 3186 830"/>
                                <a:gd name="T135" fmla="*/ 3186 h 2703"/>
                                <a:gd name="T136" fmla="+- 0 3802 2964"/>
                                <a:gd name="T137" fmla="*/ T136 w 2340"/>
                                <a:gd name="T138" fmla="+- 0 830 830"/>
                                <a:gd name="T139" fmla="*/ 830 h 27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340" h="2703">
                                  <a:moveTo>
                                    <a:pt x="838" y="0"/>
                                  </a:moveTo>
                                  <a:lnTo>
                                    <a:pt x="761" y="37"/>
                                  </a:lnTo>
                                  <a:lnTo>
                                    <a:pt x="688" y="77"/>
                                  </a:lnTo>
                                  <a:lnTo>
                                    <a:pt x="619" y="121"/>
                                  </a:lnTo>
                                  <a:lnTo>
                                    <a:pt x="552" y="170"/>
                                  </a:lnTo>
                                  <a:lnTo>
                                    <a:pt x="486" y="224"/>
                                  </a:lnTo>
                                  <a:lnTo>
                                    <a:pt x="431" y="275"/>
                                  </a:lnTo>
                                  <a:lnTo>
                                    <a:pt x="379" y="328"/>
                                  </a:lnTo>
                                  <a:lnTo>
                                    <a:pt x="330" y="383"/>
                                  </a:lnTo>
                                  <a:lnTo>
                                    <a:pt x="284" y="440"/>
                                  </a:lnTo>
                                  <a:lnTo>
                                    <a:pt x="242" y="499"/>
                                  </a:lnTo>
                                  <a:lnTo>
                                    <a:pt x="204" y="559"/>
                                  </a:lnTo>
                                  <a:lnTo>
                                    <a:pt x="168" y="621"/>
                                  </a:lnTo>
                                  <a:lnTo>
                                    <a:pt x="136" y="685"/>
                                  </a:lnTo>
                                  <a:lnTo>
                                    <a:pt x="107" y="750"/>
                                  </a:lnTo>
                                  <a:lnTo>
                                    <a:pt x="82" y="815"/>
                                  </a:lnTo>
                                  <a:lnTo>
                                    <a:pt x="60" y="882"/>
                                  </a:lnTo>
                                  <a:lnTo>
                                    <a:pt x="42" y="950"/>
                                  </a:lnTo>
                                  <a:lnTo>
                                    <a:pt x="27" y="1018"/>
                                  </a:lnTo>
                                  <a:lnTo>
                                    <a:pt x="15" y="1087"/>
                                  </a:lnTo>
                                  <a:lnTo>
                                    <a:pt x="7" y="1157"/>
                                  </a:lnTo>
                                  <a:lnTo>
                                    <a:pt x="2" y="1227"/>
                                  </a:lnTo>
                                  <a:lnTo>
                                    <a:pt x="0" y="1297"/>
                                  </a:lnTo>
                                  <a:lnTo>
                                    <a:pt x="2" y="1367"/>
                                  </a:lnTo>
                                  <a:lnTo>
                                    <a:pt x="8" y="1437"/>
                                  </a:lnTo>
                                  <a:lnTo>
                                    <a:pt x="17" y="1506"/>
                                  </a:lnTo>
                                  <a:lnTo>
                                    <a:pt x="29" y="1576"/>
                                  </a:lnTo>
                                  <a:lnTo>
                                    <a:pt x="45" y="1644"/>
                                  </a:lnTo>
                                  <a:lnTo>
                                    <a:pt x="64" y="1712"/>
                                  </a:lnTo>
                                  <a:lnTo>
                                    <a:pt x="87" y="1780"/>
                                  </a:lnTo>
                                  <a:lnTo>
                                    <a:pt x="114" y="1846"/>
                                  </a:lnTo>
                                  <a:lnTo>
                                    <a:pt x="144" y="1911"/>
                                  </a:lnTo>
                                  <a:lnTo>
                                    <a:pt x="177" y="1975"/>
                                  </a:lnTo>
                                  <a:lnTo>
                                    <a:pt x="214" y="2038"/>
                                  </a:lnTo>
                                  <a:lnTo>
                                    <a:pt x="255" y="2099"/>
                                  </a:lnTo>
                                  <a:lnTo>
                                    <a:pt x="299" y="2159"/>
                                  </a:lnTo>
                                  <a:lnTo>
                                    <a:pt x="347" y="2217"/>
                                  </a:lnTo>
                                  <a:lnTo>
                                    <a:pt x="397" y="2272"/>
                                  </a:lnTo>
                                  <a:lnTo>
                                    <a:pt x="450" y="2324"/>
                                  </a:lnTo>
                                  <a:lnTo>
                                    <a:pt x="505" y="2373"/>
                                  </a:lnTo>
                                  <a:lnTo>
                                    <a:pt x="562" y="2419"/>
                                  </a:lnTo>
                                  <a:lnTo>
                                    <a:pt x="621" y="2461"/>
                                  </a:lnTo>
                                  <a:lnTo>
                                    <a:pt x="682" y="2499"/>
                                  </a:lnTo>
                                  <a:lnTo>
                                    <a:pt x="744" y="2535"/>
                                  </a:lnTo>
                                  <a:lnTo>
                                    <a:pt x="807" y="2567"/>
                                  </a:lnTo>
                                  <a:lnTo>
                                    <a:pt x="872" y="2596"/>
                                  </a:lnTo>
                                  <a:lnTo>
                                    <a:pt x="938" y="2621"/>
                                  </a:lnTo>
                                  <a:lnTo>
                                    <a:pt x="1005" y="2643"/>
                                  </a:lnTo>
                                  <a:lnTo>
                                    <a:pt x="1072" y="2661"/>
                                  </a:lnTo>
                                  <a:lnTo>
                                    <a:pt x="1141" y="2676"/>
                                  </a:lnTo>
                                  <a:lnTo>
                                    <a:pt x="1210" y="2688"/>
                                  </a:lnTo>
                                  <a:lnTo>
                                    <a:pt x="1279" y="2697"/>
                                  </a:lnTo>
                                  <a:lnTo>
                                    <a:pt x="1349" y="2701"/>
                                  </a:lnTo>
                                  <a:lnTo>
                                    <a:pt x="1419" y="2703"/>
                                  </a:lnTo>
                                  <a:lnTo>
                                    <a:pt x="1489" y="2701"/>
                                  </a:lnTo>
                                  <a:lnTo>
                                    <a:pt x="1559" y="2695"/>
                                  </a:lnTo>
                                  <a:lnTo>
                                    <a:pt x="1628" y="2686"/>
                                  </a:lnTo>
                                  <a:lnTo>
                                    <a:pt x="1698" y="2674"/>
                                  </a:lnTo>
                                  <a:lnTo>
                                    <a:pt x="1766" y="2658"/>
                                  </a:lnTo>
                                  <a:lnTo>
                                    <a:pt x="1835" y="2639"/>
                                  </a:lnTo>
                                  <a:lnTo>
                                    <a:pt x="1902" y="2616"/>
                                  </a:lnTo>
                                  <a:lnTo>
                                    <a:pt x="1968" y="2589"/>
                                  </a:lnTo>
                                  <a:lnTo>
                                    <a:pt x="2034" y="2559"/>
                                  </a:lnTo>
                                  <a:lnTo>
                                    <a:pt x="2098" y="2526"/>
                                  </a:lnTo>
                                  <a:lnTo>
                                    <a:pt x="2160" y="2489"/>
                                  </a:lnTo>
                                  <a:lnTo>
                                    <a:pt x="2222" y="2448"/>
                                  </a:lnTo>
                                  <a:lnTo>
                                    <a:pt x="2281" y="2404"/>
                                  </a:lnTo>
                                  <a:lnTo>
                                    <a:pt x="2339" y="2356"/>
                                  </a:lnTo>
                                  <a:lnTo>
                                    <a:pt x="1413" y="1290"/>
                                  </a:lnTo>
                                  <a:lnTo>
                                    <a:pt x="838" y="0"/>
                                  </a:lnTo>
                                  <a:close/>
                                </a:path>
                              </a:pathLst>
                            </a:custGeom>
                            <a:solidFill>
                              <a:srgbClr val="0061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02" name="Group 3219"/>
                        <wpg:cNvGrpSpPr>
                          <a:grpSpLocks/>
                        </wpg:cNvGrpSpPr>
                        <wpg:grpSpPr bwMode="auto">
                          <a:xfrm>
                            <a:off x="4377" y="2071"/>
                            <a:ext cx="1413" cy="1116"/>
                            <a:chOff x="4377" y="2071"/>
                            <a:chExt cx="1413" cy="1116"/>
                          </a:xfrm>
                        </wpg:grpSpPr>
                        <wps:wsp>
                          <wps:cNvPr id="3303" name="Freeform 3220"/>
                          <wps:cNvSpPr>
                            <a:spLocks/>
                          </wps:cNvSpPr>
                          <wps:spPr bwMode="auto">
                            <a:xfrm>
                              <a:off x="4377" y="2071"/>
                              <a:ext cx="1413" cy="1116"/>
                            </a:xfrm>
                            <a:custGeom>
                              <a:avLst/>
                              <a:gdLst>
                                <a:gd name="T0" fmla="+- 0 5788 4377"/>
                                <a:gd name="T1" fmla="*/ T0 w 1413"/>
                                <a:gd name="T2" fmla="+- 0 2071 2071"/>
                                <a:gd name="T3" fmla="*/ 2071 h 1116"/>
                                <a:gd name="T4" fmla="+- 0 4377 4377"/>
                                <a:gd name="T5" fmla="*/ T4 w 1413"/>
                                <a:gd name="T6" fmla="+- 0 2120 2071"/>
                                <a:gd name="T7" fmla="*/ 2120 h 1116"/>
                                <a:gd name="T8" fmla="+- 0 5303 4377"/>
                                <a:gd name="T9" fmla="*/ T8 w 1413"/>
                                <a:gd name="T10" fmla="+- 0 3186 2071"/>
                                <a:gd name="T11" fmla="*/ 3186 h 1116"/>
                                <a:gd name="T12" fmla="+- 0 5364 4377"/>
                                <a:gd name="T13" fmla="*/ T12 w 1413"/>
                                <a:gd name="T14" fmla="+- 0 3130 2071"/>
                                <a:gd name="T15" fmla="*/ 3130 h 1116"/>
                                <a:gd name="T16" fmla="+- 0 5422 4377"/>
                                <a:gd name="T17" fmla="*/ T16 w 1413"/>
                                <a:gd name="T18" fmla="+- 0 3073 2071"/>
                                <a:gd name="T19" fmla="*/ 3073 h 1116"/>
                                <a:gd name="T20" fmla="+- 0 5475 4377"/>
                                <a:gd name="T21" fmla="*/ T20 w 1413"/>
                                <a:gd name="T22" fmla="+- 0 3013 2071"/>
                                <a:gd name="T23" fmla="*/ 3013 h 1116"/>
                                <a:gd name="T24" fmla="+- 0 5524 4377"/>
                                <a:gd name="T25" fmla="*/ T24 w 1413"/>
                                <a:gd name="T26" fmla="+- 0 2951 2071"/>
                                <a:gd name="T27" fmla="*/ 2951 h 1116"/>
                                <a:gd name="T28" fmla="+- 0 5568 4377"/>
                                <a:gd name="T29" fmla="*/ T28 w 1413"/>
                                <a:gd name="T30" fmla="+- 0 2888 2071"/>
                                <a:gd name="T31" fmla="*/ 2888 h 1116"/>
                                <a:gd name="T32" fmla="+- 0 5609 4377"/>
                                <a:gd name="T33" fmla="*/ T32 w 1413"/>
                                <a:gd name="T34" fmla="+- 0 2822 2071"/>
                                <a:gd name="T35" fmla="*/ 2822 h 1116"/>
                                <a:gd name="T36" fmla="+- 0 5646 4377"/>
                                <a:gd name="T37" fmla="*/ T36 w 1413"/>
                                <a:gd name="T38" fmla="+- 0 2755 2071"/>
                                <a:gd name="T39" fmla="*/ 2755 h 1116"/>
                                <a:gd name="T40" fmla="+- 0 5678 4377"/>
                                <a:gd name="T41" fmla="*/ T40 w 1413"/>
                                <a:gd name="T42" fmla="+- 0 2686 2071"/>
                                <a:gd name="T43" fmla="*/ 2686 h 1116"/>
                                <a:gd name="T44" fmla="+- 0 5706 4377"/>
                                <a:gd name="T45" fmla="*/ T44 w 1413"/>
                                <a:gd name="T46" fmla="+- 0 2615 2071"/>
                                <a:gd name="T47" fmla="*/ 2615 h 1116"/>
                                <a:gd name="T48" fmla="+- 0 5731 4377"/>
                                <a:gd name="T49" fmla="*/ T48 w 1413"/>
                                <a:gd name="T50" fmla="+- 0 2543 2071"/>
                                <a:gd name="T51" fmla="*/ 2543 h 1116"/>
                                <a:gd name="T52" fmla="+- 0 5751 4377"/>
                                <a:gd name="T53" fmla="*/ T52 w 1413"/>
                                <a:gd name="T54" fmla="+- 0 2469 2071"/>
                                <a:gd name="T55" fmla="*/ 2469 h 1116"/>
                                <a:gd name="T56" fmla="+- 0 5766 4377"/>
                                <a:gd name="T57" fmla="*/ T56 w 1413"/>
                                <a:gd name="T58" fmla="+- 0 2393 2071"/>
                                <a:gd name="T59" fmla="*/ 2393 h 1116"/>
                                <a:gd name="T60" fmla="+- 0 5778 4377"/>
                                <a:gd name="T61" fmla="*/ T60 w 1413"/>
                                <a:gd name="T62" fmla="+- 0 2315 2071"/>
                                <a:gd name="T63" fmla="*/ 2315 h 1116"/>
                                <a:gd name="T64" fmla="+- 0 5786 4377"/>
                                <a:gd name="T65" fmla="*/ T64 w 1413"/>
                                <a:gd name="T66" fmla="+- 0 2235 2071"/>
                                <a:gd name="T67" fmla="*/ 2235 h 1116"/>
                                <a:gd name="T68" fmla="+- 0 5789 4377"/>
                                <a:gd name="T69" fmla="*/ T68 w 1413"/>
                                <a:gd name="T70" fmla="+- 0 2154 2071"/>
                                <a:gd name="T71" fmla="*/ 2154 h 1116"/>
                                <a:gd name="T72" fmla="+- 0 5788 4377"/>
                                <a:gd name="T73" fmla="*/ T72 w 1413"/>
                                <a:gd name="T74" fmla="+- 0 2071 2071"/>
                                <a:gd name="T75" fmla="*/ 2071 h 1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413" h="1116">
                                  <a:moveTo>
                                    <a:pt x="1411" y="0"/>
                                  </a:moveTo>
                                  <a:lnTo>
                                    <a:pt x="0" y="49"/>
                                  </a:lnTo>
                                  <a:lnTo>
                                    <a:pt x="926" y="1115"/>
                                  </a:lnTo>
                                  <a:lnTo>
                                    <a:pt x="987" y="1059"/>
                                  </a:lnTo>
                                  <a:lnTo>
                                    <a:pt x="1045" y="1002"/>
                                  </a:lnTo>
                                  <a:lnTo>
                                    <a:pt x="1098" y="942"/>
                                  </a:lnTo>
                                  <a:lnTo>
                                    <a:pt x="1147" y="880"/>
                                  </a:lnTo>
                                  <a:lnTo>
                                    <a:pt x="1191" y="817"/>
                                  </a:lnTo>
                                  <a:lnTo>
                                    <a:pt x="1232" y="751"/>
                                  </a:lnTo>
                                  <a:lnTo>
                                    <a:pt x="1269" y="684"/>
                                  </a:lnTo>
                                  <a:lnTo>
                                    <a:pt x="1301" y="615"/>
                                  </a:lnTo>
                                  <a:lnTo>
                                    <a:pt x="1329" y="544"/>
                                  </a:lnTo>
                                  <a:lnTo>
                                    <a:pt x="1354" y="472"/>
                                  </a:lnTo>
                                  <a:lnTo>
                                    <a:pt x="1374" y="398"/>
                                  </a:lnTo>
                                  <a:lnTo>
                                    <a:pt x="1389" y="322"/>
                                  </a:lnTo>
                                  <a:lnTo>
                                    <a:pt x="1401" y="244"/>
                                  </a:lnTo>
                                  <a:lnTo>
                                    <a:pt x="1409" y="164"/>
                                  </a:lnTo>
                                  <a:lnTo>
                                    <a:pt x="1412" y="83"/>
                                  </a:lnTo>
                                  <a:lnTo>
                                    <a:pt x="1411" y="0"/>
                                  </a:lnTo>
                                  <a:close/>
                                </a:path>
                              </a:pathLst>
                            </a:custGeom>
                            <a:solidFill>
                              <a:srgbClr val="C66D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04" name="Group 3221"/>
                        <wpg:cNvGrpSpPr>
                          <a:grpSpLocks/>
                        </wpg:cNvGrpSpPr>
                        <wpg:grpSpPr bwMode="auto">
                          <a:xfrm>
                            <a:off x="4377" y="744"/>
                            <a:ext cx="1412" cy="1377"/>
                            <a:chOff x="4377" y="744"/>
                            <a:chExt cx="1412" cy="1377"/>
                          </a:xfrm>
                        </wpg:grpSpPr>
                        <wps:wsp>
                          <wps:cNvPr id="3305" name="Freeform 3222"/>
                          <wps:cNvSpPr>
                            <a:spLocks/>
                          </wps:cNvSpPr>
                          <wps:spPr bwMode="auto">
                            <a:xfrm>
                              <a:off x="4377" y="744"/>
                              <a:ext cx="1412" cy="1377"/>
                            </a:xfrm>
                            <a:custGeom>
                              <a:avLst/>
                              <a:gdLst>
                                <a:gd name="T0" fmla="+- 0 4694 4377"/>
                                <a:gd name="T1" fmla="*/ T0 w 1412"/>
                                <a:gd name="T2" fmla="+- 0 744 744"/>
                                <a:gd name="T3" fmla="*/ 744 h 1377"/>
                                <a:gd name="T4" fmla="+- 0 4377 4377"/>
                                <a:gd name="T5" fmla="*/ T4 w 1412"/>
                                <a:gd name="T6" fmla="+- 0 2120 744"/>
                                <a:gd name="T7" fmla="*/ 2120 h 1377"/>
                                <a:gd name="T8" fmla="+- 0 5788 4377"/>
                                <a:gd name="T9" fmla="*/ T8 w 1412"/>
                                <a:gd name="T10" fmla="+- 0 2071 744"/>
                                <a:gd name="T11" fmla="*/ 2071 h 1377"/>
                                <a:gd name="T12" fmla="+- 0 5783 4377"/>
                                <a:gd name="T13" fmla="*/ T12 w 1412"/>
                                <a:gd name="T14" fmla="+- 0 1994 744"/>
                                <a:gd name="T15" fmla="*/ 1994 h 1377"/>
                                <a:gd name="T16" fmla="+- 0 5775 4377"/>
                                <a:gd name="T17" fmla="*/ T16 w 1412"/>
                                <a:gd name="T18" fmla="+- 0 1918 744"/>
                                <a:gd name="T19" fmla="*/ 1918 h 1377"/>
                                <a:gd name="T20" fmla="+- 0 5762 4377"/>
                                <a:gd name="T21" fmla="*/ T20 w 1412"/>
                                <a:gd name="T22" fmla="+- 0 1843 744"/>
                                <a:gd name="T23" fmla="*/ 1843 h 1377"/>
                                <a:gd name="T24" fmla="+- 0 5746 4377"/>
                                <a:gd name="T25" fmla="*/ T24 w 1412"/>
                                <a:gd name="T26" fmla="+- 0 1770 744"/>
                                <a:gd name="T27" fmla="*/ 1770 h 1377"/>
                                <a:gd name="T28" fmla="+- 0 5726 4377"/>
                                <a:gd name="T29" fmla="*/ T28 w 1412"/>
                                <a:gd name="T30" fmla="+- 0 1698 744"/>
                                <a:gd name="T31" fmla="*/ 1698 h 1377"/>
                                <a:gd name="T32" fmla="+- 0 5703 4377"/>
                                <a:gd name="T33" fmla="*/ T32 w 1412"/>
                                <a:gd name="T34" fmla="+- 0 1628 744"/>
                                <a:gd name="T35" fmla="*/ 1628 h 1377"/>
                                <a:gd name="T36" fmla="+- 0 5676 4377"/>
                                <a:gd name="T37" fmla="*/ T36 w 1412"/>
                                <a:gd name="T38" fmla="+- 0 1560 744"/>
                                <a:gd name="T39" fmla="*/ 1560 h 1377"/>
                                <a:gd name="T40" fmla="+- 0 5646 4377"/>
                                <a:gd name="T41" fmla="*/ T40 w 1412"/>
                                <a:gd name="T42" fmla="+- 0 1493 744"/>
                                <a:gd name="T43" fmla="*/ 1493 h 1377"/>
                                <a:gd name="T44" fmla="+- 0 5612 4377"/>
                                <a:gd name="T45" fmla="*/ T44 w 1412"/>
                                <a:gd name="T46" fmla="+- 0 1429 744"/>
                                <a:gd name="T47" fmla="*/ 1429 h 1377"/>
                                <a:gd name="T48" fmla="+- 0 5575 4377"/>
                                <a:gd name="T49" fmla="*/ T48 w 1412"/>
                                <a:gd name="T50" fmla="+- 0 1366 744"/>
                                <a:gd name="T51" fmla="*/ 1366 h 1377"/>
                                <a:gd name="T52" fmla="+- 0 5535 4377"/>
                                <a:gd name="T53" fmla="*/ T52 w 1412"/>
                                <a:gd name="T54" fmla="+- 0 1306 744"/>
                                <a:gd name="T55" fmla="*/ 1306 h 1377"/>
                                <a:gd name="T56" fmla="+- 0 5492 4377"/>
                                <a:gd name="T57" fmla="*/ T56 w 1412"/>
                                <a:gd name="T58" fmla="+- 0 1247 744"/>
                                <a:gd name="T59" fmla="*/ 1247 h 1377"/>
                                <a:gd name="T60" fmla="+- 0 5446 4377"/>
                                <a:gd name="T61" fmla="*/ T60 w 1412"/>
                                <a:gd name="T62" fmla="+- 0 1192 744"/>
                                <a:gd name="T63" fmla="*/ 1192 h 1377"/>
                                <a:gd name="T64" fmla="+- 0 5397 4377"/>
                                <a:gd name="T65" fmla="*/ T64 w 1412"/>
                                <a:gd name="T66" fmla="+- 0 1138 744"/>
                                <a:gd name="T67" fmla="*/ 1138 h 1377"/>
                                <a:gd name="T68" fmla="+- 0 5346 4377"/>
                                <a:gd name="T69" fmla="*/ T68 w 1412"/>
                                <a:gd name="T70" fmla="+- 0 1088 744"/>
                                <a:gd name="T71" fmla="*/ 1088 h 1377"/>
                                <a:gd name="T72" fmla="+- 0 5291 4377"/>
                                <a:gd name="T73" fmla="*/ T72 w 1412"/>
                                <a:gd name="T74" fmla="+- 0 1039 744"/>
                                <a:gd name="T75" fmla="*/ 1039 h 1377"/>
                                <a:gd name="T76" fmla="+- 0 5234 4377"/>
                                <a:gd name="T77" fmla="*/ T76 w 1412"/>
                                <a:gd name="T78" fmla="+- 0 994 744"/>
                                <a:gd name="T79" fmla="*/ 994 h 1377"/>
                                <a:gd name="T80" fmla="+- 0 5175 4377"/>
                                <a:gd name="T81" fmla="*/ T80 w 1412"/>
                                <a:gd name="T82" fmla="+- 0 952 744"/>
                                <a:gd name="T83" fmla="*/ 952 h 1377"/>
                                <a:gd name="T84" fmla="+- 0 5113 4377"/>
                                <a:gd name="T85" fmla="*/ T84 w 1412"/>
                                <a:gd name="T86" fmla="+- 0 912 744"/>
                                <a:gd name="T87" fmla="*/ 912 h 1377"/>
                                <a:gd name="T88" fmla="+- 0 5048 4377"/>
                                <a:gd name="T89" fmla="*/ T88 w 1412"/>
                                <a:gd name="T90" fmla="+- 0 876 744"/>
                                <a:gd name="T91" fmla="*/ 876 h 1377"/>
                                <a:gd name="T92" fmla="+- 0 4982 4377"/>
                                <a:gd name="T93" fmla="*/ T92 w 1412"/>
                                <a:gd name="T94" fmla="+- 0 843 744"/>
                                <a:gd name="T95" fmla="*/ 843 h 1377"/>
                                <a:gd name="T96" fmla="+- 0 4913 4377"/>
                                <a:gd name="T97" fmla="*/ T96 w 1412"/>
                                <a:gd name="T98" fmla="+- 0 813 744"/>
                                <a:gd name="T99" fmla="*/ 813 h 1377"/>
                                <a:gd name="T100" fmla="+- 0 4842 4377"/>
                                <a:gd name="T101" fmla="*/ T100 w 1412"/>
                                <a:gd name="T102" fmla="+- 0 786 744"/>
                                <a:gd name="T103" fmla="*/ 786 h 1377"/>
                                <a:gd name="T104" fmla="+- 0 4769 4377"/>
                                <a:gd name="T105" fmla="*/ T104 w 1412"/>
                                <a:gd name="T106" fmla="+- 0 763 744"/>
                                <a:gd name="T107" fmla="*/ 763 h 1377"/>
                                <a:gd name="T108" fmla="+- 0 4694 4377"/>
                                <a:gd name="T109" fmla="*/ T108 w 1412"/>
                                <a:gd name="T110" fmla="+- 0 744 744"/>
                                <a:gd name="T111" fmla="*/ 744 h 13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412" h="1377">
                                  <a:moveTo>
                                    <a:pt x="317" y="0"/>
                                  </a:moveTo>
                                  <a:lnTo>
                                    <a:pt x="0" y="1376"/>
                                  </a:lnTo>
                                  <a:lnTo>
                                    <a:pt x="1411" y="1327"/>
                                  </a:lnTo>
                                  <a:lnTo>
                                    <a:pt x="1406" y="1250"/>
                                  </a:lnTo>
                                  <a:lnTo>
                                    <a:pt x="1398" y="1174"/>
                                  </a:lnTo>
                                  <a:lnTo>
                                    <a:pt x="1385" y="1099"/>
                                  </a:lnTo>
                                  <a:lnTo>
                                    <a:pt x="1369" y="1026"/>
                                  </a:lnTo>
                                  <a:lnTo>
                                    <a:pt x="1349" y="954"/>
                                  </a:lnTo>
                                  <a:lnTo>
                                    <a:pt x="1326" y="884"/>
                                  </a:lnTo>
                                  <a:lnTo>
                                    <a:pt x="1299" y="816"/>
                                  </a:lnTo>
                                  <a:lnTo>
                                    <a:pt x="1269" y="749"/>
                                  </a:lnTo>
                                  <a:lnTo>
                                    <a:pt x="1235" y="685"/>
                                  </a:lnTo>
                                  <a:lnTo>
                                    <a:pt x="1198" y="622"/>
                                  </a:lnTo>
                                  <a:lnTo>
                                    <a:pt x="1158" y="562"/>
                                  </a:lnTo>
                                  <a:lnTo>
                                    <a:pt x="1115" y="503"/>
                                  </a:lnTo>
                                  <a:lnTo>
                                    <a:pt x="1069" y="448"/>
                                  </a:lnTo>
                                  <a:lnTo>
                                    <a:pt x="1020" y="394"/>
                                  </a:lnTo>
                                  <a:lnTo>
                                    <a:pt x="969" y="344"/>
                                  </a:lnTo>
                                  <a:lnTo>
                                    <a:pt x="914" y="295"/>
                                  </a:lnTo>
                                  <a:lnTo>
                                    <a:pt x="857" y="250"/>
                                  </a:lnTo>
                                  <a:lnTo>
                                    <a:pt x="798" y="208"/>
                                  </a:lnTo>
                                  <a:lnTo>
                                    <a:pt x="736" y="168"/>
                                  </a:lnTo>
                                  <a:lnTo>
                                    <a:pt x="671" y="132"/>
                                  </a:lnTo>
                                  <a:lnTo>
                                    <a:pt x="605" y="99"/>
                                  </a:lnTo>
                                  <a:lnTo>
                                    <a:pt x="536" y="69"/>
                                  </a:lnTo>
                                  <a:lnTo>
                                    <a:pt x="465" y="42"/>
                                  </a:lnTo>
                                  <a:lnTo>
                                    <a:pt x="392" y="19"/>
                                  </a:lnTo>
                                  <a:lnTo>
                                    <a:pt x="317" y="0"/>
                                  </a:lnTo>
                                  <a:close/>
                                </a:path>
                              </a:pathLst>
                            </a:custGeom>
                            <a:solidFill>
                              <a:srgbClr val="69B0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06" name="Group 3223"/>
                        <wpg:cNvGrpSpPr>
                          <a:grpSpLocks/>
                        </wpg:cNvGrpSpPr>
                        <wpg:grpSpPr bwMode="auto">
                          <a:xfrm>
                            <a:off x="4377" y="708"/>
                            <a:ext cx="318" cy="1413"/>
                            <a:chOff x="4377" y="708"/>
                            <a:chExt cx="318" cy="1413"/>
                          </a:xfrm>
                        </wpg:grpSpPr>
                        <wps:wsp>
                          <wps:cNvPr id="3307" name="Freeform 3224"/>
                          <wps:cNvSpPr>
                            <a:spLocks/>
                          </wps:cNvSpPr>
                          <wps:spPr bwMode="auto">
                            <a:xfrm>
                              <a:off x="4377" y="708"/>
                              <a:ext cx="318" cy="1413"/>
                            </a:xfrm>
                            <a:custGeom>
                              <a:avLst/>
                              <a:gdLst>
                                <a:gd name="T0" fmla="+- 0 4377 4377"/>
                                <a:gd name="T1" fmla="*/ T0 w 318"/>
                                <a:gd name="T2" fmla="+- 0 708 708"/>
                                <a:gd name="T3" fmla="*/ 708 h 1413"/>
                                <a:gd name="T4" fmla="+- 0 4377 4377"/>
                                <a:gd name="T5" fmla="*/ T4 w 318"/>
                                <a:gd name="T6" fmla="+- 0 2120 708"/>
                                <a:gd name="T7" fmla="*/ 2120 h 1413"/>
                                <a:gd name="T8" fmla="+- 0 4694 4377"/>
                                <a:gd name="T9" fmla="*/ T8 w 318"/>
                                <a:gd name="T10" fmla="+- 0 744 708"/>
                                <a:gd name="T11" fmla="*/ 744 h 1413"/>
                                <a:gd name="T12" fmla="+- 0 4614 4377"/>
                                <a:gd name="T13" fmla="*/ T12 w 318"/>
                                <a:gd name="T14" fmla="+- 0 728 708"/>
                                <a:gd name="T15" fmla="*/ 728 h 1413"/>
                                <a:gd name="T16" fmla="+- 0 4537 4377"/>
                                <a:gd name="T17" fmla="*/ T16 w 318"/>
                                <a:gd name="T18" fmla="+- 0 716 708"/>
                                <a:gd name="T19" fmla="*/ 716 h 1413"/>
                                <a:gd name="T20" fmla="+- 0 4459 4377"/>
                                <a:gd name="T21" fmla="*/ T20 w 318"/>
                                <a:gd name="T22" fmla="+- 0 710 708"/>
                                <a:gd name="T23" fmla="*/ 710 h 1413"/>
                                <a:gd name="T24" fmla="+- 0 4377 4377"/>
                                <a:gd name="T25" fmla="*/ T24 w 318"/>
                                <a:gd name="T26" fmla="+- 0 708 708"/>
                                <a:gd name="T27" fmla="*/ 708 h 1413"/>
                              </a:gdLst>
                              <a:ahLst/>
                              <a:cxnLst>
                                <a:cxn ang="0">
                                  <a:pos x="T1" y="T3"/>
                                </a:cxn>
                                <a:cxn ang="0">
                                  <a:pos x="T5" y="T7"/>
                                </a:cxn>
                                <a:cxn ang="0">
                                  <a:pos x="T9" y="T11"/>
                                </a:cxn>
                                <a:cxn ang="0">
                                  <a:pos x="T13" y="T15"/>
                                </a:cxn>
                                <a:cxn ang="0">
                                  <a:pos x="T17" y="T19"/>
                                </a:cxn>
                                <a:cxn ang="0">
                                  <a:pos x="T21" y="T23"/>
                                </a:cxn>
                                <a:cxn ang="0">
                                  <a:pos x="T25" y="T27"/>
                                </a:cxn>
                              </a:cxnLst>
                              <a:rect l="0" t="0" r="r" b="b"/>
                              <a:pathLst>
                                <a:path w="318" h="1413">
                                  <a:moveTo>
                                    <a:pt x="0" y="0"/>
                                  </a:moveTo>
                                  <a:lnTo>
                                    <a:pt x="0" y="1412"/>
                                  </a:lnTo>
                                  <a:lnTo>
                                    <a:pt x="317" y="36"/>
                                  </a:lnTo>
                                  <a:lnTo>
                                    <a:pt x="237" y="20"/>
                                  </a:lnTo>
                                  <a:lnTo>
                                    <a:pt x="160" y="8"/>
                                  </a:lnTo>
                                  <a:lnTo>
                                    <a:pt x="82" y="2"/>
                                  </a:lnTo>
                                  <a:lnTo>
                                    <a:pt x="0" y="0"/>
                                  </a:lnTo>
                                  <a:close/>
                                </a:path>
                              </a:pathLst>
                            </a:custGeom>
                            <a:solidFill>
                              <a:srgbClr val="009B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08" name="Group 3225"/>
                        <wpg:cNvGrpSpPr>
                          <a:grpSpLocks/>
                        </wpg:cNvGrpSpPr>
                        <wpg:grpSpPr bwMode="auto">
                          <a:xfrm>
                            <a:off x="4503" y="570"/>
                            <a:ext cx="320" cy="245"/>
                            <a:chOff x="4503" y="570"/>
                            <a:chExt cx="320" cy="245"/>
                          </a:xfrm>
                        </wpg:grpSpPr>
                        <wps:wsp>
                          <wps:cNvPr id="3309" name="Freeform 3226"/>
                          <wps:cNvSpPr>
                            <a:spLocks/>
                          </wps:cNvSpPr>
                          <wps:spPr bwMode="auto">
                            <a:xfrm>
                              <a:off x="4503" y="570"/>
                              <a:ext cx="320" cy="245"/>
                            </a:xfrm>
                            <a:custGeom>
                              <a:avLst/>
                              <a:gdLst>
                                <a:gd name="T0" fmla="+- 0 4822 4503"/>
                                <a:gd name="T1" fmla="*/ T0 w 320"/>
                                <a:gd name="T2" fmla="+- 0 570 570"/>
                                <a:gd name="T3" fmla="*/ 570 h 245"/>
                                <a:gd name="T4" fmla="+- 0 4562 4503"/>
                                <a:gd name="T5" fmla="*/ T4 w 320"/>
                                <a:gd name="T6" fmla="+- 0 570 570"/>
                                <a:gd name="T7" fmla="*/ 570 h 245"/>
                                <a:gd name="T8" fmla="+- 0 4503 4503"/>
                                <a:gd name="T9" fmla="*/ T8 w 320"/>
                                <a:gd name="T10" fmla="+- 0 815 570"/>
                                <a:gd name="T11" fmla="*/ 815 h 245"/>
                              </a:gdLst>
                              <a:ahLst/>
                              <a:cxnLst>
                                <a:cxn ang="0">
                                  <a:pos x="T1" y="T3"/>
                                </a:cxn>
                                <a:cxn ang="0">
                                  <a:pos x="T5" y="T7"/>
                                </a:cxn>
                                <a:cxn ang="0">
                                  <a:pos x="T9" y="T11"/>
                                </a:cxn>
                              </a:cxnLst>
                              <a:rect l="0" t="0" r="r" b="b"/>
                              <a:pathLst>
                                <a:path w="320" h="245">
                                  <a:moveTo>
                                    <a:pt x="319" y="0"/>
                                  </a:moveTo>
                                  <a:lnTo>
                                    <a:pt x="59" y="0"/>
                                  </a:lnTo>
                                  <a:lnTo>
                                    <a:pt x="0" y="245"/>
                                  </a:lnTo>
                                </a:path>
                              </a:pathLst>
                            </a:custGeom>
                            <a:noFill/>
                            <a:ln w="4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0" name="Text Box 3227"/>
                          <wps:cNvSpPr txBox="1">
                            <a:spLocks noChangeArrowheads="1"/>
                          </wps:cNvSpPr>
                          <wps:spPr bwMode="auto">
                            <a:xfrm>
                              <a:off x="231" y="247"/>
                              <a:ext cx="288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73C08" w14:textId="77777777" w:rsidR="006D19F2" w:rsidRDefault="006D19F2">
                                <w:pPr>
                                  <w:spacing w:line="179" w:lineRule="exact"/>
                                  <w:rPr>
                                    <w:rFonts w:eastAsia="Arial" w:cs="Arial"/>
                                    <w:sz w:val="18"/>
                                    <w:szCs w:val="18"/>
                                  </w:rPr>
                                </w:pPr>
                                <w:r>
                                  <w:rPr>
                                    <w:b/>
                                    <w:spacing w:val="-3"/>
                                    <w:w w:val="95"/>
                                    <w:sz w:val="18"/>
                                  </w:rPr>
                                  <w:t xml:space="preserve">Value </w:t>
                                </w:r>
                                <w:r>
                                  <w:rPr>
                                    <w:b/>
                                    <w:w w:val="95"/>
                                    <w:sz w:val="18"/>
                                  </w:rPr>
                                  <w:t>of investments (AUD</w:t>
                                </w:r>
                                <w:r>
                                  <w:rPr>
                                    <w:b/>
                                    <w:spacing w:val="-34"/>
                                    <w:w w:val="95"/>
                                    <w:sz w:val="18"/>
                                  </w:rPr>
                                  <w:t xml:space="preserve"> </w:t>
                                </w:r>
                                <w:r>
                                  <w:rPr>
                                    <w:b/>
                                    <w:w w:val="95"/>
                                    <w:sz w:val="18"/>
                                  </w:rPr>
                                  <w:t>millions)</w:t>
                                </w:r>
                              </w:p>
                            </w:txbxContent>
                          </wps:txbx>
                          <wps:bodyPr rot="0" vert="horz" wrap="square" lIns="0" tIns="0" rIns="0" bIns="0" anchor="t" anchorCtr="0" upright="1">
                            <a:noAutofit/>
                          </wps:bodyPr>
                        </wps:wsp>
                        <wps:wsp>
                          <wps:cNvPr id="3311" name="Text Box 3228"/>
                          <wps:cNvSpPr txBox="1">
                            <a:spLocks noChangeArrowheads="1"/>
                          </wps:cNvSpPr>
                          <wps:spPr bwMode="auto">
                            <a:xfrm>
                              <a:off x="4564" y="412"/>
                              <a:ext cx="266"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4847A" w14:textId="77777777" w:rsidR="006D19F2" w:rsidRDefault="006D19F2">
                                <w:pPr>
                                  <w:spacing w:line="140" w:lineRule="exact"/>
                                  <w:rPr>
                                    <w:rFonts w:eastAsia="Arial" w:cs="Arial"/>
                                    <w:sz w:val="14"/>
                                    <w:szCs w:val="14"/>
                                  </w:rPr>
                                </w:pPr>
                                <w:r>
                                  <w:rPr>
                                    <w:b/>
                                    <w:w w:val="90"/>
                                    <w:sz w:val="14"/>
                                  </w:rPr>
                                  <w:t>20%</w:t>
                                </w:r>
                              </w:p>
                            </w:txbxContent>
                          </wps:txbx>
                          <wps:bodyPr rot="0" vert="horz" wrap="square" lIns="0" tIns="0" rIns="0" bIns="0" anchor="t" anchorCtr="0" upright="1">
                            <a:noAutofit/>
                          </wps:bodyPr>
                        </wps:wsp>
                        <wps:wsp>
                          <wps:cNvPr id="3312" name="Text Box 3229"/>
                          <wps:cNvSpPr txBox="1">
                            <a:spLocks noChangeArrowheads="1"/>
                          </wps:cNvSpPr>
                          <wps:spPr bwMode="auto">
                            <a:xfrm>
                              <a:off x="3949" y="972"/>
                              <a:ext cx="391"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F4459" w14:textId="77777777" w:rsidR="006D19F2" w:rsidRDefault="006D19F2">
                                <w:pPr>
                                  <w:spacing w:line="140" w:lineRule="exact"/>
                                  <w:rPr>
                                    <w:rFonts w:eastAsia="Arial" w:cs="Arial"/>
                                    <w:sz w:val="14"/>
                                    <w:szCs w:val="14"/>
                                  </w:rPr>
                                </w:pPr>
                                <w:r>
                                  <w:rPr>
                                    <w:b/>
                                    <w:color w:val="FFFFFF"/>
                                    <w:w w:val="95"/>
                                    <w:sz w:val="14"/>
                                  </w:rPr>
                                  <w:t>35.2%</w:t>
                                </w:r>
                              </w:p>
                            </w:txbxContent>
                          </wps:txbx>
                          <wps:bodyPr rot="0" vert="horz" wrap="square" lIns="0" tIns="0" rIns="0" bIns="0" anchor="t" anchorCtr="0" upright="1">
                            <a:noAutofit/>
                          </wps:bodyPr>
                        </wps:wsp>
                        <wps:wsp>
                          <wps:cNvPr id="3313" name="Text Box 3230"/>
                          <wps:cNvSpPr txBox="1">
                            <a:spLocks noChangeArrowheads="1"/>
                          </wps:cNvSpPr>
                          <wps:spPr bwMode="auto">
                            <a:xfrm>
                              <a:off x="4843" y="1510"/>
                              <a:ext cx="475"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179AA" w14:textId="77777777" w:rsidR="006D19F2" w:rsidRDefault="006D19F2">
                                <w:pPr>
                                  <w:spacing w:line="140" w:lineRule="exact"/>
                                  <w:rPr>
                                    <w:rFonts w:eastAsia="Arial" w:cs="Arial"/>
                                    <w:sz w:val="14"/>
                                    <w:szCs w:val="14"/>
                                  </w:rPr>
                                </w:pPr>
                                <w:r>
                                  <w:rPr>
                                    <w:b/>
                                    <w:color w:val="FFFFFF"/>
                                    <w:w w:val="95"/>
                                    <w:sz w:val="14"/>
                                  </w:rPr>
                                  <w:t>112.3%</w:t>
                                </w:r>
                              </w:p>
                            </w:txbxContent>
                          </wps:txbx>
                          <wps:bodyPr rot="0" vert="horz" wrap="square" lIns="0" tIns="0" rIns="0" bIns="0" anchor="t" anchorCtr="0" upright="1">
                            <a:noAutofit/>
                          </wps:bodyPr>
                        </wps:wsp>
                        <wps:wsp>
                          <wps:cNvPr id="3314" name="Text Box 3231"/>
                          <wps:cNvSpPr txBox="1">
                            <a:spLocks noChangeArrowheads="1"/>
                          </wps:cNvSpPr>
                          <wps:spPr bwMode="auto">
                            <a:xfrm>
                              <a:off x="3461" y="2410"/>
                              <a:ext cx="475"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7B260" w14:textId="77777777" w:rsidR="006D19F2" w:rsidRDefault="006D19F2">
                                <w:pPr>
                                  <w:spacing w:line="140" w:lineRule="exact"/>
                                  <w:rPr>
                                    <w:rFonts w:eastAsia="Arial" w:cs="Arial"/>
                                    <w:sz w:val="14"/>
                                    <w:szCs w:val="14"/>
                                  </w:rPr>
                                </w:pPr>
                                <w:r>
                                  <w:rPr>
                                    <w:b/>
                                    <w:color w:val="FFFFFF"/>
                                    <w:w w:val="95"/>
                                    <w:sz w:val="14"/>
                                  </w:rPr>
                                  <w:t>296.8%</w:t>
                                </w:r>
                              </w:p>
                            </w:txbxContent>
                          </wps:txbx>
                          <wps:bodyPr rot="0" vert="horz" wrap="square" lIns="0" tIns="0" rIns="0" bIns="0" anchor="t" anchorCtr="0" upright="1">
                            <a:noAutofit/>
                          </wps:bodyPr>
                        </wps:wsp>
                        <wps:wsp>
                          <wps:cNvPr id="3315" name="Text Box 3232"/>
                          <wps:cNvSpPr txBox="1">
                            <a:spLocks noChangeArrowheads="1"/>
                          </wps:cNvSpPr>
                          <wps:spPr bwMode="auto">
                            <a:xfrm>
                              <a:off x="5040" y="2378"/>
                              <a:ext cx="391"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73D27" w14:textId="77777777" w:rsidR="006D19F2" w:rsidRDefault="006D19F2">
                                <w:pPr>
                                  <w:spacing w:line="140" w:lineRule="exact"/>
                                  <w:rPr>
                                    <w:rFonts w:eastAsia="Arial" w:cs="Arial"/>
                                    <w:sz w:val="14"/>
                                    <w:szCs w:val="14"/>
                                  </w:rPr>
                                </w:pPr>
                                <w:r>
                                  <w:rPr>
                                    <w:b/>
                                    <w:color w:val="FFFFFF"/>
                                    <w:w w:val="95"/>
                                    <w:sz w:val="14"/>
                                  </w:rPr>
                                  <w:t>77.8%</w:t>
                                </w:r>
                              </w:p>
                            </w:txbxContent>
                          </wps:txbx>
                          <wps:bodyPr rot="0" vert="horz" wrap="square" lIns="0" tIns="0" rIns="0" bIns="0" anchor="t" anchorCtr="0" upright="1">
                            <a:noAutofit/>
                          </wps:bodyPr>
                        </wps:wsp>
                        <wps:wsp>
                          <wps:cNvPr id="3316" name="Text Box 3233"/>
                          <wps:cNvSpPr txBox="1">
                            <a:spLocks noChangeArrowheads="1"/>
                          </wps:cNvSpPr>
                          <wps:spPr bwMode="auto">
                            <a:xfrm>
                              <a:off x="6163" y="2674"/>
                              <a:ext cx="1691" cy="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40CB1" w14:textId="77777777" w:rsidR="006D19F2" w:rsidRDefault="006D19F2" w:rsidP="00BC5572">
                                <w:pPr>
                                  <w:widowControl w:val="0"/>
                                  <w:numPr>
                                    <w:ilvl w:val="0"/>
                                    <w:numId w:val="15"/>
                                  </w:numPr>
                                  <w:tabs>
                                    <w:tab w:val="left" w:pos="283"/>
                                  </w:tabs>
                                  <w:spacing w:line="149" w:lineRule="exact"/>
                                  <w:ind w:hanging="282"/>
                                  <w:rPr>
                                    <w:rFonts w:ascii="Franklin Gothic Book" w:eastAsia="Franklin Gothic Book" w:hAnsi="Franklin Gothic Book" w:cs="Franklin Gothic Book"/>
                                    <w:color w:val="69B0D3"/>
                                    <w:sz w:val="14"/>
                                    <w:szCs w:val="14"/>
                                  </w:rPr>
                                </w:pPr>
                                <w:r>
                                  <w:rPr>
                                    <w:rFonts w:ascii="Franklin Gothic Book"/>
                                    <w:w w:val="105"/>
                                    <w:sz w:val="14"/>
                                  </w:rPr>
                                  <w:t>Asia regional</w:t>
                                </w:r>
                                <w:r>
                                  <w:rPr>
                                    <w:rFonts w:ascii="Franklin Gothic Book"/>
                                    <w:spacing w:val="-19"/>
                                    <w:w w:val="105"/>
                                    <w:sz w:val="14"/>
                                  </w:rPr>
                                  <w:t xml:space="preserve"> </w:t>
                                </w:r>
                                <w:r>
                                  <w:rPr>
                                    <w:rFonts w:ascii="Franklin Gothic Book"/>
                                    <w:w w:val="105"/>
                                    <w:sz w:val="14"/>
                                  </w:rPr>
                                  <w:t>112.8%</w:t>
                                </w:r>
                              </w:p>
                              <w:p w14:paraId="71E7E1E7" w14:textId="77777777" w:rsidR="006D19F2" w:rsidRDefault="006D19F2" w:rsidP="00BC5572">
                                <w:pPr>
                                  <w:widowControl w:val="0"/>
                                  <w:numPr>
                                    <w:ilvl w:val="0"/>
                                    <w:numId w:val="15"/>
                                  </w:numPr>
                                  <w:tabs>
                                    <w:tab w:val="left" w:pos="283"/>
                                  </w:tabs>
                                  <w:spacing w:before="20"/>
                                  <w:ind w:hanging="282"/>
                                  <w:rPr>
                                    <w:rFonts w:ascii="Franklin Gothic Book" w:eastAsia="Franklin Gothic Book" w:hAnsi="Franklin Gothic Book" w:cs="Franklin Gothic Book"/>
                                    <w:color w:val="C66D1A"/>
                                    <w:sz w:val="14"/>
                                    <w:szCs w:val="14"/>
                                  </w:rPr>
                                </w:pPr>
                                <w:r>
                                  <w:rPr>
                                    <w:rFonts w:ascii="Franklin Gothic Book"/>
                                    <w:sz w:val="14"/>
                                  </w:rPr>
                                  <w:t>Pacific  regional</w:t>
                                </w:r>
                                <w:r>
                                  <w:rPr>
                                    <w:rFonts w:ascii="Franklin Gothic Book"/>
                                    <w:spacing w:val="1"/>
                                    <w:sz w:val="14"/>
                                  </w:rPr>
                                  <w:t xml:space="preserve"> </w:t>
                                </w:r>
                                <w:r>
                                  <w:rPr>
                                    <w:rFonts w:ascii="Franklin Gothic Book"/>
                                    <w:sz w:val="14"/>
                                  </w:rPr>
                                  <w:t>77.8%</w:t>
                                </w:r>
                              </w:p>
                              <w:p w14:paraId="67D241A4" w14:textId="77777777" w:rsidR="006D19F2" w:rsidRDefault="006D19F2" w:rsidP="00BC5572">
                                <w:pPr>
                                  <w:widowControl w:val="0"/>
                                  <w:numPr>
                                    <w:ilvl w:val="0"/>
                                    <w:numId w:val="15"/>
                                  </w:numPr>
                                  <w:tabs>
                                    <w:tab w:val="left" w:pos="283"/>
                                  </w:tabs>
                                  <w:spacing w:before="20"/>
                                  <w:ind w:hanging="282"/>
                                  <w:rPr>
                                    <w:rFonts w:ascii="Franklin Gothic Book" w:eastAsia="Franklin Gothic Book" w:hAnsi="Franklin Gothic Book" w:cs="Franklin Gothic Book"/>
                                    <w:color w:val="0061A5"/>
                                    <w:sz w:val="14"/>
                                    <w:szCs w:val="14"/>
                                  </w:rPr>
                                </w:pPr>
                                <w:r>
                                  <w:rPr>
                                    <w:rFonts w:ascii="Franklin Gothic Book"/>
                                    <w:sz w:val="14"/>
                                  </w:rPr>
                                  <w:t>Pacific  country</w:t>
                                </w:r>
                                <w:r>
                                  <w:rPr>
                                    <w:rFonts w:ascii="Franklin Gothic Book"/>
                                    <w:spacing w:val="10"/>
                                    <w:sz w:val="14"/>
                                  </w:rPr>
                                  <w:t xml:space="preserve"> </w:t>
                                </w:r>
                                <w:r>
                                  <w:rPr>
                                    <w:rFonts w:ascii="Franklin Gothic Book"/>
                                    <w:sz w:val="14"/>
                                  </w:rPr>
                                  <w:t>296.8%</w:t>
                                </w:r>
                              </w:p>
                              <w:p w14:paraId="082D31FC" w14:textId="77777777" w:rsidR="006D19F2" w:rsidRDefault="006D19F2" w:rsidP="00BC5572">
                                <w:pPr>
                                  <w:widowControl w:val="0"/>
                                  <w:numPr>
                                    <w:ilvl w:val="0"/>
                                    <w:numId w:val="15"/>
                                  </w:numPr>
                                  <w:tabs>
                                    <w:tab w:val="left" w:pos="283"/>
                                  </w:tabs>
                                  <w:spacing w:before="20"/>
                                  <w:ind w:hanging="282"/>
                                  <w:rPr>
                                    <w:rFonts w:ascii="Franklin Gothic Book" w:eastAsia="Franklin Gothic Book" w:hAnsi="Franklin Gothic Book" w:cs="Franklin Gothic Book"/>
                                    <w:color w:val="F47521"/>
                                    <w:sz w:val="14"/>
                                    <w:szCs w:val="14"/>
                                  </w:rPr>
                                </w:pPr>
                                <w:r>
                                  <w:rPr>
                                    <w:rFonts w:ascii="Franklin Gothic Book"/>
                                    <w:w w:val="105"/>
                                    <w:sz w:val="14"/>
                                  </w:rPr>
                                  <w:t>Asia country</w:t>
                                </w:r>
                                <w:r>
                                  <w:rPr>
                                    <w:rFonts w:ascii="Franklin Gothic Book"/>
                                    <w:spacing w:val="-7"/>
                                    <w:w w:val="105"/>
                                    <w:sz w:val="14"/>
                                  </w:rPr>
                                  <w:t xml:space="preserve"> </w:t>
                                </w:r>
                                <w:r>
                                  <w:rPr>
                                    <w:rFonts w:ascii="Franklin Gothic Book"/>
                                    <w:w w:val="105"/>
                                    <w:sz w:val="14"/>
                                  </w:rPr>
                                  <w:t>35.2%</w:t>
                                </w:r>
                              </w:p>
                              <w:p w14:paraId="48E33842" w14:textId="77777777" w:rsidR="006D19F2" w:rsidRDefault="006D19F2" w:rsidP="00BC5572">
                                <w:pPr>
                                  <w:widowControl w:val="0"/>
                                  <w:numPr>
                                    <w:ilvl w:val="0"/>
                                    <w:numId w:val="15"/>
                                  </w:numPr>
                                  <w:tabs>
                                    <w:tab w:val="left" w:pos="283"/>
                                  </w:tabs>
                                  <w:spacing w:before="20" w:line="153" w:lineRule="exact"/>
                                  <w:ind w:hanging="282"/>
                                  <w:rPr>
                                    <w:rFonts w:ascii="Franklin Gothic Book" w:eastAsia="Franklin Gothic Book" w:hAnsi="Franklin Gothic Book" w:cs="Franklin Gothic Book"/>
                                    <w:color w:val="009BCD"/>
                                    <w:sz w:val="14"/>
                                    <w:szCs w:val="14"/>
                                  </w:rPr>
                                </w:pPr>
                                <w:r>
                                  <w:rPr>
                                    <w:rFonts w:ascii="Franklin Gothic Book"/>
                                    <w:sz w:val="14"/>
                                  </w:rPr>
                                  <w:t>Global</w:t>
                                </w:r>
                                <w:r>
                                  <w:rPr>
                                    <w:rFonts w:ascii="Franklin Gothic Book"/>
                                    <w:spacing w:val="14"/>
                                    <w:sz w:val="14"/>
                                  </w:rPr>
                                  <w:t xml:space="preserve"> </w:t>
                                </w:r>
                                <w:r>
                                  <w:rPr>
                                    <w:rFonts w:ascii="Franklin Gothic Book"/>
                                    <w:sz w:val="14"/>
                                  </w:rPr>
                                  <w:t>20%</w:t>
                                </w:r>
                              </w:p>
                            </w:txbxContent>
                          </wps:txbx>
                          <wps:bodyPr rot="0" vert="horz" wrap="square" lIns="0" tIns="0" rIns="0" bIns="0" anchor="t" anchorCtr="0" upright="1">
                            <a:noAutofit/>
                          </wps:bodyPr>
                        </wps:wsp>
                      </wpg:grpSp>
                    </wpg:wgp>
                  </a:graphicData>
                </a:graphic>
              </wp:inline>
            </w:drawing>
          </mc:Choice>
          <mc:Fallback xmlns:w15="http://schemas.microsoft.com/office/word/2012/wordml">
            <w:pict>
              <v:group w14:anchorId="13CCDA74" id="Group 3295" o:spid="_x0000_s1048" alt="Title: Australia’s investment in Trade Policy, Regulations and Facilitation 2005 to 2020 - Description: This figure shows the value of Australia’s Investment in Trade Policy, Regulations and Facilitation between 2005 and 2020.  It is allocated as follows: 296.8 million for Pacific countries, 112.8 million for Asia regional, 77.8 million for Pacific regional, 35.2 million for Asia countries and 20 million Global." style="width:437.7pt;height:190.4pt;mso-position-horizontal-relative:char;mso-position-vertical-relative:line" coordsize="8754,3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">
                <v:group id="Group 3213" o:spid="_x0000_s1049" style="position:absolute;width:8754;height:3808" coordsize="8754,38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0ApQsYAAADdAAAADwAAAGRycy9kb3ducmV2LnhtbESPT4vCMBTE7wv7HcJb&#10;8KZpFcWtRhHRZQ8i+AcWb4/m2Rabl9LEtn57Iwh7HGbmN8x82ZlSNFS7wrKCeBCBIE6tLjhTcD5t&#10;+1MQziNrLC2Tggc5WC4+P+aYaNvygZqjz0SAsEtQQe59lUjp0pwMuoGtiIN3tbVBH2SdSV1jG+Cm&#10;lMMomkiDBYeFHCta55Tejnej4KfFdjWKN83udl0/Lqfx/m8Xk1K9r241A+Gp8//hd/tXKxgNvy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QClCxgAAAN0A&#10;AAAPAAAAAAAAAAAAAAAAAKoCAABkcnMvZG93bnJldi54bWxQSwUGAAAAAAQABAD6AAAAnQMAAAAA&#10;">
                  <v:shape id="Freeform 3214" o:spid="_x0000_s1050" style="position:absolute;width:8754;height:3808;visibility:visible;mso-wrap-style:square;v-text-anchor:top" coordsize="8754,3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88mcYA&#10;AADdAAAADwAAAGRycy9kb3ducmV2LnhtbESPT2vCQBTE7wW/w/KE3uqmaakaXaUItj0V/4LHZ/Y1&#10;Cc2+jbtrjN/eFQo9DjPzG2Y670wtWnK+sqzgeZCAIM6trrhQsNsun0YgfEDWWFsmBVfyMJ/1HqaY&#10;aXvhNbWbUIgIYZ+hgjKEJpPS5yUZ9APbEEfvxzqDIUpXSO3wEuGmlmmSvEmDFceFEhtalJT/bs5G&#10;Qbta8enVn/ftEA/rZfrtPj/0UanHfvc+ARGoC//hv/aXVvCSjodwfxOf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88mcYAAADdAAAADwAAAAAAAAAAAAAAAACYAgAAZHJz&#10;L2Rvd25yZXYueG1sUEsFBgAAAAAEAAQA9QAAAIsDAAAAAA==&#10;" path="m,3807r8753,l8753,,,,,3807xe" fillcolor="#deeaf3" stroked="f">
                    <v:path arrowok="t" o:connecttype="custom" o:connectlocs="0,3807;8753,3807;8753,0;0,0;0,3807" o:connectangles="0,0,0,0,0"/>
                  </v:shape>
                </v:group>
                <v:group id="Group 3215" o:spid="_x0000_s1051" style="position:absolute;left:3802;top:708;width:575;height:1413" coordorigin="3802,708" coordsize="575,1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MYq8QAAADdAAAADwAAAGRycy9kb3ducmV2LnhtbERPy2rCQBTdF/yH4Qrd&#10;NZMYWmzqKCJWXEhBI5TuLplrEszcCZkxj7/vLApdHs57tRlNI3rqXG1ZQRLFIIgLq2suFVzzz5cl&#10;COeRNTaWScFEDjbr2dMKM20HPlN/8aUIIewyVFB532ZSuqIigy6yLXHgbrYz6APsSqk7HEK4aeQi&#10;jt+kwZpDQ4Ut7Soq7peHUXAYcNimyb4/3W+76Sd//fo+JaTU83zcfoDwNPp/8Z/7qBWki/c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MYq8QAAADdAAAA&#10;DwAAAAAAAAAAAAAAAACqAgAAZHJzL2Rvd25yZXYueG1sUEsFBgAAAAAEAAQA+gAAAJsDAAAAAA==&#10;">
                  <v:shape id="Freeform 3216" o:spid="_x0000_s1052" style="position:absolute;left:3802;top:708;width:575;height:1413;visibility:visible;mso-wrap-style:square;v-text-anchor:top" coordsize="575,1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GuXcYA&#10;AADdAAAADwAAAGRycy9kb3ducmV2LnhtbESPQWvCQBSE7wX/w/KE3uqmKkWjqwRR6kVKrdDrc/eZ&#10;hGbfhuyaRH+9Wyj0OMzMN8xy3dtKtNT40rGC11ECglg7U3Ku4PS1e5mB8AHZYOWYFNzIw3o1eFpi&#10;alzHn9QeQy4ihH2KCooQ6lRKrwuy6EeuJo7exTUWQ5RNLk2DXYTbSo6T5E1aLDkuFFjTpiD9c7xa&#10;Bfp7lh+yrN1u/UW/d/dzUn9MT0o9D/tsASJQH/7Df+29UTAZz+fw+yY+Ab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2GuXcYAAADdAAAADwAAAAAAAAAAAAAAAACYAgAAZHJz&#10;L2Rvd25yZXYueG1sUEsFBgAAAAAEAAQA9QAAAIsDAAAAAA==&#10;" path="m575,l489,2r-84,8l322,22,240,39,159,62,79,89,,122,575,1412,575,xe" fillcolor="#f47521" stroked="f">
                    <v:path arrowok="t" o:connecttype="custom" o:connectlocs="575,708;489,710;405,718;322,730;240,747;159,770;79,797;0,830;575,2120;575,708" o:connectangles="0,0,0,0,0,0,0,0,0,0"/>
                  </v:shape>
                </v:group>
                <v:group id="Group 3217" o:spid="_x0000_s1053" style="position:absolute;left:2964;top:830;width:2340;height:2703" coordorigin="2964,830" coordsize="2340,2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6Ot8QAAADdAAAADwAAAGRycy9kb3ducmV2LnhtbERPyWrDMBC9F/IPYgK9&#10;NbJrGoITJQTTlh5CIU6h5DZYE8vEGhlL9fL31aHQ4+Ptu8NkWzFQ7xvHCtJVAoK4crrhWsHX5e1p&#10;A8IHZI2tY1Iwk4fDfvGww1y7kc80lKEWMYR9jgpMCF0upa8MWfQr1xFH7uZ6iyHCvpa6xzGG21Y+&#10;J8laWmw4NhjsqDBU3csfq+B9xPGYpa/D6X4r5uvl5fP7lJJSj8vpuAURaAr/4j/3h1aQZUncH9/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Q6Ot8QAAADdAAAA&#10;DwAAAAAAAAAAAAAAAACqAgAAZHJzL2Rvd25yZXYueG1sUEsFBgAAAAAEAAQA+gAAAJsDAAAAAA==&#10;">
                  <v:shape id="Freeform 3218" o:spid="_x0000_s1054" style="position:absolute;left:2964;top:830;width:2340;height:2703;visibility:visible;mso-wrap-style:square;v-text-anchor:top" coordsize="2340,2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uQmMcA&#10;AADdAAAADwAAAGRycy9kb3ducmV2LnhtbESPQUvDQBSE70L/w/KEXsRsaiCE2G2RguKlLa0ientk&#10;X7PR7NuQ3bbrv3cLBY/DzHzDzJfR9uJEo+8cK5hlOQjixumOWwXvb8/3FQgfkDX2jknBL3lYLiY3&#10;c6y1O/OOTvvQigRhX6MCE8JQS+kbQxZ95gbi5B3caDEkObZSj3hOcNvLhzwvpcWO04LBgVaGmp/9&#10;0SqotsWL3FTlp7F36/hRHuIXfhulprfx6RFEoBj+w9f2q1ZQFPkML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bkJjHAAAA3QAAAA8AAAAAAAAAAAAAAAAAmAIAAGRy&#10;cy9kb3ducmV2LnhtbFBLBQYAAAAABAAEAPUAAACMAwAAAAA=&#10;" path="m838,l761,37,688,77r-69,44l552,170r-66,54l431,275r-52,53l330,383r-46,57l242,499r-38,60l168,621r-32,64l107,750,82,815,60,882,42,950r-15,68l15,1087r-8,70l2,1227,,1297r2,70l8,1437r9,69l29,1576r16,68l64,1712r23,68l114,1846r30,65l177,1975r37,63l255,2099r44,60l347,2217r50,55l450,2324r55,49l562,2419r59,42l682,2499r62,36l807,2567r65,29l938,2621r67,22l1072,2661r69,15l1210,2688r69,9l1349,2701r70,2l1489,2701r70,-6l1628,2686r70,-12l1766,2658r69,-19l1902,2616r66,-27l2034,2559r64,-33l2160,2489r62,-41l2281,2404r58,-48l1413,1290,838,xe" fillcolor="#0061a5" stroked="f">
                    <v:path arrowok="t" o:connecttype="custom" o:connectlocs="761,867;619,951;486,1054;379,1158;284,1270;204,1389;136,1515;82,1645;42,1780;15,1917;2,2057;2,2197;17,2336;45,2474;87,2610;144,2741;214,2868;299,2989;397,3102;505,3203;621,3291;744,3365;872,3426;1005,3473;1141,3506;1279,3527;1419,3533;1559,3525;1698,3504;1835,3469;1968,3419;2098,3356;2222,3278;2339,3186;838,830" o:connectangles="0,0,0,0,0,0,0,0,0,0,0,0,0,0,0,0,0,0,0,0,0,0,0,0,0,0,0,0,0,0,0,0,0,0,0"/>
                  </v:shape>
                </v:group>
                <v:group id="Group 3219" o:spid="_x0000_s1055" style="position:absolute;left:4377;top:2071;width:1413;height:1116" coordorigin="4377,2071" coordsize="1413,1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C1W8UAAADdAAAADwAAAGRycy9kb3ducmV2LnhtbESPQYvCMBSE7wv+h/AE&#10;b2tayy5SjSKi4kEWVgXx9miebbF5KU1s67/fLAgeh5n5hpkve1OJlhpXWlYQjyMQxJnVJecKzqft&#10;5xSE88gaK8uk4EkOlovBxxxTbTv+pfbocxEg7FJUUHhfp1K6rCCDbmxr4uDdbGPQB9nkUjfYBbip&#10;5CSKvqXBksNCgTWtC8rux4dRsOuwWyXxpj3cb+vn9fT1cznEpNRo2K9mIDz1/h1+tfdaQZJE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QtVvFAAAA3QAA&#10;AA8AAAAAAAAAAAAAAAAAqgIAAGRycy9kb3ducmV2LnhtbFBLBQYAAAAABAAEAPoAAACcAwAAAAA=&#10;">
                  <v:shape id="Freeform 3220" o:spid="_x0000_s1056" style="position:absolute;left:4377;top:2071;width:1413;height:1116;visibility:visible;mso-wrap-style:square;v-text-anchor:top" coordsize="1413,1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phP8UA&#10;AADdAAAADwAAAGRycy9kb3ducmV2LnhtbESPzW7CMBCE75X6DtYi9YKK3Ub9IcUgVEEEx9L2voqX&#10;xCVeh9gl4e1xJaQeRzPzjWa2GFwjTtQF61nDw0SBIC69sVxp+Ppc37+CCBHZYOOZNJwpwGJ+ezPD&#10;3PieP+i0i5VIEA45aqhjbHMpQ1mTwzDxLXHy9r5zGJPsKmk67BPcNfJRqWfp0HJaqLGl95rKw+7X&#10;aXhaf6sfW0yzI1rVbONL0a/GhdZ3o2H5BiLSEP/D1/bGaMgylcHfm/QE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OmE/xQAAAN0AAAAPAAAAAAAAAAAAAAAAAJgCAABkcnMv&#10;ZG93bnJldi54bWxQSwUGAAAAAAQABAD1AAAAigMAAAAA&#10;" path="m1411,l,49,926,1115r61,-56l1045,1002r53,-60l1147,880r44,-63l1232,751r37,-67l1301,615r28,-71l1354,472r20,-74l1389,322r12,-78l1409,164r3,-81l1411,xe" fillcolor="#c66d1a" stroked="f">
                    <v:path arrowok="t" o:connecttype="custom" o:connectlocs="1411,2071;0,2120;926,3186;987,3130;1045,3073;1098,3013;1147,2951;1191,2888;1232,2822;1269,2755;1301,2686;1329,2615;1354,2543;1374,2469;1389,2393;1401,2315;1409,2235;1412,2154;1411,2071" o:connectangles="0,0,0,0,0,0,0,0,0,0,0,0,0,0,0,0,0,0,0"/>
                  </v:shape>
                </v:group>
                <v:group id="Group 3221" o:spid="_x0000_s1057" style="position:absolute;left:4377;top:744;width:1412;height:1377" coordorigin="4377,744" coordsize="1412,1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WItMYAAADdAAAADwAAAGRycy9kb3ducmV2LnhtbESPT2vCQBTE7wW/w/KE&#10;3uomphWJriKipQcR/APi7ZF9JsHs25Bdk/jtuwWhx2FmfsPMl72pREuNKy0riEcRCOLM6pJzBefT&#10;9mMKwnlkjZVlUvAkB8vF4G2OqbYdH6g9+lwECLsUFRTe16mULivIoBvZmjh4N9sY9EE2udQNdgFu&#10;KjmOook0WHJYKLCmdUHZ/fgwCr477FZJvGl399v6eT197S+7mJR6H/arGQhPvf8Pv9o/WkGSRJ/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NYi0xgAAAN0A&#10;AAAPAAAAAAAAAAAAAAAAAKoCAABkcnMvZG93bnJldi54bWxQSwUGAAAAAAQABAD6AAAAnQMAAAAA&#10;">
                  <v:shape id="Freeform 3222" o:spid="_x0000_s1058" style="position:absolute;left:4377;top:744;width:1412;height:1377;visibility:visible;mso-wrap-style:square;v-text-anchor:top" coordsize="1412,1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an9cYA&#10;AADdAAAADwAAAGRycy9kb3ducmV2LnhtbESPQWsCMRSE7wX/Q3iCt5qoVNutUVQQe2gPXV16fWye&#10;m8XNy7KJuv33TaHQ4zAz3zDLde8acaMu1J41TMYKBHHpTc2VhtNx//gMIkRkg41n0vBNAdarwcMS&#10;M+Pv/Em3PFYiQThkqMHG2GZShtKSwzD2LXHyzr5zGJPsKmk6vCe4a+RUqbl0WHNasNjSzlJ5ya9O&#10;A7285/NzobZfvGkOu9Oi+KhtofVo2G9eQUTq43/4r/1mNMxm6gl+36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Ian9cYAAADdAAAADwAAAAAAAAAAAAAAAACYAgAAZHJz&#10;L2Rvd25yZXYueG1sUEsFBgAAAAAEAAQA9QAAAIsDAAAAAA==&#10;" path="m317,l,1376r1411,-49l1406,1250r-8,-76l1385,1099r-16,-73l1349,954r-23,-70l1299,816r-30,-67l1235,685r-37,-63l1158,562r-43,-59l1069,448r-49,-54l969,344,914,295,857,250,798,208,736,168,671,132,605,99,536,69,465,42,392,19,317,xe" fillcolor="#69b0d3" stroked="f">
                    <v:path arrowok="t" o:connecttype="custom" o:connectlocs="317,744;0,2120;1411,2071;1406,1994;1398,1918;1385,1843;1369,1770;1349,1698;1326,1628;1299,1560;1269,1493;1235,1429;1198,1366;1158,1306;1115,1247;1069,1192;1020,1138;969,1088;914,1039;857,994;798,952;736,912;671,876;605,843;536,813;465,786;392,763;317,744" o:connectangles="0,0,0,0,0,0,0,0,0,0,0,0,0,0,0,0,0,0,0,0,0,0,0,0,0,0,0,0"/>
                  </v:shape>
                </v:group>
                <v:group id="Group 3223" o:spid="_x0000_s1059" style="position:absolute;left:4377;top:708;width:318;height:1413" coordorigin="4377,708" coordsize="318,1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uzWMUAAADdAAAADwAAAGRycy9kb3ducmV2LnhtbESPQYvCMBSE7wv+h/AE&#10;b2tay4pUo4ioeJCFVUG8PZpnW2xeShPb+u/NwsIeh5n5hlmselOJlhpXWlYQjyMQxJnVJecKLufd&#10;5wyE88gaK8uk4EUOVsvBxwJTbTv+ofbkcxEg7FJUUHhfp1K6rCCDbmxr4uDdbWPQB9nkUjfYBbip&#10;5CSKptJgyWGhwJo2BWWP09Mo2HfYrZN42x4f983rdv76vh5jUmo07NdzEJ56/x/+ax+0giSJ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s1jFAAAA3QAA&#10;AA8AAAAAAAAAAAAAAAAAqgIAAGRycy9kb3ducmV2LnhtbFBLBQYAAAAABAAEAPoAAACcAwAAAAA=&#10;">
                  <v:shape id="Freeform 3224" o:spid="_x0000_s1060" style="position:absolute;left:4377;top:708;width:318;height:1413;visibility:visible;mso-wrap-style:square;v-text-anchor:top" coordsize="318,1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58mcYA&#10;AADdAAAADwAAAGRycy9kb3ducmV2LnhtbESP3WoCMRSE7wt9h3AKvSk1sQtqt0YpwoL0QvDnAU43&#10;p5ulm5NtEnV9+0YQvBxm5htmvhxcJ04UYutZw3ikQBDX3rTcaDjsq9cZiJiQDXaeScOFIiwXjw9z&#10;LI0/85ZOu9SIDOFYogabUl9KGWtLDuPI98TZ+/HBYcoyNNIEPGe46+SbUhPpsOW8YLGnlaX6d3d0&#10;Glb2m6bhvaoOL+1XtFv1t5kVE62fn4bPDxCJhnQP39pro6Eo1BSub/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58mcYAAADdAAAADwAAAAAAAAAAAAAAAACYAgAAZHJz&#10;L2Rvd25yZXYueG1sUEsFBgAAAAAEAAQA9QAAAIsDAAAAAA==&#10;" path="m,l,1412,317,36,237,20,160,8,82,2,,xe" fillcolor="#009bcd" stroked="f">
                    <v:path arrowok="t" o:connecttype="custom" o:connectlocs="0,708;0,2120;317,744;237,728;160,716;82,710;0,708" o:connectangles="0,0,0,0,0,0,0"/>
                  </v:shape>
                </v:group>
                <v:group id="Group 3225" o:spid="_x0000_s1061" style="position:absolute;left:4503;top:570;width:320;height:245" coordorigin="4503,570" coordsize="320,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iCscQAAADdAAAADwAAAGRycy9kb3ducmV2LnhtbERPyWrDMBC9F/IPYgK9&#10;NbJrGoITJQTTlh5CIU6h5DZYE8vEGhlL9fL31aHQ4+Ptu8NkWzFQ7xvHCtJVAoK4crrhWsHX5e1p&#10;A8IHZI2tY1Iwk4fDfvGww1y7kc80lKEWMYR9jgpMCF0upa8MWfQr1xFH7uZ6iyHCvpa6xzGG21Y+&#10;J8laWmw4NhjsqDBU3csfq+B9xPGYpa/D6X4r5uvl5fP7lJJSj8vpuAURaAr/4j/3h1aQZUmcG9/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iCscQAAADdAAAA&#10;DwAAAAAAAAAAAAAAAACqAgAAZHJzL2Rvd25yZXYueG1sUEsFBgAAAAAEAAQA+gAAAJsDAAAAAA==&#10;">
                  <v:shape id="Freeform 3226" o:spid="_x0000_s1062" style="position:absolute;left:4503;top:570;width:320;height:245;visibility:visible;mso-wrap-style:square;v-text-anchor:top" coordsize="320,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xSsYA&#10;AADdAAAADwAAAGRycy9kb3ducmV2LnhtbESPQUvDQBSE70L/w/IEL6Hd1ILY2G0pRcFbaSuit2f2&#10;maRm34bdZxL/vVsQPA4z8w2z2oyuVT2F2Hg2MJ/loIhLbxuuDLycnqb3oKIgW2w9k4EfirBZT65W&#10;WFg/8IH6o1QqQTgWaKAW6QqtY1mTwzjzHXHyPn1wKEmGStuAQ4K7Vt/m+Z122HBaqLGjXU3l1/Hb&#10;GZCwfz+/ZtJ/ZG/nuW2zbfa4H4y5uR63D6CERvkP/7WfrYHFIl/C5U16An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BxSsYAAADdAAAADwAAAAAAAAAAAAAAAACYAgAAZHJz&#10;L2Rvd25yZXYueG1sUEsFBgAAAAAEAAQA9QAAAIsDAAAAAA==&#10;" path="m319,l59,,,245e" filled="f" strokeweight=".1231mm">
                    <v:path arrowok="t" o:connecttype="custom" o:connectlocs="319,570;59,570;0,815" o:connectangles="0,0,0"/>
                  </v:shape>
                  <v:shape id="Text Box 3227" o:spid="_x0000_s1063" type="#_x0000_t202" style="position:absolute;left:231;top:247;width:2889;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UQscQA&#10;AADdAAAADwAAAGRycy9kb3ducmV2LnhtbERPz2vCMBS+D/Y/hDfYbaZdQWZnKiITBoNhrQePb82z&#10;DW1eahO1+++Xg7Djx/d7uZpsL640euNYQTpLQBDXThtuFByq7csbCB+QNfaOScEveVgVjw9LzLW7&#10;cUnXfWhEDGGfo4I2hCGX0tctWfQzNxBH7uRGiyHCsZF6xFsMt718TZK5tGg4NrQ40KaluttfrIL1&#10;kcsPc/7+2ZWn0lTVIuGveafU89O0fgcRaAr/4rv7UyvIsjTuj2/iE5D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VELHEAAAA3QAAAA8AAAAAAAAAAAAAAAAAmAIAAGRycy9k&#10;b3ducmV2LnhtbFBLBQYAAAAABAAEAPUAAACJAwAAAAA=&#10;" filled="f" stroked="f">
                    <v:textbox inset="0,0,0,0">
                      <w:txbxContent>
                        <w:p w14:paraId="36673C08" w14:textId="77777777" w:rsidR="006D19F2" w:rsidRDefault="006D19F2">
                          <w:pPr>
                            <w:spacing w:line="179" w:lineRule="exact"/>
                            <w:rPr>
                              <w:rFonts w:eastAsia="Arial" w:cs="Arial"/>
                              <w:sz w:val="18"/>
                              <w:szCs w:val="18"/>
                            </w:rPr>
                          </w:pPr>
                          <w:r>
                            <w:rPr>
                              <w:b/>
                              <w:spacing w:val="-3"/>
                              <w:w w:val="95"/>
                              <w:sz w:val="18"/>
                            </w:rPr>
                            <w:t xml:space="preserve">Value </w:t>
                          </w:r>
                          <w:r>
                            <w:rPr>
                              <w:b/>
                              <w:w w:val="95"/>
                              <w:sz w:val="18"/>
                            </w:rPr>
                            <w:t>of investments (AUD</w:t>
                          </w:r>
                          <w:r>
                            <w:rPr>
                              <w:b/>
                              <w:spacing w:val="-34"/>
                              <w:w w:val="95"/>
                              <w:sz w:val="18"/>
                            </w:rPr>
                            <w:t xml:space="preserve"> </w:t>
                          </w:r>
                          <w:r>
                            <w:rPr>
                              <w:b/>
                              <w:w w:val="95"/>
                              <w:sz w:val="18"/>
                            </w:rPr>
                            <w:t>millions)</w:t>
                          </w:r>
                        </w:p>
                      </w:txbxContent>
                    </v:textbox>
                  </v:shape>
                  <v:shape id="Text Box 3228" o:spid="_x0000_s1064" type="#_x0000_t202" style="position:absolute;left:4564;top:412;width:266;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m1KsUA&#10;AADdAAAADwAAAGRycy9kb3ducmV2LnhtbESPQWvCQBSE74L/YXlCb7pJBanRVUQqFAqlMR48PrPP&#10;ZDH7NmZXTf99t1DwOMzMN8xy3dtG3KnzxrGCdJKAIC6dNlwpOBS78RsIH5A1No5JwQ95WK+GgyVm&#10;2j04p/s+VCJC2GeooA6hzaT0ZU0W/cS1xNE7u85iiLKrpO7wEeG2ka9JMpMWDceFGlva1lRe9jer&#10;YHPk/N1cv07f+Tk3RTFP+HN2Uepl1G8WIAL14Rn+b39oBdNpmsL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mbUqxQAAAN0AAAAPAAAAAAAAAAAAAAAAAJgCAABkcnMv&#10;ZG93bnJldi54bWxQSwUGAAAAAAQABAD1AAAAigMAAAAA&#10;" filled="f" stroked="f">
                    <v:textbox inset="0,0,0,0">
                      <w:txbxContent>
                        <w:p w14:paraId="3504847A" w14:textId="77777777" w:rsidR="006D19F2" w:rsidRDefault="006D19F2">
                          <w:pPr>
                            <w:spacing w:line="140" w:lineRule="exact"/>
                            <w:rPr>
                              <w:rFonts w:eastAsia="Arial" w:cs="Arial"/>
                              <w:sz w:val="14"/>
                              <w:szCs w:val="14"/>
                            </w:rPr>
                          </w:pPr>
                          <w:r>
                            <w:rPr>
                              <w:b/>
                              <w:w w:val="90"/>
                              <w:sz w:val="14"/>
                            </w:rPr>
                            <w:t>20%</w:t>
                          </w:r>
                        </w:p>
                      </w:txbxContent>
                    </v:textbox>
                  </v:shape>
                  <v:shape id="Text Box 3229" o:spid="_x0000_s1065" type="#_x0000_t202" style="position:absolute;left:3949;top:972;width:391;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srXcUA&#10;AADdAAAADwAAAGRycy9kb3ducmV2LnhtbESPQWvCQBSE70L/w/KE3nSjgmh0FSkWCgUxxkOPr9ln&#10;sph9G7NbTf+9Kwgeh5n5hlmuO1uLK7XeOFYwGiYgiAunDZcKjvnnYAbCB2SNtWNS8E8e1qu33hJT&#10;7W6c0fUQShEh7FNUUIXQpFL6oiKLfuga4uidXGsxRNmWUrd4i3Bby3GSTKVFw3GhwoY+KirOhz+r&#10;YPPD2dZcdr/77JSZPJ8n/D09K/Xe7zYLEIG68Ao/219awWQyGsPjTX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SytdxQAAAN0AAAAPAAAAAAAAAAAAAAAAAJgCAABkcnMv&#10;ZG93bnJldi54bWxQSwUGAAAAAAQABAD1AAAAigMAAAAA&#10;" filled="f" stroked="f">
                    <v:textbox inset="0,0,0,0">
                      <w:txbxContent>
                        <w:p w14:paraId="050F4459" w14:textId="77777777" w:rsidR="006D19F2" w:rsidRDefault="006D19F2">
                          <w:pPr>
                            <w:spacing w:line="140" w:lineRule="exact"/>
                            <w:rPr>
                              <w:rFonts w:eastAsia="Arial" w:cs="Arial"/>
                              <w:sz w:val="14"/>
                              <w:szCs w:val="14"/>
                            </w:rPr>
                          </w:pPr>
                          <w:r>
                            <w:rPr>
                              <w:b/>
                              <w:color w:val="FFFFFF"/>
                              <w:w w:val="95"/>
                              <w:sz w:val="14"/>
                            </w:rPr>
                            <w:t>35.2%</w:t>
                          </w:r>
                        </w:p>
                      </w:txbxContent>
                    </v:textbox>
                  </v:shape>
                  <v:shape id="Text Box 3230" o:spid="_x0000_s1066" type="#_x0000_t202" style="position:absolute;left:4843;top:1510;width:475;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eOxsUA&#10;AADdAAAADwAAAGRycy9kb3ducmV2LnhtbESPQWvCQBSE74X+h+UVvNWNBqSNriKiIAjFmB56fGaf&#10;yWL2bcyuGv99Vyj0OMzMN8xs0dtG3KjzxrGC0TABQVw6bbhS8F1s3j9A+ICssXFMCh7kYTF/fZlh&#10;pt2dc7odQiUihH2GCuoQ2kxKX9Zk0Q9dSxy9k+sshii7SuoO7xFuGzlOkom0aDgu1NjSqqbyfLha&#10;Bcsfztfm8nXc56fcFMVnwrvJWanBW7+cggjUh//wX3urFaTpKIXnm/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B47GxQAAAN0AAAAPAAAAAAAAAAAAAAAAAJgCAABkcnMv&#10;ZG93bnJldi54bWxQSwUGAAAAAAQABAD1AAAAigMAAAAA&#10;" filled="f" stroked="f">
                    <v:textbox inset="0,0,0,0">
                      <w:txbxContent>
                        <w:p w14:paraId="4BB179AA" w14:textId="77777777" w:rsidR="006D19F2" w:rsidRDefault="006D19F2">
                          <w:pPr>
                            <w:spacing w:line="140" w:lineRule="exact"/>
                            <w:rPr>
                              <w:rFonts w:eastAsia="Arial" w:cs="Arial"/>
                              <w:sz w:val="14"/>
                              <w:szCs w:val="14"/>
                            </w:rPr>
                          </w:pPr>
                          <w:r>
                            <w:rPr>
                              <w:b/>
                              <w:color w:val="FFFFFF"/>
                              <w:w w:val="95"/>
                              <w:sz w:val="14"/>
                            </w:rPr>
                            <w:t>112.3%</w:t>
                          </w:r>
                        </w:p>
                      </w:txbxContent>
                    </v:textbox>
                  </v:shape>
                  <v:shape id="Text Box 3231" o:spid="_x0000_s1067" type="#_x0000_t202" style="position:absolute;left:3461;top:2410;width:475;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WssYA&#10;AADdAAAADwAAAGRycy9kb3ducmV2LnhtbESPQWvCQBSE7wX/w/IEb3WjFtHoKiIVhEJpjAePz+wz&#10;Wcy+TbOrpv++Wyh4HGbmG2a57mwt7tR641jBaJiAIC6cNlwqOOa71xkIH5A11o5JwQ95WK96L0tM&#10;tXtwRvdDKEWEsE9RQRVCk0rpi4os+qFriKN3ca3FEGVbSt3iI8JtLcdJMpUWDceFChvaVlRcDzer&#10;YHPi7N18f56/sktm8nye8Mf0qtSg320WIAJ14Rn+b++1gslk9AZ/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WssYAAADdAAAADwAAAAAAAAAAAAAAAACYAgAAZHJz&#10;L2Rvd25yZXYueG1sUEsFBgAAAAAEAAQA9QAAAIsDAAAAAA==&#10;" filled="f" stroked="f">
                    <v:textbox inset="0,0,0,0">
                      <w:txbxContent>
                        <w:p w14:paraId="6317B260" w14:textId="77777777" w:rsidR="006D19F2" w:rsidRDefault="006D19F2">
                          <w:pPr>
                            <w:spacing w:line="140" w:lineRule="exact"/>
                            <w:rPr>
                              <w:rFonts w:eastAsia="Arial" w:cs="Arial"/>
                              <w:sz w:val="14"/>
                              <w:szCs w:val="14"/>
                            </w:rPr>
                          </w:pPr>
                          <w:r>
                            <w:rPr>
                              <w:b/>
                              <w:color w:val="FFFFFF"/>
                              <w:w w:val="95"/>
                              <w:sz w:val="14"/>
                            </w:rPr>
                            <w:t>296.8%</w:t>
                          </w:r>
                        </w:p>
                      </w:txbxContent>
                    </v:textbox>
                  </v:shape>
                  <v:shape id="Text Box 3232" o:spid="_x0000_s1068" type="#_x0000_t202" style="position:absolute;left:5040;top:2378;width:391;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KzKcYA&#10;AADdAAAADwAAAGRycy9kb3ducmV2LnhtbESPQWvCQBSE7wX/w/IEb3WjUtHoKiIVhEJpjAePz+wz&#10;Wcy+TbOrpv++Wyh4HGbmG2a57mwt7tR641jBaJiAIC6cNlwqOOa71xkIH5A11o5JwQ95WK96L0tM&#10;tXtwRvdDKEWEsE9RQRVCk0rpi4os+qFriKN3ca3FEGVbSt3iI8JtLcdJMpUWDceFChvaVlRcDzer&#10;YHPi7N18f56/sktm8nye8Mf0qtSg320WIAJ14Rn+b++1gslk9AZ/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KzKcYAAADdAAAADwAAAAAAAAAAAAAAAACYAgAAZHJz&#10;L2Rvd25yZXYueG1sUEsFBgAAAAAEAAQA9QAAAIsDAAAAAA==&#10;" filled="f" stroked="f">
                    <v:textbox inset="0,0,0,0">
                      <w:txbxContent>
                        <w:p w14:paraId="1A473D27" w14:textId="77777777" w:rsidR="006D19F2" w:rsidRDefault="006D19F2">
                          <w:pPr>
                            <w:spacing w:line="140" w:lineRule="exact"/>
                            <w:rPr>
                              <w:rFonts w:eastAsia="Arial" w:cs="Arial"/>
                              <w:sz w:val="14"/>
                              <w:szCs w:val="14"/>
                            </w:rPr>
                          </w:pPr>
                          <w:r>
                            <w:rPr>
                              <w:b/>
                              <w:color w:val="FFFFFF"/>
                              <w:w w:val="95"/>
                              <w:sz w:val="14"/>
                            </w:rPr>
                            <w:t>77.8%</w:t>
                          </w:r>
                        </w:p>
                      </w:txbxContent>
                    </v:textbox>
                  </v:shape>
                  <v:shape id="Text Box 3233" o:spid="_x0000_s1069" type="#_x0000_t202" style="position:absolute;left:6163;top:2674;width:1691;height: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AtXsUA&#10;AADdAAAADwAAAGRycy9kb3ducmV2LnhtbESPQWvCQBSE74L/YXlCb7qxQqjRVUQqFAqlMR48PrPP&#10;ZDH7NmZXTf99t1DwOMzMN8xy3dtG3KnzxrGC6SQBQVw6bbhScCh24zcQPiBrbByTgh/ysF4NB0vM&#10;tHtwTvd9qESEsM9QQR1Cm0npy5os+olriaN3dp3FEGVXSd3hI8JtI1+TJJUWDceFGlva1lRe9jer&#10;YHPk/N1cv07f+Tk3RTFP+DO9KPUy6jcLEIH68Az/tz+0gtlsmsL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cC1exQAAAN0AAAAPAAAAAAAAAAAAAAAAAJgCAABkcnMv&#10;ZG93bnJldi54bWxQSwUGAAAAAAQABAD1AAAAigMAAAAA&#10;" filled="f" stroked="f">
                    <v:textbox inset="0,0,0,0">
                      <w:txbxContent>
                        <w:p w14:paraId="71840CB1" w14:textId="77777777" w:rsidR="006D19F2" w:rsidRDefault="006D19F2" w:rsidP="00BC5572">
                          <w:pPr>
                            <w:widowControl w:val="0"/>
                            <w:numPr>
                              <w:ilvl w:val="0"/>
                              <w:numId w:val="15"/>
                            </w:numPr>
                            <w:tabs>
                              <w:tab w:val="left" w:pos="283"/>
                            </w:tabs>
                            <w:spacing w:line="149" w:lineRule="exact"/>
                            <w:ind w:hanging="282"/>
                            <w:rPr>
                              <w:rFonts w:ascii="Franklin Gothic Book" w:eastAsia="Franklin Gothic Book" w:hAnsi="Franklin Gothic Book" w:cs="Franklin Gothic Book"/>
                              <w:color w:val="69B0D3"/>
                              <w:sz w:val="14"/>
                              <w:szCs w:val="14"/>
                            </w:rPr>
                          </w:pPr>
                          <w:r>
                            <w:rPr>
                              <w:rFonts w:ascii="Franklin Gothic Book"/>
                              <w:w w:val="105"/>
                              <w:sz w:val="14"/>
                            </w:rPr>
                            <w:t>Asia regional</w:t>
                          </w:r>
                          <w:r>
                            <w:rPr>
                              <w:rFonts w:ascii="Franklin Gothic Book"/>
                              <w:spacing w:val="-19"/>
                              <w:w w:val="105"/>
                              <w:sz w:val="14"/>
                            </w:rPr>
                            <w:t xml:space="preserve"> </w:t>
                          </w:r>
                          <w:r>
                            <w:rPr>
                              <w:rFonts w:ascii="Franklin Gothic Book"/>
                              <w:w w:val="105"/>
                              <w:sz w:val="14"/>
                            </w:rPr>
                            <w:t>112.8%</w:t>
                          </w:r>
                        </w:p>
                        <w:p w14:paraId="71E7E1E7" w14:textId="77777777" w:rsidR="006D19F2" w:rsidRDefault="006D19F2" w:rsidP="00BC5572">
                          <w:pPr>
                            <w:widowControl w:val="0"/>
                            <w:numPr>
                              <w:ilvl w:val="0"/>
                              <w:numId w:val="15"/>
                            </w:numPr>
                            <w:tabs>
                              <w:tab w:val="left" w:pos="283"/>
                            </w:tabs>
                            <w:spacing w:before="20"/>
                            <w:ind w:hanging="282"/>
                            <w:rPr>
                              <w:rFonts w:ascii="Franklin Gothic Book" w:eastAsia="Franklin Gothic Book" w:hAnsi="Franklin Gothic Book" w:cs="Franklin Gothic Book"/>
                              <w:color w:val="C66D1A"/>
                              <w:sz w:val="14"/>
                              <w:szCs w:val="14"/>
                            </w:rPr>
                          </w:pPr>
                          <w:r>
                            <w:rPr>
                              <w:rFonts w:ascii="Franklin Gothic Book"/>
                              <w:sz w:val="14"/>
                            </w:rPr>
                            <w:t>Pacific  regional</w:t>
                          </w:r>
                          <w:r>
                            <w:rPr>
                              <w:rFonts w:ascii="Franklin Gothic Book"/>
                              <w:spacing w:val="1"/>
                              <w:sz w:val="14"/>
                            </w:rPr>
                            <w:t xml:space="preserve"> </w:t>
                          </w:r>
                          <w:r>
                            <w:rPr>
                              <w:rFonts w:ascii="Franklin Gothic Book"/>
                              <w:sz w:val="14"/>
                            </w:rPr>
                            <w:t>77.8%</w:t>
                          </w:r>
                        </w:p>
                        <w:p w14:paraId="67D241A4" w14:textId="77777777" w:rsidR="006D19F2" w:rsidRDefault="006D19F2" w:rsidP="00BC5572">
                          <w:pPr>
                            <w:widowControl w:val="0"/>
                            <w:numPr>
                              <w:ilvl w:val="0"/>
                              <w:numId w:val="15"/>
                            </w:numPr>
                            <w:tabs>
                              <w:tab w:val="left" w:pos="283"/>
                            </w:tabs>
                            <w:spacing w:before="20"/>
                            <w:ind w:hanging="282"/>
                            <w:rPr>
                              <w:rFonts w:ascii="Franklin Gothic Book" w:eastAsia="Franklin Gothic Book" w:hAnsi="Franklin Gothic Book" w:cs="Franklin Gothic Book"/>
                              <w:color w:val="0061A5"/>
                              <w:sz w:val="14"/>
                              <w:szCs w:val="14"/>
                            </w:rPr>
                          </w:pPr>
                          <w:r>
                            <w:rPr>
                              <w:rFonts w:ascii="Franklin Gothic Book"/>
                              <w:sz w:val="14"/>
                            </w:rPr>
                            <w:t>Pacific  country</w:t>
                          </w:r>
                          <w:r>
                            <w:rPr>
                              <w:rFonts w:ascii="Franklin Gothic Book"/>
                              <w:spacing w:val="10"/>
                              <w:sz w:val="14"/>
                            </w:rPr>
                            <w:t xml:space="preserve"> </w:t>
                          </w:r>
                          <w:r>
                            <w:rPr>
                              <w:rFonts w:ascii="Franklin Gothic Book"/>
                              <w:sz w:val="14"/>
                            </w:rPr>
                            <w:t>296.8%</w:t>
                          </w:r>
                        </w:p>
                        <w:p w14:paraId="082D31FC" w14:textId="77777777" w:rsidR="006D19F2" w:rsidRDefault="006D19F2" w:rsidP="00BC5572">
                          <w:pPr>
                            <w:widowControl w:val="0"/>
                            <w:numPr>
                              <w:ilvl w:val="0"/>
                              <w:numId w:val="15"/>
                            </w:numPr>
                            <w:tabs>
                              <w:tab w:val="left" w:pos="283"/>
                            </w:tabs>
                            <w:spacing w:before="20"/>
                            <w:ind w:hanging="282"/>
                            <w:rPr>
                              <w:rFonts w:ascii="Franklin Gothic Book" w:eastAsia="Franklin Gothic Book" w:hAnsi="Franklin Gothic Book" w:cs="Franklin Gothic Book"/>
                              <w:color w:val="F47521"/>
                              <w:sz w:val="14"/>
                              <w:szCs w:val="14"/>
                            </w:rPr>
                          </w:pPr>
                          <w:r>
                            <w:rPr>
                              <w:rFonts w:ascii="Franklin Gothic Book"/>
                              <w:w w:val="105"/>
                              <w:sz w:val="14"/>
                            </w:rPr>
                            <w:t>Asia country</w:t>
                          </w:r>
                          <w:r>
                            <w:rPr>
                              <w:rFonts w:ascii="Franklin Gothic Book"/>
                              <w:spacing w:val="-7"/>
                              <w:w w:val="105"/>
                              <w:sz w:val="14"/>
                            </w:rPr>
                            <w:t xml:space="preserve"> </w:t>
                          </w:r>
                          <w:r>
                            <w:rPr>
                              <w:rFonts w:ascii="Franklin Gothic Book"/>
                              <w:w w:val="105"/>
                              <w:sz w:val="14"/>
                            </w:rPr>
                            <w:t>35.2%</w:t>
                          </w:r>
                        </w:p>
                        <w:p w14:paraId="48E33842" w14:textId="77777777" w:rsidR="006D19F2" w:rsidRDefault="006D19F2" w:rsidP="00BC5572">
                          <w:pPr>
                            <w:widowControl w:val="0"/>
                            <w:numPr>
                              <w:ilvl w:val="0"/>
                              <w:numId w:val="15"/>
                            </w:numPr>
                            <w:tabs>
                              <w:tab w:val="left" w:pos="283"/>
                            </w:tabs>
                            <w:spacing w:before="20" w:line="153" w:lineRule="exact"/>
                            <w:ind w:hanging="282"/>
                            <w:rPr>
                              <w:rFonts w:ascii="Franklin Gothic Book" w:eastAsia="Franklin Gothic Book" w:hAnsi="Franklin Gothic Book" w:cs="Franklin Gothic Book"/>
                              <w:color w:val="009BCD"/>
                              <w:sz w:val="14"/>
                              <w:szCs w:val="14"/>
                            </w:rPr>
                          </w:pPr>
                          <w:r>
                            <w:rPr>
                              <w:rFonts w:ascii="Franklin Gothic Book"/>
                              <w:sz w:val="14"/>
                            </w:rPr>
                            <w:t>Global</w:t>
                          </w:r>
                          <w:r>
                            <w:rPr>
                              <w:rFonts w:ascii="Franklin Gothic Book"/>
                              <w:spacing w:val="14"/>
                              <w:sz w:val="14"/>
                            </w:rPr>
                            <w:t xml:space="preserve"> </w:t>
                          </w:r>
                          <w:r>
                            <w:rPr>
                              <w:rFonts w:ascii="Franklin Gothic Book"/>
                              <w:sz w:val="14"/>
                            </w:rPr>
                            <w:t>20%</w:t>
                          </w:r>
                        </w:p>
                      </w:txbxContent>
                    </v:textbox>
                  </v:shape>
                </v:group>
                <w10:anchorlock/>
              </v:group>
            </w:pict>
          </mc:Fallback>
        </mc:AlternateContent>
      </w:r>
    </w:p>
    <w:p w14:paraId="32DEAB76" w14:textId="77777777" w:rsidR="003B5312" w:rsidRPr="00CF7CB1" w:rsidRDefault="003B5312" w:rsidP="004E265F">
      <w:pPr>
        <w:pStyle w:val="Source"/>
        <w:rPr>
          <w:lang w:val="en-AU"/>
        </w:rPr>
      </w:pPr>
      <w:r w:rsidRPr="00CF7CB1">
        <w:rPr>
          <w:b/>
          <w:lang w:val="en-AU"/>
        </w:rPr>
        <w:t>Source:</w:t>
      </w:r>
      <w:r w:rsidRPr="00CF7CB1">
        <w:rPr>
          <w:lang w:val="en-AU"/>
        </w:rPr>
        <w:t xml:space="preserve"> http://dfat.gov.au</w:t>
      </w:r>
    </w:p>
    <w:p w14:paraId="23649700" w14:textId="77777777" w:rsidR="003B5312" w:rsidRPr="00CF7CB1" w:rsidRDefault="004E265F" w:rsidP="004E265F">
      <w:pPr>
        <w:pStyle w:val="Heading2"/>
        <w:rPr>
          <w:lang w:val="en-AU"/>
        </w:rPr>
      </w:pPr>
      <w:r w:rsidRPr="00CF7CB1">
        <w:rPr>
          <w:lang w:val="en-AU"/>
        </w:rPr>
        <w:t>Global and regional</w:t>
      </w:r>
      <w:r w:rsidR="003B5312" w:rsidRPr="00CF7CB1">
        <w:rPr>
          <w:lang w:val="en-AU"/>
        </w:rPr>
        <w:t xml:space="preserve"> perspectives</w:t>
      </w:r>
    </w:p>
    <w:p w14:paraId="65019943" w14:textId="77777777" w:rsidR="003B5312" w:rsidRPr="00CF7CB1" w:rsidRDefault="003B5312" w:rsidP="00337BCF">
      <w:pPr>
        <w:spacing w:after="120"/>
        <w:rPr>
          <w:lang w:val="en-AU"/>
        </w:rPr>
      </w:pPr>
      <w:r w:rsidRPr="00CF7CB1">
        <w:rPr>
          <w:lang w:val="en-AU"/>
        </w:rPr>
        <w:t>The global AfT Initiative was launched at the 2005 Hong Kong WTO Ministerial conference. The WTO, in conjunction with the OECD, has acted as the main international body supporting and coordinating work on the AfT agenda. Starting in 2007, the WTO has held a Global Review of AfT every two years. The Global Review is a self-assessment that also includes analysis of current and significant issues.</w:t>
      </w:r>
    </w:p>
    <w:p w14:paraId="09619D5F" w14:textId="77777777" w:rsidR="00DD28AE" w:rsidRPr="00CF7CB1" w:rsidRDefault="00DD28AE" w:rsidP="00DD28AE">
      <w:pPr>
        <w:pStyle w:val="Heading3"/>
        <w:pBdr>
          <w:top w:val="single" w:sz="4" w:space="1" w:color="auto"/>
          <w:left w:val="single" w:sz="4" w:space="4" w:color="auto"/>
          <w:bottom w:val="single" w:sz="4" w:space="1" w:color="auto"/>
          <w:right w:val="single" w:sz="4" w:space="4" w:color="auto"/>
        </w:pBdr>
        <w:rPr>
          <w:lang w:val="en-AU"/>
        </w:rPr>
      </w:pPr>
      <w:r w:rsidRPr="00CF7CB1">
        <w:rPr>
          <w:lang w:val="en-AU"/>
        </w:rPr>
        <w:t>WTO Global Reviews of Aid for Trade</w:t>
      </w:r>
    </w:p>
    <w:p w14:paraId="00DF0CEC" w14:textId="77777777" w:rsidR="00DD28AE" w:rsidRPr="00CF7CB1" w:rsidRDefault="00DD28AE" w:rsidP="00DD28AE">
      <w:pPr>
        <w:pBdr>
          <w:top w:val="single" w:sz="4" w:space="1" w:color="auto"/>
          <w:left w:val="single" w:sz="4" w:space="4" w:color="auto"/>
          <w:bottom w:val="single" w:sz="4" w:space="1" w:color="auto"/>
          <w:right w:val="single" w:sz="4" w:space="4" w:color="auto"/>
        </w:pBdr>
        <w:spacing w:after="120"/>
        <w:rPr>
          <w:lang w:val="en-AU"/>
        </w:rPr>
      </w:pPr>
      <w:r w:rsidRPr="00CF7CB1">
        <w:rPr>
          <w:lang w:val="en-AU"/>
        </w:rPr>
        <w:t>2007: Aid for Trade: Mobilizing Aid for Trade. The first Global Review had three objectives:</w:t>
      </w:r>
    </w:p>
    <w:p w14:paraId="07FF712F" w14:textId="77777777" w:rsidR="00DD28AE" w:rsidRPr="00CF7CB1" w:rsidRDefault="00DD28AE" w:rsidP="00DD28AE">
      <w:pPr>
        <w:pBdr>
          <w:top w:val="single" w:sz="4" w:space="1" w:color="auto"/>
          <w:left w:val="single" w:sz="4" w:space="4" w:color="auto"/>
          <w:bottom w:val="single" w:sz="4" w:space="1" w:color="auto"/>
          <w:right w:val="single" w:sz="4" w:space="4" w:color="auto"/>
        </w:pBdr>
        <w:spacing w:after="120"/>
        <w:rPr>
          <w:lang w:val="en-AU"/>
        </w:rPr>
      </w:pPr>
      <w:r w:rsidRPr="00CF7CB1">
        <w:rPr>
          <w:lang w:val="en-AU"/>
        </w:rPr>
        <w:t>(1) to take stock of what is happening in AfT; (2) to identify what should happen next; and (3) to improve WTO monitoring and evaluation.</w:t>
      </w:r>
    </w:p>
    <w:p w14:paraId="6DA5DB6F" w14:textId="77777777" w:rsidR="00DD28AE" w:rsidRPr="00CF7CB1" w:rsidRDefault="00DD28AE" w:rsidP="00DD28AE">
      <w:pPr>
        <w:pBdr>
          <w:top w:val="single" w:sz="4" w:space="1" w:color="auto"/>
          <w:left w:val="single" w:sz="4" w:space="4" w:color="auto"/>
          <w:bottom w:val="single" w:sz="4" w:space="1" w:color="auto"/>
          <w:right w:val="single" w:sz="4" w:space="4" w:color="auto"/>
        </w:pBdr>
        <w:spacing w:after="120"/>
        <w:rPr>
          <w:lang w:val="en-AU"/>
        </w:rPr>
      </w:pPr>
      <w:r w:rsidRPr="00CF7CB1">
        <w:rPr>
          <w:lang w:val="en-AU"/>
        </w:rPr>
        <w:t>2009: Aid for Trade: Mobilizing Aid for Trade. The four key objectives for the review were:</w:t>
      </w:r>
    </w:p>
    <w:p w14:paraId="0EE021FB" w14:textId="77777777" w:rsidR="00DD28AE" w:rsidRPr="00CF7CB1" w:rsidRDefault="00DD28AE" w:rsidP="00DD28AE">
      <w:pPr>
        <w:pBdr>
          <w:top w:val="single" w:sz="4" w:space="1" w:color="auto"/>
          <w:left w:val="single" w:sz="4" w:space="4" w:color="auto"/>
          <w:bottom w:val="single" w:sz="4" w:space="1" w:color="auto"/>
          <w:right w:val="single" w:sz="4" w:space="4" w:color="auto"/>
        </w:pBdr>
        <w:spacing w:after="120"/>
        <w:rPr>
          <w:lang w:val="en-AU"/>
        </w:rPr>
      </w:pPr>
      <w:r w:rsidRPr="00CF7CB1">
        <w:rPr>
          <w:lang w:val="en-AU"/>
        </w:rPr>
        <w:t>(1) moving from commitment to implementation; (2) mainstreaming trade in national and regional development strategies; (3) sustaining aid flows during the global downturn; and (4) assessing the effectiveness of AfT.</w:t>
      </w:r>
    </w:p>
    <w:p w14:paraId="47846496" w14:textId="77777777" w:rsidR="00DD28AE" w:rsidRPr="00CF7CB1" w:rsidRDefault="00DD28AE" w:rsidP="00DD28AE">
      <w:pPr>
        <w:pBdr>
          <w:top w:val="single" w:sz="4" w:space="1" w:color="auto"/>
          <w:left w:val="single" w:sz="4" w:space="4" w:color="auto"/>
          <w:bottom w:val="single" w:sz="4" w:space="1" w:color="auto"/>
          <w:right w:val="single" w:sz="4" w:space="4" w:color="auto"/>
        </w:pBdr>
        <w:spacing w:after="120"/>
        <w:rPr>
          <w:lang w:val="en-AU"/>
        </w:rPr>
      </w:pPr>
      <w:r w:rsidRPr="00CF7CB1">
        <w:rPr>
          <w:lang w:val="en-AU"/>
        </w:rPr>
        <w:t>2011: Aid for Trade: Showing Results. The emphasis was on what AfT is achieving on the ground, and focussed on the following questions: Are the supply-side and trade-related infrastructure constraints being addressed? What are good practices in AfT and do they   differ by country and region? What are the limits of what can be achieved by AfT and what complementary policies need to be pursued to maximize its impact?</w:t>
      </w:r>
    </w:p>
    <w:p w14:paraId="3D13B67E" w14:textId="77777777" w:rsidR="00DD28AE" w:rsidRPr="00CF7CB1" w:rsidRDefault="00DD28AE" w:rsidP="00DD28AE">
      <w:pPr>
        <w:pBdr>
          <w:top w:val="single" w:sz="4" w:space="1" w:color="auto"/>
          <w:left w:val="single" w:sz="4" w:space="4" w:color="auto"/>
          <w:bottom w:val="single" w:sz="4" w:space="1" w:color="auto"/>
          <w:right w:val="single" w:sz="4" w:space="4" w:color="auto"/>
        </w:pBdr>
        <w:spacing w:after="120"/>
        <w:rPr>
          <w:lang w:val="en-AU"/>
        </w:rPr>
      </w:pPr>
      <w:r w:rsidRPr="00CF7CB1">
        <w:rPr>
          <w:lang w:val="en-AU"/>
        </w:rPr>
        <w:t>2013: Aid for Trade: Connecting to Value Chains. The global expansion of value chains offers new opportunities for many developing countries. However, many developing countries remain on the margins of global trade. The  aim  of  the  Fourth Global Review of AfT was to examine strategies to  connect  developing  country and  firms  to  international value chains and  how  to  move up  the  value chain.</w:t>
      </w:r>
    </w:p>
    <w:p w14:paraId="384CDE1C" w14:textId="77777777" w:rsidR="00DD28AE" w:rsidRPr="00CF7CB1" w:rsidRDefault="00DD28AE" w:rsidP="00DD28AE">
      <w:pPr>
        <w:pBdr>
          <w:top w:val="single" w:sz="4" w:space="1" w:color="auto"/>
          <w:left w:val="single" w:sz="4" w:space="4" w:color="auto"/>
          <w:bottom w:val="single" w:sz="4" w:space="1" w:color="auto"/>
          <w:right w:val="single" w:sz="4" w:space="4" w:color="auto"/>
        </w:pBdr>
        <w:spacing w:after="120"/>
        <w:rPr>
          <w:lang w:val="en-AU"/>
        </w:rPr>
      </w:pPr>
      <w:r w:rsidRPr="00CF7CB1">
        <w:rPr>
          <w:lang w:val="en-AU"/>
        </w:rPr>
        <w:t>2015: Aid for Trade: Reducing Trade Costs for Inclusive, Sustainable Growth. High trade costs act as a brake on the trade integration of many developing countries. The focus was on how to reduce trade costs and survey the extent of the challenge remaining, and how it can be addressed in the context of the proposed Sustainable Development Goals (SDGs).</w:t>
      </w:r>
    </w:p>
    <w:p w14:paraId="77F1A5F2" w14:textId="77777777" w:rsidR="003B5312" w:rsidRPr="00CF7CB1" w:rsidRDefault="003B5312" w:rsidP="00337BCF">
      <w:pPr>
        <w:spacing w:after="120"/>
        <w:rPr>
          <w:lang w:val="en-AU"/>
        </w:rPr>
      </w:pPr>
      <w:r w:rsidRPr="00CF7CB1">
        <w:rPr>
          <w:lang w:val="en-AU"/>
        </w:rPr>
        <w:t>Related to the 2015 WTO theme of Reducing Trade Costs for In</w:t>
      </w:r>
      <w:r w:rsidR="004E265F" w:rsidRPr="00CF7CB1">
        <w:rPr>
          <w:lang w:val="en-AU"/>
        </w:rPr>
        <w:t>clusive, Sustainable Growth, is</w:t>
      </w:r>
      <w:r w:rsidRPr="00CF7CB1">
        <w:rPr>
          <w:lang w:val="en-AU"/>
        </w:rPr>
        <w:t xml:space="preserve"> the conclusion of the WTO Trade Facilitation Agreement (TFA), which was negotiated as part of the Doha Round to clarify the operation of the provisions of the General Agreement o</w:t>
      </w:r>
      <w:r w:rsidR="00DD28AE" w:rsidRPr="00CF7CB1">
        <w:rPr>
          <w:lang w:val="en-AU"/>
        </w:rPr>
        <w:t xml:space="preserve">n Tariffs </w:t>
      </w:r>
      <w:r w:rsidRPr="00CF7CB1">
        <w:rPr>
          <w:lang w:val="en-AU"/>
        </w:rPr>
        <w:t>and Trade (GATT) on fees, formalities and requirements applied by customs authorities, on trade-in-transit, and on publication, administration and judicial review of trade regulations.</w:t>
      </w:r>
    </w:p>
    <w:p w14:paraId="0C782396" w14:textId="77777777" w:rsidR="003B5312" w:rsidRPr="00CF7CB1" w:rsidRDefault="003B5312" w:rsidP="00337BCF">
      <w:pPr>
        <w:spacing w:after="120"/>
        <w:rPr>
          <w:lang w:val="en-AU"/>
        </w:rPr>
      </w:pPr>
      <w:r w:rsidRPr="00CF7CB1">
        <w:rPr>
          <w:lang w:val="en-AU"/>
        </w:rPr>
        <w:t>According to the WTO’s World Trade Report 2015 the TFA has the potential to increase global merchandise exports by up to USD1 trillion per annum with developing countries capturing</w:t>
      </w:r>
      <w:r w:rsidR="00D62262" w:rsidRPr="00CF7CB1">
        <w:rPr>
          <w:lang w:val="en-AU"/>
        </w:rPr>
        <w:t xml:space="preserve"> </w:t>
      </w:r>
      <w:r w:rsidRPr="00CF7CB1">
        <w:rPr>
          <w:lang w:val="en-AU"/>
        </w:rPr>
        <w:t>more than 5</w:t>
      </w:r>
      <w:r w:rsidR="00850BD1" w:rsidRPr="00CF7CB1">
        <w:rPr>
          <w:lang w:val="en-AU"/>
        </w:rPr>
        <w:t>0 per cent of available gains.</w:t>
      </w:r>
      <w:r w:rsidR="00850BD1" w:rsidRPr="00CF7CB1">
        <w:rPr>
          <w:rStyle w:val="FootnoteReference"/>
          <w:lang w:val="en-AU"/>
        </w:rPr>
        <w:footnoteReference w:id="19"/>
      </w:r>
      <w:r w:rsidRPr="00CF7CB1">
        <w:rPr>
          <w:lang w:val="en-AU"/>
        </w:rPr>
        <w:t xml:space="preserve"> The TFA will enter into force when two-thirds of the WTO’s 108 members have completed ratification. By December 2015, 55 members, including Australia, had ratified. By supporting the TFA, Australia and other donor countries </w:t>
      </w:r>
      <w:r w:rsidR="004E265F" w:rsidRPr="00CF7CB1">
        <w:rPr>
          <w:lang w:val="en-AU"/>
        </w:rPr>
        <w:t>have committed</w:t>
      </w:r>
      <w:r w:rsidRPr="00CF7CB1">
        <w:rPr>
          <w:lang w:val="en-AU"/>
        </w:rPr>
        <w:t xml:space="preserve"> to provide technical support to developing countries to help them implement the agreement. In mid-2015, Australia contributed AUD1 million to the WTO’s TFA Facility to help developing countries implement the Agreement and source donor assistance. Australia helps developing countries implement the TFA by contributing to the World Bank’s Trade Facilitation</w:t>
      </w:r>
    </w:p>
    <w:p w14:paraId="77F9EFE8" w14:textId="77777777" w:rsidR="003B5312" w:rsidRPr="00CF7CB1" w:rsidRDefault="00D676CF" w:rsidP="00337BCF">
      <w:pPr>
        <w:spacing w:after="120"/>
        <w:rPr>
          <w:lang w:val="en-AU"/>
        </w:rPr>
      </w:pPr>
      <w:r w:rsidRPr="00CF7CB1">
        <w:rPr>
          <w:noProof/>
          <w:lang w:val="en-AU" w:eastAsia="en-AU"/>
        </w:rPr>
        <w:drawing>
          <wp:inline distT="0" distB="0" distL="0" distR="0" wp14:anchorId="5EFE5BC5" wp14:editId="4D7C252B">
            <wp:extent cx="5598795" cy="4599305"/>
            <wp:effectExtent l="0" t="0" r="0" b="0"/>
            <wp:docPr id="3317" name="Picture 3317" descr="Female workers cutting taro in an export factory in Fiji." title="Workers in an export factory in Fiji processing T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98795" cy="4599305"/>
                    </a:xfrm>
                    <a:prstGeom prst="rect">
                      <a:avLst/>
                    </a:prstGeom>
                    <a:noFill/>
                    <a:ln>
                      <a:noFill/>
                    </a:ln>
                  </pic:spPr>
                </pic:pic>
              </a:graphicData>
            </a:graphic>
          </wp:inline>
        </w:drawing>
      </w:r>
    </w:p>
    <w:p w14:paraId="4A757CE2" w14:textId="77777777" w:rsidR="00D676CF" w:rsidRPr="00CF7CB1" w:rsidRDefault="00D676CF" w:rsidP="00D676CF">
      <w:pPr>
        <w:pStyle w:val="Caption"/>
        <w:rPr>
          <w:lang w:val="en-AU"/>
        </w:rPr>
      </w:pPr>
      <w:r w:rsidRPr="00CF7CB1">
        <w:rPr>
          <w:lang w:val="en-AU"/>
        </w:rPr>
        <w:t>Workers in an export factory in Fiji processing Taro.</w:t>
      </w:r>
    </w:p>
    <w:p w14:paraId="1844CFA2" w14:textId="77777777" w:rsidR="00D676CF" w:rsidRPr="00CF7CB1" w:rsidRDefault="00D676CF" w:rsidP="00D676CF">
      <w:pPr>
        <w:pStyle w:val="Source"/>
        <w:rPr>
          <w:lang w:val="en-AU"/>
        </w:rPr>
      </w:pPr>
      <w:r w:rsidRPr="00CF7CB1">
        <w:rPr>
          <w:lang w:val="en-AU"/>
        </w:rPr>
        <w:t>Source D. Goodwins</w:t>
      </w:r>
    </w:p>
    <w:p w14:paraId="22DE320D" w14:textId="77777777" w:rsidR="00D676CF" w:rsidRPr="00CF7CB1" w:rsidRDefault="00D676CF" w:rsidP="00337BCF">
      <w:pPr>
        <w:spacing w:after="120"/>
        <w:rPr>
          <w:lang w:val="en-AU"/>
        </w:rPr>
      </w:pPr>
    </w:p>
    <w:p w14:paraId="4132D90A" w14:textId="77777777" w:rsidR="003B5312" w:rsidRPr="00CF7CB1" w:rsidRDefault="003B5312" w:rsidP="00337BCF">
      <w:pPr>
        <w:spacing w:after="120"/>
        <w:rPr>
          <w:lang w:val="en-AU"/>
        </w:rPr>
      </w:pPr>
      <w:r w:rsidRPr="00CF7CB1">
        <w:rPr>
          <w:lang w:val="en-AU"/>
        </w:rPr>
        <w:t>Support Program (AUD6 million over three years 2014-17) and the WTO’s Trade Facilitation Agreement Facility (AUD1 million) for developing countries and least developed countries, where they face difficulties in accessing existing funding mechanisms. Australia also contributes AUD3 million to the Global Alliance for Trade Facilitation, which involves close collaboration with the private sector.</w:t>
      </w:r>
    </w:p>
    <w:p w14:paraId="56BD36F0" w14:textId="77777777" w:rsidR="003B5312" w:rsidRPr="00CF7CB1" w:rsidRDefault="003B5312" w:rsidP="00337BCF">
      <w:pPr>
        <w:spacing w:after="120"/>
        <w:rPr>
          <w:lang w:val="en-AU"/>
        </w:rPr>
      </w:pPr>
      <w:r w:rsidRPr="00CF7CB1">
        <w:rPr>
          <w:lang w:val="en-AU"/>
        </w:rPr>
        <w:t xml:space="preserve">The </w:t>
      </w:r>
      <w:r w:rsidRPr="008D6E5F">
        <w:rPr>
          <w:lang w:val="en-AU"/>
        </w:rPr>
        <w:t xml:space="preserve">changing global context also plays out differently across regions. </w:t>
      </w:r>
      <w:r w:rsidRPr="00CF7CB1">
        <w:rPr>
          <w:lang w:val="en-AU"/>
        </w:rPr>
        <w:t>The Pacific Island Countries (PICs) have small populations and local markets. Excep</w:t>
      </w:r>
      <w:r w:rsidR="00E01E6F" w:rsidRPr="00CF7CB1">
        <w:rPr>
          <w:lang w:val="en-AU"/>
        </w:rPr>
        <w:t xml:space="preserve">t for PNG, all the other PICs </w:t>
      </w:r>
      <w:r w:rsidRPr="00CF7CB1">
        <w:rPr>
          <w:lang w:val="en-AU"/>
        </w:rPr>
        <w:t>have populations fewer than one million; in contrast the larges</w:t>
      </w:r>
      <w:r w:rsidR="00E01E6F" w:rsidRPr="00CF7CB1">
        <w:rPr>
          <w:lang w:val="en-AU"/>
        </w:rPr>
        <w:t xml:space="preserve">t state in ASEAN has more than </w:t>
      </w:r>
      <w:r w:rsidRPr="00CF7CB1">
        <w:rPr>
          <w:lang w:val="en-AU"/>
        </w:rPr>
        <w:t>230 million people. The PICs are remote from other markets, lack productive capacity and economies of scale, and are geographically more dispersed than South East Asia. The PIC economies tend to be dominated by government and reliant on official development assistance (ODA) and remittances. The high cost investment climate in the Pacific creates barriers to</w:t>
      </w:r>
      <w:r w:rsidR="00E01E6F" w:rsidRPr="00CF7CB1">
        <w:rPr>
          <w:lang w:val="en-AU"/>
        </w:rPr>
        <w:t xml:space="preserve"> </w:t>
      </w:r>
      <w:r w:rsidRPr="00CF7CB1">
        <w:rPr>
          <w:lang w:val="en-AU"/>
        </w:rPr>
        <w:t>participation in GVCs and RTAs. In contrast, the ASEAN group of economies, while quite diverse as well, tend to have much more dynamic private sectors and are actively pursuing a range of Re</w:t>
      </w:r>
      <w:r w:rsidR="002C5D46" w:rsidRPr="00CF7CB1">
        <w:rPr>
          <w:lang w:val="en-AU"/>
        </w:rPr>
        <w:t>gional Trade Agreements (RTAs).</w:t>
      </w:r>
    </w:p>
    <w:p w14:paraId="33F17B04" w14:textId="77777777" w:rsidR="003B5312" w:rsidRPr="00CF7CB1" w:rsidRDefault="003B5312" w:rsidP="00337BCF">
      <w:pPr>
        <w:spacing w:after="120"/>
        <w:rPr>
          <w:lang w:val="en-AU"/>
        </w:rPr>
      </w:pPr>
      <w:r w:rsidRPr="00CF7CB1">
        <w:rPr>
          <w:lang w:val="en-AU"/>
        </w:rPr>
        <w:t>Like the ASEAN group of economies, the PICs are no strang</w:t>
      </w:r>
      <w:r w:rsidR="004F1B97" w:rsidRPr="00CF7CB1">
        <w:rPr>
          <w:lang w:val="en-AU"/>
        </w:rPr>
        <w:t xml:space="preserve">ers to economic integration </w:t>
      </w:r>
      <w:r w:rsidRPr="00CF7CB1">
        <w:rPr>
          <w:lang w:val="en-AU"/>
        </w:rPr>
        <w:t>initiatives. They have a busy international trade and investment agenda, which, apart from negotiations on PACER Plus, includes the negotiation or implementation of FTAs with each other (e.g. the Pacific Island Country Trade Agreement (PICTA), the</w:t>
      </w:r>
      <w:r w:rsidR="004F1B97" w:rsidRPr="00CF7CB1">
        <w:rPr>
          <w:lang w:val="en-AU"/>
        </w:rPr>
        <w:t xml:space="preserve"> Melanesian Spearhead Group (MSG) Trade Agreement, the Micronesian Trade </w:t>
      </w:r>
      <w:r w:rsidRPr="00CF7CB1">
        <w:rPr>
          <w:lang w:val="en-AU"/>
        </w:rPr>
        <w:t>and</w:t>
      </w:r>
      <w:r w:rsidR="004F1B97" w:rsidRPr="00CF7CB1">
        <w:rPr>
          <w:lang w:val="en-AU"/>
        </w:rPr>
        <w:t xml:space="preserve"> Economic Committee (MTEC), and </w:t>
      </w:r>
      <w:r w:rsidRPr="00CF7CB1">
        <w:rPr>
          <w:lang w:val="en-AU"/>
        </w:rPr>
        <w:t xml:space="preserve">also with other countries (e.g. the Interim Economic Partnership Agreement (EPA) with the European Union (EU) ratified by PNG and Fiji; the Comprehensive Regional </w:t>
      </w:r>
      <w:r w:rsidR="004F1B97" w:rsidRPr="00CF7CB1">
        <w:rPr>
          <w:lang w:val="en-AU"/>
        </w:rPr>
        <w:t xml:space="preserve">EPA  between the PICs and the </w:t>
      </w:r>
      <w:r w:rsidRPr="00CF7CB1">
        <w:rPr>
          <w:lang w:val="en-AU"/>
        </w:rPr>
        <w:t>EU; and discussions involving PICs individually or as a group that m</w:t>
      </w:r>
      <w:r w:rsidR="004F1B97" w:rsidRPr="00CF7CB1">
        <w:rPr>
          <w:lang w:val="en-AU"/>
        </w:rPr>
        <w:t xml:space="preserve">ay lead to FTAs with China </w:t>
      </w:r>
      <w:r w:rsidRPr="00CF7CB1">
        <w:rPr>
          <w:lang w:val="en-AU"/>
        </w:rPr>
        <w:t>and with the United States). Six of the PICs (Fiji, PNG, Sam</w:t>
      </w:r>
      <w:r w:rsidR="004F1B97" w:rsidRPr="00CF7CB1">
        <w:rPr>
          <w:lang w:val="en-AU"/>
        </w:rPr>
        <w:t xml:space="preserve">oa, Solomon Islands, Tonga and </w:t>
      </w:r>
      <w:r w:rsidRPr="00CF7CB1">
        <w:rPr>
          <w:lang w:val="en-AU"/>
        </w:rPr>
        <w:t>Van</w:t>
      </w:r>
      <w:r w:rsidR="004F1B97" w:rsidRPr="00CF7CB1">
        <w:rPr>
          <w:lang w:val="en-AU"/>
        </w:rPr>
        <w:t>uatu) are also members of the</w:t>
      </w:r>
      <w:r w:rsidRPr="00CF7CB1">
        <w:rPr>
          <w:lang w:val="en-AU"/>
        </w:rPr>
        <w:t xml:space="preserve"> WTO.</w:t>
      </w:r>
    </w:p>
    <w:p w14:paraId="52091C86" w14:textId="77777777" w:rsidR="003B5312" w:rsidRPr="00CF7CB1" w:rsidRDefault="003B5312" w:rsidP="00337BCF">
      <w:pPr>
        <w:spacing w:after="120"/>
        <w:rPr>
          <w:lang w:val="en-AU"/>
        </w:rPr>
      </w:pPr>
      <w:r w:rsidRPr="00CF7CB1">
        <w:rPr>
          <w:lang w:val="en-AU"/>
        </w:rPr>
        <w:t>The recent rapid i</w:t>
      </w:r>
      <w:r w:rsidR="004F1B97" w:rsidRPr="00CF7CB1">
        <w:rPr>
          <w:lang w:val="en-AU"/>
        </w:rPr>
        <w:t xml:space="preserve">ncrease in the number of RTAs, </w:t>
      </w:r>
      <w:r w:rsidRPr="00CF7CB1">
        <w:rPr>
          <w:lang w:val="en-AU"/>
        </w:rPr>
        <w:t>importance</w:t>
      </w:r>
      <w:r w:rsidR="004F1B97" w:rsidRPr="00CF7CB1">
        <w:rPr>
          <w:lang w:val="en-AU"/>
        </w:rPr>
        <w:t xml:space="preserve"> of GVCs, and the enhancement</w:t>
      </w:r>
      <w:r w:rsidRPr="00CF7CB1">
        <w:rPr>
          <w:lang w:val="en-AU"/>
        </w:rPr>
        <w:t xml:space="preserve"> of the multilateral trading system through advances in technology, have implications for developing country participation. Developing countries require significant capacity to successfully negotiate and participate in RTAs due to their inherent complexity compared</w:t>
      </w:r>
      <w:r w:rsidR="004F1B97" w:rsidRPr="00CF7CB1">
        <w:rPr>
          <w:lang w:val="en-AU"/>
        </w:rPr>
        <w:t xml:space="preserve"> </w:t>
      </w:r>
      <w:r w:rsidRPr="00CF7CB1">
        <w:rPr>
          <w:lang w:val="en-AU"/>
        </w:rPr>
        <w:t>to bilateral arrangements. Relevant examples to the Asia Pacific region include the ASEAN– Australia and New Zealand Free Trade Agreement (AANZFTA) which is in force; the current Regional Comprehensive Economic Partnership (RCEP) negotiations; the recently concluded Trans-Pacific Partnership (TPP), not yet in force; and the Pacific Agreement on Closer Economic Relations (PACER) Plus, currently being negotiated. Australia is participating in all four RTAs.</w:t>
      </w:r>
    </w:p>
    <w:p w14:paraId="429812E0" w14:textId="77777777" w:rsidR="003B5312" w:rsidRPr="00CF7CB1" w:rsidRDefault="003B5312" w:rsidP="00337BCF">
      <w:pPr>
        <w:spacing w:after="120"/>
        <w:rPr>
          <w:lang w:val="en-AU"/>
        </w:rPr>
      </w:pPr>
      <w:r w:rsidRPr="00CF7CB1">
        <w:rPr>
          <w:lang w:val="en-AU"/>
        </w:rPr>
        <w:t xml:space="preserve">Moreover, RTAs and the growth of GVCs have </w:t>
      </w:r>
      <w:r w:rsidRPr="008D6E5F">
        <w:rPr>
          <w:lang w:val="en-AU"/>
        </w:rPr>
        <w:t>implications for the poor and women</w:t>
      </w:r>
      <w:r w:rsidRPr="00CF7CB1">
        <w:rPr>
          <w:b/>
          <w:lang w:val="en-AU"/>
        </w:rPr>
        <w:t xml:space="preserve"> </w:t>
      </w:r>
      <w:r w:rsidRPr="00CF7CB1">
        <w:rPr>
          <w:lang w:val="en-AU"/>
        </w:rPr>
        <w:t>in particular. Trade facilitation policies and reforms are important for enabling economies to benefit from</w:t>
      </w:r>
      <w:r w:rsidR="007A31CC" w:rsidRPr="00CF7CB1">
        <w:rPr>
          <w:lang w:val="en-AU"/>
        </w:rPr>
        <w:t xml:space="preserve"> RTA </w:t>
      </w:r>
      <w:r w:rsidRPr="00CF7CB1">
        <w:rPr>
          <w:lang w:val="en-AU"/>
        </w:rPr>
        <w:t xml:space="preserve">and GVCs and ensure that the poor and particularly women </w:t>
      </w:r>
      <w:r w:rsidR="007A31CC" w:rsidRPr="00CF7CB1">
        <w:rPr>
          <w:lang w:val="en-AU"/>
        </w:rPr>
        <w:t>benefit.</w:t>
      </w:r>
      <w:r w:rsidR="007A31CC" w:rsidRPr="00CF7CB1">
        <w:rPr>
          <w:rStyle w:val="FootnoteReference"/>
          <w:lang w:val="en-AU"/>
        </w:rPr>
        <w:footnoteReference w:id="20"/>
      </w:r>
      <w:r w:rsidR="007A31CC" w:rsidRPr="00CF7CB1">
        <w:rPr>
          <w:lang w:val="en-AU"/>
        </w:rPr>
        <w:t xml:space="preserve"> The literature on </w:t>
      </w:r>
      <w:r w:rsidRPr="008D6E5F">
        <w:rPr>
          <w:lang w:val="en-AU"/>
        </w:rPr>
        <w:t>gender and trade</w:t>
      </w:r>
      <w:r w:rsidRPr="00CF7CB1">
        <w:rPr>
          <w:lang w:val="en-AU"/>
        </w:rPr>
        <w:t xml:space="preserve"> is very limited. The majority of the literature has focussed on how trade liberalisation policies (tariffs) relate to achieving gender equality.</w:t>
      </w:r>
      <w:r w:rsidR="00632343" w:rsidRPr="00CF7CB1">
        <w:rPr>
          <w:lang w:val="en-AU"/>
        </w:rPr>
        <w:t xml:space="preserve"> However, in recent years a </w:t>
      </w:r>
      <w:r w:rsidRPr="00CF7CB1">
        <w:rPr>
          <w:lang w:val="en-AU"/>
        </w:rPr>
        <w:t>number of donors have published studies on the issue of trade and gender highlighting growing interest. In some cases, trade has been a catalyst for gender equality, with t</w:t>
      </w:r>
      <w:r w:rsidR="007A31CC" w:rsidRPr="00CF7CB1">
        <w:rPr>
          <w:lang w:val="en-AU"/>
        </w:rPr>
        <w:t>rade liberalisation associated with rising employment</w:t>
      </w:r>
      <w:r w:rsidRPr="00CF7CB1">
        <w:rPr>
          <w:lang w:val="en-AU"/>
        </w:rPr>
        <w:t xml:space="preserve"> and </w:t>
      </w:r>
      <w:r w:rsidR="007A31CC" w:rsidRPr="00CF7CB1">
        <w:rPr>
          <w:lang w:val="en-AU"/>
        </w:rPr>
        <w:t xml:space="preserve">business opportunities for women. In other </w:t>
      </w:r>
      <w:r w:rsidRPr="00CF7CB1">
        <w:rPr>
          <w:lang w:val="en-AU"/>
        </w:rPr>
        <w:t xml:space="preserve">cases, however, existing gender inequalities have been exacerbated and women’s economic and social status deteriorated. </w:t>
      </w:r>
      <w:r w:rsidR="007A31CC" w:rsidRPr="00CF7CB1">
        <w:rPr>
          <w:lang w:val="en-AU"/>
        </w:rPr>
        <w:t>Women face</w:t>
      </w:r>
      <w:r w:rsidRPr="00CF7CB1">
        <w:rPr>
          <w:lang w:val="en-AU"/>
        </w:rPr>
        <w:t xml:space="preserve"> gender-intensified constraints in th</w:t>
      </w:r>
      <w:r w:rsidR="00632343" w:rsidRPr="00CF7CB1">
        <w:rPr>
          <w:lang w:val="en-AU"/>
        </w:rPr>
        <w:t xml:space="preserve">e multiple roles they play in </w:t>
      </w:r>
      <w:r w:rsidRPr="00CF7CB1">
        <w:rPr>
          <w:lang w:val="en-AU"/>
        </w:rPr>
        <w:t>the economy such as women as traders, home managers, tax payers or entrepreneurs. Women traders face constraints around customs and border management, including higher levels of harassment (corruption, sexual harassment, and abuse) and longer waiting times at borders than men, and are therefore more likely to avoid official border crossings. Long waiting times increase health risks, the likeliness of prostitution in border areas and t</w:t>
      </w:r>
      <w:r w:rsidR="00632343" w:rsidRPr="00CF7CB1">
        <w:rPr>
          <w:lang w:val="en-AU"/>
        </w:rPr>
        <w:t>ransport hubs, and increased</w:t>
      </w:r>
      <w:r w:rsidRPr="00CF7CB1">
        <w:rPr>
          <w:lang w:val="en-AU"/>
        </w:rPr>
        <w:t xml:space="preserve"> sp</w:t>
      </w:r>
      <w:r w:rsidR="00632343" w:rsidRPr="00CF7CB1">
        <w:rPr>
          <w:lang w:val="en-AU"/>
        </w:rPr>
        <w:t>read of STDs and HIV and AIDS.</w:t>
      </w:r>
      <w:r w:rsidR="00632343" w:rsidRPr="00CF7CB1">
        <w:rPr>
          <w:rStyle w:val="FootnoteReference"/>
          <w:lang w:val="en-AU"/>
        </w:rPr>
        <w:footnoteReference w:id="21"/>
      </w:r>
      <w:r w:rsidRPr="00CF7CB1">
        <w:rPr>
          <w:lang w:val="en-AU"/>
        </w:rPr>
        <w:t xml:space="preserve"> Low levels of literacy and lack of information and knowle</w:t>
      </w:r>
      <w:r w:rsidR="00632343" w:rsidRPr="00CF7CB1">
        <w:rPr>
          <w:lang w:val="en-AU"/>
        </w:rPr>
        <w:t xml:space="preserve">dge about cross-border trade </w:t>
      </w:r>
      <w:r w:rsidRPr="00CF7CB1">
        <w:rPr>
          <w:lang w:val="en-AU"/>
        </w:rPr>
        <w:t>regulatio</w:t>
      </w:r>
      <w:r w:rsidR="00632343" w:rsidRPr="00CF7CB1">
        <w:rPr>
          <w:lang w:val="en-AU"/>
        </w:rPr>
        <w:t>ns and procedures are more prevalent among female than male traders.</w:t>
      </w:r>
      <w:r w:rsidR="00632343" w:rsidRPr="00CF7CB1">
        <w:rPr>
          <w:rStyle w:val="FootnoteReference"/>
          <w:lang w:val="en-AU"/>
        </w:rPr>
        <w:footnoteReference w:id="22"/>
      </w:r>
      <w:r w:rsidRPr="00CF7CB1">
        <w:rPr>
          <w:lang w:val="en-AU"/>
        </w:rPr>
        <w:t xml:space="preserve"> This means that women are not able to fully benefit from the opportunities and </w:t>
      </w:r>
      <w:r w:rsidR="00632343" w:rsidRPr="00CF7CB1">
        <w:rPr>
          <w:lang w:val="en-AU"/>
        </w:rPr>
        <w:t>efficiencies that border</w:t>
      </w:r>
      <w:r w:rsidRPr="00CF7CB1">
        <w:rPr>
          <w:lang w:val="en-AU"/>
        </w:rPr>
        <w:t xml:space="preserve"> </w:t>
      </w:r>
      <w:r w:rsidR="00632343" w:rsidRPr="00CF7CB1">
        <w:rPr>
          <w:lang w:val="en-AU"/>
        </w:rPr>
        <w:t>management reform</w:t>
      </w:r>
      <w:r w:rsidRPr="00CF7CB1">
        <w:rPr>
          <w:lang w:val="en-AU"/>
        </w:rPr>
        <w:t xml:space="preserve"> offers.</w:t>
      </w:r>
    </w:p>
    <w:p w14:paraId="5F18FF2E" w14:textId="77777777" w:rsidR="003B5312" w:rsidRPr="00CF7CB1" w:rsidRDefault="003B5312" w:rsidP="00337BCF">
      <w:pPr>
        <w:spacing w:after="120"/>
        <w:rPr>
          <w:lang w:val="en-AU"/>
        </w:rPr>
      </w:pPr>
      <w:r w:rsidRPr="00CF7CB1">
        <w:rPr>
          <w:lang w:val="en-AU"/>
        </w:rPr>
        <w:t>Greater emphasis is being placed on the monitoring and evaluation (M&amp;E) of AfT programs worldwide. This is in line with increasing demands for greater accountability and growing recognition of the importance of performance evaluation and enhancing aid effe</w:t>
      </w:r>
      <w:r w:rsidR="00632343" w:rsidRPr="00CF7CB1">
        <w:rPr>
          <w:lang w:val="en-AU"/>
        </w:rPr>
        <w:t xml:space="preserve">ctiveness. </w:t>
      </w:r>
      <w:r w:rsidRPr="00CF7CB1">
        <w:rPr>
          <w:lang w:val="en-AU"/>
        </w:rPr>
        <w:t>Studies conducted by the World Bank (2014) and OECD (2013) among others, highlighted a number of issues relating to M&amp;E practice on AfT initiatives worldwide, in particular: the lack of evidence-based results chains linking AfT activities to trade-r</w:t>
      </w:r>
      <w:r w:rsidR="00632343" w:rsidRPr="00CF7CB1">
        <w:rPr>
          <w:lang w:val="en-AU"/>
        </w:rPr>
        <w:t xml:space="preserve">elated outcomes; the lack of </w:t>
      </w:r>
      <w:r w:rsidRPr="00CF7CB1">
        <w:rPr>
          <w:lang w:val="en-AU"/>
        </w:rPr>
        <w:t>baseline data, clear indicators or evaluation methods to assess and quantify the impact of activities; the isolation of current M&amp;E activities from partner g</w:t>
      </w:r>
      <w:r w:rsidR="00632343" w:rsidRPr="00CF7CB1">
        <w:rPr>
          <w:lang w:val="en-AU"/>
        </w:rPr>
        <w:t>overnments, other donors and</w:t>
      </w:r>
      <w:r w:rsidRPr="00CF7CB1">
        <w:rPr>
          <w:lang w:val="en-AU"/>
        </w:rPr>
        <w:t xml:space="preserve"> the private sector; and the missed opportunities to use M&amp;E t</w:t>
      </w:r>
      <w:r w:rsidR="00632343" w:rsidRPr="00CF7CB1">
        <w:rPr>
          <w:lang w:val="en-AU"/>
        </w:rPr>
        <w:t>o inform program improvement</w:t>
      </w:r>
      <w:r w:rsidRPr="00CF7CB1">
        <w:rPr>
          <w:lang w:val="en-AU"/>
        </w:rPr>
        <w:t xml:space="preserve"> and contribute to b</w:t>
      </w:r>
      <w:r w:rsidR="00632343" w:rsidRPr="00CF7CB1">
        <w:rPr>
          <w:lang w:val="en-AU"/>
        </w:rPr>
        <w:t>roader programming and policy</w:t>
      </w:r>
      <w:r w:rsidRPr="00CF7CB1">
        <w:rPr>
          <w:lang w:val="en-AU"/>
        </w:rPr>
        <w:t xml:space="preserve"> development.</w:t>
      </w:r>
    </w:p>
    <w:p w14:paraId="5D025F73" w14:textId="77777777" w:rsidR="003B5312" w:rsidRPr="00CF7CB1" w:rsidRDefault="00632343" w:rsidP="00337BCF">
      <w:pPr>
        <w:spacing w:after="120"/>
        <w:rPr>
          <w:lang w:val="en-AU"/>
        </w:rPr>
      </w:pPr>
      <w:r w:rsidRPr="00CF7CB1">
        <w:rPr>
          <w:noProof/>
          <w:lang w:val="en-AU" w:eastAsia="en-AU"/>
        </w:rPr>
        <w:drawing>
          <wp:inline distT="0" distB="0" distL="0" distR="0" wp14:anchorId="0A8D3A48" wp14:editId="2AB185F3">
            <wp:extent cx="5641340" cy="3658499"/>
            <wp:effectExtent l="0" t="0" r="0" b="0"/>
            <wp:docPr id="3321" name="Picture 3321" descr="Female apprentices receiving training, sewing with sewing machines and taking notes at the Garments Skills Centre in Laos." title="Trainees at the Garments Skills Centre, La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41340" cy="3658499"/>
                    </a:xfrm>
                    <a:prstGeom prst="rect">
                      <a:avLst/>
                    </a:prstGeom>
                    <a:noFill/>
                    <a:ln>
                      <a:noFill/>
                    </a:ln>
                  </pic:spPr>
                </pic:pic>
              </a:graphicData>
            </a:graphic>
          </wp:inline>
        </w:drawing>
      </w:r>
    </w:p>
    <w:p w14:paraId="3F14B384" w14:textId="77777777" w:rsidR="00632343" w:rsidRPr="00CF7CB1" w:rsidRDefault="00632343" w:rsidP="00632343">
      <w:pPr>
        <w:pStyle w:val="Caption"/>
        <w:rPr>
          <w:lang w:val="en-AU"/>
        </w:rPr>
      </w:pPr>
      <w:r w:rsidRPr="00CF7CB1">
        <w:rPr>
          <w:lang w:val="en-AU"/>
        </w:rPr>
        <w:t>Trainees at the Garments Skills Centre, Laos.</w:t>
      </w:r>
    </w:p>
    <w:p w14:paraId="1837A8A5" w14:textId="77777777" w:rsidR="00895CE5" w:rsidRPr="00CF7CB1" w:rsidRDefault="00632343" w:rsidP="00632343">
      <w:pPr>
        <w:pStyle w:val="Source"/>
        <w:rPr>
          <w:lang w:val="en-AU"/>
        </w:rPr>
      </w:pPr>
      <w:r w:rsidRPr="00CF7CB1">
        <w:rPr>
          <w:lang w:val="en-AU"/>
        </w:rPr>
        <w:t>Source D. Goodwins</w:t>
      </w:r>
    </w:p>
    <w:p w14:paraId="2A4D85AE" w14:textId="77777777" w:rsidR="00895CE5" w:rsidRPr="00CF7CB1" w:rsidRDefault="00895CE5">
      <w:pPr>
        <w:rPr>
          <w:rFonts w:cs="Arial"/>
          <w:color w:val="000000" w:themeColor="text1"/>
          <w:kern w:val="1"/>
          <w:sz w:val="18"/>
          <w:szCs w:val="16"/>
          <w:lang w:val="en-AU"/>
        </w:rPr>
      </w:pPr>
      <w:r w:rsidRPr="00CF7CB1">
        <w:rPr>
          <w:lang w:val="en-AU"/>
        </w:rPr>
        <w:br w:type="page"/>
      </w:r>
    </w:p>
    <w:p w14:paraId="7B0E1F7A" w14:textId="77777777" w:rsidR="003B5312" w:rsidRPr="00CF7CB1" w:rsidRDefault="00BA31BB" w:rsidP="00BA31BB">
      <w:pPr>
        <w:pStyle w:val="Heading1"/>
        <w:rPr>
          <w:lang w:val="en-AU"/>
        </w:rPr>
      </w:pPr>
      <w:r w:rsidRPr="00CF7CB1">
        <w:rPr>
          <w:lang w:val="en-AU"/>
        </w:rPr>
        <w:t>An overview of the evaluation</w:t>
      </w:r>
    </w:p>
    <w:p w14:paraId="67DA7F28" w14:textId="77777777" w:rsidR="003B5312" w:rsidRPr="00CF7CB1" w:rsidRDefault="003B5312" w:rsidP="00194BE7">
      <w:pPr>
        <w:pStyle w:val="Heading2"/>
        <w:rPr>
          <w:lang w:val="en-AU"/>
        </w:rPr>
      </w:pPr>
      <w:r w:rsidRPr="00CF7CB1">
        <w:rPr>
          <w:lang w:val="en-AU"/>
        </w:rPr>
        <w:t>Purpose and rationale</w:t>
      </w:r>
    </w:p>
    <w:p w14:paraId="444D1AD7" w14:textId="77777777" w:rsidR="003B5312" w:rsidRPr="00CF7CB1" w:rsidRDefault="003B5312" w:rsidP="00337BCF">
      <w:pPr>
        <w:spacing w:after="120"/>
        <w:rPr>
          <w:lang w:val="en-AU"/>
        </w:rPr>
      </w:pPr>
      <w:r w:rsidRPr="00CF7CB1">
        <w:rPr>
          <w:lang w:val="en-AU"/>
        </w:rPr>
        <w:t>The purpose of the evaluation is to inform DFAT on the effectiveness of Australian investments supporting trade facilitation and related assistance, and how it may be better targeted in</w:t>
      </w:r>
      <w:r w:rsidR="0035795B" w:rsidRPr="00CF7CB1">
        <w:rPr>
          <w:lang w:val="en-AU"/>
        </w:rPr>
        <w:t xml:space="preserve"> </w:t>
      </w:r>
      <w:r w:rsidRPr="00CF7CB1">
        <w:rPr>
          <w:lang w:val="en-AU"/>
        </w:rPr>
        <w:t>the future while taking into account how to improve gender equality and women’s economic empowerment.</w:t>
      </w:r>
    </w:p>
    <w:p w14:paraId="5D0B86DE" w14:textId="77777777" w:rsidR="003B5312" w:rsidRPr="00CF7CB1" w:rsidRDefault="003B5312" w:rsidP="00337BCF">
      <w:pPr>
        <w:spacing w:after="120"/>
        <w:rPr>
          <w:lang w:val="en-AU"/>
        </w:rPr>
      </w:pPr>
      <w:r w:rsidRPr="00CF7CB1">
        <w:rPr>
          <w:lang w:val="en-AU"/>
        </w:rPr>
        <w:t>The rationale behind conduc</w:t>
      </w:r>
      <w:r w:rsidR="0035795B" w:rsidRPr="00CF7CB1">
        <w:rPr>
          <w:lang w:val="en-AU"/>
        </w:rPr>
        <w:t xml:space="preserve">ting this evaluation is based </w:t>
      </w:r>
      <w:r w:rsidRPr="00CF7CB1">
        <w:rPr>
          <w:lang w:val="en-AU"/>
        </w:rPr>
        <w:t>on:</w:t>
      </w:r>
    </w:p>
    <w:p w14:paraId="1E41C78B" w14:textId="77777777" w:rsidR="003B5312" w:rsidRPr="00CF7CB1" w:rsidRDefault="003B5312" w:rsidP="00BC5572">
      <w:pPr>
        <w:pStyle w:val="ListParagraph"/>
        <w:numPr>
          <w:ilvl w:val="0"/>
          <w:numId w:val="16"/>
        </w:numPr>
        <w:spacing w:after="120"/>
        <w:rPr>
          <w:lang w:val="en-AU"/>
        </w:rPr>
      </w:pPr>
      <w:r w:rsidRPr="00CF7CB1">
        <w:rPr>
          <w:lang w:val="en-AU"/>
        </w:rPr>
        <w:t xml:space="preserve">The release of the Australian Government’s aid policy, Australian aid: promoting prosperity, reducing poverty, </w:t>
      </w:r>
      <w:r w:rsidR="00821A2A" w:rsidRPr="00CF7CB1">
        <w:rPr>
          <w:lang w:val="en-AU"/>
        </w:rPr>
        <w:t>enhancing stability, June 2014</w:t>
      </w:r>
      <w:r w:rsidR="0084444D" w:rsidRPr="00CF7CB1">
        <w:rPr>
          <w:rStyle w:val="FootnoteReference"/>
          <w:lang w:val="en-AU"/>
        </w:rPr>
        <w:footnoteReference w:id="23"/>
      </w:r>
      <w:r w:rsidRPr="00CF7CB1">
        <w:rPr>
          <w:lang w:val="en-AU"/>
        </w:rPr>
        <w:t xml:space="preserve"> and DFAT’s Aid for Trade Strategy, July 2015 which supports increased investment in AfT initiatives. In 2014-15, Australia’s AfT investment represented about AUD823 million or 16.4 per cent of Australia’s total Official Development Assistance (ODA), and in 2015-16 this is estimated to be AUD698 million or</w:t>
      </w:r>
      <w:r w:rsidR="00D85ED1" w:rsidRPr="00CF7CB1">
        <w:rPr>
          <w:lang w:val="en-AU"/>
        </w:rPr>
        <w:t xml:space="preserve"> </w:t>
      </w:r>
      <w:r w:rsidR="0084444D" w:rsidRPr="00CF7CB1">
        <w:rPr>
          <w:lang w:val="en-AU"/>
        </w:rPr>
        <w:t>17.2 per cent of total ODA.</w:t>
      </w:r>
      <w:r w:rsidR="0084444D" w:rsidRPr="00CF7CB1">
        <w:rPr>
          <w:rStyle w:val="FootnoteReference"/>
          <w:lang w:val="en-AU"/>
        </w:rPr>
        <w:footnoteReference w:id="24"/>
      </w:r>
      <w:r w:rsidRPr="00CF7CB1">
        <w:rPr>
          <w:lang w:val="en-AU"/>
        </w:rPr>
        <w:t xml:space="preserve"> This is set to increase further by 2020 to meet the target of 20 per cent of the overall aid budget. Decisions will need to be made on where to invest to have the greatest impact, based on evidence regarding the effectiveness and efficiency of current investments, future needs, and value for money.</w:t>
      </w:r>
    </w:p>
    <w:p w14:paraId="5C90F19E" w14:textId="77777777" w:rsidR="003B5312" w:rsidRPr="00893288" w:rsidRDefault="003B5312" w:rsidP="00893288">
      <w:pPr>
        <w:pBdr>
          <w:top w:val="single" w:sz="4" w:space="1" w:color="auto"/>
          <w:bottom w:val="single" w:sz="4" w:space="1" w:color="auto"/>
        </w:pBdr>
        <w:spacing w:before="120" w:after="120"/>
        <w:rPr>
          <w:sz w:val="26"/>
          <w:szCs w:val="26"/>
          <w:lang w:val="en-AU"/>
        </w:rPr>
      </w:pPr>
      <w:r w:rsidRPr="00893288">
        <w:rPr>
          <w:sz w:val="26"/>
          <w:szCs w:val="26"/>
          <w:lang w:val="en-AU"/>
        </w:rPr>
        <w:t>‘East Asia and the Pacific may provide an important stock of best practice in the development world when it comes to reducing trade costs.’</w:t>
      </w:r>
    </w:p>
    <w:p w14:paraId="3F92173C" w14:textId="77777777" w:rsidR="003B5312" w:rsidRPr="00CF7CB1" w:rsidRDefault="003B5312" w:rsidP="008254DB">
      <w:pPr>
        <w:pStyle w:val="Source"/>
        <w:pBdr>
          <w:top w:val="single" w:sz="4" w:space="1" w:color="auto"/>
          <w:bottom w:val="single" w:sz="4" w:space="1" w:color="auto"/>
        </w:pBdr>
        <w:rPr>
          <w:lang w:val="en-AU"/>
        </w:rPr>
      </w:pPr>
      <w:r w:rsidRPr="00CF7CB1">
        <w:rPr>
          <w:lang w:val="en-AU"/>
        </w:rPr>
        <w:t>Yann Duval, Chief, Trade and Investment Division, Trade Facilitation Section UNESCAP</w:t>
      </w:r>
    </w:p>
    <w:p w14:paraId="629234A8" w14:textId="77777777" w:rsidR="003B5312" w:rsidRPr="008D6E5F" w:rsidRDefault="003B5312" w:rsidP="008D6E5F">
      <w:pPr>
        <w:pStyle w:val="ListParagraph"/>
        <w:numPr>
          <w:ilvl w:val="0"/>
          <w:numId w:val="16"/>
        </w:numPr>
        <w:spacing w:before="120" w:after="120"/>
        <w:rPr>
          <w:lang w:val="en-AU"/>
        </w:rPr>
      </w:pPr>
      <w:r w:rsidRPr="008D6E5F">
        <w:rPr>
          <w:lang w:val="en-AU"/>
        </w:rPr>
        <w:t>The ratification of the WTO TFA, and Australia’s current leading position in trade facilit</w:t>
      </w:r>
      <w:r w:rsidR="00821A2A" w:rsidRPr="008D6E5F">
        <w:rPr>
          <w:lang w:val="en-AU"/>
        </w:rPr>
        <w:t>ation measures in Asia Pacific</w:t>
      </w:r>
      <w:r w:rsidR="00054015" w:rsidRPr="00CF7CB1">
        <w:rPr>
          <w:rStyle w:val="FootnoteReference"/>
          <w:lang w:val="en-AU"/>
        </w:rPr>
        <w:footnoteReference w:id="25"/>
      </w:r>
      <w:r w:rsidRPr="008D6E5F">
        <w:rPr>
          <w:lang w:val="en-AU"/>
        </w:rPr>
        <w:t>, will generate interest in Australia investing more in improving developing countries’ capacity to implement the TFA measures. This evaluation assists in identifying lessons learnt from regional and bilateral programs to improve the effectiveness of trade facilitation and related assistance.</w:t>
      </w:r>
    </w:p>
    <w:p w14:paraId="1DFB0566" w14:textId="77777777" w:rsidR="008939C9" w:rsidRPr="00CF7CB1" w:rsidRDefault="003B5312" w:rsidP="00BC5572">
      <w:pPr>
        <w:pStyle w:val="ListParagraph"/>
        <w:numPr>
          <w:ilvl w:val="0"/>
          <w:numId w:val="17"/>
        </w:numPr>
        <w:spacing w:after="120"/>
        <w:rPr>
          <w:lang w:val="en-AU"/>
        </w:rPr>
      </w:pPr>
      <w:r w:rsidRPr="00CF7CB1">
        <w:rPr>
          <w:lang w:val="en-AU"/>
        </w:rPr>
        <w:t xml:space="preserve">The integration of DFAT with AusAID in 2013 has brought together a range of aid </w:t>
      </w:r>
      <w:r w:rsidR="00054015" w:rsidRPr="00CF7CB1">
        <w:rPr>
          <w:lang w:val="en-AU"/>
        </w:rPr>
        <w:t>and trade</w:t>
      </w:r>
      <w:r w:rsidRPr="00CF7CB1">
        <w:rPr>
          <w:lang w:val="en-AU"/>
        </w:rPr>
        <w:t xml:space="preserve"> skill sets that when combined could effectively bring increased capacity to deliver innovative AfT initiatives in the region. This evaluation will assist in developing appropriate </w:t>
      </w:r>
      <w:r w:rsidR="00054015" w:rsidRPr="00CF7CB1">
        <w:rPr>
          <w:lang w:val="en-AU"/>
        </w:rPr>
        <w:t>implementation strategies</w:t>
      </w:r>
      <w:r w:rsidRPr="00CF7CB1">
        <w:rPr>
          <w:lang w:val="en-AU"/>
        </w:rPr>
        <w:t>.</w:t>
      </w:r>
    </w:p>
    <w:p w14:paraId="420AD0E7" w14:textId="77777777" w:rsidR="003B5312" w:rsidRPr="00CF7CB1" w:rsidRDefault="003B5312" w:rsidP="00BC5572">
      <w:pPr>
        <w:pStyle w:val="ListParagraph"/>
        <w:numPr>
          <w:ilvl w:val="0"/>
          <w:numId w:val="17"/>
        </w:numPr>
        <w:spacing w:after="120"/>
        <w:rPr>
          <w:lang w:val="en-AU"/>
        </w:rPr>
      </w:pPr>
      <w:r w:rsidRPr="00CF7CB1">
        <w:rPr>
          <w:lang w:val="en-AU"/>
        </w:rPr>
        <w:t>The Australian Government’s strong commitment to improving gender equality and women’s economic empowerment provides an opportunity to influence development outcomes through AfT initiatives. This evaluation examined the extent to which gender equality has been taken into account and what could be done to strengthen this area of support to achieve greater outcomes.</w:t>
      </w:r>
    </w:p>
    <w:p w14:paraId="33FD0642" w14:textId="77777777" w:rsidR="003B5312" w:rsidRPr="00CF7CB1" w:rsidRDefault="003B5312" w:rsidP="00E46796">
      <w:pPr>
        <w:pStyle w:val="Heading2"/>
        <w:rPr>
          <w:lang w:val="en-AU"/>
        </w:rPr>
      </w:pPr>
      <w:r w:rsidRPr="00CF7CB1">
        <w:rPr>
          <w:lang w:val="en-AU"/>
        </w:rPr>
        <w:t>Scope and focus</w:t>
      </w:r>
    </w:p>
    <w:p w14:paraId="0CE5F1BD" w14:textId="77777777" w:rsidR="003B5312" w:rsidRPr="00CF7CB1" w:rsidRDefault="003B5312" w:rsidP="00337BCF">
      <w:pPr>
        <w:spacing w:after="120"/>
        <w:rPr>
          <w:lang w:val="en-AU"/>
        </w:rPr>
      </w:pPr>
      <w:r w:rsidRPr="00CF7CB1">
        <w:rPr>
          <w:lang w:val="en-AU"/>
        </w:rPr>
        <w:t xml:space="preserve">The focus and scope of this evaluation was developed in consultation with key stakeholders and defined by </w:t>
      </w:r>
      <w:r w:rsidR="0038353B" w:rsidRPr="00CF7CB1">
        <w:rPr>
          <w:lang w:val="en-AU"/>
        </w:rPr>
        <w:t>the following</w:t>
      </w:r>
      <w:r w:rsidRPr="00CF7CB1">
        <w:rPr>
          <w:lang w:val="en-AU"/>
        </w:rPr>
        <w:t>:</w:t>
      </w:r>
    </w:p>
    <w:p w14:paraId="6C779861" w14:textId="77777777" w:rsidR="00DB3E4E" w:rsidRPr="00CF7CB1" w:rsidRDefault="003B5312" w:rsidP="00BC5572">
      <w:pPr>
        <w:pStyle w:val="ListParagraph"/>
        <w:numPr>
          <w:ilvl w:val="0"/>
          <w:numId w:val="18"/>
        </w:numPr>
        <w:spacing w:after="120"/>
        <w:rPr>
          <w:lang w:val="en-AU"/>
        </w:rPr>
      </w:pPr>
      <w:r w:rsidRPr="00CF7CB1">
        <w:rPr>
          <w:lang w:val="en-AU"/>
        </w:rPr>
        <w:t>The evaluation focusses on trade facilitation and technical assistance and related systems, policies and regula</w:t>
      </w:r>
      <w:r w:rsidR="00DB3E4E" w:rsidRPr="00CF7CB1">
        <w:rPr>
          <w:lang w:val="en-AU"/>
        </w:rPr>
        <w:t xml:space="preserve">tions (as defined in Section </w:t>
      </w:r>
      <w:r w:rsidRPr="00CF7CB1">
        <w:rPr>
          <w:lang w:val="en-AU"/>
        </w:rPr>
        <w:t>1.1).</w:t>
      </w:r>
    </w:p>
    <w:p w14:paraId="431DAE56" w14:textId="77777777" w:rsidR="00DB3E4E" w:rsidRPr="00CF7CB1" w:rsidRDefault="003B5312" w:rsidP="00BC5572">
      <w:pPr>
        <w:pStyle w:val="ListParagraph"/>
        <w:numPr>
          <w:ilvl w:val="0"/>
          <w:numId w:val="18"/>
        </w:numPr>
        <w:spacing w:after="120"/>
        <w:rPr>
          <w:lang w:val="en-AU"/>
        </w:rPr>
      </w:pPr>
      <w:r w:rsidRPr="00CF7CB1">
        <w:rPr>
          <w:lang w:val="en-AU"/>
        </w:rPr>
        <w:t>The evaluation provides in-depth analysis of four key DFAT investments, while taking into account linkages with other relevant investments. This number was dictated by available resources. The other DFAT interventions have been reviewed to draw on any findings that support or contradi</w:t>
      </w:r>
      <w:r w:rsidR="00DB3E4E" w:rsidRPr="00CF7CB1">
        <w:rPr>
          <w:lang w:val="en-AU"/>
        </w:rPr>
        <w:t>ct findings from the in-depth</w:t>
      </w:r>
      <w:r w:rsidRPr="00CF7CB1">
        <w:rPr>
          <w:lang w:val="en-AU"/>
        </w:rPr>
        <w:t xml:space="preserve"> studies.</w:t>
      </w:r>
    </w:p>
    <w:p w14:paraId="64B5DEB3" w14:textId="77777777" w:rsidR="00DB3E4E" w:rsidRPr="00CF7CB1" w:rsidRDefault="003B5312" w:rsidP="00BC5572">
      <w:pPr>
        <w:pStyle w:val="ListParagraph"/>
        <w:numPr>
          <w:ilvl w:val="0"/>
          <w:numId w:val="18"/>
        </w:numPr>
        <w:spacing w:after="120"/>
        <w:rPr>
          <w:lang w:val="en-AU"/>
        </w:rPr>
      </w:pPr>
      <w:r w:rsidRPr="00CF7CB1">
        <w:rPr>
          <w:lang w:val="en-AU"/>
        </w:rPr>
        <w:t>Linkages between trade facilitation and the other components of AfT, ‘building productive capacity</w:t>
      </w:r>
      <w:r w:rsidR="00E711E9" w:rsidRPr="00CF7CB1">
        <w:rPr>
          <w:lang w:val="en-AU"/>
        </w:rPr>
        <w:t>’ and ‘economic infrastructure</w:t>
      </w:r>
      <w:r w:rsidR="00E711E9" w:rsidRPr="00CF7CB1">
        <w:rPr>
          <w:rStyle w:val="FootnoteReference"/>
          <w:lang w:val="en-AU"/>
        </w:rPr>
        <w:footnoteReference w:id="26"/>
      </w:r>
      <w:r w:rsidRPr="00CF7CB1">
        <w:rPr>
          <w:lang w:val="en-AU"/>
        </w:rPr>
        <w:t>’, are explored.</w:t>
      </w:r>
    </w:p>
    <w:p w14:paraId="302D617B" w14:textId="77777777" w:rsidR="003B5312" w:rsidRPr="00CF7CB1" w:rsidRDefault="003B5312" w:rsidP="00BC5572">
      <w:pPr>
        <w:pStyle w:val="ListParagraph"/>
        <w:numPr>
          <w:ilvl w:val="0"/>
          <w:numId w:val="18"/>
        </w:numPr>
        <w:spacing w:after="120"/>
        <w:rPr>
          <w:lang w:val="en-AU"/>
        </w:rPr>
      </w:pPr>
      <w:r w:rsidRPr="00CF7CB1">
        <w:rPr>
          <w:lang w:val="en-AU"/>
        </w:rPr>
        <w:t>The geographic focus of this evaluation is on the Asia Pacific region, specifically South East Asia and the Pacific Island countries. However, the interventions examined are framed by a global perspective, comparing DFAT’s initiatives and results to those obtained elsewhere in terms of comparative advantage, good practice and future opportunities.</w:t>
      </w:r>
    </w:p>
    <w:p w14:paraId="5801671A" w14:textId="77777777" w:rsidR="003B5312" w:rsidRPr="00CF7CB1" w:rsidRDefault="003B5312" w:rsidP="00337BCF">
      <w:pPr>
        <w:spacing w:after="120"/>
        <w:rPr>
          <w:lang w:val="en-AU"/>
        </w:rPr>
      </w:pPr>
      <w:r w:rsidRPr="00CF7CB1">
        <w:rPr>
          <w:lang w:val="en-AU"/>
        </w:rPr>
        <w:t>The four investments chosen for in-depth analysis are:</w:t>
      </w:r>
    </w:p>
    <w:p w14:paraId="48DD2BDC" w14:textId="77777777" w:rsidR="003B5312" w:rsidRPr="00CF7CB1" w:rsidRDefault="003B5312" w:rsidP="00BC5572">
      <w:pPr>
        <w:pStyle w:val="ListParagraph"/>
        <w:numPr>
          <w:ilvl w:val="0"/>
          <w:numId w:val="19"/>
        </w:numPr>
        <w:spacing w:after="120"/>
        <w:rPr>
          <w:lang w:val="en-AU"/>
        </w:rPr>
      </w:pPr>
      <w:r w:rsidRPr="00CF7CB1">
        <w:rPr>
          <w:b/>
          <w:lang w:val="en-AU"/>
        </w:rPr>
        <w:t>ASEAN–Australia and New Zealand Free Trade Agreement Economic Cooperation Support Program (AANZFTA AECSP) 2010-2018</w:t>
      </w:r>
      <w:r w:rsidRPr="00CF7CB1">
        <w:rPr>
          <w:lang w:val="en-AU"/>
        </w:rPr>
        <w:t xml:space="preserve">—an AUD27.5 million </w:t>
      </w:r>
      <w:r w:rsidR="008D6E5F">
        <w:rPr>
          <w:lang w:val="en-AU"/>
        </w:rPr>
        <w:t>eight</w:t>
      </w:r>
      <w:r w:rsidRPr="00CF7CB1">
        <w:rPr>
          <w:lang w:val="en-AU"/>
        </w:rPr>
        <w:t>-year program to help build the capacity of ASEAN countries to access the benefits of AANZFTA. This evaluation looked at three activities in Laos and Cambodia: (1) ASEAN Regional Diagnostic Network (ARDN); (2) Rules of Origin support; and (3) Madrid Protocol assistance.</w:t>
      </w:r>
    </w:p>
    <w:p w14:paraId="67E86179" w14:textId="77777777" w:rsidR="003B5312" w:rsidRPr="00CF7CB1" w:rsidRDefault="003B5312" w:rsidP="00BC5572">
      <w:pPr>
        <w:pStyle w:val="ListParagraph"/>
        <w:numPr>
          <w:ilvl w:val="0"/>
          <w:numId w:val="19"/>
        </w:numPr>
        <w:spacing w:after="120"/>
        <w:rPr>
          <w:lang w:val="en-AU"/>
        </w:rPr>
      </w:pPr>
      <w:r w:rsidRPr="00CF7CB1">
        <w:rPr>
          <w:b/>
          <w:lang w:val="en-AU"/>
        </w:rPr>
        <w:t>The Trade Development Facility 2 (TDF-2) 2013-2017</w:t>
      </w:r>
      <w:r w:rsidRPr="00CF7CB1">
        <w:rPr>
          <w:lang w:val="en-AU"/>
        </w:rPr>
        <w:t>—an AUD19.8 million program (AUD8.7 million contribution from Australia) in Laos that is providing support across five components: trade facilitation, sanitary and phytosanitary rules and technical barriers to trade, export competitiveness, business environment, trade policy, trade agreements and global opportunities.</w:t>
      </w:r>
    </w:p>
    <w:p w14:paraId="58F054E5" w14:textId="77777777" w:rsidR="003B5312" w:rsidRPr="00CF7CB1" w:rsidRDefault="003B5312" w:rsidP="00BC5572">
      <w:pPr>
        <w:pStyle w:val="ListParagraph"/>
        <w:numPr>
          <w:ilvl w:val="0"/>
          <w:numId w:val="19"/>
        </w:numPr>
        <w:spacing w:after="120"/>
        <w:rPr>
          <w:lang w:val="en-AU"/>
        </w:rPr>
      </w:pPr>
      <w:r w:rsidRPr="00CF7CB1">
        <w:rPr>
          <w:b/>
          <w:lang w:val="en-AU"/>
        </w:rPr>
        <w:t>Pacific Horticultural and Agricultural Market Access (PHAMA) 2009-2017</w:t>
      </w:r>
      <w:r w:rsidRPr="00CF7CB1">
        <w:rPr>
          <w:lang w:val="en-AU"/>
        </w:rPr>
        <w:t>—an AUD34.2 million trade facilitation program to assist the Pacific Island Countries and Territories (PICTs) address market access issues. PHAMA (Phase 2) assists Samoa, Tonga, Solomon</w:t>
      </w:r>
      <w:r w:rsidR="00E711E9" w:rsidRPr="00CF7CB1">
        <w:rPr>
          <w:lang w:val="en-AU"/>
        </w:rPr>
        <w:t xml:space="preserve"> Islands, Vanuatu, PNG and Fiji</w:t>
      </w:r>
      <w:r w:rsidR="00E711E9" w:rsidRPr="00CF7CB1">
        <w:rPr>
          <w:rStyle w:val="FootnoteReference"/>
          <w:lang w:val="en-AU"/>
        </w:rPr>
        <w:footnoteReference w:id="27"/>
      </w:r>
      <w:r w:rsidRPr="00CF7CB1">
        <w:rPr>
          <w:lang w:val="en-AU"/>
        </w:rPr>
        <w:t xml:space="preserve"> by addressing the quarantine, sanitary, phytosanitary and other market access requirements.</w:t>
      </w:r>
    </w:p>
    <w:p w14:paraId="16F5AB49" w14:textId="77777777" w:rsidR="003B5312" w:rsidRPr="00CF7CB1" w:rsidRDefault="003B5312" w:rsidP="00BC5572">
      <w:pPr>
        <w:pStyle w:val="ListParagraph"/>
        <w:numPr>
          <w:ilvl w:val="0"/>
          <w:numId w:val="19"/>
        </w:numPr>
        <w:spacing w:after="120"/>
        <w:rPr>
          <w:lang w:val="en-AU"/>
        </w:rPr>
      </w:pPr>
      <w:r w:rsidRPr="00CF7CB1">
        <w:rPr>
          <w:b/>
          <w:lang w:val="en-AU"/>
        </w:rPr>
        <w:t>Pacific Agreement on Closer Economic Relations (PACER Plus) 2007-2016</w:t>
      </w:r>
      <w:r w:rsidRPr="00CF7CB1">
        <w:rPr>
          <w:lang w:val="en-AU"/>
        </w:rPr>
        <w:t>—an AUD13.3 million initiative supporting Pacific Island Countries (PICs) to negotiate and prepare for the implementation of a regional economic integration agreement. At</w:t>
      </w:r>
      <w:r w:rsidR="001219D9" w:rsidRPr="00CF7CB1">
        <w:rPr>
          <w:lang w:val="en-AU"/>
        </w:rPr>
        <w:t xml:space="preserve"> this stage, it is helping PICs to </w:t>
      </w:r>
      <w:r w:rsidRPr="00CF7CB1">
        <w:rPr>
          <w:lang w:val="en-AU"/>
        </w:rPr>
        <w:t>participate</w:t>
      </w:r>
      <w:r w:rsidR="001219D9" w:rsidRPr="00CF7CB1">
        <w:rPr>
          <w:lang w:val="en-AU"/>
        </w:rPr>
        <w:t xml:space="preserve"> and engage effectively in </w:t>
      </w:r>
      <w:r w:rsidRPr="00CF7CB1">
        <w:rPr>
          <w:lang w:val="en-AU"/>
        </w:rPr>
        <w:t xml:space="preserve">trade </w:t>
      </w:r>
      <w:r w:rsidR="001219D9" w:rsidRPr="00CF7CB1">
        <w:rPr>
          <w:lang w:val="en-AU"/>
        </w:rPr>
        <w:t xml:space="preserve">negotiations, including </w:t>
      </w:r>
      <w:r w:rsidRPr="00CF7CB1">
        <w:rPr>
          <w:lang w:val="en-AU"/>
        </w:rPr>
        <w:t>support for related stakeholder consultations at r</w:t>
      </w:r>
      <w:r w:rsidR="001219D9" w:rsidRPr="00CF7CB1">
        <w:rPr>
          <w:lang w:val="en-AU"/>
        </w:rPr>
        <w:t>egional and national level.</w:t>
      </w:r>
    </w:p>
    <w:p w14:paraId="69B8DE0B" w14:textId="77777777" w:rsidR="003B5312" w:rsidRPr="00CF7CB1" w:rsidRDefault="003B5312" w:rsidP="00337BCF">
      <w:pPr>
        <w:spacing w:after="120"/>
        <w:rPr>
          <w:lang w:val="en-AU"/>
        </w:rPr>
      </w:pPr>
      <w:r w:rsidRPr="00CF7CB1">
        <w:rPr>
          <w:lang w:val="en-AU"/>
        </w:rPr>
        <w:t>These four are considered strategic priorities for Australia, have sufficient data and resources available to conduct an evaluation, and have strong components of trade facilitation and related assistance. In addition these investments operate in the regions that Australia considers a priority i.e. Asia and the Pacific.</w:t>
      </w:r>
    </w:p>
    <w:p w14:paraId="742B339E" w14:textId="77777777" w:rsidR="003B5312" w:rsidRPr="00CF7CB1" w:rsidRDefault="003B5312" w:rsidP="00337BCF">
      <w:pPr>
        <w:spacing w:after="120"/>
        <w:rPr>
          <w:lang w:val="en-AU"/>
        </w:rPr>
      </w:pPr>
      <w:r w:rsidRPr="00CF7CB1">
        <w:rPr>
          <w:lang w:val="en-AU"/>
        </w:rPr>
        <w:t>The evaluation examined how the interventions address gender equality and women’s economic empowerment. Case studies selected also provided insight and lessons for poverty reduction and economic growth. The evaluation considered how effectively Australia’s regional and bilateral interventions have addressed country priorities.</w:t>
      </w:r>
    </w:p>
    <w:p w14:paraId="38683C9E" w14:textId="77777777" w:rsidR="003B5312" w:rsidRPr="00CF7CB1" w:rsidRDefault="003B5312" w:rsidP="00AB2269">
      <w:pPr>
        <w:pStyle w:val="Heading2"/>
        <w:rPr>
          <w:lang w:val="en-AU"/>
        </w:rPr>
      </w:pPr>
      <w:r w:rsidRPr="00CF7CB1">
        <w:rPr>
          <w:lang w:val="en-AU"/>
        </w:rPr>
        <w:t>Objectives</w:t>
      </w:r>
    </w:p>
    <w:p w14:paraId="11EA5BEF" w14:textId="77777777" w:rsidR="003B5312" w:rsidRPr="00CF7CB1" w:rsidRDefault="003B5312" w:rsidP="00337BCF">
      <w:pPr>
        <w:spacing w:after="120"/>
        <w:rPr>
          <w:lang w:val="en-AU"/>
        </w:rPr>
      </w:pPr>
      <w:r w:rsidRPr="00CF7CB1">
        <w:rPr>
          <w:lang w:val="en-AU"/>
        </w:rPr>
        <w:t xml:space="preserve">The </w:t>
      </w:r>
      <w:r w:rsidRPr="00CF7CB1">
        <w:rPr>
          <w:b/>
          <w:lang w:val="en-AU"/>
        </w:rPr>
        <w:t>objectives</w:t>
      </w:r>
      <w:r w:rsidRPr="00CF7CB1">
        <w:rPr>
          <w:lang w:val="en-AU"/>
        </w:rPr>
        <w:t xml:space="preserve"> are to:</w:t>
      </w:r>
    </w:p>
    <w:p w14:paraId="66D58DD4" w14:textId="77777777" w:rsidR="003B5312" w:rsidRPr="00CF7CB1" w:rsidRDefault="003B5312" w:rsidP="00BC5572">
      <w:pPr>
        <w:pStyle w:val="ListParagraph"/>
        <w:numPr>
          <w:ilvl w:val="0"/>
          <w:numId w:val="20"/>
        </w:numPr>
        <w:spacing w:after="120"/>
        <w:rPr>
          <w:lang w:val="en-AU"/>
        </w:rPr>
      </w:pPr>
      <w:r w:rsidRPr="00CF7CB1">
        <w:rPr>
          <w:lang w:val="en-AU"/>
        </w:rPr>
        <w:t>Evaluate the effectiveness and efficiency of Australian support to partner countries provided through a number of DFAT-funded trade facilitation investments including the extent to which they have improved the capacity of the recipient partner, enhanced internati</w:t>
      </w:r>
      <w:r w:rsidR="00D9405C" w:rsidRPr="00CF7CB1">
        <w:rPr>
          <w:lang w:val="en-AU"/>
        </w:rPr>
        <w:t>onal trade and promoted gender</w:t>
      </w:r>
      <w:r w:rsidRPr="00CF7CB1">
        <w:rPr>
          <w:lang w:val="en-AU"/>
        </w:rPr>
        <w:t xml:space="preserve"> equality.</w:t>
      </w:r>
    </w:p>
    <w:p w14:paraId="29AEEC16" w14:textId="77777777" w:rsidR="003B5312" w:rsidRPr="00CF7CB1" w:rsidRDefault="003B5312" w:rsidP="00BC5572">
      <w:pPr>
        <w:pStyle w:val="ListParagraph"/>
        <w:numPr>
          <w:ilvl w:val="0"/>
          <w:numId w:val="20"/>
        </w:numPr>
        <w:spacing w:after="120"/>
        <w:rPr>
          <w:lang w:val="en-AU"/>
        </w:rPr>
      </w:pPr>
      <w:r w:rsidRPr="00CF7CB1">
        <w:rPr>
          <w:lang w:val="en-AU"/>
        </w:rPr>
        <w:t xml:space="preserve">Provide lessons for Australia’s ongoing and future engagement </w:t>
      </w:r>
      <w:r w:rsidR="00D9405C" w:rsidRPr="00CF7CB1">
        <w:rPr>
          <w:lang w:val="en-AU"/>
        </w:rPr>
        <w:t xml:space="preserve">in trade facilitation, drawing </w:t>
      </w:r>
      <w:r w:rsidRPr="00CF7CB1">
        <w:rPr>
          <w:lang w:val="en-AU"/>
        </w:rPr>
        <w:t>on the experiences of the Australian aid program and other international development</w:t>
      </w:r>
      <w:r w:rsidR="00D9405C" w:rsidRPr="00CF7CB1">
        <w:rPr>
          <w:lang w:val="en-AU"/>
        </w:rPr>
        <w:t xml:space="preserve"> </w:t>
      </w:r>
      <w:r w:rsidRPr="00CF7CB1">
        <w:rPr>
          <w:lang w:val="en-AU"/>
        </w:rPr>
        <w:t>partners. ODE is interested to investigate why some investments or approaches are more cost effective than others. There is also an interest in lessons that can help improve performance measurement and enhance women’s leadership and economic empowerment.</w:t>
      </w:r>
    </w:p>
    <w:p w14:paraId="36A3DB50" w14:textId="77777777" w:rsidR="003B5312" w:rsidRPr="00CF7CB1" w:rsidRDefault="003B5312" w:rsidP="00337BCF">
      <w:pPr>
        <w:spacing w:after="120"/>
        <w:rPr>
          <w:lang w:val="en-AU"/>
        </w:rPr>
      </w:pPr>
      <w:r w:rsidRPr="00CF7CB1">
        <w:rPr>
          <w:lang w:val="en-AU"/>
        </w:rPr>
        <w:t xml:space="preserve">In addressing these objectives a range of </w:t>
      </w:r>
      <w:r w:rsidRPr="00CF7CB1">
        <w:rPr>
          <w:b/>
          <w:lang w:val="en-AU"/>
        </w:rPr>
        <w:t>contextual factors</w:t>
      </w:r>
      <w:r w:rsidRPr="00CF7CB1">
        <w:rPr>
          <w:lang w:val="en-AU"/>
        </w:rPr>
        <w:t xml:space="preserve"> influencing the evaluability of DFAT’s investments and the use of the evaluation report have been taken into account:</w:t>
      </w:r>
    </w:p>
    <w:p w14:paraId="4721654D" w14:textId="77777777" w:rsidR="003B5312" w:rsidRPr="00CF7CB1" w:rsidRDefault="003B5312" w:rsidP="00BC5572">
      <w:pPr>
        <w:pStyle w:val="ListParagraph"/>
        <w:numPr>
          <w:ilvl w:val="0"/>
          <w:numId w:val="21"/>
        </w:numPr>
        <w:spacing w:after="120"/>
        <w:rPr>
          <w:lang w:val="en-AU"/>
        </w:rPr>
      </w:pPr>
      <w:r w:rsidRPr="00CF7CB1">
        <w:rPr>
          <w:lang w:val="en-AU"/>
        </w:rPr>
        <w:t>DFAT’s policy and programming priorities have developed over time: This evaluation considers DFAT’s investments over a number of years, but it is recognised there have been a number of organisational changes within this period which have influenced the objectives and design of investments.</w:t>
      </w:r>
    </w:p>
    <w:p w14:paraId="6738219F" w14:textId="77777777" w:rsidR="003B5312" w:rsidRPr="00CF7CB1" w:rsidRDefault="003B5312" w:rsidP="00BC5572">
      <w:pPr>
        <w:pStyle w:val="ListParagraph"/>
        <w:numPr>
          <w:ilvl w:val="0"/>
          <w:numId w:val="21"/>
        </w:numPr>
        <w:spacing w:after="120"/>
        <w:rPr>
          <w:lang w:val="en-AU"/>
        </w:rPr>
      </w:pPr>
      <w:r w:rsidRPr="00CF7CB1">
        <w:rPr>
          <w:lang w:val="en-AU"/>
        </w:rPr>
        <w:t>DFAT’s policy and programming is continually evolving: One of the key objectives of this evaluation is to reflect on past performance with a view to improving policy and programming   in the future. The evaluation provides relevant and practical recommendations for   strengthening investments in trade facilitation in line with global trends and good practice.</w:t>
      </w:r>
    </w:p>
    <w:p w14:paraId="6F6ECB1E" w14:textId="77777777" w:rsidR="003B5312" w:rsidRPr="00CF7CB1" w:rsidRDefault="003B5312" w:rsidP="00BC5572">
      <w:pPr>
        <w:pStyle w:val="ListParagraph"/>
        <w:numPr>
          <w:ilvl w:val="0"/>
          <w:numId w:val="21"/>
        </w:numPr>
        <w:spacing w:after="120"/>
        <w:rPr>
          <w:lang w:val="en-AU"/>
        </w:rPr>
      </w:pPr>
      <w:r w:rsidRPr="00CF7CB1">
        <w:rPr>
          <w:lang w:val="en-AU"/>
        </w:rPr>
        <w:t>The effectiveness of investments must be assessed against the objectives they set out to achieve: Ongoing research to inform policy development has led to changes in what is considered ‘good practice’ in Australia and internationally. While this evaluation will draw on international good practice and lessons learnt to inform recommendations, individual investments will be assessed against their original stated objectives.</w:t>
      </w:r>
    </w:p>
    <w:p w14:paraId="08732F7E" w14:textId="77777777" w:rsidR="003B5312" w:rsidRPr="00CF7CB1" w:rsidRDefault="003B5312" w:rsidP="0062128C">
      <w:pPr>
        <w:pStyle w:val="Heading2"/>
        <w:rPr>
          <w:lang w:val="en-AU"/>
        </w:rPr>
      </w:pPr>
      <w:r w:rsidRPr="00CF7CB1">
        <w:rPr>
          <w:lang w:val="en-AU"/>
        </w:rPr>
        <w:t>Key evaluation questions</w:t>
      </w:r>
    </w:p>
    <w:p w14:paraId="45F1B656" w14:textId="77777777" w:rsidR="003B5312" w:rsidRPr="00CF7CB1" w:rsidRDefault="003B5312" w:rsidP="00337BCF">
      <w:pPr>
        <w:spacing w:after="120"/>
        <w:rPr>
          <w:lang w:val="en-AU"/>
        </w:rPr>
      </w:pPr>
      <w:r w:rsidRPr="00CF7CB1">
        <w:rPr>
          <w:lang w:val="en-AU"/>
        </w:rPr>
        <w:t xml:space="preserve">The key evaluation questions (KEQs) relate directly to the evaluation’s objectives and are informed by the evaluability assessment, focus and scope of </w:t>
      </w:r>
      <w:r w:rsidR="0062128C" w:rsidRPr="00CF7CB1">
        <w:rPr>
          <w:lang w:val="en-AU"/>
        </w:rPr>
        <w:t xml:space="preserve">the evaluation. The evaluation </w:t>
      </w:r>
      <w:r w:rsidRPr="00CF7CB1">
        <w:rPr>
          <w:lang w:val="en-AU"/>
        </w:rPr>
        <w:t>will attempt to answer the following three broad categories of qu</w:t>
      </w:r>
      <w:r w:rsidR="0062128C" w:rsidRPr="00CF7CB1">
        <w:rPr>
          <w:lang w:val="en-AU"/>
        </w:rPr>
        <w:t xml:space="preserve">estions. For all questions, </w:t>
      </w:r>
      <w:r w:rsidRPr="00CF7CB1">
        <w:rPr>
          <w:lang w:val="en-AU"/>
        </w:rPr>
        <w:t>the report provides lessons learnt and recommendations to inform future practice.</w:t>
      </w:r>
    </w:p>
    <w:p w14:paraId="64ECD89B" w14:textId="77777777" w:rsidR="003B5312" w:rsidRPr="00CF7CB1" w:rsidRDefault="003B5312" w:rsidP="00BC5572">
      <w:pPr>
        <w:pStyle w:val="ListParagraph"/>
        <w:numPr>
          <w:ilvl w:val="0"/>
          <w:numId w:val="22"/>
        </w:numPr>
        <w:spacing w:after="120"/>
        <w:rPr>
          <w:lang w:val="en-AU"/>
        </w:rPr>
      </w:pPr>
      <w:r w:rsidRPr="00CF7CB1">
        <w:rPr>
          <w:lang w:val="en-AU"/>
        </w:rPr>
        <w:t xml:space="preserve">How and to what extent have DFAT investments in trade facilitation affected the capacity </w:t>
      </w:r>
      <w:r w:rsidR="00B42850" w:rsidRPr="00CF7CB1">
        <w:rPr>
          <w:lang w:val="en-AU"/>
        </w:rPr>
        <w:t>of the</w:t>
      </w:r>
      <w:r w:rsidRPr="00CF7CB1">
        <w:rPr>
          <w:lang w:val="en-AU"/>
        </w:rPr>
        <w:t xml:space="preserve"> partner countries to increase internat</w:t>
      </w:r>
      <w:r w:rsidR="00B42850" w:rsidRPr="00CF7CB1">
        <w:rPr>
          <w:lang w:val="en-AU"/>
        </w:rPr>
        <w:t>ional</w:t>
      </w:r>
      <w:r w:rsidRPr="00CF7CB1">
        <w:rPr>
          <w:lang w:val="en-AU"/>
        </w:rPr>
        <w:t xml:space="preserve"> trade?</w:t>
      </w:r>
    </w:p>
    <w:p w14:paraId="6D3EAA91" w14:textId="77777777" w:rsidR="003B5312" w:rsidRPr="00CF7CB1" w:rsidRDefault="003B5312" w:rsidP="00BC5572">
      <w:pPr>
        <w:pStyle w:val="ListParagraph"/>
        <w:numPr>
          <w:ilvl w:val="1"/>
          <w:numId w:val="22"/>
        </w:numPr>
        <w:spacing w:after="120"/>
        <w:rPr>
          <w:lang w:val="en-AU"/>
        </w:rPr>
      </w:pPr>
      <w:r w:rsidRPr="00CF7CB1">
        <w:rPr>
          <w:lang w:val="en-AU"/>
        </w:rPr>
        <w:t>This question will explore the nature, description, type and evidence in relation to any outcomes resulting from the four Australian investments and which ones have been effective and why.</w:t>
      </w:r>
    </w:p>
    <w:p w14:paraId="18226AF9" w14:textId="77777777" w:rsidR="003B5312" w:rsidRPr="00CF7CB1" w:rsidRDefault="003B5312" w:rsidP="00BC5572">
      <w:pPr>
        <w:pStyle w:val="ListParagraph"/>
        <w:numPr>
          <w:ilvl w:val="0"/>
          <w:numId w:val="22"/>
        </w:numPr>
        <w:spacing w:after="120"/>
        <w:rPr>
          <w:lang w:val="en-AU"/>
        </w:rPr>
      </w:pPr>
      <w:r w:rsidRPr="00CF7CB1">
        <w:rPr>
          <w:lang w:val="en-AU"/>
        </w:rPr>
        <w:t>To what extent have the relevant DFAT investments led to positive changes in achieving the</w:t>
      </w:r>
      <w:r w:rsidR="0038322B" w:rsidRPr="00CF7CB1">
        <w:rPr>
          <w:lang w:val="en-AU"/>
        </w:rPr>
        <w:t xml:space="preserve"> </w:t>
      </w:r>
      <w:r w:rsidRPr="00CF7CB1">
        <w:rPr>
          <w:lang w:val="en-AU"/>
        </w:rPr>
        <w:t>partner country’s broader economic and development goals? Is there evidence to suggest this?</w:t>
      </w:r>
    </w:p>
    <w:p w14:paraId="7B6E9451" w14:textId="77777777" w:rsidR="003B5312" w:rsidRPr="00CF7CB1" w:rsidRDefault="003B5312" w:rsidP="00BC5572">
      <w:pPr>
        <w:pStyle w:val="ListParagraph"/>
        <w:numPr>
          <w:ilvl w:val="1"/>
          <w:numId w:val="22"/>
        </w:numPr>
        <w:spacing w:after="120"/>
        <w:rPr>
          <w:lang w:val="en-AU"/>
        </w:rPr>
      </w:pPr>
      <w:r w:rsidRPr="00CF7CB1">
        <w:rPr>
          <w:lang w:val="en-AU"/>
        </w:rPr>
        <w:t>This question will explore whether there were any broader benefits or unintended consequences from the investments. Gender considerations will be a particular focus.</w:t>
      </w:r>
    </w:p>
    <w:p w14:paraId="5C3CDAAA" w14:textId="77777777" w:rsidR="003B5312" w:rsidRPr="00CF7CB1" w:rsidRDefault="003B5312" w:rsidP="00BC5572">
      <w:pPr>
        <w:pStyle w:val="ListParagraph"/>
        <w:numPr>
          <w:ilvl w:val="0"/>
          <w:numId w:val="22"/>
        </w:numPr>
        <w:spacing w:after="120"/>
        <w:rPr>
          <w:lang w:val="en-AU"/>
        </w:rPr>
      </w:pPr>
      <w:r w:rsidRPr="00CF7CB1">
        <w:rPr>
          <w:lang w:val="en-AU"/>
        </w:rPr>
        <w:t>How do DFAT-supported trade facilitation investments compare with international good practice?</w:t>
      </w:r>
    </w:p>
    <w:p w14:paraId="259D93AF" w14:textId="77777777" w:rsidR="003B5312" w:rsidRPr="00CF7CB1" w:rsidRDefault="003B5312" w:rsidP="00BC5572">
      <w:pPr>
        <w:pStyle w:val="ListParagraph"/>
        <w:numPr>
          <w:ilvl w:val="1"/>
          <w:numId w:val="22"/>
        </w:numPr>
        <w:spacing w:after="120"/>
        <w:rPr>
          <w:lang w:val="en-AU"/>
        </w:rPr>
      </w:pPr>
      <w:r w:rsidRPr="00CF7CB1">
        <w:rPr>
          <w:lang w:val="en-AU"/>
        </w:rPr>
        <w:t>This question will explore how other donors, multilaterals or other organisations have performed in this area, and the lessons Australia can learn from good international practice.</w:t>
      </w:r>
    </w:p>
    <w:p w14:paraId="293777F1" w14:textId="77777777" w:rsidR="003B5312" w:rsidRPr="00CF7CB1" w:rsidRDefault="002F3667" w:rsidP="002F3667">
      <w:pPr>
        <w:pStyle w:val="Heading2"/>
        <w:rPr>
          <w:lang w:val="en-AU"/>
        </w:rPr>
      </w:pPr>
      <w:r w:rsidRPr="00CF7CB1">
        <w:rPr>
          <w:lang w:val="en-AU"/>
        </w:rPr>
        <w:t xml:space="preserve">Approach </w:t>
      </w:r>
      <w:r w:rsidR="003B5312" w:rsidRPr="00CF7CB1">
        <w:rPr>
          <w:lang w:val="en-AU"/>
        </w:rPr>
        <w:t>and methodology</w:t>
      </w:r>
    </w:p>
    <w:p w14:paraId="50012A72" w14:textId="77777777" w:rsidR="003B5312" w:rsidRPr="00CF7CB1" w:rsidRDefault="003B5312" w:rsidP="00337BCF">
      <w:pPr>
        <w:spacing w:after="120"/>
        <w:rPr>
          <w:lang w:val="en-AU"/>
        </w:rPr>
      </w:pPr>
      <w:r w:rsidRPr="00CF7CB1">
        <w:rPr>
          <w:lang w:val="en-AU"/>
        </w:rPr>
        <w:t>The general approach to this evaluation is theory-based while also examining implementation processes, capacity and coordination. The research methods used are predominantly   qualitative supplemented by quan</w:t>
      </w:r>
      <w:r w:rsidR="002F3667" w:rsidRPr="00CF7CB1">
        <w:rPr>
          <w:lang w:val="en-AU"/>
        </w:rPr>
        <w:t>titative data where available.</w:t>
      </w:r>
      <w:r w:rsidR="002F3667" w:rsidRPr="00CF7CB1">
        <w:rPr>
          <w:rStyle w:val="FootnoteReference"/>
          <w:lang w:val="en-AU"/>
        </w:rPr>
        <w:footnoteReference w:id="28"/>
      </w:r>
      <w:r w:rsidRPr="00CF7CB1">
        <w:rPr>
          <w:lang w:val="en-AU"/>
        </w:rPr>
        <w:t xml:space="preserve"> The theory-based evaluation</w:t>
      </w:r>
      <w:r w:rsidR="00D62262" w:rsidRPr="00CF7CB1">
        <w:rPr>
          <w:lang w:val="en-AU"/>
        </w:rPr>
        <w:t xml:space="preserve"> </w:t>
      </w:r>
      <w:r w:rsidRPr="00CF7CB1">
        <w:rPr>
          <w:lang w:val="en-AU"/>
        </w:rPr>
        <w:t>is framed and guided by a program’s Theory of Change (ToC) and considers whether there is evidence that inputs to the program have resulted in the expected outputs and outcomes.</w:t>
      </w:r>
    </w:p>
    <w:p w14:paraId="57C645B5" w14:textId="77777777" w:rsidR="003B5312" w:rsidRPr="00CF7CB1" w:rsidRDefault="003B5312" w:rsidP="00337BCF">
      <w:pPr>
        <w:spacing w:after="120"/>
        <w:rPr>
          <w:lang w:val="en-AU"/>
        </w:rPr>
      </w:pPr>
      <w:r w:rsidRPr="00CF7CB1">
        <w:rPr>
          <w:lang w:val="en-AU"/>
        </w:rPr>
        <w:t>This helps to establish the extent to which individual programs have contributed to higher level goals. As AESCP and PACER Plus do not have a ToC, the evaluation compares the outputs</w:t>
      </w:r>
      <w:r w:rsidR="002F3667" w:rsidRPr="00CF7CB1">
        <w:rPr>
          <w:lang w:val="en-AU"/>
        </w:rPr>
        <w:t xml:space="preserve"> </w:t>
      </w:r>
      <w:r w:rsidRPr="00CF7CB1">
        <w:rPr>
          <w:lang w:val="en-AU"/>
        </w:rPr>
        <w:t>and outcomes with the program’s intended goals and objectives. The programs are also compared against the program logic model provided in Figure 3 adapted from DFAT’s Aid for Trade Strategy, 2015. This draft program logic model has not been used to make value-based judgements on past performance, as it is recognised that the projects being evaluated were not designed or implemented within this framework. Instead it is used as a guiding framework in assessing overall findings and developing recommendations.</w:t>
      </w:r>
    </w:p>
    <w:p w14:paraId="6C6D18FA" w14:textId="77777777" w:rsidR="003B5312" w:rsidRPr="00CF7CB1" w:rsidRDefault="003B5312" w:rsidP="00337BCF">
      <w:pPr>
        <w:spacing w:after="120"/>
        <w:rPr>
          <w:lang w:val="en-AU"/>
        </w:rPr>
      </w:pPr>
      <w:r w:rsidRPr="00CF7CB1">
        <w:rPr>
          <w:lang w:val="en-AU"/>
        </w:rPr>
        <w:t>The evaluation was conducted in three phases. During Phase</w:t>
      </w:r>
      <w:r w:rsidR="006F4E87" w:rsidRPr="00CF7CB1">
        <w:rPr>
          <w:lang w:val="en-AU"/>
        </w:rPr>
        <w:t xml:space="preserve"> 1 a ‘Mapping and Feasibility </w:t>
      </w:r>
      <w:r w:rsidRPr="00CF7CB1">
        <w:rPr>
          <w:lang w:val="en-AU"/>
        </w:rPr>
        <w:t>Study’ was conducted, which included a literature review and a high level assessment of Australia’s recent AfT investments to identify which would be</w:t>
      </w:r>
      <w:r w:rsidR="006F4E87" w:rsidRPr="00CF7CB1">
        <w:rPr>
          <w:lang w:val="en-AU"/>
        </w:rPr>
        <w:t xml:space="preserve"> suitable for more detailed analysis in the evaluation.</w:t>
      </w:r>
      <w:r w:rsidR="006F4E87" w:rsidRPr="00CF7CB1">
        <w:rPr>
          <w:rStyle w:val="FootnoteReference"/>
          <w:lang w:val="en-AU"/>
        </w:rPr>
        <w:footnoteReference w:id="29"/>
      </w:r>
      <w:r w:rsidRPr="00CF7CB1">
        <w:rPr>
          <w:lang w:val="en-AU"/>
        </w:rPr>
        <w:t xml:space="preserve"> An Evaluation Plan was then produced based on the Mapping and Feasibility Study a</w:t>
      </w:r>
      <w:r w:rsidR="002F3667" w:rsidRPr="00CF7CB1">
        <w:rPr>
          <w:lang w:val="en-AU"/>
        </w:rPr>
        <w:t>nd discussions with senior DFAT</w:t>
      </w:r>
      <w:r w:rsidRPr="00CF7CB1">
        <w:rPr>
          <w:lang w:val="en-AU"/>
        </w:rPr>
        <w:t xml:space="preserve"> officers, the Evaluation R</w:t>
      </w:r>
      <w:r w:rsidR="006F4E87" w:rsidRPr="00CF7CB1">
        <w:rPr>
          <w:lang w:val="en-AU"/>
        </w:rPr>
        <w:t>eference Group, and the DFAT</w:t>
      </w:r>
      <w:r w:rsidRPr="00CF7CB1">
        <w:rPr>
          <w:lang w:val="en-AU"/>
        </w:rPr>
        <w:t xml:space="preserve"> Independ</w:t>
      </w:r>
      <w:r w:rsidR="006F4E87" w:rsidRPr="00CF7CB1">
        <w:rPr>
          <w:lang w:val="en-AU"/>
        </w:rPr>
        <w:t xml:space="preserve">ent Evaluation Committee </w:t>
      </w:r>
      <w:r w:rsidRPr="00CF7CB1">
        <w:rPr>
          <w:lang w:val="en-AU"/>
        </w:rPr>
        <w:t>(IEC).</w:t>
      </w:r>
    </w:p>
    <w:p w14:paraId="30642210" w14:textId="77777777" w:rsidR="003B5312" w:rsidRPr="00CF7CB1" w:rsidRDefault="003B5312" w:rsidP="00337BCF">
      <w:pPr>
        <w:spacing w:after="120"/>
        <w:rPr>
          <w:lang w:val="en-AU"/>
        </w:rPr>
      </w:pPr>
      <w:r w:rsidRPr="00CF7CB1">
        <w:rPr>
          <w:lang w:val="en-AU"/>
        </w:rPr>
        <w:t>Phase 2 involved data collection and analysis based on li</w:t>
      </w:r>
      <w:r w:rsidR="00CB7314" w:rsidRPr="00CF7CB1">
        <w:rPr>
          <w:lang w:val="en-AU"/>
        </w:rPr>
        <w:t xml:space="preserve">terature reviews, key informant </w:t>
      </w:r>
      <w:r w:rsidRPr="00CF7CB1">
        <w:rPr>
          <w:lang w:val="en-AU"/>
        </w:rPr>
        <w:t>interviews and focus group discussions as the primary qualitative methods. Figure 4 describes the research framework based on the level of inquiry (from global to local); data sources and sampling strategies; focus and purpose of each level of inquiry; and synthesis to address the evaluation objectives, key evaluation questions and themes. Although the research methods were primarily qualitative, supplementary quantitative data was used where available. The evaluation team commissioned a training effectiveness survey focused on PACER Plus due</w:t>
      </w:r>
      <w:r w:rsidR="004859D7" w:rsidRPr="00CF7CB1">
        <w:rPr>
          <w:lang w:val="en-AU"/>
        </w:rPr>
        <w:t xml:space="preserve"> </w:t>
      </w:r>
      <w:r w:rsidRPr="00CF7CB1">
        <w:rPr>
          <w:lang w:val="en-AU"/>
        </w:rPr>
        <w:t xml:space="preserve">to the limited documentation available to support its evaluation. The findings of the PACER Plus training survey are summarised in Annex </w:t>
      </w:r>
      <w:r w:rsidR="008D6E5F">
        <w:rPr>
          <w:lang w:val="en-AU"/>
        </w:rPr>
        <w:t>1</w:t>
      </w:r>
      <w:r w:rsidRPr="00CF7CB1">
        <w:rPr>
          <w:lang w:val="en-AU"/>
        </w:rPr>
        <w:t xml:space="preserve">. All consultations conducted as part of this evaluation are listed in Annex </w:t>
      </w:r>
      <w:r w:rsidR="008D6E5F">
        <w:rPr>
          <w:lang w:val="en-AU"/>
        </w:rPr>
        <w:t>3</w:t>
      </w:r>
      <w:r w:rsidRPr="00CF7CB1">
        <w:rPr>
          <w:lang w:val="en-AU"/>
        </w:rPr>
        <w:t>.</w:t>
      </w:r>
    </w:p>
    <w:p w14:paraId="0C7B8161" w14:textId="77777777" w:rsidR="003B5312" w:rsidRPr="00CF7CB1" w:rsidRDefault="003B5312" w:rsidP="00337BCF">
      <w:pPr>
        <w:spacing w:after="120"/>
        <w:rPr>
          <w:lang w:val="en-AU"/>
        </w:rPr>
      </w:pPr>
      <w:r w:rsidRPr="00CF7CB1">
        <w:rPr>
          <w:lang w:val="en-AU"/>
        </w:rPr>
        <w:t>Phase 3 involved judgements and reporting based on a synthesis of the literature review and key findi</w:t>
      </w:r>
      <w:r w:rsidR="0029030E" w:rsidRPr="00CF7CB1">
        <w:rPr>
          <w:lang w:val="en-AU"/>
        </w:rPr>
        <w:t>ngs from interviews and field</w:t>
      </w:r>
      <w:r w:rsidRPr="00CF7CB1">
        <w:rPr>
          <w:lang w:val="en-AU"/>
        </w:rPr>
        <w:t xml:space="preserve"> research.</w:t>
      </w:r>
    </w:p>
    <w:p w14:paraId="791F173D" w14:textId="77777777" w:rsidR="003B5312" w:rsidRPr="00CF7CB1" w:rsidRDefault="0029030E" w:rsidP="00337BCF">
      <w:pPr>
        <w:spacing w:after="120"/>
        <w:rPr>
          <w:lang w:val="en-AU"/>
        </w:rPr>
      </w:pPr>
      <w:r w:rsidRPr="00CF7CB1">
        <w:rPr>
          <w:lang w:val="en-AU"/>
        </w:rPr>
        <w:t>The Evaluation Plan</w:t>
      </w:r>
      <w:r w:rsidRPr="00CF7CB1">
        <w:rPr>
          <w:rStyle w:val="FootnoteReference"/>
          <w:lang w:val="en-AU"/>
        </w:rPr>
        <w:footnoteReference w:id="30"/>
      </w:r>
      <w:r w:rsidR="00371CBB" w:rsidRPr="00CF7CB1">
        <w:rPr>
          <w:lang w:val="en-AU"/>
        </w:rPr>
        <w:t xml:space="preserve"> </w:t>
      </w:r>
      <w:r w:rsidR="003B5312" w:rsidRPr="00CF7CB1">
        <w:rPr>
          <w:lang w:val="en-AU"/>
        </w:rPr>
        <w:t>provides more detail on the evaluation approach and methodology.</w:t>
      </w:r>
    </w:p>
    <w:p w14:paraId="38CB776C" w14:textId="77777777" w:rsidR="003B5312" w:rsidRPr="00CF7CB1" w:rsidRDefault="00752174" w:rsidP="00337BCF">
      <w:pPr>
        <w:spacing w:after="120"/>
        <w:rPr>
          <w:lang w:val="en-AU"/>
        </w:rPr>
      </w:pPr>
      <w:r w:rsidRPr="00CF7CB1">
        <w:rPr>
          <w:noProof/>
          <w:lang w:val="en-AU" w:eastAsia="en-AU"/>
        </w:rPr>
        <w:drawing>
          <wp:inline distT="0" distB="0" distL="0" distR="0" wp14:anchorId="409CDAC9" wp14:editId="5728E315">
            <wp:extent cx="5641340" cy="3655421"/>
            <wp:effectExtent l="0" t="0" r="0" b="2540"/>
            <wp:docPr id="1" name="Picture 1" descr="Display of textiles of diverse colours and different patterns in a stall in Laos." title="Textiles stall display, La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41340" cy="3655421"/>
                    </a:xfrm>
                    <a:prstGeom prst="rect">
                      <a:avLst/>
                    </a:prstGeom>
                    <a:noFill/>
                    <a:ln>
                      <a:noFill/>
                    </a:ln>
                  </pic:spPr>
                </pic:pic>
              </a:graphicData>
            </a:graphic>
          </wp:inline>
        </w:drawing>
      </w:r>
    </w:p>
    <w:p w14:paraId="70B1323D" w14:textId="77777777" w:rsidR="0029030E" w:rsidRPr="00CF7CB1" w:rsidRDefault="0029030E" w:rsidP="0029030E">
      <w:pPr>
        <w:pStyle w:val="Caption"/>
        <w:rPr>
          <w:lang w:val="en-AU"/>
        </w:rPr>
      </w:pPr>
      <w:r w:rsidRPr="00CF7CB1">
        <w:rPr>
          <w:lang w:val="en-AU"/>
        </w:rPr>
        <w:t>Textiles stall display, Laos.</w:t>
      </w:r>
    </w:p>
    <w:p w14:paraId="58E13D5A" w14:textId="77777777" w:rsidR="003B5312" w:rsidRPr="00CF7CB1" w:rsidRDefault="0029030E" w:rsidP="0029030E">
      <w:pPr>
        <w:pStyle w:val="Source"/>
        <w:rPr>
          <w:lang w:val="en-AU"/>
        </w:rPr>
      </w:pPr>
      <w:r w:rsidRPr="00CF7CB1">
        <w:rPr>
          <w:lang w:val="en-AU"/>
        </w:rPr>
        <w:t>Source D. Goodwins</w:t>
      </w:r>
    </w:p>
    <w:p w14:paraId="53FB94D0" w14:textId="77777777" w:rsidR="00847481" w:rsidRPr="00CF7CB1" w:rsidRDefault="00847481">
      <w:pPr>
        <w:rPr>
          <w:b/>
          <w:bCs/>
          <w:szCs w:val="18"/>
          <w:lang w:val="en-AU"/>
        </w:rPr>
      </w:pPr>
      <w:r w:rsidRPr="00CF7CB1">
        <w:rPr>
          <w:lang w:val="en-AU"/>
        </w:rPr>
        <w:br w:type="page"/>
      </w:r>
    </w:p>
    <w:p w14:paraId="7588D7B6" w14:textId="77777777" w:rsidR="003B5312" w:rsidRPr="00CF7CB1" w:rsidRDefault="0029030E" w:rsidP="00847481">
      <w:pPr>
        <w:pStyle w:val="Caption"/>
        <w:rPr>
          <w:lang w:val="en-AU"/>
        </w:rPr>
      </w:pPr>
      <w:r w:rsidRPr="00CF7CB1">
        <w:rPr>
          <w:lang w:val="en-AU"/>
        </w:rPr>
        <w:t>Figure 3: Draft Program Logic: DFAT Trade Facilitation Investments</w:t>
      </w:r>
    </w:p>
    <w:p w14:paraId="1DC84D64" w14:textId="77777777" w:rsidR="003B5312" w:rsidRPr="00CF7CB1" w:rsidRDefault="000A5A5C" w:rsidP="00337BCF">
      <w:pPr>
        <w:spacing w:after="120"/>
        <w:rPr>
          <w:lang w:val="en-AU"/>
        </w:rPr>
      </w:pPr>
      <w:r w:rsidRPr="00CF7CB1">
        <w:rPr>
          <w:noProof/>
          <w:lang w:val="en-AU" w:eastAsia="en-AU"/>
        </w:rPr>
        <w:drawing>
          <wp:inline distT="0" distB="0" distL="0" distR="0" wp14:anchorId="06C4A1D7" wp14:editId="28FDC445">
            <wp:extent cx="5480462" cy="7809862"/>
            <wp:effectExtent l="0" t="0" r="6350" b="0"/>
            <wp:docPr id="3257" name="Picture 3257" descr="This figure shows the draft Program Logic Model for DFAT Trade Facilitation Investments in Asia and the Pacific. It sets out the activities that remove obstacles to the movement of goods across borders, and any other technical assistance for trade policy and regulation or capacity building projects and programmes that enhance or facilitate trade. Investing in these activities lead to the development of articulated trade strategies and institutionalisation of trade reforms, which reduce costs and duration of border processes, business costs and time to move goods and services and increase market access. Consequently, there is an increase in trade and foreign and domestic investments, which enable business growth, higher incomes, more jobs; economic activity and growth; and empowered women. " title="Draft Program Logic: DFAT Trade Facilitation Inves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491796" cy="7826013"/>
                    </a:xfrm>
                    <a:prstGeom prst="rect">
                      <a:avLst/>
                    </a:prstGeom>
                  </pic:spPr>
                </pic:pic>
              </a:graphicData>
            </a:graphic>
          </wp:inline>
        </w:drawing>
      </w:r>
    </w:p>
    <w:p w14:paraId="284DBAF0" w14:textId="77777777" w:rsidR="003B5312" w:rsidRPr="00CF7CB1" w:rsidRDefault="00B07807" w:rsidP="00B07807">
      <w:pPr>
        <w:pStyle w:val="Caption"/>
        <w:rPr>
          <w:lang w:val="en-AU"/>
        </w:rPr>
      </w:pPr>
      <w:r w:rsidRPr="00CF7CB1">
        <w:rPr>
          <w:lang w:val="en-AU"/>
        </w:rPr>
        <w:t>Figure 4: Research Framework</w:t>
      </w:r>
    </w:p>
    <w:p w14:paraId="49095936" w14:textId="77777777" w:rsidR="003B5312" w:rsidRPr="00CF7CB1" w:rsidRDefault="00BE7016" w:rsidP="00337BCF">
      <w:pPr>
        <w:spacing w:after="120"/>
        <w:rPr>
          <w:lang w:val="en-AU"/>
        </w:rPr>
      </w:pPr>
      <w:r>
        <w:rPr>
          <w:noProof/>
          <w:lang w:val="en-AU" w:eastAsia="en-AU"/>
        </w:rPr>
        <w:drawing>
          <wp:inline distT="0" distB="0" distL="0" distR="0" wp14:anchorId="42420F05" wp14:editId="77895FC4">
            <wp:extent cx="5296535" cy="7673340"/>
            <wp:effectExtent l="0" t="0" r="12065" b="0"/>
            <wp:docPr id="10" name="Picture 4" descr="This figure shows the research framework which is based on the level of inquiry, from global to local, data sources and sampling strategies, focus and purpose of each level of inquiry; and synthesis to address the&#10;evaluation objectives, key evaluation questions, thematic areas and cross cutting themes." title="Research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96535" cy="7673340"/>
                    </a:xfrm>
                    <a:prstGeom prst="rect">
                      <a:avLst/>
                    </a:prstGeom>
                    <a:noFill/>
                    <a:ln>
                      <a:noFill/>
                    </a:ln>
                  </pic:spPr>
                </pic:pic>
              </a:graphicData>
            </a:graphic>
          </wp:inline>
        </w:drawing>
      </w:r>
    </w:p>
    <w:p w14:paraId="06B04629" w14:textId="77777777" w:rsidR="003B5312" w:rsidRPr="00CF7CB1" w:rsidRDefault="006F56B7" w:rsidP="00FE628A">
      <w:pPr>
        <w:pStyle w:val="Heading1"/>
        <w:tabs>
          <w:tab w:val="clear" w:pos="357"/>
          <w:tab w:val="left" w:pos="0"/>
        </w:tabs>
        <w:ind w:left="0" w:firstLine="0"/>
        <w:rPr>
          <w:lang w:val="en-AU"/>
        </w:rPr>
      </w:pPr>
      <w:r w:rsidRPr="00CF7CB1">
        <w:rPr>
          <w:lang w:val="en-AU"/>
        </w:rPr>
        <w:t>Improving the capacity of partner countries to increase international trade</w:t>
      </w:r>
    </w:p>
    <w:p w14:paraId="338048B2" w14:textId="77777777" w:rsidR="003B5312" w:rsidRPr="00CF7CB1" w:rsidRDefault="003B5312" w:rsidP="00337BCF">
      <w:pPr>
        <w:spacing w:after="120"/>
        <w:rPr>
          <w:lang w:val="en-AU"/>
        </w:rPr>
      </w:pPr>
      <w:r w:rsidRPr="00CF7CB1">
        <w:rPr>
          <w:lang w:val="en-AU"/>
        </w:rPr>
        <w:t>Investments in trade facilitation and related activities aim to increase the capacity of partner countries to participate effectively in international trade by improving import and export processes and reducing transaction costs; meeting international standards for trading products and services; reducing trade barriers such as tariffs and non-tariff measures; and having an improved ability to negotiate trade agreements to provide benefits to their countries. These improvements should lead to a reduction in the cost of doing business, increased market access, increases in international trade, and higher levels of foreign and domestic investment.</w:t>
      </w:r>
    </w:p>
    <w:p w14:paraId="5B71982C" w14:textId="77777777" w:rsidR="003B5312" w:rsidRPr="00CF7CB1" w:rsidRDefault="003B5312" w:rsidP="004B5744">
      <w:pPr>
        <w:pStyle w:val="Heading2"/>
        <w:rPr>
          <w:lang w:val="en-AU"/>
        </w:rPr>
      </w:pPr>
      <w:r w:rsidRPr="00CF7CB1">
        <w:rPr>
          <w:lang w:val="en-AU"/>
        </w:rPr>
        <w:t>The effectiveness of Australia’s contribution</w:t>
      </w:r>
    </w:p>
    <w:p w14:paraId="2FE7C313" w14:textId="77777777" w:rsidR="003B5312" w:rsidRPr="00CF7CB1" w:rsidRDefault="003B5312" w:rsidP="00337BCF">
      <w:pPr>
        <w:spacing w:after="120"/>
        <w:rPr>
          <w:lang w:val="en-AU"/>
        </w:rPr>
      </w:pPr>
      <w:r w:rsidRPr="00CF7CB1">
        <w:rPr>
          <w:lang w:val="en-AU"/>
        </w:rPr>
        <w:t xml:space="preserve">Effectiveness </w:t>
      </w:r>
      <w:r w:rsidR="004B5744" w:rsidRPr="00CF7CB1">
        <w:rPr>
          <w:lang w:val="en-AU"/>
        </w:rPr>
        <w:t>is measured by the per</w:t>
      </w:r>
      <w:r w:rsidRPr="00CF7CB1">
        <w:rPr>
          <w:lang w:val="en-AU"/>
        </w:rPr>
        <w:t>formance of the investment against its stated objective or intended outcomes. Within this framework, the focus is on what was achieved by the investment. The effectiveness of the four investments covered during fieldwork (PACER Plus, PHAMA, AECSP and TDF-2) and other relevant trade facilitation investments are summarised here.</w:t>
      </w:r>
    </w:p>
    <w:p w14:paraId="693389BD" w14:textId="77777777" w:rsidR="003B5312" w:rsidRPr="00CF7CB1" w:rsidRDefault="003B5312" w:rsidP="00E050A0">
      <w:pPr>
        <w:pStyle w:val="Heading3"/>
        <w:rPr>
          <w:lang w:val="en-AU"/>
        </w:rPr>
      </w:pPr>
      <w:r w:rsidRPr="00CF7CB1">
        <w:rPr>
          <w:lang w:val="en-AU"/>
        </w:rPr>
        <w:t>Investment outcomes</w:t>
      </w:r>
    </w:p>
    <w:p w14:paraId="79380FB1" w14:textId="77777777" w:rsidR="003B5312" w:rsidRPr="00CF7CB1" w:rsidRDefault="003B5312" w:rsidP="00337BCF">
      <w:pPr>
        <w:spacing w:after="120"/>
        <w:rPr>
          <w:lang w:val="en-AU"/>
        </w:rPr>
      </w:pPr>
      <w:r w:rsidRPr="00CF7CB1">
        <w:rPr>
          <w:b/>
          <w:lang w:val="en-AU"/>
        </w:rPr>
        <w:t>PACER Plus negotiations</w:t>
      </w:r>
      <w:r w:rsidRPr="00CF7CB1">
        <w:rPr>
          <w:lang w:val="en-AU"/>
        </w:rPr>
        <w:t xml:space="preserve"> were launched in 2009 and involve Australia and New Zealand, and 14 Pacific Islands Countries (PICs). To support the PICs, the Office of the Chief Trade Adviser (OCTA) was established in March 2010 in Port Vila, Vanuatu. The first holder of the</w:t>
      </w:r>
      <w:r w:rsidR="00103591">
        <w:rPr>
          <w:lang w:val="en-AU"/>
        </w:rPr>
        <w:t xml:space="preserve"> </w:t>
      </w:r>
      <w:r w:rsidRPr="00CF7CB1">
        <w:rPr>
          <w:lang w:val="en-AU"/>
        </w:rPr>
        <w:t>Office of Chief Trade Adviser to the PICs was appointed at the first Pacific Islands Forum Trade Ministers’ Meeting after the PACER Plus negotiations were launched. A WTO trade expert</w:t>
      </w:r>
      <w:r w:rsidR="000067FB" w:rsidRPr="00CF7CB1">
        <w:rPr>
          <w:lang w:val="en-AU"/>
        </w:rPr>
        <w:t xml:space="preserve"> </w:t>
      </w:r>
      <w:r w:rsidRPr="00CF7CB1">
        <w:rPr>
          <w:lang w:val="en-AU"/>
        </w:rPr>
        <w:t>was appointed to the position in 2012. OCTA, as an independent body, assists the PICs to analyse trade policy issues, develop negotiating strategies, and facilitate the development and coordination of negotiating positions.</w:t>
      </w:r>
    </w:p>
    <w:p w14:paraId="76BEF90D" w14:textId="77777777" w:rsidR="003B5312" w:rsidRPr="00CF7CB1" w:rsidRDefault="003B5312" w:rsidP="00337BCF">
      <w:pPr>
        <w:spacing w:after="120"/>
        <w:rPr>
          <w:lang w:val="en-AU"/>
        </w:rPr>
      </w:pPr>
      <w:r w:rsidRPr="00CF7CB1">
        <w:rPr>
          <w:lang w:val="en-AU"/>
        </w:rPr>
        <w:t>The capacity of trade officials in participating countries has been built and supplemented by OCTA through: (1) attending a structured university course at the University of Adelaide; (2) seconding trainee negotiators to OCTA for a period of three months to work on a range of trade negotiation issues as part of the OCTA team; (3) participating in PACER Plus Inter-sessional meetings and consultations with technical experts; (4) providing OCTA technical experts and specific support in-country on a demand-driven basis; and (5) supporting national consultation on PACER Plus within PICs.</w:t>
      </w:r>
    </w:p>
    <w:p w14:paraId="17655C64" w14:textId="77777777" w:rsidR="003B5312" w:rsidRPr="00CF7CB1" w:rsidRDefault="003B5312" w:rsidP="00337BCF">
      <w:pPr>
        <w:spacing w:after="120"/>
        <w:rPr>
          <w:lang w:val="en-AU"/>
        </w:rPr>
      </w:pPr>
      <w:r w:rsidRPr="00CF7CB1">
        <w:rPr>
          <w:lang w:val="en-AU"/>
        </w:rPr>
        <w:t>The secondment program gives PIC officials the opportunity to s</w:t>
      </w:r>
      <w:r w:rsidR="00C452AD" w:rsidRPr="00CF7CB1">
        <w:rPr>
          <w:lang w:val="en-AU"/>
        </w:rPr>
        <w:t xml:space="preserve">pend up to three months at OCTA </w:t>
      </w:r>
      <w:r w:rsidRPr="00CF7CB1">
        <w:rPr>
          <w:lang w:val="en-AU"/>
        </w:rPr>
        <w:t>to improve their knowledge about PACER  Plus and internat</w:t>
      </w:r>
      <w:r w:rsidR="00C452AD" w:rsidRPr="00CF7CB1">
        <w:rPr>
          <w:lang w:val="en-AU"/>
        </w:rPr>
        <w:t xml:space="preserve">ional trade issues. They are </w:t>
      </w:r>
      <w:r w:rsidRPr="00CF7CB1">
        <w:rPr>
          <w:lang w:val="en-AU"/>
        </w:rPr>
        <w:t>also able to elaborate on thei</w:t>
      </w:r>
      <w:r w:rsidR="000067FB" w:rsidRPr="00CF7CB1">
        <w:rPr>
          <w:lang w:val="en-AU"/>
        </w:rPr>
        <w:t xml:space="preserve">r country’s interests in PACER </w:t>
      </w:r>
      <w:r w:rsidRPr="00CF7CB1">
        <w:rPr>
          <w:lang w:val="en-AU"/>
        </w:rPr>
        <w:t>Plus</w:t>
      </w:r>
      <w:r w:rsidR="00C452AD" w:rsidRPr="00CF7CB1">
        <w:rPr>
          <w:lang w:val="en-AU"/>
        </w:rPr>
        <w:t xml:space="preserve"> and prepare draft schedules</w:t>
      </w:r>
      <w:r w:rsidRPr="00CF7CB1">
        <w:rPr>
          <w:lang w:val="en-AU"/>
        </w:rPr>
        <w:t xml:space="preserve"> for investment, trade in services and trade in goods. The evaluation found this to be a highly effective approach to ensuring PICs built internal capacity and progressed negotiations through informed decision making and an understanding of the costs an</w:t>
      </w:r>
      <w:r w:rsidR="00C452AD" w:rsidRPr="00CF7CB1">
        <w:rPr>
          <w:lang w:val="en-AU"/>
        </w:rPr>
        <w:t>d benefits. Improved capacity</w:t>
      </w:r>
      <w:r w:rsidRPr="00CF7CB1">
        <w:rPr>
          <w:lang w:val="en-AU"/>
        </w:rPr>
        <w:t xml:space="preserve"> also enhanced officials’ ability to carry out government reforms (see Box 1). However, no</w:t>
      </w:r>
      <w:r w:rsidR="000067FB" w:rsidRPr="00CF7CB1">
        <w:rPr>
          <w:lang w:val="en-AU"/>
        </w:rPr>
        <w:t xml:space="preserve">t all </w:t>
      </w:r>
      <w:r w:rsidRPr="00CF7CB1">
        <w:rPr>
          <w:lang w:val="en-AU"/>
        </w:rPr>
        <w:t>PICs have participated in this program as it was on a voluntary basis.</w:t>
      </w:r>
    </w:p>
    <w:p w14:paraId="269614C3" w14:textId="77777777" w:rsidR="004208E2" w:rsidRPr="00CF7CB1" w:rsidRDefault="004208E2" w:rsidP="006E72F0">
      <w:pPr>
        <w:pStyle w:val="Boxhead1"/>
        <w:pBdr>
          <w:top w:val="single" w:sz="4" w:space="1" w:color="auto"/>
          <w:left w:val="single" w:sz="4" w:space="4" w:color="auto"/>
          <w:bottom w:val="single" w:sz="4" w:space="1" w:color="auto"/>
          <w:right w:val="single" w:sz="4" w:space="4" w:color="auto"/>
        </w:pBdr>
        <w:rPr>
          <w:lang w:val="en-AU"/>
        </w:rPr>
      </w:pPr>
      <w:r w:rsidRPr="00CF7CB1">
        <w:rPr>
          <w:lang w:val="en-AU"/>
        </w:rPr>
        <w:t>Box 1. Building capacity to negotiate better in PACER Plus</w:t>
      </w:r>
    </w:p>
    <w:p w14:paraId="66A74BAA" w14:textId="77777777" w:rsidR="003B5312" w:rsidRPr="00CF7CB1" w:rsidRDefault="004208E2" w:rsidP="006E72F0">
      <w:pPr>
        <w:pBdr>
          <w:top w:val="single" w:sz="4" w:space="1" w:color="auto"/>
          <w:left w:val="single" w:sz="4" w:space="4" w:color="auto"/>
          <w:bottom w:val="single" w:sz="4" w:space="1" w:color="auto"/>
          <w:right w:val="single" w:sz="4" w:space="4" w:color="auto"/>
        </w:pBdr>
        <w:spacing w:after="120"/>
        <w:rPr>
          <w:lang w:val="en-AU"/>
        </w:rPr>
      </w:pPr>
      <w:r w:rsidRPr="00CF7CB1">
        <w:rPr>
          <w:noProof/>
          <w:lang w:val="en-AU" w:eastAsia="en-AU"/>
        </w:rPr>
        <w:drawing>
          <wp:inline distT="0" distB="0" distL="0" distR="0" wp14:anchorId="722A3EC4" wp14:editId="575C0ED7">
            <wp:extent cx="3946288" cy="2581275"/>
            <wp:effectExtent l="0" t="0" r="0" b="9525"/>
            <wp:docPr id="2" name="Picture 2" descr="Mr Alipate Tavo, a Trade Policy Officer, standing in a beach in Tonga. " title="Mr Alipate Tavo, To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9508" cy="2596464"/>
                    </a:xfrm>
                    <a:prstGeom prst="rect">
                      <a:avLst/>
                    </a:prstGeom>
                    <a:noFill/>
                    <a:ln>
                      <a:noFill/>
                    </a:ln>
                  </pic:spPr>
                </pic:pic>
              </a:graphicData>
            </a:graphic>
          </wp:inline>
        </w:drawing>
      </w:r>
    </w:p>
    <w:p w14:paraId="3B0E95E5" w14:textId="77777777" w:rsidR="004208E2" w:rsidRPr="00CF7CB1" w:rsidRDefault="004208E2" w:rsidP="006E72F0">
      <w:pPr>
        <w:pStyle w:val="Caption"/>
        <w:pBdr>
          <w:top w:val="single" w:sz="4" w:space="1" w:color="auto"/>
          <w:left w:val="single" w:sz="4" w:space="4" w:color="auto"/>
          <w:bottom w:val="single" w:sz="4" w:space="1" w:color="auto"/>
          <w:right w:val="single" w:sz="4" w:space="4" w:color="auto"/>
        </w:pBdr>
        <w:rPr>
          <w:lang w:val="en-AU"/>
        </w:rPr>
      </w:pPr>
      <w:r w:rsidRPr="00CF7CB1">
        <w:rPr>
          <w:lang w:val="en-AU"/>
        </w:rPr>
        <w:t>Mr Alipate Tavo, Tonga</w:t>
      </w:r>
    </w:p>
    <w:p w14:paraId="39994390" w14:textId="77777777" w:rsidR="003B5312" w:rsidRPr="00CF7CB1" w:rsidRDefault="004208E2" w:rsidP="006E72F0">
      <w:pPr>
        <w:pStyle w:val="Source"/>
        <w:pBdr>
          <w:top w:val="single" w:sz="4" w:space="1" w:color="auto"/>
          <w:left w:val="single" w:sz="4" w:space="4" w:color="auto"/>
          <w:bottom w:val="single" w:sz="4" w:space="1" w:color="auto"/>
          <w:right w:val="single" w:sz="4" w:space="4" w:color="auto"/>
        </w:pBdr>
        <w:rPr>
          <w:lang w:val="en-AU"/>
        </w:rPr>
      </w:pPr>
      <w:r w:rsidRPr="00CF7CB1">
        <w:rPr>
          <w:lang w:val="en-AU"/>
        </w:rPr>
        <w:t>Source: Alipate Tavo</w:t>
      </w:r>
    </w:p>
    <w:p w14:paraId="47C1CF31" w14:textId="77777777" w:rsidR="003B5312" w:rsidRPr="00CF7CB1" w:rsidRDefault="003B5312" w:rsidP="006E72F0">
      <w:pPr>
        <w:pBdr>
          <w:top w:val="single" w:sz="4" w:space="1" w:color="auto"/>
          <w:left w:val="single" w:sz="4" w:space="4" w:color="auto"/>
          <w:bottom w:val="single" w:sz="4" w:space="1" w:color="auto"/>
          <w:right w:val="single" w:sz="4" w:space="4" w:color="auto"/>
        </w:pBdr>
        <w:spacing w:after="120"/>
        <w:rPr>
          <w:lang w:val="en-AU"/>
        </w:rPr>
      </w:pPr>
    </w:p>
    <w:p w14:paraId="71366982" w14:textId="77777777" w:rsidR="003B5312" w:rsidRPr="00CF7CB1" w:rsidRDefault="003B5312" w:rsidP="006E72F0">
      <w:pPr>
        <w:pBdr>
          <w:top w:val="single" w:sz="4" w:space="1" w:color="auto"/>
          <w:left w:val="single" w:sz="4" w:space="4" w:color="auto"/>
          <w:bottom w:val="single" w:sz="4" w:space="1" w:color="auto"/>
          <w:right w:val="single" w:sz="4" w:space="4" w:color="auto"/>
        </w:pBdr>
        <w:spacing w:after="120"/>
        <w:rPr>
          <w:lang w:val="en-AU"/>
        </w:rPr>
      </w:pPr>
      <w:r w:rsidRPr="00CF7CB1">
        <w:rPr>
          <w:lang w:val="en-AU"/>
        </w:rPr>
        <w:t>Mr Alipate Tavo works for OCTA as Trade Policy Officer. He is originally from Tonga. He attended the University of Adelaide course provided by OCTA in 2009-10. In his 2-year training he studied various technical aspects of trade including: SPS, goods, services, investments, legislations and IP negotiations.</w:t>
      </w:r>
    </w:p>
    <w:p w14:paraId="4F7A90D8" w14:textId="77777777" w:rsidR="003B5312" w:rsidRPr="00CF7CB1" w:rsidRDefault="003B5312" w:rsidP="006E72F0">
      <w:pPr>
        <w:pBdr>
          <w:top w:val="single" w:sz="4" w:space="1" w:color="auto"/>
          <w:left w:val="single" w:sz="4" w:space="4" w:color="auto"/>
          <w:bottom w:val="single" w:sz="4" w:space="1" w:color="auto"/>
          <w:right w:val="single" w:sz="4" w:space="4" w:color="auto"/>
        </w:pBdr>
        <w:spacing w:after="120"/>
        <w:rPr>
          <w:lang w:val="en-AU"/>
        </w:rPr>
      </w:pPr>
      <w:r w:rsidRPr="00CF7CB1">
        <w:rPr>
          <w:lang w:val="en-AU"/>
        </w:rPr>
        <w:t>As a result of this training, Alipate now understands the region’s trade challenges and the underpinning technical and legal aspects and terminology. He is now able to use a ‘win-win’ approach during negotiations. He is carrying out comprehensive consultations with Tongan national stakeholders including government ministries, NGOs, chambers and</w:t>
      </w:r>
      <w:r w:rsidR="006E72F0" w:rsidRPr="00CF7CB1">
        <w:rPr>
          <w:lang w:val="en-AU"/>
        </w:rPr>
        <w:t xml:space="preserve"> business/</w:t>
      </w:r>
      <w:r w:rsidRPr="00CF7CB1">
        <w:rPr>
          <w:lang w:val="en-AU"/>
        </w:rPr>
        <w:t>industry associations. He feels more confident in his abilities to deliver correct information</w:t>
      </w:r>
      <w:r w:rsidR="00D62262" w:rsidRPr="00CF7CB1">
        <w:rPr>
          <w:lang w:val="en-AU"/>
        </w:rPr>
        <w:t xml:space="preserve"> </w:t>
      </w:r>
      <w:r w:rsidRPr="00CF7CB1">
        <w:rPr>
          <w:lang w:val="en-AU"/>
        </w:rPr>
        <w:t xml:space="preserve">to the senior government officials. OCTA training gave him a strong regional perspective and skills </w:t>
      </w:r>
      <w:r w:rsidR="0038322B" w:rsidRPr="00CF7CB1">
        <w:rPr>
          <w:lang w:val="en-AU"/>
        </w:rPr>
        <w:t xml:space="preserve">needed to participate in PACER </w:t>
      </w:r>
      <w:r w:rsidRPr="00CF7CB1">
        <w:rPr>
          <w:lang w:val="en-AU"/>
        </w:rPr>
        <w:t>Plus negotiations. Alipat</w:t>
      </w:r>
      <w:r w:rsidR="006E72F0" w:rsidRPr="00CF7CB1">
        <w:rPr>
          <w:lang w:val="en-AU"/>
        </w:rPr>
        <w:t xml:space="preserve">e wants to work for the WTO in </w:t>
      </w:r>
      <w:r w:rsidRPr="00CF7CB1">
        <w:rPr>
          <w:lang w:val="en-AU"/>
        </w:rPr>
        <w:t>the near future and represent Tonga. His skills have relevance for broader mu</w:t>
      </w:r>
      <w:r w:rsidR="006E72F0" w:rsidRPr="00CF7CB1">
        <w:rPr>
          <w:lang w:val="en-AU"/>
        </w:rPr>
        <w:t xml:space="preserve">ltilateral trade negotiations, not just </w:t>
      </w:r>
      <w:r w:rsidRPr="00CF7CB1">
        <w:rPr>
          <w:lang w:val="en-AU"/>
        </w:rPr>
        <w:t>PACER Plus.</w:t>
      </w:r>
    </w:p>
    <w:p w14:paraId="2C13889C" w14:textId="77777777" w:rsidR="003B5312" w:rsidRPr="00CF7CB1" w:rsidRDefault="003B5312" w:rsidP="006E72F0">
      <w:pPr>
        <w:pBdr>
          <w:top w:val="single" w:sz="4" w:space="1" w:color="auto"/>
          <w:left w:val="single" w:sz="4" w:space="4" w:color="auto"/>
          <w:bottom w:val="single" w:sz="4" w:space="1" w:color="auto"/>
          <w:right w:val="single" w:sz="4" w:space="4" w:color="auto"/>
        </w:pBdr>
        <w:spacing w:after="120"/>
        <w:rPr>
          <w:lang w:val="en-AU"/>
        </w:rPr>
      </w:pPr>
      <w:r w:rsidRPr="00CF7CB1">
        <w:rPr>
          <w:lang w:val="en-AU"/>
        </w:rPr>
        <w:t>With Alipate’s enhanced knowledge of trade issues and his ability to lead in consultations, Tonga has prepared a market access offer in goods which was tabled at the 12th inter-sessional PACER Plus negotiations meeting in Melbourne October 2015.</w:t>
      </w:r>
    </w:p>
    <w:p w14:paraId="046C8FDC" w14:textId="77777777" w:rsidR="003B5312" w:rsidRPr="00CF7CB1" w:rsidRDefault="003B5312" w:rsidP="00337BCF">
      <w:pPr>
        <w:spacing w:after="120"/>
        <w:rPr>
          <w:lang w:val="en-AU"/>
        </w:rPr>
      </w:pPr>
      <w:r w:rsidRPr="00CF7CB1">
        <w:rPr>
          <w:lang w:val="en-AU"/>
        </w:rPr>
        <w:t>To date officials from Federated States of Micronesia, Kiribati, Nauru, Papua New Guinea, Samoa, Solomon Islands, Tonga and Vanuatu have attended.</w:t>
      </w:r>
    </w:p>
    <w:p w14:paraId="53D78D77" w14:textId="77777777" w:rsidR="003B5312" w:rsidRPr="00CF7CB1" w:rsidRDefault="003B5312" w:rsidP="00337BCF">
      <w:pPr>
        <w:spacing w:after="120"/>
        <w:rPr>
          <w:lang w:val="en-AU"/>
        </w:rPr>
      </w:pPr>
      <w:r w:rsidRPr="00CF7CB1">
        <w:rPr>
          <w:lang w:val="en-AU"/>
        </w:rPr>
        <w:t>PACER Plus Parties have achieved substantial progress in the negotiations particularly over recent years as the capacity of PICs’ negotiators improved and the secondment of a WTO trade expert as the Chief Trade Adviser. Ten (of the 15) chapters of legal text have now been provisionally agreed and market access negotiations have commenced. The provisionally agreed chapters are: Customs Procedures; Sanitary and Phytosanitary Measures (SPS); Trade Regulations, Standards and Conformity Assessment Procedures (TBT); Trade in Services; Investment; Transparency; Development and Economic Cooperation; Consultation and Dispute Settlement; and Institutional Provisions and Final Provisions. The most recent negotiation</w:t>
      </w:r>
      <w:r w:rsidR="00D63EF9" w:rsidRPr="00CF7CB1">
        <w:rPr>
          <w:lang w:val="en-AU"/>
        </w:rPr>
        <w:t xml:space="preserve"> </w:t>
      </w:r>
      <w:r w:rsidRPr="00CF7CB1">
        <w:rPr>
          <w:lang w:val="en-AU"/>
        </w:rPr>
        <w:t xml:space="preserve">(December 2015) in Nadi achieved more progress with a total of eight (out of 14) PICs along </w:t>
      </w:r>
      <w:r w:rsidR="00D63EF9" w:rsidRPr="00CF7CB1">
        <w:rPr>
          <w:lang w:val="en-AU"/>
        </w:rPr>
        <w:t>with Australia and</w:t>
      </w:r>
      <w:r w:rsidRPr="00CF7CB1">
        <w:rPr>
          <w:lang w:val="en-AU"/>
        </w:rPr>
        <w:t xml:space="preserve"> New </w:t>
      </w:r>
      <w:r w:rsidR="00D63EF9" w:rsidRPr="00CF7CB1">
        <w:rPr>
          <w:lang w:val="en-AU"/>
        </w:rPr>
        <w:t>Zealand tabling market access</w:t>
      </w:r>
      <w:r w:rsidRPr="00CF7CB1">
        <w:rPr>
          <w:lang w:val="en-AU"/>
        </w:rPr>
        <w:t xml:space="preserve"> offers.</w:t>
      </w:r>
    </w:p>
    <w:p w14:paraId="0F5ADDF5" w14:textId="77777777" w:rsidR="003B5312" w:rsidRPr="00CF7CB1" w:rsidRDefault="003B5312" w:rsidP="00337BCF">
      <w:pPr>
        <w:spacing w:after="120"/>
        <w:rPr>
          <w:lang w:val="en-AU"/>
        </w:rPr>
      </w:pPr>
      <w:r w:rsidRPr="00CF7CB1">
        <w:rPr>
          <w:lang w:val="en-AU"/>
        </w:rPr>
        <w:t xml:space="preserve">PICs consider OCTA to be a good platform to raise concerns and exchange ideas with other members. </w:t>
      </w:r>
      <w:r w:rsidR="00D63EF9" w:rsidRPr="00CF7CB1">
        <w:rPr>
          <w:lang w:val="en-AU"/>
        </w:rPr>
        <w:t>OCTA is</w:t>
      </w:r>
      <w:r w:rsidRPr="00CF7CB1">
        <w:rPr>
          <w:lang w:val="en-AU"/>
        </w:rPr>
        <w:t xml:space="preserve"> the key coordination body which provides targeted technical advice </w:t>
      </w:r>
      <w:r w:rsidR="00D63EF9" w:rsidRPr="00CF7CB1">
        <w:rPr>
          <w:lang w:val="en-AU"/>
        </w:rPr>
        <w:t>essential for</w:t>
      </w:r>
      <w:r w:rsidRPr="00CF7CB1">
        <w:rPr>
          <w:lang w:val="en-AU"/>
        </w:rPr>
        <w:t xml:space="preserve"> advancing negotiations and finalising a number of cha</w:t>
      </w:r>
      <w:r w:rsidR="00D63EF9" w:rsidRPr="00CF7CB1">
        <w:rPr>
          <w:lang w:val="en-AU"/>
        </w:rPr>
        <w:t>pters. Between 2008 and 2013</w:t>
      </w:r>
      <w:r w:rsidRPr="00CF7CB1">
        <w:rPr>
          <w:lang w:val="en-AU"/>
        </w:rPr>
        <w:t xml:space="preserve"> training was provided to 32 PIC officials at the Institute for International Trade, University of Adelaide. A perception survey, conducted as part of this evaluation, found that</w:t>
      </w:r>
      <w:r w:rsidR="002E293C" w:rsidRPr="00CF7CB1">
        <w:rPr>
          <w:lang w:val="en-AU"/>
        </w:rPr>
        <w:t xml:space="preserve"> </w:t>
      </w:r>
      <w:r w:rsidRPr="00CF7CB1">
        <w:rPr>
          <w:lang w:val="en-AU"/>
        </w:rPr>
        <w:t>94 per cent considered the training effectively increased their kn</w:t>
      </w:r>
      <w:r w:rsidR="00D63EF9" w:rsidRPr="00CF7CB1">
        <w:rPr>
          <w:lang w:val="en-AU"/>
        </w:rPr>
        <w:t xml:space="preserve">owledge of how to negotiate </w:t>
      </w:r>
      <w:r w:rsidRPr="00CF7CB1">
        <w:rPr>
          <w:lang w:val="en-AU"/>
        </w:rPr>
        <w:t>and implement a PACER Plus Agreement. Two thirds of survey respondents had been promoted subsequent to the training. 82 per cent of respondents said</w:t>
      </w:r>
      <w:r w:rsidR="00D63EF9" w:rsidRPr="00CF7CB1">
        <w:rPr>
          <w:lang w:val="en-AU"/>
        </w:rPr>
        <w:t xml:space="preserve"> the training improved their </w:t>
      </w:r>
      <w:r w:rsidRPr="00CF7CB1">
        <w:rPr>
          <w:lang w:val="en-AU"/>
        </w:rPr>
        <w:t>awarene</w:t>
      </w:r>
      <w:r w:rsidR="00D63EF9" w:rsidRPr="00CF7CB1">
        <w:rPr>
          <w:lang w:val="en-AU"/>
        </w:rPr>
        <w:t>ss of the impacts of trade on</w:t>
      </w:r>
      <w:r w:rsidRPr="00CF7CB1">
        <w:rPr>
          <w:lang w:val="en-AU"/>
        </w:rPr>
        <w:t xml:space="preserve"> women.</w:t>
      </w:r>
    </w:p>
    <w:p w14:paraId="2C01BDAC" w14:textId="77777777" w:rsidR="003B5312" w:rsidRPr="00CF7CB1" w:rsidRDefault="003B5312" w:rsidP="00337BCF">
      <w:pPr>
        <w:spacing w:after="120"/>
        <w:rPr>
          <w:lang w:val="en-AU"/>
        </w:rPr>
      </w:pPr>
      <w:r w:rsidRPr="00CF7CB1">
        <w:rPr>
          <w:lang w:val="en-AU"/>
        </w:rPr>
        <w:t>In terms of the importance of OCTA secondment compared to the University of Adelaide training, the two capacity building activities focussed on different objectives. OCTA secondment provided opportunities for participants to work directly with senior negotiators in regards to their agenda and provided a hands on practical experience that was tailored to the specific persons needs in terms of the PACER Plus negotiations. The support provided had spill</w:t>
      </w:r>
      <w:r w:rsidR="00D63EF9" w:rsidRPr="00CF7CB1">
        <w:rPr>
          <w:lang w:val="en-AU"/>
        </w:rPr>
        <w:t xml:space="preserve"> over effects for other agreements being negotiated. The University of Adelaide training</w:t>
      </w:r>
      <w:r w:rsidRPr="00CF7CB1">
        <w:rPr>
          <w:lang w:val="en-AU"/>
        </w:rPr>
        <w:t xml:space="preserve"> provided a much wider coverage but was less specific to PACER Plus. The training was more comprehensive and anecdotal evidence from participants seemed to suggest it had wider   impact. The multiplier effect was also likely to be larger given there were more people carrying   out the training.</w:t>
      </w:r>
    </w:p>
    <w:p w14:paraId="59D635C4" w14:textId="77777777" w:rsidR="003B5312" w:rsidRPr="00CF7CB1" w:rsidRDefault="003B5312" w:rsidP="00337BCF">
      <w:pPr>
        <w:spacing w:after="120"/>
        <w:rPr>
          <w:lang w:val="en-AU"/>
        </w:rPr>
      </w:pPr>
      <w:r w:rsidRPr="00CF7CB1">
        <w:rPr>
          <w:b/>
          <w:lang w:val="en-AU"/>
        </w:rPr>
        <w:t>PHAMA</w:t>
      </w:r>
      <w:r w:rsidRPr="00CF7CB1">
        <w:rPr>
          <w:lang w:val="en-AU"/>
        </w:rPr>
        <w:t xml:space="preserve"> was designed in 2009 as a two-phase program of four years for each phase. Its goal is to open greater market opportunities and increase exports of high value primary products from five PICs (Fiji, Samoa, Solomon Islands, Tonga and Vanuatu). PHAMA helps PICs manage the regulatory aspects associated with exporting primary products and quarantine, including fresh and processed plant and animal products. It is now in its second phase following a mid-term review (MTR) conducted in 2013.</w:t>
      </w:r>
    </w:p>
    <w:p w14:paraId="09D98895" w14:textId="77777777" w:rsidR="003B5312" w:rsidRPr="00CF7CB1" w:rsidRDefault="003B5312" w:rsidP="00337BCF">
      <w:pPr>
        <w:spacing w:after="120"/>
        <w:rPr>
          <w:lang w:val="en-AU"/>
        </w:rPr>
      </w:pPr>
      <w:r w:rsidRPr="00CF7CB1">
        <w:rPr>
          <w:lang w:val="en-AU"/>
        </w:rPr>
        <w:t>The findings of the MTR and the evaluation noted the significance of PHAMA as a strategic regional priority with its market feasibility assessments providing valuable direction. Technical assistance to meet biosecurity requirements, quarantine regulations, and to support research and development, was also highly regarded during interviews with key informants.</w:t>
      </w:r>
    </w:p>
    <w:p w14:paraId="79597093" w14:textId="77777777" w:rsidR="003B5312" w:rsidRPr="00893288" w:rsidRDefault="003B5312" w:rsidP="00DF2D6F">
      <w:pPr>
        <w:pBdr>
          <w:top w:val="single" w:sz="4" w:space="1" w:color="auto"/>
          <w:bottom w:val="single" w:sz="4" w:space="1" w:color="auto"/>
        </w:pBdr>
        <w:spacing w:after="120"/>
        <w:rPr>
          <w:sz w:val="26"/>
          <w:szCs w:val="26"/>
          <w:lang w:val="en-AU"/>
        </w:rPr>
      </w:pPr>
      <w:r w:rsidRPr="00893288">
        <w:rPr>
          <w:sz w:val="26"/>
          <w:szCs w:val="26"/>
          <w:lang w:val="en-AU"/>
        </w:rPr>
        <w:t xml:space="preserve">‘PHAMA, by establishing IWGs and MAWGs, created a </w:t>
      </w:r>
      <w:r w:rsidR="00DF2D6F" w:rsidRPr="00893288">
        <w:rPr>
          <w:sz w:val="26"/>
          <w:szCs w:val="26"/>
          <w:lang w:val="en-AU"/>
        </w:rPr>
        <w:t xml:space="preserve">formal mechanism </w:t>
      </w:r>
      <w:r w:rsidRPr="00893288">
        <w:rPr>
          <w:sz w:val="26"/>
          <w:szCs w:val="26"/>
          <w:lang w:val="en-AU"/>
        </w:rPr>
        <w:t>for government and private sector dialogue for the first time. The private sector has access to Ministers and Director Generals. The relationship between government and industry is definitely stronger.’</w:t>
      </w:r>
    </w:p>
    <w:p w14:paraId="7740BD4C" w14:textId="77777777" w:rsidR="003B5312" w:rsidRPr="00CF7CB1" w:rsidRDefault="003B5312" w:rsidP="00DF2D6F">
      <w:pPr>
        <w:pStyle w:val="Source"/>
        <w:pBdr>
          <w:top w:val="single" w:sz="4" w:space="1" w:color="auto"/>
          <w:bottom w:val="single" w:sz="4" w:space="1" w:color="auto"/>
        </w:pBdr>
        <w:rPr>
          <w:lang w:val="en-AU"/>
        </w:rPr>
      </w:pPr>
      <w:r w:rsidRPr="00CF7CB1">
        <w:rPr>
          <w:lang w:val="en-AU"/>
        </w:rPr>
        <w:t>Merriam Toalak, Chair, MAWG, Vanuatu</w:t>
      </w:r>
    </w:p>
    <w:p w14:paraId="09AAFD3B" w14:textId="77777777" w:rsidR="003B5312" w:rsidRPr="00CF7CB1" w:rsidRDefault="003B5312" w:rsidP="00DF2D6F">
      <w:pPr>
        <w:spacing w:before="120" w:after="120"/>
        <w:rPr>
          <w:lang w:val="en-AU"/>
        </w:rPr>
      </w:pPr>
      <w:r w:rsidRPr="00CF7CB1">
        <w:rPr>
          <w:lang w:val="en-AU"/>
        </w:rPr>
        <w:t>The Market Access Working Groups (MAWGs) are a significant achievement of PHAMA during the first phase. They bring together members of the private and public sector to discuss market access issues and to prioritise activities to gain, maintain or improve market access. Industry Working Groups (IWGs) provide a similar function b</w:t>
      </w:r>
      <w:r w:rsidR="00DF2D6F" w:rsidRPr="00CF7CB1">
        <w:rPr>
          <w:lang w:val="en-AU"/>
        </w:rPr>
        <w:t>ut focus on single industries.</w:t>
      </w:r>
      <w:r w:rsidR="00DF2D6F" w:rsidRPr="00CF7CB1">
        <w:rPr>
          <w:rStyle w:val="FootnoteReference"/>
          <w:lang w:val="en-AU"/>
        </w:rPr>
        <w:footnoteReference w:id="31"/>
      </w:r>
      <w:r w:rsidRPr="00CF7CB1">
        <w:rPr>
          <w:lang w:val="en-AU"/>
        </w:rPr>
        <w:t xml:space="preserve"> These were also seen as a replicable model by government, facilitating private sector engagement. MAWGs have become well institutionalised during phase 2 in all participating countries (Fiji, Samoa, Solomon Islands, Tonga and Vanuatu). In addition, IWGs have been established either under PHAMA or independently to broaden engagement with the private sector in key export industries such as livestock, fisheries, cocoa, coconut and forestry.</w:t>
      </w:r>
    </w:p>
    <w:p w14:paraId="7FC17435" w14:textId="77777777" w:rsidR="003B5312" w:rsidRPr="00CF7CB1" w:rsidRDefault="003B5312" w:rsidP="00337BCF">
      <w:pPr>
        <w:spacing w:after="120"/>
        <w:rPr>
          <w:lang w:val="en-AU"/>
        </w:rPr>
      </w:pPr>
      <w:r w:rsidRPr="00CF7CB1">
        <w:rPr>
          <w:b/>
          <w:lang w:val="en-AU"/>
        </w:rPr>
        <w:t>AECSP</w:t>
      </w:r>
      <w:r w:rsidRPr="00CF7CB1">
        <w:rPr>
          <w:lang w:val="en-AU"/>
        </w:rPr>
        <w:t xml:space="preserve"> was established in 2010 to support the implementation of the ASEAN–Australia New Zealand FTA. The evaluation investigated three projects/activities as part of AECSP support.</w:t>
      </w:r>
    </w:p>
    <w:p w14:paraId="3B9402CD" w14:textId="77777777" w:rsidR="003B5312" w:rsidRPr="00CF7CB1" w:rsidRDefault="003B5312" w:rsidP="00BC5572">
      <w:pPr>
        <w:pStyle w:val="ListParagraph"/>
        <w:numPr>
          <w:ilvl w:val="0"/>
          <w:numId w:val="23"/>
        </w:numPr>
        <w:spacing w:after="120"/>
        <w:rPr>
          <w:lang w:val="en-AU"/>
        </w:rPr>
      </w:pPr>
      <w:r w:rsidRPr="00CF7CB1">
        <w:rPr>
          <w:lang w:val="en-AU"/>
        </w:rPr>
        <w:t>As part of the work program, the ASEAN Regional Diagnostic Network (ARDN) project was launched in 2010. It is a multi-year project aimed at enhancing the ca</w:t>
      </w:r>
      <w:r w:rsidR="007032FA" w:rsidRPr="00CF7CB1">
        <w:rPr>
          <w:lang w:val="en-AU"/>
        </w:rPr>
        <w:t>pacity of ASEAN Member States (AMS) to certify plant pests and diseases, promote regional</w:t>
      </w:r>
      <w:r w:rsidRPr="00CF7CB1">
        <w:rPr>
          <w:lang w:val="en-AU"/>
        </w:rPr>
        <w:t xml:space="preserve"> networking and support the adoption of new diagnostic techniques. ARDN provides Australian bilateral support to several AMS to help them implement a regi</w:t>
      </w:r>
      <w:r w:rsidR="007032FA" w:rsidRPr="00CF7CB1">
        <w:rPr>
          <w:lang w:val="en-AU"/>
        </w:rPr>
        <w:t>onal program. ARDN provides</w:t>
      </w:r>
      <w:r w:rsidRPr="00CF7CB1">
        <w:rPr>
          <w:lang w:val="en-AU"/>
        </w:rPr>
        <w:t xml:space="preserve"> training workshops, in-country mentoring activities, mentored field surveys, and procuring of imaging equipment and high-resolution microscopy equipme</w:t>
      </w:r>
      <w:r w:rsidR="007032FA" w:rsidRPr="00CF7CB1">
        <w:rPr>
          <w:lang w:val="en-AU"/>
        </w:rPr>
        <w:t>nt. It also facilitated the use of CABI</w:t>
      </w:r>
      <w:r w:rsidRPr="00CF7CB1">
        <w:rPr>
          <w:lang w:val="en-AU"/>
        </w:rPr>
        <w:t xml:space="preserve"> (Centre for Agriculture and Biosciences) based in Malaysia as a Clearing House for the Network. The training provided through ARDN has been used by Cambodia’s Department of Plant Protection and SPS to train their provincial inspectors who now report a better understanding of quarantine procedures and an improved capability to identify and control pest outbreaks. The microscopes and equipment provided through ARDN are seen as helpful in the process of pest identification and sharing information, however, in some cases a lack of training or related equipment and basic supplies, limited their use. For example, not being able to prepare the specimens so that they could be shared with the CABI network, or slow internet speed that prevented sending of large files.</w:t>
      </w:r>
    </w:p>
    <w:p w14:paraId="383C3B87" w14:textId="77777777" w:rsidR="003B5312" w:rsidRPr="00CF7CB1" w:rsidRDefault="003B5312" w:rsidP="00BC5572">
      <w:pPr>
        <w:pStyle w:val="ListParagraph"/>
        <w:numPr>
          <w:ilvl w:val="0"/>
          <w:numId w:val="23"/>
        </w:numPr>
        <w:spacing w:after="120"/>
        <w:rPr>
          <w:lang w:val="en-AU"/>
        </w:rPr>
      </w:pPr>
      <w:r w:rsidRPr="00CF7CB1">
        <w:rPr>
          <w:lang w:val="en-AU"/>
        </w:rPr>
        <w:t>In 2013, training was provided on Rules of Origin (ROO) in Cambodia. The workshop was attended by four officials from Customs, two from Ministry of Commerce, and one from Ministry of Finance. All participants were trainers and the workshop included training</w:t>
      </w:r>
      <w:r w:rsidR="007032FA" w:rsidRPr="00CF7CB1">
        <w:rPr>
          <w:lang w:val="en-AU"/>
        </w:rPr>
        <w:t xml:space="preserve"> </w:t>
      </w:r>
      <w:r w:rsidRPr="00CF7CB1">
        <w:rPr>
          <w:lang w:val="en-AU"/>
        </w:rPr>
        <w:t>on ROO and providing bilingual manuals. The approach of ‘train the trainer’ was also used under the AECSP-funded Rules of Origin training and led to more than 80 customs</w:t>
      </w:r>
      <w:r w:rsidR="007032FA" w:rsidRPr="00CF7CB1">
        <w:rPr>
          <w:lang w:val="en-AU"/>
        </w:rPr>
        <w:t xml:space="preserve"> </w:t>
      </w:r>
      <w:r w:rsidRPr="00CF7CB1">
        <w:rPr>
          <w:lang w:val="en-AU"/>
        </w:rPr>
        <w:t>checkpoint officers being trained. Due to the discipline of the Customs officials this activity was considered highly efficient and effective given the relatively small investment.</w:t>
      </w:r>
    </w:p>
    <w:p w14:paraId="79C487B3" w14:textId="77777777" w:rsidR="003B5312" w:rsidRPr="00CF7CB1" w:rsidRDefault="003B5312" w:rsidP="00BC5572">
      <w:pPr>
        <w:pStyle w:val="ListParagraph"/>
        <w:numPr>
          <w:ilvl w:val="0"/>
          <w:numId w:val="23"/>
        </w:numPr>
        <w:spacing w:after="120"/>
        <w:rPr>
          <w:lang w:val="en-AU"/>
        </w:rPr>
      </w:pPr>
      <w:r w:rsidRPr="00CF7CB1">
        <w:rPr>
          <w:lang w:val="en-AU"/>
        </w:rPr>
        <w:t xml:space="preserve">Support for accession to the Madrid Protocol was provided by IP Australia and included training and visits to Canberra for Ministry of Commerce staff. In May 2015, Cambodia acceded to the Madrid Protocol. It was the first ASEAN Member State that acceded due to </w:t>
      </w:r>
      <w:r w:rsidR="007032FA" w:rsidRPr="00CF7CB1">
        <w:rPr>
          <w:lang w:val="en-AU"/>
        </w:rPr>
        <w:t>support from the</w:t>
      </w:r>
      <w:r w:rsidRPr="00CF7CB1">
        <w:rPr>
          <w:lang w:val="en-AU"/>
        </w:rPr>
        <w:t xml:space="preserve"> AECSP.</w:t>
      </w:r>
    </w:p>
    <w:p w14:paraId="0396E02F" w14:textId="77777777" w:rsidR="003B5312" w:rsidRPr="00CF7CB1" w:rsidRDefault="003B5312" w:rsidP="00337BCF">
      <w:pPr>
        <w:spacing w:after="120"/>
        <w:rPr>
          <w:lang w:val="en-AU"/>
        </w:rPr>
      </w:pPr>
      <w:r w:rsidRPr="00CF7CB1">
        <w:rPr>
          <w:b/>
          <w:lang w:val="en-AU"/>
        </w:rPr>
        <w:t>TDF-2</w:t>
      </w:r>
      <w:r w:rsidRPr="00CF7CB1">
        <w:rPr>
          <w:lang w:val="en-AU"/>
        </w:rPr>
        <w:t xml:space="preserve"> is a World Bank Group (WBG) multi-donor project. Australia is the largest donor with a contribution of AUD8.7 million out of a total of AUD19.8 million. Implementation is from April 2013 to March 2017. The development objective of TDF-2 is to support the implementation of the Laos Government’s trade and integration priorities outlined in the 2012 Diagnostic Trade Integration Study Roadmap, and in particular to contribute to improved competitiveness and diversification, focussing outside the natural resources sectors. TDF-2 has three main components: Component A—Trade facilitation, trade policy and regulations; Component B—Diversification and Competitiveness, and Component C—Mainstreaming Aid for Trade.</w:t>
      </w:r>
      <w:r w:rsidR="006069AD" w:rsidRPr="00CF7CB1">
        <w:rPr>
          <w:lang w:val="en-AU"/>
        </w:rPr>
        <w:t xml:space="preserve"> </w:t>
      </w:r>
      <w:r w:rsidRPr="00CF7CB1">
        <w:rPr>
          <w:lang w:val="en-AU"/>
        </w:rPr>
        <w:t>TDF-2 was developed through the Diagnostic Trade Integration Studies (DTIS) and Enhanced Integrated Framework (EIF) which are tools specifically designed to mainstream trade. As such, they represent the most comprehensive approach to mainstreaming trade and integrating the different aspect of AfT.</w:t>
      </w:r>
    </w:p>
    <w:p w14:paraId="4E230BD1" w14:textId="77777777" w:rsidR="003B5312" w:rsidRPr="00CF7CB1" w:rsidRDefault="003B5312" w:rsidP="00337BCF">
      <w:pPr>
        <w:spacing w:after="120"/>
        <w:rPr>
          <w:lang w:val="en-AU"/>
        </w:rPr>
      </w:pPr>
      <w:r w:rsidRPr="00CF7CB1">
        <w:rPr>
          <w:lang w:val="en-AU"/>
        </w:rPr>
        <w:t>In October 2015, a jointly conducted Mid Term Review, led by the World Bank, was released</w:t>
      </w:r>
      <w:r w:rsidR="00D62262" w:rsidRPr="00CF7CB1">
        <w:rPr>
          <w:lang w:val="en-AU"/>
        </w:rPr>
        <w:t xml:space="preserve"> </w:t>
      </w:r>
      <w:r w:rsidRPr="00CF7CB1">
        <w:rPr>
          <w:lang w:val="en-AU"/>
        </w:rPr>
        <w:t>to the Minister of Industry and Commerce and noted that the ‘project implementation is proceeding at an encouraging pace’. It also noted that progress was being made right across TDF-2. Moreover, issues under TDF-1 related to slow procurement and ‘key frameworks</w:t>
      </w:r>
      <w:r w:rsidR="006069AD" w:rsidRPr="00CF7CB1">
        <w:rPr>
          <w:lang w:val="en-AU"/>
        </w:rPr>
        <w:t xml:space="preserve"> </w:t>
      </w:r>
      <w:r w:rsidRPr="00CF7CB1">
        <w:rPr>
          <w:lang w:val="en-AU"/>
        </w:rPr>
        <w:t>to support implementation’ have now been addressed. However, consultations for this evaluation suggested that political will for major reforms has declined somewhat since WTO accession was achieved. This was likely to impact on telecommunications and insurance regulators, mutual recognition agreements, non-tariff measures streamlining, and sanitary and phytosanitary project components.</w:t>
      </w:r>
    </w:p>
    <w:p w14:paraId="3189393A" w14:textId="77777777" w:rsidR="003B5312" w:rsidRPr="00CF7CB1" w:rsidRDefault="003B5312" w:rsidP="006069AD">
      <w:pPr>
        <w:pStyle w:val="Heading3"/>
        <w:rPr>
          <w:lang w:val="en-AU"/>
        </w:rPr>
      </w:pPr>
      <w:r w:rsidRPr="00CF7CB1">
        <w:rPr>
          <w:lang w:val="en-AU"/>
        </w:rPr>
        <w:t>Increasing capacity and reducing transaction costs</w:t>
      </w:r>
    </w:p>
    <w:p w14:paraId="786539E9" w14:textId="77777777" w:rsidR="003B5312" w:rsidRPr="00CF7CB1" w:rsidRDefault="003B5312" w:rsidP="00337BCF">
      <w:pPr>
        <w:spacing w:after="120"/>
        <w:rPr>
          <w:lang w:val="en-AU"/>
        </w:rPr>
      </w:pPr>
      <w:r w:rsidRPr="00CF7CB1">
        <w:rPr>
          <w:lang w:val="en-AU"/>
        </w:rPr>
        <w:t>Drawing on evidence from the four investments above, and other DFAT trade facilitation investments, this section summarises the impact Australia’s investments have had on increasing the recipient country’s capacity and reducing transaction costs.</w:t>
      </w:r>
    </w:p>
    <w:p w14:paraId="5E6BA9A9" w14:textId="77777777" w:rsidR="00767D8E" w:rsidRPr="00CF7CB1" w:rsidRDefault="003B5312" w:rsidP="00337BCF">
      <w:pPr>
        <w:spacing w:after="120"/>
        <w:rPr>
          <w:lang w:val="en-AU"/>
        </w:rPr>
      </w:pPr>
      <w:r w:rsidRPr="00CF7CB1">
        <w:rPr>
          <w:b/>
          <w:lang w:val="en-AU"/>
        </w:rPr>
        <w:t>PACER Plus</w:t>
      </w:r>
      <w:r w:rsidRPr="00CF7CB1">
        <w:rPr>
          <w:lang w:val="en-AU"/>
        </w:rPr>
        <w:t>: There is evidence of enhanced capacities of the PIC officials who are now negotiating and concluding chapters on behalf of their countries. The PACER Plus negotiations have been in progress for six and a half years and many chapters have been successfully negotiated and concluded. While there has been stability in the composition of the majority</w:t>
      </w:r>
      <w:r w:rsidR="00B6389A" w:rsidRPr="00CF7CB1">
        <w:rPr>
          <w:lang w:val="en-AU"/>
        </w:rPr>
        <w:t xml:space="preserve"> </w:t>
      </w:r>
      <w:r w:rsidRPr="00CF7CB1">
        <w:rPr>
          <w:lang w:val="en-AU"/>
        </w:rPr>
        <w:t>of PIC negotiating teams, a small level of attrition of PIC negotiators could result in loss of capacity. A commitment by the PICs to adopting ways of retaining capacities along with a continuing commitment to trade policy training is required. Ov</w:t>
      </w:r>
      <w:r w:rsidR="00B6389A" w:rsidRPr="00CF7CB1">
        <w:rPr>
          <w:lang w:val="en-AU"/>
        </w:rPr>
        <w:t xml:space="preserve">erall there is evidence that </w:t>
      </w:r>
      <w:r w:rsidRPr="00CF7CB1">
        <w:rPr>
          <w:lang w:val="en-AU"/>
        </w:rPr>
        <w:t xml:space="preserve">through </w:t>
      </w:r>
      <w:r w:rsidR="00B6389A" w:rsidRPr="00CF7CB1">
        <w:rPr>
          <w:lang w:val="en-AU"/>
        </w:rPr>
        <w:t>PACER Plus</w:t>
      </w:r>
      <w:r w:rsidRPr="00CF7CB1">
        <w:rPr>
          <w:lang w:val="en-AU"/>
        </w:rPr>
        <w:t xml:space="preserve"> the capacities of trained individuals have been</w:t>
      </w:r>
      <w:r w:rsidR="00B6389A" w:rsidRPr="00CF7CB1">
        <w:rPr>
          <w:lang w:val="en-AU"/>
        </w:rPr>
        <w:t xml:space="preserve"> built, which are resulting</w:t>
      </w:r>
      <w:r w:rsidRPr="00CF7CB1">
        <w:rPr>
          <w:lang w:val="en-AU"/>
        </w:rPr>
        <w:t xml:space="preserve"> in the preparations required to instigate reforms in their respective countries. The majority of informants cited the ability to table market offers, greater understanding of trade negotiations and regional issues, and internal coordination across line ministries and with the private</w:t>
      </w:r>
      <w:r w:rsidR="00D62262" w:rsidRPr="00CF7CB1">
        <w:rPr>
          <w:lang w:val="en-AU"/>
        </w:rPr>
        <w:t xml:space="preserve"> </w:t>
      </w:r>
      <w:r w:rsidRPr="00CF7CB1">
        <w:rPr>
          <w:lang w:val="en-AU"/>
        </w:rPr>
        <w:t>sector, as some of the benefits arising from PACER Plus which contribute to building the foundations  for reforms.</w:t>
      </w:r>
    </w:p>
    <w:p w14:paraId="6358A8B6" w14:textId="77777777" w:rsidR="00767D8E" w:rsidRPr="00CF7CB1" w:rsidRDefault="00767D8E" w:rsidP="00767D8E">
      <w:pPr>
        <w:rPr>
          <w:lang w:val="en-AU"/>
        </w:rPr>
      </w:pPr>
      <w:r w:rsidRPr="00CF7CB1">
        <w:rPr>
          <w:lang w:val="en-AU"/>
        </w:rPr>
        <w:br w:type="page"/>
      </w:r>
    </w:p>
    <w:p w14:paraId="5B4D32AB" w14:textId="77777777" w:rsidR="003B5312" w:rsidRPr="00CF7CB1" w:rsidRDefault="00767D8E" w:rsidP="00575B2A">
      <w:pPr>
        <w:pStyle w:val="Boxhead1"/>
        <w:pBdr>
          <w:top w:val="single" w:sz="4" w:space="1" w:color="auto"/>
          <w:left w:val="single" w:sz="4" w:space="4" w:color="auto"/>
          <w:bottom w:val="single" w:sz="4" w:space="1" w:color="auto"/>
          <w:right w:val="single" w:sz="4" w:space="4" w:color="auto"/>
        </w:pBdr>
        <w:rPr>
          <w:lang w:val="en-AU"/>
        </w:rPr>
      </w:pPr>
      <w:r w:rsidRPr="00CF7CB1">
        <w:rPr>
          <w:lang w:val="en-AU"/>
        </w:rPr>
        <w:t>Box 2. Dr Ian David Naumann—One man’s efforts to address biosecurity and trade challenges</w:t>
      </w:r>
    </w:p>
    <w:p w14:paraId="3B9DC12F" w14:textId="77777777" w:rsidR="00767D8E" w:rsidRPr="00CF7CB1" w:rsidRDefault="00767D8E" w:rsidP="00575B2A">
      <w:pPr>
        <w:pBdr>
          <w:top w:val="single" w:sz="4" w:space="1" w:color="auto"/>
          <w:left w:val="single" w:sz="4" w:space="4" w:color="auto"/>
          <w:bottom w:val="single" w:sz="4" w:space="1" w:color="auto"/>
          <w:right w:val="single" w:sz="4" w:space="4" w:color="auto"/>
        </w:pBdr>
        <w:spacing w:after="120"/>
        <w:rPr>
          <w:lang w:val="en-AU"/>
        </w:rPr>
      </w:pPr>
      <w:r w:rsidRPr="00CF7CB1">
        <w:rPr>
          <w:noProof/>
          <w:lang w:val="en-AU" w:eastAsia="en-AU"/>
        </w:rPr>
        <w:drawing>
          <wp:inline distT="0" distB="0" distL="0" distR="0" wp14:anchorId="5755267E" wp14:editId="64ACB91D">
            <wp:extent cx="5641340" cy="2091424"/>
            <wp:effectExtent l="0" t="0" r="0" b="0"/>
            <wp:docPr id="3" name="Picture 3" descr="Dr Ian David Naumann standing by a lake in south east Asia." title="Dr Ian David Naumann— One man’s efforts to address biosecurity and trade challe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41340" cy="2091424"/>
                    </a:xfrm>
                    <a:prstGeom prst="rect">
                      <a:avLst/>
                    </a:prstGeom>
                    <a:noFill/>
                    <a:ln>
                      <a:noFill/>
                    </a:ln>
                  </pic:spPr>
                </pic:pic>
              </a:graphicData>
            </a:graphic>
          </wp:inline>
        </w:drawing>
      </w:r>
    </w:p>
    <w:p w14:paraId="2E08F39A" w14:textId="77777777" w:rsidR="003B5312" w:rsidRPr="00CF7CB1" w:rsidRDefault="003B5312" w:rsidP="00575B2A">
      <w:pPr>
        <w:pStyle w:val="Source"/>
        <w:pBdr>
          <w:top w:val="single" w:sz="4" w:space="1" w:color="auto"/>
          <w:left w:val="single" w:sz="4" w:space="4" w:color="auto"/>
          <w:bottom w:val="single" w:sz="4" w:space="1" w:color="auto"/>
          <w:right w:val="single" w:sz="4" w:space="4" w:color="auto"/>
        </w:pBdr>
        <w:rPr>
          <w:lang w:val="en-AU"/>
        </w:rPr>
      </w:pPr>
      <w:r w:rsidRPr="00CF7CB1">
        <w:rPr>
          <w:lang w:val="en-AU"/>
        </w:rPr>
        <w:t>Source:  Dr Naumann</w:t>
      </w:r>
    </w:p>
    <w:p w14:paraId="28763862" w14:textId="77777777" w:rsidR="003B5312" w:rsidRPr="00CF7CB1" w:rsidRDefault="003B5312" w:rsidP="00575B2A">
      <w:pPr>
        <w:pBdr>
          <w:top w:val="single" w:sz="4" w:space="1" w:color="auto"/>
          <w:left w:val="single" w:sz="4" w:space="4" w:color="auto"/>
          <w:bottom w:val="single" w:sz="4" w:space="1" w:color="auto"/>
          <w:right w:val="single" w:sz="4" w:space="4" w:color="auto"/>
        </w:pBdr>
        <w:spacing w:before="120" w:after="120"/>
        <w:rPr>
          <w:lang w:val="en-AU"/>
        </w:rPr>
      </w:pPr>
      <w:r w:rsidRPr="00CF7CB1">
        <w:rPr>
          <w:lang w:val="en-AU"/>
        </w:rPr>
        <w:t>Dr Ian Naumann is an example of how one passionate person is improving the capacities of ASEAN officials and academics as he continues to share his knowledge and experience in insect biology, survey techniques and taxonomy. His contributions are highly regarded by country officials and academics. He is making a difference in the way ASEAN countries identify and deal with biosecurity threats to trade.</w:t>
      </w:r>
    </w:p>
    <w:p w14:paraId="5A5DCE7C" w14:textId="77777777" w:rsidR="003B5312" w:rsidRPr="00CF7CB1" w:rsidRDefault="003B5312" w:rsidP="00575B2A">
      <w:pPr>
        <w:pBdr>
          <w:top w:val="single" w:sz="4" w:space="1" w:color="auto"/>
          <w:left w:val="single" w:sz="4" w:space="4" w:color="auto"/>
          <w:bottom w:val="single" w:sz="4" w:space="1" w:color="auto"/>
          <w:right w:val="single" w:sz="4" w:space="4" w:color="auto"/>
        </w:pBdr>
        <w:spacing w:after="120"/>
        <w:rPr>
          <w:lang w:val="en-AU"/>
        </w:rPr>
      </w:pPr>
      <w:r w:rsidRPr="00CF7CB1">
        <w:rPr>
          <w:lang w:val="en-AU"/>
        </w:rPr>
        <w:t>Dr Naumann led the design of the ASEAN Regional Diagnostic Network (ARDN) Project for the AANZFTA ECWP and currently oversees its implementation. He has retained his lifelong passion for insects, mentored young entomologists from ASEAN countries, and designed a new entomology curriculum for the National University of Laos.</w:t>
      </w:r>
    </w:p>
    <w:p w14:paraId="5BC73E71" w14:textId="77777777" w:rsidR="00575B2A" w:rsidRPr="00CF7CB1" w:rsidRDefault="003B5312" w:rsidP="00575B2A">
      <w:pPr>
        <w:pBdr>
          <w:top w:val="single" w:sz="4" w:space="1" w:color="auto"/>
          <w:left w:val="single" w:sz="4" w:space="4" w:color="auto"/>
          <w:bottom w:val="single" w:sz="4" w:space="1" w:color="auto"/>
          <w:right w:val="single" w:sz="4" w:space="4" w:color="auto"/>
        </w:pBdr>
        <w:spacing w:after="120"/>
        <w:rPr>
          <w:lang w:val="en-AU"/>
        </w:rPr>
      </w:pPr>
      <w:r w:rsidRPr="00CF7CB1">
        <w:rPr>
          <w:lang w:val="en-AU"/>
        </w:rPr>
        <w:t>Dr Naumann is the Director, SPS Capacity Building Program, Biosecurity Plant Division, Department of Agriculture and Water Resources, Canberra, Australia. He has a PhD in insect taxonomy from the University of Queensland. Through CSIRO he published the textbook The Insects of Australia which won the prestigious Whitley Medal and remains a popular world-wide reference book on insect taxonomy. He served as President of the Australian Entomological Society between 2004 and 2006.</w:t>
      </w:r>
    </w:p>
    <w:p w14:paraId="05B35543" w14:textId="77777777" w:rsidR="00575B2A" w:rsidRPr="00CF7CB1" w:rsidRDefault="00FD1821" w:rsidP="00575B2A">
      <w:pPr>
        <w:pStyle w:val="Caption"/>
        <w:pBdr>
          <w:top w:val="single" w:sz="4" w:space="1" w:color="auto"/>
          <w:left w:val="single" w:sz="4" w:space="4" w:color="auto"/>
          <w:bottom w:val="single" w:sz="4" w:space="1" w:color="auto"/>
          <w:right w:val="single" w:sz="4" w:space="4" w:color="auto"/>
        </w:pBdr>
        <w:rPr>
          <w:lang w:val="en-AU"/>
        </w:rPr>
      </w:pPr>
      <w:r w:rsidRPr="00CF7CB1">
        <w:rPr>
          <w:noProof/>
          <w:lang w:val="en-AU" w:eastAsia="en-AU"/>
        </w:rPr>
        <w:drawing>
          <wp:inline distT="0" distB="0" distL="0" distR="0" wp14:anchorId="78C58A9F" wp14:editId="22AB6806">
            <wp:extent cx="5640312" cy="1905000"/>
            <wp:effectExtent l="0" t="0" r="0" b="0"/>
            <wp:docPr id="4" name="Picture 4" descr="Display of a taxonomic collection of insects at the National University of Laos." title="Taxonomic collections assist with accurate pest identification. National University of Laos, Faculty of Agri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t="9091"/>
                    <a:stretch/>
                  </pic:blipFill>
                  <pic:spPr bwMode="auto">
                    <a:xfrm>
                      <a:off x="0" y="0"/>
                      <a:ext cx="5641340" cy="1905347"/>
                    </a:xfrm>
                    <a:prstGeom prst="rect">
                      <a:avLst/>
                    </a:prstGeom>
                    <a:noFill/>
                    <a:ln>
                      <a:noFill/>
                    </a:ln>
                    <a:extLst>
                      <a:ext uri="{53640926-AAD7-44D8-BBD7-CCE9431645EC}">
                        <a14:shadowObscured xmlns:a14="http://schemas.microsoft.com/office/drawing/2010/main"/>
                      </a:ext>
                    </a:extLst>
                  </pic:spPr>
                </pic:pic>
              </a:graphicData>
            </a:graphic>
          </wp:inline>
        </w:drawing>
      </w:r>
      <w:r w:rsidR="00575B2A" w:rsidRPr="00CF7CB1">
        <w:rPr>
          <w:lang w:val="en-AU"/>
        </w:rPr>
        <w:t>Taxonomic collections assist with accurate pest identification. National University of Laos, Faculty of Agriculture.</w:t>
      </w:r>
    </w:p>
    <w:p w14:paraId="4BDAA782" w14:textId="77777777" w:rsidR="00575B2A" w:rsidRPr="00CF7CB1" w:rsidRDefault="00575B2A" w:rsidP="00575B2A">
      <w:pPr>
        <w:pStyle w:val="Source"/>
        <w:pBdr>
          <w:top w:val="single" w:sz="4" w:space="1" w:color="auto"/>
          <w:left w:val="single" w:sz="4" w:space="4" w:color="auto"/>
          <w:bottom w:val="single" w:sz="4" w:space="1" w:color="auto"/>
          <w:right w:val="single" w:sz="4" w:space="4" w:color="auto"/>
        </w:pBdr>
        <w:rPr>
          <w:lang w:val="en-AU"/>
        </w:rPr>
      </w:pPr>
      <w:r w:rsidRPr="00CF7CB1">
        <w:rPr>
          <w:lang w:val="en-AU"/>
        </w:rPr>
        <w:t>Source D. Goodwins</w:t>
      </w:r>
    </w:p>
    <w:p w14:paraId="1E58FA99" w14:textId="77777777" w:rsidR="00575B2A" w:rsidRPr="00CF7CB1" w:rsidRDefault="00575B2A" w:rsidP="00575B2A">
      <w:pPr>
        <w:pStyle w:val="Source"/>
        <w:rPr>
          <w:lang w:val="en-AU"/>
        </w:rPr>
      </w:pPr>
    </w:p>
    <w:p w14:paraId="5692874A" w14:textId="77777777" w:rsidR="003B5312" w:rsidRPr="00CF7CB1" w:rsidRDefault="003B5312" w:rsidP="00337BCF">
      <w:pPr>
        <w:spacing w:after="120"/>
        <w:rPr>
          <w:lang w:val="en-AU"/>
        </w:rPr>
      </w:pPr>
      <w:r w:rsidRPr="00CF7CB1">
        <w:rPr>
          <w:b/>
          <w:lang w:val="en-AU"/>
        </w:rPr>
        <w:t>PHAMA:</w:t>
      </w:r>
      <w:r w:rsidRPr="00CF7CB1">
        <w:rPr>
          <w:lang w:val="en-AU"/>
        </w:rPr>
        <w:t xml:space="preserve"> In coordination with other donors and government, P</w:t>
      </w:r>
      <w:r w:rsidR="00575B2A" w:rsidRPr="00CF7CB1">
        <w:rPr>
          <w:lang w:val="en-AU"/>
        </w:rPr>
        <w:t>HAMA has built capacity in SPS</w:t>
      </w:r>
      <w:r w:rsidRPr="00CF7CB1">
        <w:rPr>
          <w:lang w:val="en-AU"/>
        </w:rPr>
        <w:t xml:space="preserve"> to address market access issues, and has improved awareness and understanding of SPS requirements with government and the private sector. PHAMA has contributed to building</w:t>
      </w:r>
      <w:r w:rsidR="00575B2A" w:rsidRPr="00CF7CB1">
        <w:rPr>
          <w:lang w:val="en-AU"/>
        </w:rPr>
        <w:t xml:space="preserve"> </w:t>
      </w:r>
      <w:r w:rsidRPr="00CF7CB1">
        <w:rPr>
          <w:lang w:val="en-AU"/>
        </w:rPr>
        <w:t>the capacity of government to understand private sector needs. Overall PHAMA is providing good technical support to government, farmers and producers in developing standards and improving quality, but external factors affecting the supply chain is limiting farmers’ abilities to service existing and new markets. There is evidence of improved capacity amongst the private sector  producers  and government  services, including  a shared understanding  of the issues and constraints  to gaining  new,  and maintaining  existing,  market  access. Through PHAMA</w:t>
      </w:r>
      <w:r w:rsidR="00575B2A" w:rsidRPr="00CF7CB1">
        <w:rPr>
          <w:lang w:val="en-AU"/>
        </w:rPr>
        <w:t xml:space="preserve"> </w:t>
      </w:r>
      <w:r w:rsidRPr="00CF7CB1">
        <w:rPr>
          <w:lang w:val="en-AU"/>
        </w:rPr>
        <w:t>the relationships and coordination between government and the private sector have been strengthened; and the private sector has been given a voice to discuss its concerns with senior levels of government.</w:t>
      </w:r>
    </w:p>
    <w:p w14:paraId="4E5CF534" w14:textId="77777777" w:rsidR="003B5312" w:rsidRPr="00CF7CB1" w:rsidRDefault="003B5312" w:rsidP="00337BCF">
      <w:pPr>
        <w:spacing w:after="120"/>
        <w:rPr>
          <w:lang w:val="en-AU"/>
        </w:rPr>
      </w:pPr>
      <w:r w:rsidRPr="00CF7CB1">
        <w:rPr>
          <w:b/>
          <w:lang w:val="en-AU"/>
        </w:rPr>
        <w:t>AECSP–ARDN:</w:t>
      </w:r>
      <w:r w:rsidRPr="00CF7CB1">
        <w:rPr>
          <w:lang w:val="en-AU"/>
        </w:rPr>
        <w:t xml:space="preserve"> This activity has improved government officials’ capacities to identify pests </w:t>
      </w:r>
      <w:r w:rsidR="00575B2A" w:rsidRPr="00CF7CB1">
        <w:rPr>
          <w:lang w:val="en-AU"/>
        </w:rPr>
        <w:t xml:space="preserve">and disease, </w:t>
      </w:r>
      <w:r w:rsidRPr="00CF7CB1">
        <w:rPr>
          <w:lang w:val="en-AU"/>
        </w:rPr>
        <w:t xml:space="preserve">by </w:t>
      </w:r>
      <w:r w:rsidR="00575B2A" w:rsidRPr="00CF7CB1">
        <w:rPr>
          <w:lang w:val="en-AU"/>
        </w:rPr>
        <w:t>establishing taxonomic collections and</w:t>
      </w:r>
      <w:r w:rsidRPr="00CF7CB1">
        <w:rPr>
          <w:lang w:val="en-AU"/>
        </w:rPr>
        <w:t xml:space="preserve"> robust </w:t>
      </w:r>
      <w:r w:rsidR="00575B2A" w:rsidRPr="00CF7CB1">
        <w:rPr>
          <w:lang w:val="en-AU"/>
        </w:rPr>
        <w:t xml:space="preserve">identification techniques, and </w:t>
      </w:r>
      <w:r w:rsidRPr="00CF7CB1">
        <w:rPr>
          <w:lang w:val="en-AU"/>
        </w:rPr>
        <w:t>managing their relationship with other countries (see Box 2). The second most common benefit identified was the ability to network with other ASEAN members. Networking occurs through CABI’s regional centre in Malaysia that acts as the Clearing House for ARDN information requests. While this network seemed to work, there were instances of it not generating any response to an inquiry, reflecting the voluntary nature of the network. The AESCP draft Annual Review, 2015, also noted instances of CABI not responding to inquiries. ARDN was noted</w:t>
      </w:r>
      <w:r w:rsidR="00575B2A" w:rsidRPr="00CF7CB1">
        <w:rPr>
          <w:lang w:val="en-AU"/>
        </w:rPr>
        <w:t xml:space="preserve"> </w:t>
      </w:r>
      <w:r w:rsidRPr="00CF7CB1">
        <w:rPr>
          <w:lang w:val="en-AU"/>
        </w:rPr>
        <w:t>to focus more on individual capacity strengthening and networking rather than strengthening institutional capacity. This brings into questi</w:t>
      </w:r>
      <w:r w:rsidR="00575B2A" w:rsidRPr="00CF7CB1">
        <w:rPr>
          <w:lang w:val="en-AU"/>
        </w:rPr>
        <w:t>on sustainability of some inter</w:t>
      </w:r>
      <w:r w:rsidRPr="00CF7CB1">
        <w:rPr>
          <w:lang w:val="en-AU"/>
        </w:rPr>
        <w:t>ventions.</w:t>
      </w:r>
    </w:p>
    <w:p w14:paraId="5F37A521" w14:textId="77777777" w:rsidR="003B5312" w:rsidRPr="00CF7CB1" w:rsidRDefault="003B5312" w:rsidP="00337BCF">
      <w:pPr>
        <w:spacing w:after="120"/>
        <w:rPr>
          <w:lang w:val="en-AU"/>
        </w:rPr>
      </w:pPr>
      <w:r w:rsidRPr="00CF7CB1">
        <w:rPr>
          <w:b/>
          <w:lang w:val="en-AU"/>
        </w:rPr>
        <w:t>AECSP–Rules of origin training and accession to the Madrid Protocol:</w:t>
      </w:r>
      <w:r w:rsidRPr="00CF7CB1">
        <w:rPr>
          <w:lang w:val="en-AU"/>
        </w:rPr>
        <w:t xml:space="preserve"> The training provided to Cambodia’s Customs and Excise officials, improved the capacity of government trainers to   train custom officials outside of Phnom Penh. The evaluation found this to be a highly effective process representing good value for money. The initial training led to an additional 80 customs</w:t>
      </w:r>
      <w:r w:rsidR="00575B2A" w:rsidRPr="00CF7CB1">
        <w:rPr>
          <w:lang w:val="en-AU"/>
        </w:rPr>
        <w:t xml:space="preserve"> </w:t>
      </w:r>
      <w:r w:rsidRPr="00CF7CB1">
        <w:rPr>
          <w:lang w:val="en-AU"/>
        </w:rPr>
        <w:t>officers being trained and the development of an ongoing internal training program. The support provided to Cambodia’s Ministry of Commerce to support accession to the Madrid Protocol was successful, although it was more technically focused and less about capacity building. As a result of Australia’s strong engagement, accession of other ASEAN countries to the Madrid Protocol is expected.</w:t>
      </w:r>
    </w:p>
    <w:p w14:paraId="74C6C9A3" w14:textId="77777777" w:rsidR="003B5312" w:rsidRPr="00CF7CB1" w:rsidRDefault="003B5312" w:rsidP="00337BCF">
      <w:pPr>
        <w:spacing w:after="120"/>
        <w:rPr>
          <w:lang w:val="en-AU"/>
        </w:rPr>
      </w:pPr>
      <w:r w:rsidRPr="00CF7CB1">
        <w:rPr>
          <w:b/>
          <w:lang w:val="en-AU"/>
        </w:rPr>
        <w:t>TDF–2:</w:t>
      </w:r>
      <w:r w:rsidRPr="00CF7CB1">
        <w:rPr>
          <w:lang w:val="en-AU"/>
        </w:rPr>
        <w:t xml:space="preserve"> Support for the government’s National Implementation Unit (NIU) has resulted in significantly improved capacity to take a leadership role in managing trade related assistance.  The improvement has been achieved through a range of factors including leadership, good governance and donor coordination, the technical support provided by the World Bank</w:t>
      </w:r>
    </w:p>
    <w:p w14:paraId="09326C94" w14:textId="77777777" w:rsidR="003B5312" w:rsidRPr="00CF7CB1" w:rsidRDefault="003B5312" w:rsidP="00337BCF">
      <w:pPr>
        <w:spacing w:after="120"/>
        <w:rPr>
          <w:lang w:val="en-AU"/>
        </w:rPr>
      </w:pPr>
      <w:r w:rsidRPr="00CF7CB1">
        <w:rPr>
          <w:lang w:val="en-AU"/>
        </w:rPr>
        <w:t xml:space="preserve">(WB), and presence of Australian scholarship graduates employed by NIU. While Australia’s scholarship program is significant in Laos, the concentration of scholarship recipients on </w:t>
      </w:r>
      <w:r w:rsidR="00575B2A" w:rsidRPr="00CF7CB1">
        <w:rPr>
          <w:lang w:val="en-AU"/>
        </w:rPr>
        <w:t>the NIU</w:t>
      </w:r>
      <w:r w:rsidRPr="00CF7CB1">
        <w:rPr>
          <w:lang w:val="en-AU"/>
        </w:rPr>
        <w:t xml:space="preserve"> is even higher with three quarters having graduate degrees from overseas universities</w:t>
      </w:r>
      <w:r w:rsidR="00D62262" w:rsidRPr="00CF7CB1">
        <w:rPr>
          <w:lang w:val="en-AU"/>
        </w:rPr>
        <w:t xml:space="preserve"> </w:t>
      </w:r>
      <w:r w:rsidRPr="00CF7CB1">
        <w:rPr>
          <w:lang w:val="en-AU"/>
        </w:rPr>
        <w:t>and a significant number of those from Australia. The DTIS and EIF have also provided a</w:t>
      </w:r>
      <w:r w:rsidR="00575B2A" w:rsidRPr="00CF7CB1">
        <w:rPr>
          <w:lang w:val="en-AU"/>
        </w:rPr>
        <w:t xml:space="preserve"> </w:t>
      </w:r>
      <w:r w:rsidRPr="00CF7CB1">
        <w:rPr>
          <w:lang w:val="en-AU"/>
        </w:rPr>
        <w:t>comprehensive framework for mainstreaming AfT in government and addressing capacity gaps.</w:t>
      </w:r>
    </w:p>
    <w:p w14:paraId="6E7C0EB4" w14:textId="77777777" w:rsidR="003B5312" w:rsidRPr="00CF7CB1" w:rsidRDefault="003B5312" w:rsidP="00337BCF">
      <w:pPr>
        <w:spacing w:after="120"/>
        <w:rPr>
          <w:lang w:val="en-AU"/>
        </w:rPr>
      </w:pPr>
      <w:r w:rsidRPr="00CF7CB1">
        <w:rPr>
          <w:lang w:val="en-AU"/>
        </w:rPr>
        <w:t>The DFAT investments examined in detail were significantly different from each other. It included a variety of trade facilitation aspects, regional and bilateral investments, and an assortment of implementation arrangements. This included those managed through trust funds by multilaterals, by managing contractors and directly by DFAT. Across this diversity of investments, it was possible to identify several common themes:</w:t>
      </w:r>
    </w:p>
    <w:p w14:paraId="284CFE49" w14:textId="77777777" w:rsidR="003B5312" w:rsidRPr="00CF7CB1" w:rsidRDefault="003B5312" w:rsidP="00BC5572">
      <w:pPr>
        <w:pStyle w:val="ListParagraph"/>
        <w:numPr>
          <w:ilvl w:val="0"/>
          <w:numId w:val="24"/>
        </w:numPr>
        <w:spacing w:after="120"/>
        <w:rPr>
          <w:lang w:val="en-AU"/>
        </w:rPr>
      </w:pPr>
      <w:r w:rsidRPr="00CF7CB1">
        <w:rPr>
          <w:b/>
          <w:lang w:val="en-AU"/>
        </w:rPr>
        <w:t>Need for an integrated capacity development framework.</w:t>
      </w:r>
      <w:r w:rsidRPr="00CF7CB1">
        <w:rPr>
          <w:lang w:val="en-AU"/>
        </w:rPr>
        <w:t xml:space="preserve"> Supporting capacity development requires a number of different parts to be addressed coherently and systematically, including human resource development, gender equality, institutional development, operational processes and norms. Tools such as the DTIS and EIF, used by TDF-2, could be used or adapted more widely to provide a more systematic approach to capacity development for AfT.</w:t>
      </w:r>
    </w:p>
    <w:p w14:paraId="2CC409C4" w14:textId="77777777" w:rsidR="003B5312" w:rsidRPr="00CF7CB1" w:rsidRDefault="003B5312" w:rsidP="00BC5572">
      <w:pPr>
        <w:pStyle w:val="ListParagraph"/>
        <w:numPr>
          <w:ilvl w:val="0"/>
          <w:numId w:val="24"/>
        </w:numPr>
        <w:spacing w:after="120"/>
        <w:rPr>
          <w:lang w:val="en-AU"/>
        </w:rPr>
      </w:pPr>
      <w:r w:rsidRPr="00CF7CB1">
        <w:rPr>
          <w:b/>
          <w:lang w:val="en-AU"/>
        </w:rPr>
        <w:t>Government to government approaches should be supported by international development technical expertise.</w:t>
      </w:r>
      <w:r w:rsidRPr="00CF7CB1">
        <w:rPr>
          <w:lang w:val="en-AU"/>
        </w:rPr>
        <w:t xml:space="preserve"> Government to government approaches are highly regarded by recipient and donor governments. Supporting such arrangements with program design and implementation expertise is likely to lead to better outcomes.</w:t>
      </w:r>
    </w:p>
    <w:p w14:paraId="77B77679" w14:textId="77777777" w:rsidR="003B5312" w:rsidRPr="00CF7CB1" w:rsidRDefault="003B5312" w:rsidP="00BC5572">
      <w:pPr>
        <w:pStyle w:val="ListParagraph"/>
        <w:numPr>
          <w:ilvl w:val="0"/>
          <w:numId w:val="24"/>
        </w:numPr>
        <w:spacing w:after="120"/>
        <w:rPr>
          <w:lang w:val="en-AU"/>
        </w:rPr>
      </w:pPr>
      <w:r w:rsidRPr="00CF7CB1">
        <w:rPr>
          <w:b/>
          <w:lang w:val="en-AU"/>
        </w:rPr>
        <w:t>Link capacity development to recipient government and private sector priorities.</w:t>
      </w:r>
      <w:r w:rsidRPr="00CF7CB1">
        <w:rPr>
          <w:lang w:val="en-AU"/>
        </w:rPr>
        <w:t xml:space="preserve"> Trade facilitation investments linked to the recipient government and private sector priorities meant political will and private sector support were more forthcoming and improved the likelihood of success. Providing institutional capacity and facilitating structures, such as those established by PHAMA to address biosecurity issues, enable an ongoing dialogue between the private sector and government to address critical private sector needs.</w:t>
      </w:r>
    </w:p>
    <w:p w14:paraId="5448EABB" w14:textId="77777777" w:rsidR="003B5312" w:rsidRPr="00CF7CB1" w:rsidRDefault="003B5312" w:rsidP="00BC5572">
      <w:pPr>
        <w:pStyle w:val="ListParagraph"/>
        <w:numPr>
          <w:ilvl w:val="0"/>
          <w:numId w:val="24"/>
        </w:numPr>
        <w:spacing w:after="120"/>
        <w:rPr>
          <w:lang w:val="en-AU"/>
        </w:rPr>
      </w:pPr>
      <w:r w:rsidRPr="00CF7CB1">
        <w:rPr>
          <w:lang w:val="en-AU"/>
        </w:rPr>
        <w:t xml:space="preserve">There is an </w:t>
      </w:r>
      <w:r w:rsidRPr="00CF7CB1">
        <w:rPr>
          <w:b/>
          <w:lang w:val="en-AU"/>
        </w:rPr>
        <w:t>opportunity to build on established networks and progressive learning.</w:t>
      </w:r>
      <w:r w:rsidR="00575B2A" w:rsidRPr="00CF7CB1">
        <w:rPr>
          <w:lang w:val="en-AU"/>
        </w:rPr>
        <w:t xml:space="preserve"> </w:t>
      </w:r>
      <w:r w:rsidRPr="00CF7CB1">
        <w:rPr>
          <w:lang w:val="en-AU"/>
        </w:rPr>
        <w:t>A significant number of the trade facilitation investments contribute to global or regional organisations, and DFAT can explore synergies and linkages and use global expertise.</w:t>
      </w:r>
      <w:r w:rsidR="00575B2A" w:rsidRPr="00CF7CB1">
        <w:rPr>
          <w:lang w:val="en-AU"/>
        </w:rPr>
        <w:t xml:space="preserve"> </w:t>
      </w:r>
      <w:r w:rsidRPr="00CF7CB1">
        <w:rPr>
          <w:lang w:val="en-AU"/>
        </w:rPr>
        <w:t>For example, the Regional Trade Facilitation Program is linked to the PACER Plus agreement and the Oceania Customs Organisation uses the same training institute as PACER Plus training delivered through the Institute of International Trade at the University of Adelaide.</w:t>
      </w:r>
    </w:p>
    <w:p w14:paraId="0C61DBA2" w14:textId="77777777" w:rsidR="003B5312" w:rsidRPr="00CF7CB1" w:rsidRDefault="003B5312" w:rsidP="00575B2A">
      <w:pPr>
        <w:pStyle w:val="Heading2"/>
        <w:rPr>
          <w:lang w:val="en-AU"/>
        </w:rPr>
      </w:pPr>
      <w:r w:rsidRPr="00CF7CB1">
        <w:rPr>
          <w:lang w:val="en-AU"/>
        </w:rPr>
        <w:t>DFAT’s capacity to effectively manage Aid for Trade</w:t>
      </w:r>
    </w:p>
    <w:p w14:paraId="21338535" w14:textId="77777777" w:rsidR="003B5312" w:rsidRPr="00CF7CB1" w:rsidRDefault="003B5312" w:rsidP="00337BCF">
      <w:pPr>
        <w:spacing w:after="120"/>
        <w:rPr>
          <w:lang w:val="en-AU"/>
        </w:rPr>
      </w:pPr>
      <w:r w:rsidRPr="00CF7CB1">
        <w:rPr>
          <w:b/>
          <w:lang w:val="en-AU"/>
        </w:rPr>
        <w:t>Trade and Development skills</w:t>
      </w:r>
      <w:r w:rsidRPr="00CF7CB1">
        <w:rPr>
          <w:lang w:val="en-AU"/>
        </w:rPr>
        <w:t>—The AusAID-DFAT integration in 2013 brought together the Australian Government’s trade policy and aid management capability in one department. The integration provides opportunities for trade and development specialists to share and acquire new skills and knowledge. While there is a small number of staff with deep experience in both aid programming and trade policy, further developing this dual capability will take time and is still evolving within DFAT. This is particularly challenging given the high level of staff turnover and movements within the department. DFAT is unique among OECD foreign ministries in having a dedicated multilateral AfT section which the evaluation considers to be a very useful investment to improve coherence and coordination and in supporting organisational capacity in AfT.</w:t>
      </w:r>
    </w:p>
    <w:p w14:paraId="508A144D" w14:textId="77777777" w:rsidR="003B5312" w:rsidRPr="00CF7CB1" w:rsidRDefault="003B5312" w:rsidP="00337BCF">
      <w:pPr>
        <w:spacing w:after="120"/>
        <w:rPr>
          <w:lang w:val="en-AU"/>
        </w:rPr>
      </w:pPr>
      <w:r w:rsidRPr="00CF7CB1">
        <w:rPr>
          <w:b/>
          <w:lang w:val="en-AU"/>
        </w:rPr>
        <w:t>Cooperation between DFAT’s aid and trade sections</w:t>
      </w:r>
      <w:r w:rsidRPr="00CF7CB1">
        <w:rPr>
          <w:lang w:val="en-AU"/>
        </w:rPr>
        <w:t>—The two regional programs, PACER Plus and AECSP provide two different but effective models of how AfT programs can be managed.</w:t>
      </w:r>
      <w:r w:rsidR="00D62262" w:rsidRPr="00CF7CB1">
        <w:rPr>
          <w:lang w:val="en-AU"/>
        </w:rPr>
        <w:t xml:space="preserve"> </w:t>
      </w:r>
      <w:r w:rsidRPr="00CF7CB1">
        <w:rPr>
          <w:lang w:val="en-AU"/>
        </w:rPr>
        <w:t xml:space="preserve">In the case of PACER Plus the funding and management are vested in one section of the aid program, whereas for AECSP the management and funding are separated across the trade and geographic divisions of </w:t>
      </w:r>
      <w:r w:rsidR="00575B2A" w:rsidRPr="00CF7CB1">
        <w:rPr>
          <w:lang w:val="en-AU"/>
        </w:rPr>
        <w:t>DFAT providing</w:t>
      </w:r>
      <w:r w:rsidRPr="00CF7CB1">
        <w:rPr>
          <w:lang w:val="en-AU"/>
        </w:rPr>
        <w:t xml:space="preserve"> an element of internal contestability. Both </w:t>
      </w:r>
      <w:r w:rsidR="00575B2A" w:rsidRPr="00CF7CB1">
        <w:rPr>
          <w:lang w:val="en-AU"/>
        </w:rPr>
        <w:t>programs clearly</w:t>
      </w:r>
      <w:r w:rsidRPr="00CF7CB1">
        <w:rPr>
          <w:lang w:val="en-AU"/>
        </w:rPr>
        <w:t xml:space="preserve"> take an AfT approach (i.e. combining trade </w:t>
      </w:r>
      <w:r w:rsidR="00575B2A" w:rsidRPr="00CF7CB1">
        <w:rPr>
          <w:lang w:val="en-AU"/>
        </w:rPr>
        <w:t>i</w:t>
      </w:r>
      <w:r w:rsidRPr="00CF7CB1">
        <w:rPr>
          <w:lang w:val="en-AU"/>
        </w:rPr>
        <w:t>mperatives with broader development objectives) in supporting and implement</w:t>
      </w:r>
      <w:r w:rsidR="00575B2A" w:rsidRPr="00CF7CB1">
        <w:rPr>
          <w:lang w:val="en-AU"/>
        </w:rPr>
        <w:t>ing regional trade agreements.</w:t>
      </w:r>
      <w:r w:rsidR="00575B2A" w:rsidRPr="00CF7CB1">
        <w:rPr>
          <w:rStyle w:val="FootnoteReference"/>
          <w:lang w:val="en-AU"/>
        </w:rPr>
        <w:footnoteReference w:id="32"/>
      </w:r>
    </w:p>
    <w:p w14:paraId="5C39A3D7" w14:textId="77777777" w:rsidR="003B5312" w:rsidRPr="00CF7CB1" w:rsidRDefault="003B5312" w:rsidP="00337BCF">
      <w:pPr>
        <w:spacing w:after="120"/>
        <w:rPr>
          <w:lang w:val="en-AU"/>
        </w:rPr>
      </w:pPr>
      <w:r w:rsidRPr="00CF7CB1">
        <w:rPr>
          <w:b/>
          <w:lang w:val="en-AU"/>
        </w:rPr>
        <w:t>Aid for Trade programs and whole of government approach</w:t>
      </w:r>
      <w:r w:rsidR="00432776">
        <w:rPr>
          <w:lang w:val="en-AU"/>
        </w:rPr>
        <w:t>—A number of AfT programs</w:t>
      </w:r>
      <w:r w:rsidRPr="00CF7CB1">
        <w:rPr>
          <w:lang w:val="en-AU"/>
        </w:rPr>
        <w:t xml:space="preserve"> are being delivered by various parts of the Australian Government, for example, DFAT trade negotiators direct delivery of training; Department of Agriculture and Water Resources delivering the ASEAN Regional Diagnostic Network (ARDN); IP Australia involvement in the AE</w:t>
      </w:r>
      <w:r w:rsidR="00575B2A" w:rsidRPr="00CF7CB1">
        <w:rPr>
          <w:lang w:val="en-AU"/>
        </w:rPr>
        <w:t xml:space="preserve">CSP Madrid protocol; ACCC’s Competition Law </w:t>
      </w:r>
      <w:r w:rsidRPr="00CF7CB1">
        <w:rPr>
          <w:lang w:val="en-AU"/>
        </w:rPr>
        <w:t>Implemen</w:t>
      </w:r>
      <w:r w:rsidR="00575B2A" w:rsidRPr="00CF7CB1">
        <w:rPr>
          <w:lang w:val="en-AU"/>
        </w:rPr>
        <w:t xml:space="preserve">tation  Program with </w:t>
      </w:r>
      <w:r w:rsidRPr="00CF7CB1">
        <w:rPr>
          <w:lang w:val="en-AU"/>
        </w:rPr>
        <w:t>ASEAN; and PHAMA linking Pacific Island and Australian biosecurity agencies. These programs are</w:t>
      </w:r>
      <w:r w:rsidR="00575B2A" w:rsidRPr="00CF7CB1">
        <w:rPr>
          <w:lang w:val="en-AU"/>
        </w:rPr>
        <w:t xml:space="preserve"> </w:t>
      </w:r>
      <w:r w:rsidRPr="00CF7CB1">
        <w:rPr>
          <w:lang w:val="en-AU"/>
        </w:rPr>
        <w:t>usually highly regarded by both parties for the networking opportunities it provides with their counterparts, sharing of experience, and closer regional cooperation.</w:t>
      </w:r>
    </w:p>
    <w:p w14:paraId="2A4F4F17" w14:textId="77777777" w:rsidR="003B5312" w:rsidRPr="00CF7CB1" w:rsidRDefault="003B5312" w:rsidP="00337BCF">
      <w:pPr>
        <w:spacing w:after="120"/>
        <w:rPr>
          <w:lang w:val="en-AU"/>
        </w:rPr>
      </w:pPr>
      <w:r w:rsidRPr="00CF7CB1">
        <w:rPr>
          <w:lang w:val="en-AU"/>
        </w:rPr>
        <w:t xml:space="preserve">However, unlike DFAT, most Australian Government agencies have limited experience in designing, delivering and evaluating international development programs. Interviews with government agencies found that there is great enthusiasm for making such linkages work. These relationships could be enhanced through support provided by DFAT during design, </w:t>
      </w:r>
      <w:r w:rsidR="00575B2A" w:rsidRPr="00CF7CB1">
        <w:rPr>
          <w:lang w:val="en-AU"/>
        </w:rPr>
        <w:t>implementation and monitoring</w:t>
      </w:r>
      <w:r w:rsidRPr="00CF7CB1">
        <w:rPr>
          <w:lang w:val="en-AU"/>
        </w:rPr>
        <w:t xml:space="preserve"> stages.</w:t>
      </w:r>
    </w:p>
    <w:p w14:paraId="3F99F2FB" w14:textId="77777777" w:rsidR="00F51F30" w:rsidRPr="00CF7CB1" w:rsidRDefault="003B5312" w:rsidP="00337BCF">
      <w:pPr>
        <w:spacing w:after="120"/>
        <w:rPr>
          <w:lang w:val="en-AU"/>
        </w:rPr>
      </w:pPr>
      <w:r w:rsidRPr="00CF7CB1">
        <w:rPr>
          <w:b/>
          <w:lang w:val="en-AU"/>
        </w:rPr>
        <w:t>Coordination between DFAT’s regional and bilateral programs</w:t>
      </w:r>
      <w:r w:rsidRPr="00CF7CB1">
        <w:rPr>
          <w:lang w:val="en-AU"/>
        </w:rPr>
        <w:t>—While program managers were aware of each other’s programs they tended to operate with minimal interaction. Post’s national country strategy approach and regional managers’ focus on thematic issues across several countries tended to limit interaction. For example, links between ARDN regiona</w:t>
      </w:r>
      <w:r w:rsidR="00575B2A" w:rsidRPr="00CF7CB1">
        <w:rPr>
          <w:lang w:val="en-AU"/>
        </w:rPr>
        <w:t xml:space="preserve">l </w:t>
      </w:r>
      <w:r w:rsidRPr="00CF7CB1">
        <w:rPr>
          <w:lang w:val="en-AU"/>
        </w:rPr>
        <w:t>program support for Cambodia’s Department of Plant Protection and SPS which allowed it to</w:t>
      </w:r>
      <w:r w:rsidR="00F51F30" w:rsidRPr="00CF7CB1">
        <w:rPr>
          <w:lang w:val="en-AU"/>
        </w:rPr>
        <w:t xml:space="preserve"> </w:t>
      </w:r>
      <w:r w:rsidRPr="00CF7CB1">
        <w:rPr>
          <w:lang w:val="en-AU"/>
        </w:rPr>
        <w:t>prepare an MOU with China on exporting rice and cassava, and the bilateral program Cambodia Agricultural  Value  Chain  Program  (CAVAC)  focussed  on  rice,  fruit  and  vegetable  value  chains, had not been considered. Coordination and cooperation between regional, bilateral and global programs could be improved. DFAT can encourage such cooperation by giving it priority in division, post and individual performance agreements. More broadly, greater attention could</w:t>
      </w:r>
      <w:r w:rsidR="00575B2A" w:rsidRPr="00CF7CB1">
        <w:rPr>
          <w:lang w:val="en-AU"/>
        </w:rPr>
        <w:t xml:space="preserve"> </w:t>
      </w:r>
      <w:r w:rsidRPr="00CF7CB1">
        <w:rPr>
          <w:lang w:val="en-AU"/>
        </w:rPr>
        <w:t>be given to exploring links between trade facilitation programs (usually regional programs and often managed by development multilateral partners) and infrastructure development and productive capacity programs (managed as bilateral programs by managing contractors). This would also avoid duplication of efforts and would streamline assistance in some instances.</w:t>
      </w:r>
    </w:p>
    <w:p w14:paraId="100B67EB" w14:textId="77777777" w:rsidR="00F51F30" w:rsidRPr="00CF7CB1" w:rsidRDefault="00F51F30" w:rsidP="00F51F30">
      <w:pPr>
        <w:rPr>
          <w:lang w:val="en-AU"/>
        </w:rPr>
      </w:pPr>
      <w:r w:rsidRPr="00CF7CB1">
        <w:rPr>
          <w:lang w:val="en-AU"/>
        </w:rPr>
        <w:br w:type="page"/>
      </w:r>
    </w:p>
    <w:p w14:paraId="209E68F5" w14:textId="77777777" w:rsidR="003B5312" w:rsidRPr="00CF7CB1" w:rsidRDefault="00F51F30" w:rsidP="00D51D2C">
      <w:pPr>
        <w:pStyle w:val="Heading1"/>
        <w:ind w:left="0" w:firstLine="0"/>
        <w:rPr>
          <w:lang w:val="en-AU"/>
        </w:rPr>
      </w:pPr>
      <w:r w:rsidRPr="00CF7CB1">
        <w:rPr>
          <w:lang w:val="en-AU"/>
        </w:rPr>
        <w:t>Impacting on broader economic and development goals</w:t>
      </w:r>
    </w:p>
    <w:p w14:paraId="782D3686" w14:textId="77777777" w:rsidR="004D4366" w:rsidRPr="00CF7CB1" w:rsidRDefault="003B5312" w:rsidP="00337BCF">
      <w:pPr>
        <w:spacing w:after="120"/>
        <w:rPr>
          <w:lang w:val="en-AU"/>
        </w:rPr>
      </w:pPr>
      <w:r w:rsidRPr="00CF7CB1">
        <w:rPr>
          <w:lang w:val="en-AU"/>
        </w:rPr>
        <w:t xml:space="preserve">The ultimate goal of DFAT’s investments in trade facilitation and related assistance is to contribute towards sustained economic growth through increases in international trade, and foreign </w:t>
      </w:r>
      <w:r w:rsidR="004D4366" w:rsidRPr="00CF7CB1">
        <w:rPr>
          <w:lang w:val="en-AU"/>
        </w:rPr>
        <w:t>and domestic</w:t>
      </w:r>
      <w:r w:rsidRPr="00CF7CB1">
        <w:rPr>
          <w:lang w:val="en-AU"/>
        </w:rPr>
        <w:t xml:space="preserve"> investment. Indicators of sustained economic growth of partner countries include local business growth, higher household incomes, more jobs, and an increasingly diversified economy.</w:t>
      </w:r>
    </w:p>
    <w:p w14:paraId="7991A35E" w14:textId="77777777" w:rsidR="003B5312" w:rsidRPr="00CF7CB1" w:rsidRDefault="003B5312" w:rsidP="00337BCF">
      <w:pPr>
        <w:spacing w:after="120"/>
        <w:rPr>
          <w:lang w:val="en-AU"/>
        </w:rPr>
      </w:pPr>
      <w:r w:rsidRPr="00CF7CB1">
        <w:rPr>
          <w:lang w:val="en-AU"/>
        </w:rPr>
        <w:t>Economic growth provides the necessary basis for poverty alleviation, however, whether improvements in the economy translate into achieving development goals depends on a range of structural and policy issues, combined with well-targeted interventions. There is also increasing evidence that achieving gender equality and women’s empowerment in international trade can help boost exports, increase economic growth and achieve positive development outcomes. From a development perspective increased business ownership and workforce participation by women can lead to improved income generation, employment, improved social status and slower population growth. Increases in women’s income tend to correlate with greater expenditure on health and education for the family, unlike similar i</w:t>
      </w:r>
      <w:r w:rsidR="004D4366" w:rsidRPr="00CF7CB1">
        <w:rPr>
          <w:lang w:val="en-AU"/>
        </w:rPr>
        <w:t>ncreases in the income of men.</w:t>
      </w:r>
      <w:r w:rsidR="004D4366" w:rsidRPr="00CF7CB1">
        <w:rPr>
          <w:rStyle w:val="FootnoteReference"/>
          <w:lang w:val="en-AU"/>
        </w:rPr>
        <w:footnoteReference w:id="33"/>
      </w:r>
      <w:r w:rsidRPr="00CF7CB1">
        <w:rPr>
          <w:lang w:val="en-AU"/>
        </w:rPr>
        <w:t xml:space="preserve"> However, increased income for women, or greater female participation in the workforce, does not necessarily lead to women’s economic empowerment.</w:t>
      </w:r>
    </w:p>
    <w:p w14:paraId="6335548B" w14:textId="77777777" w:rsidR="003B5312" w:rsidRPr="00CF7CB1" w:rsidRDefault="003B5312" w:rsidP="00337BCF">
      <w:pPr>
        <w:spacing w:after="120"/>
        <w:rPr>
          <w:lang w:val="en-AU"/>
        </w:rPr>
      </w:pPr>
      <w:r w:rsidRPr="00CF7CB1">
        <w:rPr>
          <w:lang w:val="en-AU"/>
        </w:rPr>
        <w:t>This evaluation looked at whether the DFAT AfT investments had led to positive economic gains, reduced poverty, improved gender equality, and women’s economic empowerment. This was supported by a literature review and an assessment of other related DFAT investments.</w:t>
      </w:r>
    </w:p>
    <w:p w14:paraId="0FF93B08" w14:textId="77777777" w:rsidR="003B5312" w:rsidRPr="00CF7CB1" w:rsidRDefault="003B5312" w:rsidP="004D4366">
      <w:pPr>
        <w:pStyle w:val="Heading2"/>
        <w:rPr>
          <w:lang w:val="en-AU"/>
        </w:rPr>
      </w:pPr>
      <w:r w:rsidRPr="00CF7CB1">
        <w:rPr>
          <w:lang w:val="en-AU"/>
        </w:rPr>
        <w:t>Attributing impacts to DFAT investments</w:t>
      </w:r>
    </w:p>
    <w:p w14:paraId="675A4FE9" w14:textId="77777777" w:rsidR="003B5312" w:rsidRPr="00CF7CB1" w:rsidRDefault="003B5312" w:rsidP="00337BCF">
      <w:pPr>
        <w:spacing w:after="120"/>
        <w:rPr>
          <w:lang w:val="en-AU"/>
        </w:rPr>
      </w:pPr>
      <w:r w:rsidRPr="00CF7CB1">
        <w:rPr>
          <w:lang w:val="en-AU"/>
        </w:rPr>
        <w:t>To determine whether DFAT investments contribute to economic or development gains requires</w:t>
      </w:r>
      <w:r w:rsidR="004D4366" w:rsidRPr="00CF7CB1">
        <w:rPr>
          <w:lang w:val="en-AU"/>
        </w:rPr>
        <w:t xml:space="preserve"> </w:t>
      </w:r>
      <w:r w:rsidRPr="00CF7CB1">
        <w:rPr>
          <w:b/>
          <w:lang w:val="en-AU"/>
        </w:rPr>
        <w:t>monitoring and evaluation systems</w:t>
      </w:r>
      <w:r w:rsidRPr="00CF7CB1">
        <w:rPr>
          <w:lang w:val="en-AU"/>
        </w:rPr>
        <w:t xml:space="preserve"> that provide:</w:t>
      </w:r>
    </w:p>
    <w:p w14:paraId="0EB88BB8" w14:textId="77777777" w:rsidR="003B5312" w:rsidRPr="00CF7CB1" w:rsidRDefault="003B5312" w:rsidP="00BC5572">
      <w:pPr>
        <w:pStyle w:val="ListParagraph"/>
        <w:numPr>
          <w:ilvl w:val="0"/>
          <w:numId w:val="25"/>
        </w:numPr>
        <w:spacing w:after="120"/>
        <w:rPr>
          <w:lang w:val="en-AU"/>
        </w:rPr>
      </w:pPr>
      <w:r w:rsidRPr="00CF7CB1">
        <w:rPr>
          <w:lang w:val="en-AU"/>
        </w:rPr>
        <w:t>Evidence that development or economic gains have occurred against a baseline measurement (or a comparison with an economic environment that has not received simi</w:t>
      </w:r>
      <w:r w:rsidR="004D4366" w:rsidRPr="00CF7CB1">
        <w:rPr>
          <w:lang w:val="en-AU"/>
        </w:rPr>
        <w:t xml:space="preserve">lar investments over the same </w:t>
      </w:r>
      <w:r w:rsidRPr="00CF7CB1">
        <w:rPr>
          <w:lang w:val="en-AU"/>
        </w:rPr>
        <w:t>period).</w:t>
      </w:r>
    </w:p>
    <w:p w14:paraId="58D4BECD" w14:textId="77777777" w:rsidR="003B5312" w:rsidRPr="00CF7CB1" w:rsidRDefault="004D4366" w:rsidP="00BC5572">
      <w:pPr>
        <w:pStyle w:val="ListParagraph"/>
        <w:numPr>
          <w:ilvl w:val="0"/>
          <w:numId w:val="25"/>
        </w:numPr>
        <w:spacing w:after="120"/>
        <w:rPr>
          <w:lang w:val="en-AU"/>
        </w:rPr>
      </w:pPr>
      <w:r w:rsidRPr="00CF7CB1">
        <w:rPr>
          <w:lang w:val="en-AU"/>
        </w:rPr>
        <w:t>Methods</w:t>
      </w:r>
      <w:r w:rsidRPr="00CF7CB1">
        <w:rPr>
          <w:rStyle w:val="FootnoteReference"/>
          <w:lang w:val="en-AU"/>
        </w:rPr>
        <w:footnoteReference w:id="34"/>
      </w:r>
      <w:r w:rsidR="003B5312" w:rsidRPr="00CF7CB1">
        <w:rPr>
          <w:lang w:val="en-AU"/>
        </w:rPr>
        <w:t xml:space="preserve"> that can determine causal attribution by providing a ‘direct l</w:t>
      </w:r>
      <w:r w:rsidRPr="00CF7CB1">
        <w:rPr>
          <w:lang w:val="en-AU"/>
        </w:rPr>
        <w:t>ine of sight’ between the inter</w:t>
      </w:r>
      <w:r w:rsidR="003B5312" w:rsidRPr="00CF7CB1">
        <w:rPr>
          <w:lang w:val="en-AU"/>
        </w:rPr>
        <w:t xml:space="preserve">vention occurring and the change (outcome) detected (cause and effect). This is usually based on the results chain or theory of change, taking into account limitations, assumptions, external factors or influences, and other plausible explanations for the change. The preferred </w:t>
      </w:r>
      <w:r w:rsidRPr="00CF7CB1">
        <w:rPr>
          <w:lang w:val="en-AU"/>
        </w:rPr>
        <w:t>method for these types of inter</w:t>
      </w:r>
      <w:r w:rsidR="003B5312" w:rsidRPr="00CF7CB1">
        <w:rPr>
          <w:lang w:val="en-AU"/>
        </w:rPr>
        <w:t>vent</w:t>
      </w:r>
      <w:r w:rsidRPr="00CF7CB1">
        <w:rPr>
          <w:lang w:val="en-AU"/>
        </w:rPr>
        <w:t>ions is contribution analysis.</w:t>
      </w:r>
      <w:r w:rsidRPr="00CF7CB1">
        <w:rPr>
          <w:rStyle w:val="FootnoteReference"/>
          <w:lang w:val="en-AU"/>
        </w:rPr>
        <w:footnoteReference w:id="35"/>
      </w:r>
    </w:p>
    <w:p w14:paraId="74A897B6" w14:textId="77777777" w:rsidR="003B5312" w:rsidRPr="00CF7CB1" w:rsidRDefault="003B5312" w:rsidP="004D4366">
      <w:pPr>
        <w:pStyle w:val="Heading3"/>
        <w:rPr>
          <w:lang w:val="en-AU"/>
        </w:rPr>
      </w:pPr>
      <w:r w:rsidRPr="00CF7CB1">
        <w:rPr>
          <w:lang w:val="en-AU"/>
        </w:rPr>
        <w:t>Evidence of economic and development impact</w:t>
      </w:r>
    </w:p>
    <w:p w14:paraId="02D107C6" w14:textId="77777777" w:rsidR="003B5312" w:rsidRPr="00CF7CB1" w:rsidRDefault="003B5312" w:rsidP="00337BCF">
      <w:pPr>
        <w:spacing w:after="120"/>
        <w:rPr>
          <w:lang w:val="en-AU"/>
        </w:rPr>
      </w:pPr>
      <w:r w:rsidRPr="00CF7CB1">
        <w:rPr>
          <w:lang w:val="en-AU"/>
        </w:rPr>
        <w:t>Demonstrating results and attributing impacts to AfT initiatives is one of the biggest challenges faced by donors and partner countries</w:t>
      </w:r>
      <w:r w:rsidR="00977E19" w:rsidRPr="00CF7CB1">
        <w:rPr>
          <w:lang w:val="en-AU"/>
        </w:rPr>
        <w:t>.</w:t>
      </w:r>
      <w:r w:rsidR="00977E19" w:rsidRPr="00CF7CB1">
        <w:rPr>
          <w:rStyle w:val="FootnoteReference"/>
          <w:lang w:val="en-AU"/>
        </w:rPr>
        <w:footnoteReference w:id="36"/>
      </w:r>
      <w:r w:rsidRPr="00CF7CB1">
        <w:rPr>
          <w:lang w:val="en-AU"/>
        </w:rPr>
        <w:t xml:space="preserve"> The DFAT investments evaluated exemplified this challenge. They demonstrated a range of results that had the potential to generate positive economic and development gains, however, attributing quantifiable impacts to interventions is currently limited. This restricts making value for money judgements.</w:t>
      </w:r>
    </w:p>
    <w:p w14:paraId="2823E4B6" w14:textId="77777777" w:rsidR="003B5312" w:rsidRPr="00CF7CB1" w:rsidRDefault="003B5312" w:rsidP="00B016CB">
      <w:pPr>
        <w:pStyle w:val="Boxhead1"/>
        <w:pBdr>
          <w:top w:val="single" w:sz="4" w:space="1" w:color="auto"/>
          <w:left w:val="single" w:sz="4" w:space="4" w:color="auto"/>
          <w:bottom w:val="single" w:sz="4" w:space="1" w:color="auto"/>
          <w:right w:val="single" w:sz="4" w:space="4" w:color="auto"/>
        </w:pBdr>
        <w:rPr>
          <w:lang w:val="en-AU"/>
        </w:rPr>
      </w:pPr>
      <w:r w:rsidRPr="00CF7CB1">
        <w:rPr>
          <w:lang w:val="en-AU"/>
        </w:rPr>
        <w:t>Box 3. Improving market access through trade facilitation measures reaches poor households (Sanitary and Phytosanitary, Accreditation and Quarantine assistance)</w:t>
      </w:r>
    </w:p>
    <w:p w14:paraId="0409F34A" w14:textId="77777777" w:rsidR="003B5312" w:rsidRPr="00CF7CB1" w:rsidRDefault="003B5312" w:rsidP="00B016CB">
      <w:pPr>
        <w:pBdr>
          <w:top w:val="single" w:sz="4" w:space="1" w:color="auto"/>
          <w:left w:val="single" w:sz="4" w:space="4" w:color="auto"/>
          <w:bottom w:val="single" w:sz="4" w:space="1" w:color="auto"/>
          <w:right w:val="single" w:sz="4" w:space="4" w:color="auto"/>
        </w:pBdr>
        <w:spacing w:after="120"/>
        <w:rPr>
          <w:lang w:val="en-AU"/>
        </w:rPr>
      </w:pPr>
      <w:r w:rsidRPr="00CF7CB1">
        <w:rPr>
          <w:lang w:val="en-AU"/>
        </w:rPr>
        <w:t>Ben’s Trading, a Fijian exporter of Taro to Australia and New Zealand supermarkets supported through PHAMA, sources its products from around 10,000 producers - from those who supply one or two, to big producers. Assistance was provided in terms of the</w:t>
      </w:r>
      <w:r w:rsidR="004D4366" w:rsidRPr="00CF7CB1">
        <w:rPr>
          <w:lang w:val="en-AU"/>
        </w:rPr>
        <w:t xml:space="preserve"> </w:t>
      </w:r>
      <w:r w:rsidRPr="00CF7CB1">
        <w:rPr>
          <w:lang w:val="en-AU"/>
        </w:rPr>
        <w:t xml:space="preserve">development of operational procedures to meet quarantine requirements and </w:t>
      </w:r>
      <w:r w:rsidR="004D4366" w:rsidRPr="00CF7CB1">
        <w:rPr>
          <w:lang w:val="en-AU"/>
        </w:rPr>
        <w:t>development of</w:t>
      </w:r>
      <w:r w:rsidRPr="00CF7CB1">
        <w:rPr>
          <w:lang w:val="en-AU"/>
        </w:rPr>
        <w:t xml:space="preserve"> market access offers. Collection centres are located all over the country reaching many poor areas. Ben’s Trading is now a multi-million dollar business owned by a husband</w:t>
      </w:r>
      <w:r w:rsidR="004D4366" w:rsidRPr="00CF7CB1">
        <w:rPr>
          <w:lang w:val="en-AU"/>
        </w:rPr>
        <w:t xml:space="preserve"> </w:t>
      </w:r>
      <w:r w:rsidRPr="00CF7CB1">
        <w:rPr>
          <w:lang w:val="en-AU"/>
        </w:rPr>
        <w:t xml:space="preserve">and wife team who employ about 160 women and 40 men, many of whom come from </w:t>
      </w:r>
      <w:r w:rsidR="004D4366" w:rsidRPr="00CF7CB1">
        <w:rPr>
          <w:lang w:val="en-AU"/>
        </w:rPr>
        <w:t>disadvantaged backgrounds</w:t>
      </w:r>
      <w:r w:rsidRPr="00CF7CB1">
        <w:rPr>
          <w:lang w:val="en-AU"/>
        </w:rPr>
        <w:t>.</w:t>
      </w:r>
    </w:p>
    <w:p w14:paraId="0CC707D9" w14:textId="77777777" w:rsidR="003B5312" w:rsidRPr="00CF7CB1" w:rsidRDefault="003B5312" w:rsidP="00B016CB">
      <w:pPr>
        <w:pBdr>
          <w:top w:val="single" w:sz="4" w:space="1" w:color="auto"/>
          <w:left w:val="single" w:sz="4" w:space="4" w:color="auto"/>
          <w:bottom w:val="single" w:sz="4" w:space="1" w:color="auto"/>
          <w:right w:val="single" w:sz="4" w:space="4" w:color="auto"/>
        </w:pBdr>
        <w:spacing w:after="120"/>
        <w:rPr>
          <w:lang w:val="en-AU"/>
        </w:rPr>
      </w:pPr>
      <w:r w:rsidRPr="00CF7CB1">
        <w:rPr>
          <w:lang w:val="en-AU"/>
        </w:rPr>
        <w:t xml:space="preserve">Kava is grown by about 60 per cent of people in Fiji and 20,000 households in Vanuatu. </w:t>
      </w:r>
      <w:r w:rsidR="004D4366" w:rsidRPr="00CF7CB1">
        <w:rPr>
          <w:lang w:val="en-AU"/>
        </w:rPr>
        <w:t>To these</w:t>
      </w:r>
      <w:r w:rsidRPr="00CF7CB1">
        <w:rPr>
          <w:lang w:val="en-AU"/>
        </w:rPr>
        <w:t xml:space="preserve"> households it is ‘like their ATM’. They just pull up a few plants and sell it when they need cash. Although local demand is high, projects like PHAMA are working on improving the quality in terms of development and publication of kava quality field guide and associated materials so that export markets can expand and prices for quality product will increase to ben</w:t>
      </w:r>
      <w:r w:rsidR="004D4366" w:rsidRPr="00CF7CB1">
        <w:rPr>
          <w:lang w:val="en-AU"/>
        </w:rPr>
        <w:t>efit many small households and</w:t>
      </w:r>
      <w:r w:rsidRPr="00CF7CB1">
        <w:rPr>
          <w:lang w:val="en-AU"/>
        </w:rPr>
        <w:t xml:space="preserve"> villages.</w:t>
      </w:r>
    </w:p>
    <w:p w14:paraId="4A84B885" w14:textId="77777777" w:rsidR="003B5312" w:rsidRPr="00CF7CB1" w:rsidRDefault="004D4366" w:rsidP="00B016CB">
      <w:pPr>
        <w:pBdr>
          <w:top w:val="single" w:sz="4" w:space="1" w:color="auto"/>
          <w:left w:val="single" w:sz="4" w:space="4" w:color="auto"/>
          <w:bottom w:val="single" w:sz="4" w:space="1" w:color="auto"/>
          <w:right w:val="single" w:sz="4" w:space="4" w:color="auto"/>
        </w:pBdr>
        <w:spacing w:after="120"/>
        <w:rPr>
          <w:lang w:val="en-AU"/>
        </w:rPr>
      </w:pPr>
      <w:r w:rsidRPr="00CF7CB1">
        <w:rPr>
          <w:noProof/>
          <w:lang w:val="en-AU" w:eastAsia="en-AU"/>
        </w:rPr>
        <w:drawing>
          <wp:inline distT="0" distB="0" distL="0" distR="0" wp14:anchorId="0C5633B5" wp14:editId="3FEAA5B9">
            <wp:extent cx="3695700" cy="1958475"/>
            <wp:effectExtent l="0" t="0" r="0" b="0"/>
            <wp:docPr id="5" name="Picture 5" descr="Kava root in a storage room ready for processing.&#10;" title="Kava root ready for proce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00784" cy="1961169"/>
                    </a:xfrm>
                    <a:prstGeom prst="rect">
                      <a:avLst/>
                    </a:prstGeom>
                    <a:noFill/>
                    <a:ln>
                      <a:noFill/>
                    </a:ln>
                  </pic:spPr>
                </pic:pic>
              </a:graphicData>
            </a:graphic>
          </wp:inline>
        </w:drawing>
      </w:r>
    </w:p>
    <w:p w14:paraId="60A791FE" w14:textId="77777777" w:rsidR="003B5312" w:rsidRPr="00CF7CB1" w:rsidRDefault="003B5312" w:rsidP="00B016CB">
      <w:pPr>
        <w:pStyle w:val="Caption"/>
        <w:pBdr>
          <w:top w:val="single" w:sz="4" w:space="1" w:color="auto"/>
          <w:left w:val="single" w:sz="4" w:space="4" w:color="auto"/>
          <w:bottom w:val="single" w:sz="4" w:space="1" w:color="auto"/>
          <w:right w:val="single" w:sz="4" w:space="4" w:color="auto"/>
        </w:pBdr>
        <w:rPr>
          <w:lang w:val="en-AU"/>
        </w:rPr>
      </w:pPr>
      <w:r w:rsidRPr="00CF7CB1">
        <w:rPr>
          <w:lang w:val="en-AU"/>
        </w:rPr>
        <w:t>Kava root ready for processing.</w:t>
      </w:r>
    </w:p>
    <w:p w14:paraId="1798A8A6" w14:textId="77777777" w:rsidR="003B5312" w:rsidRPr="00CF7CB1" w:rsidRDefault="003B5312" w:rsidP="00B016CB">
      <w:pPr>
        <w:pStyle w:val="Source"/>
        <w:pBdr>
          <w:top w:val="single" w:sz="4" w:space="1" w:color="auto"/>
          <w:left w:val="single" w:sz="4" w:space="4" w:color="auto"/>
          <w:bottom w:val="single" w:sz="4" w:space="1" w:color="auto"/>
          <w:right w:val="single" w:sz="4" w:space="4" w:color="auto"/>
        </w:pBdr>
        <w:rPr>
          <w:lang w:val="en-AU"/>
        </w:rPr>
      </w:pPr>
      <w:r w:rsidRPr="00CF7CB1">
        <w:rPr>
          <w:lang w:val="en-AU"/>
        </w:rPr>
        <w:t>Source D. Goodwins</w:t>
      </w:r>
    </w:p>
    <w:p w14:paraId="568AA6F2" w14:textId="77777777" w:rsidR="00B05D4B" w:rsidRPr="00CF7CB1" w:rsidRDefault="003B5312" w:rsidP="00337BCF">
      <w:pPr>
        <w:spacing w:after="120"/>
        <w:rPr>
          <w:lang w:val="en-AU"/>
        </w:rPr>
      </w:pPr>
      <w:r w:rsidRPr="00CF7CB1">
        <w:rPr>
          <w:lang w:val="en-AU"/>
        </w:rPr>
        <w:t xml:space="preserve">For </w:t>
      </w:r>
      <w:r w:rsidRPr="00CF7CB1">
        <w:rPr>
          <w:b/>
          <w:lang w:val="en-AU"/>
        </w:rPr>
        <w:t>PACER Plus</w:t>
      </w:r>
      <w:r w:rsidRPr="00CF7CB1">
        <w:rPr>
          <w:lang w:val="en-AU"/>
        </w:rPr>
        <w:t xml:space="preserve"> it is premature to be ascertaining trade outcomes and development impacts since the negotiations are still ongoing. The reforms that will follow a successfully negotiated agreement are likely to increase trade outcomes for the PICs in the long term. However, the evaluation found that the benefits and impacts of PACER Plus for the PICs appear to be not well understood by some stakeholders, including some government representatives, despite OCTA’s efforts to com</w:t>
      </w:r>
      <w:r w:rsidR="00977E19" w:rsidRPr="00CF7CB1">
        <w:rPr>
          <w:lang w:val="en-AU"/>
        </w:rPr>
        <w:t>municate widely on this issue.</w:t>
      </w:r>
      <w:r w:rsidR="00977E19" w:rsidRPr="00CF7CB1">
        <w:rPr>
          <w:rStyle w:val="FootnoteReference"/>
          <w:lang w:val="en-AU"/>
        </w:rPr>
        <w:footnoteReference w:id="37"/>
      </w:r>
      <w:r w:rsidRPr="00CF7CB1">
        <w:rPr>
          <w:lang w:val="en-AU"/>
        </w:rPr>
        <w:t xml:space="preserve"> It is notable that the program provided AUD65,</w:t>
      </w:r>
      <w:r w:rsidR="00822F41" w:rsidRPr="00CF7CB1">
        <w:rPr>
          <w:lang w:val="en-AU"/>
        </w:rPr>
        <w:t>000</w:t>
      </w:r>
      <w:r w:rsidRPr="00CF7CB1">
        <w:rPr>
          <w:lang w:val="en-AU"/>
        </w:rPr>
        <w:t xml:space="preserve"> to each of the PICs to conduct research studies on the impact of PACER Plus on</w:t>
      </w:r>
      <w:r w:rsidR="00C7564E" w:rsidRPr="00CF7CB1">
        <w:rPr>
          <w:lang w:val="en-AU"/>
        </w:rPr>
        <w:t xml:space="preserve"> </w:t>
      </w:r>
      <w:r w:rsidRPr="00CF7CB1">
        <w:rPr>
          <w:lang w:val="en-AU"/>
        </w:rPr>
        <w:t>their countries. Due to confidentiality reasons, the results of the research studies on impact were not made available for this evaluation, however, they may be useful documents for developing a performance framework following the acceptance of the agreement. The benefits of the agreement need to be clearly defined in terms of economic and development outcomes in order to determine the level of success of the implementation of the final agreement.</w:t>
      </w:r>
    </w:p>
    <w:p w14:paraId="20336610" w14:textId="77777777" w:rsidR="003B5312" w:rsidRPr="00CF7CB1" w:rsidRDefault="003B5312" w:rsidP="00B05D4B">
      <w:pPr>
        <w:pStyle w:val="Boxhead1"/>
        <w:pBdr>
          <w:top w:val="single" w:sz="4" w:space="1" w:color="auto"/>
          <w:left w:val="single" w:sz="4" w:space="4" w:color="auto"/>
          <w:bottom w:val="single" w:sz="4" w:space="1" w:color="auto"/>
          <w:right w:val="single" w:sz="4" w:space="4" w:color="auto"/>
        </w:pBdr>
        <w:rPr>
          <w:lang w:val="en-AU"/>
        </w:rPr>
      </w:pPr>
      <w:r w:rsidRPr="00CF7CB1">
        <w:rPr>
          <w:lang w:val="en-AU"/>
        </w:rPr>
        <w:t>Box 4. PHAMA supports Fiji ginger exports to Australia</w:t>
      </w:r>
    </w:p>
    <w:p w14:paraId="6EDF269D" w14:textId="77777777" w:rsidR="003B5312" w:rsidRPr="00CF7CB1" w:rsidRDefault="003B5312" w:rsidP="00B05D4B">
      <w:pPr>
        <w:pBdr>
          <w:top w:val="single" w:sz="4" w:space="1" w:color="auto"/>
          <w:left w:val="single" w:sz="4" w:space="4" w:color="auto"/>
          <w:bottom w:val="single" w:sz="4" w:space="1" w:color="auto"/>
          <w:right w:val="single" w:sz="4" w:space="4" w:color="auto"/>
        </w:pBdr>
        <w:spacing w:after="120"/>
        <w:rPr>
          <w:lang w:val="en-AU"/>
        </w:rPr>
      </w:pPr>
      <w:r w:rsidRPr="00CF7CB1">
        <w:rPr>
          <w:lang w:val="en-AU"/>
        </w:rPr>
        <w:t>After first being requested in 2003, access for fresh ginger to Australia was gained in early 2014, with the assistance of PHAMA, following extensive technical analysis, trial runs and audits. The 2014–15 Fijian ginger season export comprised five air–freight consignments in total. Three consignments were imported into Sydney, with the other two arriving in Melbourne (from Department of Agriculture—Review of Import Conditions for fresh ginger from Fiji Draft Report, 2015).</w:t>
      </w:r>
    </w:p>
    <w:tbl>
      <w:tblPr>
        <w:tblStyle w:val="TableGrid"/>
        <w:tblW w:w="0" w:type="auto"/>
        <w:tblLook w:val="04A0" w:firstRow="1" w:lastRow="0" w:firstColumn="1" w:lastColumn="0" w:noHBand="0" w:noVBand="1"/>
        <w:tblCaption w:val="Fiji's ginger exports to Australia - consignment date and quantity (kg)"/>
      </w:tblPr>
      <w:tblGrid>
        <w:gridCol w:w="4437"/>
        <w:gridCol w:w="4437"/>
      </w:tblGrid>
      <w:tr w:rsidR="00D62262" w:rsidRPr="00CF7CB1" w14:paraId="138CDE19" w14:textId="77777777" w:rsidTr="00CE6422">
        <w:trPr>
          <w:tblHeader/>
        </w:trPr>
        <w:tc>
          <w:tcPr>
            <w:tcW w:w="4437" w:type="dxa"/>
          </w:tcPr>
          <w:p w14:paraId="01D934B9" w14:textId="77777777" w:rsidR="00D62262" w:rsidRPr="00CF7CB1" w:rsidRDefault="00D62262" w:rsidP="00D62262">
            <w:pPr>
              <w:pStyle w:val="Tableheader"/>
              <w:rPr>
                <w:lang w:val="en-AU"/>
              </w:rPr>
            </w:pPr>
            <w:r w:rsidRPr="00CF7CB1">
              <w:rPr>
                <w:lang w:val="en-AU"/>
              </w:rPr>
              <w:t>Consignment date</w:t>
            </w:r>
          </w:p>
        </w:tc>
        <w:tc>
          <w:tcPr>
            <w:tcW w:w="4437" w:type="dxa"/>
          </w:tcPr>
          <w:p w14:paraId="04C84F0A" w14:textId="77777777" w:rsidR="00D62262" w:rsidRPr="00CF7CB1" w:rsidRDefault="00D62262" w:rsidP="00B05D4B">
            <w:pPr>
              <w:pStyle w:val="Tableheader"/>
              <w:rPr>
                <w:lang w:val="en-AU"/>
              </w:rPr>
            </w:pPr>
            <w:r w:rsidRPr="00CF7CB1">
              <w:rPr>
                <w:lang w:val="en-AU"/>
              </w:rPr>
              <w:t>Quantity (kg.)</w:t>
            </w:r>
          </w:p>
        </w:tc>
      </w:tr>
      <w:tr w:rsidR="00B05D4B" w:rsidRPr="00CF7CB1" w14:paraId="148A9FA3" w14:textId="77777777" w:rsidTr="00B05D4B">
        <w:tc>
          <w:tcPr>
            <w:tcW w:w="4437" w:type="dxa"/>
          </w:tcPr>
          <w:p w14:paraId="1E3116AD" w14:textId="77777777" w:rsidR="00B05D4B" w:rsidRPr="00CF7CB1" w:rsidRDefault="00B05D4B" w:rsidP="00B05D4B">
            <w:pPr>
              <w:spacing w:after="120"/>
              <w:rPr>
                <w:lang w:val="en-AU"/>
              </w:rPr>
            </w:pPr>
            <w:r w:rsidRPr="00CF7CB1">
              <w:rPr>
                <w:rFonts w:cs="Arial"/>
                <w:lang w:val="en-AU"/>
              </w:rPr>
              <w:t>15/09/2014</w:t>
            </w:r>
          </w:p>
        </w:tc>
        <w:tc>
          <w:tcPr>
            <w:tcW w:w="4437" w:type="dxa"/>
          </w:tcPr>
          <w:p w14:paraId="5C3FBEE1" w14:textId="77777777" w:rsidR="00B05D4B" w:rsidRPr="00CF7CB1" w:rsidRDefault="00B05D4B" w:rsidP="00B05D4B">
            <w:pPr>
              <w:spacing w:after="120"/>
              <w:rPr>
                <w:lang w:val="en-AU"/>
              </w:rPr>
            </w:pPr>
            <w:r w:rsidRPr="00CF7CB1">
              <w:rPr>
                <w:lang w:val="en-AU"/>
              </w:rPr>
              <w:t>494</w:t>
            </w:r>
          </w:p>
        </w:tc>
      </w:tr>
      <w:tr w:rsidR="00B05D4B" w:rsidRPr="00CF7CB1" w14:paraId="3BF8B43C" w14:textId="77777777" w:rsidTr="00B05D4B">
        <w:tc>
          <w:tcPr>
            <w:tcW w:w="4437" w:type="dxa"/>
          </w:tcPr>
          <w:p w14:paraId="251ADC93" w14:textId="77777777" w:rsidR="00B05D4B" w:rsidRPr="00CF7CB1" w:rsidRDefault="00B05D4B" w:rsidP="00B05D4B">
            <w:pPr>
              <w:spacing w:after="120"/>
              <w:rPr>
                <w:lang w:val="en-AU"/>
              </w:rPr>
            </w:pPr>
            <w:r w:rsidRPr="00CF7CB1">
              <w:rPr>
                <w:rFonts w:cs="Arial"/>
                <w:lang w:val="en-AU"/>
              </w:rPr>
              <w:t>18/09/2014</w:t>
            </w:r>
          </w:p>
        </w:tc>
        <w:tc>
          <w:tcPr>
            <w:tcW w:w="4437" w:type="dxa"/>
          </w:tcPr>
          <w:p w14:paraId="128CBB43" w14:textId="77777777" w:rsidR="00B05D4B" w:rsidRPr="00CF7CB1" w:rsidRDefault="00B05D4B" w:rsidP="00B05D4B">
            <w:pPr>
              <w:spacing w:after="120"/>
              <w:rPr>
                <w:lang w:val="en-AU"/>
              </w:rPr>
            </w:pPr>
            <w:r w:rsidRPr="00CF7CB1">
              <w:rPr>
                <w:lang w:val="en-AU"/>
              </w:rPr>
              <w:t>760</w:t>
            </w:r>
          </w:p>
        </w:tc>
      </w:tr>
      <w:tr w:rsidR="00B05D4B" w:rsidRPr="00CF7CB1" w14:paraId="4BD1E7C1" w14:textId="77777777" w:rsidTr="00B05D4B">
        <w:tc>
          <w:tcPr>
            <w:tcW w:w="4437" w:type="dxa"/>
          </w:tcPr>
          <w:p w14:paraId="4F2732CB" w14:textId="77777777" w:rsidR="00B05D4B" w:rsidRPr="00CF7CB1" w:rsidRDefault="00B05D4B" w:rsidP="00B05D4B">
            <w:pPr>
              <w:spacing w:after="120"/>
              <w:rPr>
                <w:lang w:val="en-AU"/>
              </w:rPr>
            </w:pPr>
            <w:r w:rsidRPr="00CF7CB1">
              <w:rPr>
                <w:rFonts w:cs="Arial"/>
                <w:lang w:val="en-AU"/>
              </w:rPr>
              <w:t>23/10/2014</w:t>
            </w:r>
          </w:p>
        </w:tc>
        <w:tc>
          <w:tcPr>
            <w:tcW w:w="4437" w:type="dxa"/>
          </w:tcPr>
          <w:p w14:paraId="2DD47D26" w14:textId="77777777" w:rsidR="00B05D4B" w:rsidRPr="00CF7CB1" w:rsidRDefault="00B05D4B" w:rsidP="00B05D4B">
            <w:pPr>
              <w:spacing w:after="120"/>
              <w:rPr>
                <w:lang w:val="en-AU"/>
              </w:rPr>
            </w:pPr>
            <w:r w:rsidRPr="00CF7CB1">
              <w:rPr>
                <w:lang w:val="en-AU"/>
              </w:rPr>
              <w:t>1000</w:t>
            </w:r>
          </w:p>
        </w:tc>
      </w:tr>
      <w:tr w:rsidR="00B05D4B" w:rsidRPr="00CF7CB1" w14:paraId="012107F3" w14:textId="77777777" w:rsidTr="00B05D4B">
        <w:tc>
          <w:tcPr>
            <w:tcW w:w="4437" w:type="dxa"/>
          </w:tcPr>
          <w:p w14:paraId="4EB4C5DB" w14:textId="77777777" w:rsidR="00B05D4B" w:rsidRPr="00CF7CB1" w:rsidRDefault="00B05D4B" w:rsidP="00B05D4B">
            <w:pPr>
              <w:spacing w:after="120"/>
              <w:rPr>
                <w:lang w:val="en-AU"/>
              </w:rPr>
            </w:pPr>
            <w:r w:rsidRPr="00CF7CB1">
              <w:rPr>
                <w:rFonts w:cs="Arial"/>
                <w:lang w:val="en-AU"/>
              </w:rPr>
              <w:t>20/11/2014</w:t>
            </w:r>
          </w:p>
        </w:tc>
        <w:tc>
          <w:tcPr>
            <w:tcW w:w="4437" w:type="dxa"/>
          </w:tcPr>
          <w:p w14:paraId="08174E3C" w14:textId="77777777" w:rsidR="00B05D4B" w:rsidRPr="00CF7CB1" w:rsidRDefault="00B05D4B" w:rsidP="00B05D4B">
            <w:pPr>
              <w:spacing w:after="120"/>
              <w:rPr>
                <w:lang w:val="en-AU"/>
              </w:rPr>
            </w:pPr>
            <w:r w:rsidRPr="00CF7CB1">
              <w:rPr>
                <w:lang w:val="en-AU"/>
              </w:rPr>
              <w:t>2300</w:t>
            </w:r>
          </w:p>
        </w:tc>
      </w:tr>
      <w:tr w:rsidR="00B05D4B" w:rsidRPr="00CF7CB1" w14:paraId="0DE1ED56" w14:textId="77777777" w:rsidTr="00B05D4B">
        <w:tc>
          <w:tcPr>
            <w:tcW w:w="4437" w:type="dxa"/>
          </w:tcPr>
          <w:p w14:paraId="6B3AB8EF" w14:textId="77777777" w:rsidR="00B05D4B" w:rsidRPr="00CF7CB1" w:rsidRDefault="00B05D4B" w:rsidP="00B05D4B">
            <w:pPr>
              <w:spacing w:after="120"/>
              <w:rPr>
                <w:lang w:val="en-AU"/>
              </w:rPr>
            </w:pPr>
            <w:r w:rsidRPr="00CF7CB1">
              <w:rPr>
                <w:rFonts w:cs="Arial"/>
                <w:lang w:val="en-AU"/>
              </w:rPr>
              <w:t>9/1/2015</w:t>
            </w:r>
          </w:p>
        </w:tc>
        <w:tc>
          <w:tcPr>
            <w:tcW w:w="4437" w:type="dxa"/>
          </w:tcPr>
          <w:p w14:paraId="46D5A9DA" w14:textId="77777777" w:rsidR="00B05D4B" w:rsidRPr="00CF7CB1" w:rsidRDefault="00B05D4B" w:rsidP="00B05D4B">
            <w:pPr>
              <w:spacing w:after="120"/>
              <w:rPr>
                <w:lang w:val="en-AU"/>
              </w:rPr>
            </w:pPr>
            <w:r w:rsidRPr="00CF7CB1">
              <w:rPr>
                <w:lang w:val="en-AU"/>
              </w:rPr>
              <w:t>291</w:t>
            </w:r>
          </w:p>
        </w:tc>
      </w:tr>
    </w:tbl>
    <w:p w14:paraId="2F5AA741" w14:textId="77777777" w:rsidR="003B5312" w:rsidRPr="00CF7CB1" w:rsidRDefault="003B5312" w:rsidP="00B05D4B">
      <w:pPr>
        <w:pBdr>
          <w:top w:val="single" w:sz="4" w:space="1" w:color="auto"/>
          <w:left w:val="single" w:sz="4" w:space="4" w:color="auto"/>
          <w:bottom w:val="single" w:sz="4" w:space="1" w:color="auto"/>
          <w:right w:val="single" w:sz="4" w:space="4" w:color="auto"/>
        </w:pBdr>
        <w:spacing w:after="120"/>
        <w:rPr>
          <w:lang w:val="en-AU"/>
        </w:rPr>
      </w:pPr>
      <w:r w:rsidRPr="00CF7CB1">
        <w:rPr>
          <w:lang w:val="en-AU"/>
        </w:rPr>
        <w:t>Initially the first consignments were found to contain nematodes (a parasitic worm that lives in soil), however, these were not a quarantine pest. Nonetheless this led to a review of import conditions with PHAMA providing technical assistance to the Biosecurity Authority of Fiji (BAF) to prepare submissions.</w:t>
      </w:r>
    </w:p>
    <w:p w14:paraId="43CF2621" w14:textId="77777777" w:rsidR="003B5312" w:rsidRPr="00CF7CB1" w:rsidRDefault="003B5312" w:rsidP="00B05D4B">
      <w:pPr>
        <w:pBdr>
          <w:top w:val="single" w:sz="4" w:space="1" w:color="auto"/>
          <w:left w:val="single" w:sz="4" w:space="4" w:color="auto"/>
          <w:bottom w:val="single" w:sz="4" w:space="1" w:color="auto"/>
          <w:right w:val="single" w:sz="4" w:space="4" w:color="auto"/>
        </w:pBdr>
        <w:spacing w:after="120"/>
        <w:rPr>
          <w:lang w:val="en-AU"/>
        </w:rPr>
      </w:pPr>
      <w:r w:rsidRPr="00CF7CB1">
        <w:rPr>
          <w:lang w:val="en-AU"/>
        </w:rPr>
        <w:t xml:space="preserve">The majority of the ginger is currently exported in processed form, with annual exports valued at FJD6.5–7.5 million. Many exporters find it hard to maintain the standards </w:t>
      </w:r>
      <w:r w:rsidR="00B05D4B" w:rsidRPr="00CF7CB1">
        <w:rPr>
          <w:lang w:val="en-AU"/>
        </w:rPr>
        <w:t>required for</w:t>
      </w:r>
      <w:r w:rsidRPr="00CF7CB1">
        <w:rPr>
          <w:lang w:val="en-AU"/>
        </w:rPr>
        <w:t xml:space="preserve"> fresh ginger export. One producer claimed that ‘</w:t>
      </w:r>
      <w:r w:rsidRPr="00CF7CB1">
        <w:rPr>
          <w:i/>
          <w:lang w:val="en-AU"/>
        </w:rPr>
        <w:t>the Australian market is too difficult.</w:t>
      </w:r>
      <w:r w:rsidR="00B05D4B" w:rsidRPr="00CF7CB1">
        <w:rPr>
          <w:i/>
          <w:lang w:val="en-AU"/>
        </w:rPr>
        <w:t xml:space="preserve"> </w:t>
      </w:r>
      <w:r w:rsidRPr="00CF7CB1">
        <w:rPr>
          <w:i/>
          <w:lang w:val="en-AU"/>
        </w:rPr>
        <w:t>We need to wash the ginger twice and peel off the skin which causes the oil to wash off and spoils the ginger within days’</w:t>
      </w:r>
      <w:r w:rsidRPr="00CF7CB1">
        <w:rPr>
          <w:lang w:val="en-AU"/>
        </w:rPr>
        <w:t>. However, Sai Yee Foods has recently exported ginger to Sydney and in the upcoming season plans to export 50-100 tonnes.</w:t>
      </w:r>
    </w:p>
    <w:p w14:paraId="7CF69EB2" w14:textId="77777777" w:rsidR="00B05D4B" w:rsidRPr="00CF7CB1" w:rsidRDefault="00B05D4B" w:rsidP="00B05D4B">
      <w:pPr>
        <w:pBdr>
          <w:top w:val="single" w:sz="4" w:space="1" w:color="auto"/>
          <w:left w:val="single" w:sz="4" w:space="4" w:color="auto"/>
          <w:bottom w:val="single" w:sz="4" w:space="1" w:color="auto"/>
          <w:right w:val="single" w:sz="4" w:space="4" w:color="auto"/>
        </w:pBdr>
        <w:spacing w:after="120"/>
        <w:rPr>
          <w:lang w:val="en-AU"/>
        </w:rPr>
      </w:pPr>
      <w:r w:rsidRPr="00CF7CB1">
        <w:rPr>
          <w:noProof/>
          <w:lang w:val="en-AU" w:eastAsia="en-AU"/>
        </w:rPr>
        <w:drawing>
          <wp:inline distT="0" distB="0" distL="0" distR="0" wp14:anchorId="44C69D7D" wp14:editId="5D4E5558">
            <wp:extent cx="4295775" cy="2276475"/>
            <wp:effectExtent l="0" t="0" r="0" b="9525"/>
            <wp:docPr id="6" name="Picture 6" descr="Several pieces of poor quality ginger piled on top of each other. " title="Poor quality supplies hamper export of fresh ginger with most ginger being exported in processed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95775" cy="2276475"/>
                    </a:xfrm>
                    <a:prstGeom prst="rect">
                      <a:avLst/>
                    </a:prstGeom>
                    <a:noFill/>
                    <a:ln>
                      <a:noFill/>
                    </a:ln>
                  </pic:spPr>
                </pic:pic>
              </a:graphicData>
            </a:graphic>
          </wp:inline>
        </w:drawing>
      </w:r>
    </w:p>
    <w:p w14:paraId="1C330349" w14:textId="77777777" w:rsidR="00B05D4B" w:rsidRPr="00CF7CB1" w:rsidRDefault="00B05D4B" w:rsidP="00B05D4B">
      <w:pPr>
        <w:pStyle w:val="Caption"/>
        <w:pBdr>
          <w:top w:val="single" w:sz="4" w:space="1" w:color="auto"/>
          <w:left w:val="single" w:sz="4" w:space="4" w:color="auto"/>
          <w:bottom w:val="single" w:sz="4" w:space="1" w:color="auto"/>
          <w:right w:val="single" w:sz="4" w:space="4" w:color="auto"/>
        </w:pBdr>
        <w:rPr>
          <w:lang w:val="en-AU"/>
        </w:rPr>
      </w:pPr>
      <w:r w:rsidRPr="00CF7CB1">
        <w:rPr>
          <w:lang w:val="en-AU"/>
        </w:rPr>
        <w:t>Poor quality supplies hamper export of fresh ginger with most ginger being exported in processed form.</w:t>
      </w:r>
    </w:p>
    <w:p w14:paraId="6C11BB4B" w14:textId="77777777" w:rsidR="00B05D4B" w:rsidRPr="00CF7CB1" w:rsidRDefault="00B05D4B" w:rsidP="00B05D4B">
      <w:pPr>
        <w:pStyle w:val="Source"/>
        <w:pBdr>
          <w:top w:val="single" w:sz="4" w:space="1" w:color="auto"/>
          <w:left w:val="single" w:sz="4" w:space="4" w:color="auto"/>
          <w:bottom w:val="single" w:sz="4" w:space="1" w:color="auto"/>
          <w:right w:val="single" w:sz="4" w:space="4" w:color="auto"/>
        </w:pBdr>
        <w:rPr>
          <w:lang w:val="en-AU"/>
        </w:rPr>
      </w:pPr>
      <w:r w:rsidRPr="00CF7CB1">
        <w:rPr>
          <w:lang w:val="en-AU"/>
        </w:rPr>
        <w:t>Source D. Goodwins</w:t>
      </w:r>
    </w:p>
    <w:p w14:paraId="7F4B19CA" w14:textId="77777777" w:rsidR="003B5312" w:rsidRPr="00CF7CB1" w:rsidRDefault="003B5312" w:rsidP="00CE2081">
      <w:pPr>
        <w:spacing w:before="120" w:after="120"/>
        <w:rPr>
          <w:lang w:val="en-AU"/>
        </w:rPr>
      </w:pPr>
      <w:r w:rsidRPr="00CF7CB1">
        <w:rPr>
          <w:lang w:val="en-AU"/>
        </w:rPr>
        <w:t>PHAMA is making contributions to achieving the social and economic goals of PICs by opening up access to new markets for many export businesses including ginger, kava, Tahitian</w:t>
      </w:r>
      <w:r w:rsidR="00841423" w:rsidRPr="00CF7CB1">
        <w:rPr>
          <w:lang w:val="en-AU"/>
        </w:rPr>
        <w:t xml:space="preserve"> </w:t>
      </w:r>
      <w:r w:rsidRPr="00CF7CB1">
        <w:rPr>
          <w:lang w:val="en-AU"/>
        </w:rPr>
        <w:t>limes, turmeric, watermelons, taro and papaya. The extensive harvesting networks, using intermediaries, reach many small and large producers including poor farmers (see Boxes</w:t>
      </w:r>
      <w:r w:rsidR="00CE2081" w:rsidRPr="00CF7CB1">
        <w:rPr>
          <w:lang w:val="en-AU"/>
        </w:rPr>
        <w:t xml:space="preserve"> </w:t>
      </w:r>
      <w:r w:rsidRPr="00CF7CB1">
        <w:rPr>
          <w:lang w:val="en-AU"/>
        </w:rPr>
        <w:t xml:space="preserve">3 and 4). Similarly PHAMA is protecting existing markets by improving and maintaining Sanitary and Phytosanitary (SPS) procedures. Some PICs were in danger of losing market access due to contamination e.g. papaya, eggplants, taro and </w:t>
      </w:r>
      <w:r w:rsidR="00CE2081" w:rsidRPr="00CF7CB1">
        <w:rPr>
          <w:lang w:val="en-AU"/>
        </w:rPr>
        <w:t>Tahitian limes</w:t>
      </w:r>
      <w:r w:rsidRPr="00CF7CB1">
        <w:rPr>
          <w:lang w:val="en-AU"/>
        </w:rPr>
        <w:t>. However, support from PHAMA</w:t>
      </w:r>
      <w:r w:rsidR="00D62262" w:rsidRPr="00CF7CB1">
        <w:rPr>
          <w:lang w:val="en-AU"/>
        </w:rPr>
        <w:t xml:space="preserve"> </w:t>
      </w:r>
      <w:r w:rsidRPr="00CF7CB1">
        <w:rPr>
          <w:lang w:val="en-AU"/>
        </w:rPr>
        <w:t>on sanitary and phytosanitary measures prevented market closure.</w:t>
      </w:r>
    </w:p>
    <w:p w14:paraId="7F2949CC" w14:textId="77777777" w:rsidR="003B5312" w:rsidRPr="00893288" w:rsidRDefault="003B5312" w:rsidP="00CE2081">
      <w:pPr>
        <w:pBdr>
          <w:top w:val="single" w:sz="4" w:space="1" w:color="auto"/>
          <w:bottom w:val="single" w:sz="4" w:space="1" w:color="auto"/>
        </w:pBdr>
        <w:spacing w:after="120"/>
        <w:rPr>
          <w:sz w:val="26"/>
          <w:szCs w:val="26"/>
          <w:lang w:val="en-AU"/>
        </w:rPr>
      </w:pPr>
      <w:r w:rsidRPr="00893288">
        <w:rPr>
          <w:sz w:val="26"/>
          <w:szCs w:val="26"/>
          <w:lang w:val="en-AU"/>
        </w:rPr>
        <w:t>“When exports are halted because of biosecurity issues it can affect local small holders. For example when eggplants were briefly stopped the price dropped from $15 to $2 and some farmers were just dumping their stock.”</w:t>
      </w:r>
    </w:p>
    <w:p w14:paraId="6E011B35" w14:textId="77777777" w:rsidR="003B5312" w:rsidRPr="00CF7CB1" w:rsidRDefault="003B5312" w:rsidP="00CE2081">
      <w:pPr>
        <w:pStyle w:val="Source"/>
        <w:pBdr>
          <w:top w:val="single" w:sz="4" w:space="1" w:color="auto"/>
          <w:bottom w:val="single" w:sz="4" w:space="1" w:color="auto"/>
        </w:pBdr>
        <w:rPr>
          <w:lang w:val="en-AU"/>
        </w:rPr>
      </w:pPr>
      <w:r w:rsidRPr="00CF7CB1">
        <w:rPr>
          <w:lang w:val="en-AU"/>
        </w:rPr>
        <w:t>Fiji Market Access Working Group</w:t>
      </w:r>
    </w:p>
    <w:p w14:paraId="3B7DA316" w14:textId="77777777" w:rsidR="003B5312" w:rsidRPr="00CF7CB1" w:rsidRDefault="003B5312" w:rsidP="00CE2081">
      <w:pPr>
        <w:spacing w:before="120" w:after="120"/>
        <w:rPr>
          <w:lang w:val="en-AU"/>
        </w:rPr>
      </w:pPr>
      <w:r w:rsidRPr="00CF7CB1">
        <w:rPr>
          <w:lang w:val="en-AU"/>
        </w:rPr>
        <w:t>In addition PHAMA is having an impact by improving quality standards of products such as kava to meet international requirements. PHAMA has assisted in producing guidelines and standards to ensure importers are confident goods, such as handicrafts, will not be restricted from entry. This directly impacts on incomes for many households, and particularly women.</w:t>
      </w:r>
    </w:p>
    <w:p w14:paraId="5DE64CF2" w14:textId="77777777" w:rsidR="003B5312" w:rsidRPr="00CF7CB1" w:rsidRDefault="003B5312" w:rsidP="00337BCF">
      <w:pPr>
        <w:spacing w:after="120"/>
        <w:rPr>
          <w:lang w:val="en-AU"/>
        </w:rPr>
      </w:pPr>
      <w:r w:rsidRPr="00CF7CB1">
        <w:rPr>
          <w:lang w:val="en-AU"/>
        </w:rPr>
        <w:t>PHAMA has also played a valuable role in identifying non-viable market access propositions due to technical issues or market limitations. This has saved on opportunity costs for business and government.</w:t>
      </w:r>
    </w:p>
    <w:p w14:paraId="6722C477" w14:textId="77777777" w:rsidR="003B5312" w:rsidRPr="00CF7CB1" w:rsidRDefault="003B5312" w:rsidP="00337BCF">
      <w:pPr>
        <w:spacing w:after="120"/>
        <w:rPr>
          <w:lang w:val="en-AU"/>
        </w:rPr>
      </w:pPr>
      <w:r w:rsidRPr="00CF7CB1">
        <w:rPr>
          <w:lang w:val="en-AU"/>
        </w:rPr>
        <w:t>ARDN has been improving capacities in Cambodia and Laos to deal with pest and plant disease which has a significant impact on agriculture production and directly impacts the countries’ ability to trade, and on business and household income. Three quarters of the population in the region remain tied to agriculture, and pest identification and the ability to prevent significant loss to trade, has a direct effect on smallholder contract farmers.</w:t>
      </w:r>
    </w:p>
    <w:p w14:paraId="3BD8004B" w14:textId="77777777" w:rsidR="003B5312" w:rsidRPr="00CF7CB1" w:rsidRDefault="003B5312" w:rsidP="00CE2081">
      <w:pPr>
        <w:pStyle w:val="Boxhead1"/>
        <w:pBdr>
          <w:top w:val="single" w:sz="4" w:space="1" w:color="auto"/>
          <w:left w:val="single" w:sz="4" w:space="4" w:color="auto"/>
          <w:bottom w:val="single" w:sz="4" w:space="1" w:color="auto"/>
          <w:right w:val="single" w:sz="4" w:space="4" w:color="auto"/>
        </w:pBdr>
        <w:rPr>
          <w:lang w:val="en-AU"/>
        </w:rPr>
      </w:pPr>
      <w:r w:rsidRPr="00CF7CB1">
        <w:rPr>
          <w:lang w:val="en-AU"/>
        </w:rPr>
        <w:t>Box 5. ARDN helps the Department of Plant Protection and SPS with Cambodian Rice Exports</w:t>
      </w:r>
    </w:p>
    <w:p w14:paraId="689008C6" w14:textId="77777777" w:rsidR="003B5312" w:rsidRPr="00CF7CB1" w:rsidRDefault="003B5312" w:rsidP="00CE2081">
      <w:pPr>
        <w:pBdr>
          <w:top w:val="single" w:sz="4" w:space="1" w:color="auto"/>
          <w:left w:val="single" w:sz="4" w:space="4" w:color="auto"/>
          <w:bottom w:val="single" w:sz="4" w:space="1" w:color="auto"/>
          <w:right w:val="single" w:sz="4" w:space="4" w:color="auto"/>
        </w:pBdr>
        <w:spacing w:after="120"/>
        <w:rPr>
          <w:lang w:val="en-AU"/>
        </w:rPr>
      </w:pPr>
      <w:r w:rsidRPr="00CF7CB1">
        <w:rPr>
          <w:lang w:val="en-AU"/>
        </w:rPr>
        <w:t>Formal exports of Cambodian rice have increased significantly since 2010. This increase is primarily due to the growth in milled rice exports to the EU and Russia with new investments in modern rice mills and polishing factories contributing to a rapid growth in exports (Cambodian Trade Integration Study 2014-2018).</w:t>
      </w:r>
    </w:p>
    <w:p w14:paraId="78AD715D" w14:textId="77777777" w:rsidR="003B5312" w:rsidRPr="00CF7CB1" w:rsidRDefault="003B5312" w:rsidP="00CE2081">
      <w:pPr>
        <w:pBdr>
          <w:top w:val="single" w:sz="4" w:space="1" w:color="auto"/>
          <w:left w:val="single" w:sz="4" w:space="4" w:color="auto"/>
          <w:bottom w:val="single" w:sz="4" w:space="1" w:color="auto"/>
          <w:right w:val="single" w:sz="4" w:space="4" w:color="auto"/>
        </w:pBdr>
        <w:spacing w:after="120"/>
        <w:rPr>
          <w:lang w:val="en-AU"/>
        </w:rPr>
      </w:pPr>
      <w:r w:rsidRPr="00CF7CB1">
        <w:rPr>
          <w:lang w:val="en-AU"/>
        </w:rPr>
        <w:t>In May 2014 the China Certificate and Inspection Company (CCIC) signalled traders that Cambodian milled rice could also be imported into China. Imports are subject to a 14.13% import tariff, local transportation costs of $6 per tonne, and large margins for the importers. In addition, an inspection certificate by CCIC is required for Cambodian rice which costs</w:t>
      </w:r>
    </w:p>
    <w:p w14:paraId="30E2EA08" w14:textId="77777777" w:rsidR="003B5312" w:rsidRPr="00CF7CB1" w:rsidRDefault="003B5312" w:rsidP="00CE2081">
      <w:pPr>
        <w:pBdr>
          <w:top w:val="single" w:sz="4" w:space="1" w:color="auto"/>
          <w:left w:val="single" w:sz="4" w:space="4" w:color="auto"/>
          <w:bottom w:val="single" w:sz="4" w:space="1" w:color="auto"/>
          <w:right w:val="single" w:sz="4" w:space="4" w:color="auto"/>
        </w:pBdr>
        <w:spacing w:after="120"/>
        <w:rPr>
          <w:lang w:val="en-AU"/>
        </w:rPr>
      </w:pPr>
      <w:r w:rsidRPr="00CF7CB1">
        <w:rPr>
          <w:lang w:val="en-AU"/>
        </w:rPr>
        <w:t>$6 per tonne. As such, export prospects for Cambodian rice to China are brightest for fragrant rice. According to CCIC, trial shipments of 600 tons were made in June-July 2014 and at least one exporter reported that its rice had been admitted into China, albeit with considerable delays. (Cambodia Rice Export Potential and Strategies, 2015)</w:t>
      </w:r>
    </w:p>
    <w:p w14:paraId="0C390874" w14:textId="77777777" w:rsidR="003B5312" w:rsidRPr="00CF7CB1" w:rsidRDefault="003B5312" w:rsidP="00CE2081">
      <w:pPr>
        <w:pStyle w:val="Caption"/>
        <w:pBdr>
          <w:top w:val="single" w:sz="4" w:space="1" w:color="auto"/>
          <w:left w:val="single" w:sz="4" w:space="4" w:color="auto"/>
          <w:bottom w:val="single" w:sz="4" w:space="1" w:color="auto"/>
          <w:right w:val="single" w:sz="4" w:space="4" w:color="auto"/>
        </w:pBdr>
        <w:rPr>
          <w:lang w:val="en-AU"/>
        </w:rPr>
      </w:pPr>
      <w:r w:rsidRPr="00CF7CB1">
        <w:rPr>
          <w:lang w:val="en-AU"/>
        </w:rPr>
        <w:t>Cambodian Rice Exports</w:t>
      </w:r>
    </w:p>
    <w:p w14:paraId="030611ED" w14:textId="77777777" w:rsidR="003B5312" w:rsidRPr="00CF7CB1" w:rsidRDefault="00CE2081" w:rsidP="00CE2081">
      <w:pPr>
        <w:pBdr>
          <w:top w:val="single" w:sz="4" w:space="1" w:color="auto"/>
          <w:left w:val="single" w:sz="4" w:space="4" w:color="auto"/>
          <w:bottom w:val="single" w:sz="4" w:space="1" w:color="auto"/>
          <w:right w:val="single" w:sz="4" w:space="4" w:color="auto"/>
        </w:pBdr>
        <w:spacing w:after="120"/>
        <w:rPr>
          <w:lang w:val="en-AU"/>
        </w:rPr>
      </w:pPr>
      <w:r w:rsidRPr="00CF7CB1">
        <w:rPr>
          <w:noProof/>
          <w:lang w:val="en-AU" w:eastAsia="en-AU"/>
        </w:rPr>
        <w:drawing>
          <wp:inline distT="0" distB="0" distL="0" distR="0" wp14:anchorId="6CC3D52F" wp14:editId="1BB1D401">
            <wp:extent cx="5641340" cy="2162810"/>
            <wp:effectExtent l="0" t="0" r="0" b="0"/>
            <wp:docPr id="3335" name="Picture 3335" descr="This graph shows the formal exports of Cambodian rice which have increased significantly since 2010. Total exports accounted for 50,000 metric tonnes in 2010; 175,000 metric tonnes for 2011; approximately 200,000 metric tonnes in 2012; 350,000 metric tonnes for 2013 and 400,000 metric tonnes for 2014.&#10;" title="Cambodian Rice Ex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5" name="Untitled-1.bmp"/>
                    <pic:cNvPicPr/>
                  </pic:nvPicPr>
                  <pic:blipFill>
                    <a:blip r:embed="rId20">
                      <a:extLst>
                        <a:ext uri="{28A0092B-C50C-407E-A947-70E740481C1C}">
                          <a14:useLocalDpi xmlns:a14="http://schemas.microsoft.com/office/drawing/2010/main" val="0"/>
                        </a:ext>
                      </a:extLst>
                    </a:blip>
                    <a:stretch>
                      <a:fillRect/>
                    </a:stretch>
                  </pic:blipFill>
                  <pic:spPr>
                    <a:xfrm>
                      <a:off x="0" y="0"/>
                      <a:ext cx="5641340" cy="2162810"/>
                    </a:xfrm>
                    <a:prstGeom prst="rect">
                      <a:avLst/>
                    </a:prstGeom>
                  </pic:spPr>
                </pic:pic>
              </a:graphicData>
            </a:graphic>
          </wp:inline>
        </w:drawing>
      </w:r>
    </w:p>
    <w:p w14:paraId="1AEA6507" w14:textId="77777777" w:rsidR="003B5312" w:rsidRPr="00CF7CB1" w:rsidRDefault="003B5312" w:rsidP="00337BCF">
      <w:pPr>
        <w:spacing w:after="120"/>
        <w:rPr>
          <w:lang w:val="en-AU"/>
        </w:rPr>
      </w:pPr>
      <w:r w:rsidRPr="00CF7CB1">
        <w:rPr>
          <w:lang w:val="en-AU"/>
        </w:rPr>
        <w:t>In Laos, ARDN helped the Plant Quarantine and Regulatory Divisions, identify a pest outbreak</w:t>
      </w:r>
      <w:r w:rsidR="00D62262" w:rsidRPr="00CF7CB1">
        <w:rPr>
          <w:lang w:val="en-AU"/>
        </w:rPr>
        <w:t xml:space="preserve"> </w:t>
      </w:r>
      <w:r w:rsidRPr="00CF7CB1">
        <w:rPr>
          <w:lang w:val="en-AU"/>
        </w:rPr>
        <w:t xml:space="preserve">in Cassava exports to Thailand, Cambodia and Vietnam. Cassava is the country’s third largest agriculture crop. In 2014, the value of Cassava exports to Vietnam was valued at over AUD7 million. The ARDN training also helped with market access for corn to China and Thailand. Laos tried unofficially in 2002, tried officially in 2004, and tried again with the help of ARDN in 2008 and finally received access. Laos is now exporting Corn to Thailand. Corn is the second </w:t>
      </w:r>
      <w:r w:rsidR="00CE2081" w:rsidRPr="00CF7CB1">
        <w:rPr>
          <w:lang w:val="en-AU"/>
        </w:rPr>
        <w:t>largest crop</w:t>
      </w:r>
      <w:r w:rsidRPr="00CF7CB1">
        <w:rPr>
          <w:lang w:val="en-AU"/>
        </w:rPr>
        <w:t xml:space="preserve"> produced, after rice. In 2009 exports of Corn grew by over 70 per cent compared to the previous year and in 2012, exports acc</w:t>
      </w:r>
      <w:r w:rsidR="00CE2081" w:rsidRPr="00CF7CB1">
        <w:rPr>
          <w:lang w:val="en-AU"/>
        </w:rPr>
        <w:t>ounted for over AUD28 million.</w:t>
      </w:r>
      <w:r w:rsidR="00CE2081" w:rsidRPr="00CF7CB1">
        <w:rPr>
          <w:rStyle w:val="FootnoteReference"/>
          <w:lang w:val="en-AU"/>
        </w:rPr>
        <w:footnoteReference w:id="38"/>
      </w:r>
    </w:p>
    <w:p w14:paraId="2D326C4D" w14:textId="77777777" w:rsidR="003B5312" w:rsidRPr="00CF7CB1" w:rsidRDefault="003B5312" w:rsidP="00337BCF">
      <w:pPr>
        <w:spacing w:after="120"/>
        <w:rPr>
          <w:lang w:val="en-AU"/>
        </w:rPr>
      </w:pPr>
      <w:r w:rsidRPr="00CF7CB1">
        <w:rPr>
          <w:lang w:val="en-AU"/>
        </w:rPr>
        <w:t xml:space="preserve">In Cambodia the training has helped the Department of Plant Protection and SPS prepare an MOU with China on exporting rice (see Box 5) and cassava. While ARDN has made a </w:t>
      </w:r>
      <w:r w:rsidR="00CE2081" w:rsidRPr="00CF7CB1">
        <w:rPr>
          <w:lang w:val="en-AU"/>
        </w:rPr>
        <w:t>difference and</w:t>
      </w:r>
      <w:r w:rsidRPr="00CF7CB1">
        <w:rPr>
          <w:lang w:val="en-AU"/>
        </w:rPr>
        <w:t xml:space="preserve"> appears to have had an impact, significant issues remain. For example, in consignments of vegetables from Laos to Europe, 60 containers were</w:t>
      </w:r>
      <w:r w:rsidR="00CE2081" w:rsidRPr="00CF7CB1">
        <w:rPr>
          <w:lang w:val="en-AU"/>
        </w:rPr>
        <w:t xml:space="preserve"> recently rejected due to pest </w:t>
      </w:r>
      <w:r w:rsidRPr="00CF7CB1">
        <w:rPr>
          <w:lang w:val="en-AU"/>
        </w:rPr>
        <w:t>contamination amounting to 50 per cent of total exports to the EU.</w:t>
      </w:r>
    </w:p>
    <w:p w14:paraId="02719DA5" w14:textId="77777777" w:rsidR="003B5312" w:rsidRPr="00CF7CB1" w:rsidRDefault="003B5312" w:rsidP="00337BCF">
      <w:pPr>
        <w:spacing w:after="120"/>
        <w:rPr>
          <w:lang w:val="en-AU"/>
        </w:rPr>
      </w:pPr>
      <w:r w:rsidRPr="00CF7CB1">
        <w:rPr>
          <w:lang w:val="en-AU"/>
        </w:rPr>
        <w:t>Economic gains through the ARDN identification of pests, and as reflected in the number of trademark inquires under the Madrid Protocol, have directly benefited segments of the</w:t>
      </w:r>
      <w:r w:rsidR="00CE2081" w:rsidRPr="00CF7CB1">
        <w:rPr>
          <w:lang w:val="en-AU"/>
        </w:rPr>
        <w:t xml:space="preserve"> </w:t>
      </w:r>
      <w:r w:rsidRPr="00CF7CB1">
        <w:rPr>
          <w:lang w:val="en-AU"/>
        </w:rPr>
        <w:t>private sector. Cambodia became the first country in ASEAN to accede to the Madrid Protocol. Between March and June 2015, there have been close to 500 inquiries related to trademarks.</w:t>
      </w:r>
    </w:p>
    <w:p w14:paraId="5BB963FC" w14:textId="77777777" w:rsidR="003B5312" w:rsidRPr="00CF7CB1" w:rsidRDefault="003B5312" w:rsidP="00337BCF">
      <w:pPr>
        <w:spacing w:after="120"/>
        <w:rPr>
          <w:lang w:val="en-AU"/>
        </w:rPr>
      </w:pPr>
      <w:r w:rsidRPr="00CF7CB1">
        <w:rPr>
          <w:b/>
          <w:lang w:val="en-AU"/>
        </w:rPr>
        <w:t>TDF–2</w:t>
      </w:r>
      <w:r w:rsidRPr="00CF7CB1">
        <w:rPr>
          <w:lang w:val="en-AU"/>
        </w:rPr>
        <w:t xml:space="preserve"> in Laos is laying down the foundation for economic benefits to be achieved. This evaluation found that there is no direct evidence of economic or development impact although mechanisms are in place to assist business to derive benefits. The monitoring and evaluation system focusses on intermediate outcomes such as transaction times (days to clear imports </w:t>
      </w:r>
      <w:r w:rsidR="00CE2081" w:rsidRPr="00CF7CB1">
        <w:rPr>
          <w:lang w:val="en-AU"/>
        </w:rPr>
        <w:t>and exports</w:t>
      </w:r>
      <w:r w:rsidRPr="00CF7CB1">
        <w:rPr>
          <w:lang w:val="en-AU"/>
        </w:rPr>
        <w:t>).</w:t>
      </w:r>
    </w:p>
    <w:p w14:paraId="723D985B" w14:textId="77777777" w:rsidR="003B5312" w:rsidRPr="00CF7CB1" w:rsidRDefault="003B5312" w:rsidP="00CE2081">
      <w:pPr>
        <w:spacing w:after="120"/>
        <w:rPr>
          <w:lang w:val="en-AU"/>
        </w:rPr>
      </w:pPr>
      <w:r w:rsidRPr="00CF7CB1">
        <w:rPr>
          <w:lang w:val="en-AU"/>
        </w:rPr>
        <w:t>The Trade Web Portal developed under TDF1 and 2 is used extensively by the private sector to support trade (see Box 7). It improves transparency in trade facilitation. However, for other benefits to be fully realised a number of reforms in the ‘pipeline’ need to be implemented by the Laos Government:</w:t>
      </w:r>
    </w:p>
    <w:p w14:paraId="400ADBC9" w14:textId="77777777" w:rsidR="003B5312" w:rsidRPr="00CF7CB1" w:rsidRDefault="003B5312" w:rsidP="00BC5572">
      <w:pPr>
        <w:pStyle w:val="ListParagraph"/>
        <w:numPr>
          <w:ilvl w:val="0"/>
          <w:numId w:val="26"/>
        </w:numPr>
        <w:spacing w:after="120"/>
        <w:rPr>
          <w:lang w:val="en-AU"/>
        </w:rPr>
      </w:pPr>
      <w:r w:rsidRPr="00CF7CB1">
        <w:rPr>
          <w:lang w:val="en-AU"/>
        </w:rPr>
        <w:t xml:space="preserve">Approximately 300 Non-Tariff Measures currently listed on the Web Portal need to be reviewed and streamlined. The terms of reference for a pilot project were designed and </w:t>
      </w:r>
      <w:r w:rsidR="00CE2081" w:rsidRPr="00CF7CB1">
        <w:rPr>
          <w:lang w:val="en-AU"/>
        </w:rPr>
        <w:t>awaiting Laos Government</w:t>
      </w:r>
      <w:r w:rsidRPr="00CF7CB1">
        <w:rPr>
          <w:lang w:val="en-AU"/>
        </w:rPr>
        <w:t xml:space="preserve"> approval.</w:t>
      </w:r>
    </w:p>
    <w:p w14:paraId="7B9E8A41" w14:textId="77777777" w:rsidR="003B5312" w:rsidRPr="00CF7CB1" w:rsidRDefault="003B5312" w:rsidP="00BC5572">
      <w:pPr>
        <w:pStyle w:val="ListParagraph"/>
        <w:numPr>
          <w:ilvl w:val="0"/>
          <w:numId w:val="26"/>
        </w:numPr>
        <w:spacing w:after="120"/>
        <w:rPr>
          <w:lang w:val="en-AU"/>
        </w:rPr>
      </w:pPr>
      <w:r w:rsidRPr="00CF7CB1">
        <w:rPr>
          <w:lang w:val="en-AU"/>
        </w:rPr>
        <w:t>Telecommunication reforms, including the passing of the regulations currently with government, the implementation of the decree to create a specialist agency (The National Communication Authority) and the capacity building for implementation of the NCA.</w:t>
      </w:r>
    </w:p>
    <w:p w14:paraId="0C2AD075" w14:textId="77777777" w:rsidR="003B5312" w:rsidRPr="00CF7CB1" w:rsidRDefault="003B5312" w:rsidP="00BC5572">
      <w:pPr>
        <w:pStyle w:val="ListParagraph"/>
        <w:numPr>
          <w:ilvl w:val="0"/>
          <w:numId w:val="26"/>
        </w:numPr>
        <w:spacing w:after="120"/>
        <w:rPr>
          <w:lang w:val="en-AU"/>
        </w:rPr>
      </w:pPr>
      <w:r w:rsidRPr="00CF7CB1">
        <w:rPr>
          <w:lang w:val="en-AU"/>
        </w:rPr>
        <w:t>The new law on insurance services, including capacity development to manage the new role and functions.</w:t>
      </w:r>
    </w:p>
    <w:p w14:paraId="618BE142" w14:textId="77777777" w:rsidR="003B5312" w:rsidRPr="00CF7CB1" w:rsidRDefault="003B5312" w:rsidP="00BC5572">
      <w:pPr>
        <w:pStyle w:val="ListParagraph"/>
        <w:numPr>
          <w:ilvl w:val="0"/>
          <w:numId w:val="26"/>
        </w:numPr>
        <w:spacing w:after="120"/>
        <w:rPr>
          <w:lang w:val="en-AU"/>
        </w:rPr>
      </w:pPr>
      <w:r w:rsidRPr="00CF7CB1">
        <w:rPr>
          <w:lang w:val="en-AU"/>
        </w:rPr>
        <w:t>Professional services Mutual Recognition Agreement (MRA) under the ASEAN MRA framework.</w:t>
      </w:r>
    </w:p>
    <w:p w14:paraId="4E4D8920" w14:textId="77777777" w:rsidR="003B5312" w:rsidRPr="00CF7CB1" w:rsidRDefault="003B5312" w:rsidP="00337BCF">
      <w:pPr>
        <w:spacing w:after="120"/>
        <w:rPr>
          <w:lang w:val="en-AU"/>
        </w:rPr>
      </w:pPr>
      <w:r w:rsidRPr="00CF7CB1">
        <w:rPr>
          <w:lang w:val="en-AU"/>
        </w:rPr>
        <w:t>While this evaluation found some anecdotal evidence of potential impacts that could be directly attributed to DFAT interventions, none of the programs had yet established robust monitoring and evaluation systems to address the question of causal attribution with a degree of certainty.</w:t>
      </w:r>
    </w:p>
    <w:p w14:paraId="0F927CE6" w14:textId="77777777" w:rsidR="003B5312" w:rsidRPr="00CF7CB1" w:rsidRDefault="003B5312" w:rsidP="00337BCF">
      <w:pPr>
        <w:spacing w:after="120"/>
        <w:rPr>
          <w:lang w:val="en-AU"/>
        </w:rPr>
      </w:pPr>
      <w:r w:rsidRPr="00CF7CB1">
        <w:rPr>
          <w:lang w:val="en-AU"/>
        </w:rPr>
        <w:t>It is evident that investments in trade facilitation have the potential to make significant</w:t>
      </w:r>
      <w:r w:rsidR="00D62262" w:rsidRPr="00CF7CB1">
        <w:rPr>
          <w:lang w:val="en-AU"/>
        </w:rPr>
        <w:t xml:space="preserve"> </w:t>
      </w:r>
      <w:r w:rsidRPr="00CF7CB1">
        <w:rPr>
          <w:lang w:val="en-AU"/>
        </w:rPr>
        <w:t>impacts on the broader economic and development goals of partner countries. There is  evidence through programs such as PHAMA and AECSP that AfT investments are reaching  poorer producers through various agricultural supply chain networks established by exporters (for example the many producers supporting Ben’s Trading in Fiji). More needs to be done</w:t>
      </w:r>
      <w:r w:rsidR="00CE2081" w:rsidRPr="00CF7CB1">
        <w:rPr>
          <w:lang w:val="en-AU"/>
        </w:rPr>
        <w:t xml:space="preserve"> </w:t>
      </w:r>
      <w:r w:rsidRPr="00CF7CB1">
        <w:rPr>
          <w:lang w:val="en-AU"/>
        </w:rPr>
        <w:t>to strengthen monitoring and evaluation systems to capture this information and determine benefits attributable to specific AfT interventions, and how these benefits make differences to people’s lives.</w:t>
      </w:r>
    </w:p>
    <w:p w14:paraId="01CE4918" w14:textId="77777777" w:rsidR="003B5312" w:rsidRPr="00CF7CB1" w:rsidRDefault="00CE2081" w:rsidP="00CE2081">
      <w:pPr>
        <w:pStyle w:val="Heading2"/>
        <w:rPr>
          <w:lang w:val="en-AU"/>
        </w:rPr>
      </w:pPr>
      <w:r w:rsidRPr="00CF7CB1">
        <w:rPr>
          <w:lang w:val="en-AU"/>
        </w:rPr>
        <w:t>Improving gender equality and women’s economic</w:t>
      </w:r>
      <w:r w:rsidR="003B5312" w:rsidRPr="00CF7CB1">
        <w:rPr>
          <w:lang w:val="en-AU"/>
        </w:rPr>
        <w:t xml:space="preserve"> empowerment</w:t>
      </w:r>
    </w:p>
    <w:p w14:paraId="61D6C069" w14:textId="77777777" w:rsidR="003B5312" w:rsidRPr="00CF7CB1" w:rsidRDefault="003B5312" w:rsidP="00337BCF">
      <w:pPr>
        <w:spacing w:after="120"/>
        <w:rPr>
          <w:lang w:val="en-AU"/>
        </w:rPr>
      </w:pPr>
      <w:r w:rsidRPr="00CF7CB1">
        <w:rPr>
          <w:lang w:val="en-AU"/>
        </w:rPr>
        <w:t>Gender has been a strong consideration within the Australian Aid program for almost</w:t>
      </w:r>
      <w:r w:rsidR="00DB64F3" w:rsidRPr="00CF7CB1">
        <w:rPr>
          <w:lang w:val="en-AU"/>
        </w:rPr>
        <w:t xml:space="preserve"> 20 years</w:t>
      </w:r>
      <w:r w:rsidR="00DB64F3" w:rsidRPr="00CF7CB1">
        <w:rPr>
          <w:rStyle w:val="FootnoteReference"/>
          <w:lang w:val="en-AU"/>
        </w:rPr>
        <w:footnoteReference w:id="39"/>
      </w:r>
      <w:r w:rsidRPr="00CF7CB1">
        <w:rPr>
          <w:lang w:val="en-AU"/>
        </w:rPr>
        <w:t>, however, it has received renewed prominence with the release of the new aid policy where ‘empowering women and girls’ is now highlighted as one of the 10 strategic performance targets. The new Aid for Trade Strategy also requires every AfT investment to prioritis</w:t>
      </w:r>
      <w:r w:rsidR="00DB64F3" w:rsidRPr="00CF7CB1">
        <w:rPr>
          <w:lang w:val="en-AU"/>
        </w:rPr>
        <w:t xml:space="preserve">e the economic empowerment of </w:t>
      </w:r>
      <w:r w:rsidRPr="00CF7CB1">
        <w:rPr>
          <w:lang w:val="en-AU"/>
        </w:rPr>
        <w:t>women.</w:t>
      </w:r>
    </w:p>
    <w:p w14:paraId="06A059D0" w14:textId="77777777" w:rsidR="003B5312" w:rsidRPr="00CF7CB1" w:rsidRDefault="003B5312" w:rsidP="00337BCF">
      <w:pPr>
        <w:spacing w:after="120"/>
        <w:rPr>
          <w:lang w:val="en-AU"/>
        </w:rPr>
      </w:pPr>
      <w:r w:rsidRPr="00CF7CB1">
        <w:rPr>
          <w:lang w:val="en-AU"/>
        </w:rPr>
        <w:t>This evaluation found that the question of gender equality and women’s economic</w:t>
      </w:r>
      <w:r w:rsidR="00D62262" w:rsidRPr="00CF7CB1">
        <w:rPr>
          <w:lang w:val="en-AU"/>
        </w:rPr>
        <w:t xml:space="preserve"> </w:t>
      </w:r>
      <w:r w:rsidRPr="00CF7CB1">
        <w:rPr>
          <w:lang w:val="en-AU"/>
        </w:rPr>
        <w:t>empowerment in terms of trade facilitation and related assist</w:t>
      </w:r>
      <w:r w:rsidR="00CA28B9" w:rsidRPr="00CF7CB1">
        <w:rPr>
          <w:lang w:val="en-AU"/>
        </w:rPr>
        <w:t>ance received a mixed response.</w:t>
      </w:r>
      <w:r w:rsidRPr="00CF7CB1">
        <w:rPr>
          <w:lang w:val="en-AU"/>
        </w:rPr>
        <w:t xml:space="preserve"> The Asia-Pacific Trade Facilitation Forum (October 2015) lacked any reference to gender equality or women’s </w:t>
      </w:r>
      <w:r w:rsidR="0031010A" w:rsidRPr="00CF7CB1">
        <w:rPr>
          <w:lang w:val="en-AU"/>
        </w:rPr>
        <w:t>economic empowerment in trade.</w:t>
      </w:r>
      <w:r w:rsidR="0031010A" w:rsidRPr="00CF7CB1">
        <w:rPr>
          <w:rStyle w:val="FootnoteReference"/>
          <w:lang w:val="en-AU"/>
        </w:rPr>
        <w:footnoteReference w:id="40"/>
      </w:r>
      <w:r w:rsidRPr="00CF7CB1">
        <w:rPr>
          <w:lang w:val="en-AU"/>
        </w:rPr>
        <w:t xml:space="preserve"> There is a common perception among many officials interviewed that trade is gender neutral.</w:t>
      </w:r>
    </w:p>
    <w:p w14:paraId="50A226A0" w14:textId="77777777" w:rsidR="003B5312" w:rsidRPr="00CF7CB1" w:rsidRDefault="003B5312" w:rsidP="00337BCF">
      <w:pPr>
        <w:spacing w:after="120"/>
        <w:rPr>
          <w:lang w:val="en-AU"/>
        </w:rPr>
      </w:pPr>
      <w:r w:rsidRPr="00CF7CB1">
        <w:rPr>
          <w:b/>
          <w:lang w:val="en-AU"/>
        </w:rPr>
        <w:t>PACER Plus</w:t>
      </w:r>
      <w:r w:rsidRPr="00CF7CB1">
        <w:rPr>
          <w:lang w:val="en-AU"/>
        </w:rPr>
        <w:t xml:space="preserve"> negotiators demonstrated limited knowledge about the links between trade negotiations and women’s economic empowerment. It was perceived that trade benefits will equally apply to all men, women and children. Gender considerations were not an explicit focus of the original concept or design of PACER Plus negotiations, and therefore not formally</w:t>
      </w:r>
      <w:r w:rsidR="00DB64F3" w:rsidRPr="00CF7CB1">
        <w:rPr>
          <w:lang w:val="en-AU"/>
        </w:rPr>
        <w:t xml:space="preserve"> </w:t>
      </w:r>
      <w:r w:rsidRPr="00CF7CB1">
        <w:rPr>
          <w:lang w:val="en-AU"/>
        </w:rPr>
        <w:t>monitored or evaluated in OCTA’s work plan. However, a large number of PICs were represented by female negotiators, and all PICs tend to encourage women to participate in negotiations.</w:t>
      </w:r>
      <w:r w:rsidR="00276157" w:rsidRPr="00CF7CB1">
        <w:rPr>
          <w:lang w:val="en-AU"/>
        </w:rPr>
        <w:t xml:space="preserve"> </w:t>
      </w:r>
      <w:r w:rsidRPr="00CF7CB1">
        <w:rPr>
          <w:lang w:val="en-AU"/>
        </w:rPr>
        <w:t>The desired outcome</w:t>
      </w:r>
      <w:r w:rsidR="00432776">
        <w:rPr>
          <w:lang w:val="en-AU"/>
        </w:rPr>
        <w:t>,</w:t>
      </w:r>
      <w:r w:rsidRPr="00CF7CB1">
        <w:rPr>
          <w:lang w:val="en-AU"/>
        </w:rPr>
        <w:t xml:space="preserve"> however</w:t>
      </w:r>
      <w:r w:rsidR="00432776">
        <w:rPr>
          <w:lang w:val="en-AU"/>
        </w:rPr>
        <w:t>,</w:t>
      </w:r>
      <w:r w:rsidRPr="00CF7CB1">
        <w:rPr>
          <w:lang w:val="en-AU"/>
        </w:rPr>
        <w:t xml:space="preserve"> is to ensure women have an influence in policy formulation, decision making and provide alternative perspectives on gender equity.</w:t>
      </w:r>
    </w:p>
    <w:p w14:paraId="77B0AC73" w14:textId="77777777" w:rsidR="00276157" w:rsidRPr="00CF7CB1" w:rsidRDefault="00276157" w:rsidP="00276157">
      <w:pPr>
        <w:pStyle w:val="Boxhead1"/>
        <w:pBdr>
          <w:top w:val="single" w:sz="4" w:space="1" w:color="auto"/>
          <w:left w:val="single" w:sz="4" w:space="4" w:color="auto"/>
          <w:bottom w:val="single" w:sz="4" w:space="1" w:color="auto"/>
          <w:right w:val="single" w:sz="4" w:space="4" w:color="auto"/>
        </w:pBdr>
        <w:rPr>
          <w:lang w:val="en-AU"/>
        </w:rPr>
      </w:pPr>
      <w:r w:rsidRPr="00CF7CB1">
        <w:rPr>
          <w:lang w:val="en-AU"/>
        </w:rPr>
        <w:t>Definitions</w:t>
      </w:r>
    </w:p>
    <w:p w14:paraId="4FD4C04C" w14:textId="77777777" w:rsidR="00276157" w:rsidRPr="00CF7CB1" w:rsidRDefault="00276157" w:rsidP="00276157">
      <w:pPr>
        <w:pBdr>
          <w:top w:val="single" w:sz="4" w:space="1" w:color="auto"/>
          <w:left w:val="single" w:sz="4" w:space="4" w:color="auto"/>
          <w:bottom w:val="single" w:sz="4" w:space="1" w:color="auto"/>
          <w:right w:val="single" w:sz="4" w:space="4" w:color="auto"/>
        </w:pBdr>
        <w:spacing w:after="120"/>
        <w:rPr>
          <w:lang w:val="en-AU"/>
        </w:rPr>
      </w:pPr>
      <w:r w:rsidRPr="00CF7CB1">
        <w:rPr>
          <w:b/>
          <w:lang w:val="en-AU"/>
        </w:rPr>
        <w:t>Gender Equality:</w:t>
      </w:r>
      <w:r w:rsidRPr="00CF7CB1">
        <w:rPr>
          <w:lang w:val="en-AU"/>
        </w:rPr>
        <w:t xml:space="preserve"> Gender equality means that women and men enjoy the same status. Gender equality means that women and men have equal conditions for realising their full human rights and potential to contribute to national, political, economic, social and cultural development, and to benefit from the results. Gender equality is therefore the equal valuing by society of both the similarities and differences between women and men, and the varying roles that they play.</w:t>
      </w:r>
    </w:p>
    <w:p w14:paraId="2FE1FBA7" w14:textId="77777777" w:rsidR="00276157" w:rsidRPr="00CF7CB1" w:rsidRDefault="00276157" w:rsidP="00276157">
      <w:pPr>
        <w:pBdr>
          <w:top w:val="single" w:sz="4" w:space="1" w:color="auto"/>
          <w:left w:val="single" w:sz="4" w:space="4" w:color="auto"/>
          <w:bottom w:val="single" w:sz="4" w:space="1" w:color="auto"/>
          <w:right w:val="single" w:sz="4" w:space="4" w:color="auto"/>
        </w:pBdr>
        <w:spacing w:after="120"/>
        <w:rPr>
          <w:lang w:val="en-AU"/>
        </w:rPr>
      </w:pPr>
      <w:r w:rsidRPr="00CF7CB1">
        <w:rPr>
          <w:b/>
          <w:lang w:val="en-AU"/>
        </w:rPr>
        <w:t>Gender Equity:</w:t>
      </w:r>
      <w:r w:rsidRPr="00CF7CB1">
        <w:rPr>
          <w:lang w:val="en-AU"/>
        </w:rPr>
        <w:t xml:space="preserve"> Gender equity is the process of being fair to women and men. Gender equity means steps taken to achieve fairness and justice in the distribution of benefits and responsibilities between women and men. It often requires women-specific programs and policies to end existing inequalities. Equity leads to equality.</w:t>
      </w:r>
    </w:p>
    <w:p w14:paraId="0B7FF98E" w14:textId="77777777" w:rsidR="00276157" w:rsidRPr="00CF7CB1" w:rsidRDefault="00276157" w:rsidP="00276157">
      <w:pPr>
        <w:pBdr>
          <w:top w:val="single" w:sz="4" w:space="1" w:color="auto"/>
          <w:left w:val="single" w:sz="4" w:space="4" w:color="auto"/>
          <w:bottom w:val="single" w:sz="4" w:space="1" w:color="auto"/>
          <w:right w:val="single" w:sz="4" w:space="4" w:color="auto"/>
        </w:pBdr>
        <w:spacing w:after="120"/>
        <w:rPr>
          <w:lang w:val="en-AU"/>
        </w:rPr>
      </w:pPr>
      <w:r w:rsidRPr="00CF7CB1">
        <w:rPr>
          <w:b/>
          <w:lang w:val="en-AU"/>
        </w:rPr>
        <w:t>Women’s Economic Empowerment:</w:t>
      </w:r>
      <w:r w:rsidRPr="00CF7CB1">
        <w:rPr>
          <w:lang w:val="en-AU"/>
        </w:rPr>
        <w:t xml:space="preserve"> Women’s economic empowerment is the capacity of women to participate in, contribute to and benefit from growth processes in ways which recognise the value of their contributions, respect their dignity and make it possible to negotiate a fairer distribution of the benefits of growth.</w:t>
      </w:r>
    </w:p>
    <w:p w14:paraId="479585CA" w14:textId="77777777" w:rsidR="00276157" w:rsidRPr="00CF7CB1" w:rsidRDefault="00276157" w:rsidP="00276157">
      <w:pPr>
        <w:pBdr>
          <w:top w:val="single" w:sz="4" w:space="1" w:color="auto"/>
          <w:left w:val="single" w:sz="4" w:space="4" w:color="auto"/>
          <w:bottom w:val="single" w:sz="4" w:space="1" w:color="auto"/>
          <w:right w:val="single" w:sz="4" w:space="4" w:color="auto"/>
        </w:pBdr>
        <w:spacing w:after="120"/>
        <w:rPr>
          <w:lang w:val="en-AU"/>
        </w:rPr>
      </w:pPr>
      <w:r w:rsidRPr="00CF7CB1">
        <w:rPr>
          <w:b/>
          <w:lang w:val="en-AU"/>
        </w:rPr>
        <w:t>Women’s Leadership:</w:t>
      </w:r>
      <w:r w:rsidRPr="00CF7CB1">
        <w:rPr>
          <w:lang w:val="en-AU"/>
        </w:rPr>
        <w:t xml:space="preserve"> A process of women mobilising people and resources in pursuit of shared and negotiated goals within government, private sector and civil society.</w:t>
      </w:r>
    </w:p>
    <w:p w14:paraId="4E3A81FB" w14:textId="77777777" w:rsidR="00276157" w:rsidRPr="00CF7CB1" w:rsidRDefault="00276157" w:rsidP="00276157">
      <w:pPr>
        <w:pStyle w:val="Source"/>
        <w:pBdr>
          <w:top w:val="single" w:sz="4" w:space="1" w:color="auto"/>
          <w:left w:val="single" w:sz="4" w:space="4" w:color="auto"/>
          <w:bottom w:val="single" w:sz="4" w:space="1" w:color="auto"/>
          <w:right w:val="single" w:sz="4" w:space="4" w:color="auto"/>
        </w:pBdr>
        <w:rPr>
          <w:lang w:val="en-AU"/>
        </w:rPr>
      </w:pPr>
      <w:r w:rsidRPr="00CF7CB1">
        <w:rPr>
          <w:lang w:val="en-AU"/>
        </w:rPr>
        <w:t>Source: DFAT</w:t>
      </w:r>
    </w:p>
    <w:p w14:paraId="35994DBB" w14:textId="77777777" w:rsidR="003B5312" w:rsidRPr="00CF7CB1" w:rsidRDefault="003B5312" w:rsidP="00276157">
      <w:pPr>
        <w:spacing w:before="120" w:after="120"/>
        <w:rPr>
          <w:lang w:val="en-AU"/>
        </w:rPr>
      </w:pPr>
      <w:r w:rsidRPr="00CF7CB1">
        <w:rPr>
          <w:b/>
          <w:lang w:val="en-AU"/>
        </w:rPr>
        <w:t>PHAMA</w:t>
      </w:r>
      <w:r w:rsidRPr="00CF7CB1">
        <w:rPr>
          <w:lang w:val="en-AU"/>
        </w:rPr>
        <w:t xml:space="preserve"> has had some positive outcomes for women although these outcomes were not specifically sought or incorporated in the program design. Sectors targeted for support have included those with predominantly female producers such as handicrafts (see Box 6) and small-holder farmers, or predominately female workforces such as fish and horticultural processing.  Export </w:t>
      </w:r>
      <w:r w:rsidR="00CA28B9" w:rsidRPr="00CF7CB1">
        <w:rPr>
          <w:lang w:val="en-AU"/>
        </w:rPr>
        <w:t>development grants have also been approved for enterprises that are</w:t>
      </w:r>
      <w:r w:rsidRPr="00CF7CB1">
        <w:rPr>
          <w:lang w:val="en-AU"/>
        </w:rPr>
        <w:t xml:space="preserve"> owned or managed by women, and women are currently in key decision-making roles as chairpersons on two of the Market Access Working Groups (MAWGs). However, the Chair of the MAWG in Vanuatu noted that no real priority has been given to women, and even though many producers are women, the husband will still be the decision maker on working groups.</w:t>
      </w:r>
    </w:p>
    <w:p w14:paraId="5547C6B7" w14:textId="77777777" w:rsidR="003B5312" w:rsidRPr="00CF7CB1" w:rsidRDefault="003B5312" w:rsidP="00337BCF">
      <w:pPr>
        <w:spacing w:after="120"/>
        <w:rPr>
          <w:lang w:val="en-AU"/>
        </w:rPr>
      </w:pPr>
      <w:r w:rsidRPr="00CF7CB1">
        <w:rPr>
          <w:lang w:val="en-AU"/>
        </w:rPr>
        <w:t>Through TDF-2 and AECSP, the evaluation found that the Laos and Cambodia governments showed good awareness of the need to facilitate women’s participation in trade, but this was restricted to the opportunities given to women in urban areas and less in rural areas. The two governments promoted women in training, and were receptive to DFAT’s suggestions on promoting more gender inclusion. The Cambodian Department of Plant Protection and SPS</w:t>
      </w:r>
      <w:r w:rsidR="00C43627" w:rsidRPr="00CF7CB1">
        <w:rPr>
          <w:lang w:val="en-AU"/>
        </w:rPr>
        <w:t xml:space="preserve"> </w:t>
      </w:r>
      <w:r w:rsidRPr="00CF7CB1">
        <w:rPr>
          <w:lang w:val="en-AU"/>
        </w:rPr>
        <w:t>reported that on average 40 per cent of those trained were women and that ARDN insisted on good gender representation. While this is commendable, women’s participation must lead to greater influence in decision making and increased access to resources for it to affect outcomes.</w:t>
      </w:r>
    </w:p>
    <w:p w14:paraId="3D9F34C5" w14:textId="77777777" w:rsidR="005B3EA1" w:rsidRPr="00CF7CB1" w:rsidRDefault="003B5312" w:rsidP="00337BCF">
      <w:pPr>
        <w:spacing w:after="120"/>
        <w:rPr>
          <w:lang w:val="en-AU"/>
        </w:rPr>
      </w:pPr>
      <w:r w:rsidRPr="00CF7CB1">
        <w:rPr>
          <w:lang w:val="en-AU"/>
        </w:rPr>
        <w:t>Although not explicitly in the design, TDF-1 supported significant research into gender and trade in Laos and its rele</w:t>
      </w:r>
      <w:r w:rsidR="0031010A" w:rsidRPr="00CF7CB1">
        <w:rPr>
          <w:lang w:val="en-AU"/>
        </w:rPr>
        <w:t>vance to economic development.</w:t>
      </w:r>
      <w:r w:rsidR="0031010A" w:rsidRPr="00CF7CB1">
        <w:rPr>
          <w:rStyle w:val="FootnoteReference"/>
          <w:lang w:val="en-AU"/>
        </w:rPr>
        <w:footnoteReference w:id="41"/>
      </w:r>
      <w:r w:rsidRPr="00CF7CB1">
        <w:rPr>
          <w:lang w:val="en-AU"/>
        </w:rPr>
        <w:t xml:space="preserve"> Its design, however, has a strong focus on gender, including supporting research on trade and gender.</w:t>
      </w:r>
    </w:p>
    <w:p w14:paraId="1FB83EB0" w14:textId="77777777" w:rsidR="005B3EA1" w:rsidRPr="00CF7CB1" w:rsidRDefault="005B3EA1" w:rsidP="005B3EA1">
      <w:pPr>
        <w:rPr>
          <w:lang w:val="en-AU"/>
        </w:rPr>
      </w:pPr>
      <w:r w:rsidRPr="00CF7CB1">
        <w:rPr>
          <w:lang w:val="en-AU"/>
        </w:rPr>
        <w:br w:type="page"/>
      </w:r>
    </w:p>
    <w:p w14:paraId="7A49A699" w14:textId="77777777" w:rsidR="003B5312" w:rsidRPr="00CF7CB1" w:rsidRDefault="003B5312" w:rsidP="005B3EA1">
      <w:pPr>
        <w:pStyle w:val="Boxhead1"/>
        <w:pBdr>
          <w:top w:val="single" w:sz="4" w:space="1" w:color="auto"/>
          <w:left w:val="single" w:sz="4" w:space="4" w:color="auto"/>
          <w:bottom w:val="single" w:sz="4" w:space="1" w:color="auto"/>
          <w:right w:val="single" w:sz="4" w:space="4" w:color="auto"/>
        </w:pBdr>
        <w:rPr>
          <w:lang w:val="en-AU"/>
        </w:rPr>
      </w:pPr>
      <w:r w:rsidRPr="00CF7CB1">
        <w:rPr>
          <w:lang w:val="en-AU"/>
        </w:rPr>
        <w:t>Box 6. Women’s financial independence through handicraft market access in Vanuatu</w:t>
      </w:r>
    </w:p>
    <w:p w14:paraId="7689326A" w14:textId="77777777" w:rsidR="003B5312" w:rsidRPr="00CF7CB1" w:rsidRDefault="003B5312" w:rsidP="005B3EA1">
      <w:pPr>
        <w:pBdr>
          <w:top w:val="single" w:sz="4" w:space="1" w:color="auto"/>
          <w:left w:val="single" w:sz="4" w:space="4" w:color="auto"/>
          <w:bottom w:val="single" w:sz="4" w:space="1" w:color="auto"/>
          <w:right w:val="single" w:sz="4" w:space="4" w:color="auto"/>
        </w:pBdr>
        <w:spacing w:after="120"/>
        <w:rPr>
          <w:lang w:val="en-AU"/>
        </w:rPr>
      </w:pPr>
      <w:r w:rsidRPr="00CF7CB1">
        <w:rPr>
          <w:lang w:val="en-AU"/>
        </w:rPr>
        <w:t>‘Mamas’, as they are affectionately termed, are female handicraft producers and sellers in Vanuatu where women make up 88 per cent of the handicrafts industry. Handicrafts are an important source of income for households—almost half of all households (46 per cent) rely on the sale of fish, crops and handicrafts as their main source of income. Each year, Vanuatu receives around 280,000 cruise ship and 110,000 air passengers, mainly from Australia and</w:t>
      </w:r>
      <w:r w:rsidR="005B3EA1" w:rsidRPr="00CF7CB1">
        <w:rPr>
          <w:lang w:val="en-AU"/>
        </w:rPr>
        <w:t xml:space="preserve"> </w:t>
      </w:r>
      <w:r w:rsidRPr="00CF7CB1">
        <w:rPr>
          <w:lang w:val="en-AU"/>
        </w:rPr>
        <w:t>New Zealand. These tourists spend AUD4 million annually on handicrafts and souvenirs. However, the current sales figure underestimates the potential—many tourists are reluctant to purchase items for fear they will be confiscated by quarantine and border protection due to the lack of clear information about the biosecurity concerns of Australian and New Zealand authorities.</w:t>
      </w:r>
    </w:p>
    <w:p w14:paraId="08601003" w14:textId="77777777" w:rsidR="003B5312" w:rsidRPr="00CF7CB1" w:rsidRDefault="003B5312" w:rsidP="005B3EA1">
      <w:pPr>
        <w:pBdr>
          <w:top w:val="single" w:sz="4" w:space="1" w:color="auto"/>
          <w:left w:val="single" w:sz="4" w:space="4" w:color="auto"/>
          <w:bottom w:val="single" w:sz="4" w:space="1" w:color="auto"/>
          <w:right w:val="single" w:sz="4" w:space="4" w:color="auto"/>
        </w:pBdr>
        <w:spacing w:after="120"/>
        <w:rPr>
          <w:lang w:val="en-AU"/>
        </w:rPr>
      </w:pPr>
      <w:r w:rsidRPr="00CF7CB1">
        <w:rPr>
          <w:lang w:val="en-AU"/>
        </w:rPr>
        <w:t>To help tourists make more informed decisions, PHAMA has produced a series of guides and other awareness materials for vendors, operators and tourists about handicrafts quarantine standards. Assistance has also been provided to Biosecurity Vanuatu to enable staff and industry stakeholders to more effectively communicate quarantine risks. Display cabinets and example handicraft materials have been installed on cruise ships which service Vanuatu. These initiatives are helping the Mama’s sell more to Australian and New Zealand tourists. Similarly these guidelines have the potential to support other Pacific Island countries in a similar way.</w:t>
      </w:r>
    </w:p>
    <w:p w14:paraId="6852EE2C" w14:textId="77777777" w:rsidR="003B5312" w:rsidRPr="00CF7CB1" w:rsidRDefault="005B3EA1" w:rsidP="005B3EA1">
      <w:pPr>
        <w:pBdr>
          <w:top w:val="single" w:sz="4" w:space="1" w:color="auto"/>
          <w:left w:val="single" w:sz="4" w:space="4" w:color="auto"/>
          <w:bottom w:val="single" w:sz="4" w:space="1" w:color="auto"/>
          <w:right w:val="single" w:sz="4" w:space="4" w:color="auto"/>
        </w:pBdr>
        <w:spacing w:after="120"/>
        <w:rPr>
          <w:lang w:val="en-AU"/>
        </w:rPr>
      </w:pPr>
      <w:r w:rsidRPr="00CF7CB1">
        <w:rPr>
          <w:noProof/>
          <w:lang w:val="en-AU" w:eastAsia="en-AU"/>
        </w:rPr>
        <w:drawing>
          <wp:inline distT="0" distB="0" distL="0" distR="0" wp14:anchorId="4DC8AB33" wp14:editId="7B14A1B6">
            <wp:extent cx="4295775" cy="2457450"/>
            <wp:effectExtent l="0" t="0" r="0" b="6350"/>
            <wp:docPr id="3336" name="Picture 3336" descr="A smiling woman in Vanuatu surrounded by wooden sculptures and textiles of several colours and diverse patterns in her handicraft stall.&#10;" title="Handicraft stall owner in Vanua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95775" cy="2457450"/>
                    </a:xfrm>
                    <a:prstGeom prst="rect">
                      <a:avLst/>
                    </a:prstGeom>
                    <a:noFill/>
                    <a:ln>
                      <a:noFill/>
                    </a:ln>
                  </pic:spPr>
                </pic:pic>
              </a:graphicData>
            </a:graphic>
          </wp:inline>
        </w:drawing>
      </w:r>
    </w:p>
    <w:p w14:paraId="5087F8D5" w14:textId="77777777" w:rsidR="003B5312" w:rsidRPr="00CF7CB1" w:rsidRDefault="003B5312" w:rsidP="005B3EA1">
      <w:pPr>
        <w:pStyle w:val="Caption"/>
        <w:pBdr>
          <w:top w:val="single" w:sz="4" w:space="1" w:color="auto"/>
          <w:left w:val="single" w:sz="4" w:space="4" w:color="auto"/>
          <w:bottom w:val="single" w:sz="4" w:space="1" w:color="auto"/>
          <w:right w:val="single" w:sz="4" w:space="4" w:color="auto"/>
        </w:pBdr>
        <w:rPr>
          <w:lang w:val="en-AU"/>
        </w:rPr>
      </w:pPr>
      <w:r w:rsidRPr="00CF7CB1">
        <w:rPr>
          <w:lang w:val="en-AU"/>
        </w:rPr>
        <w:t>Handicraft stall owner in Vanuatu.</w:t>
      </w:r>
    </w:p>
    <w:p w14:paraId="0B61DDF9" w14:textId="77777777" w:rsidR="005B3EA1" w:rsidRPr="00CF7CB1" w:rsidRDefault="003B5312" w:rsidP="005B3EA1">
      <w:pPr>
        <w:pStyle w:val="Source"/>
        <w:pBdr>
          <w:top w:val="single" w:sz="4" w:space="1" w:color="auto"/>
          <w:left w:val="single" w:sz="4" w:space="4" w:color="auto"/>
          <w:bottom w:val="single" w:sz="4" w:space="1" w:color="auto"/>
          <w:right w:val="single" w:sz="4" w:space="4" w:color="auto"/>
        </w:pBdr>
        <w:rPr>
          <w:lang w:val="en-AU"/>
        </w:rPr>
      </w:pPr>
      <w:r w:rsidRPr="00CF7CB1">
        <w:rPr>
          <w:lang w:val="en-AU"/>
        </w:rPr>
        <w:t>Source D. Goodwins</w:t>
      </w:r>
    </w:p>
    <w:p w14:paraId="448D3DB9" w14:textId="77777777" w:rsidR="005B3EA1" w:rsidRPr="00CF7CB1" w:rsidRDefault="005B3EA1" w:rsidP="005B3EA1">
      <w:pPr>
        <w:rPr>
          <w:rFonts w:cs="Arial"/>
          <w:color w:val="000000" w:themeColor="text1"/>
          <w:kern w:val="1"/>
          <w:sz w:val="18"/>
          <w:szCs w:val="16"/>
          <w:lang w:val="en-AU"/>
        </w:rPr>
      </w:pPr>
      <w:r w:rsidRPr="00CF7CB1">
        <w:rPr>
          <w:lang w:val="en-AU"/>
        </w:rPr>
        <w:br w:type="page"/>
      </w:r>
    </w:p>
    <w:p w14:paraId="7985B8BF" w14:textId="77777777" w:rsidR="003B5312" w:rsidRPr="00CF7CB1" w:rsidRDefault="003B5312" w:rsidP="002F2FF0">
      <w:pPr>
        <w:pStyle w:val="Boxhead1"/>
        <w:pBdr>
          <w:top w:val="single" w:sz="4" w:space="1" w:color="auto"/>
          <w:left w:val="single" w:sz="4" w:space="4" w:color="auto"/>
          <w:bottom w:val="single" w:sz="4" w:space="1" w:color="auto"/>
          <w:right w:val="single" w:sz="4" w:space="4" w:color="auto"/>
        </w:pBdr>
        <w:rPr>
          <w:lang w:val="en-AU"/>
        </w:rPr>
      </w:pPr>
      <w:r w:rsidRPr="00CF7CB1">
        <w:rPr>
          <w:lang w:val="en-AU"/>
        </w:rPr>
        <w:t>Box 7. Laos Trade Portal improving the ability for the private sector to effectively trade</w:t>
      </w:r>
    </w:p>
    <w:p w14:paraId="1A0D6FB9" w14:textId="77777777" w:rsidR="003B5312" w:rsidRPr="00CF7CB1" w:rsidRDefault="003B5312" w:rsidP="002F2FF0">
      <w:pPr>
        <w:pBdr>
          <w:top w:val="single" w:sz="4" w:space="1" w:color="auto"/>
          <w:left w:val="single" w:sz="4" w:space="4" w:color="auto"/>
          <w:bottom w:val="single" w:sz="4" w:space="1" w:color="auto"/>
          <w:right w:val="single" w:sz="4" w:space="4" w:color="auto"/>
        </w:pBdr>
        <w:spacing w:after="120"/>
        <w:rPr>
          <w:lang w:val="en-AU"/>
        </w:rPr>
      </w:pPr>
      <w:r w:rsidRPr="00CF7CB1">
        <w:rPr>
          <w:lang w:val="en-AU"/>
        </w:rPr>
        <w:t>The Laos Trade Portal (LTP) (www.laotradeportal.gov.la) is considered one of the major successes of TDF-2 and has been copied by many countries as an example of good practice. Launched in 2012 it contains all trade-related information on tariffs, licenses, measures, laws, regulations and import/export procedures improving transparency of trade regulations for the private sector. As illustrated above it has averaged over 25,000 users per year since 2012.</w:t>
      </w:r>
    </w:p>
    <w:p w14:paraId="1083DB42" w14:textId="77777777" w:rsidR="003B5312" w:rsidRPr="00CF7CB1" w:rsidRDefault="003B5312" w:rsidP="002F2FF0">
      <w:pPr>
        <w:pBdr>
          <w:top w:val="single" w:sz="4" w:space="1" w:color="auto"/>
          <w:left w:val="single" w:sz="4" w:space="4" w:color="auto"/>
          <w:bottom w:val="single" w:sz="4" w:space="1" w:color="auto"/>
          <w:right w:val="single" w:sz="4" w:space="4" w:color="auto"/>
        </w:pBdr>
        <w:spacing w:after="120"/>
        <w:rPr>
          <w:lang w:val="en-AU"/>
        </w:rPr>
      </w:pPr>
      <w:r w:rsidRPr="00CF7CB1">
        <w:rPr>
          <w:lang w:val="en-AU"/>
        </w:rPr>
        <w:t>The Department of Import and Export, Ministry of Industry and Commerce, in consultation with the business community, found that the portal made import and export easier. The business community reported that it allowed importers and exporters to make custom officials at the border aware of what the rules were thereby reducing transaction costs.</w:t>
      </w:r>
    </w:p>
    <w:p w14:paraId="2D7F3EA8" w14:textId="77777777" w:rsidR="003B5312" w:rsidRPr="00CF7CB1" w:rsidRDefault="003B5312" w:rsidP="002F2FF0">
      <w:pPr>
        <w:pBdr>
          <w:top w:val="single" w:sz="4" w:space="1" w:color="auto"/>
          <w:left w:val="single" w:sz="4" w:space="4" w:color="auto"/>
          <w:bottom w:val="single" w:sz="4" w:space="1" w:color="auto"/>
          <w:right w:val="single" w:sz="4" w:space="4" w:color="auto"/>
        </w:pBdr>
        <w:spacing w:after="120"/>
        <w:rPr>
          <w:lang w:val="en-AU"/>
        </w:rPr>
      </w:pPr>
      <w:r w:rsidRPr="00CF7CB1">
        <w:rPr>
          <w:lang w:val="en-AU"/>
        </w:rPr>
        <w:t>Despite its success some government officials were concerned about its sustainability. The Deputy Director, Trade in Services Division, noted that providing ongoing support once the project finishes may be constrained by government staff quotas.</w:t>
      </w:r>
    </w:p>
    <w:p w14:paraId="0593780B" w14:textId="77777777" w:rsidR="003B5312" w:rsidRPr="00CF7CB1" w:rsidRDefault="003B5312" w:rsidP="002F2FF0">
      <w:pPr>
        <w:pStyle w:val="Caption"/>
        <w:pBdr>
          <w:top w:val="single" w:sz="4" w:space="1" w:color="auto"/>
          <w:left w:val="single" w:sz="4" w:space="4" w:color="auto"/>
          <w:bottom w:val="single" w:sz="4" w:space="1" w:color="auto"/>
          <w:right w:val="single" w:sz="4" w:space="4" w:color="auto"/>
        </w:pBdr>
        <w:rPr>
          <w:lang w:val="en-AU"/>
        </w:rPr>
      </w:pPr>
      <w:r w:rsidRPr="00CF7CB1">
        <w:rPr>
          <w:lang w:val="en-AU"/>
        </w:rPr>
        <w:t>Laos Trade Portal site visits and hits (in thousands)</w:t>
      </w:r>
    </w:p>
    <w:p w14:paraId="0570FCA4" w14:textId="77777777" w:rsidR="005B3EA1" w:rsidRPr="00CF7CB1" w:rsidRDefault="002F2FF0" w:rsidP="002F2FF0">
      <w:pPr>
        <w:pBdr>
          <w:top w:val="single" w:sz="4" w:space="1" w:color="auto"/>
          <w:left w:val="single" w:sz="4" w:space="4" w:color="auto"/>
          <w:bottom w:val="single" w:sz="4" w:space="1" w:color="auto"/>
          <w:right w:val="single" w:sz="4" w:space="4" w:color="auto"/>
        </w:pBdr>
        <w:rPr>
          <w:lang w:val="en-AU"/>
        </w:rPr>
      </w:pPr>
      <w:r w:rsidRPr="00CF7CB1">
        <w:rPr>
          <w:noProof/>
          <w:lang w:val="en-AU" w:eastAsia="en-AU"/>
        </w:rPr>
        <w:drawing>
          <wp:inline distT="0" distB="0" distL="0" distR="0" wp14:anchorId="4C2778A3" wp14:editId="22FDFB8E">
            <wp:extent cx="5641340" cy="2439670"/>
            <wp:effectExtent l="0" t="0" r="0" b="0"/>
            <wp:docPr id="3337" name="Picture 3337" descr="This graph indicates the level of activity for the Laos Trade Portal (LTP) (www.laotradeportal.gov.la). It had 9,000 visitors and 80,000 hits in 2012; 21,000 visitors and 197,000 hits in 2013; 33,000 visitors and 189,000 hits in 2014 and 24,000 visitors and 158,000 hits in September 2015." title="Laos Trade Portal site visits and hi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7" name="Untitled-2.bmp"/>
                    <pic:cNvPicPr/>
                  </pic:nvPicPr>
                  <pic:blipFill>
                    <a:blip r:embed="rId22">
                      <a:extLst>
                        <a:ext uri="{28A0092B-C50C-407E-A947-70E740481C1C}">
                          <a14:useLocalDpi xmlns:a14="http://schemas.microsoft.com/office/drawing/2010/main" val="0"/>
                        </a:ext>
                      </a:extLst>
                    </a:blip>
                    <a:stretch>
                      <a:fillRect/>
                    </a:stretch>
                  </pic:blipFill>
                  <pic:spPr>
                    <a:xfrm>
                      <a:off x="0" y="0"/>
                      <a:ext cx="5641340" cy="2439670"/>
                    </a:xfrm>
                    <a:prstGeom prst="rect">
                      <a:avLst/>
                    </a:prstGeom>
                  </pic:spPr>
                </pic:pic>
              </a:graphicData>
            </a:graphic>
          </wp:inline>
        </w:drawing>
      </w:r>
    </w:p>
    <w:p w14:paraId="5A98CD5C" w14:textId="77777777" w:rsidR="003B5312" w:rsidRPr="00CF7CB1" w:rsidRDefault="003B5312" w:rsidP="002F2FF0">
      <w:pPr>
        <w:spacing w:before="120" w:after="120"/>
        <w:rPr>
          <w:lang w:val="en-AU"/>
        </w:rPr>
      </w:pPr>
      <w:r w:rsidRPr="00CF7CB1">
        <w:rPr>
          <w:lang w:val="en-AU"/>
        </w:rPr>
        <w:t>The World Bank (WB) through its global practices carries out research on trade and gender and has published a number of reports setting out good practice. However, mainstreaming gender and implementation at national level has proven more challenging. Trade officials and WB technical</w:t>
      </w:r>
      <w:r w:rsidR="00D62262" w:rsidRPr="00CF7CB1">
        <w:rPr>
          <w:lang w:val="en-AU"/>
        </w:rPr>
        <w:t xml:space="preserve"> </w:t>
      </w:r>
      <w:r w:rsidRPr="00CF7CB1">
        <w:rPr>
          <w:lang w:val="en-AU"/>
        </w:rPr>
        <w:t>staff are highly skilled in the area of trade but usually less so in gender. As a result of lack of</w:t>
      </w:r>
      <w:r w:rsidR="005B3EA1" w:rsidRPr="00CF7CB1">
        <w:rPr>
          <w:lang w:val="en-AU"/>
        </w:rPr>
        <w:t xml:space="preserve"> </w:t>
      </w:r>
      <w:r w:rsidRPr="00CF7CB1">
        <w:rPr>
          <w:lang w:val="en-AU"/>
        </w:rPr>
        <w:t>understanding of the linkages between gender and trade, together with limited skills and resources, they tend to focus on their primary objective of facilitating trade reforms which they see as their main priority. Under such circumstances, the approach of mainstreaming and integrating gender tends to become an afterthought, or at best, a secondary objective. There is an opportunity to bring tog</w:t>
      </w:r>
      <w:r w:rsidR="002F2FF0" w:rsidRPr="00CF7CB1">
        <w:rPr>
          <w:lang w:val="en-AU"/>
        </w:rPr>
        <w:t>ether institutional structures</w:t>
      </w:r>
      <w:r w:rsidR="002F2FF0" w:rsidRPr="00CF7CB1">
        <w:rPr>
          <w:rStyle w:val="FootnoteReference"/>
          <w:lang w:val="en-AU"/>
        </w:rPr>
        <w:footnoteReference w:id="42"/>
      </w:r>
      <w:r w:rsidRPr="00CF7CB1">
        <w:rPr>
          <w:lang w:val="en-AU"/>
        </w:rPr>
        <w:t xml:space="preserve"> that promote gender equality and women in trade and their organisations, to progress practical action to implement national policies.</w:t>
      </w:r>
    </w:p>
    <w:p w14:paraId="330B1B96" w14:textId="77777777" w:rsidR="003B5312" w:rsidRPr="00CF7CB1" w:rsidRDefault="003B5312" w:rsidP="00337BCF">
      <w:pPr>
        <w:spacing w:after="120"/>
        <w:rPr>
          <w:lang w:val="en-AU"/>
        </w:rPr>
      </w:pPr>
      <w:r w:rsidRPr="00CF7CB1">
        <w:rPr>
          <w:lang w:val="en-AU"/>
        </w:rPr>
        <w:t>Under TDF-2 the International Labour Organization (ILO) executed component with the Ministry   of Labour and Social Welfare, to improve working conditions in the garment sector scores well</w:t>
      </w:r>
      <w:r w:rsidR="00D62262" w:rsidRPr="00CF7CB1">
        <w:rPr>
          <w:lang w:val="en-AU"/>
        </w:rPr>
        <w:t xml:space="preserve"> </w:t>
      </w:r>
      <w:r w:rsidRPr="00CF7CB1">
        <w:rPr>
          <w:lang w:val="en-AU"/>
        </w:rPr>
        <w:t>on reaching women (who make up the majority of workers) and addressing their needs. The Business Assistance Facility (BAF) also reaches women but does not specifically target them. Integrating gender was a specific focus of TDF-2 and funds from the gender equality fund of</w:t>
      </w:r>
      <w:r w:rsidR="00D62262" w:rsidRPr="00CF7CB1">
        <w:rPr>
          <w:lang w:val="en-AU"/>
        </w:rPr>
        <w:t xml:space="preserve"> </w:t>
      </w:r>
      <w:r w:rsidRPr="00CF7CB1">
        <w:rPr>
          <w:lang w:val="en-AU"/>
        </w:rPr>
        <w:t>TDF 2 will further strengthen gender   outcomes.</w:t>
      </w:r>
    </w:p>
    <w:p w14:paraId="4C2E292D" w14:textId="77777777" w:rsidR="003B5312" w:rsidRPr="00CF7CB1" w:rsidRDefault="003B5312" w:rsidP="00337BCF">
      <w:pPr>
        <w:spacing w:after="120"/>
        <w:rPr>
          <w:lang w:val="en-AU"/>
        </w:rPr>
      </w:pPr>
      <w:r w:rsidRPr="00CF7CB1">
        <w:rPr>
          <w:lang w:val="en-AU"/>
        </w:rPr>
        <w:t xml:space="preserve">In </w:t>
      </w:r>
      <w:r w:rsidRPr="00CF7CB1">
        <w:rPr>
          <w:b/>
          <w:lang w:val="en-AU"/>
        </w:rPr>
        <w:t>summary</w:t>
      </w:r>
      <w:r w:rsidRPr="00CF7CB1">
        <w:rPr>
          <w:lang w:val="en-AU"/>
        </w:rPr>
        <w:t>, gender equality and women’s economic empowerment have not been strongly factored into DFAT AfT designs nor developed as strategic priorities during implementation of programs. While some of the investments had good, though unintended, results for women’s participation this does not necessarily result in gender equality. Of greater importance is providing an increased ability for women to make decisions and influence outcomes, as well as having access to and control over resources. Women’s participation in negotiations is important for them to expand their skills and enable them to table a different point of view. While most investments have gender aspects included in their designs, this did not extend beyond measuring participation rates at trainings, and was restricted to only women in urban areas generally with better access to education and other opportunities. More could have been achieved through a purposeful design which identifies gender equality gaps and targets those who are disadvantaged. This finding concurs with the recent review of gender equ</w:t>
      </w:r>
      <w:r w:rsidR="00397187" w:rsidRPr="00CF7CB1">
        <w:rPr>
          <w:lang w:val="en-AU"/>
        </w:rPr>
        <w:t>ality in eight AfT investments</w:t>
      </w:r>
      <w:r w:rsidR="00397187" w:rsidRPr="00CF7CB1">
        <w:rPr>
          <w:rStyle w:val="FootnoteReference"/>
          <w:lang w:val="en-AU"/>
        </w:rPr>
        <w:footnoteReference w:id="43"/>
      </w:r>
      <w:r w:rsidRPr="00CF7CB1">
        <w:rPr>
          <w:lang w:val="en-AU"/>
        </w:rPr>
        <w:t xml:space="preserve"> and further research into the other AfT investments undertaken as part of this evaluation. These reviews noted that the AfT sector is one of the poorest performing in terms of gender equality across the aid program. A review of 13 investments scored as ‘less than adequate’ or ‘adequate’ in the Aid Quality Checks (AQC) with another 10 out of the 24 investments having no reference t</w:t>
      </w:r>
      <w:r w:rsidR="000C37CF" w:rsidRPr="00CF7CB1">
        <w:rPr>
          <w:lang w:val="en-AU"/>
        </w:rPr>
        <w:t>o gender or social objectives.</w:t>
      </w:r>
      <w:r w:rsidR="000C37CF" w:rsidRPr="00CF7CB1">
        <w:rPr>
          <w:rStyle w:val="FootnoteReference"/>
          <w:lang w:val="en-AU"/>
        </w:rPr>
        <w:footnoteReference w:id="44"/>
      </w:r>
    </w:p>
    <w:p w14:paraId="21EE7B77" w14:textId="77777777" w:rsidR="003B5312" w:rsidRPr="00CF7CB1" w:rsidRDefault="003B5312" w:rsidP="00337BCF">
      <w:pPr>
        <w:spacing w:after="120"/>
        <w:rPr>
          <w:lang w:val="en-AU"/>
        </w:rPr>
      </w:pPr>
      <w:r w:rsidRPr="00CF7CB1">
        <w:rPr>
          <w:lang w:val="en-AU"/>
        </w:rPr>
        <w:t>However, the gender message is being embraced and all respondents said they wanted to improve on gender. While DFAT managers and partners may now be clear about the need to address women’s participation, DFAT can now take steps to formulate plans to incentivise partners, especially partner government agencies, to undertake practical steps to address</w:t>
      </w:r>
      <w:r w:rsidR="000C37CF" w:rsidRPr="00CF7CB1">
        <w:rPr>
          <w:lang w:val="en-AU"/>
        </w:rPr>
        <w:t xml:space="preserve"> </w:t>
      </w:r>
      <w:r w:rsidRPr="00CF7CB1">
        <w:rPr>
          <w:lang w:val="en-AU"/>
        </w:rPr>
        <w:t>gender inequalities and consider identifying strategies to move beyond the donor-driven approach.</w:t>
      </w:r>
    </w:p>
    <w:p w14:paraId="55034F15" w14:textId="77777777" w:rsidR="00CB6389" w:rsidRPr="00CF7CB1" w:rsidRDefault="003B5312" w:rsidP="00337BCF">
      <w:pPr>
        <w:spacing w:after="120"/>
        <w:rPr>
          <w:lang w:val="en-AU"/>
        </w:rPr>
      </w:pPr>
      <w:r w:rsidRPr="00CF7CB1">
        <w:rPr>
          <w:lang w:val="en-AU"/>
        </w:rPr>
        <w:t>While increasing incomes, managing businesses or more job opportunities for women are not guaranteed to provide economic empowerment, it is a positive first step and builds confidence.</w:t>
      </w:r>
    </w:p>
    <w:p w14:paraId="7AFDC413" w14:textId="77777777" w:rsidR="00CB6389" w:rsidRPr="00CF7CB1" w:rsidRDefault="00CB6389" w:rsidP="00CB6389">
      <w:pPr>
        <w:rPr>
          <w:lang w:val="en-AU"/>
        </w:rPr>
      </w:pPr>
      <w:r w:rsidRPr="00CF7CB1">
        <w:rPr>
          <w:lang w:val="en-AU"/>
        </w:rPr>
        <w:br w:type="page"/>
      </w:r>
    </w:p>
    <w:p w14:paraId="7457F8DF" w14:textId="77777777" w:rsidR="00CB6389" w:rsidRPr="00CF7CB1" w:rsidRDefault="00CB6389" w:rsidP="00CB6389">
      <w:pPr>
        <w:pStyle w:val="Heading1"/>
        <w:tabs>
          <w:tab w:val="clear" w:pos="357"/>
          <w:tab w:val="left" w:pos="0"/>
        </w:tabs>
        <w:ind w:left="0" w:firstLine="0"/>
        <w:rPr>
          <w:lang w:val="en-AU"/>
        </w:rPr>
      </w:pPr>
      <w:r w:rsidRPr="00CF7CB1">
        <w:rPr>
          <w:lang w:val="en-AU"/>
        </w:rPr>
        <w:t>Comparing Australia’s contribution to international good practice</w:t>
      </w:r>
    </w:p>
    <w:p w14:paraId="6DF37979" w14:textId="77777777" w:rsidR="003B5312" w:rsidRPr="00CF7CB1" w:rsidRDefault="003B5312" w:rsidP="00337BCF">
      <w:pPr>
        <w:spacing w:after="120"/>
        <w:rPr>
          <w:lang w:val="en-AU"/>
        </w:rPr>
      </w:pPr>
      <w:r w:rsidRPr="00CF7CB1">
        <w:rPr>
          <w:lang w:val="en-AU"/>
        </w:rPr>
        <w:t xml:space="preserve">Good practice examples of AfT interventions related to trade facilitation and related assistance have been drawn from the literature. A detailed description of the lessons learnt from global reviews, other donor experiences and more broadly the literature on AfT is available in a separate report prepared as part of this </w:t>
      </w:r>
      <w:r w:rsidR="007A1348" w:rsidRPr="00CF7CB1">
        <w:rPr>
          <w:lang w:val="en-AU"/>
        </w:rPr>
        <w:t>evaluation.</w:t>
      </w:r>
      <w:r w:rsidR="007A1348" w:rsidRPr="00CF7CB1">
        <w:rPr>
          <w:rStyle w:val="FootnoteReference"/>
          <w:lang w:val="en-AU"/>
        </w:rPr>
        <w:footnoteReference w:id="45"/>
      </w:r>
      <w:r w:rsidR="007A1348" w:rsidRPr="00CF7CB1">
        <w:rPr>
          <w:lang w:val="en-AU"/>
        </w:rPr>
        <w:t xml:space="preserve"> These</w:t>
      </w:r>
      <w:r w:rsidRPr="00CF7CB1">
        <w:rPr>
          <w:lang w:val="en-AU"/>
        </w:rPr>
        <w:t xml:space="preserve"> les</w:t>
      </w:r>
      <w:r w:rsidR="007A1348" w:rsidRPr="00CF7CB1">
        <w:rPr>
          <w:lang w:val="en-AU"/>
        </w:rPr>
        <w:t>sons are briefly summarised in</w:t>
      </w:r>
      <w:r w:rsidRPr="00CF7CB1">
        <w:rPr>
          <w:lang w:val="en-AU"/>
        </w:rPr>
        <w:t xml:space="preserve"> the first part of the chapter and centre around eight themes. The second part of the chapter picks up the eight themes and compares how Australia’s investment in trade facilitation </w:t>
      </w:r>
      <w:r w:rsidR="007A1348" w:rsidRPr="00CF7CB1">
        <w:rPr>
          <w:lang w:val="en-AU"/>
        </w:rPr>
        <w:t>measure</w:t>
      </w:r>
      <w:r w:rsidRPr="00CF7CB1">
        <w:rPr>
          <w:lang w:val="en-AU"/>
        </w:rPr>
        <w:t xml:space="preserve"> against them.</w:t>
      </w:r>
    </w:p>
    <w:p w14:paraId="3087F78A" w14:textId="77777777" w:rsidR="003B5312" w:rsidRPr="00CF7CB1" w:rsidRDefault="003B5312" w:rsidP="007A1348">
      <w:pPr>
        <w:pStyle w:val="Heading2"/>
        <w:rPr>
          <w:lang w:val="en-AU"/>
        </w:rPr>
      </w:pPr>
      <w:r w:rsidRPr="00CF7CB1">
        <w:rPr>
          <w:lang w:val="en-AU"/>
        </w:rPr>
        <w:t>Global good practice and lessons learnt</w:t>
      </w:r>
    </w:p>
    <w:p w14:paraId="6B304837" w14:textId="77777777" w:rsidR="003B5312" w:rsidRPr="00CF7CB1" w:rsidRDefault="003B5312" w:rsidP="00337BCF">
      <w:pPr>
        <w:spacing w:after="120"/>
        <w:rPr>
          <w:lang w:val="en-AU"/>
        </w:rPr>
      </w:pPr>
      <w:r w:rsidRPr="00CF7CB1">
        <w:rPr>
          <w:lang w:val="en-AU"/>
        </w:rPr>
        <w:t>Lessons are taken from the experiences and literature since 2005, when the AfT initiative was launched.</w:t>
      </w:r>
      <w:r w:rsidR="007A1348" w:rsidRPr="00CF7CB1">
        <w:rPr>
          <w:rStyle w:val="FootnoteReference"/>
          <w:lang w:val="en-AU"/>
        </w:rPr>
        <w:footnoteReference w:id="46"/>
      </w:r>
      <w:r w:rsidRPr="00CF7CB1">
        <w:rPr>
          <w:lang w:val="en-AU"/>
        </w:rPr>
        <w:t xml:space="preserve"> Evidence generally shows the impact of AfT to be positive, however, results depend on the type of intervention, the income level and geographical region of the recipient country and the sector to which AfT flows are directed. The political economic context is an important variable influencing outcomes.</w:t>
      </w:r>
    </w:p>
    <w:p w14:paraId="364F5314" w14:textId="77777777" w:rsidR="003B5312" w:rsidRPr="00CF7CB1" w:rsidRDefault="003B5312" w:rsidP="00337BCF">
      <w:pPr>
        <w:spacing w:after="120"/>
        <w:rPr>
          <w:lang w:val="en-AU"/>
        </w:rPr>
      </w:pPr>
      <w:r w:rsidRPr="00CF7CB1">
        <w:rPr>
          <w:lang w:val="en-AU"/>
        </w:rPr>
        <w:t>Despite these caveats, good practice and lessons can be distilled from a variety of sources and often expressed in different ways. Many of these lessons also apply to the broader</w:t>
      </w:r>
      <w:r w:rsidR="007A1348" w:rsidRPr="00CF7CB1">
        <w:rPr>
          <w:lang w:val="en-AU"/>
        </w:rPr>
        <w:t xml:space="preserve"> </w:t>
      </w:r>
      <w:r w:rsidRPr="00CF7CB1">
        <w:rPr>
          <w:lang w:val="en-AU"/>
        </w:rPr>
        <w:t>aid literature. The intention is not to exhaustively examine all lessons but rather to briefly summarise and present a number of key benchmarks against which we can evaluate</w:t>
      </w:r>
      <w:r w:rsidR="00D62262" w:rsidRPr="00CF7CB1">
        <w:rPr>
          <w:lang w:val="en-AU"/>
        </w:rPr>
        <w:t xml:space="preserve"> </w:t>
      </w:r>
      <w:r w:rsidRPr="00CF7CB1">
        <w:rPr>
          <w:lang w:val="en-AU"/>
        </w:rPr>
        <w:t>Australia’s previously identified investments. With this in mind, the eight benchmarks derived for this e</w:t>
      </w:r>
      <w:r w:rsidR="007A1348" w:rsidRPr="00CF7CB1">
        <w:rPr>
          <w:lang w:val="en-AU"/>
        </w:rPr>
        <w:t xml:space="preserve">valuation from the literature </w:t>
      </w:r>
      <w:r w:rsidRPr="00CF7CB1">
        <w:rPr>
          <w:lang w:val="en-AU"/>
        </w:rPr>
        <w:t>are:</w:t>
      </w:r>
    </w:p>
    <w:p w14:paraId="1C32EBBA" w14:textId="77777777" w:rsidR="003B5312" w:rsidRPr="008F16D7" w:rsidRDefault="003B5312" w:rsidP="00BC5572">
      <w:pPr>
        <w:pStyle w:val="ListParagraph"/>
        <w:numPr>
          <w:ilvl w:val="0"/>
          <w:numId w:val="36"/>
        </w:numPr>
        <w:spacing w:after="120"/>
        <w:rPr>
          <w:lang w:val="en-AU"/>
        </w:rPr>
      </w:pPr>
      <w:r w:rsidRPr="008F16D7">
        <w:rPr>
          <w:lang w:val="en-AU"/>
        </w:rPr>
        <w:t>Government ownership: A key lesson identified in several case studies and reviews, is the importance of donor countries’ AfT programs’ alignment with, and ownership by, recipient country governments. Many reports identify this in terms of aligning AfT with the Paris Dec</w:t>
      </w:r>
      <w:r w:rsidR="007A1348" w:rsidRPr="008F16D7">
        <w:rPr>
          <w:lang w:val="en-AU"/>
        </w:rPr>
        <w:t>laration on Aid Effectiveness.</w:t>
      </w:r>
      <w:r w:rsidR="007A1348" w:rsidRPr="00CF7CB1">
        <w:rPr>
          <w:rStyle w:val="FootnoteReference"/>
          <w:lang w:val="en-AU"/>
        </w:rPr>
        <w:footnoteReference w:id="47"/>
      </w:r>
      <w:r w:rsidRPr="008F16D7">
        <w:rPr>
          <w:lang w:val="en-AU"/>
        </w:rPr>
        <w:t xml:space="preserve"> Ownership seems to be particularly important for AfT programs. The reason for this lies in the nature of AfT, which are often complex and require significant political will and technical expertise. Three elements which enhance recipient government ownership are:</w:t>
      </w:r>
    </w:p>
    <w:p w14:paraId="688A00A8" w14:textId="77777777" w:rsidR="003B5312" w:rsidRPr="008F16D7" w:rsidRDefault="003B5312" w:rsidP="00BC5572">
      <w:pPr>
        <w:pStyle w:val="ListParagraph"/>
        <w:numPr>
          <w:ilvl w:val="1"/>
          <w:numId w:val="36"/>
        </w:numPr>
        <w:spacing w:after="120"/>
        <w:rPr>
          <w:lang w:val="en-AU"/>
        </w:rPr>
      </w:pPr>
      <w:r w:rsidRPr="008F16D7">
        <w:rPr>
          <w:lang w:val="en-AU"/>
        </w:rPr>
        <w:t>Feedback loops between government and stakeholders, particularly the private sector.</w:t>
      </w:r>
    </w:p>
    <w:p w14:paraId="11480ED1" w14:textId="77777777" w:rsidR="003B5312" w:rsidRPr="008F16D7" w:rsidRDefault="003B5312" w:rsidP="00BC5572">
      <w:pPr>
        <w:pStyle w:val="ListParagraph"/>
        <w:numPr>
          <w:ilvl w:val="1"/>
          <w:numId w:val="36"/>
        </w:numPr>
        <w:spacing w:after="120"/>
        <w:rPr>
          <w:lang w:val="en-AU"/>
        </w:rPr>
      </w:pPr>
      <w:r w:rsidRPr="008F16D7">
        <w:rPr>
          <w:lang w:val="en-AU"/>
        </w:rPr>
        <w:t>Effective intra-government and inter-ministerial consultation and coordination.</w:t>
      </w:r>
    </w:p>
    <w:p w14:paraId="146D1CFA" w14:textId="77777777" w:rsidR="008F16D7" w:rsidRDefault="003B5312" w:rsidP="00BC5572">
      <w:pPr>
        <w:pStyle w:val="ListParagraph"/>
        <w:numPr>
          <w:ilvl w:val="1"/>
          <w:numId w:val="36"/>
        </w:numPr>
        <w:spacing w:after="120"/>
        <w:rPr>
          <w:lang w:val="en-AU"/>
        </w:rPr>
      </w:pPr>
      <w:r w:rsidRPr="008F16D7">
        <w:rPr>
          <w:lang w:val="en-AU"/>
        </w:rPr>
        <w:t>Synthesizing international knowledge and experience with local knowledge.</w:t>
      </w:r>
    </w:p>
    <w:p w14:paraId="38FD6D60" w14:textId="77777777" w:rsidR="003B5312" w:rsidRPr="008F16D7" w:rsidRDefault="003B5312" w:rsidP="00BC5572">
      <w:pPr>
        <w:pStyle w:val="ListParagraph"/>
        <w:numPr>
          <w:ilvl w:val="0"/>
          <w:numId w:val="36"/>
        </w:numPr>
        <w:spacing w:after="120"/>
        <w:rPr>
          <w:lang w:val="en-AU"/>
        </w:rPr>
      </w:pPr>
      <w:r w:rsidRPr="008F16D7">
        <w:rPr>
          <w:lang w:val="en-AU"/>
        </w:rPr>
        <w:t>Private sector involvement: Mobilising the support of the private sector and civil society remains a key to effective implementat</w:t>
      </w:r>
      <w:r w:rsidR="007A1348" w:rsidRPr="008F16D7">
        <w:rPr>
          <w:lang w:val="en-AU"/>
        </w:rPr>
        <w:t>ion of trade related reforms.</w:t>
      </w:r>
      <w:r w:rsidR="007A1348" w:rsidRPr="00CF7CB1">
        <w:rPr>
          <w:rStyle w:val="FootnoteReference"/>
          <w:lang w:val="en-AU"/>
        </w:rPr>
        <w:footnoteReference w:id="48"/>
      </w:r>
      <w:r w:rsidRPr="008F16D7">
        <w:rPr>
          <w:lang w:val="en-AU"/>
        </w:rPr>
        <w:t xml:space="preserve"> This is in terms</w:t>
      </w:r>
      <w:r w:rsidR="00B46A86" w:rsidRPr="008F16D7">
        <w:rPr>
          <w:lang w:val="en-AU"/>
        </w:rPr>
        <w:t xml:space="preserve"> </w:t>
      </w:r>
      <w:r w:rsidRPr="008F16D7">
        <w:rPr>
          <w:lang w:val="en-AU"/>
        </w:rPr>
        <w:t xml:space="preserve">of investment and policy formulation. The design and implementation of AfT activities, particularly related to trade facilitation and related assistance, requires strong support within the private </w:t>
      </w:r>
      <w:r w:rsidR="00B46A86" w:rsidRPr="008F16D7">
        <w:rPr>
          <w:lang w:val="en-AU"/>
        </w:rPr>
        <w:t>sector.</w:t>
      </w:r>
      <w:r w:rsidR="00B46A86" w:rsidRPr="00CF7CB1">
        <w:rPr>
          <w:rStyle w:val="FootnoteReference"/>
          <w:lang w:val="en-AU"/>
        </w:rPr>
        <w:footnoteReference w:id="49"/>
      </w:r>
      <w:r w:rsidRPr="008F16D7">
        <w:rPr>
          <w:lang w:val="en-AU"/>
        </w:rPr>
        <w:t xml:space="preserve"> Often significant vested interest within government and the</w:t>
      </w:r>
      <w:r w:rsidR="00B46A86" w:rsidRPr="008F16D7">
        <w:rPr>
          <w:lang w:val="en-AU"/>
        </w:rPr>
        <w:t xml:space="preserve"> </w:t>
      </w:r>
      <w:r w:rsidRPr="008F16D7">
        <w:rPr>
          <w:lang w:val="en-AU"/>
        </w:rPr>
        <w:t>private sector exist to maintain the status quo. The design of effective AfT trade policy and regulations may require initial work with the private sector to mobilise and advocate the changes proposed. In many cases, building a dialogue through public private partnerships, as for example, the IFC has done in the Mekong countries, provide an effectiv</w:t>
      </w:r>
      <w:r w:rsidR="00B46A86" w:rsidRPr="008F16D7">
        <w:rPr>
          <w:lang w:val="en-AU"/>
        </w:rPr>
        <w:t>e forum for advocating change.</w:t>
      </w:r>
      <w:r w:rsidR="00B46A86" w:rsidRPr="00CF7CB1">
        <w:rPr>
          <w:rStyle w:val="FootnoteReference"/>
          <w:lang w:val="en-AU"/>
        </w:rPr>
        <w:footnoteReference w:id="50"/>
      </w:r>
      <w:r w:rsidRPr="008F16D7">
        <w:rPr>
          <w:lang w:val="en-AU"/>
        </w:rPr>
        <w:t xml:space="preserve"> The DFAT strategy for Australia’s aid investments in private sector development (October 2015) notes ‘With the private sector as a partner, AfT initiatives have a greater reach, achieve outcomes sooner, and have more lasting impact’.</w:t>
      </w:r>
    </w:p>
    <w:p w14:paraId="6D59CB72" w14:textId="77777777" w:rsidR="003B5312" w:rsidRPr="008F16D7" w:rsidRDefault="003B5312" w:rsidP="00BC5572">
      <w:pPr>
        <w:pStyle w:val="ListParagraph"/>
        <w:numPr>
          <w:ilvl w:val="0"/>
          <w:numId w:val="25"/>
        </w:numPr>
        <w:spacing w:after="120"/>
        <w:rPr>
          <w:lang w:val="en-AU"/>
        </w:rPr>
      </w:pPr>
      <w:r w:rsidRPr="008F16D7">
        <w:rPr>
          <w:lang w:val="en-AU"/>
        </w:rPr>
        <w:t xml:space="preserve">Integrated approach: It is important for various forms of AfT to complement each </w:t>
      </w:r>
      <w:r w:rsidR="00B46A86" w:rsidRPr="008F16D7">
        <w:rPr>
          <w:lang w:val="en-AU"/>
        </w:rPr>
        <w:t>other in</w:t>
      </w:r>
      <w:r w:rsidRPr="008F16D7">
        <w:rPr>
          <w:lang w:val="en-AU"/>
        </w:rPr>
        <w:t xml:space="preserve"> addressing constraints and for trade to be mainstreamed into a country or region’s development strategies. Complementarity is especially important for productive capacity and economic infrastructure. In regards to mainstreaming trade, evidence shows that where developing countries have mainstreamed trade into their development strategies</w:t>
      </w:r>
      <w:r w:rsidR="00B46A86" w:rsidRPr="008F16D7">
        <w:rPr>
          <w:lang w:val="en-AU"/>
        </w:rPr>
        <w:t xml:space="preserve"> they tend to benefit more.</w:t>
      </w:r>
      <w:r w:rsidR="00B46A86" w:rsidRPr="00CF7CB1">
        <w:rPr>
          <w:rStyle w:val="FootnoteReference"/>
          <w:lang w:val="en-AU"/>
        </w:rPr>
        <w:footnoteReference w:id="51"/>
      </w:r>
      <w:r w:rsidRPr="008F16D7">
        <w:rPr>
          <w:lang w:val="en-AU"/>
        </w:rPr>
        <w:t xml:space="preserve"> Most governments recognise the importance of trade, however, few have operational strategies that attempt to benefit from integration into regional and multilateral trading systems. Where trade is not signalled as a national priority or integrated in national plans, it tends to be </w:t>
      </w:r>
      <w:r w:rsidR="00B46A86" w:rsidRPr="008F16D7">
        <w:rPr>
          <w:lang w:val="en-AU"/>
        </w:rPr>
        <w:t>neglected and not prioritised.</w:t>
      </w:r>
      <w:r w:rsidR="00B46A86" w:rsidRPr="00CF7CB1">
        <w:rPr>
          <w:rStyle w:val="FootnoteReference"/>
          <w:lang w:val="en-AU"/>
        </w:rPr>
        <w:footnoteReference w:id="52"/>
      </w:r>
    </w:p>
    <w:p w14:paraId="28DED0DF" w14:textId="77777777" w:rsidR="008F16D7" w:rsidRDefault="003B5312" w:rsidP="00BC5572">
      <w:pPr>
        <w:pStyle w:val="ListParagraph"/>
        <w:numPr>
          <w:ilvl w:val="0"/>
          <w:numId w:val="25"/>
        </w:numPr>
        <w:spacing w:after="120"/>
        <w:rPr>
          <w:lang w:val="en-AU"/>
        </w:rPr>
      </w:pPr>
      <w:r w:rsidRPr="008F16D7">
        <w:rPr>
          <w:lang w:val="en-AU"/>
        </w:rPr>
        <w:t>Regional approach: Given the cross-border nature of trade facilitation, regional solutions are often required. By its nature trade is regional and production is characterised by global</w:t>
      </w:r>
      <w:r w:rsidR="00D62262" w:rsidRPr="008F16D7">
        <w:rPr>
          <w:lang w:val="en-AU"/>
        </w:rPr>
        <w:t xml:space="preserve"> </w:t>
      </w:r>
      <w:r w:rsidRPr="008F16D7">
        <w:rPr>
          <w:lang w:val="en-AU"/>
        </w:rPr>
        <w:t xml:space="preserve">and regional value chains. Regional institutions and solutions are necessary to address constraints to trade and act as agents for </w:t>
      </w:r>
      <w:r w:rsidR="00CE443A" w:rsidRPr="008F16D7">
        <w:rPr>
          <w:lang w:val="en-AU"/>
        </w:rPr>
        <w:t>change.</w:t>
      </w:r>
      <w:r w:rsidR="00CE443A" w:rsidRPr="00CF7CB1">
        <w:rPr>
          <w:rStyle w:val="FootnoteReference"/>
          <w:lang w:val="en-AU"/>
        </w:rPr>
        <w:footnoteReference w:id="53"/>
      </w:r>
      <w:r w:rsidRPr="008F16D7">
        <w:rPr>
          <w:lang w:val="en-AU"/>
        </w:rPr>
        <w:t xml:space="preserve"> However, bilateral aid programs can complement regional initiatives by assisting partners to implement trade agreements or</w:t>
      </w:r>
      <w:r w:rsidR="00B46A86" w:rsidRPr="008F16D7">
        <w:rPr>
          <w:lang w:val="en-AU"/>
        </w:rPr>
        <w:t xml:space="preserve"> unilateral reforms. Solutions often require software </w:t>
      </w:r>
      <w:r w:rsidR="00CE443A" w:rsidRPr="008F16D7">
        <w:rPr>
          <w:lang w:val="en-AU"/>
        </w:rPr>
        <w:t>(regulatory institutions, policy</w:t>
      </w:r>
      <w:r w:rsidRPr="008F16D7">
        <w:rPr>
          <w:lang w:val="en-AU"/>
        </w:rPr>
        <w:t xml:space="preserve"> changes) and hardware (infrastructure to support cross-country f</w:t>
      </w:r>
      <w:r w:rsidR="00CE443A" w:rsidRPr="008F16D7">
        <w:rPr>
          <w:lang w:val="en-AU"/>
        </w:rPr>
        <w:t>lows of goods, services, and</w:t>
      </w:r>
      <w:r w:rsidRPr="008F16D7">
        <w:rPr>
          <w:lang w:val="en-AU"/>
        </w:rPr>
        <w:t xml:space="preserve"> people).</w:t>
      </w:r>
    </w:p>
    <w:p w14:paraId="06FFC99E" w14:textId="77777777" w:rsidR="003B5312" w:rsidRPr="008F16D7" w:rsidRDefault="003B5312" w:rsidP="00BC5572">
      <w:pPr>
        <w:pStyle w:val="ListParagraph"/>
        <w:numPr>
          <w:ilvl w:val="0"/>
          <w:numId w:val="25"/>
        </w:numPr>
        <w:spacing w:after="120"/>
        <w:rPr>
          <w:lang w:val="en-AU"/>
        </w:rPr>
      </w:pPr>
      <w:r w:rsidRPr="008F16D7">
        <w:rPr>
          <w:lang w:val="en-AU"/>
        </w:rPr>
        <w:t>Global value chains (GVC) provide an opportunity and a challenge for developing countries to participate in global trading systems. Because the increasing importance of production occurring across multiple national boundaries, GVCs need to be considered in AfT designs including within all three major components of AfT and across primary, secondary and</w:t>
      </w:r>
      <w:r w:rsidR="00CE443A" w:rsidRPr="008F16D7">
        <w:rPr>
          <w:lang w:val="en-AU"/>
        </w:rPr>
        <w:t xml:space="preserve"> tertiary sectors.</w:t>
      </w:r>
      <w:r w:rsidR="00CE443A" w:rsidRPr="00CF7CB1">
        <w:rPr>
          <w:rStyle w:val="FootnoteReference"/>
          <w:lang w:val="en-AU"/>
        </w:rPr>
        <w:footnoteReference w:id="54"/>
      </w:r>
    </w:p>
    <w:p w14:paraId="1DE65445" w14:textId="77777777" w:rsidR="003B5312" w:rsidRPr="008F16D7" w:rsidRDefault="003B5312" w:rsidP="00BC5572">
      <w:pPr>
        <w:pStyle w:val="ListParagraph"/>
        <w:numPr>
          <w:ilvl w:val="0"/>
          <w:numId w:val="25"/>
        </w:numPr>
        <w:spacing w:after="120"/>
        <w:rPr>
          <w:lang w:val="en-AU"/>
        </w:rPr>
      </w:pPr>
      <w:r w:rsidRPr="008F16D7">
        <w:rPr>
          <w:lang w:val="en-AU"/>
        </w:rPr>
        <w:t xml:space="preserve">Addressing key constraints: Identifying bottlenecks and binding constraints is an important prerequisite for designing successful </w:t>
      </w:r>
      <w:r w:rsidR="00CE443A" w:rsidRPr="008F16D7">
        <w:rPr>
          <w:lang w:val="en-AU"/>
        </w:rPr>
        <w:t>AfT inter</w:t>
      </w:r>
      <w:r w:rsidRPr="008F16D7">
        <w:rPr>
          <w:lang w:val="en-AU"/>
        </w:rPr>
        <w:t>ventions. Such analysis needs to consider the political will for reform and interest groups that may be mobilised to support reforms as well as those likely to oppose reforms. In the past, AfT programs have often been designed</w:t>
      </w:r>
      <w:r w:rsidR="00CE443A" w:rsidRPr="008F16D7">
        <w:rPr>
          <w:lang w:val="en-AU"/>
        </w:rPr>
        <w:t xml:space="preserve"> </w:t>
      </w:r>
      <w:r w:rsidRPr="008F16D7">
        <w:rPr>
          <w:lang w:val="en-AU"/>
        </w:rPr>
        <w:t xml:space="preserve">with broad sweeping objectives that do not necessarily map easily to addressing the binding constraint a country faces. The use of the Diagnostic Trade </w:t>
      </w:r>
      <w:r w:rsidR="00CE443A" w:rsidRPr="008F16D7">
        <w:rPr>
          <w:lang w:val="en-AU"/>
        </w:rPr>
        <w:t>Integration Studies (</w:t>
      </w:r>
      <w:r w:rsidRPr="008F16D7">
        <w:rPr>
          <w:lang w:val="en-AU"/>
        </w:rPr>
        <w:t>DTIS</w:t>
      </w:r>
      <w:r w:rsidR="00CE443A" w:rsidRPr="008F16D7">
        <w:rPr>
          <w:lang w:val="en-AU"/>
        </w:rPr>
        <w:t>) through</w:t>
      </w:r>
      <w:r w:rsidRPr="008F16D7">
        <w:rPr>
          <w:lang w:val="en-AU"/>
        </w:rPr>
        <w:t xml:space="preserve"> the Enhanced Integrated Framework (EIF) provides a well-recognised mechanism for country diagnostics and engagement on the key trade reforms needed.</w:t>
      </w:r>
    </w:p>
    <w:p w14:paraId="283B9271" w14:textId="77777777" w:rsidR="003B5312" w:rsidRPr="008F16D7" w:rsidRDefault="003B5312" w:rsidP="00BC5572">
      <w:pPr>
        <w:pStyle w:val="ListParagraph"/>
        <w:numPr>
          <w:ilvl w:val="0"/>
          <w:numId w:val="25"/>
        </w:numPr>
        <w:spacing w:after="120"/>
        <w:rPr>
          <w:lang w:val="en-AU"/>
        </w:rPr>
      </w:pPr>
      <w:r w:rsidRPr="008F16D7">
        <w:rPr>
          <w:lang w:val="en-AU"/>
        </w:rPr>
        <w:t xml:space="preserve">Gender equality and women’s empowerment: As previously noted there is evidence that achieving greater gender equality and women’s economic empowerment in international trade can help boost exports, increase economic growth and contribute to </w:t>
      </w:r>
      <w:r w:rsidR="00233FA9" w:rsidRPr="008F16D7">
        <w:rPr>
          <w:lang w:val="en-AU"/>
        </w:rPr>
        <w:t>positive development outcomes.</w:t>
      </w:r>
      <w:r w:rsidR="00233FA9" w:rsidRPr="00CF7CB1">
        <w:rPr>
          <w:rStyle w:val="FootnoteReference"/>
          <w:lang w:val="en-AU"/>
        </w:rPr>
        <w:footnoteReference w:id="55"/>
      </w:r>
      <w:r w:rsidRPr="008F16D7">
        <w:rPr>
          <w:lang w:val="en-AU"/>
        </w:rPr>
        <w:t xml:space="preserve"> Trade facilitation measures must address the gender dimension to be considered good practice. This means undertaking gender analysis during design, addressing gender equality during implementation, and monitoring performance in gender equality using indicators that go beyond participation (e.g. influence, self-perception, personal freedom, control of resources, and </w:t>
      </w:r>
      <w:r w:rsidR="00233FA9" w:rsidRPr="008F16D7">
        <w:rPr>
          <w:lang w:val="en-AU"/>
        </w:rPr>
        <w:t>support from social networks).</w:t>
      </w:r>
      <w:r w:rsidR="00233FA9" w:rsidRPr="00CF7CB1">
        <w:rPr>
          <w:rStyle w:val="FootnoteReference"/>
          <w:lang w:val="en-AU"/>
        </w:rPr>
        <w:footnoteReference w:id="56"/>
      </w:r>
    </w:p>
    <w:p w14:paraId="106DB572" w14:textId="77777777" w:rsidR="003B5312" w:rsidRPr="008F16D7" w:rsidRDefault="003B5312" w:rsidP="00BC5572">
      <w:pPr>
        <w:pStyle w:val="ListParagraph"/>
        <w:numPr>
          <w:ilvl w:val="0"/>
          <w:numId w:val="25"/>
        </w:numPr>
        <w:spacing w:after="120"/>
        <w:rPr>
          <w:lang w:val="en-AU"/>
        </w:rPr>
      </w:pPr>
      <w:r w:rsidRPr="008F16D7">
        <w:rPr>
          <w:lang w:val="en-AU"/>
        </w:rPr>
        <w:t>Flexibility: It is important to have clear objectives but maintain flexibility in achieving them. This is particularly important in trade policies and regulations where political and economic events may change priorities or create opportunities. Moreover, governments may have different approaches to addressing the same trade issue, requiring a degree of flexibility</w:t>
      </w:r>
      <w:r w:rsidR="00CE443A" w:rsidRPr="008F16D7">
        <w:rPr>
          <w:lang w:val="en-AU"/>
        </w:rPr>
        <w:t xml:space="preserve"> </w:t>
      </w:r>
      <w:r w:rsidRPr="008F16D7">
        <w:rPr>
          <w:lang w:val="en-AU"/>
        </w:rPr>
        <w:t>in implementation. The need for a flexible approach has been recognised in the WTO Trade Facilitation Agreement (TFA) which allows for special and differential treatment provisions of the TFA for developing countries, depending on their capacity to implement.</w:t>
      </w:r>
      <w:r w:rsidR="003A3EA8" w:rsidRPr="00CF7CB1">
        <w:rPr>
          <w:rStyle w:val="FootnoteReference"/>
          <w:lang w:val="en-AU"/>
        </w:rPr>
        <w:footnoteReference w:id="57"/>
      </w:r>
    </w:p>
    <w:p w14:paraId="5BD69953" w14:textId="77777777" w:rsidR="008F16D7" w:rsidRDefault="003B5312" w:rsidP="00BC5572">
      <w:pPr>
        <w:pStyle w:val="ListParagraph"/>
        <w:numPr>
          <w:ilvl w:val="0"/>
          <w:numId w:val="25"/>
        </w:numPr>
        <w:spacing w:after="120"/>
        <w:rPr>
          <w:lang w:val="en-AU"/>
        </w:rPr>
      </w:pPr>
      <w:r w:rsidRPr="008F16D7">
        <w:rPr>
          <w:lang w:val="en-AU"/>
        </w:rPr>
        <w:t>Monitoring and evaluation: Strong monitoring and evaluation is required to assess and establish the impact of AfT activities and their contribution to improved trade and higher level outcomes such as economic growth and poverty reduction. Studies conducted by the World Bank (2014) and OECD (2013) among others, highlighted a number of issues relating to M&amp;E practice on AfT initiatives worldwide, in particular: the lack of evidence- based results chains linking AfT activities to trade-related outcomes; the lack of baseline</w:t>
      </w:r>
      <w:r w:rsidR="003A3EA8" w:rsidRPr="008F16D7">
        <w:rPr>
          <w:lang w:val="en-AU"/>
        </w:rPr>
        <w:t xml:space="preserve"> </w:t>
      </w:r>
      <w:r w:rsidRPr="008F16D7">
        <w:rPr>
          <w:lang w:val="en-AU"/>
        </w:rPr>
        <w:t>data, clear indicators or evaluation methods to assess and quantify the impact of activities; the isolation of current M&amp;E activities from partner governments, other donors and the private sector; and the missed opportunities to use monitoring and evaluation to inform program improvement and contribute to broader programming and policy development.</w:t>
      </w:r>
    </w:p>
    <w:p w14:paraId="52C4E6DC" w14:textId="77777777" w:rsidR="003B5312" w:rsidRPr="008F16D7" w:rsidRDefault="00C65089" w:rsidP="00BC5572">
      <w:pPr>
        <w:pStyle w:val="ListParagraph"/>
        <w:numPr>
          <w:ilvl w:val="0"/>
          <w:numId w:val="25"/>
        </w:numPr>
        <w:spacing w:after="120"/>
        <w:rPr>
          <w:lang w:val="en-AU"/>
        </w:rPr>
      </w:pPr>
      <w:r w:rsidRPr="008F16D7">
        <w:rPr>
          <w:lang w:val="en-AU"/>
        </w:rPr>
        <w:t xml:space="preserve">Demonstrating the attributable </w:t>
      </w:r>
      <w:r w:rsidR="003B5312" w:rsidRPr="008F16D7">
        <w:rPr>
          <w:lang w:val="en-AU"/>
        </w:rPr>
        <w:t>impac</w:t>
      </w:r>
      <w:r w:rsidRPr="008F16D7">
        <w:rPr>
          <w:lang w:val="en-AU"/>
        </w:rPr>
        <w:t>t is particularly challenging because of the nature</w:t>
      </w:r>
      <w:r w:rsidR="003B5312" w:rsidRPr="008F16D7">
        <w:rPr>
          <w:lang w:val="en-AU"/>
        </w:rPr>
        <w:t xml:space="preserve"> of the activities which focus on creating systemic, sector-wide change, the strong influence of external  factors  be</w:t>
      </w:r>
      <w:r w:rsidRPr="008F16D7">
        <w:rPr>
          <w:lang w:val="en-AU"/>
        </w:rPr>
        <w:t xml:space="preserve">yond  the control of programs, </w:t>
      </w:r>
      <w:r w:rsidR="003B5312" w:rsidRPr="008F16D7">
        <w:rPr>
          <w:lang w:val="en-AU"/>
        </w:rPr>
        <w:t xml:space="preserve">and a </w:t>
      </w:r>
      <w:r w:rsidRPr="008F16D7">
        <w:rPr>
          <w:lang w:val="en-AU"/>
        </w:rPr>
        <w:t xml:space="preserve">historical lack of political </w:t>
      </w:r>
      <w:r w:rsidR="003B5312" w:rsidRPr="008F16D7">
        <w:rPr>
          <w:lang w:val="en-AU"/>
        </w:rPr>
        <w:t xml:space="preserve">willingness to invest heavily in M&amp;E. While there have been some examples of using quasi-experimental methods to assess impact, it is </w:t>
      </w:r>
      <w:r w:rsidR="00CE443A" w:rsidRPr="008F16D7">
        <w:rPr>
          <w:lang w:val="en-AU"/>
        </w:rPr>
        <w:t>generally recognised that theor</w:t>
      </w:r>
      <w:r w:rsidR="003B5312" w:rsidRPr="008F16D7">
        <w:rPr>
          <w:lang w:val="en-AU"/>
        </w:rPr>
        <w:t xml:space="preserve">y-based approaches, such as  contribution analysis, are more appropriate methods for assessing the attribution question around the impact of AfT initiatives. Table 1 provides a summary </w:t>
      </w:r>
      <w:r w:rsidR="00CE443A" w:rsidRPr="008F16D7">
        <w:rPr>
          <w:lang w:val="en-AU"/>
        </w:rPr>
        <w:t>of good practice M&amp;E components</w:t>
      </w:r>
      <w:r w:rsidR="003B5312" w:rsidRPr="008F16D7">
        <w:rPr>
          <w:lang w:val="en-AU"/>
        </w:rPr>
        <w:t xml:space="preserve"> </w:t>
      </w:r>
      <w:r w:rsidR="00306E5D" w:rsidRPr="008F16D7">
        <w:rPr>
          <w:lang w:val="en-AU"/>
        </w:rPr>
        <w:t>based on</w:t>
      </w:r>
      <w:r w:rsidR="003A3EA8" w:rsidRPr="008F16D7">
        <w:rPr>
          <w:lang w:val="en-AU"/>
        </w:rPr>
        <w:t xml:space="preserve"> the literature</w:t>
      </w:r>
      <w:r w:rsidR="003A3EA8" w:rsidRPr="00CF7CB1">
        <w:rPr>
          <w:rStyle w:val="FootnoteReference"/>
          <w:lang w:val="en-AU"/>
        </w:rPr>
        <w:footnoteReference w:id="58"/>
      </w:r>
      <w:r w:rsidR="003B5312" w:rsidRPr="008F16D7">
        <w:rPr>
          <w:lang w:val="en-AU"/>
        </w:rPr>
        <w:t xml:space="preserve"> and is used </w:t>
      </w:r>
      <w:r w:rsidR="00F229D8" w:rsidRPr="008F16D7">
        <w:rPr>
          <w:lang w:val="en-AU"/>
        </w:rPr>
        <w:t xml:space="preserve">to compare with </w:t>
      </w:r>
      <w:r w:rsidR="003B5312" w:rsidRPr="008F16D7">
        <w:rPr>
          <w:lang w:val="en-AU"/>
        </w:rPr>
        <w:t>DFAT investments.</w:t>
      </w:r>
    </w:p>
    <w:p w14:paraId="66D95A5D" w14:textId="77777777" w:rsidR="003B5312" w:rsidRPr="00CF7CB1" w:rsidRDefault="003B5312" w:rsidP="003A3EA8">
      <w:pPr>
        <w:pStyle w:val="Tablehead"/>
        <w:rPr>
          <w:lang w:val="en-AU"/>
        </w:rPr>
      </w:pPr>
      <w:r w:rsidRPr="00CF7CB1">
        <w:rPr>
          <w:lang w:val="en-AU"/>
        </w:rPr>
        <w:t>Table 1 Good practice criteria for M&amp;E systems to support Aid for Trade investments</w:t>
      </w:r>
    </w:p>
    <w:tbl>
      <w:tblPr>
        <w:tblStyle w:val="TableGrid"/>
        <w:tblW w:w="0" w:type="auto"/>
        <w:tblLook w:val="04A0" w:firstRow="1" w:lastRow="0" w:firstColumn="1" w:lastColumn="0" w:noHBand="0" w:noVBand="1"/>
        <w:tblCaption w:val="Good practice criteria for M&amp;E systems to support Aid for Trade investments"/>
        <w:tblDescription w:val="This table lists good practice criteria for Monitoring and Evaluation (M&amp;E) systems to support Aid for Trade investments which includes evidence-based results chain, realistic objectives, baseline data, indicators and targets, range of methods, international measures, contextual factors, stakeholder engagement, program improvement, and public knowledge."/>
      </w:tblPr>
      <w:tblGrid>
        <w:gridCol w:w="2386"/>
        <w:gridCol w:w="6714"/>
      </w:tblGrid>
      <w:tr w:rsidR="009A61C9" w:rsidRPr="00CF7CB1" w14:paraId="4F7EE3CF" w14:textId="77777777" w:rsidTr="00D62262">
        <w:trPr>
          <w:tblHeader/>
        </w:trPr>
        <w:tc>
          <w:tcPr>
            <w:tcW w:w="4437" w:type="dxa"/>
          </w:tcPr>
          <w:p w14:paraId="3B6C96D3" w14:textId="77777777" w:rsidR="009A61C9" w:rsidRPr="00CF7CB1" w:rsidRDefault="009A61C9" w:rsidP="009A61C9">
            <w:pPr>
              <w:pStyle w:val="Tablehead"/>
              <w:rPr>
                <w:lang w:val="en-AU"/>
              </w:rPr>
            </w:pPr>
            <w:r w:rsidRPr="00CF7CB1">
              <w:rPr>
                <w:lang w:val="en-AU"/>
              </w:rPr>
              <w:t>Criteria</w:t>
            </w:r>
          </w:p>
        </w:tc>
        <w:tc>
          <w:tcPr>
            <w:tcW w:w="4437" w:type="dxa"/>
          </w:tcPr>
          <w:p w14:paraId="4FE2EBDA" w14:textId="77777777" w:rsidR="009A61C9" w:rsidRPr="00CF7CB1" w:rsidRDefault="009A61C9" w:rsidP="009A61C9">
            <w:pPr>
              <w:pStyle w:val="Tablehead"/>
              <w:rPr>
                <w:lang w:val="en-AU"/>
              </w:rPr>
            </w:pPr>
            <w:r w:rsidRPr="00CF7CB1">
              <w:rPr>
                <w:lang w:val="en-AU"/>
              </w:rPr>
              <w:t>Description</w:t>
            </w:r>
          </w:p>
        </w:tc>
      </w:tr>
      <w:tr w:rsidR="009A61C9" w:rsidRPr="00CF7CB1" w14:paraId="5B54C72B" w14:textId="77777777" w:rsidTr="009A61C9">
        <w:tc>
          <w:tcPr>
            <w:tcW w:w="0" w:type="auto"/>
          </w:tcPr>
          <w:p w14:paraId="51F65F54" w14:textId="77777777" w:rsidR="009A61C9" w:rsidRPr="00CF7CB1" w:rsidRDefault="009A61C9" w:rsidP="009A61C9">
            <w:pPr>
              <w:pStyle w:val="TableParagraph"/>
              <w:spacing w:before="90" w:line="278" w:lineRule="auto"/>
              <w:ind w:left="113" w:right="288"/>
              <w:jc w:val="both"/>
              <w:rPr>
                <w:rFonts w:ascii="Arial" w:eastAsia="Arial" w:hAnsi="Arial" w:cs="Arial"/>
                <w:lang w:val="en-AU"/>
              </w:rPr>
            </w:pPr>
            <w:r w:rsidRPr="00CF7CB1">
              <w:rPr>
                <w:rFonts w:ascii="Arial" w:hAnsi="Arial" w:cs="Arial"/>
                <w:b/>
                <w:w w:val="90"/>
                <w:lang w:val="en-AU"/>
              </w:rPr>
              <w:t xml:space="preserve">Evidence-based results </w:t>
            </w:r>
            <w:r w:rsidRPr="00CF7CB1">
              <w:rPr>
                <w:rFonts w:ascii="Arial" w:hAnsi="Arial" w:cs="Arial"/>
                <w:b/>
                <w:lang w:val="en-AU"/>
              </w:rPr>
              <w:t>chain</w:t>
            </w:r>
            <w:r w:rsidRPr="00CF7CB1">
              <w:rPr>
                <w:rFonts w:ascii="Arial" w:hAnsi="Arial" w:cs="Arial"/>
                <w:b/>
                <w:spacing w:val="-32"/>
                <w:lang w:val="en-AU"/>
              </w:rPr>
              <w:t xml:space="preserve"> </w:t>
            </w:r>
            <w:r w:rsidRPr="00CF7CB1">
              <w:rPr>
                <w:rFonts w:ascii="Arial" w:hAnsi="Arial" w:cs="Arial"/>
                <w:b/>
                <w:w w:val="160"/>
                <w:lang w:val="en-AU"/>
              </w:rPr>
              <w:t>/</w:t>
            </w:r>
            <w:r w:rsidRPr="00CF7CB1">
              <w:rPr>
                <w:rFonts w:ascii="Arial" w:hAnsi="Arial" w:cs="Arial"/>
                <w:b/>
                <w:spacing w:val="-62"/>
                <w:w w:val="160"/>
                <w:lang w:val="en-AU"/>
              </w:rPr>
              <w:t xml:space="preserve"> </w:t>
            </w:r>
            <w:r w:rsidRPr="00CF7CB1">
              <w:rPr>
                <w:rFonts w:ascii="Arial" w:hAnsi="Arial" w:cs="Arial"/>
                <w:b/>
                <w:lang w:val="en-AU"/>
              </w:rPr>
              <w:t>program</w:t>
            </w:r>
            <w:r w:rsidRPr="00CF7CB1">
              <w:rPr>
                <w:rFonts w:ascii="Arial" w:hAnsi="Arial" w:cs="Arial"/>
                <w:b/>
                <w:spacing w:val="-32"/>
                <w:lang w:val="en-AU"/>
              </w:rPr>
              <w:t xml:space="preserve"> </w:t>
            </w:r>
            <w:r w:rsidRPr="00CF7CB1">
              <w:rPr>
                <w:rFonts w:ascii="Arial" w:hAnsi="Arial" w:cs="Arial"/>
                <w:b/>
                <w:lang w:val="en-AU"/>
              </w:rPr>
              <w:t>theory</w:t>
            </w:r>
            <w:r w:rsidRPr="00CF7CB1">
              <w:rPr>
                <w:rFonts w:ascii="Arial" w:hAnsi="Arial" w:cs="Arial"/>
                <w:b/>
                <w:w w:val="86"/>
                <w:lang w:val="en-AU"/>
              </w:rPr>
              <w:t xml:space="preserve"> </w:t>
            </w:r>
            <w:r w:rsidRPr="00CF7CB1">
              <w:rPr>
                <w:rFonts w:ascii="Arial" w:hAnsi="Arial" w:cs="Arial"/>
                <w:b/>
                <w:w w:val="95"/>
                <w:lang w:val="en-AU"/>
              </w:rPr>
              <w:t>of change</w:t>
            </w:r>
            <w:r w:rsidRPr="00CF7CB1">
              <w:rPr>
                <w:rFonts w:ascii="Arial" w:hAnsi="Arial" w:cs="Arial"/>
                <w:b/>
                <w:spacing w:val="-5"/>
                <w:w w:val="95"/>
                <w:lang w:val="en-AU"/>
              </w:rPr>
              <w:t xml:space="preserve"> </w:t>
            </w:r>
            <w:r w:rsidRPr="00CF7CB1">
              <w:rPr>
                <w:rFonts w:ascii="Arial" w:hAnsi="Arial" w:cs="Arial"/>
                <w:b/>
                <w:spacing w:val="-3"/>
                <w:w w:val="95"/>
                <w:lang w:val="en-AU"/>
              </w:rPr>
              <w:t>(ToC)</w:t>
            </w:r>
          </w:p>
        </w:tc>
        <w:tc>
          <w:tcPr>
            <w:tcW w:w="0" w:type="auto"/>
          </w:tcPr>
          <w:p w14:paraId="73B3FF44" w14:textId="77777777" w:rsidR="009A61C9" w:rsidRPr="00CF7CB1" w:rsidRDefault="009A61C9" w:rsidP="009A61C9">
            <w:pPr>
              <w:pStyle w:val="TableParagraph"/>
              <w:spacing w:before="93" w:line="283" w:lineRule="auto"/>
              <w:ind w:left="113" w:right="280"/>
              <w:rPr>
                <w:rFonts w:ascii="Arial" w:eastAsia="Franklin Gothic Book" w:hAnsi="Arial" w:cs="Arial"/>
                <w:lang w:val="en-AU"/>
              </w:rPr>
            </w:pPr>
            <w:r w:rsidRPr="00CF7CB1">
              <w:rPr>
                <w:rFonts w:ascii="Arial" w:hAnsi="Arial" w:cs="Arial"/>
                <w:w w:val="105"/>
                <w:lang w:val="en-AU"/>
              </w:rPr>
              <w:t>This provides a framework for evaluation. There must be a plausible link between</w:t>
            </w:r>
            <w:r w:rsidRPr="00CF7CB1">
              <w:rPr>
                <w:rFonts w:ascii="Arial" w:hAnsi="Arial" w:cs="Arial"/>
                <w:spacing w:val="-5"/>
                <w:w w:val="105"/>
                <w:lang w:val="en-AU"/>
              </w:rPr>
              <w:t xml:space="preserve"> </w:t>
            </w:r>
            <w:r w:rsidRPr="00CF7CB1">
              <w:rPr>
                <w:rFonts w:ascii="Arial" w:hAnsi="Arial" w:cs="Arial"/>
                <w:w w:val="105"/>
                <w:lang w:val="en-AU"/>
              </w:rPr>
              <w:t>the</w:t>
            </w:r>
            <w:r w:rsidRPr="00CF7CB1">
              <w:rPr>
                <w:rFonts w:ascii="Arial" w:hAnsi="Arial" w:cs="Arial"/>
                <w:spacing w:val="-5"/>
                <w:w w:val="105"/>
                <w:lang w:val="en-AU"/>
              </w:rPr>
              <w:t xml:space="preserve"> </w:t>
            </w:r>
            <w:r w:rsidRPr="00CF7CB1">
              <w:rPr>
                <w:rFonts w:ascii="Arial" w:hAnsi="Arial" w:cs="Arial"/>
                <w:w w:val="105"/>
                <w:lang w:val="en-AU"/>
              </w:rPr>
              <w:t>activities</w:t>
            </w:r>
            <w:r w:rsidRPr="00CF7CB1">
              <w:rPr>
                <w:rFonts w:ascii="Arial" w:hAnsi="Arial" w:cs="Arial"/>
                <w:spacing w:val="-5"/>
                <w:w w:val="105"/>
                <w:lang w:val="en-AU"/>
              </w:rPr>
              <w:t xml:space="preserve"> </w:t>
            </w:r>
            <w:r w:rsidRPr="00CF7CB1">
              <w:rPr>
                <w:rFonts w:ascii="Arial" w:hAnsi="Arial" w:cs="Arial"/>
                <w:w w:val="105"/>
                <w:lang w:val="en-AU"/>
              </w:rPr>
              <w:t>funded</w:t>
            </w:r>
            <w:r w:rsidRPr="00CF7CB1">
              <w:rPr>
                <w:rFonts w:ascii="Arial" w:hAnsi="Arial" w:cs="Arial"/>
                <w:spacing w:val="-5"/>
                <w:w w:val="105"/>
                <w:lang w:val="en-AU"/>
              </w:rPr>
              <w:t xml:space="preserve"> </w:t>
            </w:r>
            <w:r w:rsidRPr="00CF7CB1">
              <w:rPr>
                <w:rFonts w:ascii="Arial" w:hAnsi="Arial" w:cs="Arial"/>
                <w:w w:val="105"/>
                <w:lang w:val="en-AU"/>
              </w:rPr>
              <w:t>and</w:t>
            </w:r>
            <w:r w:rsidRPr="00CF7CB1">
              <w:rPr>
                <w:rFonts w:ascii="Arial" w:hAnsi="Arial" w:cs="Arial"/>
                <w:spacing w:val="-5"/>
                <w:w w:val="105"/>
                <w:lang w:val="en-AU"/>
              </w:rPr>
              <w:t xml:space="preserve"> </w:t>
            </w:r>
            <w:r w:rsidRPr="00CF7CB1">
              <w:rPr>
                <w:rFonts w:ascii="Arial" w:hAnsi="Arial" w:cs="Arial"/>
                <w:w w:val="105"/>
                <w:lang w:val="en-AU"/>
              </w:rPr>
              <w:t>the</w:t>
            </w:r>
            <w:r w:rsidRPr="00CF7CB1">
              <w:rPr>
                <w:rFonts w:ascii="Arial" w:hAnsi="Arial" w:cs="Arial"/>
                <w:spacing w:val="-5"/>
                <w:w w:val="105"/>
                <w:lang w:val="en-AU"/>
              </w:rPr>
              <w:t xml:space="preserve"> </w:t>
            </w:r>
            <w:r w:rsidRPr="00CF7CB1">
              <w:rPr>
                <w:rFonts w:ascii="Arial" w:hAnsi="Arial" w:cs="Arial"/>
                <w:w w:val="105"/>
                <w:lang w:val="en-AU"/>
              </w:rPr>
              <w:t>objectives</w:t>
            </w:r>
            <w:r w:rsidRPr="00CF7CB1">
              <w:rPr>
                <w:rFonts w:ascii="Arial" w:hAnsi="Arial" w:cs="Arial"/>
                <w:spacing w:val="-5"/>
                <w:w w:val="105"/>
                <w:lang w:val="en-AU"/>
              </w:rPr>
              <w:t xml:space="preserve"> </w:t>
            </w:r>
            <w:r w:rsidRPr="00CF7CB1">
              <w:rPr>
                <w:rFonts w:ascii="Arial" w:hAnsi="Arial" w:cs="Arial"/>
                <w:w w:val="105"/>
                <w:lang w:val="en-AU"/>
              </w:rPr>
              <w:t>they</w:t>
            </w:r>
            <w:r w:rsidRPr="00CF7CB1">
              <w:rPr>
                <w:rFonts w:ascii="Arial" w:hAnsi="Arial" w:cs="Arial"/>
                <w:spacing w:val="-5"/>
                <w:w w:val="105"/>
                <w:lang w:val="en-AU"/>
              </w:rPr>
              <w:t xml:space="preserve"> </w:t>
            </w:r>
            <w:r w:rsidRPr="00CF7CB1">
              <w:rPr>
                <w:rFonts w:ascii="Arial" w:hAnsi="Arial" w:cs="Arial"/>
                <w:w w:val="105"/>
                <w:lang w:val="en-AU"/>
              </w:rPr>
              <w:t>seek</w:t>
            </w:r>
            <w:r w:rsidRPr="00CF7CB1">
              <w:rPr>
                <w:rFonts w:ascii="Arial" w:hAnsi="Arial" w:cs="Arial"/>
                <w:spacing w:val="-5"/>
                <w:w w:val="105"/>
                <w:lang w:val="en-AU"/>
              </w:rPr>
              <w:t xml:space="preserve"> </w:t>
            </w:r>
            <w:r w:rsidRPr="00CF7CB1">
              <w:rPr>
                <w:rFonts w:ascii="Arial" w:hAnsi="Arial" w:cs="Arial"/>
                <w:w w:val="105"/>
                <w:lang w:val="en-AU"/>
              </w:rPr>
              <w:t>to</w:t>
            </w:r>
            <w:r w:rsidRPr="00CF7CB1">
              <w:rPr>
                <w:rFonts w:ascii="Arial" w:hAnsi="Arial" w:cs="Arial"/>
                <w:spacing w:val="-5"/>
                <w:w w:val="105"/>
                <w:lang w:val="en-AU"/>
              </w:rPr>
              <w:t xml:space="preserve"> </w:t>
            </w:r>
            <w:r w:rsidRPr="00CF7CB1">
              <w:rPr>
                <w:rFonts w:ascii="Arial" w:hAnsi="Arial" w:cs="Arial"/>
                <w:w w:val="105"/>
                <w:lang w:val="en-AU"/>
              </w:rPr>
              <w:t>achieve.</w:t>
            </w:r>
            <w:r w:rsidRPr="00CF7CB1">
              <w:rPr>
                <w:rFonts w:ascii="Arial" w:hAnsi="Arial" w:cs="Arial"/>
                <w:spacing w:val="-5"/>
                <w:w w:val="105"/>
                <w:lang w:val="en-AU"/>
              </w:rPr>
              <w:t xml:space="preserve"> </w:t>
            </w:r>
            <w:r w:rsidRPr="00CF7CB1">
              <w:rPr>
                <w:rFonts w:ascii="Arial" w:hAnsi="Arial" w:cs="Arial"/>
                <w:w w:val="105"/>
                <w:lang w:val="en-AU"/>
              </w:rPr>
              <w:t>Strong M&amp;E systems will also draw on lessons learnt from similar programs to examine plausibility, feasibility and</w:t>
            </w:r>
            <w:r w:rsidRPr="00CF7CB1">
              <w:rPr>
                <w:rFonts w:ascii="Arial" w:hAnsi="Arial" w:cs="Arial"/>
                <w:spacing w:val="-33"/>
                <w:w w:val="105"/>
                <w:lang w:val="en-AU"/>
              </w:rPr>
              <w:t xml:space="preserve"> </w:t>
            </w:r>
            <w:r w:rsidRPr="00CF7CB1">
              <w:rPr>
                <w:rFonts w:ascii="Arial" w:hAnsi="Arial" w:cs="Arial"/>
                <w:w w:val="105"/>
                <w:lang w:val="en-AU"/>
              </w:rPr>
              <w:t>assumptions.</w:t>
            </w:r>
          </w:p>
        </w:tc>
      </w:tr>
      <w:tr w:rsidR="009A61C9" w:rsidRPr="00CF7CB1" w14:paraId="2A33C68E" w14:textId="77777777" w:rsidTr="009A61C9">
        <w:tc>
          <w:tcPr>
            <w:tcW w:w="0" w:type="auto"/>
          </w:tcPr>
          <w:p w14:paraId="5E699303" w14:textId="77777777" w:rsidR="009A61C9" w:rsidRPr="00CF7CB1" w:rsidRDefault="009A61C9" w:rsidP="009A61C9">
            <w:pPr>
              <w:pStyle w:val="TableParagraph"/>
              <w:spacing w:before="87"/>
              <w:ind w:left="113"/>
              <w:rPr>
                <w:rFonts w:ascii="Arial" w:eastAsia="Arial" w:hAnsi="Arial" w:cs="Arial"/>
                <w:lang w:val="en-AU"/>
              </w:rPr>
            </w:pPr>
            <w:r w:rsidRPr="00CF7CB1">
              <w:rPr>
                <w:rFonts w:ascii="Arial" w:hAnsi="Arial" w:cs="Arial"/>
                <w:b/>
                <w:w w:val="95"/>
                <w:lang w:val="en-AU"/>
              </w:rPr>
              <w:t>Realistic</w:t>
            </w:r>
            <w:r w:rsidRPr="00CF7CB1">
              <w:rPr>
                <w:rFonts w:ascii="Arial" w:hAnsi="Arial" w:cs="Arial"/>
                <w:b/>
                <w:spacing w:val="-7"/>
                <w:w w:val="95"/>
                <w:lang w:val="en-AU"/>
              </w:rPr>
              <w:t xml:space="preserve"> </w:t>
            </w:r>
            <w:r w:rsidRPr="00CF7CB1">
              <w:rPr>
                <w:rFonts w:ascii="Arial" w:hAnsi="Arial" w:cs="Arial"/>
                <w:b/>
                <w:w w:val="95"/>
                <w:lang w:val="en-AU"/>
              </w:rPr>
              <w:t>Objectives</w:t>
            </w:r>
          </w:p>
        </w:tc>
        <w:tc>
          <w:tcPr>
            <w:tcW w:w="0" w:type="auto"/>
          </w:tcPr>
          <w:p w14:paraId="1339C47E" w14:textId="77777777" w:rsidR="009A61C9" w:rsidRPr="00CF7CB1" w:rsidRDefault="009A61C9" w:rsidP="009A61C9">
            <w:pPr>
              <w:pStyle w:val="TableParagraph"/>
              <w:spacing w:before="91" w:line="283" w:lineRule="auto"/>
              <w:ind w:left="113" w:right="317"/>
              <w:jc w:val="both"/>
              <w:rPr>
                <w:rFonts w:ascii="Arial" w:eastAsia="Franklin Gothic Book" w:hAnsi="Arial" w:cs="Arial"/>
                <w:lang w:val="en-AU"/>
              </w:rPr>
            </w:pPr>
            <w:r w:rsidRPr="00CF7CB1">
              <w:rPr>
                <w:rFonts w:ascii="Arial" w:hAnsi="Arial" w:cs="Arial"/>
                <w:lang w:val="en-AU"/>
              </w:rPr>
              <w:t>The objectives and end of program outcomes in the results chains should be within the scope, scale and timeframe of the program and evaluation activity. End</w:t>
            </w:r>
            <w:r w:rsidRPr="00CF7CB1">
              <w:rPr>
                <w:rFonts w:ascii="Arial" w:hAnsi="Arial" w:cs="Arial"/>
                <w:spacing w:val="20"/>
                <w:lang w:val="en-AU"/>
              </w:rPr>
              <w:t xml:space="preserve"> </w:t>
            </w:r>
            <w:r w:rsidRPr="00CF7CB1">
              <w:rPr>
                <w:rFonts w:ascii="Arial" w:hAnsi="Arial" w:cs="Arial"/>
                <w:lang w:val="en-AU"/>
              </w:rPr>
              <w:t>of</w:t>
            </w:r>
            <w:r w:rsidRPr="00CF7CB1">
              <w:rPr>
                <w:rFonts w:ascii="Arial" w:hAnsi="Arial" w:cs="Arial"/>
                <w:spacing w:val="20"/>
                <w:lang w:val="en-AU"/>
              </w:rPr>
              <w:t xml:space="preserve"> </w:t>
            </w:r>
            <w:r w:rsidRPr="00CF7CB1">
              <w:rPr>
                <w:rFonts w:ascii="Arial" w:hAnsi="Arial" w:cs="Arial"/>
                <w:lang w:val="en-AU"/>
              </w:rPr>
              <w:t>program</w:t>
            </w:r>
            <w:r w:rsidRPr="00CF7CB1">
              <w:rPr>
                <w:rFonts w:ascii="Arial" w:hAnsi="Arial" w:cs="Arial"/>
                <w:spacing w:val="20"/>
                <w:lang w:val="en-AU"/>
              </w:rPr>
              <w:t xml:space="preserve"> </w:t>
            </w:r>
            <w:r w:rsidRPr="00CF7CB1">
              <w:rPr>
                <w:rFonts w:ascii="Arial" w:hAnsi="Arial" w:cs="Arial"/>
                <w:lang w:val="en-AU"/>
              </w:rPr>
              <w:t>outcomes</w:t>
            </w:r>
            <w:r w:rsidRPr="00CF7CB1">
              <w:rPr>
                <w:rFonts w:ascii="Arial" w:hAnsi="Arial" w:cs="Arial"/>
                <w:spacing w:val="20"/>
                <w:lang w:val="en-AU"/>
              </w:rPr>
              <w:t xml:space="preserve"> </w:t>
            </w:r>
            <w:r w:rsidRPr="00CF7CB1">
              <w:rPr>
                <w:rFonts w:ascii="Arial" w:hAnsi="Arial" w:cs="Arial"/>
                <w:lang w:val="en-AU"/>
              </w:rPr>
              <w:t>should</w:t>
            </w:r>
            <w:r w:rsidRPr="00CF7CB1">
              <w:rPr>
                <w:rFonts w:ascii="Arial" w:hAnsi="Arial" w:cs="Arial"/>
                <w:spacing w:val="20"/>
                <w:lang w:val="en-AU"/>
              </w:rPr>
              <w:t xml:space="preserve"> </w:t>
            </w:r>
            <w:r w:rsidRPr="00CF7CB1">
              <w:rPr>
                <w:rFonts w:ascii="Arial" w:hAnsi="Arial" w:cs="Arial"/>
                <w:lang w:val="en-AU"/>
              </w:rPr>
              <w:t>be</w:t>
            </w:r>
            <w:r w:rsidRPr="00CF7CB1">
              <w:rPr>
                <w:rFonts w:ascii="Arial" w:hAnsi="Arial" w:cs="Arial"/>
                <w:spacing w:val="20"/>
                <w:lang w:val="en-AU"/>
              </w:rPr>
              <w:t xml:space="preserve"> </w:t>
            </w:r>
            <w:r w:rsidRPr="00CF7CB1">
              <w:rPr>
                <w:rFonts w:ascii="Arial" w:hAnsi="Arial" w:cs="Arial"/>
                <w:lang w:val="en-AU"/>
              </w:rPr>
              <w:t>clearly</w:t>
            </w:r>
            <w:r w:rsidRPr="00CF7CB1">
              <w:rPr>
                <w:rFonts w:ascii="Arial" w:hAnsi="Arial" w:cs="Arial"/>
                <w:spacing w:val="20"/>
                <w:lang w:val="en-AU"/>
              </w:rPr>
              <w:t xml:space="preserve"> </w:t>
            </w:r>
            <w:r w:rsidRPr="00CF7CB1">
              <w:rPr>
                <w:rFonts w:ascii="Arial" w:hAnsi="Arial" w:cs="Arial"/>
                <w:lang w:val="en-AU"/>
              </w:rPr>
              <w:t>defined</w:t>
            </w:r>
            <w:r w:rsidRPr="00CF7CB1">
              <w:rPr>
                <w:rFonts w:ascii="Arial" w:hAnsi="Arial" w:cs="Arial"/>
                <w:spacing w:val="20"/>
                <w:lang w:val="en-AU"/>
              </w:rPr>
              <w:t xml:space="preserve"> </w:t>
            </w:r>
            <w:r w:rsidRPr="00CF7CB1">
              <w:rPr>
                <w:rFonts w:ascii="Arial" w:hAnsi="Arial" w:cs="Arial"/>
                <w:lang w:val="en-AU"/>
              </w:rPr>
              <w:t>and</w:t>
            </w:r>
            <w:r w:rsidRPr="00CF7CB1">
              <w:rPr>
                <w:rFonts w:ascii="Arial" w:hAnsi="Arial" w:cs="Arial"/>
                <w:spacing w:val="20"/>
                <w:lang w:val="en-AU"/>
              </w:rPr>
              <w:t xml:space="preserve"> </w:t>
            </w:r>
            <w:r w:rsidRPr="00CF7CB1">
              <w:rPr>
                <w:rFonts w:ascii="Arial" w:hAnsi="Arial" w:cs="Arial"/>
                <w:lang w:val="en-AU"/>
              </w:rPr>
              <w:t>measurable.</w:t>
            </w:r>
          </w:p>
        </w:tc>
      </w:tr>
      <w:tr w:rsidR="009A61C9" w:rsidRPr="00CF7CB1" w14:paraId="076EE28E" w14:textId="77777777" w:rsidTr="009A61C9">
        <w:tc>
          <w:tcPr>
            <w:tcW w:w="0" w:type="auto"/>
          </w:tcPr>
          <w:p w14:paraId="1F54F294" w14:textId="77777777" w:rsidR="009A61C9" w:rsidRPr="00CF7CB1" w:rsidRDefault="009A61C9" w:rsidP="009A61C9">
            <w:pPr>
              <w:pStyle w:val="TableParagraph"/>
              <w:spacing w:before="87"/>
              <w:ind w:left="113"/>
              <w:rPr>
                <w:rFonts w:ascii="Arial" w:eastAsia="Arial" w:hAnsi="Arial" w:cs="Arial"/>
                <w:lang w:val="en-AU"/>
              </w:rPr>
            </w:pPr>
            <w:r w:rsidRPr="00CF7CB1">
              <w:rPr>
                <w:rFonts w:ascii="Arial" w:hAnsi="Arial" w:cs="Arial"/>
                <w:b/>
                <w:w w:val="95"/>
                <w:lang w:val="en-AU"/>
              </w:rPr>
              <w:t>Baseline</w:t>
            </w:r>
            <w:r w:rsidRPr="00CF7CB1">
              <w:rPr>
                <w:rFonts w:ascii="Arial" w:hAnsi="Arial" w:cs="Arial"/>
                <w:b/>
                <w:spacing w:val="5"/>
                <w:w w:val="95"/>
                <w:lang w:val="en-AU"/>
              </w:rPr>
              <w:t xml:space="preserve"> </w:t>
            </w:r>
            <w:r w:rsidRPr="00CF7CB1">
              <w:rPr>
                <w:rFonts w:ascii="Arial" w:hAnsi="Arial" w:cs="Arial"/>
                <w:b/>
                <w:w w:val="95"/>
                <w:lang w:val="en-AU"/>
              </w:rPr>
              <w:t>Data</w:t>
            </w:r>
          </w:p>
        </w:tc>
        <w:tc>
          <w:tcPr>
            <w:tcW w:w="0" w:type="auto"/>
          </w:tcPr>
          <w:p w14:paraId="18EAEC10" w14:textId="77777777" w:rsidR="009A61C9" w:rsidRPr="00CF7CB1" w:rsidRDefault="009A61C9" w:rsidP="009A61C9">
            <w:pPr>
              <w:pStyle w:val="TableParagraph"/>
              <w:spacing w:before="91" w:line="283" w:lineRule="auto"/>
              <w:ind w:left="113" w:right="198"/>
              <w:rPr>
                <w:rFonts w:ascii="Arial" w:eastAsia="Franklin Gothic Book" w:hAnsi="Arial" w:cs="Arial"/>
                <w:lang w:val="en-AU"/>
              </w:rPr>
            </w:pPr>
            <w:r w:rsidRPr="00CF7CB1">
              <w:rPr>
                <w:rFonts w:ascii="Arial" w:hAnsi="Arial" w:cs="Arial"/>
                <w:lang w:val="en-AU"/>
              </w:rPr>
              <w:t>Impact evaluation relies on a detailed understanding of the situation on commencement, preferably quantified in terms of the end of program outcomes.</w:t>
            </w:r>
          </w:p>
        </w:tc>
      </w:tr>
      <w:tr w:rsidR="009A61C9" w:rsidRPr="00CF7CB1" w14:paraId="1DBAA9F0" w14:textId="77777777" w:rsidTr="009A61C9">
        <w:tc>
          <w:tcPr>
            <w:tcW w:w="0" w:type="auto"/>
          </w:tcPr>
          <w:p w14:paraId="43F612AA" w14:textId="77777777" w:rsidR="009A61C9" w:rsidRPr="00CF7CB1" w:rsidRDefault="009A61C9" w:rsidP="009A61C9">
            <w:pPr>
              <w:pStyle w:val="TableParagraph"/>
              <w:spacing w:before="87"/>
              <w:ind w:left="113"/>
              <w:rPr>
                <w:rFonts w:ascii="Arial" w:eastAsia="Arial" w:hAnsi="Arial" w:cs="Arial"/>
                <w:lang w:val="en-AU"/>
              </w:rPr>
            </w:pPr>
            <w:r w:rsidRPr="00CF7CB1">
              <w:rPr>
                <w:rFonts w:ascii="Arial" w:hAnsi="Arial" w:cs="Arial"/>
                <w:b/>
                <w:w w:val="95"/>
                <w:lang w:val="en-AU"/>
              </w:rPr>
              <w:t>Indicators and</w:t>
            </w:r>
            <w:r w:rsidRPr="00CF7CB1">
              <w:rPr>
                <w:rFonts w:ascii="Arial" w:hAnsi="Arial" w:cs="Arial"/>
                <w:b/>
                <w:spacing w:val="6"/>
                <w:w w:val="95"/>
                <w:lang w:val="en-AU"/>
              </w:rPr>
              <w:t xml:space="preserve"> </w:t>
            </w:r>
            <w:r w:rsidRPr="00CF7CB1">
              <w:rPr>
                <w:rFonts w:ascii="Arial" w:hAnsi="Arial" w:cs="Arial"/>
                <w:b/>
                <w:w w:val="95"/>
                <w:lang w:val="en-AU"/>
              </w:rPr>
              <w:t>targets</w:t>
            </w:r>
          </w:p>
        </w:tc>
        <w:tc>
          <w:tcPr>
            <w:tcW w:w="0" w:type="auto"/>
          </w:tcPr>
          <w:p w14:paraId="5236DC9F" w14:textId="77777777" w:rsidR="009A61C9" w:rsidRPr="00CF7CB1" w:rsidRDefault="009A61C9" w:rsidP="009A61C9">
            <w:pPr>
              <w:pStyle w:val="TableParagraph"/>
              <w:spacing w:before="91" w:line="283" w:lineRule="auto"/>
              <w:ind w:left="113" w:right="168"/>
              <w:rPr>
                <w:rFonts w:ascii="Arial" w:eastAsia="Franklin Gothic Book" w:hAnsi="Arial" w:cs="Arial"/>
                <w:lang w:val="en-AU"/>
              </w:rPr>
            </w:pPr>
            <w:r w:rsidRPr="00CF7CB1">
              <w:rPr>
                <w:rFonts w:ascii="Arial" w:hAnsi="Arial" w:cs="Arial"/>
                <w:lang w:val="en-AU"/>
              </w:rPr>
              <w:t>It is important that there are clear qualitative and quantitative measures of success agreed by all stakeholders at program inception, and targets are used to track progress and</w:t>
            </w:r>
            <w:r w:rsidRPr="00CF7CB1">
              <w:rPr>
                <w:rFonts w:ascii="Arial" w:hAnsi="Arial" w:cs="Arial"/>
                <w:spacing w:val="-12"/>
                <w:lang w:val="en-AU"/>
              </w:rPr>
              <w:t xml:space="preserve"> </w:t>
            </w:r>
            <w:r w:rsidRPr="00CF7CB1">
              <w:rPr>
                <w:rFonts w:ascii="Arial" w:hAnsi="Arial" w:cs="Arial"/>
                <w:lang w:val="en-AU"/>
              </w:rPr>
              <w:t>performance.</w:t>
            </w:r>
          </w:p>
        </w:tc>
      </w:tr>
      <w:tr w:rsidR="009A61C9" w:rsidRPr="00CF7CB1" w14:paraId="53BCD7CF" w14:textId="77777777" w:rsidTr="009A61C9">
        <w:tc>
          <w:tcPr>
            <w:tcW w:w="0" w:type="auto"/>
          </w:tcPr>
          <w:p w14:paraId="1D161E6D" w14:textId="77777777" w:rsidR="009A61C9" w:rsidRPr="00CF7CB1" w:rsidRDefault="009A61C9" w:rsidP="009A61C9">
            <w:pPr>
              <w:pStyle w:val="TableParagraph"/>
              <w:spacing w:before="87"/>
              <w:ind w:left="113"/>
              <w:rPr>
                <w:rFonts w:ascii="Arial" w:eastAsia="Arial" w:hAnsi="Arial" w:cs="Arial"/>
                <w:lang w:val="en-AU"/>
              </w:rPr>
            </w:pPr>
            <w:r w:rsidRPr="00CF7CB1">
              <w:rPr>
                <w:rFonts w:ascii="Arial" w:hAnsi="Arial" w:cs="Arial"/>
                <w:b/>
                <w:w w:val="95"/>
                <w:lang w:val="en-AU"/>
              </w:rPr>
              <w:t>Range of</w:t>
            </w:r>
            <w:r w:rsidRPr="00CF7CB1">
              <w:rPr>
                <w:rFonts w:ascii="Arial" w:hAnsi="Arial" w:cs="Arial"/>
                <w:b/>
                <w:spacing w:val="-6"/>
                <w:w w:val="95"/>
                <w:lang w:val="en-AU"/>
              </w:rPr>
              <w:t xml:space="preserve"> </w:t>
            </w:r>
            <w:r w:rsidRPr="00CF7CB1">
              <w:rPr>
                <w:rFonts w:ascii="Arial" w:hAnsi="Arial" w:cs="Arial"/>
                <w:b/>
                <w:w w:val="95"/>
                <w:lang w:val="en-AU"/>
              </w:rPr>
              <w:t>Methods</w:t>
            </w:r>
          </w:p>
        </w:tc>
        <w:tc>
          <w:tcPr>
            <w:tcW w:w="0" w:type="auto"/>
          </w:tcPr>
          <w:p w14:paraId="749A04F3" w14:textId="77777777" w:rsidR="009A61C9" w:rsidRPr="00CF7CB1" w:rsidRDefault="009A61C9" w:rsidP="009A61C9">
            <w:pPr>
              <w:pStyle w:val="TableParagraph"/>
              <w:spacing w:before="91" w:line="283" w:lineRule="auto"/>
              <w:ind w:left="113" w:right="221"/>
              <w:rPr>
                <w:rFonts w:ascii="Arial" w:eastAsia="Franklin Gothic Book" w:hAnsi="Arial" w:cs="Arial"/>
                <w:lang w:val="en-AU"/>
              </w:rPr>
            </w:pPr>
            <w:r w:rsidRPr="00CF7CB1">
              <w:rPr>
                <w:rFonts w:ascii="Arial" w:hAnsi="Arial" w:cs="Arial"/>
                <w:lang w:val="en-AU"/>
              </w:rPr>
              <w:t>A structured mixed-methods approach (using quantitative and qualitative data) is</w:t>
            </w:r>
            <w:r w:rsidRPr="00CF7CB1">
              <w:rPr>
                <w:rFonts w:ascii="Arial" w:hAnsi="Arial" w:cs="Arial"/>
                <w:spacing w:val="22"/>
                <w:lang w:val="en-AU"/>
              </w:rPr>
              <w:t xml:space="preserve"> </w:t>
            </w:r>
            <w:r w:rsidRPr="00CF7CB1">
              <w:rPr>
                <w:rFonts w:ascii="Arial" w:hAnsi="Arial" w:cs="Arial"/>
                <w:lang w:val="en-AU"/>
              </w:rPr>
              <w:t>important</w:t>
            </w:r>
            <w:r w:rsidRPr="00CF7CB1">
              <w:rPr>
                <w:rFonts w:ascii="Arial" w:hAnsi="Arial" w:cs="Arial"/>
                <w:spacing w:val="22"/>
                <w:lang w:val="en-AU"/>
              </w:rPr>
              <w:t xml:space="preserve"> </w:t>
            </w:r>
            <w:r w:rsidRPr="00CF7CB1">
              <w:rPr>
                <w:rFonts w:ascii="Arial" w:hAnsi="Arial" w:cs="Arial"/>
                <w:lang w:val="en-AU"/>
              </w:rPr>
              <w:t>for</w:t>
            </w:r>
            <w:r w:rsidRPr="00CF7CB1">
              <w:rPr>
                <w:rFonts w:ascii="Arial" w:hAnsi="Arial" w:cs="Arial"/>
                <w:spacing w:val="22"/>
                <w:lang w:val="en-AU"/>
              </w:rPr>
              <w:t xml:space="preserve"> </w:t>
            </w:r>
            <w:r w:rsidRPr="00CF7CB1">
              <w:rPr>
                <w:rFonts w:ascii="Arial" w:hAnsi="Arial" w:cs="Arial"/>
                <w:lang w:val="en-AU"/>
              </w:rPr>
              <w:t>a</w:t>
            </w:r>
            <w:r w:rsidRPr="00CF7CB1">
              <w:rPr>
                <w:rFonts w:ascii="Arial" w:hAnsi="Arial" w:cs="Arial"/>
                <w:spacing w:val="22"/>
                <w:lang w:val="en-AU"/>
              </w:rPr>
              <w:t xml:space="preserve"> </w:t>
            </w:r>
            <w:r w:rsidRPr="00CF7CB1">
              <w:rPr>
                <w:rFonts w:ascii="Arial" w:hAnsi="Arial" w:cs="Arial"/>
                <w:lang w:val="en-AU"/>
              </w:rPr>
              <w:t>robust</w:t>
            </w:r>
            <w:r w:rsidRPr="00CF7CB1">
              <w:rPr>
                <w:rFonts w:ascii="Arial" w:hAnsi="Arial" w:cs="Arial"/>
                <w:spacing w:val="22"/>
                <w:lang w:val="en-AU"/>
              </w:rPr>
              <w:t xml:space="preserve"> </w:t>
            </w:r>
            <w:r w:rsidRPr="00CF7CB1">
              <w:rPr>
                <w:rFonts w:ascii="Arial" w:hAnsi="Arial" w:cs="Arial"/>
                <w:lang w:val="en-AU"/>
              </w:rPr>
              <w:t>evaluation</w:t>
            </w:r>
            <w:r w:rsidRPr="00CF7CB1">
              <w:rPr>
                <w:rFonts w:ascii="Arial" w:hAnsi="Arial" w:cs="Arial"/>
                <w:spacing w:val="22"/>
                <w:lang w:val="en-AU"/>
              </w:rPr>
              <w:t xml:space="preserve"> </w:t>
            </w:r>
            <w:r w:rsidRPr="00CF7CB1">
              <w:rPr>
                <w:rFonts w:ascii="Arial" w:hAnsi="Arial" w:cs="Arial"/>
                <w:lang w:val="en-AU"/>
              </w:rPr>
              <w:t>of</w:t>
            </w:r>
            <w:r w:rsidRPr="00CF7CB1">
              <w:rPr>
                <w:rFonts w:ascii="Arial" w:hAnsi="Arial" w:cs="Arial"/>
                <w:spacing w:val="22"/>
                <w:lang w:val="en-AU"/>
              </w:rPr>
              <w:t xml:space="preserve"> </w:t>
            </w:r>
            <w:r w:rsidRPr="00CF7CB1">
              <w:rPr>
                <w:rFonts w:ascii="Arial" w:hAnsi="Arial" w:cs="Arial"/>
                <w:lang w:val="en-AU"/>
              </w:rPr>
              <w:t>impact</w:t>
            </w:r>
            <w:r w:rsidRPr="00CF7CB1">
              <w:rPr>
                <w:rFonts w:ascii="Arial" w:hAnsi="Arial" w:cs="Arial"/>
                <w:spacing w:val="22"/>
                <w:lang w:val="en-AU"/>
              </w:rPr>
              <w:t xml:space="preserve"> </w:t>
            </w:r>
            <w:r w:rsidRPr="00CF7CB1">
              <w:rPr>
                <w:rFonts w:ascii="Arial" w:hAnsi="Arial" w:cs="Arial"/>
                <w:lang w:val="en-AU"/>
              </w:rPr>
              <w:t>and</w:t>
            </w:r>
            <w:r w:rsidRPr="00CF7CB1">
              <w:rPr>
                <w:rFonts w:ascii="Arial" w:hAnsi="Arial" w:cs="Arial"/>
                <w:spacing w:val="22"/>
                <w:lang w:val="en-AU"/>
              </w:rPr>
              <w:t xml:space="preserve"> </w:t>
            </w:r>
            <w:r w:rsidRPr="00CF7CB1">
              <w:rPr>
                <w:rFonts w:ascii="Arial" w:hAnsi="Arial" w:cs="Arial"/>
                <w:lang w:val="en-AU"/>
              </w:rPr>
              <w:t>causal</w:t>
            </w:r>
            <w:r w:rsidRPr="00CF7CB1">
              <w:rPr>
                <w:rFonts w:ascii="Arial" w:hAnsi="Arial" w:cs="Arial"/>
                <w:spacing w:val="22"/>
                <w:lang w:val="en-AU"/>
              </w:rPr>
              <w:t xml:space="preserve"> </w:t>
            </w:r>
            <w:r w:rsidRPr="00CF7CB1">
              <w:rPr>
                <w:rFonts w:ascii="Arial" w:hAnsi="Arial" w:cs="Arial"/>
                <w:lang w:val="en-AU"/>
              </w:rPr>
              <w:t>attribution.</w:t>
            </w:r>
          </w:p>
        </w:tc>
      </w:tr>
      <w:tr w:rsidR="009A61C9" w:rsidRPr="00CF7CB1" w14:paraId="61139DBC" w14:textId="77777777" w:rsidTr="009A61C9">
        <w:tc>
          <w:tcPr>
            <w:tcW w:w="0" w:type="auto"/>
          </w:tcPr>
          <w:p w14:paraId="0EB01205" w14:textId="77777777" w:rsidR="009A61C9" w:rsidRPr="00CF7CB1" w:rsidRDefault="009A61C9" w:rsidP="009A61C9">
            <w:pPr>
              <w:pStyle w:val="TableParagraph"/>
              <w:spacing w:before="87"/>
              <w:ind w:left="113"/>
              <w:rPr>
                <w:rFonts w:ascii="Arial" w:eastAsia="Arial" w:hAnsi="Arial" w:cs="Arial"/>
                <w:lang w:val="en-AU"/>
              </w:rPr>
            </w:pPr>
            <w:r w:rsidRPr="00CF7CB1">
              <w:rPr>
                <w:rFonts w:ascii="Arial" w:hAnsi="Arial" w:cs="Arial"/>
                <w:b/>
                <w:w w:val="95"/>
                <w:lang w:val="en-AU"/>
              </w:rPr>
              <w:t>International</w:t>
            </w:r>
            <w:r w:rsidRPr="00CF7CB1">
              <w:rPr>
                <w:rFonts w:ascii="Arial" w:hAnsi="Arial" w:cs="Arial"/>
                <w:b/>
                <w:spacing w:val="8"/>
                <w:w w:val="95"/>
                <w:lang w:val="en-AU"/>
              </w:rPr>
              <w:t xml:space="preserve"> </w:t>
            </w:r>
            <w:r w:rsidRPr="00CF7CB1">
              <w:rPr>
                <w:rFonts w:ascii="Arial" w:hAnsi="Arial" w:cs="Arial"/>
                <w:b/>
                <w:w w:val="95"/>
                <w:lang w:val="en-AU"/>
              </w:rPr>
              <w:t>Measures</w:t>
            </w:r>
          </w:p>
        </w:tc>
        <w:tc>
          <w:tcPr>
            <w:tcW w:w="0" w:type="auto"/>
          </w:tcPr>
          <w:p w14:paraId="13AFF9EC" w14:textId="77777777" w:rsidR="009A61C9" w:rsidRPr="00CF7CB1" w:rsidRDefault="009A61C9" w:rsidP="009A61C9">
            <w:pPr>
              <w:pStyle w:val="TableParagraph"/>
              <w:spacing w:before="91" w:line="283" w:lineRule="auto"/>
              <w:ind w:left="113" w:right="209"/>
              <w:rPr>
                <w:rFonts w:ascii="Arial" w:eastAsia="Franklin Gothic Book" w:hAnsi="Arial" w:cs="Arial"/>
                <w:lang w:val="en-AU"/>
              </w:rPr>
            </w:pPr>
            <w:r w:rsidRPr="00CF7CB1">
              <w:rPr>
                <w:rFonts w:ascii="Arial" w:hAnsi="Arial" w:cs="Arial"/>
                <w:lang w:val="en-AU"/>
              </w:rPr>
              <w:t>There are a number of international measures for trade effectiveness and multilateral monitoring programs that programs should draw on for the sake of efficiency, harmonisation and international</w:t>
            </w:r>
            <w:r w:rsidRPr="00CF7CB1">
              <w:rPr>
                <w:rFonts w:ascii="Arial" w:hAnsi="Arial" w:cs="Arial"/>
                <w:spacing w:val="-18"/>
                <w:lang w:val="en-AU"/>
              </w:rPr>
              <w:t xml:space="preserve"> </w:t>
            </w:r>
            <w:r w:rsidRPr="00CF7CB1">
              <w:rPr>
                <w:rFonts w:ascii="Arial" w:hAnsi="Arial" w:cs="Arial"/>
                <w:lang w:val="en-AU"/>
              </w:rPr>
              <w:t>benchmarking.</w:t>
            </w:r>
          </w:p>
        </w:tc>
      </w:tr>
      <w:tr w:rsidR="009A61C9" w:rsidRPr="00CF7CB1" w14:paraId="2E856A53" w14:textId="77777777" w:rsidTr="009A61C9">
        <w:tc>
          <w:tcPr>
            <w:tcW w:w="0" w:type="auto"/>
          </w:tcPr>
          <w:p w14:paraId="48972EAE" w14:textId="77777777" w:rsidR="009A61C9" w:rsidRPr="00CF7CB1" w:rsidRDefault="009A61C9" w:rsidP="009A61C9">
            <w:pPr>
              <w:pStyle w:val="TableParagraph"/>
              <w:spacing w:before="87"/>
              <w:ind w:left="113"/>
              <w:rPr>
                <w:rFonts w:ascii="Arial" w:eastAsia="Arial" w:hAnsi="Arial" w:cs="Arial"/>
                <w:lang w:val="en-AU"/>
              </w:rPr>
            </w:pPr>
            <w:r w:rsidRPr="00CF7CB1">
              <w:rPr>
                <w:rFonts w:ascii="Arial" w:hAnsi="Arial" w:cs="Arial"/>
                <w:b/>
                <w:w w:val="95"/>
                <w:lang w:val="en-AU"/>
              </w:rPr>
              <w:t>Contextual</w:t>
            </w:r>
            <w:r w:rsidRPr="00CF7CB1">
              <w:rPr>
                <w:rFonts w:ascii="Arial" w:hAnsi="Arial" w:cs="Arial"/>
                <w:b/>
                <w:spacing w:val="-1"/>
                <w:w w:val="95"/>
                <w:lang w:val="en-AU"/>
              </w:rPr>
              <w:t xml:space="preserve"> </w:t>
            </w:r>
            <w:r w:rsidRPr="00CF7CB1">
              <w:rPr>
                <w:rFonts w:ascii="Arial" w:hAnsi="Arial" w:cs="Arial"/>
                <w:b/>
                <w:w w:val="95"/>
                <w:lang w:val="en-AU"/>
              </w:rPr>
              <w:t>Factors</w:t>
            </w:r>
          </w:p>
        </w:tc>
        <w:tc>
          <w:tcPr>
            <w:tcW w:w="0" w:type="auto"/>
          </w:tcPr>
          <w:p w14:paraId="6AE6ACF0" w14:textId="77777777" w:rsidR="009A61C9" w:rsidRPr="00CF7CB1" w:rsidRDefault="009A61C9" w:rsidP="009A61C9">
            <w:pPr>
              <w:pStyle w:val="TableParagraph"/>
              <w:spacing w:before="90" w:line="283" w:lineRule="auto"/>
              <w:ind w:left="113" w:right="444"/>
              <w:jc w:val="both"/>
              <w:rPr>
                <w:rFonts w:ascii="Arial" w:eastAsia="Franklin Gothic Book" w:hAnsi="Arial" w:cs="Arial"/>
                <w:lang w:val="en-AU"/>
              </w:rPr>
            </w:pPr>
            <w:r w:rsidRPr="00CF7CB1">
              <w:rPr>
                <w:rFonts w:ascii="Arial" w:hAnsi="Arial" w:cs="Arial"/>
                <w:w w:val="105"/>
                <w:lang w:val="en-AU"/>
              </w:rPr>
              <w:t>Many</w:t>
            </w:r>
            <w:r w:rsidRPr="00CF7CB1">
              <w:rPr>
                <w:rFonts w:ascii="Arial" w:hAnsi="Arial" w:cs="Arial"/>
                <w:spacing w:val="-5"/>
                <w:w w:val="105"/>
                <w:lang w:val="en-AU"/>
              </w:rPr>
              <w:t xml:space="preserve"> </w:t>
            </w:r>
            <w:r w:rsidRPr="00CF7CB1">
              <w:rPr>
                <w:rFonts w:ascii="Arial" w:hAnsi="Arial" w:cs="Arial"/>
                <w:w w:val="105"/>
                <w:lang w:val="en-AU"/>
              </w:rPr>
              <w:t>contextual</w:t>
            </w:r>
            <w:r w:rsidRPr="00CF7CB1">
              <w:rPr>
                <w:rFonts w:ascii="Arial" w:hAnsi="Arial" w:cs="Arial"/>
                <w:spacing w:val="-5"/>
                <w:w w:val="105"/>
                <w:lang w:val="en-AU"/>
              </w:rPr>
              <w:t xml:space="preserve"> </w:t>
            </w:r>
            <w:r w:rsidRPr="00CF7CB1">
              <w:rPr>
                <w:rFonts w:ascii="Arial" w:hAnsi="Arial" w:cs="Arial"/>
                <w:w w:val="105"/>
                <w:lang w:val="en-AU"/>
              </w:rPr>
              <w:t>factors</w:t>
            </w:r>
            <w:r w:rsidRPr="00CF7CB1">
              <w:rPr>
                <w:rFonts w:ascii="Arial" w:hAnsi="Arial" w:cs="Arial"/>
                <w:spacing w:val="-5"/>
                <w:w w:val="105"/>
                <w:lang w:val="en-AU"/>
              </w:rPr>
              <w:t xml:space="preserve"> </w:t>
            </w:r>
            <w:r w:rsidRPr="00CF7CB1">
              <w:rPr>
                <w:rFonts w:ascii="Arial" w:hAnsi="Arial" w:cs="Arial"/>
                <w:w w:val="105"/>
                <w:lang w:val="en-AU"/>
              </w:rPr>
              <w:t>influence</w:t>
            </w:r>
            <w:r w:rsidRPr="00CF7CB1">
              <w:rPr>
                <w:rFonts w:ascii="Arial" w:hAnsi="Arial" w:cs="Arial"/>
                <w:spacing w:val="-5"/>
                <w:w w:val="105"/>
                <w:lang w:val="en-AU"/>
              </w:rPr>
              <w:t xml:space="preserve"> </w:t>
            </w:r>
            <w:r w:rsidRPr="00CF7CB1">
              <w:rPr>
                <w:rFonts w:ascii="Arial" w:hAnsi="Arial" w:cs="Arial"/>
                <w:w w:val="105"/>
                <w:lang w:val="en-AU"/>
              </w:rPr>
              <w:t>the</w:t>
            </w:r>
            <w:r w:rsidRPr="00CF7CB1">
              <w:rPr>
                <w:rFonts w:ascii="Arial" w:hAnsi="Arial" w:cs="Arial"/>
                <w:spacing w:val="-5"/>
                <w:w w:val="105"/>
                <w:lang w:val="en-AU"/>
              </w:rPr>
              <w:t xml:space="preserve"> </w:t>
            </w:r>
            <w:r w:rsidRPr="00CF7CB1">
              <w:rPr>
                <w:rFonts w:ascii="Arial" w:hAnsi="Arial" w:cs="Arial"/>
                <w:w w:val="105"/>
                <w:lang w:val="en-AU"/>
              </w:rPr>
              <w:t>effectiveness</w:t>
            </w:r>
            <w:r w:rsidRPr="00CF7CB1">
              <w:rPr>
                <w:rFonts w:ascii="Arial" w:hAnsi="Arial" w:cs="Arial"/>
                <w:spacing w:val="-5"/>
                <w:w w:val="105"/>
                <w:lang w:val="en-AU"/>
              </w:rPr>
              <w:t xml:space="preserve"> </w:t>
            </w:r>
            <w:r w:rsidRPr="00CF7CB1">
              <w:rPr>
                <w:rFonts w:ascii="Arial" w:hAnsi="Arial" w:cs="Arial"/>
                <w:w w:val="105"/>
                <w:lang w:val="en-AU"/>
              </w:rPr>
              <w:t>of</w:t>
            </w:r>
            <w:r w:rsidRPr="00CF7CB1">
              <w:rPr>
                <w:rFonts w:ascii="Arial" w:hAnsi="Arial" w:cs="Arial"/>
                <w:spacing w:val="-5"/>
                <w:w w:val="105"/>
                <w:lang w:val="en-AU"/>
              </w:rPr>
              <w:t xml:space="preserve"> </w:t>
            </w:r>
            <w:r w:rsidRPr="00CF7CB1">
              <w:rPr>
                <w:rFonts w:ascii="Arial" w:hAnsi="Arial" w:cs="Arial"/>
                <w:w w:val="105"/>
                <w:lang w:val="en-AU"/>
              </w:rPr>
              <w:t>AfT</w:t>
            </w:r>
            <w:r w:rsidRPr="00CF7CB1">
              <w:rPr>
                <w:rFonts w:ascii="Arial" w:hAnsi="Arial" w:cs="Arial"/>
                <w:spacing w:val="-5"/>
                <w:w w:val="105"/>
                <w:lang w:val="en-AU"/>
              </w:rPr>
              <w:t xml:space="preserve"> </w:t>
            </w:r>
            <w:r w:rsidRPr="00CF7CB1">
              <w:rPr>
                <w:rFonts w:ascii="Arial" w:hAnsi="Arial" w:cs="Arial"/>
                <w:w w:val="105"/>
                <w:lang w:val="en-AU"/>
              </w:rPr>
              <w:t>programs.</w:t>
            </w:r>
            <w:r w:rsidRPr="00CF7CB1">
              <w:rPr>
                <w:rFonts w:ascii="Arial" w:hAnsi="Arial" w:cs="Arial"/>
                <w:spacing w:val="-5"/>
                <w:w w:val="105"/>
                <w:lang w:val="en-AU"/>
              </w:rPr>
              <w:t xml:space="preserve"> </w:t>
            </w:r>
            <w:r w:rsidRPr="00CF7CB1">
              <w:rPr>
                <w:rFonts w:ascii="Arial" w:hAnsi="Arial" w:cs="Arial"/>
                <w:w w:val="105"/>
                <w:lang w:val="en-AU"/>
              </w:rPr>
              <w:t>These need</w:t>
            </w:r>
            <w:r w:rsidRPr="00CF7CB1">
              <w:rPr>
                <w:rFonts w:ascii="Arial" w:hAnsi="Arial" w:cs="Arial"/>
                <w:spacing w:val="-7"/>
                <w:w w:val="105"/>
                <w:lang w:val="en-AU"/>
              </w:rPr>
              <w:t xml:space="preserve"> </w:t>
            </w:r>
            <w:r w:rsidRPr="00CF7CB1">
              <w:rPr>
                <w:rFonts w:ascii="Arial" w:hAnsi="Arial" w:cs="Arial"/>
                <w:w w:val="105"/>
                <w:lang w:val="en-AU"/>
              </w:rPr>
              <w:t>to</w:t>
            </w:r>
            <w:r w:rsidRPr="00CF7CB1">
              <w:rPr>
                <w:rFonts w:ascii="Arial" w:hAnsi="Arial" w:cs="Arial"/>
                <w:spacing w:val="-7"/>
                <w:w w:val="105"/>
                <w:lang w:val="en-AU"/>
              </w:rPr>
              <w:t xml:space="preserve"> </w:t>
            </w:r>
            <w:r w:rsidRPr="00CF7CB1">
              <w:rPr>
                <w:rFonts w:ascii="Arial" w:hAnsi="Arial" w:cs="Arial"/>
                <w:w w:val="105"/>
                <w:lang w:val="en-AU"/>
              </w:rPr>
              <w:t>be</w:t>
            </w:r>
            <w:r w:rsidRPr="00CF7CB1">
              <w:rPr>
                <w:rFonts w:ascii="Arial" w:hAnsi="Arial" w:cs="Arial"/>
                <w:spacing w:val="-7"/>
                <w:w w:val="105"/>
                <w:lang w:val="en-AU"/>
              </w:rPr>
              <w:t xml:space="preserve"> </w:t>
            </w:r>
            <w:r w:rsidRPr="00CF7CB1">
              <w:rPr>
                <w:rFonts w:ascii="Arial" w:hAnsi="Arial" w:cs="Arial"/>
                <w:w w:val="105"/>
                <w:lang w:val="en-AU"/>
              </w:rPr>
              <w:t>clearly</w:t>
            </w:r>
            <w:r w:rsidRPr="00CF7CB1">
              <w:rPr>
                <w:rFonts w:ascii="Arial" w:hAnsi="Arial" w:cs="Arial"/>
                <w:spacing w:val="-7"/>
                <w:w w:val="105"/>
                <w:lang w:val="en-AU"/>
              </w:rPr>
              <w:t xml:space="preserve"> </w:t>
            </w:r>
            <w:r w:rsidRPr="00CF7CB1">
              <w:rPr>
                <w:rFonts w:ascii="Arial" w:hAnsi="Arial" w:cs="Arial"/>
                <w:w w:val="105"/>
                <w:lang w:val="en-AU"/>
              </w:rPr>
              <w:t>understood</w:t>
            </w:r>
            <w:r w:rsidRPr="00CF7CB1">
              <w:rPr>
                <w:rFonts w:ascii="Arial" w:hAnsi="Arial" w:cs="Arial"/>
                <w:spacing w:val="-7"/>
                <w:w w:val="105"/>
                <w:lang w:val="en-AU"/>
              </w:rPr>
              <w:t xml:space="preserve"> </w:t>
            </w:r>
            <w:r w:rsidRPr="00CF7CB1">
              <w:rPr>
                <w:rFonts w:ascii="Arial" w:hAnsi="Arial" w:cs="Arial"/>
                <w:w w:val="105"/>
                <w:lang w:val="en-AU"/>
              </w:rPr>
              <w:t>and</w:t>
            </w:r>
            <w:r w:rsidRPr="00CF7CB1">
              <w:rPr>
                <w:rFonts w:ascii="Arial" w:hAnsi="Arial" w:cs="Arial"/>
                <w:spacing w:val="-7"/>
                <w:w w:val="105"/>
                <w:lang w:val="en-AU"/>
              </w:rPr>
              <w:t xml:space="preserve"> </w:t>
            </w:r>
            <w:r w:rsidRPr="00CF7CB1">
              <w:rPr>
                <w:rFonts w:ascii="Arial" w:hAnsi="Arial" w:cs="Arial"/>
                <w:w w:val="105"/>
                <w:lang w:val="en-AU"/>
              </w:rPr>
              <w:t>identified</w:t>
            </w:r>
            <w:r w:rsidRPr="00CF7CB1">
              <w:rPr>
                <w:rFonts w:ascii="Arial" w:hAnsi="Arial" w:cs="Arial"/>
                <w:spacing w:val="-7"/>
                <w:w w:val="105"/>
                <w:lang w:val="en-AU"/>
              </w:rPr>
              <w:t xml:space="preserve"> </w:t>
            </w:r>
            <w:r w:rsidRPr="00CF7CB1">
              <w:rPr>
                <w:rFonts w:ascii="Arial" w:hAnsi="Arial" w:cs="Arial"/>
                <w:w w:val="105"/>
                <w:lang w:val="en-AU"/>
              </w:rPr>
              <w:t>during</w:t>
            </w:r>
            <w:r w:rsidRPr="00CF7CB1">
              <w:rPr>
                <w:rFonts w:ascii="Arial" w:hAnsi="Arial" w:cs="Arial"/>
                <w:spacing w:val="-7"/>
                <w:w w:val="105"/>
                <w:lang w:val="en-AU"/>
              </w:rPr>
              <w:t xml:space="preserve"> </w:t>
            </w:r>
            <w:r w:rsidRPr="00CF7CB1">
              <w:rPr>
                <w:rFonts w:ascii="Arial" w:hAnsi="Arial" w:cs="Arial"/>
                <w:w w:val="105"/>
                <w:lang w:val="en-AU"/>
              </w:rPr>
              <w:t>program</w:t>
            </w:r>
            <w:r w:rsidRPr="00CF7CB1">
              <w:rPr>
                <w:rFonts w:ascii="Arial" w:hAnsi="Arial" w:cs="Arial"/>
                <w:spacing w:val="-7"/>
                <w:w w:val="105"/>
                <w:lang w:val="en-AU"/>
              </w:rPr>
              <w:t xml:space="preserve"> </w:t>
            </w:r>
            <w:r w:rsidRPr="00CF7CB1">
              <w:rPr>
                <w:rFonts w:ascii="Arial" w:hAnsi="Arial" w:cs="Arial"/>
                <w:w w:val="105"/>
                <w:lang w:val="en-AU"/>
              </w:rPr>
              <w:t>design</w:t>
            </w:r>
            <w:r w:rsidRPr="00CF7CB1">
              <w:rPr>
                <w:rFonts w:ascii="Arial" w:hAnsi="Arial" w:cs="Arial"/>
                <w:spacing w:val="-7"/>
                <w:w w:val="105"/>
                <w:lang w:val="en-AU"/>
              </w:rPr>
              <w:t xml:space="preserve"> </w:t>
            </w:r>
            <w:r w:rsidRPr="00CF7CB1">
              <w:rPr>
                <w:rFonts w:ascii="Arial" w:hAnsi="Arial" w:cs="Arial"/>
                <w:w w:val="105"/>
                <w:lang w:val="en-AU"/>
              </w:rPr>
              <w:t>so</w:t>
            </w:r>
            <w:r w:rsidRPr="00CF7CB1">
              <w:rPr>
                <w:rFonts w:ascii="Arial" w:hAnsi="Arial" w:cs="Arial"/>
                <w:spacing w:val="-7"/>
                <w:w w:val="105"/>
                <w:lang w:val="en-AU"/>
              </w:rPr>
              <w:t xml:space="preserve"> </w:t>
            </w:r>
            <w:r w:rsidRPr="00CF7CB1">
              <w:rPr>
                <w:rFonts w:ascii="Arial" w:hAnsi="Arial" w:cs="Arial"/>
                <w:w w:val="105"/>
                <w:lang w:val="en-AU"/>
              </w:rPr>
              <w:t>their influence</w:t>
            </w:r>
            <w:r w:rsidRPr="00CF7CB1">
              <w:rPr>
                <w:rFonts w:ascii="Arial" w:hAnsi="Arial" w:cs="Arial"/>
                <w:spacing w:val="-10"/>
                <w:w w:val="105"/>
                <w:lang w:val="en-AU"/>
              </w:rPr>
              <w:t xml:space="preserve"> </w:t>
            </w:r>
            <w:r w:rsidRPr="00CF7CB1">
              <w:rPr>
                <w:rFonts w:ascii="Arial" w:hAnsi="Arial" w:cs="Arial"/>
                <w:w w:val="105"/>
                <w:lang w:val="en-AU"/>
              </w:rPr>
              <w:t>can</w:t>
            </w:r>
            <w:r w:rsidRPr="00CF7CB1">
              <w:rPr>
                <w:rFonts w:ascii="Arial" w:hAnsi="Arial" w:cs="Arial"/>
                <w:spacing w:val="-10"/>
                <w:w w:val="105"/>
                <w:lang w:val="en-AU"/>
              </w:rPr>
              <w:t xml:space="preserve"> </w:t>
            </w:r>
            <w:r w:rsidRPr="00CF7CB1">
              <w:rPr>
                <w:rFonts w:ascii="Arial" w:hAnsi="Arial" w:cs="Arial"/>
                <w:w w:val="105"/>
                <w:lang w:val="en-AU"/>
              </w:rPr>
              <w:t>be</w:t>
            </w:r>
            <w:r w:rsidRPr="00CF7CB1">
              <w:rPr>
                <w:rFonts w:ascii="Arial" w:hAnsi="Arial" w:cs="Arial"/>
                <w:spacing w:val="-10"/>
                <w:w w:val="105"/>
                <w:lang w:val="en-AU"/>
              </w:rPr>
              <w:t xml:space="preserve"> </w:t>
            </w:r>
            <w:r w:rsidRPr="00CF7CB1">
              <w:rPr>
                <w:rFonts w:ascii="Arial" w:hAnsi="Arial" w:cs="Arial"/>
                <w:w w:val="105"/>
                <w:lang w:val="en-AU"/>
              </w:rPr>
              <w:t>assessed</w:t>
            </w:r>
            <w:r w:rsidRPr="00CF7CB1">
              <w:rPr>
                <w:rFonts w:ascii="Arial" w:hAnsi="Arial" w:cs="Arial"/>
                <w:spacing w:val="-10"/>
                <w:w w:val="105"/>
                <w:lang w:val="en-AU"/>
              </w:rPr>
              <w:t xml:space="preserve"> </w:t>
            </w:r>
            <w:r w:rsidRPr="00CF7CB1">
              <w:rPr>
                <w:rFonts w:ascii="Arial" w:hAnsi="Arial" w:cs="Arial"/>
                <w:w w:val="105"/>
                <w:lang w:val="en-AU"/>
              </w:rPr>
              <w:t>during</w:t>
            </w:r>
            <w:r w:rsidRPr="00CF7CB1">
              <w:rPr>
                <w:rFonts w:ascii="Arial" w:hAnsi="Arial" w:cs="Arial"/>
                <w:spacing w:val="-10"/>
                <w:w w:val="105"/>
                <w:lang w:val="en-AU"/>
              </w:rPr>
              <w:t xml:space="preserve"> </w:t>
            </w:r>
            <w:r w:rsidRPr="00CF7CB1">
              <w:rPr>
                <w:rFonts w:ascii="Arial" w:hAnsi="Arial" w:cs="Arial"/>
                <w:w w:val="105"/>
                <w:lang w:val="en-AU"/>
              </w:rPr>
              <w:t>implementation.</w:t>
            </w:r>
          </w:p>
        </w:tc>
      </w:tr>
      <w:tr w:rsidR="009A61C9" w:rsidRPr="00CF7CB1" w14:paraId="19D587CD" w14:textId="77777777" w:rsidTr="009A61C9">
        <w:tc>
          <w:tcPr>
            <w:tcW w:w="0" w:type="auto"/>
          </w:tcPr>
          <w:p w14:paraId="4F4CC4CC" w14:textId="77777777" w:rsidR="009A61C9" w:rsidRPr="00CF7CB1" w:rsidRDefault="009A61C9" w:rsidP="009A61C9">
            <w:pPr>
              <w:pStyle w:val="TableParagraph"/>
              <w:spacing w:before="86"/>
              <w:ind w:left="113"/>
              <w:rPr>
                <w:rFonts w:ascii="Arial" w:eastAsia="Arial" w:hAnsi="Arial" w:cs="Arial"/>
                <w:lang w:val="en-AU"/>
              </w:rPr>
            </w:pPr>
            <w:r w:rsidRPr="00CF7CB1">
              <w:rPr>
                <w:rFonts w:ascii="Arial" w:hAnsi="Arial" w:cs="Arial"/>
                <w:b/>
                <w:w w:val="95"/>
                <w:lang w:val="en-AU"/>
              </w:rPr>
              <w:t>Stakeholder</w:t>
            </w:r>
            <w:r w:rsidRPr="00CF7CB1">
              <w:rPr>
                <w:rFonts w:ascii="Arial" w:hAnsi="Arial" w:cs="Arial"/>
                <w:b/>
                <w:spacing w:val="-23"/>
                <w:w w:val="95"/>
                <w:lang w:val="en-AU"/>
              </w:rPr>
              <w:t xml:space="preserve"> </w:t>
            </w:r>
            <w:r w:rsidRPr="00CF7CB1">
              <w:rPr>
                <w:rFonts w:ascii="Arial" w:hAnsi="Arial" w:cs="Arial"/>
                <w:b/>
                <w:w w:val="95"/>
                <w:lang w:val="en-AU"/>
              </w:rPr>
              <w:t>Engagement</w:t>
            </w:r>
          </w:p>
        </w:tc>
        <w:tc>
          <w:tcPr>
            <w:tcW w:w="0" w:type="auto"/>
          </w:tcPr>
          <w:p w14:paraId="4F26AD5C" w14:textId="77777777" w:rsidR="009A61C9" w:rsidRPr="00CF7CB1" w:rsidRDefault="009A61C9" w:rsidP="009A61C9">
            <w:pPr>
              <w:pStyle w:val="TableParagraph"/>
              <w:spacing w:before="90" w:line="283" w:lineRule="auto"/>
              <w:ind w:left="113" w:right="711"/>
              <w:rPr>
                <w:rFonts w:ascii="Arial" w:eastAsia="Franklin Gothic Book" w:hAnsi="Arial" w:cs="Arial"/>
                <w:lang w:val="en-AU"/>
              </w:rPr>
            </w:pPr>
            <w:r w:rsidRPr="00CF7CB1">
              <w:rPr>
                <w:rFonts w:ascii="Arial" w:hAnsi="Arial" w:cs="Arial"/>
                <w:lang w:val="en-AU"/>
              </w:rPr>
              <w:t xml:space="preserve">Engagement from relevant stakeholders is critical in the design </w:t>
            </w:r>
            <w:r w:rsidRPr="00CF7CB1">
              <w:rPr>
                <w:rFonts w:ascii="Arial" w:hAnsi="Arial" w:cs="Arial"/>
                <w:spacing w:val="-2"/>
                <w:lang w:val="en-AU"/>
              </w:rPr>
              <w:t xml:space="preserve">and </w:t>
            </w:r>
            <w:r w:rsidRPr="00CF7CB1">
              <w:rPr>
                <w:rFonts w:ascii="Arial" w:hAnsi="Arial" w:cs="Arial"/>
                <w:lang w:val="en-AU"/>
              </w:rPr>
              <w:t>implementation of M&amp;E systems and in the analysis of results generated. Partner governments and the private sector are important stakeholders in trade facilitation initiatives and their involvement ensures validity of M&amp;E systems.</w:t>
            </w:r>
          </w:p>
        </w:tc>
      </w:tr>
      <w:tr w:rsidR="009A61C9" w:rsidRPr="00CF7CB1" w14:paraId="2B8E4023" w14:textId="77777777" w:rsidTr="009A61C9">
        <w:tc>
          <w:tcPr>
            <w:tcW w:w="0" w:type="auto"/>
          </w:tcPr>
          <w:p w14:paraId="2FC79419" w14:textId="77777777" w:rsidR="009A61C9" w:rsidRPr="00CF7CB1" w:rsidRDefault="009A61C9" w:rsidP="009A61C9">
            <w:pPr>
              <w:pStyle w:val="TableParagraph"/>
              <w:spacing w:before="86"/>
              <w:ind w:left="113"/>
              <w:rPr>
                <w:rFonts w:ascii="Arial" w:eastAsia="Arial" w:hAnsi="Arial" w:cs="Arial"/>
                <w:lang w:val="en-AU"/>
              </w:rPr>
            </w:pPr>
            <w:r w:rsidRPr="00CF7CB1">
              <w:rPr>
                <w:rFonts w:ascii="Arial" w:hAnsi="Arial" w:cs="Arial"/>
                <w:b/>
                <w:w w:val="90"/>
                <w:lang w:val="en-AU"/>
              </w:rPr>
              <w:t>Program Improvement</w:t>
            </w:r>
          </w:p>
        </w:tc>
        <w:tc>
          <w:tcPr>
            <w:tcW w:w="0" w:type="auto"/>
          </w:tcPr>
          <w:p w14:paraId="168947A5" w14:textId="77777777" w:rsidR="009A61C9" w:rsidRPr="00CF7CB1" w:rsidRDefault="009A61C9" w:rsidP="009A61C9">
            <w:pPr>
              <w:pStyle w:val="TableParagraph"/>
              <w:spacing w:before="90" w:line="283" w:lineRule="auto"/>
              <w:ind w:left="113" w:right="248"/>
              <w:rPr>
                <w:rFonts w:ascii="Arial" w:eastAsia="Franklin Gothic Book" w:hAnsi="Arial" w:cs="Arial"/>
                <w:lang w:val="en-AU"/>
              </w:rPr>
            </w:pPr>
            <w:r w:rsidRPr="00CF7CB1">
              <w:rPr>
                <w:rFonts w:ascii="Arial" w:hAnsi="Arial" w:cs="Arial"/>
                <w:lang w:val="en-AU"/>
              </w:rPr>
              <w:t>Performance data and lessons learnt from program M&amp;E should be used to inform continuous program improvement and enable programs to develop and adapt</w:t>
            </w:r>
            <w:r w:rsidRPr="00CF7CB1">
              <w:rPr>
                <w:rFonts w:ascii="Arial" w:hAnsi="Arial" w:cs="Arial"/>
                <w:spacing w:val="44"/>
                <w:lang w:val="en-AU"/>
              </w:rPr>
              <w:t xml:space="preserve"> </w:t>
            </w:r>
            <w:r w:rsidRPr="00CF7CB1">
              <w:rPr>
                <w:rFonts w:ascii="Arial" w:hAnsi="Arial" w:cs="Arial"/>
                <w:lang w:val="en-AU"/>
              </w:rPr>
              <w:t>effectively.</w:t>
            </w:r>
          </w:p>
        </w:tc>
      </w:tr>
      <w:tr w:rsidR="009A61C9" w:rsidRPr="00CF7CB1" w14:paraId="23ED3294" w14:textId="77777777" w:rsidTr="009A61C9">
        <w:tc>
          <w:tcPr>
            <w:tcW w:w="0" w:type="auto"/>
          </w:tcPr>
          <w:p w14:paraId="0B3F453A" w14:textId="77777777" w:rsidR="009A61C9" w:rsidRPr="00CF7CB1" w:rsidRDefault="009A61C9" w:rsidP="009A61C9">
            <w:pPr>
              <w:pStyle w:val="TableParagraph"/>
              <w:spacing w:before="86"/>
              <w:ind w:left="113"/>
              <w:rPr>
                <w:rFonts w:ascii="Arial" w:eastAsia="Arial" w:hAnsi="Arial" w:cs="Arial"/>
                <w:lang w:val="en-AU"/>
              </w:rPr>
            </w:pPr>
            <w:r w:rsidRPr="00CF7CB1">
              <w:rPr>
                <w:rFonts w:ascii="Arial" w:hAnsi="Arial" w:cs="Arial"/>
                <w:b/>
                <w:w w:val="90"/>
                <w:lang w:val="en-AU"/>
              </w:rPr>
              <w:t>Public</w:t>
            </w:r>
            <w:r w:rsidRPr="00CF7CB1">
              <w:rPr>
                <w:rFonts w:ascii="Arial" w:hAnsi="Arial" w:cs="Arial"/>
                <w:b/>
                <w:spacing w:val="37"/>
                <w:w w:val="90"/>
                <w:lang w:val="en-AU"/>
              </w:rPr>
              <w:t xml:space="preserve"> </w:t>
            </w:r>
            <w:r w:rsidRPr="00CF7CB1">
              <w:rPr>
                <w:rFonts w:ascii="Arial" w:hAnsi="Arial" w:cs="Arial"/>
                <w:b/>
                <w:w w:val="90"/>
                <w:lang w:val="en-AU"/>
              </w:rPr>
              <w:t>Knowledge</w:t>
            </w:r>
          </w:p>
        </w:tc>
        <w:tc>
          <w:tcPr>
            <w:tcW w:w="0" w:type="auto"/>
          </w:tcPr>
          <w:p w14:paraId="154F72A0" w14:textId="77777777" w:rsidR="009A61C9" w:rsidRPr="00CF7CB1" w:rsidRDefault="009A61C9" w:rsidP="009A61C9">
            <w:pPr>
              <w:pStyle w:val="TableParagraph"/>
              <w:spacing w:before="90" w:line="283" w:lineRule="auto"/>
              <w:ind w:left="113" w:right="180"/>
              <w:rPr>
                <w:rFonts w:ascii="Arial" w:eastAsia="Franklin Gothic Book" w:hAnsi="Arial" w:cs="Arial"/>
                <w:lang w:val="en-AU"/>
              </w:rPr>
            </w:pPr>
            <w:r w:rsidRPr="00CF7CB1">
              <w:rPr>
                <w:rFonts w:ascii="Arial" w:hAnsi="Arial" w:cs="Arial"/>
                <w:lang w:val="en-AU"/>
              </w:rPr>
              <w:t>Findings and lessons learnt from individual programs should be communicated and disseminated to a wide range of stakeholders to contribute to improving practice in the sector as a whole.</w:t>
            </w:r>
          </w:p>
        </w:tc>
      </w:tr>
    </w:tbl>
    <w:p w14:paraId="5DBA120F" w14:textId="77777777" w:rsidR="003B5312" w:rsidRPr="00CF7CB1" w:rsidRDefault="003B5312" w:rsidP="009C542F">
      <w:pPr>
        <w:pStyle w:val="Heading2"/>
        <w:rPr>
          <w:lang w:val="en-AU"/>
        </w:rPr>
      </w:pPr>
      <w:r w:rsidRPr="00CF7CB1">
        <w:rPr>
          <w:lang w:val="en-AU"/>
        </w:rPr>
        <w:t>How Australia compares</w:t>
      </w:r>
    </w:p>
    <w:p w14:paraId="4653AF6D" w14:textId="77777777" w:rsidR="003B5312" w:rsidRPr="00CF7CB1" w:rsidRDefault="003B5312" w:rsidP="00337BCF">
      <w:pPr>
        <w:spacing w:after="120"/>
        <w:rPr>
          <w:lang w:val="en-AU"/>
        </w:rPr>
      </w:pPr>
      <w:r w:rsidRPr="00CF7CB1">
        <w:rPr>
          <w:b/>
          <w:lang w:val="en-AU"/>
        </w:rPr>
        <w:t>Government ownership:</w:t>
      </w:r>
      <w:r w:rsidRPr="00CF7CB1">
        <w:rPr>
          <w:lang w:val="en-AU"/>
        </w:rPr>
        <w:t xml:space="preserve"> Significant government ownership exists for the </w:t>
      </w:r>
      <w:r w:rsidR="009C542F" w:rsidRPr="00CF7CB1">
        <w:rPr>
          <w:lang w:val="en-AU"/>
        </w:rPr>
        <w:t>investments examined</w:t>
      </w:r>
      <w:r w:rsidRPr="00CF7CB1">
        <w:rPr>
          <w:lang w:val="en-AU"/>
        </w:rPr>
        <w:t>.</w:t>
      </w:r>
    </w:p>
    <w:p w14:paraId="137DCA9B" w14:textId="77777777" w:rsidR="003B5312" w:rsidRPr="00CF7CB1" w:rsidRDefault="003B5312" w:rsidP="00BC5572">
      <w:pPr>
        <w:pStyle w:val="ListParagraph"/>
        <w:numPr>
          <w:ilvl w:val="0"/>
          <w:numId w:val="27"/>
        </w:numPr>
        <w:spacing w:after="120"/>
        <w:rPr>
          <w:lang w:val="en-AU"/>
        </w:rPr>
      </w:pPr>
      <w:r w:rsidRPr="00CF7CB1">
        <w:rPr>
          <w:lang w:val="en-AU"/>
        </w:rPr>
        <w:t>Investments having substantial political buy in by counterpart governments. Examples include PIC governments need to maximise the benefits from the PACER Plus FTA</w:t>
      </w:r>
      <w:r w:rsidR="00D62262" w:rsidRPr="00CF7CB1">
        <w:rPr>
          <w:lang w:val="en-AU"/>
        </w:rPr>
        <w:t xml:space="preserve"> </w:t>
      </w:r>
      <w:r w:rsidRPr="00CF7CB1">
        <w:rPr>
          <w:lang w:val="en-AU"/>
        </w:rPr>
        <w:t>negotiations and ASEAN Member States being part of the AECSP decision-making process.</w:t>
      </w:r>
      <w:r w:rsidR="00D62262" w:rsidRPr="00CF7CB1">
        <w:rPr>
          <w:lang w:val="en-AU"/>
        </w:rPr>
        <w:t xml:space="preserve"> </w:t>
      </w:r>
      <w:r w:rsidRPr="00CF7CB1">
        <w:rPr>
          <w:lang w:val="en-AU"/>
        </w:rPr>
        <w:t>In Laos under TDF-2, some government urgency has dissipated with accession to the WTO   and has allowed existing intra-government difficulties to exert themselves.</w:t>
      </w:r>
    </w:p>
    <w:p w14:paraId="5BD26643" w14:textId="77777777" w:rsidR="003B5312" w:rsidRPr="00CF7CB1" w:rsidRDefault="003B5312" w:rsidP="00BC5572">
      <w:pPr>
        <w:pStyle w:val="ListParagraph"/>
        <w:numPr>
          <w:ilvl w:val="0"/>
          <w:numId w:val="27"/>
        </w:numPr>
        <w:spacing w:after="120"/>
        <w:rPr>
          <w:lang w:val="en-AU"/>
        </w:rPr>
      </w:pPr>
      <w:r w:rsidRPr="00CF7CB1">
        <w:rPr>
          <w:lang w:val="en-AU"/>
        </w:rPr>
        <w:t xml:space="preserve">Several examples exist of implementation drawing on international experience with local knowledge. This includes OCTA hosting secondments, PHAMA using the MAWGs and TDF-2 </w:t>
      </w:r>
      <w:r w:rsidR="009C542F" w:rsidRPr="00CF7CB1">
        <w:rPr>
          <w:lang w:val="en-AU"/>
        </w:rPr>
        <w:t>working through government</w:t>
      </w:r>
      <w:r w:rsidRPr="00CF7CB1">
        <w:rPr>
          <w:lang w:val="en-AU"/>
        </w:rPr>
        <w:t xml:space="preserve"> systems.</w:t>
      </w:r>
    </w:p>
    <w:p w14:paraId="31A9FCE5" w14:textId="77777777" w:rsidR="003B5312" w:rsidRPr="00CF7CB1" w:rsidRDefault="003B5312" w:rsidP="00337BCF">
      <w:pPr>
        <w:spacing w:after="120"/>
        <w:rPr>
          <w:lang w:val="en-AU"/>
        </w:rPr>
      </w:pPr>
      <w:r w:rsidRPr="00CF7CB1">
        <w:rPr>
          <w:b/>
          <w:lang w:val="en-AU"/>
        </w:rPr>
        <w:t>Private sector involvement:</w:t>
      </w:r>
      <w:r w:rsidRPr="00CF7CB1">
        <w:rPr>
          <w:lang w:val="en-AU"/>
        </w:rPr>
        <w:t xml:space="preserve"> In the investments examined private sector involvement has been mixed.</w:t>
      </w:r>
    </w:p>
    <w:p w14:paraId="6157ADE3" w14:textId="77777777" w:rsidR="003B5312" w:rsidRPr="00CF7CB1" w:rsidRDefault="003B5312" w:rsidP="00BC5572">
      <w:pPr>
        <w:pStyle w:val="ListParagraph"/>
        <w:numPr>
          <w:ilvl w:val="0"/>
          <w:numId w:val="28"/>
        </w:numPr>
        <w:spacing w:after="120"/>
        <w:rPr>
          <w:lang w:val="en-AU"/>
        </w:rPr>
      </w:pPr>
      <w:r w:rsidRPr="00CF7CB1">
        <w:rPr>
          <w:lang w:val="en-AU"/>
        </w:rPr>
        <w:t>For PHAMA, private sector engagement is a key component of their implementation. It has brought government and private sector closer together in understanding each other’s perspective and the process has been a key part of the program’s success.</w:t>
      </w:r>
    </w:p>
    <w:p w14:paraId="7BB6CF5A" w14:textId="77777777" w:rsidR="003B5312" w:rsidRPr="00CF7CB1" w:rsidRDefault="003B5312" w:rsidP="00BC5572">
      <w:pPr>
        <w:pStyle w:val="ListParagraph"/>
        <w:numPr>
          <w:ilvl w:val="0"/>
          <w:numId w:val="28"/>
        </w:numPr>
        <w:spacing w:after="120"/>
        <w:rPr>
          <w:lang w:val="en-AU"/>
        </w:rPr>
      </w:pPr>
      <w:r w:rsidRPr="00CF7CB1">
        <w:rPr>
          <w:lang w:val="en-AU"/>
        </w:rPr>
        <w:t>TDF-2 has made efforts to engage with the private sector, however developing a public private dialogue has remained challenging.</w:t>
      </w:r>
    </w:p>
    <w:p w14:paraId="2F3DB37F" w14:textId="77777777" w:rsidR="003B5312" w:rsidRPr="00CF7CB1" w:rsidRDefault="003B5312" w:rsidP="00BC5572">
      <w:pPr>
        <w:pStyle w:val="ListParagraph"/>
        <w:numPr>
          <w:ilvl w:val="0"/>
          <w:numId w:val="28"/>
        </w:numPr>
        <w:spacing w:after="120"/>
        <w:rPr>
          <w:lang w:val="en-AU"/>
        </w:rPr>
      </w:pPr>
      <w:r w:rsidRPr="00CF7CB1">
        <w:rPr>
          <w:lang w:val="en-AU"/>
        </w:rPr>
        <w:t>AECSP has primarily focussed on its government to government relationships through the ASEAN Secretariat. Limited effort has been made to engage the private sector across the region.</w:t>
      </w:r>
    </w:p>
    <w:p w14:paraId="6D1BD617" w14:textId="77777777" w:rsidR="003B5312" w:rsidRPr="00CF7CB1" w:rsidRDefault="003B5312" w:rsidP="00BC5572">
      <w:pPr>
        <w:pStyle w:val="ListParagraph"/>
        <w:numPr>
          <w:ilvl w:val="0"/>
          <w:numId w:val="28"/>
        </w:numPr>
        <w:spacing w:after="120"/>
        <w:rPr>
          <w:lang w:val="en-AU"/>
        </w:rPr>
      </w:pPr>
      <w:r w:rsidRPr="00CF7CB1">
        <w:rPr>
          <w:lang w:val="en-AU"/>
        </w:rPr>
        <w:t>Under PACER Plus, PICs have made some effort to engage the private sector, however, there seems to be limited understanding of the potential benefits.</w:t>
      </w:r>
    </w:p>
    <w:p w14:paraId="5FF13115" w14:textId="77777777" w:rsidR="003B5312" w:rsidRPr="00CF7CB1" w:rsidRDefault="003B5312" w:rsidP="00BC5572">
      <w:pPr>
        <w:pStyle w:val="ListParagraph"/>
        <w:numPr>
          <w:ilvl w:val="0"/>
          <w:numId w:val="28"/>
        </w:numPr>
        <w:spacing w:after="120"/>
        <w:rPr>
          <w:lang w:val="en-AU"/>
        </w:rPr>
      </w:pPr>
      <w:r w:rsidRPr="00CF7CB1">
        <w:rPr>
          <w:lang w:val="en-AU"/>
        </w:rPr>
        <w:t>Private sector consultation has proven important for PHAMA. AECSP could benefit from greater private sector engagement as could PACER Plus.</w:t>
      </w:r>
    </w:p>
    <w:p w14:paraId="42F4CEDE" w14:textId="77777777" w:rsidR="003B5312" w:rsidRPr="00CF7CB1" w:rsidRDefault="003B5312" w:rsidP="00337BCF">
      <w:pPr>
        <w:spacing w:after="120"/>
        <w:rPr>
          <w:lang w:val="en-AU"/>
        </w:rPr>
      </w:pPr>
      <w:r w:rsidRPr="00CF7CB1">
        <w:rPr>
          <w:b/>
          <w:lang w:val="en-AU"/>
        </w:rPr>
        <w:t>Integrated Approach:</w:t>
      </w:r>
      <w:r w:rsidRPr="00CF7CB1">
        <w:rPr>
          <w:lang w:val="en-AU"/>
        </w:rPr>
        <w:t xml:space="preserve"> Australia’s aid investments have generally done better at assisting governments to mainstream trade into development strategies than with integr</w:t>
      </w:r>
      <w:r w:rsidR="009C542F" w:rsidRPr="00CF7CB1">
        <w:rPr>
          <w:lang w:val="en-AU"/>
        </w:rPr>
        <w:t>ating various forms</w:t>
      </w:r>
      <w:r w:rsidRPr="00CF7CB1">
        <w:rPr>
          <w:lang w:val="en-AU"/>
        </w:rPr>
        <w:t xml:space="preserve"> of AfT.</w:t>
      </w:r>
    </w:p>
    <w:p w14:paraId="44B0E521" w14:textId="77777777" w:rsidR="003B5312" w:rsidRPr="00CF7CB1" w:rsidRDefault="003B5312" w:rsidP="00BC5572">
      <w:pPr>
        <w:pStyle w:val="ListParagraph"/>
        <w:numPr>
          <w:ilvl w:val="0"/>
          <w:numId w:val="29"/>
        </w:numPr>
        <w:spacing w:after="120"/>
        <w:rPr>
          <w:lang w:val="en-AU"/>
        </w:rPr>
      </w:pPr>
      <w:r w:rsidRPr="00CF7CB1">
        <w:rPr>
          <w:lang w:val="en-AU"/>
        </w:rPr>
        <w:t>PACER Plus is still being negotiated and therefore it is too early to forecast how PIC governments will mainstream the negotiated agreements.</w:t>
      </w:r>
    </w:p>
    <w:p w14:paraId="5152EB98" w14:textId="77777777" w:rsidR="003B5312" w:rsidRPr="00CF7CB1" w:rsidRDefault="003B5312" w:rsidP="00BC5572">
      <w:pPr>
        <w:pStyle w:val="ListParagraph"/>
        <w:numPr>
          <w:ilvl w:val="0"/>
          <w:numId w:val="29"/>
        </w:numPr>
        <w:spacing w:after="120"/>
        <w:rPr>
          <w:lang w:val="en-AU"/>
        </w:rPr>
      </w:pPr>
      <w:r w:rsidRPr="00CF7CB1">
        <w:rPr>
          <w:lang w:val="en-AU"/>
        </w:rPr>
        <w:t>PHAMA has purposely integrated the three aspects of AfT of productive capacity building, trade facilitation and development of trade infrastructure. It has also attempted to mainstream trade through the development of the various working groups.</w:t>
      </w:r>
    </w:p>
    <w:p w14:paraId="7525006E" w14:textId="77777777" w:rsidR="003B5312" w:rsidRPr="00CF7CB1" w:rsidRDefault="003B5312" w:rsidP="00BC5572">
      <w:pPr>
        <w:pStyle w:val="ListParagraph"/>
        <w:numPr>
          <w:ilvl w:val="0"/>
          <w:numId w:val="29"/>
        </w:numPr>
        <w:spacing w:after="120"/>
        <w:rPr>
          <w:lang w:val="en-AU"/>
        </w:rPr>
      </w:pPr>
      <w:r w:rsidRPr="00CF7CB1">
        <w:rPr>
          <w:lang w:val="en-AU"/>
        </w:rPr>
        <w:t xml:space="preserve">AECSP is primarily driven by the agenda of the AANZFTA and the implementation and utilisation of the agreement. To this extent, it has focussed less on integration of various components for AfT, although opportunities exist to do so. It has been more successful at mainstreaming trade issues through national implementation and linking to ASEAN Member </w:t>
      </w:r>
      <w:r w:rsidR="00135BB2" w:rsidRPr="00CF7CB1">
        <w:rPr>
          <w:lang w:val="en-AU"/>
        </w:rPr>
        <w:t>State priorities</w:t>
      </w:r>
      <w:r w:rsidRPr="00CF7CB1">
        <w:rPr>
          <w:lang w:val="en-AU"/>
        </w:rPr>
        <w:t>.</w:t>
      </w:r>
    </w:p>
    <w:p w14:paraId="278E707A" w14:textId="77777777" w:rsidR="003B5312" w:rsidRPr="00CF7CB1" w:rsidRDefault="003B5312" w:rsidP="00BC5572">
      <w:pPr>
        <w:pStyle w:val="ListParagraph"/>
        <w:numPr>
          <w:ilvl w:val="0"/>
          <w:numId w:val="29"/>
        </w:numPr>
        <w:spacing w:after="120"/>
        <w:rPr>
          <w:lang w:val="en-AU"/>
        </w:rPr>
      </w:pPr>
      <w:r w:rsidRPr="00CF7CB1">
        <w:rPr>
          <w:lang w:val="en-AU"/>
        </w:rPr>
        <w:t xml:space="preserve">TDF-2 was developed through the Diagnostic Trade Integration Studies (DTIS) and Enhanced Integrated Framework (EIF)—tools specifically designed to mainstream trade. As such, they represent the most comprehensive approach to mainstreaming trade and integrating the </w:t>
      </w:r>
      <w:r w:rsidR="00135BB2" w:rsidRPr="00CF7CB1">
        <w:rPr>
          <w:lang w:val="en-AU"/>
        </w:rPr>
        <w:t>different aspect of</w:t>
      </w:r>
      <w:r w:rsidRPr="00CF7CB1">
        <w:rPr>
          <w:lang w:val="en-AU"/>
        </w:rPr>
        <w:t xml:space="preserve"> AfT.</w:t>
      </w:r>
    </w:p>
    <w:p w14:paraId="1E7DBD2F" w14:textId="77777777" w:rsidR="003B5312" w:rsidRPr="00CF7CB1" w:rsidRDefault="003B5312" w:rsidP="00337BCF">
      <w:pPr>
        <w:spacing w:after="120"/>
        <w:rPr>
          <w:b/>
          <w:lang w:val="en-AU"/>
        </w:rPr>
      </w:pPr>
      <w:r w:rsidRPr="00CF7CB1">
        <w:rPr>
          <w:b/>
          <w:lang w:val="en-AU"/>
        </w:rPr>
        <w:t>Regional Approach:</w:t>
      </w:r>
    </w:p>
    <w:p w14:paraId="58CF64C7" w14:textId="77777777" w:rsidR="003B5312" w:rsidRPr="00CF7CB1" w:rsidRDefault="003B5312" w:rsidP="00BC5572">
      <w:pPr>
        <w:pStyle w:val="ListParagraph"/>
        <w:numPr>
          <w:ilvl w:val="0"/>
          <w:numId w:val="30"/>
        </w:numPr>
        <w:spacing w:after="120"/>
        <w:rPr>
          <w:lang w:val="en-AU"/>
        </w:rPr>
      </w:pPr>
      <w:r w:rsidRPr="00CF7CB1">
        <w:rPr>
          <w:lang w:val="en-AU"/>
        </w:rPr>
        <w:t>PACER Plus and AECSP by their very nature are regional approaches. Moreover, within the AECSP, rules around the utilisation of the fund require that all projects are regional. The ARDN, as an example, is built around regional cooperation. Increasingly, activities under AECSP exhibit peer to peer learning facilitated by third party countries such as Australia.</w:t>
      </w:r>
    </w:p>
    <w:p w14:paraId="275A02AE" w14:textId="77777777" w:rsidR="003B5312" w:rsidRPr="00CF7CB1" w:rsidRDefault="003B5312" w:rsidP="00BC5572">
      <w:pPr>
        <w:pStyle w:val="ListParagraph"/>
        <w:numPr>
          <w:ilvl w:val="0"/>
          <w:numId w:val="30"/>
        </w:numPr>
        <w:spacing w:after="120"/>
        <w:rPr>
          <w:lang w:val="en-AU"/>
        </w:rPr>
      </w:pPr>
      <w:r w:rsidRPr="00CF7CB1">
        <w:rPr>
          <w:lang w:val="en-AU"/>
        </w:rPr>
        <w:t>PHAMA also takes a regional approach by working with value chains and across several PICs and linking bio-security agencies in Australia and the PICs.</w:t>
      </w:r>
    </w:p>
    <w:p w14:paraId="4325A5A0" w14:textId="77777777" w:rsidR="003B5312" w:rsidRPr="00CF7CB1" w:rsidRDefault="003B5312" w:rsidP="00337BCF">
      <w:pPr>
        <w:spacing w:after="120"/>
        <w:rPr>
          <w:b/>
          <w:lang w:val="en-AU"/>
        </w:rPr>
      </w:pPr>
      <w:r w:rsidRPr="00CF7CB1">
        <w:rPr>
          <w:b/>
          <w:lang w:val="en-AU"/>
        </w:rPr>
        <w:t>Addressing key constraints:</w:t>
      </w:r>
    </w:p>
    <w:p w14:paraId="164FD1DB" w14:textId="77777777" w:rsidR="003B5312" w:rsidRPr="00CF7CB1" w:rsidRDefault="003B5312" w:rsidP="00BC5572">
      <w:pPr>
        <w:pStyle w:val="ListParagraph"/>
        <w:numPr>
          <w:ilvl w:val="0"/>
          <w:numId w:val="31"/>
        </w:numPr>
        <w:spacing w:after="120"/>
        <w:rPr>
          <w:lang w:val="en-AU"/>
        </w:rPr>
      </w:pPr>
      <w:r w:rsidRPr="00CF7CB1">
        <w:rPr>
          <w:lang w:val="en-AU"/>
        </w:rPr>
        <w:t>By focussing secondments to OCTA on specific aspects of developing PACER Plus, the intervention focussed on key constraints for government officials being able to participate</w:t>
      </w:r>
      <w:r w:rsidR="00135BB2" w:rsidRPr="00CF7CB1">
        <w:rPr>
          <w:lang w:val="en-AU"/>
        </w:rPr>
        <w:t xml:space="preserve"> </w:t>
      </w:r>
      <w:r w:rsidRPr="00CF7CB1">
        <w:rPr>
          <w:lang w:val="en-AU"/>
        </w:rPr>
        <w:t>in the negotiations. While the survey of the Pacific Island trade training program indicated it was well received, the respondents conveyed that ‘on going updates of training content to reflect the contemporary developments in regional trade negotiations would be helpful’.</w:t>
      </w:r>
    </w:p>
    <w:p w14:paraId="0F327329" w14:textId="77777777" w:rsidR="003B5312" w:rsidRPr="00CF7CB1" w:rsidRDefault="003B5312" w:rsidP="00BC5572">
      <w:pPr>
        <w:pStyle w:val="ListParagraph"/>
        <w:numPr>
          <w:ilvl w:val="0"/>
          <w:numId w:val="31"/>
        </w:numPr>
        <w:spacing w:after="120"/>
        <w:rPr>
          <w:lang w:val="en-AU"/>
        </w:rPr>
      </w:pPr>
      <w:r w:rsidRPr="00CF7CB1">
        <w:rPr>
          <w:lang w:val="en-AU"/>
        </w:rPr>
        <w:t>PHAMA was originally designed to address market access, however, as the program developed and a key constraint turned out to be capacity to take advantage of the access created, PHAMA was flexible enough to adjust its focus.</w:t>
      </w:r>
    </w:p>
    <w:p w14:paraId="1D78B301" w14:textId="77777777" w:rsidR="003B5312" w:rsidRPr="00CF7CB1" w:rsidRDefault="003B5312" w:rsidP="00BC5572">
      <w:pPr>
        <w:pStyle w:val="ListParagraph"/>
        <w:numPr>
          <w:ilvl w:val="0"/>
          <w:numId w:val="31"/>
        </w:numPr>
        <w:spacing w:after="120"/>
        <w:rPr>
          <w:lang w:val="en-AU"/>
        </w:rPr>
      </w:pPr>
      <w:r w:rsidRPr="00CF7CB1">
        <w:rPr>
          <w:lang w:val="en-AU"/>
        </w:rPr>
        <w:t xml:space="preserve">AECSP through its various committees, including the Economic Cooperation Sub- Committee, has to a significant extent been able to focus its efforts where the greatest demand has been. Individual ASEAN Member States’ prominent roles in prioritising AECSP activities can be adversely affected by a lack of intra-government coordination within many countries. The prioritisation of activities according to regional needs and imperatives often depends on the quality of the deliberations of the AANZFTA Committees and governance arrangements. When this fails, it is possible to have activities under the AECSP that do not </w:t>
      </w:r>
      <w:r w:rsidR="00135BB2" w:rsidRPr="00CF7CB1">
        <w:rPr>
          <w:lang w:val="en-AU"/>
        </w:rPr>
        <w:t>address key regional</w:t>
      </w:r>
      <w:r w:rsidRPr="00CF7CB1">
        <w:rPr>
          <w:lang w:val="en-AU"/>
        </w:rPr>
        <w:t xml:space="preserve"> constraints.</w:t>
      </w:r>
    </w:p>
    <w:p w14:paraId="3A77EF4D" w14:textId="77777777" w:rsidR="003B5312" w:rsidRPr="00CF7CB1" w:rsidRDefault="003B5312" w:rsidP="00BC5572">
      <w:pPr>
        <w:pStyle w:val="ListParagraph"/>
        <w:numPr>
          <w:ilvl w:val="0"/>
          <w:numId w:val="31"/>
        </w:numPr>
        <w:spacing w:after="120"/>
        <w:rPr>
          <w:lang w:val="en-AU"/>
        </w:rPr>
      </w:pPr>
      <w:r w:rsidRPr="00CF7CB1">
        <w:rPr>
          <w:lang w:val="en-AU"/>
        </w:rPr>
        <w:t>TDF-2 was designed to address key constraints to economic development. However, having acceded to the WTO in February 2013, and given the less urgent government commitment, it’s not clear that the current range of activities reflect the governments’ top priorities.</w:t>
      </w:r>
    </w:p>
    <w:p w14:paraId="262430D2" w14:textId="77777777" w:rsidR="003B5312" w:rsidRPr="00CF7CB1" w:rsidRDefault="003B5312" w:rsidP="00337BCF">
      <w:pPr>
        <w:spacing w:after="120"/>
        <w:rPr>
          <w:b/>
          <w:lang w:val="en-AU"/>
        </w:rPr>
      </w:pPr>
      <w:r w:rsidRPr="00CF7CB1">
        <w:rPr>
          <w:b/>
          <w:lang w:val="en-AU"/>
        </w:rPr>
        <w:t>Gender equality and women’s economic empowerment:</w:t>
      </w:r>
    </w:p>
    <w:p w14:paraId="5571A594" w14:textId="77777777" w:rsidR="003B5312" w:rsidRPr="00CF7CB1" w:rsidRDefault="003B5312" w:rsidP="00BC5572">
      <w:pPr>
        <w:pStyle w:val="ListParagraph"/>
        <w:numPr>
          <w:ilvl w:val="0"/>
          <w:numId w:val="32"/>
        </w:numPr>
        <w:spacing w:after="120"/>
        <w:rPr>
          <w:lang w:val="en-AU"/>
        </w:rPr>
      </w:pPr>
      <w:r w:rsidRPr="00CF7CB1">
        <w:rPr>
          <w:lang w:val="en-AU"/>
        </w:rPr>
        <w:t>As discussed (see Section 4.2) gender equality and women’s economic empowerment have not been strongly factored into DFAT AfT designs although this is changing. TDF-2 is building on gender research conducted during the first phase of the program and gender equality is incorporated into the design of TDF-2. Similarly PHAMA is placing a greater emphasis on gender issues during its current phase of implementation. It was also noted that monitoring and evaluation systems focus more on women’s participation than gender equality outcomes. There was no evidence of reporting on influence, decision making or control of resources by women.</w:t>
      </w:r>
    </w:p>
    <w:p w14:paraId="03EA0EF0" w14:textId="77777777" w:rsidR="00893288" w:rsidRDefault="00893288" w:rsidP="00337BCF">
      <w:pPr>
        <w:spacing w:after="120"/>
        <w:rPr>
          <w:b/>
          <w:lang w:val="en-AU"/>
        </w:rPr>
      </w:pPr>
    </w:p>
    <w:p w14:paraId="454BBD71" w14:textId="77777777" w:rsidR="003B5312" w:rsidRPr="00CF7CB1" w:rsidRDefault="003B5312" w:rsidP="00337BCF">
      <w:pPr>
        <w:spacing w:after="120"/>
        <w:rPr>
          <w:b/>
          <w:lang w:val="en-AU"/>
        </w:rPr>
      </w:pPr>
      <w:r w:rsidRPr="00CF7CB1">
        <w:rPr>
          <w:b/>
          <w:lang w:val="en-AU"/>
        </w:rPr>
        <w:t>Flexibility:</w:t>
      </w:r>
    </w:p>
    <w:p w14:paraId="05AF70FF" w14:textId="77777777" w:rsidR="00135BB2" w:rsidRPr="00CF7CB1" w:rsidRDefault="003B5312" w:rsidP="00BC5572">
      <w:pPr>
        <w:pStyle w:val="ListParagraph"/>
        <w:numPr>
          <w:ilvl w:val="0"/>
          <w:numId w:val="33"/>
        </w:numPr>
        <w:spacing w:after="120"/>
        <w:rPr>
          <w:lang w:val="en-AU"/>
        </w:rPr>
      </w:pPr>
      <w:r w:rsidRPr="00CF7CB1">
        <w:rPr>
          <w:lang w:val="en-AU"/>
        </w:rPr>
        <w:t>PHAMA has demonstrated flexibility to adjust to changing priorities. Similarly, through the committee system, AECSP has the flexibility to adjust to emerging priorities. For example: Competition Law Implementation Program (CLIP) an</w:t>
      </w:r>
      <w:r w:rsidR="00135BB2" w:rsidRPr="00CF7CB1">
        <w:rPr>
          <w:lang w:val="en-AU"/>
        </w:rPr>
        <w:t>d the ongoing funding for ARDN.</w:t>
      </w:r>
    </w:p>
    <w:p w14:paraId="368E8B0E" w14:textId="77777777" w:rsidR="003B5312" w:rsidRPr="00CF7CB1" w:rsidRDefault="003B5312" w:rsidP="00BC5572">
      <w:pPr>
        <w:pStyle w:val="ListParagraph"/>
        <w:numPr>
          <w:ilvl w:val="0"/>
          <w:numId w:val="33"/>
        </w:numPr>
        <w:spacing w:after="120"/>
        <w:rPr>
          <w:lang w:val="en-AU"/>
        </w:rPr>
      </w:pPr>
      <w:r w:rsidRPr="00CF7CB1">
        <w:rPr>
          <w:lang w:val="en-AU"/>
        </w:rPr>
        <w:t>PACER Plus activities, because they are largely managed by OCTA and tied to the negotiations, are responsive to PIC needs and have been flexible.</w:t>
      </w:r>
    </w:p>
    <w:p w14:paraId="15795634" w14:textId="77777777" w:rsidR="003B5312" w:rsidRPr="00CF7CB1" w:rsidRDefault="003B5312" w:rsidP="00BC5572">
      <w:pPr>
        <w:pStyle w:val="ListParagraph"/>
        <w:numPr>
          <w:ilvl w:val="0"/>
          <w:numId w:val="33"/>
        </w:numPr>
        <w:spacing w:after="120"/>
        <w:rPr>
          <w:lang w:val="en-AU"/>
        </w:rPr>
      </w:pPr>
      <w:r w:rsidRPr="00CF7CB1">
        <w:rPr>
          <w:lang w:val="en-AU"/>
        </w:rPr>
        <w:t>TDF-2 was based on the emerging priorities of TDF-1 and the ongoing process of the DTIS Updated Action Matrix that has been integrated into the Roadmap for Trade and Private Sector Development. However, because of the long time lag and the rigorous procurement system, multiple components under TDF-2, the use of trust fund requiring consultation with multiple partners, and working through government counterpart systems, the implementation process lacks the flexibility of smaller agile development activities.</w:t>
      </w:r>
    </w:p>
    <w:p w14:paraId="6AECD29E" w14:textId="77777777" w:rsidR="003B5312" w:rsidRPr="00CF7CB1" w:rsidRDefault="003B5312" w:rsidP="00337BCF">
      <w:pPr>
        <w:spacing w:after="120"/>
        <w:rPr>
          <w:lang w:val="en-AU"/>
        </w:rPr>
      </w:pPr>
      <w:r w:rsidRPr="00CF7CB1">
        <w:rPr>
          <w:b/>
          <w:lang w:val="en-AU"/>
        </w:rPr>
        <w:t>Monitoring and Evaluation:</w:t>
      </w:r>
      <w:r w:rsidRPr="00CF7CB1">
        <w:rPr>
          <w:lang w:val="en-AU"/>
        </w:rPr>
        <w:t xml:space="preserve"> As noted monitoring and evaluation systems for AfT continue to evolve.</w:t>
      </w:r>
    </w:p>
    <w:p w14:paraId="1A58ED6A" w14:textId="77777777" w:rsidR="003B5312" w:rsidRPr="00CF7CB1" w:rsidRDefault="003B5312" w:rsidP="00BC5572">
      <w:pPr>
        <w:pStyle w:val="ListParagraph"/>
        <w:numPr>
          <w:ilvl w:val="0"/>
          <w:numId w:val="34"/>
        </w:numPr>
        <w:spacing w:after="120"/>
        <w:rPr>
          <w:lang w:val="en-AU"/>
        </w:rPr>
      </w:pPr>
      <w:r w:rsidRPr="00CF7CB1">
        <w:rPr>
          <w:lang w:val="en-AU"/>
        </w:rPr>
        <w:t xml:space="preserve">The systems assessed as part of this evaluation are typical of the global situation where attributing impacts remains one of the biggest challenges. Table 2 compares the M&amp;E systems and processes of the programs reviewed in this </w:t>
      </w:r>
      <w:r w:rsidR="00E742A5" w:rsidRPr="00CF7CB1">
        <w:rPr>
          <w:lang w:val="en-AU"/>
        </w:rPr>
        <w:t>evaluation with good practice.</w:t>
      </w:r>
      <w:r w:rsidR="00E742A5" w:rsidRPr="00CF7CB1">
        <w:rPr>
          <w:rStyle w:val="FootnoteReference"/>
          <w:lang w:val="en-AU"/>
        </w:rPr>
        <w:footnoteReference w:id="59"/>
      </w:r>
      <w:r w:rsidRPr="00CF7CB1">
        <w:rPr>
          <w:lang w:val="en-AU"/>
        </w:rPr>
        <w:t xml:space="preserve"> With the exception of PHAMA, there is little evidence of strong program logic underpinning the programs reviewed; or M&amp;E systems which draw on a range of methods to make robust assessments of program performance and take into account contextual factors. As such, the extent to which DFAT has been able to evidence its contribution to higher level trade facilitation objectives has been limited. Further investment in monitoring and evaluation from program design and inception phases, and substantial engagement with stakeholders including partner governments and the private sector, are necessary to contribute to improved robust evidence of outcomes and the contribution of investments to impacts.</w:t>
      </w:r>
    </w:p>
    <w:p w14:paraId="6098B247" w14:textId="77777777" w:rsidR="00D62262" w:rsidRPr="00CF7CB1" w:rsidRDefault="003B5312" w:rsidP="00BC5572">
      <w:pPr>
        <w:pStyle w:val="ListParagraph"/>
        <w:numPr>
          <w:ilvl w:val="0"/>
          <w:numId w:val="34"/>
        </w:numPr>
        <w:spacing w:after="120"/>
        <w:rPr>
          <w:lang w:val="en-AU"/>
        </w:rPr>
      </w:pPr>
      <w:r w:rsidRPr="00CF7CB1">
        <w:rPr>
          <w:lang w:val="en-AU"/>
        </w:rPr>
        <w:t>PHAMA now recognises the need to shift the focus away from reporting on technical outputs and towards explaining what these technical achievements mean for exports, jobs and producer incomes. This is evident by their adoption of a new monitoring and evaluation framework and updated program logic model. The results are expected to be seen in coming months and the next 6 monthly progress report.</w:t>
      </w:r>
    </w:p>
    <w:p w14:paraId="5CFC4587" w14:textId="77777777" w:rsidR="003B5312" w:rsidRPr="008900DB" w:rsidRDefault="00D62262" w:rsidP="008900DB">
      <w:pPr>
        <w:rPr>
          <w:lang w:val="en-AU"/>
        </w:rPr>
      </w:pPr>
      <w:r w:rsidRPr="00CF7CB1">
        <w:rPr>
          <w:lang w:val="en-AU"/>
        </w:rPr>
        <w:br w:type="page"/>
      </w:r>
    </w:p>
    <w:p w14:paraId="55042FEC" w14:textId="77777777" w:rsidR="003B5312" w:rsidRPr="00CF7CB1" w:rsidRDefault="003B5312" w:rsidP="00EE1AB2">
      <w:pPr>
        <w:pStyle w:val="Tablehead"/>
        <w:rPr>
          <w:lang w:val="en-AU"/>
        </w:rPr>
      </w:pPr>
      <w:r w:rsidRPr="00CF7CB1">
        <w:rPr>
          <w:lang w:val="en-AU"/>
        </w:rPr>
        <w:t>Table 2 Comparison of the M&amp;E systems of the four AfT investments with global good practice</w:t>
      </w:r>
    </w:p>
    <w:tbl>
      <w:tblPr>
        <w:tblStyle w:val="TableGrid"/>
        <w:tblW w:w="0" w:type="auto"/>
        <w:tblLook w:val="04A0" w:firstRow="1" w:lastRow="0" w:firstColumn="1" w:lastColumn="0" w:noHBand="0" w:noVBand="1"/>
        <w:tblCaption w:val="Comparison of the M&amp;E systems of the four AfT investments with global good practice"/>
        <w:tblDescription w:val="This table compares the M&amp;E systems of the four Aid for Trade investments (PHAMA, AECSP, TDF-2, and PACER Plus) with global good practice. It was found that PHAMA met most of the criteria except for Baseline Data, International Measures, and Contextual Factors. AECSP met the criteria of Realistic Objectives, Stakeholder Engagement and Public Knowledge. TDF-2 met the criteria of Realistic Objectives, Baseline data, Indicators, International measures and Stakeholder Engagement and PACER Plus met the criteria for Realistic Objectives and Program Improvement."/>
      </w:tblPr>
      <w:tblGrid>
        <w:gridCol w:w="1774"/>
        <w:gridCol w:w="1775"/>
        <w:gridCol w:w="1775"/>
        <w:gridCol w:w="1775"/>
        <w:gridCol w:w="1775"/>
      </w:tblGrid>
      <w:tr w:rsidR="00EE1AB2" w:rsidRPr="00CF7CB1" w14:paraId="0B48F004" w14:textId="77777777" w:rsidTr="00D62262">
        <w:trPr>
          <w:tblHeader/>
        </w:trPr>
        <w:tc>
          <w:tcPr>
            <w:tcW w:w="1774" w:type="dxa"/>
          </w:tcPr>
          <w:p w14:paraId="1CAF4F72" w14:textId="77777777" w:rsidR="00EE1AB2" w:rsidRPr="00CF7CB1" w:rsidRDefault="00EE1AB2" w:rsidP="00612C5E">
            <w:pPr>
              <w:pStyle w:val="Tableheader"/>
              <w:rPr>
                <w:lang w:val="en-AU"/>
              </w:rPr>
            </w:pPr>
            <w:r w:rsidRPr="00CF7CB1">
              <w:rPr>
                <w:lang w:val="en-AU"/>
              </w:rPr>
              <w:t>Good Practice Criteria</w:t>
            </w:r>
          </w:p>
        </w:tc>
        <w:tc>
          <w:tcPr>
            <w:tcW w:w="1775" w:type="dxa"/>
          </w:tcPr>
          <w:p w14:paraId="0C8792AC" w14:textId="77777777" w:rsidR="00EE1AB2" w:rsidRPr="00CF7CB1" w:rsidRDefault="00EE1AB2" w:rsidP="003F2AFF">
            <w:pPr>
              <w:pStyle w:val="Tableheader"/>
              <w:jc w:val="center"/>
              <w:rPr>
                <w:lang w:val="en-AU"/>
              </w:rPr>
            </w:pPr>
            <w:r w:rsidRPr="00CF7CB1">
              <w:rPr>
                <w:lang w:val="en-AU"/>
              </w:rPr>
              <w:t>PHAMA</w:t>
            </w:r>
          </w:p>
        </w:tc>
        <w:tc>
          <w:tcPr>
            <w:tcW w:w="1775" w:type="dxa"/>
          </w:tcPr>
          <w:p w14:paraId="4812842F" w14:textId="77777777" w:rsidR="00EE1AB2" w:rsidRPr="00CF7CB1" w:rsidRDefault="00EE1AB2" w:rsidP="003F2AFF">
            <w:pPr>
              <w:pStyle w:val="Tableheader"/>
              <w:jc w:val="center"/>
              <w:rPr>
                <w:lang w:val="en-AU"/>
              </w:rPr>
            </w:pPr>
            <w:r w:rsidRPr="00CF7CB1">
              <w:rPr>
                <w:lang w:val="en-AU"/>
              </w:rPr>
              <w:t>AECSP</w:t>
            </w:r>
          </w:p>
        </w:tc>
        <w:tc>
          <w:tcPr>
            <w:tcW w:w="1775" w:type="dxa"/>
          </w:tcPr>
          <w:p w14:paraId="0965E5A8" w14:textId="77777777" w:rsidR="00EE1AB2" w:rsidRPr="00CF7CB1" w:rsidRDefault="00EE1AB2" w:rsidP="003F2AFF">
            <w:pPr>
              <w:pStyle w:val="Tableheader"/>
              <w:jc w:val="center"/>
              <w:rPr>
                <w:lang w:val="en-AU"/>
              </w:rPr>
            </w:pPr>
            <w:r w:rsidRPr="00CF7CB1">
              <w:rPr>
                <w:lang w:val="en-AU"/>
              </w:rPr>
              <w:t>TDF-2</w:t>
            </w:r>
          </w:p>
        </w:tc>
        <w:tc>
          <w:tcPr>
            <w:tcW w:w="1775" w:type="dxa"/>
          </w:tcPr>
          <w:p w14:paraId="252804B2" w14:textId="77777777" w:rsidR="00EE1AB2" w:rsidRPr="00CF7CB1" w:rsidRDefault="00EE1AB2" w:rsidP="003F2AFF">
            <w:pPr>
              <w:pStyle w:val="Tableheader"/>
              <w:jc w:val="center"/>
              <w:rPr>
                <w:lang w:val="en-AU"/>
              </w:rPr>
            </w:pPr>
            <w:r w:rsidRPr="00CF7CB1">
              <w:rPr>
                <w:lang w:val="en-AU"/>
              </w:rPr>
              <w:t>PACER Plus</w:t>
            </w:r>
          </w:p>
        </w:tc>
      </w:tr>
      <w:tr w:rsidR="00EE1AB2" w:rsidRPr="00CF7CB1" w14:paraId="2927F7C1" w14:textId="77777777" w:rsidTr="00EE1AB2">
        <w:tc>
          <w:tcPr>
            <w:tcW w:w="1774" w:type="dxa"/>
          </w:tcPr>
          <w:p w14:paraId="082C8AA5" w14:textId="77777777" w:rsidR="003F2AFF" w:rsidRDefault="00EE1AB2" w:rsidP="00EE1AB2">
            <w:pPr>
              <w:rPr>
                <w:lang w:val="en-AU"/>
              </w:rPr>
            </w:pPr>
            <w:r w:rsidRPr="00CF7CB1">
              <w:rPr>
                <w:lang w:val="en-AU"/>
              </w:rPr>
              <w:t xml:space="preserve">Results </w:t>
            </w:r>
          </w:p>
          <w:p w14:paraId="2FCF9078" w14:textId="77777777" w:rsidR="00EE1AB2" w:rsidRPr="00CF7CB1" w:rsidRDefault="00EE1AB2" w:rsidP="00EE1AB2">
            <w:pPr>
              <w:rPr>
                <w:lang w:val="en-AU"/>
              </w:rPr>
            </w:pPr>
            <w:r w:rsidRPr="00CF7CB1">
              <w:rPr>
                <w:lang w:val="en-AU"/>
              </w:rPr>
              <w:t>Chain</w:t>
            </w:r>
          </w:p>
        </w:tc>
        <w:tc>
          <w:tcPr>
            <w:tcW w:w="1775" w:type="dxa"/>
          </w:tcPr>
          <w:p w14:paraId="48E60BBB" w14:textId="77777777" w:rsidR="00EE1AB2" w:rsidRPr="003F2AFF" w:rsidRDefault="003F2AFF" w:rsidP="003F2AFF">
            <w:pPr>
              <w:jc w:val="center"/>
              <w:rPr>
                <w:rFonts w:ascii="Webdings" w:hAnsi="Webdings"/>
                <w:lang w:val="en-AU"/>
              </w:rPr>
            </w:pPr>
            <w:r w:rsidRPr="003F2AFF">
              <w:rPr>
                <w:rFonts w:ascii="Zapf Dingbats" w:hAnsi="Zapf Dingbats" w:cs="Zapf Dingbats"/>
                <w:color w:val="222426"/>
                <w:sz w:val="23"/>
                <w:szCs w:val="23"/>
                <w:shd w:val="clear" w:color="auto" w:fill="FFFFFF"/>
                <w:lang w:val="en-AU"/>
              </w:rPr>
              <w:t>✔</w:t>
            </w:r>
          </w:p>
        </w:tc>
        <w:tc>
          <w:tcPr>
            <w:tcW w:w="1775" w:type="dxa"/>
          </w:tcPr>
          <w:p w14:paraId="3C5CF15B" w14:textId="77777777" w:rsidR="00EE1AB2" w:rsidRPr="003F2AFF" w:rsidRDefault="00EE1AB2" w:rsidP="003F2AFF">
            <w:pPr>
              <w:jc w:val="center"/>
              <w:rPr>
                <w:rFonts w:ascii="Webdings" w:hAnsi="Webdings"/>
                <w:lang w:val="en-AU"/>
              </w:rPr>
            </w:pPr>
          </w:p>
        </w:tc>
        <w:tc>
          <w:tcPr>
            <w:tcW w:w="1775" w:type="dxa"/>
          </w:tcPr>
          <w:p w14:paraId="54A40387" w14:textId="77777777" w:rsidR="00EE1AB2" w:rsidRPr="003F2AFF" w:rsidRDefault="003F2AFF" w:rsidP="003F2AFF">
            <w:pPr>
              <w:jc w:val="center"/>
              <w:rPr>
                <w:rFonts w:ascii="Webdings" w:hAnsi="Webdings"/>
                <w:lang w:val="en-AU"/>
              </w:rPr>
            </w:pPr>
            <w:r w:rsidRPr="003F2AFF">
              <w:rPr>
                <w:rFonts w:ascii="Zapf Dingbats" w:hAnsi="Zapf Dingbats" w:cs="Zapf Dingbats"/>
                <w:color w:val="222426"/>
                <w:sz w:val="23"/>
                <w:szCs w:val="23"/>
                <w:shd w:val="clear" w:color="auto" w:fill="FFFFFF"/>
                <w:lang w:val="en-AU"/>
              </w:rPr>
              <w:t>✔</w:t>
            </w:r>
          </w:p>
        </w:tc>
        <w:tc>
          <w:tcPr>
            <w:tcW w:w="1775" w:type="dxa"/>
          </w:tcPr>
          <w:p w14:paraId="33283938" w14:textId="77777777" w:rsidR="00EE1AB2" w:rsidRPr="003F2AFF" w:rsidRDefault="00EE1AB2" w:rsidP="003F2AFF">
            <w:pPr>
              <w:jc w:val="center"/>
              <w:rPr>
                <w:rFonts w:ascii="Webdings" w:hAnsi="Webdings"/>
                <w:lang w:val="en-AU"/>
              </w:rPr>
            </w:pPr>
          </w:p>
        </w:tc>
      </w:tr>
      <w:tr w:rsidR="00EE1AB2" w:rsidRPr="00CF7CB1" w14:paraId="4C4561AA" w14:textId="77777777" w:rsidTr="00EE1AB2">
        <w:tc>
          <w:tcPr>
            <w:tcW w:w="1774" w:type="dxa"/>
          </w:tcPr>
          <w:p w14:paraId="7D587BDB" w14:textId="77777777" w:rsidR="00EE1AB2" w:rsidRPr="00CF7CB1" w:rsidRDefault="00EE1AB2" w:rsidP="00EE1AB2">
            <w:pPr>
              <w:rPr>
                <w:lang w:val="en-AU"/>
              </w:rPr>
            </w:pPr>
            <w:r w:rsidRPr="00CF7CB1">
              <w:rPr>
                <w:lang w:val="en-AU"/>
              </w:rPr>
              <w:t>Realistic Objectives</w:t>
            </w:r>
          </w:p>
        </w:tc>
        <w:tc>
          <w:tcPr>
            <w:tcW w:w="1775" w:type="dxa"/>
          </w:tcPr>
          <w:p w14:paraId="46946B1B" w14:textId="77777777" w:rsidR="00EE1AB2" w:rsidRPr="003F2AFF" w:rsidRDefault="003F2AFF" w:rsidP="003F2AFF">
            <w:pPr>
              <w:jc w:val="center"/>
              <w:rPr>
                <w:rFonts w:ascii="Webdings" w:hAnsi="Webdings"/>
                <w:lang w:val="en-AU"/>
              </w:rPr>
            </w:pPr>
            <w:r w:rsidRPr="003F2AFF">
              <w:rPr>
                <w:rFonts w:ascii="Zapf Dingbats" w:hAnsi="Zapf Dingbats" w:cs="Zapf Dingbats"/>
                <w:color w:val="222426"/>
                <w:sz w:val="23"/>
                <w:szCs w:val="23"/>
                <w:shd w:val="clear" w:color="auto" w:fill="FFFFFF"/>
                <w:lang w:val="en-AU"/>
              </w:rPr>
              <w:t>✔</w:t>
            </w:r>
          </w:p>
        </w:tc>
        <w:tc>
          <w:tcPr>
            <w:tcW w:w="1775" w:type="dxa"/>
          </w:tcPr>
          <w:p w14:paraId="46DDD009" w14:textId="77777777" w:rsidR="00EE1AB2" w:rsidRPr="003F2AFF" w:rsidRDefault="003F2AFF" w:rsidP="003F2AFF">
            <w:pPr>
              <w:jc w:val="center"/>
              <w:rPr>
                <w:rFonts w:ascii="Webdings" w:hAnsi="Webdings"/>
                <w:lang w:val="en-AU"/>
              </w:rPr>
            </w:pPr>
            <w:r w:rsidRPr="003F2AFF">
              <w:rPr>
                <w:rFonts w:ascii="Zapf Dingbats" w:hAnsi="Zapf Dingbats" w:cs="Zapf Dingbats"/>
                <w:color w:val="222426"/>
                <w:sz w:val="23"/>
                <w:szCs w:val="23"/>
                <w:shd w:val="clear" w:color="auto" w:fill="FFFFFF"/>
                <w:lang w:val="en-AU"/>
              </w:rPr>
              <w:t>✔</w:t>
            </w:r>
          </w:p>
        </w:tc>
        <w:tc>
          <w:tcPr>
            <w:tcW w:w="1775" w:type="dxa"/>
          </w:tcPr>
          <w:p w14:paraId="4682D252" w14:textId="77777777" w:rsidR="00EE1AB2" w:rsidRPr="003F2AFF" w:rsidRDefault="003F2AFF" w:rsidP="003F2AFF">
            <w:pPr>
              <w:jc w:val="center"/>
              <w:rPr>
                <w:rFonts w:ascii="Webdings" w:hAnsi="Webdings"/>
                <w:lang w:val="en-AU"/>
              </w:rPr>
            </w:pPr>
            <w:r w:rsidRPr="003F2AFF">
              <w:rPr>
                <w:rFonts w:ascii="Zapf Dingbats" w:hAnsi="Zapf Dingbats" w:cs="Zapf Dingbats"/>
                <w:color w:val="222426"/>
                <w:sz w:val="23"/>
                <w:szCs w:val="23"/>
                <w:shd w:val="clear" w:color="auto" w:fill="FFFFFF"/>
                <w:lang w:val="en-AU"/>
              </w:rPr>
              <w:t>✔</w:t>
            </w:r>
          </w:p>
        </w:tc>
        <w:tc>
          <w:tcPr>
            <w:tcW w:w="1775" w:type="dxa"/>
          </w:tcPr>
          <w:p w14:paraId="23CB6098" w14:textId="77777777" w:rsidR="00EE1AB2" w:rsidRPr="003F2AFF" w:rsidRDefault="003F2AFF" w:rsidP="003F2AFF">
            <w:pPr>
              <w:jc w:val="center"/>
              <w:rPr>
                <w:rFonts w:ascii="Webdings" w:hAnsi="Webdings"/>
                <w:lang w:val="en-AU"/>
              </w:rPr>
            </w:pPr>
            <w:r w:rsidRPr="003F2AFF">
              <w:rPr>
                <w:rFonts w:ascii="Zapf Dingbats" w:hAnsi="Zapf Dingbats" w:cs="Zapf Dingbats"/>
                <w:color w:val="222426"/>
                <w:sz w:val="23"/>
                <w:szCs w:val="23"/>
                <w:shd w:val="clear" w:color="auto" w:fill="FFFFFF"/>
                <w:lang w:val="en-AU"/>
              </w:rPr>
              <w:t>✔</w:t>
            </w:r>
          </w:p>
        </w:tc>
      </w:tr>
      <w:tr w:rsidR="00EE1AB2" w:rsidRPr="00CF7CB1" w14:paraId="224F5DDC" w14:textId="77777777" w:rsidTr="00EE1AB2">
        <w:tc>
          <w:tcPr>
            <w:tcW w:w="1774" w:type="dxa"/>
          </w:tcPr>
          <w:p w14:paraId="1CC08450" w14:textId="77777777" w:rsidR="003F2AFF" w:rsidRDefault="00EE1AB2" w:rsidP="00EE1AB2">
            <w:pPr>
              <w:rPr>
                <w:lang w:val="en-AU"/>
              </w:rPr>
            </w:pPr>
            <w:r w:rsidRPr="00CF7CB1">
              <w:rPr>
                <w:lang w:val="en-AU"/>
              </w:rPr>
              <w:t xml:space="preserve">Baseline </w:t>
            </w:r>
          </w:p>
          <w:p w14:paraId="20A0A477" w14:textId="77777777" w:rsidR="00EE1AB2" w:rsidRPr="00CF7CB1" w:rsidRDefault="00EE1AB2" w:rsidP="00EE1AB2">
            <w:pPr>
              <w:rPr>
                <w:lang w:val="en-AU"/>
              </w:rPr>
            </w:pPr>
            <w:r w:rsidRPr="00CF7CB1">
              <w:rPr>
                <w:lang w:val="en-AU"/>
              </w:rPr>
              <w:t>Data</w:t>
            </w:r>
          </w:p>
        </w:tc>
        <w:tc>
          <w:tcPr>
            <w:tcW w:w="1775" w:type="dxa"/>
          </w:tcPr>
          <w:p w14:paraId="4DD233EF" w14:textId="77777777" w:rsidR="00EE1AB2" w:rsidRPr="003F2AFF" w:rsidRDefault="00EE1AB2" w:rsidP="003F2AFF">
            <w:pPr>
              <w:jc w:val="center"/>
              <w:rPr>
                <w:rFonts w:ascii="Webdings" w:hAnsi="Webdings"/>
                <w:lang w:val="en-AU"/>
              </w:rPr>
            </w:pPr>
          </w:p>
        </w:tc>
        <w:tc>
          <w:tcPr>
            <w:tcW w:w="1775" w:type="dxa"/>
          </w:tcPr>
          <w:p w14:paraId="141F3556" w14:textId="77777777" w:rsidR="00EE1AB2" w:rsidRPr="003F2AFF" w:rsidRDefault="00EE1AB2" w:rsidP="003F2AFF">
            <w:pPr>
              <w:jc w:val="center"/>
              <w:rPr>
                <w:rFonts w:ascii="Webdings" w:hAnsi="Webdings"/>
                <w:lang w:val="en-AU"/>
              </w:rPr>
            </w:pPr>
          </w:p>
        </w:tc>
        <w:tc>
          <w:tcPr>
            <w:tcW w:w="1775" w:type="dxa"/>
          </w:tcPr>
          <w:p w14:paraId="0C4DF219" w14:textId="77777777" w:rsidR="00EE1AB2" w:rsidRPr="003F2AFF" w:rsidRDefault="003F2AFF" w:rsidP="003F2AFF">
            <w:pPr>
              <w:jc w:val="center"/>
              <w:rPr>
                <w:rFonts w:ascii="Webdings" w:hAnsi="Webdings"/>
                <w:lang w:val="en-AU"/>
              </w:rPr>
            </w:pPr>
            <w:r w:rsidRPr="003F2AFF">
              <w:rPr>
                <w:rFonts w:ascii="Zapf Dingbats" w:hAnsi="Zapf Dingbats" w:cs="Zapf Dingbats"/>
                <w:color w:val="222426"/>
                <w:sz w:val="23"/>
                <w:szCs w:val="23"/>
                <w:shd w:val="clear" w:color="auto" w:fill="FFFFFF"/>
                <w:lang w:val="en-AU"/>
              </w:rPr>
              <w:t>✔</w:t>
            </w:r>
          </w:p>
        </w:tc>
        <w:tc>
          <w:tcPr>
            <w:tcW w:w="1775" w:type="dxa"/>
          </w:tcPr>
          <w:p w14:paraId="254D51FF" w14:textId="77777777" w:rsidR="00EE1AB2" w:rsidRPr="003F2AFF" w:rsidRDefault="00EE1AB2" w:rsidP="003F2AFF">
            <w:pPr>
              <w:jc w:val="center"/>
              <w:rPr>
                <w:rFonts w:ascii="Webdings" w:hAnsi="Webdings"/>
                <w:lang w:val="en-AU"/>
              </w:rPr>
            </w:pPr>
          </w:p>
        </w:tc>
      </w:tr>
      <w:tr w:rsidR="00EE1AB2" w:rsidRPr="00CF7CB1" w14:paraId="1FB6A7FB" w14:textId="77777777" w:rsidTr="00EE1AB2">
        <w:tc>
          <w:tcPr>
            <w:tcW w:w="1774" w:type="dxa"/>
          </w:tcPr>
          <w:p w14:paraId="59D07991" w14:textId="77777777" w:rsidR="003F2AFF" w:rsidRPr="00CF7CB1" w:rsidRDefault="00EE1AB2" w:rsidP="00EE1AB2">
            <w:pPr>
              <w:rPr>
                <w:lang w:val="en-AU"/>
              </w:rPr>
            </w:pPr>
            <w:r w:rsidRPr="00CF7CB1">
              <w:rPr>
                <w:lang w:val="en-AU"/>
              </w:rPr>
              <w:t>Indicators</w:t>
            </w:r>
          </w:p>
        </w:tc>
        <w:tc>
          <w:tcPr>
            <w:tcW w:w="1775" w:type="dxa"/>
          </w:tcPr>
          <w:p w14:paraId="2DD495CE" w14:textId="77777777" w:rsidR="00EE1AB2" w:rsidRPr="003F2AFF" w:rsidRDefault="003F2AFF" w:rsidP="003F2AFF">
            <w:pPr>
              <w:jc w:val="center"/>
              <w:rPr>
                <w:rFonts w:ascii="Webdings" w:hAnsi="Webdings"/>
                <w:lang w:val="en-AU"/>
              </w:rPr>
            </w:pPr>
            <w:r w:rsidRPr="003F2AFF">
              <w:rPr>
                <w:rFonts w:ascii="Zapf Dingbats" w:hAnsi="Zapf Dingbats" w:cs="Zapf Dingbats"/>
                <w:color w:val="222426"/>
                <w:sz w:val="23"/>
                <w:szCs w:val="23"/>
                <w:shd w:val="clear" w:color="auto" w:fill="FFFFFF"/>
                <w:lang w:val="en-AU"/>
              </w:rPr>
              <w:t>✔</w:t>
            </w:r>
          </w:p>
        </w:tc>
        <w:tc>
          <w:tcPr>
            <w:tcW w:w="1775" w:type="dxa"/>
          </w:tcPr>
          <w:p w14:paraId="4F83C96A" w14:textId="77777777" w:rsidR="00EE1AB2" w:rsidRPr="003F2AFF" w:rsidRDefault="00EE1AB2" w:rsidP="003F2AFF">
            <w:pPr>
              <w:jc w:val="center"/>
              <w:rPr>
                <w:rFonts w:ascii="Webdings" w:hAnsi="Webdings"/>
                <w:lang w:val="en-AU"/>
              </w:rPr>
            </w:pPr>
          </w:p>
        </w:tc>
        <w:tc>
          <w:tcPr>
            <w:tcW w:w="1775" w:type="dxa"/>
          </w:tcPr>
          <w:p w14:paraId="0DD2CF96" w14:textId="77777777" w:rsidR="00EE1AB2" w:rsidRPr="003F2AFF" w:rsidRDefault="003F2AFF" w:rsidP="003F2AFF">
            <w:pPr>
              <w:jc w:val="center"/>
              <w:rPr>
                <w:rFonts w:ascii="Webdings" w:hAnsi="Webdings"/>
                <w:lang w:val="en-AU"/>
              </w:rPr>
            </w:pPr>
            <w:r w:rsidRPr="003F2AFF">
              <w:rPr>
                <w:rFonts w:ascii="Zapf Dingbats" w:hAnsi="Zapf Dingbats" w:cs="Zapf Dingbats"/>
                <w:color w:val="222426"/>
                <w:sz w:val="23"/>
                <w:szCs w:val="23"/>
                <w:shd w:val="clear" w:color="auto" w:fill="FFFFFF"/>
                <w:lang w:val="en-AU"/>
              </w:rPr>
              <w:t>✔</w:t>
            </w:r>
          </w:p>
        </w:tc>
        <w:tc>
          <w:tcPr>
            <w:tcW w:w="1775" w:type="dxa"/>
          </w:tcPr>
          <w:p w14:paraId="6B726C6E" w14:textId="77777777" w:rsidR="00EE1AB2" w:rsidRPr="003F2AFF" w:rsidRDefault="00EE1AB2" w:rsidP="003F2AFF">
            <w:pPr>
              <w:jc w:val="center"/>
              <w:rPr>
                <w:rFonts w:ascii="Webdings" w:hAnsi="Webdings"/>
                <w:lang w:val="en-AU"/>
              </w:rPr>
            </w:pPr>
          </w:p>
        </w:tc>
      </w:tr>
      <w:tr w:rsidR="00EE1AB2" w:rsidRPr="00CF7CB1" w14:paraId="4F0345F7" w14:textId="77777777" w:rsidTr="00EE1AB2">
        <w:tc>
          <w:tcPr>
            <w:tcW w:w="1774" w:type="dxa"/>
          </w:tcPr>
          <w:p w14:paraId="3D5710F1" w14:textId="77777777" w:rsidR="00EE1AB2" w:rsidRPr="00CF7CB1" w:rsidRDefault="000F0FB8" w:rsidP="00EE1AB2">
            <w:pPr>
              <w:rPr>
                <w:lang w:val="en-AU"/>
              </w:rPr>
            </w:pPr>
            <w:r w:rsidRPr="00CF7CB1">
              <w:rPr>
                <w:lang w:val="en-AU"/>
              </w:rPr>
              <w:t xml:space="preserve">Range </w:t>
            </w:r>
            <w:r w:rsidR="00EE1AB2" w:rsidRPr="00CF7CB1">
              <w:rPr>
                <w:lang w:val="en-AU"/>
              </w:rPr>
              <w:t>of Methods</w:t>
            </w:r>
          </w:p>
        </w:tc>
        <w:tc>
          <w:tcPr>
            <w:tcW w:w="1775" w:type="dxa"/>
          </w:tcPr>
          <w:p w14:paraId="5031AF56" w14:textId="77777777" w:rsidR="00EE1AB2" w:rsidRPr="003F2AFF" w:rsidRDefault="003F2AFF" w:rsidP="003F2AFF">
            <w:pPr>
              <w:jc w:val="center"/>
              <w:rPr>
                <w:rFonts w:ascii="Webdings" w:hAnsi="Webdings"/>
                <w:lang w:val="en-AU"/>
              </w:rPr>
            </w:pPr>
            <w:r w:rsidRPr="003F2AFF">
              <w:rPr>
                <w:rFonts w:ascii="Zapf Dingbats" w:hAnsi="Zapf Dingbats" w:cs="Zapf Dingbats"/>
                <w:color w:val="222426"/>
                <w:sz w:val="23"/>
                <w:szCs w:val="23"/>
                <w:shd w:val="clear" w:color="auto" w:fill="FFFFFF"/>
                <w:lang w:val="en-AU"/>
              </w:rPr>
              <w:t>✔</w:t>
            </w:r>
          </w:p>
        </w:tc>
        <w:tc>
          <w:tcPr>
            <w:tcW w:w="1775" w:type="dxa"/>
          </w:tcPr>
          <w:p w14:paraId="1D206284" w14:textId="77777777" w:rsidR="00EE1AB2" w:rsidRPr="003F2AFF" w:rsidRDefault="00EE1AB2" w:rsidP="003F2AFF">
            <w:pPr>
              <w:jc w:val="center"/>
              <w:rPr>
                <w:rFonts w:ascii="Webdings" w:hAnsi="Webdings"/>
                <w:lang w:val="en-AU"/>
              </w:rPr>
            </w:pPr>
          </w:p>
        </w:tc>
        <w:tc>
          <w:tcPr>
            <w:tcW w:w="1775" w:type="dxa"/>
          </w:tcPr>
          <w:p w14:paraId="7E70277C" w14:textId="77777777" w:rsidR="00EE1AB2" w:rsidRPr="003F2AFF" w:rsidRDefault="003F2AFF" w:rsidP="003F2AFF">
            <w:pPr>
              <w:jc w:val="center"/>
              <w:rPr>
                <w:rFonts w:ascii="Webdings" w:hAnsi="Webdings"/>
                <w:lang w:val="en-AU"/>
              </w:rPr>
            </w:pPr>
            <w:r w:rsidRPr="003F2AFF">
              <w:rPr>
                <w:rFonts w:ascii="Zapf Dingbats" w:hAnsi="Zapf Dingbats" w:cs="Zapf Dingbats"/>
                <w:color w:val="222426"/>
                <w:sz w:val="23"/>
                <w:szCs w:val="23"/>
                <w:shd w:val="clear" w:color="auto" w:fill="FFFFFF"/>
                <w:lang w:val="en-AU"/>
              </w:rPr>
              <w:t>✔</w:t>
            </w:r>
          </w:p>
        </w:tc>
        <w:tc>
          <w:tcPr>
            <w:tcW w:w="1775" w:type="dxa"/>
          </w:tcPr>
          <w:p w14:paraId="2FA7AF77" w14:textId="77777777" w:rsidR="00EE1AB2" w:rsidRPr="003F2AFF" w:rsidRDefault="00EE1AB2" w:rsidP="003F2AFF">
            <w:pPr>
              <w:jc w:val="center"/>
              <w:rPr>
                <w:rFonts w:ascii="Webdings" w:hAnsi="Webdings"/>
                <w:lang w:val="en-AU"/>
              </w:rPr>
            </w:pPr>
          </w:p>
        </w:tc>
      </w:tr>
      <w:tr w:rsidR="00EE1AB2" w:rsidRPr="00CF7CB1" w14:paraId="34642409" w14:textId="77777777" w:rsidTr="00EE1AB2">
        <w:tc>
          <w:tcPr>
            <w:tcW w:w="1774" w:type="dxa"/>
          </w:tcPr>
          <w:p w14:paraId="4B9FF77C" w14:textId="77777777" w:rsidR="00EE1AB2" w:rsidRPr="00CF7CB1" w:rsidRDefault="00EE1AB2" w:rsidP="00EE1AB2">
            <w:pPr>
              <w:rPr>
                <w:lang w:val="en-AU"/>
              </w:rPr>
            </w:pPr>
            <w:r w:rsidRPr="00CF7CB1">
              <w:rPr>
                <w:lang w:val="en-AU"/>
              </w:rPr>
              <w:t>International Measures</w:t>
            </w:r>
          </w:p>
        </w:tc>
        <w:tc>
          <w:tcPr>
            <w:tcW w:w="1775" w:type="dxa"/>
          </w:tcPr>
          <w:p w14:paraId="52E63952" w14:textId="77777777" w:rsidR="00EE1AB2" w:rsidRPr="003F2AFF" w:rsidRDefault="00EE1AB2" w:rsidP="003F2AFF">
            <w:pPr>
              <w:jc w:val="center"/>
              <w:rPr>
                <w:rFonts w:ascii="Webdings" w:hAnsi="Webdings"/>
                <w:lang w:val="en-AU"/>
              </w:rPr>
            </w:pPr>
          </w:p>
        </w:tc>
        <w:tc>
          <w:tcPr>
            <w:tcW w:w="1775" w:type="dxa"/>
          </w:tcPr>
          <w:p w14:paraId="6531E07E" w14:textId="77777777" w:rsidR="00EE1AB2" w:rsidRPr="003F2AFF" w:rsidRDefault="00EE1AB2" w:rsidP="003F2AFF">
            <w:pPr>
              <w:jc w:val="center"/>
              <w:rPr>
                <w:rFonts w:ascii="Webdings" w:hAnsi="Webdings"/>
                <w:lang w:val="en-AU"/>
              </w:rPr>
            </w:pPr>
          </w:p>
        </w:tc>
        <w:tc>
          <w:tcPr>
            <w:tcW w:w="1775" w:type="dxa"/>
          </w:tcPr>
          <w:p w14:paraId="457E3C95" w14:textId="77777777" w:rsidR="00EE1AB2" w:rsidRPr="003F2AFF" w:rsidRDefault="003F2AFF" w:rsidP="003F2AFF">
            <w:pPr>
              <w:jc w:val="center"/>
              <w:rPr>
                <w:rFonts w:ascii="Webdings" w:hAnsi="Webdings"/>
                <w:lang w:val="en-AU"/>
              </w:rPr>
            </w:pPr>
            <w:r w:rsidRPr="003F2AFF">
              <w:rPr>
                <w:rFonts w:ascii="Zapf Dingbats" w:hAnsi="Zapf Dingbats" w:cs="Zapf Dingbats"/>
                <w:color w:val="222426"/>
                <w:sz w:val="23"/>
                <w:szCs w:val="23"/>
                <w:shd w:val="clear" w:color="auto" w:fill="FFFFFF"/>
                <w:lang w:val="en-AU"/>
              </w:rPr>
              <w:t>✔</w:t>
            </w:r>
          </w:p>
        </w:tc>
        <w:tc>
          <w:tcPr>
            <w:tcW w:w="1775" w:type="dxa"/>
          </w:tcPr>
          <w:p w14:paraId="16E6EECE" w14:textId="77777777" w:rsidR="00EE1AB2" w:rsidRPr="003F2AFF" w:rsidRDefault="00EE1AB2" w:rsidP="003F2AFF">
            <w:pPr>
              <w:jc w:val="center"/>
              <w:rPr>
                <w:rFonts w:ascii="Webdings" w:hAnsi="Webdings"/>
                <w:lang w:val="en-AU"/>
              </w:rPr>
            </w:pPr>
          </w:p>
        </w:tc>
      </w:tr>
      <w:tr w:rsidR="00EE1AB2" w:rsidRPr="00CF7CB1" w14:paraId="5C424485" w14:textId="77777777" w:rsidTr="00EE1AB2">
        <w:tc>
          <w:tcPr>
            <w:tcW w:w="1774" w:type="dxa"/>
          </w:tcPr>
          <w:p w14:paraId="00C746E3" w14:textId="77777777" w:rsidR="00EE1AB2" w:rsidRPr="00CF7CB1" w:rsidRDefault="00EE1AB2" w:rsidP="00EE1AB2">
            <w:pPr>
              <w:rPr>
                <w:lang w:val="en-AU"/>
              </w:rPr>
            </w:pPr>
            <w:r w:rsidRPr="00CF7CB1">
              <w:rPr>
                <w:lang w:val="en-AU"/>
              </w:rPr>
              <w:t>Contextual Factors</w:t>
            </w:r>
          </w:p>
        </w:tc>
        <w:tc>
          <w:tcPr>
            <w:tcW w:w="1775" w:type="dxa"/>
          </w:tcPr>
          <w:p w14:paraId="77F72F3B" w14:textId="77777777" w:rsidR="00EE1AB2" w:rsidRPr="003F2AFF" w:rsidRDefault="00EE1AB2" w:rsidP="003F2AFF">
            <w:pPr>
              <w:jc w:val="center"/>
              <w:rPr>
                <w:rFonts w:ascii="Webdings" w:hAnsi="Webdings"/>
                <w:lang w:val="en-AU"/>
              </w:rPr>
            </w:pPr>
          </w:p>
        </w:tc>
        <w:tc>
          <w:tcPr>
            <w:tcW w:w="1775" w:type="dxa"/>
          </w:tcPr>
          <w:p w14:paraId="60DBD030" w14:textId="77777777" w:rsidR="00EE1AB2" w:rsidRPr="003F2AFF" w:rsidRDefault="00EE1AB2" w:rsidP="003F2AFF">
            <w:pPr>
              <w:jc w:val="center"/>
              <w:rPr>
                <w:rFonts w:ascii="Webdings" w:hAnsi="Webdings"/>
                <w:lang w:val="en-AU"/>
              </w:rPr>
            </w:pPr>
          </w:p>
        </w:tc>
        <w:tc>
          <w:tcPr>
            <w:tcW w:w="1775" w:type="dxa"/>
          </w:tcPr>
          <w:p w14:paraId="6BCE9A13" w14:textId="77777777" w:rsidR="00EE1AB2" w:rsidRPr="003F2AFF" w:rsidRDefault="00EE1AB2" w:rsidP="003F2AFF">
            <w:pPr>
              <w:jc w:val="center"/>
              <w:rPr>
                <w:rFonts w:ascii="Webdings" w:hAnsi="Webdings"/>
                <w:lang w:val="en-AU"/>
              </w:rPr>
            </w:pPr>
          </w:p>
        </w:tc>
        <w:tc>
          <w:tcPr>
            <w:tcW w:w="1775" w:type="dxa"/>
          </w:tcPr>
          <w:p w14:paraId="6FF9C688" w14:textId="77777777" w:rsidR="00EE1AB2" w:rsidRPr="003F2AFF" w:rsidRDefault="00EE1AB2" w:rsidP="003F2AFF">
            <w:pPr>
              <w:jc w:val="center"/>
              <w:rPr>
                <w:rFonts w:ascii="Webdings" w:hAnsi="Webdings"/>
                <w:lang w:val="en-AU"/>
              </w:rPr>
            </w:pPr>
          </w:p>
        </w:tc>
      </w:tr>
      <w:tr w:rsidR="00EE1AB2" w:rsidRPr="00CF7CB1" w14:paraId="504DC4D2" w14:textId="77777777" w:rsidTr="00EE1AB2">
        <w:tc>
          <w:tcPr>
            <w:tcW w:w="1774" w:type="dxa"/>
          </w:tcPr>
          <w:p w14:paraId="754B788E" w14:textId="77777777" w:rsidR="00EE1AB2" w:rsidRPr="00CF7CB1" w:rsidRDefault="000F0FB8" w:rsidP="00EE1AB2">
            <w:pPr>
              <w:rPr>
                <w:lang w:val="en-AU"/>
              </w:rPr>
            </w:pPr>
            <w:r w:rsidRPr="00CF7CB1">
              <w:rPr>
                <w:lang w:val="en-AU"/>
              </w:rPr>
              <w:t xml:space="preserve">Stakeholder </w:t>
            </w:r>
            <w:r w:rsidR="00EE1AB2" w:rsidRPr="00CF7CB1">
              <w:rPr>
                <w:lang w:val="en-AU"/>
              </w:rPr>
              <w:t>Engagement</w:t>
            </w:r>
          </w:p>
        </w:tc>
        <w:tc>
          <w:tcPr>
            <w:tcW w:w="1775" w:type="dxa"/>
          </w:tcPr>
          <w:p w14:paraId="6B5CE269" w14:textId="77777777" w:rsidR="00EE1AB2" w:rsidRPr="003F2AFF" w:rsidRDefault="003F2AFF" w:rsidP="003F2AFF">
            <w:pPr>
              <w:jc w:val="center"/>
              <w:rPr>
                <w:rFonts w:ascii="Webdings" w:hAnsi="Webdings"/>
                <w:lang w:val="en-AU"/>
              </w:rPr>
            </w:pPr>
            <w:r w:rsidRPr="003F2AFF">
              <w:rPr>
                <w:rFonts w:ascii="Zapf Dingbats" w:hAnsi="Zapf Dingbats" w:cs="Zapf Dingbats"/>
                <w:color w:val="222426"/>
                <w:sz w:val="23"/>
                <w:szCs w:val="23"/>
                <w:shd w:val="clear" w:color="auto" w:fill="FFFFFF"/>
                <w:lang w:val="en-AU"/>
              </w:rPr>
              <w:t>✔</w:t>
            </w:r>
          </w:p>
        </w:tc>
        <w:tc>
          <w:tcPr>
            <w:tcW w:w="1775" w:type="dxa"/>
          </w:tcPr>
          <w:p w14:paraId="6566B5AD" w14:textId="77777777" w:rsidR="00EE1AB2" w:rsidRPr="003F2AFF" w:rsidRDefault="003F2AFF" w:rsidP="003F2AFF">
            <w:pPr>
              <w:jc w:val="center"/>
              <w:rPr>
                <w:rFonts w:ascii="Webdings" w:hAnsi="Webdings"/>
                <w:lang w:val="en-AU"/>
              </w:rPr>
            </w:pPr>
            <w:r w:rsidRPr="003F2AFF">
              <w:rPr>
                <w:rFonts w:ascii="Zapf Dingbats" w:hAnsi="Zapf Dingbats" w:cs="Zapf Dingbats"/>
                <w:color w:val="222426"/>
                <w:sz w:val="23"/>
                <w:szCs w:val="23"/>
                <w:shd w:val="clear" w:color="auto" w:fill="FFFFFF"/>
                <w:lang w:val="en-AU"/>
              </w:rPr>
              <w:t>✔</w:t>
            </w:r>
          </w:p>
        </w:tc>
        <w:tc>
          <w:tcPr>
            <w:tcW w:w="1775" w:type="dxa"/>
          </w:tcPr>
          <w:p w14:paraId="30549E77" w14:textId="77777777" w:rsidR="00EE1AB2" w:rsidRPr="003F2AFF" w:rsidRDefault="003F2AFF" w:rsidP="003F2AFF">
            <w:pPr>
              <w:jc w:val="center"/>
              <w:rPr>
                <w:rFonts w:ascii="Webdings" w:hAnsi="Webdings"/>
                <w:lang w:val="en-AU"/>
              </w:rPr>
            </w:pPr>
            <w:r w:rsidRPr="003F2AFF">
              <w:rPr>
                <w:rFonts w:ascii="Zapf Dingbats" w:hAnsi="Zapf Dingbats" w:cs="Zapf Dingbats"/>
                <w:color w:val="222426"/>
                <w:sz w:val="23"/>
                <w:szCs w:val="23"/>
                <w:shd w:val="clear" w:color="auto" w:fill="FFFFFF"/>
                <w:lang w:val="en-AU"/>
              </w:rPr>
              <w:t>✔</w:t>
            </w:r>
          </w:p>
        </w:tc>
        <w:tc>
          <w:tcPr>
            <w:tcW w:w="1775" w:type="dxa"/>
          </w:tcPr>
          <w:p w14:paraId="3950154C" w14:textId="77777777" w:rsidR="00EE1AB2" w:rsidRPr="003F2AFF" w:rsidRDefault="00EE1AB2" w:rsidP="003F2AFF">
            <w:pPr>
              <w:jc w:val="center"/>
              <w:rPr>
                <w:rFonts w:ascii="Webdings" w:hAnsi="Webdings"/>
                <w:lang w:val="en-AU"/>
              </w:rPr>
            </w:pPr>
          </w:p>
        </w:tc>
      </w:tr>
      <w:tr w:rsidR="00EE1AB2" w:rsidRPr="00CF7CB1" w14:paraId="10317CA8" w14:textId="77777777" w:rsidTr="00EE1AB2">
        <w:tc>
          <w:tcPr>
            <w:tcW w:w="1774" w:type="dxa"/>
          </w:tcPr>
          <w:p w14:paraId="52849FAE" w14:textId="77777777" w:rsidR="00EE1AB2" w:rsidRPr="00CF7CB1" w:rsidRDefault="00EE1AB2" w:rsidP="00EE1AB2">
            <w:pPr>
              <w:rPr>
                <w:lang w:val="en-AU"/>
              </w:rPr>
            </w:pPr>
            <w:r w:rsidRPr="00CF7CB1">
              <w:rPr>
                <w:lang w:val="en-AU"/>
              </w:rPr>
              <w:t>Program Improvement</w:t>
            </w:r>
          </w:p>
        </w:tc>
        <w:tc>
          <w:tcPr>
            <w:tcW w:w="1775" w:type="dxa"/>
          </w:tcPr>
          <w:p w14:paraId="44EEA58F" w14:textId="77777777" w:rsidR="00EE1AB2" w:rsidRPr="003F2AFF" w:rsidRDefault="003F2AFF" w:rsidP="003F2AFF">
            <w:pPr>
              <w:jc w:val="center"/>
              <w:rPr>
                <w:rFonts w:ascii="Webdings" w:hAnsi="Webdings"/>
                <w:lang w:val="en-AU"/>
              </w:rPr>
            </w:pPr>
            <w:r w:rsidRPr="003F2AFF">
              <w:rPr>
                <w:rFonts w:ascii="Zapf Dingbats" w:hAnsi="Zapf Dingbats" w:cs="Zapf Dingbats"/>
                <w:color w:val="222426"/>
                <w:sz w:val="23"/>
                <w:szCs w:val="23"/>
                <w:shd w:val="clear" w:color="auto" w:fill="FFFFFF"/>
                <w:lang w:val="en-AU"/>
              </w:rPr>
              <w:t>✔</w:t>
            </w:r>
          </w:p>
        </w:tc>
        <w:tc>
          <w:tcPr>
            <w:tcW w:w="1775" w:type="dxa"/>
          </w:tcPr>
          <w:p w14:paraId="12524681" w14:textId="77777777" w:rsidR="00EE1AB2" w:rsidRPr="003F2AFF" w:rsidRDefault="00EE1AB2" w:rsidP="003F2AFF">
            <w:pPr>
              <w:jc w:val="center"/>
              <w:rPr>
                <w:rFonts w:ascii="Webdings" w:hAnsi="Webdings"/>
                <w:lang w:val="en-AU"/>
              </w:rPr>
            </w:pPr>
          </w:p>
        </w:tc>
        <w:tc>
          <w:tcPr>
            <w:tcW w:w="1775" w:type="dxa"/>
          </w:tcPr>
          <w:p w14:paraId="79677763" w14:textId="77777777" w:rsidR="00EE1AB2" w:rsidRPr="003F2AFF" w:rsidRDefault="00EE1AB2" w:rsidP="003F2AFF">
            <w:pPr>
              <w:jc w:val="center"/>
              <w:rPr>
                <w:rFonts w:ascii="Webdings" w:hAnsi="Webdings"/>
                <w:lang w:val="en-AU"/>
              </w:rPr>
            </w:pPr>
          </w:p>
        </w:tc>
        <w:tc>
          <w:tcPr>
            <w:tcW w:w="1775" w:type="dxa"/>
          </w:tcPr>
          <w:p w14:paraId="115BF778" w14:textId="77777777" w:rsidR="00EE1AB2" w:rsidRPr="003F2AFF" w:rsidRDefault="003F2AFF" w:rsidP="003F2AFF">
            <w:pPr>
              <w:jc w:val="center"/>
              <w:rPr>
                <w:rFonts w:ascii="Webdings" w:hAnsi="Webdings"/>
                <w:lang w:val="en-AU"/>
              </w:rPr>
            </w:pPr>
            <w:r w:rsidRPr="003F2AFF">
              <w:rPr>
                <w:rFonts w:ascii="Zapf Dingbats" w:hAnsi="Zapf Dingbats" w:cs="Zapf Dingbats"/>
                <w:color w:val="222426"/>
                <w:sz w:val="23"/>
                <w:szCs w:val="23"/>
                <w:shd w:val="clear" w:color="auto" w:fill="FFFFFF"/>
                <w:lang w:val="en-AU"/>
              </w:rPr>
              <w:t>✔</w:t>
            </w:r>
          </w:p>
        </w:tc>
      </w:tr>
      <w:tr w:rsidR="00EE1AB2" w:rsidRPr="00CF7CB1" w14:paraId="16492A50" w14:textId="77777777" w:rsidTr="00EE1AB2">
        <w:tc>
          <w:tcPr>
            <w:tcW w:w="1774" w:type="dxa"/>
          </w:tcPr>
          <w:p w14:paraId="5587E623" w14:textId="77777777" w:rsidR="00EE1AB2" w:rsidRPr="00CF7CB1" w:rsidRDefault="00EE1AB2" w:rsidP="00EE1AB2">
            <w:pPr>
              <w:rPr>
                <w:lang w:val="en-AU"/>
              </w:rPr>
            </w:pPr>
            <w:r w:rsidRPr="00CF7CB1">
              <w:rPr>
                <w:lang w:val="en-AU"/>
              </w:rPr>
              <w:t>Public Knowledge</w:t>
            </w:r>
          </w:p>
        </w:tc>
        <w:tc>
          <w:tcPr>
            <w:tcW w:w="1775" w:type="dxa"/>
          </w:tcPr>
          <w:p w14:paraId="5994B3E4" w14:textId="77777777" w:rsidR="00EE1AB2" w:rsidRPr="003F2AFF" w:rsidRDefault="003F2AFF" w:rsidP="003F2AFF">
            <w:pPr>
              <w:jc w:val="center"/>
              <w:rPr>
                <w:rFonts w:ascii="Webdings" w:hAnsi="Webdings"/>
                <w:lang w:val="en-AU"/>
              </w:rPr>
            </w:pPr>
            <w:r w:rsidRPr="003F2AFF">
              <w:rPr>
                <w:rFonts w:ascii="Zapf Dingbats" w:hAnsi="Zapf Dingbats" w:cs="Zapf Dingbats"/>
                <w:color w:val="222426"/>
                <w:sz w:val="23"/>
                <w:szCs w:val="23"/>
                <w:shd w:val="clear" w:color="auto" w:fill="FFFFFF"/>
                <w:lang w:val="en-AU"/>
              </w:rPr>
              <w:t>✔</w:t>
            </w:r>
          </w:p>
        </w:tc>
        <w:tc>
          <w:tcPr>
            <w:tcW w:w="1775" w:type="dxa"/>
          </w:tcPr>
          <w:p w14:paraId="38C6103D" w14:textId="77777777" w:rsidR="00EE1AB2" w:rsidRPr="003F2AFF" w:rsidRDefault="000F0FB8" w:rsidP="003F2AFF">
            <w:pPr>
              <w:jc w:val="center"/>
              <w:rPr>
                <w:rFonts w:ascii="Webdings" w:hAnsi="Webdings"/>
                <w:lang w:val="en-AU"/>
              </w:rPr>
            </w:pPr>
            <w:r w:rsidRPr="003F2AFF">
              <w:rPr>
                <w:rFonts w:ascii="Zapf Dingbats" w:hAnsi="Zapf Dingbats" w:cs="Zapf Dingbats"/>
                <w:color w:val="222426"/>
                <w:sz w:val="23"/>
                <w:szCs w:val="23"/>
                <w:shd w:val="clear" w:color="auto" w:fill="FFFFFF"/>
                <w:lang w:val="en-AU"/>
              </w:rPr>
              <w:t>✔</w:t>
            </w:r>
          </w:p>
        </w:tc>
        <w:tc>
          <w:tcPr>
            <w:tcW w:w="1775" w:type="dxa"/>
          </w:tcPr>
          <w:p w14:paraId="2169C8E8" w14:textId="77777777" w:rsidR="00EE1AB2" w:rsidRPr="003F2AFF" w:rsidRDefault="00EE1AB2" w:rsidP="003F2AFF">
            <w:pPr>
              <w:jc w:val="center"/>
              <w:rPr>
                <w:rFonts w:ascii="Webdings" w:hAnsi="Webdings"/>
                <w:lang w:val="en-AU"/>
              </w:rPr>
            </w:pPr>
          </w:p>
        </w:tc>
        <w:tc>
          <w:tcPr>
            <w:tcW w:w="1775" w:type="dxa"/>
          </w:tcPr>
          <w:p w14:paraId="724D3077" w14:textId="77777777" w:rsidR="00EE1AB2" w:rsidRPr="003F2AFF" w:rsidRDefault="00EE1AB2" w:rsidP="003F2AFF">
            <w:pPr>
              <w:jc w:val="center"/>
              <w:rPr>
                <w:rFonts w:ascii="Webdings" w:hAnsi="Webdings"/>
                <w:lang w:val="en-AU"/>
              </w:rPr>
            </w:pPr>
          </w:p>
        </w:tc>
      </w:tr>
    </w:tbl>
    <w:p w14:paraId="0FE8F3E4" w14:textId="77777777" w:rsidR="002C0001" w:rsidRPr="00CF7CB1" w:rsidRDefault="003B5312" w:rsidP="00683AAC">
      <w:pPr>
        <w:spacing w:before="120" w:after="120"/>
        <w:rPr>
          <w:lang w:val="en-AU"/>
        </w:rPr>
      </w:pPr>
      <w:r w:rsidRPr="00CF7CB1">
        <w:rPr>
          <w:lang w:val="en-AU"/>
        </w:rPr>
        <w:t xml:space="preserve">Annex </w:t>
      </w:r>
      <w:r w:rsidR="008D6E5F">
        <w:rPr>
          <w:lang w:val="en-AU"/>
        </w:rPr>
        <w:t>2</w:t>
      </w:r>
      <w:r w:rsidRPr="00CF7CB1">
        <w:rPr>
          <w:lang w:val="en-AU"/>
        </w:rPr>
        <w:t xml:space="preserve"> provides a more detailed review of the M&amp;E systems listed in Table 2 against good practice criteria.</w:t>
      </w:r>
    </w:p>
    <w:p w14:paraId="76E12779" w14:textId="77777777" w:rsidR="002C0001" w:rsidRPr="00CF7CB1" w:rsidRDefault="002C0001" w:rsidP="002C0001">
      <w:pPr>
        <w:rPr>
          <w:lang w:val="en-AU"/>
        </w:rPr>
      </w:pPr>
      <w:r w:rsidRPr="00CF7CB1">
        <w:rPr>
          <w:lang w:val="en-AU"/>
        </w:rPr>
        <w:br w:type="page"/>
      </w:r>
    </w:p>
    <w:p w14:paraId="36B44F42" w14:textId="77777777" w:rsidR="003B5312" w:rsidRPr="00CF7CB1" w:rsidRDefault="004251AC" w:rsidP="004251AC">
      <w:pPr>
        <w:pStyle w:val="Heading1"/>
        <w:rPr>
          <w:lang w:val="en-AU"/>
        </w:rPr>
      </w:pPr>
      <w:r w:rsidRPr="00CF7CB1">
        <w:rPr>
          <w:lang w:val="en-AU"/>
        </w:rPr>
        <w:t>Key findings and recommendations</w:t>
      </w:r>
    </w:p>
    <w:p w14:paraId="3E516C05" w14:textId="77777777" w:rsidR="003B5312" w:rsidRPr="00CF7CB1" w:rsidRDefault="003B5312" w:rsidP="00337BCF">
      <w:pPr>
        <w:spacing w:after="120"/>
        <w:rPr>
          <w:b/>
          <w:lang w:val="en-AU"/>
        </w:rPr>
      </w:pPr>
      <w:r w:rsidRPr="00CF7CB1">
        <w:rPr>
          <w:b/>
          <w:lang w:val="en-AU"/>
        </w:rPr>
        <w:t>DFAT investments in trade facilitation have been effective in addressing capacity issues, have the potential to make significant impacts to poverty reduction, and contain many elements of good global practice.</w:t>
      </w:r>
    </w:p>
    <w:p w14:paraId="54A9DBE0" w14:textId="77777777" w:rsidR="003B5312" w:rsidRPr="008F16D7" w:rsidRDefault="003B5312" w:rsidP="00BC5572">
      <w:pPr>
        <w:pStyle w:val="ListParagraph"/>
        <w:numPr>
          <w:ilvl w:val="0"/>
          <w:numId w:val="37"/>
        </w:numPr>
        <w:spacing w:after="120"/>
        <w:rPr>
          <w:lang w:val="en-AU"/>
        </w:rPr>
      </w:pPr>
      <w:r w:rsidRPr="008F16D7">
        <w:rPr>
          <w:lang w:val="en-AU"/>
        </w:rPr>
        <w:t>Australia’s trade facilitation investments have assisted partner countries in Asia and the Pacific to advance their trade liberalisation and domestic economic reform objectives to better integrate with regional and global economies. These investments work best when they:</w:t>
      </w:r>
    </w:p>
    <w:p w14:paraId="1364F4F9" w14:textId="77777777" w:rsidR="003B5312" w:rsidRPr="008F16D7" w:rsidRDefault="003B5312" w:rsidP="00BC5572">
      <w:pPr>
        <w:pStyle w:val="ListParagraph"/>
        <w:numPr>
          <w:ilvl w:val="1"/>
          <w:numId w:val="37"/>
        </w:numPr>
        <w:spacing w:after="120"/>
        <w:rPr>
          <w:lang w:val="en-AU"/>
        </w:rPr>
      </w:pPr>
      <w:r w:rsidRPr="008F16D7">
        <w:rPr>
          <w:lang w:val="en-AU"/>
        </w:rPr>
        <w:t>Are responsive to partner government priorities (recognising that trade liberalisation is a complex political and technical process);</w:t>
      </w:r>
    </w:p>
    <w:p w14:paraId="2316AAB5" w14:textId="77777777" w:rsidR="003B5312" w:rsidRPr="008F16D7" w:rsidRDefault="003B5312" w:rsidP="00BC5572">
      <w:pPr>
        <w:pStyle w:val="ListParagraph"/>
        <w:numPr>
          <w:ilvl w:val="1"/>
          <w:numId w:val="37"/>
        </w:numPr>
        <w:spacing w:after="120"/>
        <w:rPr>
          <w:lang w:val="en-AU"/>
        </w:rPr>
      </w:pPr>
      <w:r w:rsidRPr="008F16D7">
        <w:rPr>
          <w:lang w:val="en-AU"/>
        </w:rPr>
        <w:t>Complement and assist developing countries own efforts to boost economic growth; and</w:t>
      </w:r>
    </w:p>
    <w:p w14:paraId="379FA8B6" w14:textId="77777777" w:rsidR="003B5312" w:rsidRPr="008F16D7" w:rsidRDefault="003B5312" w:rsidP="00BC5572">
      <w:pPr>
        <w:pStyle w:val="ListParagraph"/>
        <w:numPr>
          <w:ilvl w:val="1"/>
          <w:numId w:val="37"/>
        </w:numPr>
        <w:spacing w:after="120"/>
        <w:rPr>
          <w:lang w:val="en-AU"/>
        </w:rPr>
      </w:pPr>
      <w:r w:rsidRPr="008F16D7">
        <w:rPr>
          <w:lang w:val="en-AU"/>
        </w:rPr>
        <w:t>Enable an environment f</w:t>
      </w:r>
      <w:r w:rsidR="0005369D" w:rsidRPr="008F16D7">
        <w:rPr>
          <w:lang w:val="en-AU"/>
        </w:rPr>
        <w:t xml:space="preserve">or innovation and </w:t>
      </w:r>
      <w:r w:rsidRPr="008F16D7">
        <w:rPr>
          <w:lang w:val="en-AU"/>
        </w:rPr>
        <w:t>competition.</w:t>
      </w:r>
    </w:p>
    <w:p w14:paraId="0318287C" w14:textId="77777777" w:rsidR="003B5312" w:rsidRPr="008F16D7" w:rsidRDefault="003B5312" w:rsidP="00BC5572">
      <w:pPr>
        <w:pStyle w:val="ListParagraph"/>
        <w:numPr>
          <w:ilvl w:val="0"/>
          <w:numId w:val="37"/>
        </w:numPr>
        <w:spacing w:after="120"/>
        <w:rPr>
          <w:lang w:val="en-AU"/>
        </w:rPr>
      </w:pPr>
      <w:r w:rsidRPr="008F16D7">
        <w:rPr>
          <w:lang w:val="en-AU"/>
        </w:rPr>
        <w:t>The evaluation found that DFAT’s investments have been effective in addressing capacity issues across a diverse range of areas. The flexibility in designs has enabled programs to be responsive to emerging needs. There are some good examples of well-targeted capacity development activities, such as customs training in Cambodia, that have demonstrated impressive multiplier effects and become institutionalised with minimal investment. However, others lack requisite institutional support to be sustained due to limited resources, particularly in the area of biosecurity for some ASEAN members.</w:t>
      </w:r>
    </w:p>
    <w:p w14:paraId="50D5D2C5" w14:textId="77777777" w:rsidR="008F16D7" w:rsidRDefault="003B5312" w:rsidP="00BC5572">
      <w:pPr>
        <w:pStyle w:val="ListParagraph"/>
        <w:numPr>
          <w:ilvl w:val="0"/>
          <w:numId w:val="37"/>
        </w:numPr>
        <w:spacing w:after="120"/>
        <w:rPr>
          <w:lang w:val="en-AU"/>
        </w:rPr>
      </w:pPr>
      <w:r w:rsidRPr="008F16D7">
        <w:rPr>
          <w:lang w:val="en-AU"/>
        </w:rPr>
        <w:t>In terms of broader economic and development outcomes the evaluation found that investments in trade facilitation have the potential to make significant impacts. There is evidence, through programs such as PHAMA in the Pacific and AECSP in South East Asia, that trade facilitation investments are reaching the poor by assisting local farmers and businesses to more efficiently trade. The supply chain networks established by exporters and intermediaries demonstrate potential to help women suppliers and business owners. The challenge is to establish causal attribution to the extent that outcomes can be quantified and programs can be optimised to deliver maximum impact.</w:t>
      </w:r>
    </w:p>
    <w:p w14:paraId="3603B27A" w14:textId="77777777" w:rsidR="003B5312" w:rsidRPr="008F16D7" w:rsidRDefault="003B5312" w:rsidP="00BC5572">
      <w:pPr>
        <w:pStyle w:val="ListParagraph"/>
        <w:numPr>
          <w:ilvl w:val="0"/>
          <w:numId w:val="37"/>
        </w:numPr>
        <w:spacing w:after="120"/>
        <w:rPr>
          <w:lang w:val="en-AU"/>
        </w:rPr>
      </w:pPr>
      <w:r w:rsidRPr="008F16D7">
        <w:rPr>
          <w:lang w:val="en-AU"/>
        </w:rPr>
        <w:t xml:space="preserve">DFAT investments were also found to contain many elements of good global practice   although not all were embodied in any one investment. The evaluation developed </w:t>
      </w:r>
      <w:r w:rsidR="0005369D" w:rsidRPr="008F16D7">
        <w:rPr>
          <w:lang w:val="en-AU"/>
        </w:rPr>
        <w:t>criteria from</w:t>
      </w:r>
      <w:r w:rsidRPr="008F16D7">
        <w:rPr>
          <w:lang w:val="en-AU"/>
        </w:rPr>
        <w:t xml:space="preserve"> eight themes of good practice discussed in the literature: (1) Government ownership;</w:t>
      </w:r>
      <w:r w:rsidR="008F16D7">
        <w:rPr>
          <w:lang w:val="en-AU"/>
        </w:rPr>
        <w:t xml:space="preserve"> </w:t>
      </w:r>
      <w:r w:rsidRPr="008F16D7">
        <w:rPr>
          <w:lang w:val="en-AU"/>
        </w:rPr>
        <w:t>(2) Private sector engagement; (3) Integrated approa</w:t>
      </w:r>
      <w:r w:rsidR="0005369D" w:rsidRPr="008F16D7">
        <w:rPr>
          <w:lang w:val="en-AU"/>
        </w:rPr>
        <w:t xml:space="preserve">ch; (4) Regional approach; (5) </w:t>
      </w:r>
      <w:r w:rsidRPr="008F16D7">
        <w:rPr>
          <w:lang w:val="en-AU"/>
        </w:rPr>
        <w:t>Addressing key constraints; (6) Gender equality and women’s economic empowerment; (7) Flexibility; and (8) Monitoring and Evaluation. Overall DFAT trade facilitation investments performed well in most areas with improvements identified in: adopting a more integrated approach; greater private sector engagement; placing a greater focus on the gender dimension; and strengthening monitoring and evaluation</w:t>
      </w:r>
      <w:r w:rsidR="00D62262" w:rsidRPr="008F16D7">
        <w:rPr>
          <w:lang w:val="en-AU"/>
        </w:rPr>
        <w:t xml:space="preserve"> </w:t>
      </w:r>
      <w:r w:rsidRPr="008F16D7">
        <w:rPr>
          <w:lang w:val="en-AU"/>
        </w:rPr>
        <w:t>systems.</w:t>
      </w:r>
    </w:p>
    <w:p w14:paraId="46E2B3CF" w14:textId="77777777" w:rsidR="003B5312" w:rsidRPr="008F16D7" w:rsidRDefault="003B5312" w:rsidP="00BC5572">
      <w:pPr>
        <w:pStyle w:val="ListParagraph"/>
        <w:numPr>
          <w:ilvl w:val="0"/>
          <w:numId w:val="37"/>
        </w:numPr>
        <w:spacing w:after="120"/>
        <w:rPr>
          <w:lang w:val="en-AU"/>
        </w:rPr>
      </w:pPr>
      <w:r w:rsidRPr="008F16D7">
        <w:rPr>
          <w:lang w:val="en-AU"/>
        </w:rPr>
        <w:t>The evaluation note</w:t>
      </w:r>
      <w:r w:rsidR="00D62262" w:rsidRPr="008F16D7">
        <w:rPr>
          <w:lang w:val="en-AU"/>
        </w:rPr>
        <w:t xml:space="preserve">d that the integration of DFAT </w:t>
      </w:r>
      <w:r w:rsidRPr="008F16D7">
        <w:rPr>
          <w:lang w:val="en-AU"/>
        </w:rPr>
        <w:t>with AusAID in 2013 has brought together</w:t>
      </w:r>
      <w:r w:rsidR="00D62262" w:rsidRPr="008F16D7">
        <w:rPr>
          <w:lang w:val="en-AU"/>
        </w:rPr>
        <w:t xml:space="preserve"> </w:t>
      </w:r>
      <w:r w:rsidRPr="008F16D7">
        <w:rPr>
          <w:lang w:val="en-AU"/>
        </w:rPr>
        <w:t>a range of aid and trade skill sets that when combined could effectively bring increased capacity to deliver innovative and effective trade facilitation initiatives.</w:t>
      </w:r>
      <w:r w:rsidR="00D62262" w:rsidRPr="008F16D7">
        <w:rPr>
          <w:lang w:val="en-AU"/>
        </w:rPr>
        <w:t xml:space="preserve"> </w:t>
      </w:r>
    </w:p>
    <w:p w14:paraId="0218DC9A" w14:textId="77777777" w:rsidR="008F16D7" w:rsidRDefault="003B5312" w:rsidP="00BC5572">
      <w:pPr>
        <w:pStyle w:val="ListParagraph"/>
        <w:numPr>
          <w:ilvl w:val="0"/>
          <w:numId w:val="37"/>
        </w:numPr>
        <w:spacing w:after="120"/>
        <w:rPr>
          <w:lang w:val="en-AU"/>
        </w:rPr>
      </w:pPr>
      <w:r w:rsidRPr="008F16D7">
        <w:rPr>
          <w:lang w:val="en-AU"/>
        </w:rPr>
        <w:t>The Australian Government’s commitment to improving gender equality and women’s economic empowerment provides an opportunity to influence trade facilitation program designs and implementation for better development</w:t>
      </w:r>
      <w:r w:rsidR="00D62262" w:rsidRPr="008F16D7">
        <w:rPr>
          <w:lang w:val="en-AU"/>
        </w:rPr>
        <w:t xml:space="preserve"> </w:t>
      </w:r>
      <w:r w:rsidRPr="008F16D7">
        <w:rPr>
          <w:lang w:val="en-AU"/>
        </w:rPr>
        <w:t>outcomes.</w:t>
      </w:r>
    </w:p>
    <w:p w14:paraId="0ED3AF9A" w14:textId="77777777" w:rsidR="003B5312" w:rsidRPr="008F16D7" w:rsidRDefault="003B5312" w:rsidP="00BC5572">
      <w:pPr>
        <w:pStyle w:val="ListParagraph"/>
        <w:numPr>
          <w:ilvl w:val="0"/>
          <w:numId w:val="37"/>
        </w:numPr>
        <w:spacing w:after="120"/>
        <w:rPr>
          <w:lang w:val="en-AU"/>
        </w:rPr>
      </w:pPr>
      <w:r w:rsidRPr="008F16D7">
        <w:rPr>
          <w:lang w:val="en-AU"/>
        </w:rPr>
        <w:t>The evaluation noted that the assessed investments were designed prior to Aid for Trade becoming a strategic aid program priority in 2014 and the release of the Aid for Trade Strategy in 2015. However</w:t>
      </w:r>
      <w:r w:rsidR="00432776">
        <w:rPr>
          <w:lang w:val="en-AU"/>
        </w:rPr>
        <w:t>,</w:t>
      </w:r>
      <w:r w:rsidRPr="008F16D7">
        <w:rPr>
          <w:lang w:val="en-AU"/>
        </w:rPr>
        <w:t xml:space="preserve"> the evaluation found that with increasing knowledge and guidance within the department, this trend is shifting and notable progress is being made</w:t>
      </w:r>
      <w:r w:rsidR="00D62262" w:rsidRPr="008F16D7">
        <w:rPr>
          <w:lang w:val="en-AU"/>
        </w:rPr>
        <w:t xml:space="preserve"> </w:t>
      </w:r>
      <w:r w:rsidRPr="008F16D7">
        <w:rPr>
          <w:lang w:val="en-AU"/>
        </w:rPr>
        <w:t xml:space="preserve">to address some of the findings and recommendations for trade facilitation </w:t>
      </w:r>
      <w:r w:rsidR="0005369D" w:rsidRPr="008F16D7">
        <w:rPr>
          <w:lang w:val="en-AU"/>
        </w:rPr>
        <w:t>investments more</w:t>
      </w:r>
      <w:r w:rsidRPr="008F16D7">
        <w:rPr>
          <w:lang w:val="en-AU"/>
        </w:rPr>
        <w:t xml:space="preserve"> broadly.</w:t>
      </w:r>
    </w:p>
    <w:p w14:paraId="6A046E80" w14:textId="77777777" w:rsidR="003B5312" w:rsidRPr="00CF7CB1" w:rsidRDefault="003B5312" w:rsidP="00337BCF">
      <w:pPr>
        <w:spacing w:after="120"/>
        <w:rPr>
          <w:b/>
          <w:lang w:val="en-AU"/>
        </w:rPr>
      </w:pPr>
      <w:r w:rsidRPr="00CF7CB1">
        <w:rPr>
          <w:b/>
          <w:lang w:val="en-AU"/>
        </w:rPr>
        <w:t>There is a need for an integrated framework which applies to a trade facilitation investment.</w:t>
      </w:r>
    </w:p>
    <w:p w14:paraId="47102740" w14:textId="77777777" w:rsidR="003B5312" w:rsidRPr="008F16D7" w:rsidRDefault="003B5312" w:rsidP="00BC5572">
      <w:pPr>
        <w:pStyle w:val="ListParagraph"/>
        <w:numPr>
          <w:ilvl w:val="0"/>
          <w:numId w:val="37"/>
        </w:numPr>
        <w:spacing w:after="120"/>
        <w:rPr>
          <w:lang w:val="en-AU"/>
        </w:rPr>
      </w:pPr>
      <w:r w:rsidRPr="008F16D7">
        <w:rPr>
          <w:lang w:val="en-AU"/>
        </w:rPr>
        <w:t>An integrated framework includes a technical and political economy analysis, design and program logic and a performance   framework:</w:t>
      </w:r>
    </w:p>
    <w:p w14:paraId="51BE9AAA" w14:textId="77777777" w:rsidR="003B5312" w:rsidRPr="008F16D7" w:rsidRDefault="003B5312" w:rsidP="00BC5572">
      <w:pPr>
        <w:pStyle w:val="ListParagraph"/>
        <w:numPr>
          <w:ilvl w:val="1"/>
          <w:numId w:val="37"/>
        </w:numPr>
        <w:spacing w:after="120"/>
        <w:ind w:left="851" w:hanging="425"/>
        <w:rPr>
          <w:lang w:val="en-AU"/>
        </w:rPr>
      </w:pPr>
      <w:r w:rsidRPr="008F16D7">
        <w:rPr>
          <w:lang w:val="en-AU"/>
        </w:rPr>
        <w:t>Clearly articulated program logic model, showing the relationships between the resources, activities, outputs and outcomes or desired impact.</w:t>
      </w:r>
    </w:p>
    <w:p w14:paraId="1840527D" w14:textId="77777777" w:rsidR="003B5312" w:rsidRPr="008F16D7" w:rsidRDefault="003B5312" w:rsidP="00BC5572">
      <w:pPr>
        <w:pStyle w:val="ListParagraph"/>
        <w:numPr>
          <w:ilvl w:val="1"/>
          <w:numId w:val="37"/>
        </w:numPr>
        <w:spacing w:after="120"/>
        <w:ind w:left="851" w:hanging="425"/>
        <w:rPr>
          <w:lang w:val="en-AU"/>
        </w:rPr>
      </w:pPr>
      <w:r w:rsidRPr="008F16D7">
        <w:rPr>
          <w:lang w:val="en-AU"/>
        </w:rPr>
        <w:t>Strategies on how capacities built during the program would be sustained.</w:t>
      </w:r>
    </w:p>
    <w:p w14:paraId="76A93A02" w14:textId="77777777" w:rsidR="003B5312" w:rsidRPr="008F16D7" w:rsidRDefault="003B5312" w:rsidP="00BC5572">
      <w:pPr>
        <w:pStyle w:val="ListParagraph"/>
        <w:numPr>
          <w:ilvl w:val="1"/>
          <w:numId w:val="37"/>
        </w:numPr>
        <w:spacing w:after="120"/>
        <w:ind w:left="851" w:hanging="425"/>
        <w:rPr>
          <w:lang w:val="en-AU"/>
        </w:rPr>
      </w:pPr>
      <w:r w:rsidRPr="008F16D7">
        <w:rPr>
          <w:lang w:val="en-AU"/>
        </w:rPr>
        <w:t>Adequate institutional strengthening support to complement the capacity building efforts.</w:t>
      </w:r>
    </w:p>
    <w:p w14:paraId="55234C32" w14:textId="77777777" w:rsidR="003B5312" w:rsidRPr="008F16D7" w:rsidRDefault="003B5312" w:rsidP="00BC5572">
      <w:pPr>
        <w:pStyle w:val="ListParagraph"/>
        <w:numPr>
          <w:ilvl w:val="1"/>
          <w:numId w:val="37"/>
        </w:numPr>
        <w:spacing w:after="120"/>
        <w:ind w:left="851" w:hanging="425"/>
        <w:rPr>
          <w:lang w:val="en-AU"/>
        </w:rPr>
      </w:pPr>
      <w:r w:rsidRPr="008F16D7">
        <w:rPr>
          <w:lang w:val="en-AU"/>
        </w:rPr>
        <w:t>Consideration of the time frames required for trade reforms, level of political commitment</w:t>
      </w:r>
      <w:r w:rsidR="0005369D" w:rsidRPr="008F16D7">
        <w:rPr>
          <w:lang w:val="en-AU"/>
        </w:rPr>
        <w:t>, and other ODA</w:t>
      </w:r>
      <w:r w:rsidRPr="008F16D7">
        <w:rPr>
          <w:lang w:val="en-AU"/>
        </w:rPr>
        <w:t xml:space="preserve"> activities.</w:t>
      </w:r>
    </w:p>
    <w:p w14:paraId="462F028A" w14:textId="77777777" w:rsidR="003B5312" w:rsidRPr="008F16D7" w:rsidRDefault="003B5312" w:rsidP="00BC5572">
      <w:pPr>
        <w:pStyle w:val="ListParagraph"/>
        <w:numPr>
          <w:ilvl w:val="1"/>
          <w:numId w:val="37"/>
        </w:numPr>
        <w:spacing w:after="120"/>
        <w:ind w:left="851" w:hanging="425"/>
        <w:rPr>
          <w:lang w:val="en-AU"/>
        </w:rPr>
      </w:pPr>
      <w:r w:rsidRPr="008F16D7">
        <w:rPr>
          <w:lang w:val="en-AU"/>
        </w:rPr>
        <w:t>Coordination with other donors and other areas of trade facilitation—recognising that the binding constraints to increasing trade and economic growth may be deficiencies in productive capacity and economic infrastructure.</w:t>
      </w:r>
    </w:p>
    <w:p w14:paraId="148142F3" w14:textId="77777777" w:rsidR="003B5312" w:rsidRPr="008F16D7" w:rsidRDefault="003B5312" w:rsidP="00BC5572">
      <w:pPr>
        <w:pStyle w:val="ListParagraph"/>
        <w:numPr>
          <w:ilvl w:val="1"/>
          <w:numId w:val="37"/>
        </w:numPr>
        <w:spacing w:after="120"/>
        <w:ind w:left="851" w:hanging="425"/>
        <w:rPr>
          <w:lang w:val="en-AU"/>
        </w:rPr>
      </w:pPr>
      <w:r w:rsidRPr="008F16D7">
        <w:rPr>
          <w:lang w:val="en-AU"/>
        </w:rPr>
        <w:t>There should be focus on improving analysis of investment impacts, but recognising</w:t>
      </w:r>
      <w:r w:rsidR="00D62262" w:rsidRPr="008F16D7">
        <w:rPr>
          <w:lang w:val="en-AU"/>
        </w:rPr>
        <w:t xml:space="preserve"> </w:t>
      </w:r>
      <w:r w:rsidRPr="008F16D7">
        <w:rPr>
          <w:lang w:val="en-AU"/>
        </w:rPr>
        <w:t>it may be more realistic to focus on ‘contribution’ than ‘attribution’. International indicators should be adopted where applicable given the regio</w:t>
      </w:r>
      <w:r w:rsidR="0005369D" w:rsidRPr="008F16D7">
        <w:rPr>
          <w:lang w:val="en-AU"/>
        </w:rPr>
        <w:t xml:space="preserve">nal and global nature of trade acilitation </w:t>
      </w:r>
      <w:r w:rsidRPr="008F16D7">
        <w:rPr>
          <w:lang w:val="en-AU"/>
        </w:rPr>
        <w:t>interventions.</w:t>
      </w:r>
    </w:p>
    <w:p w14:paraId="3DF21D73" w14:textId="77777777" w:rsidR="003B5312" w:rsidRPr="008F16D7" w:rsidRDefault="003B5312" w:rsidP="00BC5572">
      <w:pPr>
        <w:pStyle w:val="ListParagraph"/>
        <w:numPr>
          <w:ilvl w:val="1"/>
          <w:numId w:val="37"/>
        </w:numPr>
        <w:spacing w:after="120"/>
        <w:ind w:left="851" w:hanging="425"/>
        <w:rPr>
          <w:lang w:val="en-AU"/>
        </w:rPr>
      </w:pPr>
      <w:r w:rsidRPr="008F16D7">
        <w:rPr>
          <w:lang w:val="en-AU"/>
        </w:rPr>
        <w:t>Identification of gender specific challenges and practical strategies to address those challenges (going beyond collecting numbers for attendances but focussing on leadership abilities obtained by women, or economic gains experienced).</w:t>
      </w:r>
    </w:p>
    <w:p w14:paraId="0C608EF6" w14:textId="77777777" w:rsidR="003B5312" w:rsidRPr="008F16D7" w:rsidRDefault="003B5312" w:rsidP="00BC5572">
      <w:pPr>
        <w:pStyle w:val="ListParagraph"/>
        <w:numPr>
          <w:ilvl w:val="1"/>
          <w:numId w:val="37"/>
        </w:numPr>
        <w:spacing w:after="120"/>
        <w:ind w:left="851" w:hanging="425"/>
        <w:rPr>
          <w:lang w:val="en-AU"/>
        </w:rPr>
      </w:pPr>
      <w:r w:rsidRPr="008F16D7">
        <w:rPr>
          <w:lang w:val="en-AU"/>
        </w:rPr>
        <w:t>Strong monitoring and evaluation which assesses and establishes the impact of trade facilitation activities and their contribution to improved trade and higher level outcomes such as economic growth and poverty reduction. M&amp;E systems of the assessed</w:t>
      </w:r>
      <w:r w:rsidR="0005369D" w:rsidRPr="008F16D7">
        <w:rPr>
          <w:lang w:val="en-AU"/>
        </w:rPr>
        <w:t xml:space="preserve"> </w:t>
      </w:r>
      <w:r w:rsidRPr="008F16D7">
        <w:rPr>
          <w:lang w:val="en-AU"/>
        </w:rPr>
        <w:t xml:space="preserve">interventions need strengthening in order to measure program impacts </w:t>
      </w:r>
      <w:r w:rsidR="0005369D" w:rsidRPr="008F16D7">
        <w:rPr>
          <w:lang w:val="en-AU"/>
        </w:rPr>
        <w:t>and enable causal attribution to</w:t>
      </w:r>
      <w:r w:rsidRPr="008F16D7">
        <w:rPr>
          <w:lang w:val="en-AU"/>
        </w:rPr>
        <w:t xml:space="preserve"> the investments.</w:t>
      </w:r>
      <w:r w:rsidR="00D62262" w:rsidRPr="008F16D7">
        <w:rPr>
          <w:lang w:val="en-AU"/>
        </w:rPr>
        <w:t xml:space="preserve"> </w:t>
      </w:r>
    </w:p>
    <w:p w14:paraId="6F592019" w14:textId="77777777" w:rsidR="00CA4F66" w:rsidRPr="00CF7CB1" w:rsidRDefault="00CA4F66" w:rsidP="00ED666F">
      <w:pPr>
        <w:pBdr>
          <w:top w:val="single" w:sz="4" w:space="1" w:color="auto"/>
          <w:left w:val="single" w:sz="4" w:space="4" w:color="auto"/>
          <w:bottom w:val="single" w:sz="4" w:space="1" w:color="auto"/>
          <w:right w:val="single" w:sz="4" w:space="4" w:color="auto"/>
        </w:pBdr>
        <w:spacing w:after="120"/>
        <w:rPr>
          <w:lang w:val="en-AU"/>
        </w:rPr>
      </w:pPr>
      <w:r w:rsidRPr="00CF7CB1">
        <w:rPr>
          <w:b/>
          <w:lang w:val="en-AU"/>
        </w:rPr>
        <w:t>Recommendation</w:t>
      </w:r>
      <w:r w:rsidRPr="00CF7CB1">
        <w:rPr>
          <w:lang w:val="en-AU"/>
        </w:rPr>
        <w:t xml:space="preserve"> 1</w:t>
      </w:r>
    </w:p>
    <w:p w14:paraId="493149C8" w14:textId="77777777" w:rsidR="00CA4F66" w:rsidRPr="00CF7CB1" w:rsidRDefault="00CA4F66" w:rsidP="00ED666F">
      <w:pPr>
        <w:pBdr>
          <w:top w:val="single" w:sz="4" w:space="1" w:color="auto"/>
          <w:left w:val="single" w:sz="4" w:space="4" w:color="auto"/>
          <w:bottom w:val="single" w:sz="4" w:space="1" w:color="auto"/>
          <w:right w:val="single" w:sz="4" w:space="4" w:color="auto"/>
        </w:pBdr>
        <w:spacing w:after="120"/>
        <w:rPr>
          <w:lang w:val="en-AU"/>
        </w:rPr>
      </w:pPr>
      <w:r w:rsidRPr="00CF7CB1">
        <w:rPr>
          <w:lang w:val="en-AU"/>
        </w:rPr>
        <w:t>Investment in capacity development for trade facilitation initiatives should be guided by an integrated framework that promotes sustainable outcomes, including institutional strengthening, and without compromising flexible and responsive approaches to address emerging constraints and opportunities. An integrated framework includes a technical and political economy analysis, design and program logic and a performance framework.</w:t>
      </w:r>
    </w:p>
    <w:p w14:paraId="02E84A50" w14:textId="77777777" w:rsidR="00ED666F" w:rsidRPr="00CF7CB1" w:rsidRDefault="00ED666F" w:rsidP="00337BCF">
      <w:pPr>
        <w:spacing w:after="120"/>
        <w:rPr>
          <w:b/>
          <w:lang w:val="en-AU"/>
        </w:rPr>
      </w:pPr>
    </w:p>
    <w:p w14:paraId="24778B92" w14:textId="77777777" w:rsidR="00ED666F" w:rsidRPr="00CF7CB1" w:rsidRDefault="00ED666F" w:rsidP="00ED666F">
      <w:pPr>
        <w:pBdr>
          <w:top w:val="single" w:sz="4" w:space="1" w:color="auto"/>
          <w:left w:val="single" w:sz="4" w:space="4" w:color="auto"/>
          <w:bottom w:val="single" w:sz="4" w:space="1" w:color="auto"/>
          <w:right w:val="single" w:sz="4" w:space="4" w:color="auto"/>
        </w:pBdr>
        <w:spacing w:after="120"/>
        <w:rPr>
          <w:b/>
          <w:lang w:val="en-AU"/>
        </w:rPr>
      </w:pPr>
      <w:r w:rsidRPr="00CF7CB1">
        <w:rPr>
          <w:b/>
          <w:lang w:val="en-AU"/>
        </w:rPr>
        <w:t>Recommendation 2</w:t>
      </w:r>
    </w:p>
    <w:p w14:paraId="193235D6" w14:textId="77777777" w:rsidR="00ED666F" w:rsidRPr="00CF7CB1" w:rsidRDefault="00ED666F" w:rsidP="00ED666F">
      <w:pPr>
        <w:pBdr>
          <w:top w:val="single" w:sz="4" w:space="1" w:color="auto"/>
          <w:left w:val="single" w:sz="4" w:space="4" w:color="auto"/>
          <w:bottom w:val="single" w:sz="4" w:space="1" w:color="auto"/>
          <w:right w:val="single" w:sz="4" w:space="4" w:color="auto"/>
        </w:pBdr>
        <w:spacing w:after="120"/>
        <w:rPr>
          <w:lang w:val="en-AU"/>
        </w:rPr>
      </w:pPr>
      <w:r w:rsidRPr="00CF7CB1">
        <w:rPr>
          <w:lang w:val="en-AU"/>
        </w:rPr>
        <w:t>DFAT should continue to build on its experience in incorporating gender and trade in its programs, and ensure all future trade facilitation program designs adequately consider gender dimensions and an analysis of gender gaps. Gender equality and women’s empowerment objectives should be explicitly stated as development goals in the designs, identified in the program logic models, and monitored and evaluated using gender indicators and sex-disaggregation of data related to people. Good international practice should be followed around analysis of gender equality gaps.</w:t>
      </w:r>
    </w:p>
    <w:p w14:paraId="36481C66" w14:textId="77777777" w:rsidR="003B5312" w:rsidRPr="00CF7CB1" w:rsidRDefault="003B5312" w:rsidP="00337BCF">
      <w:pPr>
        <w:spacing w:after="120"/>
        <w:rPr>
          <w:b/>
          <w:lang w:val="en-AU"/>
        </w:rPr>
      </w:pPr>
      <w:r w:rsidRPr="00CF7CB1">
        <w:rPr>
          <w:b/>
          <w:lang w:val="en-AU"/>
        </w:rPr>
        <w:t>Trade facilitation investments need to be flexible, linked to government priorities, private sector priorities and require partner government ownership to be successful.</w:t>
      </w:r>
    </w:p>
    <w:p w14:paraId="07763DBD" w14:textId="77777777" w:rsidR="003B5312" w:rsidRPr="008F16D7" w:rsidRDefault="003B5312" w:rsidP="00BC5572">
      <w:pPr>
        <w:pStyle w:val="ListParagraph"/>
        <w:numPr>
          <w:ilvl w:val="0"/>
          <w:numId w:val="37"/>
        </w:numPr>
        <w:spacing w:after="120"/>
        <w:rPr>
          <w:lang w:val="en-AU"/>
        </w:rPr>
      </w:pPr>
      <w:r w:rsidRPr="008F16D7">
        <w:rPr>
          <w:lang w:val="en-AU"/>
        </w:rPr>
        <w:t>Trade facilitation interventions require flexible approaches as trade facilitation is a complex long- term process. Lack of capacity, political and economic events, use of different approaches by different countries to address the same trade issues, requires flexibility in implementation. Furthermore, capacity building and gender aspects can take many years to develop and translate into practices and reformed attitudes.</w:t>
      </w:r>
    </w:p>
    <w:p w14:paraId="5E2B367A" w14:textId="77777777" w:rsidR="003B5312" w:rsidRPr="008F16D7" w:rsidRDefault="003B5312" w:rsidP="00BC5572">
      <w:pPr>
        <w:pStyle w:val="ListParagraph"/>
        <w:numPr>
          <w:ilvl w:val="0"/>
          <w:numId w:val="37"/>
        </w:numPr>
        <w:spacing w:after="120"/>
        <w:rPr>
          <w:lang w:val="en-AU"/>
        </w:rPr>
      </w:pPr>
      <w:r w:rsidRPr="008F16D7">
        <w:rPr>
          <w:lang w:val="en-AU"/>
        </w:rPr>
        <w:t>Government to government approaches are critical in maintaining political ownership and continuing economic engagement, while recognising the resource intensive nature of such engagement.</w:t>
      </w:r>
    </w:p>
    <w:p w14:paraId="3AD5D6B7" w14:textId="77777777" w:rsidR="003B5312" w:rsidRPr="008F16D7" w:rsidRDefault="003B5312" w:rsidP="00BC5572">
      <w:pPr>
        <w:pStyle w:val="ListParagraph"/>
        <w:numPr>
          <w:ilvl w:val="0"/>
          <w:numId w:val="37"/>
        </w:numPr>
        <w:spacing w:after="120"/>
        <w:rPr>
          <w:lang w:val="en-AU"/>
        </w:rPr>
      </w:pPr>
      <w:r w:rsidRPr="008F16D7">
        <w:rPr>
          <w:lang w:val="en-AU"/>
        </w:rPr>
        <w:t>Political will, commitment and ownership by the partner government is another critical</w:t>
      </w:r>
      <w:r w:rsidR="00D62262" w:rsidRPr="008F16D7">
        <w:rPr>
          <w:lang w:val="en-AU"/>
        </w:rPr>
        <w:t xml:space="preserve"> </w:t>
      </w:r>
      <w:r w:rsidRPr="008F16D7">
        <w:rPr>
          <w:lang w:val="en-AU"/>
        </w:rPr>
        <w:t>factor. Partner governments need to be committed to introduce or continue reforms and ultimately support and sustain trade facilitation projects. While it is acknowledged that governments generally lack the capacity and resources for such reforms, donors can make  use of the Diagnostic Trade Integration Studies (DTIS) through the Enhan</w:t>
      </w:r>
      <w:r w:rsidR="0005369D" w:rsidRPr="008F16D7">
        <w:rPr>
          <w:lang w:val="en-AU"/>
        </w:rPr>
        <w:t>ced Integrated Framework (EIF)</w:t>
      </w:r>
      <w:r w:rsidR="0005369D" w:rsidRPr="00CF7CB1">
        <w:rPr>
          <w:rStyle w:val="FootnoteReference"/>
          <w:lang w:val="en-AU"/>
        </w:rPr>
        <w:footnoteReference w:id="60"/>
      </w:r>
      <w:r w:rsidRPr="008F16D7">
        <w:rPr>
          <w:lang w:val="en-AU"/>
        </w:rPr>
        <w:t>, which provide a well-recognised mechanism for country diagnostics and engage</w:t>
      </w:r>
      <w:r w:rsidR="0005369D" w:rsidRPr="008F16D7">
        <w:rPr>
          <w:lang w:val="en-AU"/>
        </w:rPr>
        <w:t xml:space="preserve">ment on the key trade reforms </w:t>
      </w:r>
      <w:r w:rsidRPr="008F16D7">
        <w:rPr>
          <w:lang w:val="en-AU"/>
        </w:rPr>
        <w:t>needed.</w:t>
      </w:r>
    </w:p>
    <w:p w14:paraId="389AEFA4" w14:textId="77777777" w:rsidR="003B5312" w:rsidRPr="008F16D7" w:rsidRDefault="003B5312" w:rsidP="00BC5572">
      <w:pPr>
        <w:pStyle w:val="ListParagraph"/>
        <w:numPr>
          <w:ilvl w:val="0"/>
          <w:numId w:val="37"/>
        </w:numPr>
        <w:spacing w:after="120"/>
        <w:rPr>
          <w:lang w:val="en-AU"/>
        </w:rPr>
      </w:pPr>
      <w:r w:rsidRPr="008F16D7">
        <w:rPr>
          <w:lang w:val="en-AU"/>
        </w:rPr>
        <w:t>Design and implementation of trade facilitation activities, particularly related to trade facilitation, requires strong support within the private sector. Governments and the private sector need to work closely together to identify viable opportunities and address barriers to trade. This is particularly relevant to sanitary and phytosanitary (SPS) measures that can restrict market access. It is acknowledged that some parts of the private sector may not support international trade liberalisation and that governments have different levels of incentives in interacting with private sector representatives.</w:t>
      </w:r>
      <w:r w:rsidR="00D62262" w:rsidRPr="008F16D7">
        <w:rPr>
          <w:lang w:val="en-AU"/>
        </w:rPr>
        <w:t xml:space="preserve"> </w:t>
      </w:r>
    </w:p>
    <w:p w14:paraId="2AE83328" w14:textId="77777777" w:rsidR="00857902" w:rsidRPr="00CF7CB1" w:rsidRDefault="00857902" w:rsidP="00857902">
      <w:pPr>
        <w:pBdr>
          <w:top w:val="single" w:sz="4" w:space="1" w:color="auto"/>
          <w:left w:val="single" w:sz="4" w:space="4" w:color="auto"/>
          <w:bottom w:val="single" w:sz="4" w:space="1" w:color="auto"/>
          <w:right w:val="single" w:sz="4" w:space="4" w:color="auto"/>
        </w:pBdr>
        <w:spacing w:after="120"/>
        <w:rPr>
          <w:b/>
          <w:lang w:val="en-AU"/>
        </w:rPr>
      </w:pPr>
      <w:r w:rsidRPr="00CF7CB1">
        <w:rPr>
          <w:b/>
          <w:lang w:val="en-AU"/>
        </w:rPr>
        <w:t>Recommendation 3</w:t>
      </w:r>
    </w:p>
    <w:p w14:paraId="28FF516F" w14:textId="77777777" w:rsidR="00857902" w:rsidRPr="00CF7CB1" w:rsidRDefault="00857902" w:rsidP="00857902">
      <w:pPr>
        <w:pBdr>
          <w:top w:val="single" w:sz="4" w:space="1" w:color="auto"/>
          <w:left w:val="single" w:sz="4" w:space="4" w:color="auto"/>
          <w:bottom w:val="single" w:sz="4" w:space="1" w:color="auto"/>
          <w:right w:val="single" w:sz="4" w:space="4" w:color="auto"/>
        </w:pBdr>
        <w:spacing w:after="120"/>
        <w:rPr>
          <w:lang w:val="en-AU"/>
        </w:rPr>
      </w:pPr>
      <w:r w:rsidRPr="00CF7CB1">
        <w:rPr>
          <w:lang w:val="en-AU"/>
        </w:rPr>
        <w:t>DFAT trade facilitation initiatives should include private sector engagement considerations throughout key stages, including planning and design. The investments should include an element of strong public-private dialogue particularly in partner countries.</w:t>
      </w:r>
    </w:p>
    <w:p w14:paraId="65E3E93C" w14:textId="77777777" w:rsidR="003B5312" w:rsidRPr="00CF7CB1" w:rsidRDefault="003B5312" w:rsidP="00337BCF">
      <w:pPr>
        <w:spacing w:after="120"/>
        <w:rPr>
          <w:b/>
          <w:lang w:val="en-AU"/>
        </w:rPr>
      </w:pPr>
      <w:r w:rsidRPr="00CF7CB1">
        <w:rPr>
          <w:b/>
          <w:lang w:val="en-AU"/>
        </w:rPr>
        <w:t>Internal coordination and communication between Australia’s bilateral, regional and global programs needs to be strengthened. This can be done by introducing shared values and implementable incentives for cooperation across regional and bilateral programs.</w:t>
      </w:r>
    </w:p>
    <w:p w14:paraId="7377A1CC" w14:textId="77777777" w:rsidR="003B5312" w:rsidRPr="008F16D7" w:rsidRDefault="003B5312" w:rsidP="00BC5572">
      <w:pPr>
        <w:pStyle w:val="ListParagraph"/>
        <w:numPr>
          <w:ilvl w:val="0"/>
          <w:numId w:val="37"/>
        </w:numPr>
        <w:spacing w:after="120"/>
        <w:rPr>
          <w:lang w:val="en-AU"/>
        </w:rPr>
      </w:pPr>
      <w:r w:rsidRPr="008F16D7">
        <w:rPr>
          <w:lang w:val="en-AU"/>
        </w:rPr>
        <w:t>Given the cross-border nature of trade facilitation, regional approaches are often required. By its nature trade is regional and production characterised by global and regional value chains. Bilateral aid programs can complement regional initiatives by assisting partners to implement trade agreements or unilateral reforms.</w:t>
      </w:r>
    </w:p>
    <w:p w14:paraId="4F870ABE" w14:textId="77777777" w:rsidR="003B5312" w:rsidRPr="008F16D7" w:rsidRDefault="003B5312" w:rsidP="00BC5572">
      <w:pPr>
        <w:pStyle w:val="ListParagraph"/>
        <w:numPr>
          <w:ilvl w:val="0"/>
          <w:numId w:val="37"/>
        </w:numPr>
        <w:spacing w:after="120"/>
        <w:rPr>
          <w:lang w:val="en-AU"/>
        </w:rPr>
      </w:pPr>
      <w:r w:rsidRPr="008F16D7">
        <w:rPr>
          <w:lang w:val="en-AU"/>
        </w:rPr>
        <w:t>Improving communication and coordination between bilateral, regional and global program managers as well as with other government bodies (e.g. Australia Centre for International Agricultural Research (ACIAR), Department of Agriculture, Customs) is required to minimise overlap and maximise opportunities for effective cooperation. There is a role for DFAT’s</w:t>
      </w:r>
      <w:r w:rsidR="00D62262" w:rsidRPr="008F16D7">
        <w:rPr>
          <w:lang w:val="en-AU"/>
        </w:rPr>
        <w:t xml:space="preserve"> </w:t>
      </w:r>
      <w:r w:rsidRPr="008F16D7">
        <w:rPr>
          <w:lang w:val="en-AU"/>
        </w:rPr>
        <w:t>Office of Trade Negotiations to work with DFAT’s geographic divisions and posts to build understanding of trade facilitation and identify how existing and future investments can</w:t>
      </w:r>
      <w:r w:rsidR="00D62262" w:rsidRPr="008F16D7">
        <w:rPr>
          <w:lang w:val="en-AU"/>
        </w:rPr>
        <w:t xml:space="preserve"> </w:t>
      </w:r>
      <w:r w:rsidRPr="008F16D7">
        <w:rPr>
          <w:lang w:val="en-AU"/>
        </w:rPr>
        <w:t>work more effectively together and avoid</w:t>
      </w:r>
      <w:r w:rsidR="00D62262" w:rsidRPr="008F16D7">
        <w:rPr>
          <w:lang w:val="en-AU"/>
        </w:rPr>
        <w:t xml:space="preserve"> </w:t>
      </w:r>
      <w:r w:rsidRPr="008F16D7">
        <w:rPr>
          <w:lang w:val="en-AU"/>
        </w:rPr>
        <w:t>duplication.</w:t>
      </w:r>
    </w:p>
    <w:p w14:paraId="0AB3E9C7" w14:textId="77777777" w:rsidR="003B5312" w:rsidRPr="008F16D7" w:rsidRDefault="003B5312" w:rsidP="00BC5572">
      <w:pPr>
        <w:pStyle w:val="ListParagraph"/>
        <w:numPr>
          <w:ilvl w:val="0"/>
          <w:numId w:val="37"/>
        </w:numPr>
        <w:spacing w:after="120"/>
        <w:rPr>
          <w:lang w:val="en-AU"/>
        </w:rPr>
      </w:pPr>
      <w:r w:rsidRPr="008F16D7">
        <w:rPr>
          <w:lang w:val="en-AU"/>
        </w:rPr>
        <w:t>DFAT’s aid investment plans, designs and agreements should also be used to identify areas of duplication, complementarities and linkages. The DFAT Aid Quality Check template currently requires staff to rate how well investments are harmonised with other donors. This requirement should be broadened to include harmonsation with other Australian investments.</w:t>
      </w:r>
    </w:p>
    <w:p w14:paraId="331C2719" w14:textId="77777777" w:rsidR="00E1231C" w:rsidRDefault="003B5312" w:rsidP="00BC5572">
      <w:pPr>
        <w:pStyle w:val="ListParagraph"/>
        <w:numPr>
          <w:ilvl w:val="0"/>
          <w:numId w:val="37"/>
        </w:numPr>
        <w:spacing w:after="120"/>
        <w:rPr>
          <w:lang w:val="en-AU"/>
        </w:rPr>
      </w:pPr>
      <w:r w:rsidRPr="008F16D7">
        <w:rPr>
          <w:lang w:val="en-AU"/>
        </w:rPr>
        <w:t>In regards to PACER Plus, there is an opportunity for the Office of the Chief Trade Adviser (OCTA) or its successor body, to enhance linkages and build synergies between its programs and other DFAT-funded activities through WTO (Global Trust Fund and Services program) and WIPO (World Intellectual Property Organisation). This collaboration would also enable the officials to receive up-to-date trade training in regional and WTO context, Institute for International Trade (University of Adelaide) and International Centre for Trade and Sustainable Development (ICTSD). These training initiatives are also helping developing countries build their capacity for trade negotiations, so synergies between programs and activities can be explored.</w:t>
      </w:r>
    </w:p>
    <w:p w14:paraId="5A14BF93" w14:textId="77777777" w:rsidR="003B5312" w:rsidRPr="00E1231C" w:rsidRDefault="003B5312" w:rsidP="00BC5572">
      <w:pPr>
        <w:pStyle w:val="ListParagraph"/>
        <w:numPr>
          <w:ilvl w:val="0"/>
          <w:numId w:val="37"/>
        </w:numPr>
        <w:spacing w:after="120"/>
        <w:rPr>
          <w:lang w:val="en-AU"/>
        </w:rPr>
      </w:pPr>
      <w:r w:rsidRPr="00E1231C">
        <w:rPr>
          <w:lang w:val="en-AU"/>
        </w:rPr>
        <w:t>Linkages existing between trade facilitation reforms, infrastructure development, and productive capacity need to be strengthened. The programs need to be flexible and adapt   to emerging needs and demands in these three areas during implementation.</w:t>
      </w:r>
    </w:p>
    <w:p w14:paraId="69064DE8" w14:textId="77777777" w:rsidR="003B5312" w:rsidRPr="008F16D7" w:rsidRDefault="003B5312" w:rsidP="00BC5572">
      <w:pPr>
        <w:pStyle w:val="ListParagraph"/>
        <w:numPr>
          <w:ilvl w:val="0"/>
          <w:numId w:val="37"/>
        </w:numPr>
        <w:spacing w:after="120"/>
        <w:rPr>
          <w:lang w:val="en-AU"/>
        </w:rPr>
      </w:pPr>
      <w:r w:rsidRPr="008F16D7">
        <w:rPr>
          <w:lang w:val="en-AU"/>
        </w:rPr>
        <w:t>DFAT needs to continue its efforts in developing a mix of trade and aid skill sets for its staff. Post integration DFAT is better placed to develop staff skill sets in both areas, which is essential for the success of trade facilitation investments.</w:t>
      </w:r>
      <w:r w:rsidR="00D62262" w:rsidRPr="008F16D7">
        <w:rPr>
          <w:lang w:val="en-AU"/>
        </w:rPr>
        <w:t xml:space="preserve"> </w:t>
      </w:r>
    </w:p>
    <w:p w14:paraId="31E79F83" w14:textId="77777777" w:rsidR="007B4B50" w:rsidRPr="00CF7CB1" w:rsidRDefault="007B4B50" w:rsidP="007B4B50">
      <w:pPr>
        <w:pBdr>
          <w:top w:val="single" w:sz="4" w:space="1" w:color="auto"/>
          <w:left w:val="single" w:sz="4" w:space="4" w:color="auto"/>
          <w:bottom w:val="single" w:sz="4" w:space="1" w:color="auto"/>
          <w:right w:val="single" w:sz="4" w:space="4" w:color="auto"/>
        </w:pBdr>
        <w:spacing w:after="120"/>
        <w:rPr>
          <w:b/>
          <w:lang w:val="en-AU"/>
        </w:rPr>
      </w:pPr>
      <w:r w:rsidRPr="00CF7CB1">
        <w:rPr>
          <w:b/>
          <w:lang w:val="en-AU"/>
        </w:rPr>
        <w:t>Recommendation 4</w:t>
      </w:r>
    </w:p>
    <w:p w14:paraId="1DDF4374" w14:textId="77777777" w:rsidR="007B4B50" w:rsidRPr="00CF7CB1" w:rsidRDefault="007B4B50" w:rsidP="007B4B50">
      <w:pPr>
        <w:pBdr>
          <w:top w:val="single" w:sz="4" w:space="1" w:color="auto"/>
          <w:left w:val="single" w:sz="4" w:space="4" w:color="auto"/>
          <w:bottom w:val="single" w:sz="4" w:space="1" w:color="auto"/>
          <w:right w:val="single" w:sz="4" w:space="4" w:color="auto"/>
        </w:pBdr>
        <w:spacing w:after="120"/>
        <w:rPr>
          <w:lang w:val="en-AU"/>
        </w:rPr>
      </w:pPr>
      <w:r w:rsidRPr="00CF7CB1">
        <w:rPr>
          <w:lang w:val="en-AU"/>
        </w:rPr>
        <w:t>DFAT should improve communication and coordination between regional, bilateral and global programs working on aid for trade by requiring its investment managers to identify synergies in DFAT’s Aid Investment Plans, design and contracting processes, and Aid Quality Checks</w:t>
      </w:r>
    </w:p>
    <w:p w14:paraId="192B6AF8" w14:textId="77777777" w:rsidR="007B4B50" w:rsidRPr="00CF7CB1" w:rsidRDefault="007B4B50" w:rsidP="007B4B50">
      <w:pPr>
        <w:pBdr>
          <w:top w:val="single" w:sz="4" w:space="1" w:color="auto"/>
          <w:left w:val="single" w:sz="4" w:space="4" w:color="auto"/>
          <w:bottom w:val="single" w:sz="4" w:space="1" w:color="auto"/>
          <w:right w:val="single" w:sz="4" w:space="4" w:color="auto"/>
        </w:pBdr>
        <w:spacing w:after="120"/>
        <w:rPr>
          <w:lang w:val="en-AU"/>
        </w:rPr>
      </w:pPr>
      <w:r w:rsidRPr="00CF7CB1">
        <w:rPr>
          <w:noProof/>
          <w:lang w:val="en-AU" w:eastAsia="en-AU"/>
        </w:rPr>
        <w:drawing>
          <wp:inline distT="0" distB="0" distL="0" distR="0" wp14:anchorId="7626545A" wp14:editId="6BE830A5">
            <wp:extent cx="5640705" cy="1428750"/>
            <wp:effectExtent l="0" t="0" r="0" b="0"/>
            <wp:docPr id="3338" name="Picture 3338" descr="A woman standing and observing a display of textiles of diverse colours and different patterns in a stall in Laos." title="Textiles in La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3">
                      <a:extLst>
                        <a:ext uri="{28A0092B-C50C-407E-A947-70E740481C1C}">
                          <a14:useLocalDpi xmlns:a14="http://schemas.microsoft.com/office/drawing/2010/main" val="0"/>
                        </a:ext>
                      </a:extLst>
                    </a:blip>
                    <a:srcRect t="1" b="42467"/>
                    <a:stretch/>
                  </pic:blipFill>
                  <pic:spPr bwMode="auto">
                    <a:xfrm>
                      <a:off x="0" y="0"/>
                      <a:ext cx="5641340" cy="1428911"/>
                    </a:xfrm>
                    <a:prstGeom prst="rect">
                      <a:avLst/>
                    </a:prstGeom>
                    <a:noFill/>
                    <a:ln>
                      <a:noFill/>
                    </a:ln>
                    <a:extLst>
                      <a:ext uri="{53640926-AAD7-44D8-BBD7-CCE9431645EC}">
                        <a14:shadowObscured xmlns:a14="http://schemas.microsoft.com/office/drawing/2010/main"/>
                      </a:ext>
                    </a:extLst>
                  </pic:spPr>
                </pic:pic>
              </a:graphicData>
            </a:graphic>
          </wp:inline>
        </w:drawing>
      </w:r>
    </w:p>
    <w:p w14:paraId="31B37DEB" w14:textId="77777777" w:rsidR="007B4B50" w:rsidRPr="00CF7CB1" w:rsidRDefault="007B4B50" w:rsidP="007B4B50">
      <w:pPr>
        <w:pStyle w:val="Caption"/>
        <w:pBdr>
          <w:top w:val="single" w:sz="4" w:space="1" w:color="auto"/>
          <w:left w:val="single" w:sz="4" w:space="4" w:color="auto"/>
          <w:bottom w:val="single" w:sz="4" w:space="1" w:color="auto"/>
          <w:right w:val="single" w:sz="4" w:space="4" w:color="auto"/>
        </w:pBdr>
        <w:rPr>
          <w:lang w:val="en-AU"/>
        </w:rPr>
      </w:pPr>
      <w:r w:rsidRPr="00CF7CB1">
        <w:rPr>
          <w:lang w:val="en-AU"/>
        </w:rPr>
        <w:t>Textiles in Laos.</w:t>
      </w:r>
    </w:p>
    <w:p w14:paraId="4DF26155" w14:textId="77777777" w:rsidR="00C86679" w:rsidRDefault="007B4B50" w:rsidP="007B4B50">
      <w:pPr>
        <w:pStyle w:val="Source"/>
        <w:pBdr>
          <w:top w:val="single" w:sz="4" w:space="1" w:color="auto"/>
          <w:left w:val="single" w:sz="4" w:space="4" w:color="auto"/>
          <w:bottom w:val="single" w:sz="4" w:space="1" w:color="auto"/>
          <w:right w:val="single" w:sz="4" w:space="4" w:color="auto"/>
        </w:pBdr>
        <w:rPr>
          <w:lang w:val="en-AU"/>
        </w:rPr>
      </w:pPr>
      <w:r w:rsidRPr="00CF7CB1">
        <w:rPr>
          <w:lang w:val="en-AU"/>
        </w:rPr>
        <w:t>Source: D. Goodwins</w:t>
      </w:r>
    </w:p>
    <w:p w14:paraId="668CE639" w14:textId="77777777" w:rsidR="007B4B50" w:rsidRPr="00C86679" w:rsidRDefault="00C86679" w:rsidP="00C86679">
      <w:pPr>
        <w:rPr>
          <w:rFonts w:cs="Arial"/>
          <w:color w:val="000000" w:themeColor="text1"/>
          <w:kern w:val="1"/>
          <w:sz w:val="18"/>
          <w:szCs w:val="16"/>
          <w:lang w:val="en-AU"/>
        </w:rPr>
      </w:pPr>
      <w:r>
        <w:rPr>
          <w:lang w:val="en-AU"/>
        </w:rPr>
        <w:br w:type="page"/>
      </w:r>
    </w:p>
    <w:p w14:paraId="46690B92" w14:textId="77777777" w:rsidR="003B5312" w:rsidRPr="00CF7CB1" w:rsidRDefault="00F477A4" w:rsidP="00F477A4">
      <w:pPr>
        <w:pStyle w:val="Heading1"/>
        <w:numPr>
          <w:ilvl w:val="0"/>
          <w:numId w:val="0"/>
        </w:numPr>
        <w:ind w:left="266" w:hanging="266"/>
        <w:rPr>
          <w:lang w:val="en-AU"/>
        </w:rPr>
      </w:pPr>
      <w:r w:rsidRPr="00CF7CB1">
        <w:rPr>
          <w:lang w:val="en-AU"/>
        </w:rPr>
        <w:t>Acronyms</w:t>
      </w:r>
    </w:p>
    <w:p w14:paraId="46EDCB56" w14:textId="77777777" w:rsidR="00CA7904" w:rsidRPr="00CF7CB1" w:rsidRDefault="00CA7904" w:rsidP="00CA7904">
      <w:pPr>
        <w:spacing w:after="120"/>
        <w:rPr>
          <w:lang w:val="en-AU"/>
        </w:rPr>
      </w:pPr>
      <w:r w:rsidRPr="00CF7CB1">
        <w:rPr>
          <w:b/>
          <w:lang w:val="en-AU"/>
        </w:rPr>
        <w:t>AANZFTA</w:t>
      </w:r>
      <w:r w:rsidRPr="00CF7CB1">
        <w:rPr>
          <w:lang w:val="en-AU"/>
        </w:rPr>
        <w:tab/>
        <w:t xml:space="preserve">ASEAN–Australia New Zealand Free Trade Agreement </w:t>
      </w:r>
    </w:p>
    <w:p w14:paraId="2B9E8047" w14:textId="77777777" w:rsidR="00CA7904" w:rsidRPr="00CF7CB1" w:rsidRDefault="00CA7904" w:rsidP="00CA7904">
      <w:pPr>
        <w:spacing w:after="120"/>
        <w:rPr>
          <w:lang w:val="en-AU"/>
        </w:rPr>
      </w:pPr>
      <w:r w:rsidRPr="00CF7CB1">
        <w:rPr>
          <w:b/>
          <w:lang w:val="en-AU"/>
        </w:rPr>
        <w:t>ACIAR</w:t>
      </w:r>
      <w:r w:rsidRPr="00CF7CB1">
        <w:rPr>
          <w:lang w:val="en-AU"/>
        </w:rPr>
        <w:tab/>
      </w:r>
      <w:r w:rsidRPr="00CF7CB1">
        <w:rPr>
          <w:lang w:val="en-AU"/>
        </w:rPr>
        <w:tab/>
        <w:t xml:space="preserve">Australian Centre for International Agricultural Research </w:t>
      </w:r>
    </w:p>
    <w:p w14:paraId="7AABFC0E" w14:textId="77777777" w:rsidR="00CA7904" w:rsidRPr="00CF7CB1" w:rsidRDefault="00CA7904" w:rsidP="00CA7904">
      <w:pPr>
        <w:spacing w:after="120"/>
        <w:rPr>
          <w:lang w:val="en-AU"/>
        </w:rPr>
      </w:pPr>
      <w:r w:rsidRPr="00CF7CB1">
        <w:rPr>
          <w:b/>
          <w:lang w:val="en-AU"/>
        </w:rPr>
        <w:t>ADB</w:t>
      </w:r>
      <w:r w:rsidRPr="00CF7CB1">
        <w:rPr>
          <w:lang w:val="en-AU"/>
        </w:rPr>
        <w:tab/>
      </w:r>
      <w:r w:rsidRPr="00CF7CB1">
        <w:rPr>
          <w:lang w:val="en-AU"/>
        </w:rPr>
        <w:tab/>
        <w:t>Asian Development Bank</w:t>
      </w:r>
    </w:p>
    <w:p w14:paraId="32F1A43E" w14:textId="77777777" w:rsidR="00CA7904" w:rsidRPr="00CF7CB1" w:rsidRDefault="00CA7904" w:rsidP="00CA7904">
      <w:pPr>
        <w:spacing w:after="120"/>
        <w:rPr>
          <w:lang w:val="en-AU"/>
        </w:rPr>
      </w:pPr>
      <w:r w:rsidRPr="00CF7CB1">
        <w:rPr>
          <w:b/>
          <w:lang w:val="en-AU"/>
        </w:rPr>
        <w:t>AfT</w:t>
      </w:r>
      <w:r w:rsidRPr="00CF7CB1">
        <w:rPr>
          <w:lang w:val="en-AU"/>
        </w:rPr>
        <w:tab/>
      </w:r>
      <w:r w:rsidRPr="00CF7CB1">
        <w:rPr>
          <w:lang w:val="en-AU"/>
        </w:rPr>
        <w:tab/>
        <w:t>Aid for Trade</w:t>
      </w:r>
    </w:p>
    <w:p w14:paraId="7B369B70" w14:textId="77777777" w:rsidR="00CA7904" w:rsidRPr="00CF7CB1" w:rsidRDefault="00CA7904" w:rsidP="00CA7904">
      <w:pPr>
        <w:spacing w:after="120"/>
        <w:rPr>
          <w:lang w:val="en-AU"/>
        </w:rPr>
      </w:pPr>
      <w:r w:rsidRPr="00CF7CB1">
        <w:rPr>
          <w:b/>
          <w:lang w:val="en-AU"/>
        </w:rPr>
        <w:t>AECSP</w:t>
      </w:r>
      <w:r w:rsidRPr="00CF7CB1">
        <w:rPr>
          <w:lang w:val="en-AU"/>
        </w:rPr>
        <w:tab/>
        <w:t>AANZFTA Economic Cooperation Support Program</w:t>
      </w:r>
    </w:p>
    <w:p w14:paraId="78F60B60" w14:textId="77777777" w:rsidR="00CA7904" w:rsidRPr="00CF7CB1" w:rsidRDefault="00CA7904" w:rsidP="00CA7904">
      <w:pPr>
        <w:spacing w:after="120"/>
        <w:rPr>
          <w:lang w:val="en-AU"/>
        </w:rPr>
      </w:pPr>
      <w:r w:rsidRPr="00CF7CB1">
        <w:rPr>
          <w:b/>
          <w:lang w:val="en-AU"/>
        </w:rPr>
        <w:t>AMS</w:t>
      </w:r>
      <w:r w:rsidRPr="00CF7CB1">
        <w:rPr>
          <w:lang w:val="en-AU"/>
        </w:rPr>
        <w:tab/>
      </w:r>
      <w:r w:rsidRPr="00CF7CB1">
        <w:rPr>
          <w:lang w:val="en-AU"/>
        </w:rPr>
        <w:tab/>
        <w:t>ASEAM Member States</w:t>
      </w:r>
    </w:p>
    <w:p w14:paraId="121F4D1A" w14:textId="77777777" w:rsidR="00CA7904" w:rsidRPr="00CF7CB1" w:rsidRDefault="00CA7904" w:rsidP="00CA7904">
      <w:pPr>
        <w:spacing w:after="120"/>
        <w:rPr>
          <w:lang w:val="en-AU"/>
        </w:rPr>
      </w:pPr>
      <w:r w:rsidRPr="00CF7CB1">
        <w:rPr>
          <w:b/>
          <w:lang w:val="en-AU"/>
        </w:rPr>
        <w:t>APTFF</w:t>
      </w:r>
      <w:r w:rsidRPr="00CF7CB1">
        <w:rPr>
          <w:lang w:val="en-AU"/>
        </w:rPr>
        <w:tab/>
      </w:r>
      <w:r w:rsidRPr="00CF7CB1">
        <w:rPr>
          <w:lang w:val="en-AU"/>
        </w:rPr>
        <w:tab/>
        <w:t>Asia-Pacific Trade Facilitation Forum</w:t>
      </w:r>
    </w:p>
    <w:p w14:paraId="55DD8F39" w14:textId="77777777" w:rsidR="00CA7904" w:rsidRPr="00CF7CB1" w:rsidRDefault="00CA7904" w:rsidP="00CA7904">
      <w:pPr>
        <w:spacing w:after="120"/>
        <w:rPr>
          <w:lang w:val="en-AU"/>
        </w:rPr>
      </w:pPr>
      <w:r w:rsidRPr="00CF7CB1">
        <w:rPr>
          <w:b/>
          <w:lang w:val="en-AU"/>
        </w:rPr>
        <w:t>AQC</w:t>
      </w:r>
      <w:r w:rsidRPr="00CF7CB1">
        <w:rPr>
          <w:lang w:val="en-AU"/>
        </w:rPr>
        <w:tab/>
      </w:r>
      <w:r w:rsidRPr="00CF7CB1">
        <w:rPr>
          <w:lang w:val="en-AU"/>
        </w:rPr>
        <w:tab/>
        <w:t>Aid Quality Checks</w:t>
      </w:r>
    </w:p>
    <w:p w14:paraId="2FCC6110" w14:textId="77777777" w:rsidR="00CA7904" w:rsidRPr="00CF7CB1" w:rsidRDefault="00CA7904" w:rsidP="00CA7904">
      <w:pPr>
        <w:spacing w:after="120"/>
        <w:rPr>
          <w:lang w:val="en-AU"/>
        </w:rPr>
      </w:pPr>
      <w:r w:rsidRPr="00CF7CB1">
        <w:rPr>
          <w:b/>
          <w:lang w:val="en-AU"/>
        </w:rPr>
        <w:t>ARDN</w:t>
      </w:r>
      <w:r w:rsidRPr="00CF7CB1">
        <w:rPr>
          <w:lang w:val="en-AU"/>
        </w:rPr>
        <w:tab/>
      </w:r>
      <w:r w:rsidRPr="00CF7CB1">
        <w:rPr>
          <w:lang w:val="en-AU"/>
        </w:rPr>
        <w:tab/>
        <w:t xml:space="preserve">ASEAN Regional Diagnostics Network </w:t>
      </w:r>
    </w:p>
    <w:p w14:paraId="4EB4771B" w14:textId="77777777" w:rsidR="00990F9D" w:rsidRPr="00CF7CB1" w:rsidRDefault="00CA7904" w:rsidP="00CA7904">
      <w:pPr>
        <w:spacing w:after="120"/>
        <w:rPr>
          <w:lang w:val="en-AU"/>
        </w:rPr>
      </w:pPr>
      <w:r w:rsidRPr="00CF7CB1">
        <w:rPr>
          <w:b/>
          <w:lang w:val="en-AU"/>
        </w:rPr>
        <w:t>ASEAN</w:t>
      </w:r>
      <w:r w:rsidRPr="00CF7CB1">
        <w:rPr>
          <w:lang w:val="en-AU"/>
        </w:rPr>
        <w:tab/>
        <w:t xml:space="preserve">Association of Southeast Asian Nations </w:t>
      </w:r>
    </w:p>
    <w:p w14:paraId="7C4A2DE8" w14:textId="77777777" w:rsidR="00CA7904" w:rsidRPr="00CF7CB1" w:rsidRDefault="00CA7904" w:rsidP="00CA7904">
      <w:pPr>
        <w:spacing w:after="120"/>
        <w:rPr>
          <w:lang w:val="en-AU"/>
        </w:rPr>
      </w:pPr>
      <w:r w:rsidRPr="00CF7CB1">
        <w:rPr>
          <w:b/>
          <w:lang w:val="en-AU"/>
        </w:rPr>
        <w:t>B2B</w:t>
      </w:r>
      <w:r w:rsidRPr="00CF7CB1">
        <w:rPr>
          <w:lang w:val="en-AU"/>
        </w:rPr>
        <w:tab/>
      </w:r>
      <w:r w:rsidR="00990F9D" w:rsidRPr="00CF7CB1">
        <w:rPr>
          <w:lang w:val="en-AU"/>
        </w:rPr>
        <w:tab/>
      </w:r>
      <w:r w:rsidRPr="00CF7CB1">
        <w:rPr>
          <w:lang w:val="en-AU"/>
        </w:rPr>
        <w:t>Business to Business</w:t>
      </w:r>
    </w:p>
    <w:p w14:paraId="44D01B16" w14:textId="77777777" w:rsidR="00CA7904" w:rsidRPr="00CF7CB1" w:rsidRDefault="00CA7904" w:rsidP="00CA7904">
      <w:pPr>
        <w:spacing w:after="120"/>
        <w:rPr>
          <w:lang w:val="en-AU"/>
        </w:rPr>
      </w:pPr>
      <w:r w:rsidRPr="00CF7CB1">
        <w:rPr>
          <w:b/>
          <w:lang w:val="en-AU"/>
        </w:rPr>
        <w:t>BAF</w:t>
      </w:r>
      <w:r w:rsidRPr="00CF7CB1">
        <w:rPr>
          <w:lang w:val="en-AU"/>
        </w:rPr>
        <w:tab/>
      </w:r>
      <w:r w:rsidRPr="00CF7CB1">
        <w:rPr>
          <w:lang w:val="en-AU"/>
        </w:rPr>
        <w:tab/>
      </w:r>
      <w:r w:rsidR="006C59E2" w:rsidRPr="00CF7CB1">
        <w:rPr>
          <w:lang w:val="en-AU"/>
        </w:rPr>
        <w:t>Business Assistance</w:t>
      </w:r>
      <w:r w:rsidRPr="00CF7CB1">
        <w:rPr>
          <w:lang w:val="en-AU"/>
        </w:rPr>
        <w:t xml:space="preserve"> Facility</w:t>
      </w:r>
    </w:p>
    <w:p w14:paraId="7EABF3EE" w14:textId="77777777" w:rsidR="00CA7904" w:rsidRPr="00CF7CB1" w:rsidRDefault="00CA7904" w:rsidP="00CA7904">
      <w:pPr>
        <w:spacing w:after="120"/>
        <w:rPr>
          <w:lang w:val="en-AU"/>
        </w:rPr>
      </w:pPr>
      <w:r w:rsidRPr="00CF7CB1">
        <w:rPr>
          <w:b/>
          <w:lang w:val="en-AU"/>
        </w:rPr>
        <w:t>CABI</w:t>
      </w:r>
      <w:r w:rsidRPr="00CF7CB1">
        <w:rPr>
          <w:lang w:val="en-AU"/>
        </w:rPr>
        <w:tab/>
      </w:r>
      <w:r w:rsidR="006C59E2" w:rsidRPr="00CF7CB1">
        <w:rPr>
          <w:lang w:val="en-AU"/>
        </w:rPr>
        <w:tab/>
      </w:r>
      <w:r w:rsidRPr="00CF7CB1">
        <w:rPr>
          <w:lang w:val="en-AU"/>
        </w:rPr>
        <w:t>Centre for Agriculture and   Biosciences</w:t>
      </w:r>
    </w:p>
    <w:p w14:paraId="25B9E29B" w14:textId="77777777" w:rsidR="00CA7904" w:rsidRPr="00CF7CB1" w:rsidRDefault="00CA7904" w:rsidP="00CA7904">
      <w:pPr>
        <w:spacing w:after="120"/>
        <w:rPr>
          <w:lang w:val="en-AU"/>
        </w:rPr>
      </w:pPr>
      <w:r w:rsidRPr="00CF7CB1">
        <w:rPr>
          <w:b/>
          <w:lang w:val="en-AU"/>
        </w:rPr>
        <w:t>CEO</w:t>
      </w:r>
      <w:r w:rsidRPr="00CF7CB1">
        <w:rPr>
          <w:lang w:val="en-AU"/>
        </w:rPr>
        <w:tab/>
      </w:r>
      <w:r w:rsidR="006C59E2" w:rsidRPr="00CF7CB1">
        <w:rPr>
          <w:lang w:val="en-AU"/>
        </w:rPr>
        <w:tab/>
        <w:t>Chief Executive</w:t>
      </w:r>
      <w:r w:rsidRPr="00CF7CB1">
        <w:rPr>
          <w:lang w:val="en-AU"/>
        </w:rPr>
        <w:t xml:space="preserve"> Officer</w:t>
      </w:r>
    </w:p>
    <w:p w14:paraId="67371292" w14:textId="77777777" w:rsidR="006C59E2" w:rsidRPr="00CF7CB1" w:rsidRDefault="00CA7904" w:rsidP="00CA7904">
      <w:pPr>
        <w:spacing w:after="120"/>
        <w:rPr>
          <w:lang w:val="en-AU"/>
        </w:rPr>
      </w:pPr>
      <w:r w:rsidRPr="00CF7CB1">
        <w:rPr>
          <w:b/>
          <w:lang w:val="en-AU"/>
        </w:rPr>
        <w:t>DAC</w:t>
      </w:r>
      <w:r w:rsidRPr="00CF7CB1">
        <w:rPr>
          <w:lang w:val="en-AU"/>
        </w:rPr>
        <w:tab/>
      </w:r>
      <w:r w:rsidR="006C59E2" w:rsidRPr="00CF7CB1">
        <w:rPr>
          <w:lang w:val="en-AU"/>
        </w:rPr>
        <w:tab/>
        <w:t>Development Assistance</w:t>
      </w:r>
      <w:r w:rsidRPr="00CF7CB1">
        <w:rPr>
          <w:lang w:val="en-AU"/>
        </w:rPr>
        <w:t xml:space="preserve"> Committee </w:t>
      </w:r>
    </w:p>
    <w:p w14:paraId="46D06911" w14:textId="77777777" w:rsidR="006C59E2" w:rsidRPr="00CF7CB1" w:rsidRDefault="00CA7904" w:rsidP="00CA7904">
      <w:pPr>
        <w:spacing w:after="120"/>
        <w:rPr>
          <w:lang w:val="en-AU"/>
        </w:rPr>
      </w:pPr>
      <w:r w:rsidRPr="00CF7CB1">
        <w:rPr>
          <w:b/>
          <w:lang w:val="en-AU"/>
        </w:rPr>
        <w:t>DFAT</w:t>
      </w:r>
      <w:r w:rsidRPr="00CF7CB1">
        <w:rPr>
          <w:lang w:val="en-AU"/>
        </w:rPr>
        <w:tab/>
      </w:r>
      <w:r w:rsidR="006C59E2" w:rsidRPr="00CF7CB1">
        <w:rPr>
          <w:lang w:val="en-AU"/>
        </w:rPr>
        <w:tab/>
        <w:t>Department of Foreign Affairs</w:t>
      </w:r>
      <w:r w:rsidRPr="00CF7CB1">
        <w:rPr>
          <w:lang w:val="en-AU"/>
        </w:rPr>
        <w:t xml:space="preserve"> and Trade </w:t>
      </w:r>
    </w:p>
    <w:p w14:paraId="445B9EF2" w14:textId="77777777" w:rsidR="00CA7904" w:rsidRPr="00CF7CB1" w:rsidRDefault="00CA7904" w:rsidP="00CA7904">
      <w:pPr>
        <w:spacing w:after="120"/>
        <w:rPr>
          <w:lang w:val="en-AU"/>
        </w:rPr>
      </w:pPr>
      <w:r w:rsidRPr="00CF7CB1">
        <w:rPr>
          <w:b/>
          <w:lang w:val="en-AU"/>
        </w:rPr>
        <w:t>DIMEX</w:t>
      </w:r>
      <w:r w:rsidRPr="00CF7CB1">
        <w:rPr>
          <w:lang w:val="en-AU"/>
        </w:rPr>
        <w:tab/>
      </w:r>
      <w:r w:rsidR="006C59E2" w:rsidRPr="00CF7CB1">
        <w:rPr>
          <w:lang w:val="en-AU"/>
        </w:rPr>
        <w:tab/>
        <w:t>Department</w:t>
      </w:r>
      <w:r w:rsidRPr="00CF7CB1">
        <w:rPr>
          <w:lang w:val="en-AU"/>
        </w:rPr>
        <w:t xml:space="preserve"> of</w:t>
      </w:r>
      <w:r w:rsidR="006C59E2" w:rsidRPr="00CF7CB1">
        <w:rPr>
          <w:lang w:val="en-AU"/>
        </w:rPr>
        <w:t xml:space="preserve"> </w:t>
      </w:r>
      <w:r w:rsidRPr="00CF7CB1">
        <w:rPr>
          <w:lang w:val="en-AU"/>
        </w:rPr>
        <w:t>Import and Export</w:t>
      </w:r>
    </w:p>
    <w:p w14:paraId="09ED87BA" w14:textId="77777777" w:rsidR="006C59E2" w:rsidRPr="00CF7CB1" w:rsidRDefault="00CA7904" w:rsidP="00CA7904">
      <w:pPr>
        <w:spacing w:after="120"/>
        <w:rPr>
          <w:lang w:val="en-AU"/>
        </w:rPr>
      </w:pPr>
      <w:r w:rsidRPr="00CF7CB1">
        <w:rPr>
          <w:b/>
          <w:lang w:val="en-AU"/>
        </w:rPr>
        <w:t>DTIS</w:t>
      </w:r>
      <w:r w:rsidRPr="00CF7CB1">
        <w:rPr>
          <w:lang w:val="en-AU"/>
        </w:rPr>
        <w:tab/>
      </w:r>
      <w:r w:rsidR="006C59E2" w:rsidRPr="00CF7CB1">
        <w:rPr>
          <w:lang w:val="en-AU"/>
        </w:rPr>
        <w:tab/>
        <w:t>Diagnostic</w:t>
      </w:r>
      <w:r w:rsidRPr="00CF7CB1">
        <w:rPr>
          <w:lang w:val="en-AU"/>
        </w:rPr>
        <w:t xml:space="preserve"> Trade Integration Studies </w:t>
      </w:r>
    </w:p>
    <w:p w14:paraId="787CADED" w14:textId="77777777" w:rsidR="006C59E2" w:rsidRPr="00CF7CB1" w:rsidRDefault="006C59E2" w:rsidP="00CA7904">
      <w:pPr>
        <w:spacing w:after="120"/>
        <w:rPr>
          <w:lang w:val="en-AU"/>
        </w:rPr>
      </w:pPr>
      <w:r w:rsidRPr="00CF7CB1">
        <w:rPr>
          <w:b/>
          <w:lang w:val="en-AU"/>
        </w:rPr>
        <w:t>ECWP</w:t>
      </w:r>
      <w:r w:rsidRPr="00CF7CB1">
        <w:rPr>
          <w:lang w:val="en-AU"/>
        </w:rPr>
        <w:tab/>
      </w:r>
      <w:r w:rsidRPr="00CF7CB1">
        <w:rPr>
          <w:lang w:val="en-AU"/>
        </w:rPr>
        <w:tab/>
        <w:t xml:space="preserve">Economic </w:t>
      </w:r>
      <w:r w:rsidR="00CA7904" w:rsidRPr="00CF7CB1">
        <w:rPr>
          <w:lang w:val="en-AU"/>
        </w:rPr>
        <w:t>Cooperation Work Program</w:t>
      </w:r>
    </w:p>
    <w:p w14:paraId="6229689D" w14:textId="77777777" w:rsidR="00CA7904" w:rsidRPr="00CF7CB1" w:rsidRDefault="00CA7904" w:rsidP="00CA7904">
      <w:pPr>
        <w:spacing w:after="120"/>
        <w:rPr>
          <w:lang w:val="en-AU"/>
        </w:rPr>
      </w:pPr>
      <w:r w:rsidRPr="00CF7CB1">
        <w:rPr>
          <w:b/>
          <w:lang w:val="en-AU"/>
        </w:rPr>
        <w:t>EIF</w:t>
      </w:r>
      <w:r w:rsidRPr="00CF7CB1">
        <w:rPr>
          <w:lang w:val="en-AU"/>
        </w:rPr>
        <w:tab/>
      </w:r>
      <w:r w:rsidR="006C59E2" w:rsidRPr="00CF7CB1">
        <w:rPr>
          <w:lang w:val="en-AU"/>
        </w:rPr>
        <w:tab/>
      </w:r>
      <w:r w:rsidRPr="00CF7CB1">
        <w:rPr>
          <w:lang w:val="en-AU"/>
        </w:rPr>
        <w:t>Enhanced Integrated Framework</w:t>
      </w:r>
    </w:p>
    <w:p w14:paraId="699F3144" w14:textId="77777777" w:rsidR="00CA7904" w:rsidRPr="00CF7CB1" w:rsidRDefault="006C59E2" w:rsidP="00CA7904">
      <w:pPr>
        <w:spacing w:after="120"/>
        <w:rPr>
          <w:lang w:val="en-AU"/>
        </w:rPr>
      </w:pPr>
      <w:r w:rsidRPr="00CF7CB1">
        <w:rPr>
          <w:b/>
          <w:lang w:val="en-AU"/>
        </w:rPr>
        <w:t>EPA</w:t>
      </w:r>
      <w:r w:rsidRPr="00CF7CB1">
        <w:rPr>
          <w:lang w:val="en-AU"/>
        </w:rPr>
        <w:tab/>
      </w:r>
      <w:r w:rsidRPr="00CF7CB1">
        <w:rPr>
          <w:lang w:val="en-AU"/>
        </w:rPr>
        <w:tab/>
        <w:t>Economic</w:t>
      </w:r>
      <w:r w:rsidR="00CA7904" w:rsidRPr="00CF7CB1">
        <w:rPr>
          <w:lang w:val="en-AU"/>
        </w:rPr>
        <w:t xml:space="preserve"> Partnership Agreement</w:t>
      </w:r>
    </w:p>
    <w:p w14:paraId="1B31DC91" w14:textId="77777777" w:rsidR="00CA7904" w:rsidRPr="00CF7CB1" w:rsidRDefault="00CA7904" w:rsidP="00CA7904">
      <w:pPr>
        <w:spacing w:after="120"/>
        <w:rPr>
          <w:lang w:val="en-AU"/>
        </w:rPr>
      </w:pPr>
      <w:r w:rsidRPr="00CF7CB1">
        <w:rPr>
          <w:b/>
          <w:lang w:val="en-AU"/>
        </w:rPr>
        <w:t>EU</w:t>
      </w:r>
      <w:r w:rsidRPr="00CF7CB1">
        <w:rPr>
          <w:lang w:val="en-AU"/>
        </w:rPr>
        <w:tab/>
      </w:r>
      <w:r w:rsidR="006C59E2" w:rsidRPr="00CF7CB1">
        <w:rPr>
          <w:lang w:val="en-AU"/>
        </w:rPr>
        <w:tab/>
      </w:r>
      <w:r w:rsidRPr="00CF7CB1">
        <w:rPr>
          <w:lang w:val="en-AU"/>
        </w:rPr>
        <w:t>Economic Union</w:t>
      </w:r>
    </w:p>
    <w:p w14:paraId="62E75880" w14:textId="77777777" w:rsidR="00CA7904" w:rsidRPr="00CF7CB1" w:rsidRDefault="00CA7904" w:rsidP="00CA7904">
      <w:pPr>
        <w:spacing w:after="120"/>
        <w:rPr>
          <w:lang w:val="en-AU"/>
        </w:rPr>
      </w:pPr>
      <w:r w:rsidRPr="00CF7CB1">
        <w:rPr>
          <w:b/>
          <w:lang w:val="en-AU"/>
        </w:rPr>
        <w:t>FTA</w:t>
      </w:r>
      <w:r w:rsidRPr="00CF7CB1">
        <w:rPr>
          <w:lang w:val="en-AU"/>
        </w:rPr>
        <w:tab/>
      </w:r>
      <w:r w:rsidR="006C59E2" w:rsidRPr="00CF7CB1">
        <w:rPr>
          <w:lang w:val="en-AU"/>
        </w:rPr>
        <w:tab/>
      </w:r>
      <w:r w:rsidRPr="00CF7CB1">
        <w:rPr>
          <w:lang w:val="en-AU"/>
        </w:rPr>
        <w:t>Free Trade Agreement</w:t>
      </w:r>
    </w:p>
    <w:p w14:paraId="603B1EAF" w14:textId="77777777" w:rsidR="00CA7904" w:rsidRPr="00CF7CB1" w:rsidRDefault="00CA7904" w:rsidP="00CA7904">
      <w:pPr>
        <w:spacing w:after="120"/>
        <w:rPr>
          <w:lang w:val="en-AU"/>
        </w:rPr>
      </w:pPr>
      <w:r w:rsidRPr="00CF7CB1">
        <w:rPr>
          <w:b/>
          <w:lang w:val="en-AU"/>
        </w:rPr>
        <w:t>FTDP</w:t>
      </w:r>
      <w:r w:rsidRPr="00CF7CB1">
        <w:rPr>
          <w:lang w:val="en-AU"/>
        </w:rPr>
        <w:tab/>
      </w:r>
      <w:r w:rsidR="006C59E2" w:rsidRPr="00CF7CB1">
        <w:rPr>
          <w:lang w:val="en-AU"/>
        </w:rPr>
        <w:tab/>
        <w:t>Foreign Trade</w:t>
      </w:r>
      <w:r w:rsidRPr="00CF7CB1">
        <w:rPr>
          <w:lang w:val="en-AU"/>
        </w:rPr>
        <w:t xml:space="preserve"> Policy Department</w:t>
      </w:r>
    </w:p>
    <w:p w14:paraId="571506E6" w14:textId="77777777" w:rsidR="00CA7904" w:rsidRPr="00CF7CB1" w:rsidRDefault="00CA7904" w:rsidP="00CA7904">
      <w:pPr>
        <w:spacing w:after="120"/>
        <w:rPr>
          <w:lang w:val="en-AU"/>
        </w:rPr>
      </w:pPr>
      <w:r w:rsidRPr="00CF7CB1">
        <w:rPr>
          <w:b/>
          <w:lang w:val="en-AU"/>
        </w:rPr>
        <w:t>G</w:t>
      </w:r>
      <w:r w:rsidR="006C59E2" w:rsidRPr="00CF7CB1">
        <w:rPr>
          <w:b/>
          <w:lang w:val="en-AU"/>
        </w:rPr>
        <w:t>2B</w:t>
      </w:r>
      <w:r w:rsidR="006C59E2" w:rsidRPr="00CF7CB1">
        <w:rPr>
          <w:lang w:val="en-AU"/>
        </w:rPr>
        <w:tab/>
      </w:r>
      <w:r w:rsidR="006C59E2" w:rsidRPr="00CF7CB1">
        <w:rPr>
          <w:lang w:val="en-AU"/>
        </w:rPr>
        <w:tab/>
        <w:t xml:space="preserve">Government </w:t>
      </w:r>
      <w:r w:rsidRPr="00CF7CB1">
        <w:rPr>
          <w:lang w:val="en-AU"/>
        </w:rPr>
        <w:t>to Business</w:t>
      </w:r>
    </w:p>
    <w:p w14:paraId="5CB691E6" w14:textId="77777777" w:rsidR="00CA7904" w:rsidRPr="00CF7CB1" w:rsidRDefault="00CA7904" w:rsidP="00CA7904">
      <w:pPr>
        <w:spacing w:after="120"/>
        <w:rPr>
          <w:lang w:val="en-AU"/>
        </w:rPr>
      </w:pPr>
      <w:r w:rsidRPr="00CF7CB1">
        <w:rPr>
          <w:b/>
          <w:lang w:val="en-AU"/>
        </w:rPr>
        <w:t>GATT</w:t>
      </w:r>
      <w:r w:rsidRPr="00CF7CB1">
        <w:rPr>
          <w:lang w:val="en-AU"/>
        </w:rPr>
        <w:tab/>
      </w:r>
      <w:r w:rsidR="006C59E2" w:rsidRPr="00CF7CB1">
        <w:rPr>
          <w:lang w:val="en-AU"/>
        </w:rPr>
        <w:tab/>
      </w:r>
      <w:r w:rsidRPr="00CF7CB1">
        <w:rPr>
          <w:lang w:val="en-AU"/>
        </w:rPr>
        <w:t>Ge</w:t>
      </w:r>
      <w:r w:rsidR="006C59E2" w:rsidRPr="00CF7CB1">
        <w:rPr>
          <w:lang w:val="en-AU"/>
        </w:rPr>
        <w:t xml:space="preserve">neral Agreement on Tariffs and </w:t>
      </w:r>
      <w:r w:rsidRPr="00CF7CB1">
        <w:rPr>
          <w:lang w:val="en-AU"/>
        </w:rPr>
        <w:t>Trade</w:t>
      </w:r>
    </w:p>
    <w:p w14:paraId="6308176B" w14:textId="77777777" w:rsidR="00CA7904" w:rsidRPr="00CF7CB1" w:rsidRDefault="00CA7904" w:rsidP="00CA7904">
      <w:pPr>
        <w:spacing w:after="120"/>
        <w:rPr>
          <w:lang w:val="en-AU"/>
        </w:rPr>
      </w:pPr>
      <w:r w:rsidRPr="00CF7CB1">
        <w:rPr>
          <w:b/>
          <w:lang w:val="en-AU"/>
        </w:rPr>
        <w:t>GVC</w:t>
      </w:r>
      <w:r w:rsidRPr="00CF7CB1">
        <w:rPr>
          <w:lang w:val="en-AU"/>
        </w:rPr>
        <w:tab/>
      </w:r>
      <w:r w:rsidR="006C59E2" w:rsidRPr="00CF7CB1">
        <w:rPr>
          <w:lang w:val="en-AU"/>
        </w:rPr>
        <w:tab/>
      </w:r>
      <w:r w:rsidRPr="00CF7CB1">
        <w:rPr>
          <w:lang w:val="en-AU"/>
        </w:rPr>
        <w:t>Global value chain</w:t>
      </w:r>
    </w:p>
    <w:p w14:paraId="48774F2B" w14:textId="77777777" w:rsidR="00CA7904" w:rsidRPr="00CF7CB1" w:rsidRDefault="00CA7904" w:rsidP="00CA7904">
      <w:pPr>
        <w:spacing w:after="120"/>
        <w:rPr>
          <w:lang w:val="en-AU"/>
        </w:rPr>
      </w:pPr>
      <w:r w:rsidRPr="00CF7CB1">
        <w:rPr>
          <w:b/>
          <w:lang w:val="en-AU"/>
        </w:rPr>
        <w:t>ICTSD</w:t>
      </w:r>
      <w:r w:rsidRPr="00CF7CB1">
        <w:rPr>
          <w:lang w:val="en-AU"/>
        </w:rPr>
        <w:tab/>
      </w:r>
      <w:r w:rsidR="006C59E2" w:rsidRPr="00CF7CB1">
        <w:rPr>
          <w:lang w:val="en-AU"/>
        </w:rPr>
        <w:tab/>
      </w:r>
      <w:r w:rsidRPr="00CF7CB1">
        <w:rPr>
          <w:lang w:val="en-AU"/>
        </w:rPr>
        <w:t>International Centre for Trade and Sustainable Development</w:t>
      </w:r>
    </w:p>
    <w:p w14:paraId="242502A8" w14:textId="77777777" w:rsidR="00CA7904" w:rsidRPr="00CF7CB1" w:rsidRDefault="00CA7904" w:rsidP="00CA7904">
      <w:pPr>
        <w:spacing w:after="120"/>
        <w:rPr>
          <w:lang w:val="en-AU"/>
        </w:rPr>
      </w:pPr>
      <w:r w:rsidRPr="00CF7CB1">
        <w:rPr>
          <w:b/>
          <w:lang w:val="en-AU"/>
        </w:rPr>
        <w:t>IEC</w:t>
      </w:r>
      <w:r w:rsidRPr="00CF7CB1">
        <w:rPr>
          <w:lang w:val="en-AU"/>
        </w:rPr>
        <w:tab/>
      </w:r>
      <w:r w:rsidR="006C59E2" w:rsidRPr="00CF7CB1">
        <w:rPr>
          <w:lang w:val="en-AU"/>
        </w:rPr>
        <w:tab/>
        <w:t>Independent Evaluation</w:t>
      </w:r>
      <w:r w:rsidRPr="00CF7CB1">
        <w:rPr>
          <w:lang w:val="en-AU"/>
        </w:rPr>
        <w:t xml:space="preserve"> Committee</w:t>
      </w:r>
    </w:p>
    <w:p w14:paraId="3AE3BF4C" w14:textId="77777777" w:rsidR="00CA7904" w:rsidRPr="00CF7CB1" w:rsidRDefault="00CA7904" w:rsidP="00CA7904">
      <w:pPr>
        <w:spacing w:after="120"/>
        <w:rPr>
          <w:lang w:val="en-AU"/>
        </w:rPr>
      </w:pPr>
      <w:r w:rsidRPr="00CF7CB1">
        <w:rPr>
          <w:b/>
          <w:lang w:val="en-AU"/>
        </w:rPr>
        <w:t>ILO</w:t>
      </w:r>
      <w:r w:rsidRPr="00CF7CB1">
        <w:rPr>
          <w:lang w:val="en-AU"/>
        </w:rPr>
        <w:tab/>
      </w:r>
      <w:r w:rsidR="006C59E2" w:rsidRPr="00CF7CB1">
        <w:rPr>
          <w:lang w:val="en-AU"/>
        </w:rPr>
        <w:tab/>
        <w:t>International Labour</w:t>
      </w:r>
      <w:r w:rsidRPr="00CF7CB1">
        <w:rPr>
          <w:lang w:val="en-AU"/>
        </w:rPr>
        <w:t xml:space="preserve"> Organization</w:t>
      </w:r>
    </w:p>
    <w:p w14:paraId="4E2E9F66" w14:textId="77777777" w:rsidR="00CA7904" w:rsidRPr="00CF7CB1" w:rsidRDefault="00CA7904" w:rsidP="00CA7904">
      <w:pPr>
        <w:spacing w:after="120"/>
        <w:rPr>
          <w:lang w:val="en-AU"/>
        </w:rPr>
      </w:pPr>
      <w:r w:rsidRPr="00CF7CB1">
        <w:rPr>
          <w:b/>
          <w:lang w:val="en-AU"/>
        </w:rPr>
        <w:t>INGO</w:t>
      </w:r>
      <w:r w:rsidRPr="00CF7CB1">
        <w:rPr>
          <w:lang w:val="en-AU"/>
        </w:rPr>
        <w:tab/>
      </w:r>
      <w:r w:rsidR="006C59E2" w:rsidRPr="00CF7CB1">
        <w:rPr>
          <w:lang w:val="en-AU"/>
        </w:rPr>
        <w:tab/>
        <w:t>International Non</w:t>
      </w:r>
      <w:r w:rsidRPr="00CF7CB1">
        <w:rPr>
          <w:lang w:val="en-AU"/>
        </w:rPr>
        <w:t>-</w:t>
      </w:r>
      <w:r w:rsidR="006C59E2" w:rsidRPr="00CF7CB1">
        <w:rPr>
          <w:lang w:val="en-AU"/>
        </w:rPr>
        <w:t>Government Organisations</w:t>
      </w:r>
    </w:p>
    <w:p w14:paraId="6DA5EF42" w14:textId="77777777" w:rsidR="00CA7904" w:rsidRPr="00CF7CB1" w:rsidRDefault="00CA7904" w:rsidP="00CA7904">
      <w:pPr>
        <w:spacing w:after="120"/>
        <w:rPr>
          <w:lang w:val="en-AU"/>
        </w:rPr>
      </w:pPr>
      <w:r w:rsidRPr="00CF7CB1">
        <w:rPr>
          <w:b/>
          <w:lang w:val="en-AU"/>
        </w:rPr>
        <w:t>IP</w:t>
      </w:r>
      <w:r w:rsidRPr="00CF7CB1">
        <w:rPr>
          <w:lang w:val="en-AU"/>
        </w:rPr>
        <w:tab/>
      </w:r>
      <w:r w:rsidR="006C59E2" w:rsidRPr="00CF7CB1">
        <w:rPr>
          <w:lang w:val="en-AU"/>
        </w:rPr>
        <w:tab/>
      </w:r>
      <w:r w:rsidRPr="00CF7CB1">
        <w:rPr>
          <w:lang w:val="en-AU"/>
        </w:rPr>
        <w:t>Intellectual Property</w:t>
      </w:r>
    </w:p>
    <w:p w14:paraId="11D8A3B3" w14:textId="77777777" w:rsidR="00CA7904" w:rsidRPr="00CF7CB1" w:rsidRDefault="00CA7904" w:rsidP="00CA7904">
      <w:pPr>
        <w:spacing w:after="120"/>
        <w:rPr>
          <w:lang w:val="en-AU"/>
        </w:rPr>
      </w:pPr>
      <w:r w:rsidRPr="00CF7CB1">
        <w:rPr>
          <w:b/>
          <w:lang w:val="en-AU"/>
        </w:rPr>
        <w:t>IWG</w:t>
      </w:r>
      <w:r w:rsidRPr="00CF7CB1">
        <w:rPr>
          <w:lang w:val="en-AU"/>
        </w:rPr>
        <w:tab/>
      </w:r>
      <w:r w:rsidR="00A974BA" w:rsidRPr="00CF7CB1">
        <w:rPr>
          <w:lang w:val="en-AU"/>
        </w:rPr>
        <w:tab/>
      </w:r>
      <w:r w:rsidRPr="00CF7CB1">
        <w:rPr>
          <w:lang w:val="en-AU"/>
        </w:rPr>
        <w:t>Industry Working Group</w:t>
      </w:r>
    </w:p>
    <w:p w14:paraId="3F0CD315" w14:textId="77777777" w:rsidR="00A974BA" w:rsidRPr="00CF7CB1" w:rsidRDefault="00CA7904" w:rsidP="00CA7904">
      <w:pPr>
        <w:spacing w:after="120"/>
        <w:rPr>
          <w:lang w:val="en-AU"/>
        </w:rPr>
      </w:pPr>
      <w:r w:rsidRPr="00CF7CB1">
        <w:rPr>
          <w:b/>
          <w:lang w:val="en-AU"/>
        </w:rPr>
        <w:t>KEQ</w:t>
      </w:r>
      <w:r w:rsidRPr="00CF7CB1">
        <w:rPr>
          <w:lang w:val="en-AU"/>
        </w:rPr>
        <w:tab/>
      </w:r>
      <w:r w:rsidR="00A974BA" w:rsidRPr="00CF7CB1">
        <w:rPr>
          <w:lang w:val="en-AU"/>
        </w:rPr>
        <w:tab/>
      </w:r>
      <w:r w:rsidRPr="00CF7CB1">
        <w:rPr>
          <w:lang w:val="en-AU"/>
        </w:rPr>
        <w:t xml:space="preserve">Key Evaluation Question </w:t>
      </w:r>
    </w:p>
    <w:p w14:paraId="6A0AAA49" w14:textId="77777777" w:rsidR="00A974BA" w:rsidRPr="00CF7CB1" w:rsidRDefault="00CA7904" w:rsidP="00CA7904">
      <w:pPr>
        <w:spacing w:after="120"/>
        <w:rPr>
          <w:lang w:val="en-AU"/>
        </w:rPr>
      </w:pPr>
      <w:r w:rsidRPr="00CF7CB1">
        <w:rPr>
          <w:b/>
          <w:lang w:val="en-AU"/>
        </w:rPr>
        <w:t>MAWGs</w:t>
      </w:r>
      <w:r w:rsidRPr="00CF7CB1">
        <w:rPr>
          <w:lang w:val="en-AU"/>
        </w:rPr>
        <w:tab/>
      </w:r>
      <w:r w:rsidR="00A974BA" w:rsidRPr="00CF7CB1">
        <w:rPr>
          <w:lang w:val="en-AU"/>
        </w:rPr>
        <w:t>Market Access</w:t>
      </w:r>
      <w:r w:rsidRPr="00CF7CB1">
        <w:rPr>
          <w:lang w:val="en-AU"/>
        </w:rPr>
        <w:t xml:space="preserve"> Working Groups </w:t>
      </w:r>
    </w:p>
    <w:p w14:paraId="3633B4AC" w14:textId="77777777" w:rsidR="00CA7904" w:rsidRPr="00CF7CB1" w:rsidRDefault="00CA7904" w:rsidP="00CA7904">
      <w:pPr>
        <w:spacing w:after="120"/>
        <w:rPr>
          <w:lang w:val="en-AU"/>
        </w:rPr>
      </w:pPr>
      <w:r w:rsidRPr="00CF7CB1">
        <w:rPr>
          <w:b/>
          <w:lang w:val="en-AU"/>
        </w:rPr>
        <w:t>M&amp;E</w:t>
      </w:r>
      <w:r w:rsidRPr="00CF7CB1">
        <w:rPr>
          <w:lang w:val="en-AU"/>
        </w:rPr>
        <w:tab/>
      </w:r>
      <w:r w:rsidR="00A974BA" w:rsidRPr="00CF7CB1">
        <w:rPr>
          <w:lang w:val="en-AU"/>
        </w:rPr>
        <w:tab/>
        <w:t>Monitoring and</w:t>
      </w:r>
      <w:r w:rsidRPr="00CF7CB1">
        <w:rPr>
          <w:lang w:val="en-AU"/>
        </w:rPr>
        <w:t xml:space="preserve"> Evaluation</w:t>
      </w:r>
    </w:p>
    <w:p w14:paraId="78A6F183" w14:textId="77777777" w:rsidR="00A974BA" w:rsidRPr="00CF7CB1" w:rsidRDefault="00CA7904" w:rsidP="00CA7904">
      <w:pPr>
        <w:spacing w:after="120"/>
        <w:rPr>
          <w:lang w:val="en-AU"/>
        </w:rPr>
      </w:pPr>
      <w:r w:rsidRPr="00CF7CB1">
        <w:rPr>
          <w:b/>
          <w:lang w:val="en-AU"/>
        </w:rPr>
        <w:t>MoIC</w:t>
      </w:r>
      <w:r w:rsidRPr="00CF7CB1">
        <w:rPr>
          <w:lang w:val="en-AU"/>
        </w:rPr>
        <w:tab/>
      </w:r>
      <w:r w:rsidR="00A974BA" w:rsidRPr="00CF7CB1">
        <w:rPr>
          <w:lang w:val="en-AU"/>
        </w:rPr>
        <w:tab/>
      </w:r>
      <w:r w:rsidRPr="00CF7CB1">
        <w:rPr>
          <w:lang w:val="en-AU"/>
        </w:rPr>
        <w:t xml:space="preserve">Ministry </w:t>
      </w:r>
      <w:r w:rsidR="00A974BA" w:rsidRPr="00CF7CB1">
        <w:rPr>
          <w:lang w:val="en-AU"/>
        </w:rPr>
        <w:t>of Industry</w:t>
      </w:r>
      <w:r w:rsidRPr="00CF7CB1">
        <w:rPr>
          <w:lang w:val="en-AU"/>
        </w:rPr>
        <w:t xml:space="preserve"> and Commerce </w:t>
      </w:r>
    </w:p>
    <w:p w14:paraId="378C3649" w14:textId="77777777" w:rsidR="00A974BA" w:rsidRPr="00CF7CB1" w:rsidRDefault="00CA7904" w:rsidP="00CA7904">
      <w:pPr>
        <w:spacing w:after="120"/>
        <w:rPr>
          <w:lang w:val="en-AU"/>
        </w:rPr>
      </w:pPr>
      <w:r w:rsidRPr="00CF7CB1">
        <w:rPr>
          <w:b/>
          <w:lang w:val="en-AU"/>
        </w:rPr>
        <w:t>MOU</w:t>
      </w:r>
      <w:r w:rsidRPr="00CF7CB1">
        <w:rPr>
          <w:lang w:val="en-AU"/>
        </w:rPr>
        <w:tab/>
      </w:r>
      <w:r w:rsidR="00A974BA" w:rsidRPr="00CF7CB1">
        <w:rPr>
          <w:lang w:val="en-AU"/>
        </w:rPr>
        <w:tab/>
      </w:r>
      <w:r w:rsidRPr="00CF7CB1">
        <w:rPr>
          <w:lang w:val="en-AU"/>
        </w:rPr>
        <w:t xml:space="preserve">Memorandum of Understanding </w:t>
      </w:r>
    </w:p>
    <w:p w14:paraId="190B6690" w14:textId="77777777" w:rsidR="00A974BA" w:rsidRPr="00CF7CB1" w:rsidRDefault="00CA7904" w:rsidP="00CA7904">
      <w:pPr>
        <w:spacing w:after="120"/>
        <w:rPr>
          <w:lang w:val="en-AU"/>
        </w:rPr>
      </w:pPr>
      <w:r w:rsidRPr="00CF7CB1">
        <w:rPr>
          <w:b/>
          <w:lang w:val="en-AU"/>
        </w:rPr>
        <w:t>MRA</w:t>
      </w:r>
      <w:r w:rsidRPr="00CF7CB1">
        <w:rPr>
          <w:lang w:val="en-AU"/>
        </w:rPr>
        <w:tab/>
      </w:r>
      <w:r w:rsidR="00A974BA" w:rsidRPr="00CF7CB1">
        <w:rPr>
          <w:lang w:val="en-AU"/>
        </w:rPr>
        <w:tab/>
      </w:r>
      <w:r w:rsidRPr="00CF7CB1">
        <w:rPr>
          <w:lang w:val="en-AU"/>
        </w:rPr>
        <w:t xml:space="preserve">Mutual Recognition Agreement </w:t>
      </w:r>
    </w:p>
    <w:p w14:paraId="656A6632" w14:textId="77777777" w:rsidR="00CA7904" w:rsidRPr="00CF7CB1" w:rsidRDefault="00CA7904" w:rsidP="00CA7904">
      <w:pPr>
        <w:spacing w:after="120"/>
        <w:rPr>
          <w:lang w:val="en-AU"/>
        </w:rPr>
      </w:pPr>
      <w:r w:rsidRPr="00CF7CB1">
        <w:rPr>
          <w:b/>
          <w:lang w:val="en-AU"/>
        </w:rPr>
        <w:t>MSG</w:t>
      </w:r>
      <w:r w:rsidRPr="00CF7CB1">
        <w:rPr>
          <w:lang w:val="en-AU"/>
        </w:rPr>
        <w:tab/>
      </w:r>
      <w:r w:rsidR="00A974BA" w:rsidRPr="00CF7CB1">
        <w:rPr>
          <w:lang w:val="en-AU"/>
        </w:rPr>
        <w:tab/>
        <w:t xml:space="preserve">Melanesian </w:t>
      </w:r>
      <w:r w:rsidRPr="00CF7CB1">
        <w:rPr>
          <w:lang w:val="en-AU"/>
        </w:rPr>
        <w:t>Spearhead Group</w:t>
      </w:r>
    </w:p>
    <w:p w14:paraId="3DDF7BBC" w14:textId="77777777" w:rsidR="00CA7904" w:rsidRPr="00CF7CB1" w:rsidRDefault="00CA7904" w:rsidP="00CA7904">
      <w:pPr>
        <w:spacing w:after="120"/>
        <w:rPr>
          <w:lang w:val="en-AU"/>
        </w:rPr>
      </w:pPr>
      <w:r w:rsidRPr="00CF7CB1">
        <w:rPr>
          <w:b/>
          <w:lang w:val="en-AU"/>
        </w:rPr>
        <w:t>MTEC</w:t>
      </w:r>
      <w:r w:rsidRPr="00CF7CB1">
        <w:rPr>
          <w:lang w:val="en-AU"/>
        </w:rPr>
        <w:tab/>
      </w:r>
      <w:r w:rsidR="00A974BA" w:rsidRPr="00CF7CB1">
        <w:rPr>
          <w:lang w:val="en-AU"/>
        </w:rPr>
        <w:tab/>
        <w:t>Micronesian Trade and Economic</w:t>
      </w:r>
      <w:r w:rsidRPr="00CF7CB1">
        <w:rPr>
          <w:lang w:val="en-AU"/>
        </w:rPr>
        <w:t xml:space="preserve"> Committee</w:t>
      </w:r>
    </w:p>
    <w:p w14:paraId="419AA088" w14:textId="77777777" w:rsidR="00CA7904" w:rsidRPr="00CF7CB1" w:rsidRDefault="00CA7904" w:rsidP="00CA7904">
      <w:pPr>
        <w:spacing w:after="120"/>
        <w:rPr>
          <w:lang w:val="en-AU"/>
        </w:rPr>
      </w:pPr>
      <w:r w:rsidRPr="00CF7CB1">
        <w:rPr>
          <w:b/>
          <w:lang w:val="en-AU"/>
        </w:rPr>
        <w:t>MTR</w:t>
      </w:r>
      <w:r w:rsidRPr="00CF7CB1">
        <w:rPr>
          <w:lang w:val="en-AU"/>
        </w:rPr>
        <w:tab/>
      </w:r>
      <w:r w:rsidR="00A974BA" w:rsidRPr="00CF7CB1">
        <w:rPr>
          <w:lang w:val="en-AU"/>
        </w:rPr>
        <w:tab/>
      </w:r>
      <w:r w:rsidRPr="00CF7CB1">
        <w:rPr>
          <w:lang w:val="en-AU"/>
        </w:rPr>
        <w:t>Mid-Term Review</w:t>
      </w:r>
    </w:p>
    <w:p w14:paraId="640D54F3" w14:textId="77777777" w:rsidR="00CA7904" w:rsidRPr="00CF7CB1" w:rsidRDefault="00CA7904" w:rsidP="00CA7904">
      <w:pPr>
        <w:spacing w:after="120"/>
        <w:rPr>
          <w:lang w:val="en-AU"/>
        </w:rPr>
      </w:pPr>
      <w:r w:rsidRPr="00CF7CB1">
        <w:rPr>
          <w:b/>
          <w:lang w:val="en-AU"/>
        </w:rPr>
        <w:t>NCA</w:t>
      </w:r>
      <w:r w:rsidRPr="00CF7CB1">
        <w:rPr>
          <w:lang w:val="en-AU"/>
        </w:rPr>
        <w:tab/>
      </w:r>
      <w:r w:rsidR="00A974BA" w:rsidRPr="00CF7CB1">
        <w:rPr>
          <w:lang w:val="en-AU"/>
        </w:rPr>
        <w:tab/>
        <w:t xml:space="preserve">National </w:t>
      </w:r>
      <w:r w:rsidRPr="00CF7CB1">
        <w:rPr>
          <w:lang w:val="en-AU"/>
        </w:rPr>
        <w:t>Communications Authority</w:t>
      </w:r>
    </w:p>
    <w:p w14:paraId="6E80DC6B" w14:textId="77777777" w:rsidR="00A974BA" w:rsidRPr="00CF7CB1" w:rsidRDefault="00CA7904" w:rsidP="00CA7904">
      <w:pPr>
        <w:spacing w:after="120"/>
        <w:rPr>
          <w:lang w:val="en-AU"/>
        </w:rPr>
      </w:pPr>
      <w:r w:rsidRPr="00CF7CB1">
        <w:rPr>
          <w:b/>
          <w:lang w:val="en-AU"/>
        </w:rPr>
        <w:t>NMAC</w:t>
      </w:r>
      <w:r w:rsidRPr="00CF7CB1">
        <w:rPr>
          <w:lang w:val="en-AU"/>
        </w:rPr>
        <w:tab/>
      </w:r>
      <w:r w:rsidR="00A974BA" w:rsidRPr="00CF7CB1">
        <w:rPr>
          <w:lang w:val="en-AU"/>
        </w:rPr>
        <w:tab/>
        <w:t xml:space="preserve">National </w:t>
      </w:r>
      <w:r w:rsidRPr="00CF7CB1">
        <w:rPr>
          <w:lang w:val="en-AU"/>
        </w:rPr>
        <w:t xml:space="preserve">Market Access Coordinator </w:t>
      </w:r>
    </w:p>
    <w:p w14:paraId="6094F585" w14:textId="77777777" w:rsidR="00A974BA" w:rsidRPr="00CF7CB1" w:rsidRDefault="00CA7904" w:rsidP="00CA7904">
      <w:pPr>
        <w:spacing w:after="120"/>
        <w:rPr>
          <w:lang w:val="en-AU"/>
        </w:rPr>
      </w:pPr>
      <w:r w:rsidRPr="00CF7CB1">
        <w:rPr>
          <w:b/>
          <w:lang w:val="en-AU"/>
        </w:rPr>
        <w:t>NSEDP</w:t>
      </w:r>
      <w:r w:rsidR="00A974BA" w:rsidRPr="00CF7CB1">
        <w:rPr>
          <w:lang w:val="en-AU"/>
        </w:rPr>
        <w:tab/>
        <w:t>National</w:t>
      </w:r>
      <w:r w:rsidRPr="00CF7CB1">
        <w:rPr>
          <w:lang w:val="en-AU"/>
        </w:rPr>
        <w:t xml:space="preserve"> Socio-Economic Development Plan </w:t>
      </w:r>
    </w:p>
    <w:p w14:paraId="4D9BEADF" w14:textId="77777777" w:rsidR="00CA7904" w:rsidRPr="00CF7CB1" w:rsidRDefault="00CA7904" w:rsidP="00CA7904">
      <w:pPr>
        <w:spacing w:after="120"/>
        <w:rPr>
          <w:lang w:val="en-AU"/>
        </w:rPr>
      </w:pPr>
      <w:r w:rsidRPr="00CF7CB1">
        <w:rPr>
          <w:b/>
          <w:lang w:val="en-AU"/>
        </w:rPr>
        <w:t>NGO</w:t>
      </w:r>
      <w:r w:rsidRPr="00CF7CB1">
        <w:rPr>
          <w:lang w:val="en-AU"/>
        </w:rPr>
        <w:tab/>
      </w:r>
      <w:r w:rsidR="00A974BA" w:rsidRPr="00CF7CB1">
        <w:rPr>
          <w:lang w:val="en-AU"/>
        </w:rPr>
        <w:tab/>
        <w:t xml:space="preserve">Non-Governmental </w:t>
      </w:r>
      <w:r w:rsidRPr="00CF7CB1">
        <w:rPr>
          <w:lang w:val="en-AU"/>
        </w:rPr>
        <w:t>Organisation</w:t>
      </w:r>
    </w:p>
    <w:p w14:paraId="718E5B01" w14:textId="77777777" w:rsidR="00CA7904" w:rsidRPr="00CF7CB1" w:rsidRDefault="00CA7904" w:rsidP="00CA7904">
      <w:pPr>
        <w:spacing w:after="120"/>
        <w:rPr>
          <w:lang w:val="en-AU"/>
        </w:rPr>
      </w:pPr>
      <w:r w:rsidRPr="00CF7CB1">
        <w:rPr>
          <w:b/>
          <w:lang w:val="en-AU"/>
        </w:rPr>
        <w:t>NIU</w:t>
      </w:r>
      <w:r w:rsidR="00A974BA" w:rsidRPr="00CF7CB1">
        <w:rPr>
          <w:lang w:val="en-AU"/>
        </w:rPr>
        <w:tab/>
      </w:r>
      <w:r w:rsidR="00A974BA" w:rsidRPr="00CF7CB1">
        <w:rPr>
          <w:lang w:val="en-AU"/>
        </w:rPr>
        <w:tab/>
        <w:t>National</w:t>
      </w:r>
      <w:r w:rsidRPr="00CF7CB1">
        <w:rPr>
          <w:lang w:val="en-AU"/>
        </w:rPr>
        <w:t xml:space="preserve"> Implementation Unit</w:t>
      </w:r>
    </w:p>
    <w:p w14:paraId="7D462813" w14:textId="77777777" w:rsidR="00CA7904" w:rsidRPr="00CF7CB1" w:rsidRDefault="00CA7904" w:rsidP="00CA7904">
      <w:pPr>
        <w:spacing w:after="120"/>
        <w:rPr>
          <w:lang w:val="en-AU"/>
        </w:rPr>
      </w:pPr>
      <w:r w:rsidRPr="00CF7CB1">
        <w:rPr>
          <w:b/>
          <w:lang w:val="en-AU"/>
        </w:rPr>
        <w:t>NTM</w:t>
      </w:r>
      <w:r w:rsidRPr="00CF7CB1">
        <w:rPr>
          <w:lang w:val="en-AU"/>
        </w:rPr>
        <w:tab/>
      </w:r>
      <w:r w:rsidR="00A974BA" w:rsidRPr="00CF7CB1">
        <w:rPr>
          <w:lang w:val="en-AU"/>
        </w:rPr>
        <w:tab/>
      </w:r>
      <w:r w:rsidRPr="00CF7CB1">
        <w:rPr>
          <w:lang w:val="en-AU"/>
        </w:rPr>
        <w:t>Non-Tariff Measures</w:t>
      </w:r>
    </w:p>
    <w:p w14:paraId="077C64B4" w14:textId="77777777" w:rsidR="00CA7904" w:rsidRPr="00CF7CB1" w:rsidRDefault="00CA7904" w:rsidP="00CA7904">
      <w:pPr>
        <w:spacing w:after="120"/>
        <w:rPr>
          <w:lang w:val="en-AU"/>
        </w:rPr>
      </w:pPr>
      <w:r w:rsidRPr="00CF7CB1">
        <w:rPr>
          <w:b/>
          <w:lang w:val="en-AU"/>
        </w:rPr>
        <w:t>OCTA</w:t>
      </w:r>
      <w:r w:rsidRPr="00CF7CB1">
        <w:rPr>
          <w:lang w:val="en-AU"/>
        </w:rPr>
        <w:tab/>
      </w:r>
      <w:r w:rsidR="00A974BA" w:rsidRPr="00CF7CB1">
        <w:rPr>
          <w:lang w:val="en-AU"/>
        </w:rPr>
        <w:tab/>
        <w:t xml:space="preserve">Office of the Chief Trade </w:t>
      </w:r>
      <w:r w:rsidRPr="00CF7CB1">
        <w:rPr>
          <w:lang w:val="en-AU"/>
        </w:rPr>
        <w:t>Adviser</w:t>
      </w:r>
    </w:p>
    <w:p w14:paraId="4A301459" w14:textId="77777777" w:rsidR="00CA7904" w:rsidRPr="00CF7CB1" w:rsidRDefault="00CA7904" w:rsidP="00CA7904">
      <w:pPr>
        <w:spacing w:after="120"/>
        <w:rPr>
          <w:lang w:val="en-AU"/>
        </w:rPr>
      </w:pPr>
      <w:r w:rsidRPr="00CF7CB1">
        <w:rPr>
          <w:b/>
          <w:lang w:val="en-AU"/>
        </w:rPr>
        <w:t>ODA</w:t>
      </w:r>
      <w:r w:rsidRPr="00CF7CB1">
        <w:rPr>
          <w:lang w:val="en-AU"/>
        </w:rPr>
        <w:tab/>
      </w:r>
      <w:r w:rsidR="00A974BA" w:rsidRPr="00CF7CB1">
        <w:rPr>
          <w:lang w:val="en-AU"/>
        </w:rPr>
        <w:tab/>
        <w:t xml:space="preserve">Official Development </w:t>
      </w:r>
      <w:r w:rsidRPr="00CF7CB1">
        <w:rPr>
          <w:lang w:val="en-AU"/>
        </w:rPr>
        <w:t>Assistance</w:t>
      </w:r>
    </w:p>
    <w:p w14:paraId="318974B2" w14:textId="77777777" w:rsidR="00042257" w:rsidRPr="00CF7CB1" w:rsidRDefault="00042257" w:rsidP="00042257">
      <w:pPr>
        <w:spacing w:after="120"/>
        <w:rPr>
          <w:lang w:val="en-AU"/>
        </w:rPr>
      </w:pPr>
      <w:r w:rsidRPr="00CF7CB1">
        <w:rPr>
          <w:b/>
          <w:lang w:val="en-AU"/>
        </w:rPr>
        <w:t>ODE</w:t>
      </w:r>
      <w:r w:rsidRPr="00CF7CB1">
        <w:rPr>
          <w:lang w:val="en-AU"/>
        </w:rPr>
        <w:tab/>
      </w:r>
      <w:r w:rsidRPr="00CF7CB1">
        <w:rPr>
          <w:lang w:val="en-AU"/>
        </w:rPr>
        <w:tab/>
        <w:t>Office of Development Effectiveness</w:t>
      </w:r>
    </w:p>
    <w:p w14:paraId="014EACC1" w14:textId="77777777" w:rsidR="00042257" w:rsidRPr="00CF7CB1" w:rsidRDefault="00042257" w:rsidP="00042257">
      <w:pPr>
        <w:spacing w:after="120"/>
        <w:rPr>
          <w:lang w:val="en-AU"/>
        </w:rPr>
      </w:pPr>
      <w:r w:rsidRPr="00CF7CB1">
        <w:rPr>
          <w:b/>
          <w:lang w:val="en-AU"/>
        </w:rPr>
        <w:t>OECD</w:t>
      </w:r>
      <w:r w:rsidRPr="00CF7CB1">
        <w:rPr>
          <w:lang w:val="en-AU"/>
        </w:rPr>
        <w:tab/>
      </w:r>
      <w:r w:rsidRPr="00CF7CB1">
        <w:rPr>
          <w:lang w:val="en-AU"/>
        </w:rPr>
        <w:tab/>
        <w:t xml:space="preserve">Office for Economic Cooperation and Development </w:t>
      </w:r>
    </w:p>
    <w:p w14:paraId="424624A8" w14:textId="77777777" w:rsidR="00042257" w:rsidRPr="00CF7CB1" w:rsidRDefault="00042257" w:rsidP="00042257">
      <w:pPr>
        <w:spacing w:after="120"/>
        <w:rPr>
          <w:lang w:val="en-AU"/>
        </w:rPr>
      </w:pPr>
      <w:r w:rsidRPr="00CF7CB1">
        <w:rPr>
          <w:b/>
          <w:lang w:val="en-AU"/>
        </w:rPr>
        <w:t>PACER</w:t>
      </w:r>
      <w:r w:rsidRPr="00CF7CB1">
        <w:rPr>
          <w:lang w:val="en-AU"/>
        </w:rPr>
        <w:tab/>
        <w:t xml:space="preserve">Pacific Agreement on Closer   Economic Relations </w:t>
      </w:r>
    </w:p>
    <w:p w14:paraId="17F911E2" w14:textId="77777777" w:rsidR="00042257" w:rsidRPr="00CF7CB1" w:rsidRDefault="00042257" w:rsidP="00042257">
      <w:pPr>
        <w:spacing w:after="120"/>
        <w:rPr>
          <w:lang w:val="en-AU"/>
        </w:rPr>
      </w:pPr>
      <w:r w:rsidRPr="00CF7CB1">
        <w:rPr>
          <w:b/>
          <w:lang w:val="en-AU"/>
        </w:rPr>
        <w:t>PCS</w:t>
      </w:r>
      <w:r w:rsidRPr="00CF7CB1">
        <w:rPr>
          <w:lang w:val="en-AU"/>
        </w:rPr>
        <w:tab/>
      </w:r>
      <w:r w:rsidRPr="00CF7CB1">
        <w:rPr>
          <w:lang w:val="en-AU"/>
        </w:rPr>
        <w:tab/>
        <w:t>Port Community System</w:t>
      </w:r>
    </w:p>
    <w:p w14:paraId="492FC9AB" w14:textId="77777777" w:rsidR="00042257" w:rsidRPr="00CF7CB1" w:rsidRDefault="00042257" w:rsidP="00042257">
      <w:pPr>
        <w:spacing w:after="120"/>
        <w:rPr>
          <w:lang w:val="en-AU"/>
        </w:rPr>
      </w:pPr>
      <w:r w:rsidRPr="00CF7CB1">
        <w:rPr>
          <w:b/>
          <w:lang w:val="en-AU"/>
        </w:rPr>
        <w:t>PHAMA</w:t>
      </w:r>
      <w:r w:rsidRPr="00CF7CB1">
        <w:rPr>
          <w:lang w:val="en-AU"/>
        </w:rPr>
        <w:tab/>
        <w:t>Pacific Horticultural and Agricultural Market</w:t>
      </w:r>
      <w:r w:rsidR="00190BE8" w:rsidRPr="00CF7CB1">
        <w:rPr>
          <w:lang w:val="en-AU"/>
        </w:rPr>
        <w:t xml:space="preserve"> </w:t>
      </w:r>
      <w:r w:rsidRPr="00CF7CB1">
        <w:rPr>
          <w:lang w:val="en-AU"/>
        </w:rPr>
        <w:t>Access</w:t>
      </w:r>
    </w:p>
    <w:p w14:paraId="4958724C" w14:textId="77777777" w:rsidR="00042257" w:rsidRPr="00CF7CB1" w:rsidRDefault="00042257" w:rsidP="00042257">
      <w:pPr>
        <w:spacing w:after="120"/>
        <w:rPr>
          <w:lang w:val="en-AU"/>
        </w:rPr>
      </w:pPr>
      <w:r w:rsidRPr="00CF7CB1">
        <w:rPr>
          <w:b/>
          <w:lang w:val="en-AU"/>
        </w:rPr>
        <w:t>PIC</w:t>
      </w:r>
      <w:r w:rsidRPr="00CF7CB1">
        <w:rPr>
          <w:lang w:val="en-AU"/>
        </w:rPr>
        <w:tab/>
      </w:r>
      <w:r w:rsidRPr="00CF7CB1">
        <w:rPr>
          <w:lang w:val="en-AU"/>
        </w:rPr>
        <w:tab/>
        <w:t>Pacific Island Country</w:t>
      </w:r>
    </w:p>
    <w:p w14:paraId="6125AAE5" w14:textId="77777777" w:rsidR="00042257" w:rsidRPr="00CF7CB1" w:rsidRDefault="00042257" w:rsidP="00042257">
      <w:pPr>
        <w:spacing w:after="120"/>
        <w:rPr>
          <w:lang w:val="en-AU"/>
        </w:rPr>
      </w:pPr>
      <w:r w:rsidRPr="00CF7CB1">
        <w:rPr>
          <w:b/>
          <w:lang w:val="en-AU"/>
        </w:rPr>
        <w:t>PICTA</w:t>
      </w:r>
      <w:r w:rsidRPr="00CF7CB1">
        <w:rPr>
          <w:lang w:val="en-AU"/>
        </w:rPr>
        <w:tab/>
      </w:r>
      <w:r w:rsidRPr="00CF7CB1">
        <w:rPr>
          <w:lang w:val="en-AU"/>
        </w:rPr>
        <w:tab/>
        <w:t xml:space="preserve">Pacific Island Country Trade Agreement </w:t>
      </w:r>
    </w:p>
    <w:p w14:paraId="7D19F27F" w14:textId="77777777" w:rsidR="00042257" w:rsidRPr="00CF7CB1" w:rsidRDefault="00042257" w:rsidP="00042257">
      <w:pPr>
        <w:spacing w:after="120"/>
        <w:rPr>
          <w:lang w:val="en-AU"/>
        </w:rPr>
      </w:pPr>
      <w:r w:rsidRPr="00CF7CB1">
        <w:rPr>
          <w:b/>
          <w:lang w:val="en-AU"/>
        </w:rPr>
        <w:t>PICTS</w:t>
      </w:r>
      <w:r w:rsidRPr="00CF7CB1">
        <w:rPr>
          <w:lang w:val="en-AU"/>
        </w:rPr>
        <w:tab/>
      </w:r>
      <w:r w:rsidRPr="00CF7CB1">
        <w:rPr>
          <w:lang w:val="en-AU"/>
        </w:rPr>
        <w:tab/>
        <w:t xml:space="preserve">Pacific Island Countries and Territories </w:t>
      </w:r>
    </w:p>
    <w:p w14:paraId="6778F423" w14:textId="77777777" w:rsidR="00042257" w:rsidRPr="00CF7CB1" w:rsidRDefault="00042257" w:rsidP="00042257">
      <w:pPr>
        <w:spacing w:after="120"/>
        <w:rPr>
          <w:lang w:val="en-AU"/>
        </w:rPr>
      </w:pPr>
      <w:r w:rsidRPr="00CF7CB1">
        <w:rPr>
          <w:b/>
          <w:lang w:val="en-AU"/>
        </w:rPr>
        <w:t>PLMAM</w:t>
      </w:r>
      <w:r w:rsidRPr="00CF7CB1">
        <w:rPr>
          <w:lang w:val="en-AU"/>
        </w:rPr>
        <w:tab/>
        <w:t xml:space="preserve">Pacific Labour Mobility Annual Meeting </w:t>
      </w:r>
    </w:p>
    <w:p w14:paraId="263AC240" w14:textId="77777777" w:rsidR="00042257" w:rsidRPr="00CF7CB1" w:rsidRDefault="00042257" w:rsidP="00042257">
      <w:pPr>
        <w:spacing w:after="120"/>
        <w:rPr>
          <w:lang w:val="en-AU"/>
        </w:rPr>
      </w:pPr>
      <w:r w:rsidRPr="00CF7CB1">
        <w:rPr>
          <w:b/>
          <w:lang w:val="en-AU"/>
        </w:rPr>
        <w:t>PNG</w:t>
      </w:r>
      <w:r w:rsidRPr="00CF7CB1">
        <w:rPr>
          <w:lang w:val="en-AU"/>
        </w:rPr>
        <w:tab/>
      </w:r>
      <w:r w:rsidRPr="00CF7CB1">
        <w:rPr>
          <w:lang w:val="en-AU"/>
        </w:rPr>
        <w:tab/>
        <w:t>Papua New Guinea</w:t>
      </w:r>
    </w:p>
    <w:p w14:paraId="373ADB6E" w14:textId="77777777" w:rsidR="00042257" w:rsidRPr="00CF7CB1" w:rsidRDefault="00042257" w:rsidP="00042257">
      <w:pPr>
        <w:spacing w:after="120"/>
        <w:rPr>
          <w:lang w:val="en-AU"/>
        </w:rPr>
      </w:pPr>
      <w:r w:rsidRPr="00CF7CB1">
        <w:rPr>
          <w:b/>
          <w:lang w:val="en-AU"/>
        </w:rPr>
        <w:t>PSD</w:t>
      </w:r>
      <w:r w:rsidRPr="00CF7CB1">
        <w:rPr>
          <w:lang w:val="en-AU"/>
        </w:rPr>
        <w:tab/>
      </w:r>
      <w:r w:rsidRPr="00CF7CB1">
        <w:rPr>
          <w:lang w:val="en-AU"/>
        </w:rPr>
        <w:tab/>
        <w:t>Private Sector Development</w:t>
      </w:r>
    </w:p>
    <w:p w14:paraId="6800DE0E" w14:textId="77777777" w:rsidR="00042257" w:rsidRPr="00CF7CB1" w:rsidRDefault="00042257" w:rsidP="00042257">
      <w:pPr>
        <w:spacing w:after="120"/>
        <w:rPr>
          <w:lang w:val="en-AU"/>
        </w:rPr>
      </w:pPr>
      <w:r w:rsidRPr="00CF7CB1">
        <w:rPr>
          <w:b/>
          <w:lang w:val="en-AU"/>
        </w:rPr>
        <w:t>QAI</w:t>
      </w:r>
      <w:r w:rsidRPr="00CF7CB1">
        <w:rPr>
          <w:lang w:val="en-AU"/>
        </w:rPr>
        <w:tab/>
      </w:r>
      <w:r w:rsidRPr="00CF7CB1">
        <w:rPr>
          <w:lang w:val="en-AU"/>
        </w:rPr>
        <w:tab/>
        <w:t>Quality at Implementation</w:t>
      </w:r>
    </w:p>
    <w:p w14:paraId="0453A9CA" w14:textId="77777777" w:rsidR="00042257" w:rsidRPr="00CF7CB1" w:rsidRDefault="00042257" w:rsidP="00042257">
      <w:pPr>
        <w:spacing w:after="120"/>
        <w:rPr>
          <w:lang w:val="en-AU"/>
        </w:rPr>
      </w:pPr>
      <w:r w:rsidRPr="00CF7CB1">
        <w:rPr>
          <w:b/>
          <w:lang w:val="en-AU"/>
        </w:rPr>
        <w:t>ROO</w:t>
      </w:r>
      <w:r w:rsidRPr="00CF7CB1">
        <w:rPr>
          <w:lang w:val="en-AU"/>
        </w:rPr>
        <w:tab/>
      </w:r>
      <w:r w:rsidRPr="00CF7CB1">
        <w:rPr>
          <w:lang w:val="en-AU"/>
        </w:rPr>
        <w:tab/>
        <w:t>Rules of Origin</w:t>
      </w:r>
    </w:p>
    <w:p w14:paraId="18A550AD" w14:textId="77777777" w:rsidR="00042257" w:rsidRPr="00CF7CB1" w:rsidRDefault="00042257" w:rsidP="00042257">
      <w:pPr>
        <w:spacing w:after="120"/>
        <w:rPr>
          <w:lang w:val="en-AU"/>
        </w:rPr>
      </w:pPr>
      <w:r w:rsidRPr="00CF7CB1">
        <w:rPr>
          <w:b/>
          <w:lang w:val="en-AU"/>
        </w:rPr>
        <w:t>SDG</w:t>
      </w:r>
      <w:r w:rsidRPr="00CF7CB1">
        <w:rPr>
          <w:lang w:val="en-AU"/>
        </w:rPr>
        <w:tab/>
      </w:r>
      <w:r w:rsidRPr="00CF7CB1">
        <w:rPr>
          <w:lang w:val="en-AU"/>
        </w:rPr>
        <w:tab/>
        <w:t xml:space="preserve">Sustainable Development Goals </w:t>
      </w:r>
    </w:p>
    <w:p w14:paraId="1914A95C" w14:textId="77777777" w:rsidR="00042257" w:rsidRPr="00CF7CB1" w:rsidRDefault="00042257" w:rsidP="00042257">
      <w:pPr>
        <w:spacing w:after="120"/>
        <w:rPr>
          <w:lang w:val="en-AU"/>
        </w:rPr>
      </w:pPr>
      <w:r w:rsidRPr="00CF7CB1">
        <w:rPr>
          <w:b/>
          <w:lang w:val="en-AU"/>
        </w:rPr>
        <w:t>SME</w:t>
      </w:r>
      <w:r w:rsidRPr="00CF7CB1">
        <w:rPr>
          <w:lang w:val="en-AU"/>
        </w:rPr>
        <w:tab/>
      </w:r>
      <w:r w:rsidRPr="00CF7CB1">
        <w:rPr>
          <w:lang w:val="en-AU"/>
        </w:rPr>
        <w:tab/>
        <w:t xml:space="preserve">Small to Medium Enterprises </w:t>
      </w:r>
    </w:p>
    <w:p w14:paraId="48B1DDDA" w14:textId="77777777" w:rsidR="00042257" w:rsidRPr="00CF7CB1" w:rsidRDefault="00042257" w:rsidP="00042257">
      <w:pPr>
        <w:spacing w:after="120"/>
        <w:rPr>
          <w:lang w:val="en-AU"/>
        </w:rPr>
      </w:pPr>
      <w:r w:rsidRPr="00CF7CB1">
        <w:rPr>
          <w:b/>
          <w:lang w:val="en-AU"/>
        </w:rPr>
        <w:t>SPS</w:t>
      </w:r>
      <w:r w:rsidRPr="00CF7CB1">
        <w:rPr>
          <w:lang w:val="en-AU"/>
        </w:rPr>
        <w:tab/>
      </w:r>
      <w:r w:rsidRPr="00CF7CB1">
        <w:rPr>
          <w:lang w:val="en-AU"/>
        </w:rPr>
        <w:tab/>
        <w:t>Sanitary and Phytosanitary</w:t>
      </w:r>
    </w:p>
    <w:p w14:paraId="6A98CD35" w14:textId="77777777" w:rsidR="00BE7016" w:rsidRPr="00CF7CB1" w:rsidRDefault="00BE7016" w:rsidP="00BE7016">
      <w:pPr>
        <w:spacing w:after="120"/>
        <w:rPr>
          <w:lang w:val="en-AU"/>
        </w:rPr>
      </w:pPr>
      <w:r w:rsidRPr="00CF7CB1">
        <w:rPr>
          <w:b/>
          <w:lang w:val="en-AU"/>
        </w:rPr>
        <w:t>T</w:t>
      </w:r>
      <w:r>
        <w:rPr>
          <w:b/>
          <w:lang w:val="en-AU"/>
        </w:rPr>
        <w:t>BT</w:t>
      </w:r>
      <w:r w:rsidRPr="00CF7CB1">
        <w:rPr>
          <w:lang w:val="en-AU"/>
        </w:rPr>
        <w:tab/>
      </w:r>
      <w:r w:rsidRPr="00CF7CB1">
        <w:rPr>
          <w:lang w:val="en-AU"/>
        </w:rPr>
        <w:tab/>
      </w:r>
      <w:r w:rsidRPr="00BE7016">
        <w:rPr>
          <w:lang w:val="en-AU"/>
        </w:rPr>
        <w:t>Technical Barriers to Trade</w:t>
      </w:r>
    </w:p>
    <w:p w14:paraId="0305625E" w14:textId="77777777" w:rsidR="00042257" w:rsidRPr="00CF7CB1" w:rsidRDefault="00042257" w:rsidP="00042257">
      <w:pPr>
        <w:spacing w:after="120"/>
        <w:rPr>
          <w:lang w:val="en-AU"/>
        </w:rPr>
      </w:pPr>
      <w:r w:rsidRPr="00CF7CB1">
        <w:rPr>
          <w:b/>
          <w:lang w:val="en-AU"/>
        </w:rPr>
        <w:t>TDF</w:t>
      </w:r>
      <w:r w:rsidRPr="00CF7CB1">
        <w:rPr>
          <w:lang w:val="en-AU"/>
        </w:rPr>
        <w:tab/>
      </w:r>
      <w:r w:rsidRPr="00CF7CB1">
        <w:rPr>
          <w:lang w:val="en-AU"/>
        </w:rPr>
        <w:tab/>
        <w:t>Trade Development Facility</w:t>
      </w:r>
    </w:p>
    <w:p w14:paraId="009B6A26" w14:textId="77777777" w:rsidR="00042257" w:rsidRPr="00CF7CB1" w:rsidRDefault="00042257" w:rsidP="00042257">
      <w:pPr>
        <w:spacing w:after="120"/>
        <w:rPr>
          <w:lang w:val="en-AU"/>
        </w:rPr>
      </w:pPr>
      <w:r w:rsidRPr="00CF7CB1">
        <w:rPr>
          <w:b/>
          <w:lang w:val="en-AU"/>
        </w:rPr>
        <w:t>TFA</w:t>
      </w:r>
      <w:r w:rsidRPr="00CF7CB1">
        <w:rPr>
          <w:lang w:val="en-AU"/>
        </w:rPr>
        <w:tab/>
      </w:r>
      <w:r w:rsidRPr="00CF7CB1">
        <w:rPr>
          <w:lang w:val="en-AU"/>
        </w:rPr>
        <w:tab/>
        <w:t>Trade Facilitation Agreement</w:t>
      </w:r>
    </w:p>
    <w:p w14:paraId="6543D78C" w14:textId="77777777" w:rsidR="00042257" w:rsidRPr="00CF7CB1" w:rsidRDefault="00042257" w:rsidP="00042257">
      <w:pPr>
        <w:spacing w:after="120"/>
        <w:rPr>
          <w:lang w:val="en-AU"/>
        </w:rPr>
      </w:pPr>
      <w:r w:rsidRPr="00CF7CB1">
        <w:rPr>
          <w:b/>
          <w:lang w:val="en-AU"/>
        </w:rPr>
        <w:t>ToR</w:t>
      </w:r>
      <w:r w:rsidRPr="00CF7CB1">
        <w:rPr>
          <w:lang w:val="en-AU"/>
        </w:rPr>
        <w:tab/>
      </w:r>
      <w:r w:rsidRPr="00CF7CB1">
        <w:rPr>
          <w:lang w:val="en-AU"/>
        </w:rPr>
        <w:tab/>
        <w:t>Terms of Reference</w:t>
      </w:r>
    </w:p>
    <w:p w14:paraId="76B0F8FB" w14:textId="77777777" w:rsidR="00042257" w:rsidRPr="00CF7CB1" w:rsidRDefault="00042257" w:rsidP="00042257">
      <w:pPr>
        <w:spacing w:after="120"/>
        <w:rPr>
          <w:lang w:val="en-AU"/>
        </w:rPr>
      </w:pPr>
      <w:r w:rsidRPr="00CF7CB1">
        <w:rPr>
          <w:b/>
          <w:lang w:val="en-AU"/>
        </w:rPr>
        <w:t>USAID</w:t>
      </w:r>
      <w:r w:rsidRPr="00CF7CB1">
        <w:rPr>
          <w:b/>
          <w:lang w:val="en-AU"/>
        </w:rPr>
        <w:tab/>
      </w:r>
      <w:r w:rsidRPr="00CF7CB1">
        <w:rPr>
          <w:lang w:val="en-AU"/>
        </w:rPr>
        <w:tab/>
        <w:t>United States Agency for International Development</w:t>
      </w:r>
    </w:p>
    <w:p w14:paraId="7E4CAE30" w14:textId="77777777" w:rsidR="00042257" w:rsidRPr="00CF7CB1" w:rsidRDefault="00042257" w:rsidP="00042257">
      <w:pPr>
        <w:spacing w:after="120"/>
        <w:rPr>
          <w:lang w:val="en-AU"/>
        </w:rPr>
      </w:pPr>
      <w:r w:rsidRPr="00CF7CB1">
        <w:rPr>
          <w:b/>
          <w:lang w:val="en-AU"/>
        </w:rPr>
        <w:t>WBG</w:t>
      </w:r>
      <w:r w:rsidRPr="00CF7CB1">
        <w:rPr>
          <w:lang w:val="en-AU"/>
        </w:rPr>
        <w:tab/>
      </w:r>
      <w:r w:rsidRPr="00CF7CB1">
        <w:rPr>
          <w:lang w:val="en-AU"/>
        </w:rPr>
        <w:tab/>
        <w:t>World Bank Group</w:t>
      </w:r>
    </w:p>
    <w:p w14:paraId="5EC37520" w14:textId="77777777" w:rsidR="00042257" w:rsidRPr="00CF7CB1" w:rsidRDefault="00042257" w:rsidP="00042257">
      <w:pPr>
        <w:spacing w:after="120"/>
        <w:rPr>
          <w:lang w:val="en-AU"/>
        </w:rPr>
      </w:pPr>
      <w:r w:rsidRPr="00CF7CB1">
        <w:rPr>
          <w:b/>
          <w:lang w:val="en-AU"/>
        </w:rPr>
        <w:t>WIPO</w:t>
      </w:r>
      <w:r w:rsidRPr="00CF7CB1">
        <w:rPr>
          <w:lang w:val="en-AU"/>
        </w:rPr>
        <w:tab/>
      </w:r>
      <w:r w:rsidRPr="00CF7CB1">
        <w:rPr>
          <w:lang w:val="en-AU"/>
        </w:rPr>
        <w:tab/>
        <w:t xml:space="preserve">World </w:t>
      </w:r>
      <w:r w:rsidR="00C916E6" w:rsidRPr="00CF7CB1">
        <w:rPr>
          <w:lang w:val="en-AU"/>
        </w:rPr>
        <w:t>Intellectual Property</w:t>
      </w:r>
      <w:r w:rsidRPr="00CF7CB1">
        <w:rPr>
          <w:lang w:val="en-AU"/>
        </w:rPr>
        <w:t xml:space="preserve"> Organisation</w:t>
      </w:r>
    </w:p>
    <w:p w14:paraId="0B71390D" w14:textId="77777777" w:rsidR="00354669" w:rsidRPr="00CF7CB1" w:rsidRDefault="00042257" w:rsidP="00042257">
      <w:pPr>
        <w:spacing w:after="120"/>
        <w:rPr>
          <w:lang w:val="en-AU"/>
        </w:rPr>
      </w:pPr>
      <w:r w:rsidRPr="00CF7CB1">
        <w:rPr>
          <w:b/>
          <w:lang w:val="en-AU"/>
        </w:rPr>
        <w:t>WTO</w:t>
      </w:r>
      <w:r w:rsidRPr="00CF7CB1">
        <w:rPr>
          <w:lang w:val="en-AU"/>
        </w:rPr>
        <w:tab/>
      </w:r>
      <w:r w:rsidRPr="00CF7CB1">
        <w:rPr>
          <w:lang w:val="en-AU"/>
        </w:rPr>
        <w:tab/>
        <w:t>World Trade Organisation</w:t>
      </w:r>
    </w:p>
    <w:p w14:paraId="11A654D5" w14:textId="77777777" w:rsidR="00354669" w:rsidRPr="00CF7CB1" w:rsidRDefault="00354669" w:rsidP="00354669">
      <w:pPr>
        <w:rPr>
          <w:lang w:val="en-AU"/>
        </w:rPr>
      </w:pPr>
      <w:r w:rsidRPr="00CF7CB1">
        <w:rPr>
          <w:lang w:val="en-AU"/>
        </w:rPr>
        <w:br w:type="page"/>
      </w:r>
    </w:p>
    <w:p w14:paraId="35113031" w14:textId="77777777" w:rsidR="003B5312" w:rsidRPr="00CF7CB1" w:rsidRDefault="00354669" w:rsidP="00354669">
      <w:pPr>
        <w:pStyle w:val="Heading1"/>
        <w:numPr>
          <w:ilvl w:val="0"/>
          <w:numId w:val="0"/>
        </w:numPr>
        <w:tabs>
          <w:tab w:val="clear" w:pos="357"/>
          <w:tab w:val="left" w:pos="0"/>
        </w:tabs>
        <w:rPr>
          <w:lang w:val="en-AU"/>
        </w:rPr>
      </w:pPr>
      <w:r w:rsidRPr="00CF7CB1">
        <w:rPr>
          <w:lang w:val="en-AU"/>
        </w:rPr>
        <w:t>Annex 1: PACER Plus Survey Results and Analysis</w:t>
      </w:r>
    </w:p>
    <w:p w14:paraId="6F72A635" w14:textId="77777777" w:rsidR="003B5312" w:rsidRPr="00CF7CB1" w:rsidRDefault="003B5312" w:rsidP="00354669">
      <w:pPr>
        <w:pStyle w:val="Heading2"/>
        <w:numPr>
          <w:ilvl w:val="0"/>
          <w:numId w:val="0"/>
        </w:numPr>
        <w:ind w:left="709" w:hanging="709"/>
        <w:rPr>
          <w:lang w:val="en-AU"/>
        </w:rPr>
      </w:pPr>
      <w:r w:rsidRPr="00CF7CB1">
        <w:rPr>
          <w:lang w:val="en-AU"/>
        </w:rPr>
        <w:t>Survey Report on the Pacific Island Trade Training Program</w:t>
      </w:r>
    </w:p>
    <w:p w14:paraId="1C5F3A5D" w14:textId="77777777" w:rsidR="003B5312" w:rsidRPr="00CF7CB1" w:rsidRDefault="003B5312" w:rsidP="00337BCF">
      <w:pPr>
        <w:spacing w:after="120"/>
        <w:rPr>
          <w:lang w:val="en-AU"/>
        </w:rPr>
      </w:pPr>
      <w:r w:rsidRPr="00CF7CB1">
        <w:rPr>
          <w:lang w:val="en-AU"/>
        </w:rPr>
        <w:t>16 November 2015</w:t>
      </w:r>
    </w:p>
    <w:p w14:paraId="0C4EC60C" w14:textId="77777777" w:rsidR="003B5312" w:rsidRPr="00CF7CB1" w:rsidRDefault="00354669" w:rsidP="00354669">
      <w:pPr>
        <w:pStyle w:val="Heading3"/>
        <w:rPr>
          <w:lang w:val="en-AU"/>
        </w:rPr>
      </w:pPr>
      <w:r w:rsidRPr="00CF7CB1">
        <w:rPr>
          <w:lang w:val="en-AU"/>
        </w:rPr>
        <w:t xml:space="preserve">Executive </w:t>
      </w:r>
      <w:r w:rsidR="003B5312" w:rsidRPr="00CF7CB1">
        <w:rPr>
          <w:lang w:val="en-AU"/>
        </w:rPr>
        <w:t>Summary</w:t>
      </w:r>
    </w:p>
    <w:p w14:paraId="4510800B" w14:textId="77777777" w:rsidR="003B5312" w:rsidRPr="00CF7CB1" w:rsidRDefault="003B5312" w:rsidP="00337BCF">
      <w:pPr>
        <w:spacing w:after="120"/>
        <w:rPr>
          <w:lang w:val="en-AU"/>
        </w:rPr>
      </w:pPr>
      <w:r w:rsidRPr="00CF7CB1">
        <w:rPr>
          <w:lang w:val="en-AU"/>
        </w:rPr>
        <w:t>From 2008 till 2013, the Institute for International Trade (IIT) at the University of Adelaide,</w:t>
      </w:r>
      <w:r w:rsidR="00190BE8" w:rsidRPr="00CF7CB1">
        <w:rPr>
          <w:lang w:val="en-AU"/>
        </w:rPr>
        <w:t xml:space="preserve"> </w:t>
      </w:r>
      <w:r w:rsidRPr="00CF7CB1">
        <w:rPr>
          <w:lang w:val="en-AU"/>
        </w:rPr>
        <w:t>was funded by AusAID/DFAT to manage two comprehensive trade training programs aimed at building the capacity of Pacific Island officials to develop trade policy, build their negotiation skills and understand the nature of contemporary trade agreements , including PACER Plus.</w:t>
      </w:r>
      <w:r w:rsidR="00511A07" w:rsidRPr="00CF7CB1">
        <w:rPr>
          <w:lang w:val="en-AU"/>
        </w:rPr>
        <w:t xml:space="preserve"> </w:t>
      </w:r>
      <w:r w:rsidRPr="00CF7CB1">
        <w:rPr>
          <w:lang w:val="en-AU"/>
        </w:rPr>
        <w:t>Of the 27 Pacific Island participants who completed the training programs, 17 responded to a survey focussed on the effectiveness of the training and the application of skills and knowledge gained.</w:t>
      </w:r>
    </w:p>
    <w:p w14:paraId="250CFCFD" w14:textId="77777777" w:rsidR="003B5312" w:rsidRPr="00CF7CB1" w:rsidRDefault="003B5312" w:rsidP="00337BCF">
      <w:pPr>
        <w:spacing w:after="120"/>
        <w:rPr>
          <w:lang w:val="en-AU"/>
        </w:rPr>
      </w:pPr>
      <w:r w:rsidRPr="00CF7CB1">
        <w:rPr>
          <w:lang w:val="en-AU"/>
        </w:rPr>
        <w:t>The responses from the survey indicate the positive impact of this AfT program. 82% of</w:t>
      </w:r>
      <w:r w:rsidR="00511A07" w:rsidRPr="00CF7CB1">
        <w:rPr>
          <w:lang w:val="en-AU"/>
        </w:rPr>
        <w:t xml:space="preserve"> </w:t>
      </w:r>
      <w:r w:rsidRPr="00CF7CB1">
        <w:rPr>
          <w:lang w:val="en-AU"/>
        </w:rPr>
        <w:t xml:space="preserve">participants perceived the trainings to have been effective in increasing their trade </w:t>
      </w:r>
      <w:r w:rsidR="00511A07" w:rsidRPr="00CF7CB1">
        <w:rPr>
          <w:lang w:val="en-AU"/>
        </w:rPr>
        <w:t>knowledge and</w:t>
      </w:r>
      <w:r w:rsidRPr="00CF7CB1">
        <w:rPr>
          <w:lang w:val="en-AU"/>
        </w:rPr>
        <w:t xml:space="preserve"> understanding of trade issues and trade agreements for the Pacific. Of note, 94% considered the training to have effectively increased their understanding of how to negotiate</w:t>
      </w:r>
      <w:r w:rsidR="00511A07" w:rsidRPr="00CF7CB1">
        <w:rPr>
          <w:lang w:val="en-AU"/>
        </w:rPr>
        <w:t xml:space="preserve"> </w:t>
      </w:r>
      <w:r w:rsidRPr="00CF7CB1">
        <w:rPr>
          <w:lang w:val="en-AU"/>
        </w:rPr>
        <w:t>and implement a PACER Plus Agreement, which is significa</w:t>
      </w:r>
      <w:r w:rsidR="00511A07" w:rsidRPr="00CF7CB1">
        <w:rPr>
          <w:lang w:val="en-AU"/>
        </w:rPr>
        <w:t xml:space="preserve">nt given the training was not </w:t>
      </w:r>
      <w:r w:rsidR="00216821" w:rsidRPr="00CF7CB1">
        <w:rPr>
          <w:lang w:val="en-AU"/>
        </w:rPr>
        <w:t xml:space="preserve">specifically focused on PACER </w:t>
      </w:r>
      <w:r w:rsidRPr="00CF7CB1">
        <w:rPr>
          <w:lang w:val="en-AU"/>
        </w:rPr>
        <w:t>Plus. None of the respondents surv</w:t>
      </w:r>
      <w:r w:rsidR="00511A07" w:rsidRPr="00CF7CB1">
        <w:rPr>
          <w:lang w:val="en-AU"/>
        </w:rPr>
        <w:t>eyed, perceived the trainings to have</w:t>
      </w:r>
      <w:r w:rsidRPr="00CF7CB1">
        <w:rPr>
          <w:lang w:val="en-AU"/>
        </w:rPr>
        <w:t xml:space="preserve"> been ineffective.</w:t>
      </w:r>
    </w:p>
    <w:p w14:paraId="7E524B53" w14:textId="77777777" w:rsidR="003B5312" w:rsidRPr="00CF7CB1" w:rsidRDefault="003B5312" w:rsidP="00337BCF">
      <w:pPr>
        <w:spacing w:after="120"/>
        <w:rPr>
          <w:lang w:val="en-AU"/>
        </w:rPr>
      </w:pPr>
      <w:r w:rsidRPr="00CF7CB1">
        <w:rPr>
          <w:lang w:val="en-AU"/>
        </w:rPr>
        <w:t>Of interest, skills acquired by participants were not only applied to PACER Plus negotiations only but also to other ongoing regional trade negotiations such as to the Economic Partnership Agreements with the European Union. 94% said they had passed on their newly acquired skills by conducting capacity building training programs and policy briefings on their return home as well as by maintaining trade policy networks with other participants - which augurs well for the sustainability of the program.</w:t>
      </w:r>
    </w:p>
    <w:p w14:paraId="3620B20E" w14:textId="77777777" w:rsidR="003B5312" w:rsidRPr="00CF7CB1" w:rsidRDefault="00511A07" w:rsidP="00337BCF">
      <w:pPr>
        <w:spacing w:after="120"/>
        <w:rPr>
          <w:lang w:val="en-AU"/>
        </w:rPr>
      </w:pPr>
      <w:r w:rsidRPr="00CF7CB1">
        <w:rPr>
          <w:lang w:val="en-AU"/>
        </w:rPr>
        <w:t xml:space="preserve">Two-thirds of respondents have been promoted subsequent to their participation in one </w:t>
      </w:r>
      <w:r w:rsidR="003B5312" w:rsidRPr="00CF7CB1">
        <w:rPr>
          <w:lang w:val="en-AU"/>
        </w:rPr>
        <w:t xml:space="preserve">of the trade training programs. A number reported that they have been promoted to more senior positions including one who is now the advisor to the President, while two others have been appointed to head the trade department in their respective countries. 82% of respondents indicated that the training increased their awareness of the impacts of trade on women. All </w:t>
      </w:r>
      <w:r w:rsidRPr="00CF7CB1">
        <w:rPr>
          <w:lang w:val="en-AU"/>
        </w:rPr>
        <w:t>of the</w:t>
      </w:r>
      <w:r w:rsidR="003B5312" w:rsidRPr="00CF7CB1">
        <w:rPr>
          <w:lang w:val="en-AU"/>
        </w:rPr>
        <w:t xml:space="preserve"> eight female respondents to the survey have been promoted subsequent to the training and all of the three respondents who have pursued further education after the training are women. These academic pursuits should enhance the contribution of these participants to inclusive trade development in the region.</w:t>
      </w:r>
    </w:p>
    <w:p w14:paraId="1F5B8327" w14:textId="77777777" w:rsidR="003B5312" w:rsidRPr="00CF7CB1" w:rsidRDefault="003B5312" w:rsidP="00337BCF">
      <w:pPr>
        <w:spacing w:after="120"/>
        <w:rPr>
          <w:lang w:val="en-AU"/>
        </w:rPr>
      </w:pPr>
      <w:r w:rsidRPr="00CF7CB1">
        <w:rPr>
          <w:lang w:val="en-AU"/>
        </w:rPr>
        <w:t>To improve similar aid for trade training programs in the future, there was wide-spread agreement expressed on the need for ‘ongoing training’ to reach an increased number of Pacific officials so as to help replenish the loss of capacity resulting from the high staff turnover in the Pacific. Extension of the training to include officials from relevant line departments, for example agriculture, as well as representatives from the private sector,</w:t>
      </w:r>
      <w:r w:rsidR="004E544C" w:rsidRPr="00CF7CB1">
        <w:rPr>
          <w:lang w:val="en-AU"/>
        </w:rPr>
        <w:t xml:space="preserve"> </w:t>
      </w:r>
      <w:r w:rsidRPr="00CF7CB1">
        <w:rPr>
          <w:lang w:val="en-AU"/>
        </w:rPr>
        <w:t>was reinforced. The importance of having Pacific Islander and Australian program facilitators was valued for both political and cultural reasons, while a number also suggested stronger involvement of relevant regional bodies such as the Pacific Island Forum Secretariat, OCO and OCTA. It was suggested that some of these organisations as well as current PACER Plus negotiators from Pacific Island Countries might be consulted in the selection of appropriate participants for any future trade training programs in the Pacific.</w:t>
      </w:r>
    </w:p>
    <w:p w14:paraId="14C32E43" w14:textId="77777777" w:rsidR="003B5312" w:rsidRPr="00CF7CB1" w:rsidRDefault="003B5312" w:rsidP="00F3775D">
      <w:pPr>
        <w:pStyle w:val="Heading3"/>
        <w:rPr>
          <w:lang w:val="en-AU"/>
        </w:rPr>
      </w:pPr>
      <w:r w:rsidRPr="00CF7CB1">
        <w:rPr>
          <w:lang w:val="en-AU"/>
        </w:rPr>
        <w:t>Introduction</w:t>
      </w:r>
    </w:p>
    <w:p w14:paraId="1ED27192" w14:textId="77777777" w:rsidR="003B5312" w:rsidRPr="00CF7CB1" w:rsidRDefault="003B5312" w:rsidP="00337BCF">
      <w:pPr>
        <w:spacing w:after="120"/>
        <w:rPr>
          <w:lang w:val="en-AU"/>
        </w:rPr>
      </w:pPr>
      <w:r w:rsidRPr="00CF7CB1">
        <w:rPr>
          <w:lang w:val="en-AU"/>
        </w:rPr>
        <w:t>Designed by IIT in consultation with DFAT and Pacific Island trade negotiators, each training program was conducted through 10 one week modules spread over a period of 18 months allowing officials to return home to official duties between each module. Topics covered</w:t>
      </w:r>
      <w:r w:rsidR="00E82715" w:rsidRPr="00CF7CB1">
        <w:rPr>
          <w:lang w:val="en-AU"/>
        </w:rPr>
        <w:t xml:space="preserve"> </w:t>
      </w:r>
      <w:r w:rsidRPr="00CF7CB1">
        <w:rPr>
          <w:lang w:val="en-AU"/>
        </w:rPr>
        <w:t>included an overview of the multilateral trading system, regional trade agreements and</w:t>
      </w:r>
      <w:r w:rsidR="00E82715" w:rsidRPr="00CF7CB1">
        <w:rPr>
          <w:lang w:val="en-AU"/>
        </w:rPr>
        <w:t xml:space="preserve"> </w:t>
      </w:r>
      <w:r w:rsidRPr="00CF7CB1">
        <w:rPr>
          <w:lang w:val="en-AU"/>
        </w:rPr>
        <w:t>specific modules on typical chapters in a regional trade agreement from agriculture through to investment and labour mobility issues.</w:t>
      </w:r>
    </w:p>
    <w:p w14:paraId="0A5BAE7B" w14:textId="77777777" w:rsidR="003B5312" w:rsidRPr="00CF7CB1" w:rsidRDefault="003B5312" w:rsidP="00337BCF">
      <w:pPr>
        <w:spacing w:after="120"/>
        <w:rPr>
          <w:lang w:val="en-AU"/>
        </w:rPr>
      </w:pPr>
      <w:r w:rsidRPr="00CF7CB1">
        <w:rPr>
          <w:lang w:val="en-AU"/>
        </w:rPr>
        <w:t>AusAID invited all 14 Forum Island Countries to nominate one representative per program but due to staff turn-over and change of responsibilities, a total of 27 participants completed the two programs. The following evaluates the effectiveness of the training programs based on</w:t>
      </w:r>
      <w:r w:rsidR="00F3775D" w:rsidRPr="00CF7CB1">
        <w:rPr>
          <w:lang w:val="en-AU"/>
        </w:rPr>
        <w:t xml:space="preserve"> </w:t>
      </w:r>
      <w:r w:rsidRPr="00CF7CB1">
        <w:rPr>
          <w:lang w:val="en-AU"/>
        </w:rPr>
        <w:t>a survey disseminated to participants. The first section outlines the methodology employed, followed by a succinct analysis of the findings including strengths and weaknesses of the activity, before concluding remarks.</w:t>
      </w:r>
    </w:p>
    <w:p w14:paraId="7A416040" w14:textId="77777777" w:rsidR="003B5312" w:rsidRPr="00CF7CB1" w:rsidRDefault="003B5312" w:rsidP="00F3775D">
      <w:pPr>
        <w:pStyle w:val="Heading3"/>
        <w:rPr>
          <w:lang w:val="en-AU"/>
        </w:rPr>
      </w:pPr>
      <w:r w:rsidRPr="00CF7CB1">
        <w:rPr>
          <w:lang w:val="en-AU"/>
        </w:rPr>
        <w:t>Methodology</w:t>
      </w:r>
    </w:p>
    <w:p w14:paraId="3916609A" w14:textId="77777777" w:rsidR="003B5312" w:rsidRPr="00CF7CB1" w:rsidRDefault="003B5312" w:rsidP="00337BCF">
      <w:pPr>
        <w:spacing w:after="120"/>
        <w:rPr>
          <w:lang w:val="en-AU"/>
        </w:rPr>
      </w:pPr>
      <w:r w:rsidRPr="00CF7CB1">
        <w:rPr>
          <w:lang w:val="en-AU"/>
        </w:rPr>
        <w:t>The information discussed in this report was collected through an online survey designed to facilitate effective and efficient data collection from 27 training participants from across the</w:t>
      </w:r>
      <w:r w:rsidR="00E82715" w:rsidRPr="00CF7CB1">
        <w:rPr>
          <w:lang w:val="en-AU"/>
        </w:rPr>
        <w:t xml:space="preserve"> </w:t>
      </w:r>
      <w:r w:rsidRPr="00CF7CB1">
        <w:rPr>
          <w:lang w:val="en-AU"/>
        </w:rPr>
        <w:t>14 Pacific Forum Island Countries. In order to effectively evaluate the Pacific Trade Training Program from the perspective of these participants, a semi-structured survey questionnaire</w:t>
      </w:r>
      <w:r w:rsidR="00E82715" w:rsidRPr="00CF7CB1">
        <w:rPr>
          <w:lang w:val="en-AU"/>
        </w:rPr>
        <w:t xml:space="preserve"> </w:t>
      </w:r>
      <w:r w:rsidRPr="00CF7CB1">
        <w:rPr>
          <w:lang w:val="en-AU"/>
        </w:rPr>
        <w:t>was adopted to collect both qualitative and quantitative data. The final survey questionnaire is attached at Annex 1.</w:t>
      </w:r>
    </w:p>
    <w:p w14:paraId="2A84B669" w14:textId="77777777" w:rsidR="003B5312" w:rsidRPr="00CF7CB1" w:rsidRDefault="003B5312" w:rsidP="00337BCF">
      <w:pPr>
        <w:spacing w:after="120"/>
        <w:rPr>
          <w:lang w:val="en-AU"/>
        </w:rPr>
      </w:pPr>
      <w:r w:rsidRPr="00CF7CB1">
        <w:rPr>
          <w:lang w:val="en-AU"/>
        </w:rPr>
        <w:t>The survey was conducted over a period of two weeks via email and phone interviews.  Responses were received from 17 of the 27 participants or 63 per cent of those who completed one of the two training programs. The email addresses used were those obtained during the course of the IIT trainings in 2008-2013. However some of the training participants had moved on to new work areas or careers and some had therefore changed their contact addresses. As a result, a total of eight participants were not reachable despite follow up communications via telephone and social media while two others did not respond within the survey time-frame.</w:t>
      </w:r>
    </w:p>
    <w:tbl>
      <w:tblPr>
        <w:tblStyle w:val="TableGrid"/>
        <w:tblW w:w="0" w:type="auto"/>
        <w:tblLook w:val="04A0" w:firstRow="1" w:lastRow="0" w:firstColumn="1" w:lastColumn="0" w:noHBand="0" w:noVBand="1"/>
        <w:tblDescription w:val="This table shows the number of participants in an online survey. It was sent to the 27 participants of the Pacific Island Trade Training Program. 17 responses were received. 9 of the 17 respondents were male and 8 were female. 1 respondent was in the 18 to 29 age group, 9 respondents were in the 30 to 39 age group and 7 respondents were in the 40 to 49 age group. "/>
      </w:tblPr>
      <w:tblGrid>
        <w:gridCol w:w="4437"/>
        <w:gridCol w:w="4437"/>
      </w:tblGrid>
      <w:tr w:rsidR="00F3775D" w:rsidRPr="00CF7CB1" w14:paraId="6F338943" w14:textId="77777777" w:rsidTr="00CA544A">
        <w:trPr>
          <w:tblHeader/>
        </w:trPr>
        <w:tc>
          <w:tcPr>
            <w:tcW w:w="4437" w:type="dxa"/>
          </w:tcPr>
          <w:p w14:paraId="4056920B" w14:textId="77777777" w:rsidR="00F3775D" w:rsidRPr="00CF7CB1" w:rsidRDefault="00F3775D" w:rsidP="00CA544A">
            <w:pPr>
              <w:pStyle w:val="Tableheader"/>
              <w:rPr>
                <w:lang w:val="en-AU"/>
              </w:rPr>
            </w:pPr>
            <w:r w:rsidRPr="00CF7CB1">
              <w:rPr>
                <w:lang w:val="en-AU"/>
              </w:rPr>
              <w:t>Total Number of respondents</w:t>
            </w:r>
          </w:p>
        </w:tc>
        <w:tc>
          <w:tcPr>
            <w:tcW w:w="4437" w:type="dxa"/>
          </w:tcPr>
          <w:p w14:paraId="542D76CD" w14:textId="77777777" w:rsidR="00F3775D" w:rsidRPr="00CF7CB1" w:rsidRDefault="00F3775D" w:rsidP="00CA544A">
            <w:pPr>
              <w:pStyle w:val="Tableheader"/>
              <w:rPr>
                <w:lang w:val="en-AU"/>
              </w:rPr>
            </w:pPr>
            <w:r w:rsidRPr="00CF7CB1">
              <w:rPr>
                <w:lang w:val="en-AU"/>
              </w:rPr>
              <w:t>17</w:t>
            </w:r>
          </w:p>
        </w:tc>
      </w:tr>
      <w:tr w:rsidR="00F3775D" w:rsidRPr="00CF7CB1" w14:paraId="4E24208E" w14:textId="77777777" w:rsidTr="00F3775D">
        <w:tc>
          <w:tcPr>
            <w:tcW w:w="4437" w:type="dxa"/>
          </w:tcPr>
          <w:p w14:paraId="2725B3AC" w14:textId="77777777" w:rsidR="00F3775D" w:rsidRPr="00CF7CB1" w:rsidRDefault="00F3775D" w:rsidP="00F3775D">
            <w:pPr>
              <w:rPr>
                <w:b/>
                <w:lang w:val="en-AU"/>
              </w:rPr>
            </w:pPr>
            <w:r w:rsidRPr="00CF7CB1">
              <w:rPr>
                <w:b/>
                <w:lang w:val="en-AU"/>
              </w:rPr>
              <w:t>Gender</w:t>
            </w:r>
          </w:p>
        </w:tc>
        <w:tc>
          <w:tcPr>
            <w:tcW w:w="4437" w:type="dxa"/>
          </w:tcPr>
          <w:p w14:paraId="6C6A895A" w14:textId="77777777" w:rsidR="00F3775D" w:rsidRPr="00CF7CB1" w:rsidRDefault="00F3775D" w:rsidP="00F3775D">
            <w:pPr>
              <w:rPr>
                <w:b/>
                <w:lang w:val="en-AU"/>
              </w:rPr>
            </w:pPr>
          </w:p>
        </w:tc>
      </w:tr>
      <w:tr w:rsidR="00F3775D" w:rsidRPr="00CF7CB1" w14:paraId="69D59EA4" w14:textId="77777777" w:rsidTr="00F3775D">
        <w:tc>
          <w:tcPr>
            <w:tcW w:w="4437" w:type="dxa"/>
          </w:tcPr>
          <w:p w14:paraId="5B01BFED" w14:textId="77777777" w:rsidR="00F3775D" w:rsidRPr="00CF7CB1" w:rsidRDefault="00F3775D" w:rsidP="00F3775D">
            <w:pPr>
              <w:rPr>
                <w:lang w:val="en-AU"/>
              </w:rPr>
            </w:pPr>
            <w:r w:rsidRPr="00CF7CB1">
              <w:rPr>
                <w:lang w:val="en-AU"/>
              </w:rPr>
              <w:t>Male</w:t>
            </w:r>
          </w:p>
        </w:tc>
        <w:tc>
          <w:tcPr>
            <w:tcW w:w="4437" w:type="dxa"/>
          </w:tcPr>
          <w:p w14:paraId="6D2CC6DB" w14:textId="77777777" w:rsidR="00F3775D" w:rsidRPr="00CF7CB1" w:rsidRDefault="00F3775D" w:rsidP="00F3775D">
            <w:pPr>
              <w:rPr>
                <w:lang w:val="en-AU"/>
              </w:rPr>
            </w:pPr>
            <w:r w:rsidRPr="00CF7CB1">
              <w:rPr>
                <w:lang w:val="en-AU"/>
              </w:rPr>
              <w:t>9</w:t>
            </w:r>
          </w:p>
        </w:tc>
      </w:tr>
      <w:tr w:rsidR="00F3775D" w:rsidRPr="00CF7CB1" w14:paraId="536742AD" w14:textId="77777777" w:rsidTr="00F3775D">
        <w:tc>
          <w:tcPr>
            <w:tcW w:w="4437" w:type="dxa"/>
          </w:tcPr>
          <w:p w14:paraId="4333E6C0" w14:textId="77777777" w:rsidR="00F3775D" w:rsidRPr="00CF7CB1" w:rsidRDefault="00F3775D" w:rsidP="00F3775D">
            <w:pPr>
              <w:rPr>
                <w:lang w:val="en-AU"/>
              </w:rPr>
            </w:pPr>
            <w:r w:rsidRPr="00CF7CB1">
              <w:rPr>
                <w:lang w:val="en-AU"/>
              </w:rPr>
              <w:t>Female</w:t>
            </w:r>
          </w:p>
        </w:tc>
        <w:tc>
          <w:tcPr>
            <w:tcW w:w="4437" w:type="dxa"/>
          </w:tcPr>
          <w:p w14:paraId="3928202D" w14:textId="77777777" w:rsidR="00F3775D" w:rsidRPr="00CF7CB1" w:rsidRDefault="00F3775D" w:rsidP="00F3775D">
            <w:pPr>
              <w:rPr>
                <w:lang w:val="en-AU"/>
              </w:rPr>
            </w:pPr>
            <w:r w:rsidRPr="00CF7CB1">
              <w:rPr>
                <w:lang w:val="en-AU"/>
              </w:rPr>
              <w:t>8</w:t>
            </w:r>
          </w:p>
        </w:tc>
      </w:tr>
      <w:tr w:rsidR="00F3775D" w:rsidRPr="00CF7CB1" w14:paraId="7862B0EC" w14:textId="77777777" w:rsidTr="00F3775D">
        <w:tc>
          <w:tcPr>
            <w:tcW w:w="4437" w:type="dxa"/>
          </w:tcPr>
          <w:p w14:paraId="3B75C901" w14:textId="77777777" w:rsidR="00F3775D" w:rsidRPr="00CF7CB1" w:rsidRDefault="00F3775D" w:rsidP="00F3775D">
            <w:pPr>
              <w:rPr>
                <w:b/>
                <w:lang w:val="en-AU"/>
              </w:rPr>
            </w:pPr>
            <w:r w:rsidRPr="00CF7CB1">
              <w:rPr>
                <w:b/>
                <w:lang w:val="en-AU"/>
              </w:rPr>
              <w:t>Age group</w:t>
            </w:r>
          </w:p>
        </w:tc>
        <w:tc>
          <w:tcPr>
            <w:tcW w:w="4437" w:type="dxa"/>
          </w:tcPr>
          <w:p w14:paraId="30AD0341" w14:textId="77777777" w:rsidR="00F3775D" w:rsidRPr="00CF7CB1" w:rsidRDefault="00F3775D" w:rsidP="00F3775D">
            <w:pPr>
              <w:rPr>
                <w:b/>
                <w:lang w:val="en-AU"/>
              </w:rPr>
            </w:pPr>
          </w:p>
        </w:tc>
      </w:tr>
      <w:tr w:rsidR="00F3775D" w:rsidRPr="00CF7CB1" w14:paraId="6EDA7A80" w14:textId="77777777" w:rsidTr="00F3775D">
        <w:tc>
          <w:tcPr>
            <w:tcW w:w="4437" w:type="dxa"/>
          </w:tcPr>
          <w:p w14:paraId="7D2A458B" w14:textId="77777777" w:rsidR="00F3775D" w:rsidRPr="00CF7CB1" w:rsidRDefault="00F3775D" w:rsidP="00F3775D">
            <w:pPr>
              <w:rPr>
                <w:lang w:val="en-AU"/>
              </w:rPr>
            </w:pPr>
            <w:r w:rsidRPr="00CF7CB1">
              <w:rPr>
                <w:lang w:val="en-AU"/>
              </w:rPr>
              <w:t>18-29</w:t>
            </w:r>
          </w:p>
        </w:tc>
        <w:tc>
          <w:tcPr>
            <w:tcW w:w="4437" w:type="dxa"/>
          </w:tcPr>
          <w:p w14:paraId="59BAD06B" w14:textId="77777777" w:rsidR="00F3775D" w:rsidRPr="00CF7CB1" w:rsidRDefault="00F3775D" w:rsidP="00F3775D">
            <w:pPr>
              <w:rPr>
                <w:lang w:val="en-AU"/>
              </w:rPr>
            </w:pPr>
            <w:r w:rsidRPr="00CF7CB1">
              <w:rPr>
                <w:lang w:val="en-AU"/>
              </w:rPr>
              <w:t>1</w:t>
            </w:r>
          </w:p>
        </w:tc>
      </w:tr>
      <w:tr w:rsidR="00F3775D" w:rsidRPr="00CF7CB1" w14:paraId="1517FDFD" w14:textId="77777777" w:rsidTr="00F3775D">
        <w:tc>
          <w:tcPr>
            <w:tcW w:w="4437" w:type="dxa"/>
          </w:tcPr>
          <w:p w14:paraId="4E9A7457" w14:textId="77777777" w:rsidR="00F3775D" w:rsidRPr="00CF7CB1" w:rsidRDefault="00F3775D" w:rsidP="00F3775D">
            <w:pPr>
              <w:rPr>
                <w:lang w:val="en-AU"/>
              </w:rPr>
            </w:pPr>
            <w:r w:rsidRPr="00CF7CB1">
              <w:rPr>
                <w:lang w:val="en-AU"/>
              </w:rPr>
              <w:t>30-39</w:t>
            </w:r>
          </w:p>
        </w:tc>
        <w:tc>
          <w:tcPr>
            <w:tcW w:w="4437" w:type="dxa"/>
          </w:tcPr>
          <w:p w14:paraId="166E008E" w14:textId="77777777" w:rsidR="00F3775D" w:rsidRPr="00CF7CB1" w:rsidRDefault="00F3775D" w:rsidP="00F3775D">
            <w:pPr>
              <w:rPr>
                <w:lang w:val="en-AU"/>
              </w:rPr>
            </w:pPr>
            <w:r w:rsidRPr="00CF7CB1">
              <w:rPr>
                <w:lang w:val="en-AU"/>
              </w:rPr>
              <w:t>9</w:t>
            </w:r>
          </w:p>
        </w:tc>
      </w:tr>
    </w:tbl>
    <w:p w14:paraId="54778171" w14:textId="77777777" w:rsidR="003B5312" w:rsidRPr="00CF7CB1" w:rsidRDefault="003B5312" w:rsidP="003B1F53">
      <w:pPr>
        <w:spacing w:before="120" w:after="120"/>
        <w:rPr>
          <w:lang w:val="en-AU"/>
        </w:rPr>
      </w:pPr>
      <w:r w:rsidRPr="00CF7CB1">
        <w:rPr>
          <w:lang w:val="en-AU"/>
        </w:rPr>
        <w:t>As provided in the table above, 17 participants submitted their responses within the survey timeframe. The respondents comprised of a near equal share of both genders, with 53% being male and 47% female. The majority of respondents were aged 30</w:t>
      </w:r>
      <w:r w:rsidR="003B1F53" w:rsidRPr="00CF7CB1">
        <w:rPr>
          <w:lang w:val="en-AU"/>
        </w:rPr>
        <w:t xml:space="preserve"> and over, with 53% in the 30- </w:t>
      </w:r>
      <w:r w:rsidRPr="00CF7CB1">
        <w:rPr>
          <w:lang w:val="en-AU"/>
        </w:rPr>
        <w:t>39 age group and 41% in the 40-</w:t>
      </w:r>
      <w:r w:rsidR="003B1F53" w:rsidRPr="00CF7CB1">
        <w:rPr>
          <w:lang w:val="en-AU"/>
        </w:rPr>
        <w:t xml:space="preserve">49 age </w:t>
      </w:r>
      <w:r w:rsidRPr="00CF7CB1">
        <w:rPr>
          <w:lang w:val="en-AU"/>
        </w:rPr>
        <w:t>group.</w:t>
      </w:r>
    </w:p>
    <w:p w14:paraId="07AD9E2D" w14:textId="77777777" w:rsidR="003B5312" w:rsidRPr="00CF7CB1" w:rsidRDefault="003B5312" w:rsidP="003B1F53">
      <w:pPr>
        <w:pStyle w:val="Heading3"/>
        <w:rPr>
          <w:lang w:val="en-AU"/>
        </w:rPr>
      </w:pPr>
      <w:r w:rsidRPr="00CF7CB1">
        <w:rPr>
          <w:lang w:val="en-AU"/>
        </w:rPr>
        <w:t>Analysis</w:t>
      </w:r>
    </w:p>
    <w:p w14:paraId="2A99DAD2" w14:textId="77777777" w:rsidR="003B5312" w:rsidRPr="00FE628A" w:rsidRDefault="003B5312" w:rsidP="00BC5572">
      <w:pPr>
        <w:pStyle w:val="ListParagraph"/>
        <w:numPr>
          <w:ilvl w:val="0"/>
          <w:numId w:val="42"/>
        </w:numPr>
        <w:spacing w:after="120"/>
        <w:rPr>
          <w:b/>
          <w:lang w:val="en-AU"/>
        </w:rPr>
      </w:pPr>
      <w:r w:rsidRPr="00FE628A">
        <w:rPr>
          <w:b/>
          <w:lang w:val="en-AU"/>
        </w:rPr>
        <w:t>Perceptions of the effectiveness of the Pacific Trade Training Program in capacity building</w:t>
      </w:r>
    </w:p>
    <w:p w14:paraId="6B6C8626" w14:textId="77777777" w:rsidR="003B5312" w:rsidRPr="00CF7CB1" w:rsidRDefault="003B5312" w:rsidP="00337BCF">
      <w:pPr>
        <w:spacing w:after="120"/>
        <w:rPr>
          <w:lang w:val="en-AU"/>
        </w:rPr>
      </w:pPr>
      <w:r w:rsidRPr="00CF7CB1">
        <w:rPr>
          <w:lang w:val="en-AU"/>
        </w:rPr>
        <w:t>In order to gauge participants’ evaluation of the primary objectives of the Pacific trade training programs, they were asked to rate the effectiveness of the trade training in four specific areas:</w:t>
      </w:r>
    </w:p>
    <w:p w14:paraId="3D63542B" w14:textId="77777777" w:rsidR="003B5312" w:rsidRPr="00103591" w:rsidRDefault="003B5312" w:rsidP="00BC5572">
      <w:pPr>
        <w:pStyle w:val="ListParagraph"/>
        <w:numPr>
          <w:ilvl w:val="0"/>
          <w:numId w:val="41"/>
        </w:numPr>
        <w:spacing w:after="120"/>
        <w:rPr>
          <w:lang w:val="en-AU"/>
        </w:rPr>
      </w:pPr>
      <w:r w:rsidRPr="00103591">
        <w:rPr>
          <w:lang w:val="en-AU"/>
        </w:rPr>
        <w:t>Effectiveness in increasing their knowledge and understanding of trade policy and trade agreements</w:t>
      </w:r>
    </w:p>
    <w:p w14:paraId="26A0D2E9" w14:textId="77777777" w:rsidR="003B5312" w:rsidRPr="00103591" w:rsidRDefault="003B5312" w:rsidP="00BC5572">
      <w:pPr>
        <w:pStyle w:val="ListParagraph"/>
        <w:numPr>
          <w:ilvl w:val="0"/>
          <w:numId w:val="41"/>
        </w:numPr>
        <w:spacing w:after="120"/>
        <w:rPr>
          <w:lang w:val="en-AU"/>
        </w:rPr>
      </w:pPr>
      <w:r w:rsidRPr="00103591">
        <w:rPr>
          <w:lang w:val="en-AU"/>
        </w:rPr>
        <w:t>Effectiveness in developing their trade negotiation skills</w:t>
      </w:r>
    </w:p>
    <w:p w14:paraId="02C7ED98" w14:textId="77777777" w:rsidR="003B5312" w:rsidRPr="00103591" w:rsidRDefault="003B5312" w:rsidP="00BC5572">
      <w:pPr>
        <w:pStyle w:val="ListParagraph"/>
        <w:numPr>
          <w:ilvl w:val="0"/>
          <w:numId w:val="41"/>
        </w:numPr>
        <w:spacing w:after="120"/>
        <w:rPr>
          <w:lang w:val="en-AU"/>
        </w:rPr>
      </w:pPr>
      <w:r w:rsidRPr="00103591">
        <w:rPr>
          <w:lang w:val="en-AU"/>
        </w:rPr>
        <w:t>Effectiveness in building their capacity to develop and implement trade policies</w:t>
      </w:r>
    </w:p>
    <w:p w14:paraId="4AF2957E" w14:textId="77777777" w:rsidR="003B5312" w:rsidRPr="00103591" w:rsidRDefault="003B5312" w:rsidP="00BC5572">
      <w:pPr>
        <w:pStyle w:val="ListParagraph"/>
        <w:numPr>
          <w:ilvl w:val="0"/>
          <w:numId w:val="41"/>
        </w:numPr>
        <w:spacing w:after="120"/>
        <w:rPr>
          <w:lang w:val="en-AU"/>
        </w:rPr>
      </w:pPr>
      <w:r w:rsidRPr="00103591">
        <w:rPr>
          <w:lang w:val="en-AU"/>
        </w:rPr>
        <w:t xml:space="preserve">Effectiveness in directly contributing to their understanding of how to negotiate and </w:t>
      </w:r>
      <w:r w:rsidR="0081156C" w:rsidRPr="00103591">
        <w:rPr>
          <w:lang w:val="en-AU"/>
        </w:rPr>
        <w:t>implement the PACER Plus</w:t>
      </w:r>
      <w:r w:rsidRPr="00103591">
        <w:rPr>
          <w:lang w:val="en-AU"/>
        </w:rPr>
        <w:t xml:space="preserve"> agreement.</w:t>
      </w:r>
    </w:p>
    <w:p w14:paraId="575DE23C" w14:textId="77777777" w:rsidR="003B5312" w:rsidRPr="00CF7CB1" w:rsidRDefault="003B5312" w:rsidP="00337BCF">
      <w:pPr>
        <w:spacing w:after="120"/>
        <w:rPr>
          <w:lang w:val="en-AU"/>
        </w:rPr>
      </w:pPr>
      <w:r w:rsidRPr="00CF7CB1">
        <w:rPr>
          <w:lang w:val="en-AU"/>
        </w:rPr>
        <w:t>Using a ranking of 1 to 5, with 5 being very effective and 1 not effective at all, the perceptions of the effectiveness of the training in achieving these objectives were investigated. 82%</w:t>
      </w:r>
      <w:r w:rsidR="0081156C" w:rsidRPr="00CF7CB1">
        <w:rPr>
          <w:lang w:val="en-AU"/>
        </w:rPr>
        <w:t xml:space="preserve"> </w:t>
      </w:r>
      <w:r w:rsidRPr="00CF7CB1">
        <w:rPr>
          <w:lang w:val="en-AU"/>
        </w:rPr>
        <w:t>of participants perceived the trainings to have been very effective in increasing their trade knowledge and understanding of trade issues and trade agreements. 59% considered the training to have been very effective in developing their trade negotiation skills and 53% perceived the training to have been very effective in building their capacity to develop or   contribute to the development of trade policies. The lowest ranking given by respondents in any</w:t>
      </w:r>
      <w:r w:rsidR="0081156C" w:rsidRPr="00CF7CB1">
        <w:rPr>
          <w:lang w:val="en-AU"/>
        </w:rPr>
        <w:t xml:space="preserve"> </w:t>
      </w:r>
      <w:r w:rsidRPr="00CF7CB1">
        <w:rPr>
          <w:lang w:val="en-AU"/>
        </w:rPr>
        <w:t>of these areas was a 3 which suggests that none of the respondents perceive the trainings to   have been i</w:t>
      </w:r>
      <w:r w:rsidR="0081156C" w:rsidRPr="00CF7CB1">
        <w:rPr>
          <w:lang w:val="en-AU"/>
        </w:rPr>
        <w:t xml:space="preserve">neffective in achieving their </w:t>
      </w:r>
      <w:r w:rsidRPr="00CF7CB1">
        <w:rPr>
          <w:lang w:val="en-AU"/>
        </w:rPr>
        <w:t>objectives.</w:t>
      </w:r>
    </w:p>
    <w:p w14:paraId="47BCF203" w14:textId="77777777" w:rsidR="007D23BC" w:rsidRPr="00CF7CB1" w:rsidRDefault="003B5312" w:rsidP="00337BCF">
      <w:pPr>
        <w:spacing w:after="120"/>
        <w:rPr>
          <w:lang w:val="en-AU"/>
        </w:rPr>
      </w:pPr>
      <w:r w:rsidRPr="00CF7CB1">
        <w:rPr>
          <w:lang w:val="en-AU"/>
        </w:rPr>
        <w:t>Of note, 94% considered the training to have effectively increased their understanding of how to negotiate and implement the PACER Plus Agreement. The use of trade negotiation simulations and practical trainings on trade data analysis were particularly useful in building participants’ capacity to contribute to preparations for the negotiations including the development of country negotiation positions and offers. Respondents also considered the discussion of PACER Plus in the context of Australia and New Zealand’s other trade</w:t>
      </w:r>
      <w:r w:rsidR="007D23BC" w:rsidRPr="00CF7CB1">
        <w:rPr>
          <w:lang w:val="en-AU"/>
        </w:rPr>
        <w:t xml:space="preserve"> </w:t>
      </w:r>
      <w:r w:rsidRPr="00CF7CB1">
        <w:rPr>
          <w:lang w:val="en-AU"/>
        </w:rPr>
        <w:t>agreements to have helped increase their understanding of the importance of PACER Plus as a stepping stone for the Pacific to increase their economic gains from greater trade integration.</w:t>
      </w:r>
    </w:p>
    <w:p w14:paraId="369D2B3E" w14:textId="77777777" w:rsidR="007D23BC" w:rsidRPr="00CF7CB1" w:rsidRDefault="007D23BC" w:rsidP="007D23BC">
      <w:pPr>
        <w:rPr>
          <w:lang w:val="en-AU"/>
        </w:rPr>
      </w:pPr>
      <w:r w:rsidRPr="00CF7CB1">
        <w:rPr>
          <w:lang w:val="en-AU"/>
        </w:rPr>
        <w:br w:type="page"/>
      </w:r>
    </w:p>
    <w:p w14:paraId="4690AE4F" w14:textId="77777777" w:rsidR="003B5312" w:rsidRPr="00FE628A" w:rsidRDefault="003B5312" w:rsidP="00BC5572">
      <w:pPr>
        <w:pStyle w:val="ListParagraph"/>
        <w:numPr>
          <w:ilvl w:val="0"/>
          <w:numId w:val="42"/>
        </w:numPr>
        <w:spacing w:after="120"/>
        <w:rPr>
          <w:b/>
          <w:lang w:val="en-AU"/>
        </w:rPr>
      </w:pPr>
      <w:r w:rsidRPr="00FE628A">
        <w:rPr>
          <w:b/>
          <w:lang w:val="en-AU"/>
        </w:rPr>
        <w:t>Perceptions of the effectiveness of the Pacific Trade Training Program in developing participants’ careers</w:t>
      </w:r>
    </w:p>
    <w:p w14:paraId="377BDCCC" w14:textId="77777777" w:rsidR="003B5312" w:rsidRPr="00CF7CB1" w:rsidRDefault="007D23BC" w:rsidP="00337BCF">
      <w:pPr>
        <w:spacing w:after="120"/>
        <w:rPr>
          <w:lang w:val="en-AU"/>
        </w:rPr>
      </w:pPr>
      <w:r w:rsidRPr="00CF7CB1">
        <w:rPr>
          <w:noProof/>
          <w:lang w:val="en-AU" w:eastAsia="en-AU"/>
        </w:rPr>
        <w:drawing>
          <wp:inline distT="0" distB="0" distL="0" distR="0" wp14:anchorId="1B418CAF" wp14:editId="77E23A99">
            <wp:extent cx="5641340" cy="2257425"/>
            <wp:effectExtent l="0" t="0" r="0" b="3175"/>
            <wp:docPr id="3339" name="Picture 3339" descr="This graph shows the perceptions of the effectiveness of the Pacific Trade Training Program in increasing trade knowledge. It was captured in a survey conducted with 17 participants. 13 participants responded that the training program was very effective and 4 participants responded the program was effective. " title="Effectiveness of increasing trade knowl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9" name="Untitled-3.bmp"/>
                    <pic:cNvPicPr/>
                  </pic:nvPicPr>
                  <pic:blipFill rotWithShape="1">
                    <a:blip r:embed="rId24">
                      <a:extLst>
                        <a:ext uri="{28A0092B-C50C-407E-A947-70E740481C1C}">
                          <a14:useLocalDpi xmlns:a14="http://schemas.microsoft.com/office/drawing/2010/main" val="0"/>
                        </a:ext>
                      </a:extLst>
                    </a:blip>
                    <a:srcRect/>
                    <a:stretch/>
                  </pic:blipFill>
                  <pic:spPr bwMode="auto">
                    <a:xfrm>
                      <a:off x="0" y="0"/>
                      <a:ext cx="5641340" cy="2257425"/>
                    </a:xfrm>
                    <a:prstGeom prst="rect">
                      <a:avLst/>
                    </a:prstGeom>
                    <a:ln>
                      <a:noFill/>
                    </a:ln>
                    <a:extLst>
                      <a:ext uri="{53640926-AAD7-44D8-BBD7-CCE9431645EC}">
                        <a14:shadowObscured xmlns:a14="http://schemas.microsoft.com/office/drawing/2010/main"/>
                      </a:ext>
                    </a:extLst>
                  </pic:spPr>
                </pic:pic>
              </a:graphicData>
            </a:graphic>
          </wp:inline>
        </w:drawing>
      </w:r>
    </w:p>
    <w:p w14:paraId="25D25E9E" w14:textId="77777777" w:rsidR="003B5312" w:rsidRPr="00CF7CB1" w:rsidRDefault="003B5312" w:rsidP="00337BCF">
      <w:pPr>
        <w:spacing w:after="120"/>
        <w:rPr>
          <w:lang w:val="en-AU"/>
        </w:rPr>
      </w:pPr>
      <w:r w:rsidRPr="00CF7CB1">
        <w:rPr>
          <w:lang w:val="en-AU"/>
        </w:rPr>
        <w:t>According to the survey, 65% or two-thirds of respondents have been promoted subsequent to their participation in the trade training. Many have been promoted to higher or more reputable positions in their countries including one who is now the adviser to the President while two have been appointed to head the trade department in their respective countries. One has also found employment in a regional organisation that is directly involved in the PACER Pl</w:t>
      </w:r>
      <w:r w:rsidR="00CE6422" w:rsidRPr="00CF7CB1">
        <w:rPr>
          <w:lang w:val="en-AU"/>
        </w:rPr>
        <w:t>us negotiations.</w:t>
      </w:r>
      <w:r w:rsidR="00CE6422" w:rsidRPr="00CF7CB1">
        <w:rPr>
          <w:rStyle w:val="FootnoteReference"/>
          <w:lang w:val="en-AU"/>
        </w:rPr>
        <w:footnoteReference w:id="61"/>
      </w:r>
    </w:p>
    <w:p w14:paraId="1284AB71" w14:textId="77777777" w:rsidR="003B5312" w:rsidRPr="00CF7CB1" w:rsidRDefault="003B5312" w:rsidP="00337BCF">
      <w:pPr>
        <w:spacing w:after="120"/>
        <w:rPr>
          <w:lang w:val="en-AU"/>
        </w:rPr>
      </w:pPr>
      <w:r w:rsidRPr="00CF7CB1">
        <w:rPr>
          <w:lang w:val="en-AU"/>
        </w:rPr>
        <w:t>In addition to these career developments, 18% have pursued further education since their participation in the trainings including one who is pursuing a PhD (labour mobility), another pursued a Masters in Economics and Public Policy and one is pursuing a Bachelor of Commerce. These academic pursuits are expected to enhance the contribution of these participants to trade development in their respective countries as well as in the region as a whole.</w:t>
      </w:r>
    </w:p>
    <w:p w14:paraId="06B1D1F1" w14:textId="77777777" w:rsidR="003B5312" w:rsidRPr="00FE628A" w:rsidRDefault="003B5312" w:rsidP="00BC5572">
      <w:pPr>
        <w:pStyle w:val="ListParagraph"/>
        <w:numPr>
          <w:ilvl w:val="0"/>
          <w:numId w:val="42"/>
        </w:numPr>
        <w:spacing w:after="120"/>
        <w:rPr>
          <w:b/>
          <w:lang w:val="en-AU"/>
        </w:rPr>
      </w:pPr>
      <w:r w:rsidRPr="00FE628A">
        <w:rPr>
          <w:b/>
          <w:lang w:val="en-AU"/>
        </w:rPr>
        <w:t>Gender implications</w:t>
      </w:r>
    </w:p>
    <w:p w14:paraId="6ECFAD64" w14:textId="77777777" w:rsidR="003B5312" w:rsidRPr="00CF7CB1" w:rsidRDefault="00CE6422" w:rsidP="00337BCF">
      <w:pPr>
        <w:spacing w:after="120"/>
        <w:rPr>
          <w:lang w:val="en-AU"/>
        </w:rPr>
      </w:pPr>
      <w:r w:rsidRPr="00CF7CB1">
        <w:rPr>
          <w:noProof/>
          <w:lang w:val="en-AU" w:eastAsia="en-AU"/>
        </w:rPr>
        <w:drawing>
          <wp:inline distT="0" distB="0" distL="0" distR="0" wp14:anchorId="02193C86" wp14:editId="204DFC1A">
            <wp:extent cx="5641340" cy="2402840"/>
            <wp:effectExtent l="0" t="0" r="0" b="10160"/>
            <wp:docPr id="3340" name="Picture 3340" descr="This graph shows the effectiveness of the Pacific Trade Training Program in developing trade negotiation skills. 10 of the 17 participants responded the training program was very effective, 5 participants responded the program was effective and 2 participants responded neither effective nor ineffective." title="Effectiveness of developing trade negotiation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0" name="Untitled-4.bmp"/>
                    <pic:cNvPicPr/>
                  </pic:nvPicPr>
                  <pic:blipFill>
                    <a:blip r:embed="rId25">
                      <a:extLst>
                        <a:ext uri="{28A0092B-C50C-407E-A947-70E740481C1C}">
                          <a14:useLocalDpi xmlns:a14="http://schemas.microsoft.com/office/drawing/2010/main" val="0"/>
                        </a:ext>
                      </a:extLst>
                    </a:blip>
                    <a:stretch>
                      <a:fillRect/>
                    </a:stretch>
                  </pic:blipFill>
                  <pic:spPr>
                    <a:xfrm>
                      <a:off x="0" y="0"/>
                      <a:ext cx="5641340" cy="2402840"/>
                    </a:xfrm>
                    <a:prstGeom prst="rect">
                      <a:avLst/>
                    </a:prstGeom>
                  </pic:spPr>
                </pic:pic>
              </a:graphicData>
            </a:graphic>
          </wp:inline>
        </w:drawing>
      </w:r>
    </w:p>
    <w:p w14:paraId="303BC0ED" w14:textId="77777777" w:rsidR="003B5312" w:rsidRPr="00CF7CB1" w:rsidRDefault="003B5312" w:rsidP="00337BCF">
      <w:pPr>
        <w:spacing w:after="120"/>
        <w:rPr>
          <w:lang w:val="en-AU"/>
        </w:rPr>
      </w:pPr>
    </w:p>
    <w:p w14:paraId="7F6517A4" w14:textId="77777777" w:rsidR="003B5312" w:rsidRPr="00CF7CB1" w:rsidRDefault="003B5312" w:rsidP="00337BCF">
      <w:pPr>
        <w:spacing w:after="120"/>
        <w:rPr>
          <w:lang w:val="en-AU"/>
        </w:rPr>
      </w:pPr>
      <w:r w:rsidRPr="00CF7CB1">
        <w:rPr>
          <w:lang w:val="en-AU"/>
        </w:rPr>
        <w:t>82% of respondents indicated that the training increased their awareness of the impacts of</w:t>
      </w:r>
      <w:r w:rsidR="00CE6422" w:rsidRPr="00CF7CB1">
        <w:rPr>
          <w:lang w:val="en-AU"/>
        </w:rPr>
        <w:t xml:space="preserve"> </w:t>
      </w:r>
      <w:r w:rsidRPr="00CF7CB1">
        <w:rPr>
          <w:lang w:val="en-AU"/>
        </w:rPr>
        <w:t>trade on women. In addition, the training was also considered effective in building the capacity of female trade officials to contribute to trade development in their respective countries. All</w:t>
      </w:r>
      <w:r w:rsidR="00CE6422" w:rsidRPr="00CF7CB1">
        <w:rPr>
          <w:lang w:val="en-AU"/>
        </w:rPr>
        <w:t xml:space="preserve"> </w:t>
      </w:r>
      <w:r w:rsidRPr="00CF7CB1">
        <w:rPr>
          <w:lang w:val="en-AU"/>
        </w:rPr>
        <w:t>of the 8 female respondents were promoted subsequent to the training and all of the three respondents who have pursued further education after the training are women. One of the female respondents expressed the effectiveness of training by stating that:</w:t>
      </w:r>
    </w:p>
    <w:p w14:paraId="6448DCB9" w14:textId="77777777" w:rsidR="003B5312" w:rsidRPr="00CF7CB1" w:rsidRDefault="003B5312" w:rsidP="00337BCF">
      <w:pPr>
        <w:spacing w:after="120"/>
        <w:rPr>
          <w:lang w:val="en-AU"/>
        </w:rPr>
      </w:pPr>
      <w:r w:rsidRPr="00CF7CB1">
        <w:rPr>
          <w:lang w:val="en-AU"/>
        </w:rPr>
        <w:t>“If it was not for the training, I would not have the level of skills and knowledge that I have now to help lead negotiations from my country.”</w:t>
      </w:r>
    </w:p>
    <w:p w14:paraId="5A487FA5" w14:textId="77777777" w:rsidR="003B5312" w:rsidRPr="00FE628A" w:rsidRDefault="003B5312" w:rsidP="00BC5572">
      <w:pPr>
        <w:pStyle w:val="ListParagraph"/>
        <w:numPr>
          <w:ilvl w:val="0"/>
          <w:numId w:val="42"/>
        </w:numPr>
        <w:spacing w:after="120"/>
        <w:rPr>
          <w:b/>
          <w:lang w:val="en-AU"/>
        </w:rPr>
      </w:pPr>
      <w:r w:rsidRPr="00FE628A">
        <w:rPr>
          <w:b/>
          <w:lang w:val="en-AU"/>
        </w:rPr>
        <w:t>Application of acquired trade knowledge and skills</w:t>
      </w:r>
    </w:p>
    <w:p w14:paraId="2A55C000" w14:textId="77777777" w:rsidR="00CE6422" w:rsidRPr="00CF7CB1" w:rsidRDefault="00CE6422" w:rsidP="00337BCF">
      <w:pPr>
        <w:spacing w:after="120"/>
        <w:rPr>
          <w:lang w:val="en-AU"/>
        </w:rPr>
      </w:pPr>
      <w:r w:rsidRPr="00CF7CB1">
        <w:rPr>
          <w:noProof/>
          <w:lang w:val="en-AU" w:eastAsia="en-AU"/>
        </w:rPr>
        <w:drawing>
          <wp:inline distT="0" distB="0" distL="0" distR="0" wp14:anchorId="5D210737" wp14:editId="19C2B3FE">
            <wp:extent cx="5641340" cy="2452370"/>
            <wp:effectExtent l="0" t="0" r="0" b="11430"/>
            <wp:docPr id="3341" name="Picture 3341" descr="This graph shows the effectiveness of the Pacific Trade Training Program in building trade policy development capacity. 9 of the 17 participants responded that the training program was very effective, 7 participants responded the program was effective, and 1 participant responded neither effective nor ineffective." title="Effectiveness in building trade policy development capa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1" name="Untitled-5.bmp"/>
                    <pic:cNvPicPr/>
                  </pic:nvPicPr>
                  <pic:blipFill>
                    <a:blip r:embed="rId26">
                      <a:extLst>
                        <a:ext uri="{28A0092B-C50C-407E-A947-70E740481C1C}">
                          <a14:useLocalDpi xmlns:a14="http://schemas.microsoft.com/office/drawing/2010/main" val="0"/>
                        </a:ext>
                      </a:extLst>
                    </a:blip>
                    <a:stretch>
                      <a:fillRect/>
                    </a:stretch>
                  </pic:blipFill>
                  <pic:spPr>
                    <a:xfrm>
                      <a:off x="0" y="0"/>
                      <a:ext cx="5641340" cy="2452370"/>
                    </a:xfrm>
                    <a:prstGeom prst="rect">
                      <a:avLst/>
                    </a:prstGeom>
                  </pic:spPr>
                </pic:pic>
              </a:graphicData>
            </a:graphic>
          </wp:inline>
        </w:drawing>
      </w:r>
    </w:p>
    <w:p w14:paraId="36B3786C" w14:textId="77777777" w:rsidR="003B5312" w:rsidRPr="00CF7CB1" w:rsidRDefault="003B5312" w:rsidP="00337BCF">
      <w:pPr>
        <w:spacing w:after="120"/>
        <w:rPr>
          <w:lang w:val="en-AU"/>
        </w:rPr>
      </w:pPr>
      <w:r w:rsidRPr="00CF7CB1">
        <w:rPr>
          <w:lang w:val="en-AU"/>
        </w:rPr>
        <w:t>In terms of the application of acquired trade knowledge and skills, 59% indicated that they</w:t>
      </w:r>
      <w:r w:rsidR="00CE6422" w:rsidRPr="00CF7CB1">
        <w:rPr>
          <w:lang w:val="en-AU"/>
        </w:rPr>
        <w:t xml:space="preserve"> </w:t>
      </w:r>
      <w:r w:rsidRPr="00CF7CB1">
        <w:rPr>
          <w:lang w:val="en-AU"/>
        </w:rPr>
        <w:t>have applied newly acquired skills to trade negotiations and to the development of offers both</w:t>
      </w:r>
      <w:r w:rsidR="00CE6422" w:rsidRPr="00CF7CB1">
        <w:rPr>
          <w:lang w:val="en-AU"/>
        </w:rPr>
        <w:t xml:space="preserve"> </w:t>
      </w:r>
      <w:r w:rsidRPr="00CF7CB1">
        <w:rPr>
          <w:lang w:val="en-AU"/>
        </w:rPr>
        <w:t xml:space="preserve">in Trade in Goods and in Trade in Services. It is important to note that the skills </w:t>
      </w:r>
      <w:r w:rsidR="00CE6422" w:rsidRPr="00CF7CB1">
        <w:rPr>
          <w:lang w:val="en-AU"/>
        </w:rPr>
        <w:t xml:space="preserve">acquired were applied to PACER </w:t>
      </w:r>
      <w:r w:rsidRPr="00CF7CB1">
        <w:rPr>
          <w:lang w:val="en-AU"/>
        </w:rPr>
        <w:t>Plus negotiations only but also to other ongoing regional tra</w:t>
      </w:r>
      <w:r w:rsidR="00CE6422" w:rsidRPr="00CF7CB1">
        <w:rPr>
          <w:lang w:val="en-AU"/>
        </w:rPr>
        <w:t xml:space="preserve">de negotiations </w:t>
      </w:r>
      <w:r w:rsidRPr="00CF7CB1">
        <w:rPr>
          <w:lang w:val="en-AU"/>
        </w:rPr>
        <w:t>such as the intra-regional Pacific Island Countries Trade Agreement (PICTA) and the Econo</w:t>
      </w:r>
      <w:r w:rsidR="00CE6422" w:rsidRPr="00CF7CB1">
        <w:rPr>
          <w:lang w:val="en-AU"/>
        </w:rPr>
        <w:t>mic Partnership Agreement (EPA)</w:t>
      </w:r>
      <w:r w:rsidRPr="00CF7CB1">
        <w:rPr>
          <w:lang w:val="en-AU"/>
        </w:rPr>
        <w:t xml:space="preserve"> with the European Union. This reflects </w:t>
      </w:r>
      <w:r w:rsidR="00CE6422" w:rsidRPr="00CF7CB1">
        <w:rPr>
          <w:lang w:val="en-AU"/>
        </w:rPr>
        <w:t xml:space="preserve">the objective of the training </w:t>
      </w:r>
      <w:r w:rsidRPr="00CF7CB1">
        <w:rPr>
          <w:lang w:val="en-AU"/>
        </w:rPr>
        <w:t>to build trade knowledge and skills for the negotiation of regional trade agreements in ge</w:t>
      </w:r>
      <w:r w:rsidR="00CE6422" w:rsidRPr="00CF7CB1">
        <w:rPr>
          <w:lang w:val="en-AU"/>
        </w:rPr>
        <w:t>neral and not just for PACER</w:t>
      </w:r>
      <w:r w:rsidRPr="00CF7CB1">
        <w:rPr>
          <w:lang w:val="en-AU"/>
        </w:rPr>
        <w:t xml:space="preserve"> Plus.</w:t>
      </w:r>
    </w:p>
    <w:p w14:paraId="1E1F9876" w14:textId="77777777" w:rsidR="003B5312" w:rsidRPr="00CF7CB1" w:rsidRDefault="003B5312" w:rsidP="00337BCF">
      <w:pPr>
        <w:spacing w:after="120"/>
        <w:rPr>
          <w:lang w:val="en-AU"/>
        </w:rPr>
      </w:pPr>
      <w:r w:rsidRPr="00CF7CB1">
        <w:rPr>
          <w:lang w:val="en-AU"/>
        </w:rPr>
        <w:t>Others have also indicated application of acquired trade knowledge and skills to other trade development priorities in the region. 18% indicated that they have applied their acquired knowledge to the development of trade policy advice including policy papers to trade ministers and submissions to cabinet. Others have used their acquired knowledge in the negotiation of AfT funding as well as consultations and negotiations with non-state partners.</w:t>
      </w:r>
    </w:p>
    <w:p w14:paraId="3D289672" w14:textId="77777777" w:rsidR="003B5312" w:rsidRPr="00CF7CB1" w:rsidRDefault="003B5312" w:rsidP="00337BCF">
      <w:pPr>
        <w:spacing w:after="120"/>
        <w:rPr>
          <w:lang w:val="en-AU"/>
        </w:rPr>
      </w:pPr>
      <w:r w:rsidRPr="00CF7CB1">
        <w:rPr>
          <w:lang w:val="en-AU"/>
        </w:rPr>
        <w:t>In addition, 94% of respondents indicated that they have engaged in capacity building forums</w:t>
      </w:r>
      <w:r w:rsidR="00CE6422" w:rsidRPr="00CF7CB1">
        <w:rPr>
          <w:lang w:val="en-AU"/>
        </w:rPr>
        <w:t xml:space="preserve"> </w:t>
      </w:r>
      <w:r w:rsidRPr="00CF7CB1">
        <w:rPr>
          <w:lang w:val="en-AU"/>
        </w:rPr>
        <w:t>to transfer their acquired knowledge and skills to those that have not participated in the training. These forums included training workshops and advisory meetin</w:t>
      </w:r>
      <w:r w:rsidR="00CE6422" w:rsidRPr="00CF7CB1">
        <w:rPr>
          <w:lang w:val="en-AU"/>
        </w:rPr>
        <w:t xml:space="preserve">gs to both government officials and </w:t>
      </w:r>
      <w:r w:rsidRPr="00CF7CB1">
        <w:rPr>
          <w:lang w:val="en-AU"/>
        </w:rPr>
        <w:t>non-state parties.</w:t>
      </w:r>
    </w:p>
    <w:p w14:paraId="59207A5D" w14:textId="77777777" w:rsidR="003B5312" w:rsidRPr="00FE628A" w:rsidRDefault="003B5312" w:rsidP="00BC5572">
      <w:pPr>
        <w:pStyle w:val="ListParagraph"/>
        <w:numPr>
          <w:ilvl w:val="0"/>
          <w:numId w:val="42"/>
        </w:numPr>
        <w:spacing w:after="120"/>
        <w:rPr>
          <w:b/>
          <w:lang w:val="en-AU"/>
        </w:rPr>
      </w:pPr>
      <w:r w:rsidRPr="00FE628A">
        <w:rPr>
          <w:b/>
          <w:lang w:val="en-AU"/>
        </w:rPr>
        <w:t>Strengths and weaknesses of the training</w:t>
      </w:r>
    </w:p>
    <w:p w14:paraId="4E0331A7" w14:textId="77777777" w:rsidR="003B5312" w:rsidRPr="00CF7CB1" w:rsidRDefault="003B5312" w:rsidP="00337BCF">
      <w:pPr>
        <w:spacing w:after="120"/>
        <w:rPr>
          <w:b/>
          <w:i/>
          <w:lang w:val="en-AU"/>
        </w:rPr>
      </w:pPr>
      <w:r w:rsidRPr="00CF7CB1">
        <w:rPr>
          <w:b/>
          <w:i/>
          <w:lang w:val="en-AU"/>
        </w:rPr>
        <w:t>Strengths</w:t>
      </w:r>
    </w:p>
    <w:p w14:paraId="6B94B4C6" w14:textId="77777777" w:rsidR="003B5312" w:rsidRPr="00CF7CB1" w:rsidRDefault="003B5312" w:rsidP="00337BCF">
      <w:pPr>
        <w:spacing w:after="120"/>
        <w:rPr>
          <w:lang w:val="en-AU"/>
        </w:rPr>
      </w:pPr>
      <w:r w:rsidRPr="00CF7CB1">
        <w:rPr>
          <w:lang w:val="en-AU"/>
        </w:rPr>
        <w:t>The three key strengths identified from the survey</w:t>
      </w:r>
      <w:r w:rsidR="00E82715" w:rsidRPr="00CF7CB1">
        <w:rPr>
          <w:lang w:val="en-AU"/>
        </w:rPr>
        <w:t xml:space="preserve"> </w:t>
      </w:r>
      <w:r w:rsidRPr="00CF7CB1">
        <w:rPr>
          <w:lang w:val="en-AU"/>
        </w:rPr>
        <w:t>were:</w:t>
      </w:r>
    </w:p>
    <w:p w14:paraId="42E7F95B" w14:textId="77777777" w:rsidR="003B5312" w:rsidRPr="008D44B1" w:rsidRDefault="003B5312" w:rsidP="00BC5572">
      <w:pPr>
        <w:pStyle w:val="ListParagraph"/>
        <w:numPr>
          <w:ilvl w:val="0"/>
          <w:numId w:val="39"/>
        </w:numPr>
        <w:spacing w:after="120"/>
        <w:rPr>
          <w:lang w:val="en-AU"/>
        </w:rPr>
      </w:pPr>
      <w:r w:rsidRPr="008D44B1">
        <w:rPr>
          <w:lang w:val="en-AU"/>
        </w:rPr>
        <w:t>Its ability to deliver a good balance of both theory and practice. Respondents appreciated that the training was facilitated by a Pacific Islander together with an Australian senior lecturer and included both theoretical lectures by academics, as well as simulations, field trips and talks from private sector speakers who were actively engaged in trade.</w:t>
      </w:r>
    </w:p>
    <w:p w14:paraId="5855E16A" w14:textId="77777777" w:rsidR="003B5312" w:rsidRPr="008D44B1" w:rsidRDefault="003B5312" w:rsidP="00BC5572">
      <w:pPr>
        <w:pStyle w:val="ListParagraph"/>
        <w:numPr>
          <w:ilvl w:val="0"/>
          <w:numId w:val="39"/>
        </w:numPr>
        <w:spacing w:after="120"/>
        <w:rPr>
          <w:lang w:val="en-AU"/>
        </w:rPr>
      </w:pPr>
      <w:r w:rsidRPr="008D44B1">
        <w:rPr>
          <w:lang w:val="en-AU"/>
        </w:rPr>
        <w:t>Its extensive scope of the training - which covered all trade issues in Trade in Goods and Trade in Services with examples from the region.</w:t>
      </w:r>
    </w:p>
    <w:p w14:paraId="71B572AD" w14:textId="77777777" w:rsidR="003B5312" w:rsidRPr="008D44B1" w:rsidRDefault="003B5312" w:rsidP="00BC5572">
      <w:pPr>
        <w:pStyle w:val="ListParagraph"/>
        <w:numPr>
          <w:ilvl w:val="0"/>
          <w:numId w:val="39"/>
        </w:numPr>
        <w:spacing w:after="120"/>
        <w:rPr>
          <w:lang w:val="en-AU"/>
        </w:rPr>
      </w:pPr>
      <w:r w:rsidRPr="008D44B1">
        <w:rPr>
          <w:lang w:val="en-AU"/>
        </w:rPr>
        <w:t>It enabled the establishment of networks amongst participants and facilitated information sharing well after the formal IIT training program was completed.</w:t>
      </w:r>
    </w:p>
    <w:p w14:paraId="58FD4883" w14:textId="77777777" w:rsidR="003B5312" w:rsidRPr="008D44B1" w:rsidRDefault="003B5312" w:rsidP="008D44B1">
      <w:pPr>
        <w:spacing w:after="120"/>
        <w:rPr>
          <w:lang w:val="en-AU"/>
        </w:rPr>
      </w:pPr>
      <w:r w:rsidRPr="008D44B1">
        <w:rPr>
          <w:lang w:val="en-AU"/>
        </w:rPr>
        <w:t>Some participants also appreciated the division of the training into one-week modules over the course of two years. They expressed that due to the capacity limitations in their respective</w:t>
      </w:r>
      <w:r w:rsidR="00DF363D" w:rsidRPr="008D44B1">
        <w:rPr>
          <w:lang w:val="en-AU"/>
        </w:rPr>
        <w:t xml:space="preserve"> </w:t>
      </w:r>
      <w:r w:rsidRPr="008D44B1">
        <w:rPr>
          <w:lang w:val="en-AU"/>
        </w:rPr>
        <w:t>countries, this structure enabled them to not compromise their commitment to their jobs at home.</w:t>
      </w:r>
    </w:p>
    <w:p w14:paraId="07D3B890" w14:textId="77777777" w:rsidR="003B5312" w:rsidRPr="00CF7CB1" w:rsidRDefault="003B5312" w:rsidP="00337BCF">
      <w:pPr>
        <w:spacing w:after="120"/>
        <w:rPr>
          <w:lang w:val="en-AU"/>
        </w:rPr>
      </w:pPr>
    </w:p>
    <w:p w14:paraId="605C2029" w14:textId="77777777" w:rsidR="003B5312" w:rsidRPr="00CF7CB1" w:rsidRDefault="003B5312" w:rsidP="00337BCF">
      <w:pPr>
        <w:spacing w:after="120"/>
        <w:rPr>
          <w:b/>
          <w:i/>
          <w:lang w:val="en-AU"/>
        </w:rPr>
      </w:pPr>
      <w:r w:rsidRPr="00CF7CB1">
        <w:rPr>
          <w:b/>
          <w:i/>
          <w:lang w:val="en-AU"/>
        </w:rPr>
        <w:t>Weaknesses</w:t>
      </w:r>
    </w:p>
    <w:p w14:paraId="494AB968" w14:textId="77777777" w:rsidR="003B5312" w:rsidRPr="00CF7CB1" w:rsidRDefault="003B5312" w:rsidP="00337BCF">
      <w:pPr>
        <w:spacing w:after="120"/>
        <w:rPr>
          <w:lang w:val="en-AU"/>
        </w:rPr>
      </w:pPr>
      <w:r w:rsidRPr="00CF7CB1">
        <w:rPr>
          <w:lang w:val="en-AU"/>
        </w:rPr>
        <w:t>The three key weaknesses of the training were:</w:t>
      </w:r>
    </w:p>
    <w:p w14:paraId="52B7B5EE" w14:textId="77777777" w:rsidR="003B5312" w:rsidRPr="008D44B1" w:rsidRDefault="003B5312" w:rsidP="00BC5572">
      <w:pPr>
        <w:pStyle w:val="ListParagraph"/>
        <w:numPr>
          <w:ilvl w:val="0"/>
          <w:numId w:val="38"/>
        </w:numPr>
        <w:spacing w:after="120"/>
        <w:rPr>
          <w:lang w:val="en-AU"/>
        </w:rPr>
      </w:pPr>
      <w:r w:rsidRPr="008D44B1">
        <w:rPr>
          <w:lang w:val="en-AU"/>
        </w:rPr>
        <w:t>The lack of continuity to the training—respondents expressed the need for an alumni follow up program to facilitate information sharing and to provide technical assistance on recent trade developments that were not covered in the trainings. Others also expressed the need for ongoing trainings for more trade officials so as to help replenish the loss of capacity resulting from the high staff turnover that is characteristic of the Pacific.</w:t>
      </w:r>
    </w:p>
    <w:p w14:paraId="6CCB3B8F" w14:textId="77777777" w:rsidR="003B5312" w:rsidRPr="008D44B1" w:rsidRDefault="003B5312" w:rsidP="00BC5572">
      <w:pPr>
        <w:pStyle w:val="ListParagraph"/>
        <w:numPr>
          <w:ilvl w:val="0"/>
          <w:numId w:val="38"/>
        </w:numPr>
        <w:spacing w:after="120"/>
        <w:rPr>
          <w:lang w:val="en-AU"/>
        </w:rPr>
      </w:pPr>
      <w:r w:rsidRPr="008D44B1">
        <w:rPr>
          <w:lang w:val="en-AU"/>
        </w:rPr>
        <w:t>The lack of updated trade information and date from the region—respondents indicated that the training could have been more effective if it engaged more regional trade organisations. This engagement was considered crucial so as to provide more updated information on trade issues in the region and therefore better develop the capacities of participants to effectively contribute to trade negotiations</w:t>
      </w:r>
    </w:p>
    <w:p w14:paraId="4BB8BD75" w14:textId="77777777" w:rsidR="003B5312" w:rsidRPr="008D44B1" w:rsidRDefault="003B5312" w:rsidP="00BC5572">
      <w:pPr>
        <w:pStyle w:val="ListParagraph"/>
        <w:numPr>
          <w:ilvl w:val="0"/>
          <w:numId w:val="38"/>
        </w:numPr>
        <w:spacing w:after="120"/>
        <w:rPr>
          <w:lang w:val="en-AU"/>
        </w:rPr>
      </w:pPr>
      <w:r w:rsidRPr="008D44B1">
        <w:rPr>
          <w:lang w:val="en-AU"/>
        </w:rPr>
        <w:t>The duration of the trainings—whilst many were pleased with the existing structure of the modules, many indicated that one week was not long enough as it consequently resulted in the modules being rushed. There was no recommendation however of an alternative duration.</w:t>
      </w:r>
    </w:p>
    <w:p w14:paraId="0949098C" w14:textId="77777777" w:rsidR="003B5312" w:rsidRPr="00CF7CB1" w:rsidRDefault="003B5312" w:rsidP="00337BCF">
      <w:pPr>
        <w:spacing w:after="120"/>
        <w:rPr>
          <w:lang w:val="en-AU"/>
        </w:rPr>
      </w:pPr>
      <w:r w:rsidRPr="00CF7CB1">
        <w:rPr>
          <w:lang w:val="en-AU"/>
        </w:rPr>
        <w:t>In addition, the following key improvements were also recommended:</w:t>
      </w:r>
    </w:p>
    <w:p w14:paraId="520003BE" w14:textId="77777777" w:rsidR="003B5312" w:rsidRPr="00103C5D" w:rsidRDefault="003B5312" w:rsidP="00BC5572">
      <w:pPr>
        <w:pStyle w:val="ListParagraph"/>
        <w:numPr>
          <w:ilvl w:val="0"/>
          <w:numId w:val="40"/>
        </w:numPr>
        <w:spacing w:after="120"/>
        <w:rPr>
          <w:lang w:val="en-AU"/>
        </w:rPr>
      </w:pPr>
      <w:r w:rsidRPr="00103C5D">
        <w:rPr>
          <w:lang w:val="en-AU"/>
        </w:rPr>
        <w:t>Ongoing updates of training content to reflect the developments in regional trade negotiations as well as developments at the multilateral level. This can be done through the engagement of experts from the region particularly those with experience and knowledge of Pacific Island Countries</w:t>
      </w:r>
    </w:p>
    <w:p w14:paraId="659C7F97" w14:textId="77777777" w:rsidR="003B5312" w:rsidRPr="00103C5D" w:rsidRDefault="003B5312" w:rsidP="00BC5572">
      <w:pPr>
        <w:pStyle w:val="ListParagraph"/>
        <w:numPr>
          <w:ilvl w:val="0"/>
          <w:numId w:val="40"/>
        </w:numPr>
        <w:spacing w:after="120"/>
        <w:rPr>
          <w:lang w:val="en-AU"/>
        </w:rPr>
      </w:pPr>
      <w:r w:rsidRPr="00103C5D">
        <w:rPr>
          <w:lang w:val="en-AU"/>
        </w:rPr>
        <w:t>Extension of the training to include officials from line departments, particularly in modules which are applicable to their fields for example: agriculture officials to participate in modules relating to Agriculture and from the private sector. Involve or consult more with the Pacific Island Forum Secretariat, OCTA, other regional bodies and current negotiators in the selection of the most appropriate participants for future trainings.</w:t>
      </w:r>
    </w:p>
    <w:p w14:paraId="3FD7AF74" w14:textId="77777777" w:rsidR="003B5312" w:rsidRPr="00103C5D" w:rsidRDefault="003B5312" w:rsidP="00BC5572">
      <w:pPr>
        <w:pStyle w:val="ListParagraph"/>
        <w:numPr>
          <w:ilvl w:val="0"/>
          <w:numId w:val="40"/>
        </w:numPr>
        <w:spacing w:after="120"/>
        <w:rPr>
          <w:lang w:val="en-AU"/>
        </w:rPr>
      </w:pPr>
      <w:r w:rsidRPr="00103C5D">
        <w:rPr>
          <w:lang w:val="en-AU"/>
        </w:rPr>
        <w:t>Provision of ongoing programs to complement the trade negotiations and to facilitate the implementation of trade agreements at the national</w:t>
      </w:r>
      <w:r w:rsidR="00E82715" w:rsidRPr="00103C5D">
        <w:rPr>
          <w:lang w:val="en-AU"/>
        </w:rPr>
        <w:t xml:space="preserve"> </w:t>
      </w:r>
      <w:r w:rsidRPr="00103C5D">
        <w:rPr>
          <w:lang w:val="en-AU"/>
        </w:rPr>
        <w:t>level</w:t>
      </w:r>
    </w:p>
    <w:p w14:paraId="5072C8AF" w14:textId="77777777" w:rsidR="003B5312" w:rsidRPr="00CF7CB1" w:rsidRDefault="003B5312" w:rsidP="00DD0508">
      <w:pPr>
        <w:pStyle w:val="Heading3"/>
        <w:rPr>
          <w:lang w:val="en-AU"/>
        </w:rPr>
      </w:pPr>
      <w:r w:rsidRPr="00CF7CB1">
        <w:rPr>
          <w:lang w:val="en-AU"/>
        </w:rPr>
        <w:t>Conclusion</w:t>
      </w:r>
    </w:p>
    <w:p w14:paraId="5E89CFB8" w14:textId="77777777" w:rsidR="003B5312" w:rsidRPr="00CF7CB1" w:rsidRDefault="003B5312" w:rsidP="00337BCF">
      <w:pPr>
        <w:spacing w:after="120"/>
        <w:rPr>
          <w:lang w:val="en-AU"/>
        </w:rPr>
      </w:pPr>
      <w:r w:rsidRPr="00CF7CB1">
        <w:rPr>
          <w:lang w:val="en-AU"/>
        </w:rPr>
        <w:t>The responses from the survey strongly indicate that the Pacific Trade Training Program has been an effective capacity building program for Pacific Island Countries. The training program has not only effectively developed the trade negotiation capacities of Pacific Island Countries across all ongoing regional trade negotiations but through the transfer of trade knowledge</w:t>
      </w:r>
      <w:r w:rsidR="00E82715" w:rsidRPr="00CF7CB1">
        <w:rPr>
          <w:lang w:val="en-AU"/>
        </w:rPr>
        <w:t xml:space="preserve"> </w:t>
      </w:r>
      <w:r w:rsidRPr="00CF7CB1">
        <w:rPr>
          <w:lang w:val="en-AU"/>
        </w:rPr>
        <w:t>and skills. The high rate of female participation in the training as well as the gender content covered have also contributed to building the capacity of Pacific Island Country women to  benefit from trade. In view of the ripple effects of the training, it can be said that this AfT</w:t>
      </w:r>
      <w:r w:rsidR="00DD0508" w:rsidRPr="00CF7CB1">
        <w:rPr>
          <w:lang w:val="en-AU"/>
        </w:rPr>
        <w:t xml:space="preserve"> </w:t>
      </w:r>
      <w:r w:rsidRPr="00CF7CB1">
        <w:rPr>
          <w:lang w:val="en-AU"/>
        </w:rPr>
        <w:t>capacity building program has been an important stepping stone for Pacific Island Countries to increase their gains from international   trade.</w:t>
      </w:r>
    </w:p>
    <w:p w14:paraId="67F2A021" w14:textId="77777777" w:rsidR="00F266EB" w:rsidRPr="00CF7CB1" w:rsidRDefault="003B5312" w:rsidP="00337BCF">
      <w:pPr>
        <w:spacing w:after="120"/>
        <w:rPr>
          <w:lang w:val="en-AU"/>
        </w:rPr>
      </w:pPr>
      <w:r w:rsidRPr="00CF7CB1">
        <w:rPr>
          <w:lang w:val="en-AU"/>
        </w:rPr>
        <w:t>A significant number of those surveyed conveyed their gratitude to the Australi</w:t>
      </w:r>
      <w:r w:rsidR="00DD0508" w:rsidRPr="00CF7CB1">
        <w:rPr>
          <w:lang w:val="en-AU"/>
        </w:rPr>
        <w:t xml:space="preserve">an Government </w:t>
      </w:r>
      <w:r w:rsidRPr="00CF7CB1">
        <w:rPr>
          <w:lang w:val="en-AU"/>
        </w:rPr>
        <w:t>and IIT for the program. There was equally strong endorsement for the extension of such trade training programs to a br</w:t>
      </w:r>
      <w:r w:rsidR="00F266EB" w:rsidRPr="00CF7CB1">
        <w:rPr>
          <w:lang w:val="en-AU"/>
        </w:rPr>
        <w:t xml:space="preserve">oader Pacific audience in the </w:t>
      </w:r>
      <w:r w:rsidRPr="00CF7CB1">
        <w:rPr>
          <w:lang w:val="en-AU"/>
        </w:rPr>
        <w:t>future.</w:t>
      </w:r>
    </w:p>
    <w:p w14:paraId="61F60D78" w14:textId="77777777" w:rsidR="00F266EB" w:rsidRPr="00CF7CB1" w:rsidRDefault="00F266EB" w:rsidP="00F266EB">
      <w:pPr>
        <w:rPr>
          <w:lang w:val="en-AU"/>
        </w:rPr>
      </w:pPr>
      <w:r w:rsidRPr="00CF7CB1">
        <w:rPr>
          <w:lang w:val="en-AU"/>
        </w:rPr>
        <w:br w:type="page"/>
      </w:r>
    </w:p>
    <w:p w14:paraId="376F9B9F" w14:textId="77777777" w:rsidR="003B5312" w:rsidRPr="00CF7CB1" w:rsidRDefault="00F266EB" w:rsidP="00F266EB">
      <w:pPr>
        <w:pStyle w:val="Heading1"/>
        <w:numPr>
          <w:ilvl w:val="0"/>
          <w:numId w:val="0"/>
        </w:numPr>
        <w:ind w:left="266" w:hanging="266"/>
        <w:rPr>
          <w:lang w:val="en-AU"/>
        </w:rPr>
      </w:pPr>
      <w:r w:rsidRPr="00CF7CB1">
        <w:rPr>
          <w:lang w:val="en-AU"/>
        </w:rPr>
        <w:t>Annex 2: Assessment of M&amp;E Systems</w:t>
      </w:r>
    </w:p>
    <w:p w14:paraId="4FB1F33C" w14:textId="77777777" w:rsidR="003B5312" w:rsidRPr="00CF7CB1" w:rsidRDefault="003B5312" w:rsidP="00294A78">
      <w:pPr>
        <w:pStyle w:val="Heading2"/>
        <w:numPr>
          <w:ilvl w:val="0"/>
          <w:numId w:val="0"/>
        </w:numPr>
        <w:ind w:left="709" w:hanging="709"/>
        <w:rPr>
          <w:lang w:val="en-AU"/>
        </w:rPr>
      </w:pPr>
      <w:r w:rsidRPr="00CF7CB1">
        <w:rPr>
          <w:lang w:val="en-AU"/>
        </w:rPr>
        <w:t>DFAT Investments subject to the field visits</w:t>
      </w:r>
    </w:p>
    <w:p w14:paraId="78CD21C8" w14:textId="77777777" w:rsidR="003B5312" w:rsidRPr="00CF7CB1" w:rsidRDefault="003B5312" w:rsidP="00294A78">
      <w:pPr>
        <w:pStyle w:val="Heading3"/>
        <w:rPr>
          <w:lang w:val="en-AU"/>
        </w:rPr>
      </w:pPr>
      <w:r w:rsidRPr="00CF7CB1">
        <w:rPr>
          <w:lang w:val="en-AU"/>
        </w:rPr>
        <w:t>AECSP</w:t>
      </w:r>
    </w:p>
    <w:p w14:paraId="7095DF74" w14:textId="77777777" w:rsidR="003B5312" w:rsidRPr="00CF7CB1" w:rsidRDefault="003B5312" w:rsidP="00337BCF">
      <w:pPr>
        <w:spacing w:after="120"/>
        <w:rPr>
          <w:lang w:val="en-AU"/>
        </w:rPr>
      </w:pPr>
      <w:r w:rsidRPr="00CF7CB1">
        <w:rPr>
          <w:lang w:val="en-AU"/>
        </w:rPr>
        <w:t>The process of developing and implementing an M&amp;E system for the AECSP has been complex.  The 2013 Independent Progress Report provided a number of recommendations in relation to M&amp;E, but this evaluation team has not been provided with any material to demonstrate whether   or how these recommendations have been taken up in line with the management response.</w:t>
      </w:r>
    </w:p>
    <w:tbl>
      <w:tblPr>
        <w:tblStyle w:val="TableGrid"/>
        <w:tblW w:w="0" w:type="auto"/>
        <w:tblLook w:val="04A0" w:firstRow="1" w:lastRow="0" w:firstColumn="1" w:lastColumn="0" w:noHBand="0" w:noVBand="1"/>
        <w:tblCaption w:val="AECSP M&amp;E system"/>
        <w:tblDescription w:val="This table includes comments on the M&amp;E system for the AECSP program, for each of the criteria except for baseline data, range of methods, international measures, and contextual factors, as there was no information available. The sources were the AECSP Design (2009), AECSP Strategic Overview (2011) and the Independent Progress Report (2013). "/>
      </w:tblPr>
      <w:tblGrid>
        <w:gridCol w:w="1980"/>
        <w:gridCol w:w="4819"/>
        <w:gridCol w:w="2075"/>
      </w:tblGrid>
      <w:tr w:rsidR="005D7013" w:rsidRPr="00CF7CB1" w14:paraId="5A9869DE" w14:textId="77777777" w:rsidTr="008F6A06">
        <w:trPr>
          <w:tblHeader/>
        </w:trPr>
        <w:tc>
          <w:tcPr>
            <w:tcW w:w="1980" w:type="dxa"/>
          </w:tcPr>
          <w:p w14:paraId="40AA5143" w14:textId="77777777" w:rsidR="005D7013" w:rsidRPr="00CF7CB1" w:rsidRDefault="005D7013" w:rsidP="005D7013">
            <w:pPr>
              <w:pStyle w:val="Tableheader"/>
              <w:rPr>
                <w:lang w:val="en-AU"/>
              </w:rPr>
            </w:pPr>
            <w:r w:rsidRPr="00CF7CB1">
              <w:rPr>
                <w:lang w:val="en-AU"/>
              </w:rPr>
              <w:t>Characteristic</w:t>
            </w:r>
          </w:p>
        </w:tc>
        <w:tc>
          <w:tcPr>
            <w:tcW w:w="4819" w:type="dxa"/>
          </w:tcPr>
          <w:p w14:paraId="60FC5560" w14:textId="77777777" w:rsidR="005D7013" w:rsidRPr="00CF7CB1" w:rsidRDefault="005D7013" w:rsidP="005D7013">
            <w:pPr>
              <w:pStyle w:val="Tableheader"/>
              <w:rPr>
                <w:lang w:val="en-AU"/>
              </w:rPr>
            </w:pPr>
            <w:r w:rsidRPr="00CF7CB1">
              <w:rPr>
                <w:lang w:val="en-AU"/>
              </w:rPr>
              <w:t>Comment</w:t>
            </w:r>
          </w:p>
        </w:tc>
        <w:tc>
          <w:tcPr>
            <w:tcW w:w="2075" w:type="dxa"/>
          </w:tcPr>
          <w:p w14:paraId="4B641C24" w14:textId="77777777" w:rsidR="005D7013" w:rsidRPr="00CF7CB1" w:rsidRDefault="005D7013" w:rsidP="005D7013">
            <w:pPr>
              <w:pStyle w:val="Tableheader"/>
              <w:rPr>
                <w:lang w:val="en-AU"/>
              </w:rPr>
            </w:pPr>
            <w:r w:rsidRPr="00CF7CB1">
              <w:rPr>
                <w:lang w:val="en-AU"/>
              </w:rPr>
              <w:t>Source</w:t>
            </w:r>
          </w:p>
        </w:tc>
      </w:tr>
      <w:tr w:rsidR="005D7013" w:rsidRPr="00CF7CB1" w14:paraId="67DC5E63" w14:textId="77777777" w:rsidTr="008F6A06">
        <w:tc>
          <w:tcPr>
            <w:tcW w:w="1980" w:type="dxa"/>
          </w:tcPr>
          <w:p w14:paraId="24224CDB" w14:textId="77777777" w:rsidR="005D7013" w:rsidRPr="00CF7CB1" w:rsidRDefault="005D7013" w:rsidP="005D7013">
            <w:pPr>
              <w:rPr>
                <w:b/>
                <w:lang w:val="en-AU"/>
              </w:rPr>
            </w:pPr>
            <w:r w:rsidRPr="00CF7CB1">
              <w:rPr>
                <w:b/>
                <w:lang w:val="en-AU"/>
              </w:rPr>
              <w:t>Results chains</w:t>
            </w:r>
          </w:p>
        </w:tc>
        <w:tc>
          <w:tcPr>
            <w:tcW w:w="4819" w:type="dxa"/>
          </w:tcPr>
          <w:p w14:paraId="52EB33EA" w14:textId="77777777" w:rsidR="005D7013" w:rsidRPr="00CF7CB1" w:rsidRDefault="005D7013" w:rsidP="005D7013">
            <w:pPr>
              <w:rPr>
                <w:lang w:val="en-AU"/>
              </w:rPr>
            </w:pPr>
            <w:r w:rsidRPr="00CF7CB1">
              <w:rPr>
                <w:lang w:val="en-AU"/>
              </w:rPr>
              <w:t>One of the major issues raised by the 2013 Independent Progress Report is the lack of clarity around how program level activities are contributing to higher level outcomes.  One of the recommendations of Report was to better document and disseminate evidence-based arguments linking the supported activities to development outcomes.</w:t>
            </w:r>
          </w:p>
        </w:tc>
        <w:tc>
          <w:tcPr>
            <w:tcW w:w="2075" w:type="dxa"/>
          </w:tcPr>
          <w:p w14:paraId="2433875A" w14:textId="77777777" w:rsidR="005D7013" w:rsidRPr="00CF7CB1" w:rsidRDefault="005D7013" w:rsidP="005D7013">
            <w:pPr>
              <w:rPr>
                <w:lang w:val="en-AU"/>
              </w:rPr>
            </w:pPr>
          </w:p>
        </w:tc>
      </w:tr>
      <w:tr w:rsidR="005D7013" w:rsidRPr="00CF7CB1" w14:paraId="4DBAB932" w14:textId="77777777" w:rsidTr="008F6A06">
        <w:tc>
          <w:tcPr>
            <w:tcW w:w="1980" w:type="dxa"/>
          </w:tcPr>
          <w:p w14:paraId="0C1DDBE0" w14:textId="77777777" w:rsidR="005D7013" w:rsidRPr="00CF7CB1" w:rsidRDefault="005D7013" w:rsidP="005D7013">
            <w:pPr>
              <w:rPr>
                <w:b/>
                <w:lang w:val="en-AU"/>
              </w:rPr>
            </w:pPr>
            <w:r w:rsidRPr="00CF7CB1">
              <w:rPr>
                <w:b/>
                <w:lang w:val="en-AU"/>
              </w:rPr>
              <w:t>No evidence of the program logic or results chains has been accessed by this evaluation team.</w:t>
            </w:r>
          </w:p>
        </w:tc>
        <w:tc>
          <w:tcPr>
            <w:tcW w:w="4819" w:type="dxa"/>
          </w:tcPr>
          <w:p w14:paraId="7088E708" w14:textId="77777777" w:rsidR="005D7013" w:rsidRPr="00CF7CB1" w:rsidRDefault="005D7013" w:rsidP="005D7013">
            <w:pPr>
              <w:rPr>
                <w:lang w:val="en-AU"/>
              </w:rPr>
            </w:pPr>
            <w:r w:rsidRPr="00CF7CB1">
              <w:rPr>
                <w:lang w:val="en-AU"/>
              </w:rPr>
              <w:t>Independent Progress Report, 2013</w:t>
            </w:r>
          </w:p>
        </w:tc>
        <w:tc>
          <w:tcPr>
            <w:tcW w:w="2075" w:type="dxa"/>
          </w:tcPr>
          <w:p w14:paraId="4F1402C2" w14:textId="77777777" w:rsidR="005D7013" w:rsidRPr="00CF7CB1" w:rsidRDefault="005D7013" w:rsidP="005D7013">
            <w:pPr>
              <w:rPr>
                <w:lang w:val="en-AU"/>
              </w:rPr>
            </w:pPr>
          </w:p>
        </w:tc>
      </w:tr>
      <w:tr w:rsidR="005D7013" w:rsidRPr="00CF7CB1" w14:paraId="3F94AED0" w14:textId="77777777" w:rsidTr="008F6A06">
        <w:tc>
          <w:tcPr>
            <w:tcW w:w="1980" w:type="dxa"/>
          </w:tcPr>
          <w:p w14:paraId="0F5FA283" w14:textId="77777777" w:rsidR="005D7013" w:rsidRPr="00CF7CB1" w:rsidRDefault="005D7013" w:rsidP="005D7013">
            <w:pPr>
              <w:rPr>
                <w:b/>
                <w:lang w:val="en-AU"/>
              </w:rPr>
            </w:pPr>
            <w:r w:rsidRPr="00CF7CB1">
              <w:rPr>
                <w:b/>
                <w:lang w:val="en-AU"/>
              </w:rPr>
              <w:t>Realistic objectives</w:t>
            </w:r>
          </w:p>
        </w:tc>
        <w:tc>
          <w:tcPr>
            <w:tcW w:w="4819" w:type="dxa"/>
          </w:tcPr>
          <w:p w14:paraId="62EA2BEB" w14:textId="77777777" w:rsidR="005D7013" w:rsidRPr="00CF7CB1" w:rsidRDefault="005D7013" w:rsidP="005D7013">
            <w:pPr>
              <w:rPr>
                <w:lang w:val="en-AU"/>
              </w:rPr>
            </w:pPr>
            <w:r w:rsidRPr="00CF7CB1">
              <w:rPr>
                <w:lang w:val="en-AU"/>
              </w:rPr>
              <w:t>The outputs and objectives set out in the program design are reasonably broad—it was anticipated that these would be defined and operationalised during the inception phase. The objectives have been interpreted and reported against in the Independent Progress review, but there is no evidence that this has been reflected in an updated M&amp;E framework.</w:t>
            </w:r>
          </w:p>
        </w:tc>
        <w:tc>
          <w:tcPr>
            <w:tcW w:w="2075" w:type="dxa"/>
          </w:tcPr>
          <w:p w14:paraId="4CA3B647" w14:textId="77777777" w:rsidR="005D7013" w:rsidRPr="00CF7CB1" w:rsidRDefault="005D7013" w:rsidP="005D7013">
            <w:pPr>
              <w:rPr>
                <w:lang w:val="en-AU"/>
              </w:rPr>
            </w:pPr>
            <w:r w:rsidRPr="00CF7CB1">
              <w:rPr>
                <w:lang w:val="en-AU"/>
              </w:rPr>
              <w:t>AECSP Design, 2009</w:t>
            </w:r>
          </w:p>
        </w:tc>
      </w:tr>
      <w:tr w:rsidR="005D7013" w:rsidRPr="00CF7CB1" w14:paraId="695CEA6B" w14:textId="77777777" w:rsidTr="008F6A06">
        <w:tc>
          <w:tcPr>
            <w:tcW w:w="1980" w:type="dxa"/>
          </w:tcPr>
          <w:p w14:paraId="4603466A" w14:textId="77777777" w:rsidR="005D7013" w:rsidRPr="00CF7CB1" w:rsidRDefault="005D7013" w:rsidP="005D7013">
            <w:pPr>
              <w:rPr>
                <w:b/>
                <w:lang w:val="en-AU"/>
              </w:rPr>
            </w:pPr>
            <w:r w:rsidRPr="00CF7CB1">
              <w:rPr>
                <w:b/>
                <w:lang w:val="en-AU"/>
              </w:rPr>
              <w:t>Baseline data</w:t>
            </w:r>
          </w:p>
        </w:tc>
        <w:tc>
          <w:tcPr>
            <w:tcW w:w="4819" w:type="dxa"/>
          </w:tcPr>
          <w:p w14:paraId="06B13D15" w14:textId="77777777" w:rsidR="005D7013" w:rsidRPr="00CF7CB1" w:rsidRDefault="005D7013" w:rsidP="005D7013">
            <w:pPr>
              <w:rPr>
                <w:lang w:val="en-AU"/>
              </w:rPr>
            </w:pPr>
            <w:r w:rsidRPr="00CF7CB1">
              <w:rPr>
                <w:lang w:val="en-AU"/>
              </w:rPr>
              <w:t>No information available to date.</w:t>
            </w:r>
          </w:p>
        </w:tc>
        <w:tc>
          <w:tcPr>
            <w:tcW w:w="2075" w:type="dxa"/>
          </w:tcPr>
          <w:p w14:paraId="588109AC" w14:textId="77777777" w:rsidR="005D7013" w:rsidRPr="00CF7CB1" w:rsidRDefault="005D7013" w:rsidP="005D7013">
            <w:pPr>
              <w:rPr>
                <w:lang w:val="en-AU"/>
              </w:rPr>
            </w:pPr>
          </w:p>
        </w:tc>
      </w:tr>
      <w:tr w:rsidR="005D7013" w:rsidRPr="00CF7CB1" w14:paraId="6409218D" w14:textId="77777777" w:rsidTr="008F6A06">
        <w:tc>
          <w:tcPr>
            <w:tcW w:w="1980" w:type="dxa"/>
          </w:tcPr>
          <w:p w14:paraId="2C99EA08" w14:textId="77777777" w:rsidR="005D7013" w:rsidRPr="00CF7CB1" w:rsidRDefault="005D7013" w:rsidP="005D7013">
            <w:pPr>
              <w:rPr>
                <w:b/>
                <w:lang w:val="en-AU"/>
              </w:rPr>
            </w:pPr>
            <w:r w:rsidRPr="00CF7CB1">
              <w:rPr>
                <w:b/>
                <w:lang w:val="en-AU"/>
              </w:rPr>
              <w:t>Indicators</w:t>
            </w:r>
          </w:p>
        </w:tc>
        <w:tc>
          <w:tcPr>
            <w:tcW w:w="4819" w:type="dxa"/>
          </w:tcPr>
          <w:p w14:paraId="27B4029C" w14:textId="77777777" w:rsidR="005D7013" w:rsidRPr="00CF7CB1" w:rsidRDefault="005D7013" w:rsidP="005D7013">
            <w:pPr>
              <w:rPr>
                <w:lang w:val="en-AU"/>
              </w:rPr>
            </w:pPr>
            <w:r w:rsidRPr="00CF7CB1">
              <w:rPr>
                <w:lang w:val="en-AU"/>
              </w:rPr>
              <w:t>Indicators are briefly mentioned in the AECSP Strategic Overview—but there are no details provided on whether or how they might be operationalised or how they relate to program activity.</w:t>
            </w:r>
          </w:p>
        </w:tc>
        <w:tc>
          <w:tcPr>
            <w:tcW w:w="2075" w:type="dxa"/>
          </w:tcPr>
          <w:p w14:paraId="3FD4DC02" w14:textId="77777777" w:rsidR="005D7013" w:rsidRPr="00CF7CB1" w:rsidRDefault="005D7013" w:rsidP="005D7013">
            <w:pPr>
              <w:rPr>
                <w:lang w:val="en-AU"/>
              </w:rPr>
            </w:pPr>
            <w:r w:rsidRPr="00CF7CB1">
              <w:rPr>
                <w:lang w:val="en-AU"/>
              </w:rPr>
              <w:t>AECSP Strategic Overview, 2011</w:t>
            </w:r>
          </w:p>
        </w:tc>
      </w:tr>
      <w:tr w:rsidR="005D7013" w:rsidRPr="00CF7CB1" w14:paraId="527D0FE0" w14:textId="77777777" w:rsidTr="008F6A06">
        <w:tc>
          <w:tcPr>
            <w:tcW w:w="1980" w:type="dxa"/>
          </w:tcPr>
          <w:p w14:paraId="4D58FC7B" w14:textId="77777777" w:rsidR="005D7013" w:rsidRPr="00CF7CB1" w:rsidRDefault="005D7013" w:rsidP="005D7013">
            <w:pPr>
              <w:rPr>
                <w:b/>
                <w:lang w:val="en-AU"/>
              </w:rPr>
            </w:pPr>
            <w:r w:rsidRPr="00CF7CB1">
              <w:rPr>
                <w:b/>
                <w:lang w:val="en-AU"/>
              </w:rPr>
              <w:t>Range of methods</w:t>
            </w:r>
          </w:p>
        </w:tc>
        <w:tc>
          <w:tcPr>
            <w:tcW w:w="4819" w:type="dxa"/>
          </w:tcPr>
          <w:p w14:paraId="69DAE7DA" w14:textId="77777777" w:rsidR="005D7013" w:rsidRPr="00CF7CB1" w:rsidRDefault="005D7013" w:rsidP="005D7013">
            <w:pPr>
              <w:rPr>
                <w:lang w:val="en-AU"/>
              </w:rPr>
            </w:pPr>
            <w:r w:rsidRPr="00CF7CB1">
              <w:rPr>
                <w:lang w:val="en-AU"/>
              </w:rPr>
              <w:t>No information available to date.</w:t>
            </w:r>
          </w:p>
        </w:tc>
        <w:tc>
          <w:tcPr>
            <w:tcW w:w="2075" w:type="dxa"/>
          </w:tcPr>
          <w:p w14:paraId="0DFD88FD" w14:textId="77777777" w:rsidR="005D7013" w:rsidRPr="00CF7CB1" w:rsidRDefault="005D7013" w:rsidP="005D7013">
            <w:pPr>
              <w:rPr>
                <w:lang w:val="en-AU"/>
              </w:rPr>
            </w:pPr>
          </w:p>
        </w:tc>
      </w:tr>
      <w:tr w:rsidR="005D7013" w:rsidRPr="00CF7CB1" w14:paraId="0B66512F" w14:textId="77777777" w:rsidTr="008F6A06">
        <w:tc>
          <w:tcPr>
            <w:tcW w:w="1980" w:type="dxa"/>
          </w:tcPr>
          <w:p w14:paraId="22D6E688" w14:textId="77777777" w:rsidR="005D7013" w:rsidRPr="00CF7CB1" w:rsidRDefault="005D7013" w:rsidP="005D7013">
            <w:pPr>
              <w:rPr>
                <w:b/>
                <w:lang w:val="en-AU"/>
              </w:rPr>
            </w:pPr>
            <w:r w:rsidRPr="00CF7CB1">
              <w:rPr>
                <w:b/>
                <w:lang w:val="en-AU"/>
              </w:rPr>
              <w:t>International measures</w:t>
            </w:r>
          </w:p>
        </w:tc>
        <w:tc>
          <w:tcPr>
            <w:tcW w:w="4819" w:type="dxa"/>
          </w:tcPr>
          <w:p w14:paraId="2956C74D" w14:textId="77777777" w:rsidR="005D7013" w:rsidRPr="00CF7CB1" w:rsidRDefault="005D7013" w:rsidP="005D7013">
            <w:pPr>
              <w:rPr>
                <w:lang w:val="en-AU"/>
              </w:rPr>
            </w:pPr>
            <w:r w:rsidRPr="00CF7CB1">
              <w:rPr>
                <w:lang w:val="en-AU"/>
              </w:rPr>
              <w:t>No information available to date.</w:t>
            </w:r>
          </w:p>
        </w:tc>
        <w:tc>
          <w:tcPr>
            <w:tcW w:w="2075" w:type="dxa"/>
          </w:tcPr>
          <w:p w14:paraId="01288AED" w14:textId="77777777" w:rsidR="005D7013" w:rsidRPr="00CF7CB1" w:rsidRDefault="005D7013" w:rsidP="005D7013">
            <w:pPr>
              <w:rPr>
                <w:lang w:val="en-AU"/>
              </w:rPr>
            </w:pPr>
          </w:p>
        </w:tc>
      </w:tr>
      <w:tr w:rsidR="005D7013" w:rsidRPr="00CF7CB1" w14:paraId="7CBD4688" w14:textId="77777777" w:rsidTr="008F6A06">
        <w:tc>
          <w:tcPr>
            <w:tcW w:w="1980" w:type="dxa"/>
          </w:tcPr>
          <w:p w14:paraId="6F453C8F" w14:textId="77777777" w:rsidR="005D7013" w:rsidRPr="00CF7CB1" w:rsidRDefault="005D7013" w:rsidP="005D7013">
            <w:pPr>
              <w:rPr>
                <w:b/>
                <w:lang w:val="en-AU"/>
              </w:rPr>
            </w:pPr>
            <w:r w:rsidRPr="00CF7CB1">
              <w:rPr>
                <w:b/>
                <w:lang w:val="en-AU"/>
              </w:rPr>
              <w:t>Stakeholder engagement</w:t>
            </w:r>
          </w:p>
        </w:tc>
        <w:tc>
          <w:tcPr>
            <w:tcW w:w="4819" w:type="dxa"/>
          </w:tcPr>
          <w:p w14:paraId="4E31200A" w14:textId="77777777" w:rsidR="005D7013" w:rsidRPr="00CF7CB1" w:rsidRDefault="005D7013" w:rsidP="005D7013">
            <w:pPr>
              <w:rPr>
                <w:lang w:val="en-AU"/>
              </w:rPr>
            </w:pPr>
            <w:r w:rsidRPr="00CF7CB1">
              <w:rPr>
                <w:lang w:val="en-AU"/>
              </w:rPr>
              <w:t>The Independent Progress Report suggested that all stakeholders have access to and are using the reports providing an overview of program activities and outputs and that the methodologies employed are adapting to stakeholder needs. It is not clear whether or to what extent stakeholders have been engaged in data analysis or see the relevance of outcome reporting. The IPR does note the variability in stakeholders’ perspectives and priorities on the use of performance data.</w:t>
            </w:r>
          </w:p>
        </w:tc>
        <w:tc>
          <w:tcPr>
            <w:tcW w:w="2075" w:type="dxa"/>
          </w:tcPr>
          <w:p w14:paraId="4DA6F906" w14:textId="77777777" w:rsidR="005D7013" w:rsidRPr="00CF7CB1" w:rsidRDefault="005D7013" w:rsidP="005D7013">
            <w:pPr>
              <w:rPr>
                <w:lang w:val="en-AU"/>
              </w:rPr>
            </w:pPr>
            <w:r w:rsidRPr="00CF7CB1">
              <w:rPr>
                <w:lang w:val="en-AU"/>
              </w:rPr>
              <w:t>Independent</w:t>
            </w:r>
          </w:p>
          <w:p w14:paraId="19AC2968" w14:textId="77777777" w:rsidR="005D7013" w:rsidRPr="00CF7CB1" w:rsidRDefault="005D7013" w:rsidP="005D7013">
            <w:pPr>
              <w:rPr>
                <w:lang w:val="en-AU"/>
              </w:rPr>
            </w:pPr>
            <w:r w:rsidRPr="00CF7CB1">
              <w:rPr>
                <w:lang w:val="en-AU"/>
              </w:rPr>
              <w:t>Progress Report, 2013</w:t>
            </w:r>
          </w:p>
        </w:tc>
      </w:tr>
      <w:tr w:rsidR="005D7013" w:rsidRPr="00CF7CB1" w14:paraId="21598E47" w14:textId="77777777" w:rsidTr="008F6A06">
        <w:tc>
          <w:tcPr>
            <w:tcW w:w="1980" w:type="dxa"/>
          </w:tcPr>
          <w:p w14:paraId="0447C1C0" w14:textId="77777777" w:rsidR="005D7013" w:rsidRPr="00CF7CB1" w:rsidRDefault="005D7013" w:rsidP="005D7013">
            <w:pPr>
              <w:rPr>
                <w:b/>
                <w:lang w:val="en-AU"/>
              </w:rPr>
            </w:pPr>
            <w:r w:rsidRPr="00CF7CB1">
              <w:rPr>
                <w:b/>
                <w:lang w:val="en-AU"/>
              </w:rPr>
              <w:t>Informs program improvement</w:t>
            </w:r>
          </w:p>
        </w:tc>
        <w:tc>
          <w:tcPr>
            <w:tcW w:w="4819" w:type="dxa"/>
          </w:tcPr>
          <w:p w14:paraId="4FE09D6B" w14:textId="77777777" w:rsidR="005D7013" w:rsidRPr="00CF7CB1" w:rsidRDefault="005D7013" w:rsidP="005D7013">
            <w:pPr>
              <w:rPr>
                <w:lang w:val="en-AU"/>
              </w:rPr>
            </w:pPr>
            <w:r w:rsidRPr="00CF7CB1">
              <w:rPr>
                <w:lang w:val="en-AU"/>
              </w:rPr>
              <w:t>The Independent Progress Report notes that the M&amp;E system is not linked to a learning or communication strategy and that there are no systems in place to inform a continuous improvement   agenda.</w:t>
            </w:r>
          </w:p>
        </w:tc>
        <w:tc>
          <w:tcPr>
            <w:tcW w:w="2075" w:type="dxa"/>
          </w:tcPr>
          <w:p w14:paraId="7703F453" w14:textId="77777777" w:rsidR="005D7013" w:rsidRPr="00CF7CB1" w:rsidRDefault="005D7013" w:rsidP="005D7013">
            <w:pPr>
              <w:rPr>
                <w:lang w:val="en-AU"/>
              </w:rPr>
            </w:pPr>
            <w:r w:rsidRPr="00CF7CB1">
              <w:rPr>
                <w:lang w:val="en-AU"/>
              </w:rPr>
              <w:t>Independent</w:t>
            </w:r>
          </w:p>
          <w:p w14:paraId="6DC107EA" w14:textId="77777777" w:rsidR="005D7013" w:rsidRPr="00CF7CB1" w:rsidRDefault="005D7013" w:rsidP="005D7013">
            <w:pPr>
              <w:rPr>
                <w:lang w:val="en-AU"/>
              </w:rPr>
            </w:pPr>
            <w:r w:rsidRPr="00CF7CB1">
              <w:rPr>
                <w:lang w:val="en-AU"/>
              </w:rPr>
              <w:t>Progress Report, 2013</w:t>
            </w:r>
          </w:p>
        </w:tc>
      </w:tr>
      <w:tr w:rsidR="005D7013" w:rsidRPr="00CF7CB1" w14:paraId="5B1175C4" w14:textId="77777777" w:rsidTr="008F6A06">
        <w:tc>
          <w:tcPr>
            <w:tcW w:w="1980" w:type="dxa"/>
          </w:tcPr>
          <w:p w14:paraId="03B3ED6C" w14:textId="77777777" w:rsidR="005D7013" w:rsidRPr="00CF7CB1" w:rsidRDefault="005D7013" w:rsidP="005D7013">
            <w:pPr>
              <w:rPr>
                <w:b/>
                <w:lang w:val="en-AU"/>
              </w:rPr>
            </w:pPr>
            <w:r w:rsidRPr="00CF7CB1">
              <w:rPr>
                <w:b/>
                <w:lang w:val="en-AU"/>
              </w:rPr>
              <w:t>Contributes to public knowledge</w:t>
            </w:r>
          </w:p>
        </w:tc>
        <w:tc>
          <w:tcPr>
            <w:tcW w:w="4819" w:type="dxa"/>
          </w:tcPr>
          <w:p w14:paraId="28A8017B" w14:textId="77777777" w:rsidR="005D7013" w:rsidRPr="00CF7CB1" w:rsidRDefault="005D7013" w:rsidP="005D7013">
            <w:pPr>
              <w:rPr>
                <w:lang w:val="en-AU"/>
              </w:rPr>
            </w:pPr>
            <w:r w:rsidRPr="00CF7CB1">
              <w:rPr>
                <w:lang w:val="en-AU"/>
              </w:rPr>
              <w:t>The Independent Progress Report notes that stakeholders are using program reports, but these seem to be focussed on program activity rather than lessons learnt or analysis of factors influencing program performance. The Report recommends that better communication mechanisms would improve the utility of program reporting.</w:t>
            </w:r>
          </w:p>
        </w:tc>
        <w:tc>
          <w:tcPr>
            <w:tcW w:w="2075" w:type="dxa"/>
          </w:tcPr>
          <w:p w14:paraId="504D9CD5" w14:textId="77777777" w:rsidR="005D7013" w:rsidRPr="00CF7CB1" w:rsidRDefault="005D7013" w:rsidP="005D7013">
            <w:pPr>
              <w:rPr>
                <w:lang w:val="en-AU"/>
              </w:rPr>
            </w:pPr>
            <w:r w:rsidRPr="00CF7CB1">
              <w:rPr>
                <w:lang w:val="en-AU"/>
              </w:rPr>
              <w:t>Independent</w:t>
            </w:r>
          </w:p>
          <w:p w14:paraId="4C86665A" w14:textId="77777777" w:rsidR="005D7013" w:rsidRPr="00CF7CB1" w:rsidRDefault="005D7013" w:rsidP="005D7013">
            <w:pPr>
              <w:rPr>
                <w:lang w:val="en-AU"/>
              </w:rPr>
            </w:pPr>
            <w:r w:rsidRPr="00CF7CB1">
              <w:rPr>
                <w:lang w:val="en-AU"/>
              </w:rPr>
              <w:t>Progress Report, 2013</w:t>
            </w:r>
          </w:p>
        </w:tc>
      </w:tr>
    </w:tbl>
    <w:p w14:paraId="47DFCFB2" w14:textId="77777777" w:rsidR="003B5312" w:rsidRPr="00CF7CB1" w:rsidRDefault="003B5312" w:rsidP="005D7013">
      <w:pPr>
        <w:pStyle w:val="Heading3"/>
        <w:rPr>
          <w:lang w:val="en-AU"/>
        </w:rPr>
      </w:pPr>
      <w:r w:rsidRPr="00CF7CB1">
        <w:rPr>
          <w:lang w:val="en-AU"/>
        </w:rPr>
        <w:t>PHAMA</w:t>
      </w:r>
    </w:p>
    <w:p w14:paraId="702FC44A" w14:textId="77777777" w:rsidR="003B5312" w:rsidRPr="00CF7CB1" w:rsidRDefault="003B5312" w:rsidP="00337BCF">
      <w:pPr>
        <w:spacing w:after="120"/>
        <w:rPr>
          <w:lang w:val="en-AU"/>
        </w:rPr>
      </w:pPr>
      <w:r w:rsidRPr="00CF7CB1">
        <w:rPr>
          <w:lang w:val="en-AU"/>
        </w:rPr>
        <w:t>The Monitoring, Evaluation, Reporting and Improvement (MERI) System for the program was completed in May 2014 and has since been subject to ongoing revisions. The assessment of the MERI is based on details provided in the program strategic plans and progress reports. The evaluation did not have a copy of the MERI Framework at the time of writing this first draft evaluation report.</w:t>
      </w:r>
    </w:p>
    <w:tbl>
      <w:tblPr>
        <w:tblStyle w:val="TableGrid"/>
        <w:tblW w:w="0" w:type="auto"/>
        <w:tblLook w:val="04A0" w:firstRow="1" w:lastRow="0" w:firstColumn="1" w:lastColumn="0" w:noHBand="0" w:noVBand="1"/>
        <w:tblCaption w:val="PHAMA M&amp;E system"/>
        <w:tblDescription w:val="This table includes comments on the M&amp;E system for the PHAMA program, for each of the criteria except for international measures, as there was no information available. The sources were the 2014-2015 Strategic Plan, 6-Monthly Progress Report (Dec 2014), 2015-2016 Strategic Plan, Framework for MAWG and IWG Sustainability Roadmaps, PHAMA program logic diagram, PHAMA Qualitative Impact Case Studies (2013), MAWG Case Studies Midterm and Final (2013), Feasibility Study On Selected Horticultural Exports From Fiji To Australia (2012), and URS submission to the inquiry into the role of the private sector in promoting economic growth and reducing poverty in the Asia Pacific region (2014)."/>
      </w:tblPr>
      <w:tblGrid>
        <w:gridCol w:w="1980"/>
        <w:gridCol w:w="4819"/>
        <w:gridCol w:w="2075"/>
      </w:tblGrid>
      <w:tr w:rsidR="0082096F" w:rsidRPr="00CF7CB1" w14:paraId="0A9680CE" w14:textId="77777777" w:rsidTr="002D1780">
        <w:trPr>
          <w:tblHeader/>
        </w:trPr>
        <w:tc>
          <w:tcPr>
            <w:tcW w:w="1980" w:type="dxa"/>
          </w:tcPr>
          <w:p w14:paraId="738A48E9" w14:textId="77777777" w:rsidR="0082096F" w:rsidRPr="00CF7CB1" w:rsidRDefault="0082096F" w:rsidP="0082096F">
            <w:pPr>
              <w:pStyle w:val="Tableheader"/>
              <w:rPr>
                <w:lang w:val="en-AU"/>
              </w:rPr>
            </w:pPr>
            <w:r w:rsidRPr="00CF7CB1">
              <w:rPr>
                <w:lang w:val="en-AU"/>
              </w:rPr>
              <w:t>Characteristic</w:t>
            </w:r>
          </w:p>
        </w:tc>
        <w:tc>
          <w:tcPr>
            <w:tcW w:w="4819" w:type="dxa"/>
          </w:tcPr>
          <w:p w14:paraId="1B1C0091" w14:textId="77777777" w:rsidR="0082096F" w:rsidRPr="00CF7CB1" w:rsidRDefault="0082096F" w:rsidP="0082096F">
            <w:pPr>
              <w:pStyle w:val="Tableheader"/>
              <w:rPr>
                <w:lang w:val="en-AU"/>
              </w:rPr>
            </w:pPr>
            <w:r w:rsidRPr="00CF7CB1">
              <w:rPr>
                <w:lang w:val="en-AU"/>
              </w:rPr>
              <w:t>Comment</w:t>
            </w:r>
          </w:p>
        </w:tc>
        <w:tc>
          <w:tcPr>
            <w:tcW w:w="2075" w:type="dxa"/>
          </w:tcPr>
          <w:p w14:paraId="1C4E8023" w14:textId="77777777" w:rsidR="0082096F" w:rsidRPr="00CF7CB1" w:rsidRDefault="0082096F" w:rsidP="0082096F">
            <w:pPr>
              <w:pStyle w:val="Tableheader"/>
              <w:rPr>
                <w:lang w:val="en-AU"/>
              </w:rPr>
            </w:pPr>
            <w:r w:rsidRPr="00CF7CB1">
              <w:rPr>
                <w:lang w:val="en-AU"/>
              </w:rPr>
              <w:t>Source</w:t>
            </w:r>
          </w:p>
        </w:tc>
      </w:tr>
      <w:tr w:rsidR="0082096F" w:rsidRPr="00CF7CB1" w14:paraId="25D3B66A" w14:textId="77777777" w:rsidTr="008F6A06">
        <w:tc>
          <w:tcPr>
            <w:tcW w:w="1980" w:type="dxa"/>
          </w:tcPr>
          <w:p w14:paraId="4AD81A41" w14:textId="77777777" w:rsidR="0082096F" w:rsidRPr="00CF7CB1" w:rsidRDefault="0082096F" w:rsidP="00337BCF">
            <w:pPr>
              <w:spacing w:after="120"/>
              <w:rPr>
                <w:b/>
                <w:lang w:val="en-AU"/>
              </w:rPr>
            </w:pPr>
            <w:r w:rsidRPr="00CF7CB1">
              <w:rPr>
                <w:b/>
                <w:lang w:val="en-AU"/>
              </w:rPr>
              <w:t>Results chains</w:t>
            </w:r>
          </w:p>
        </w:tc>
        <w:tc>
          <w:tcPr>
            <w:tcW w:w="4819" w:type="dxa"/>
          </w:tcPr>
          <w:p w14:paraId="5F740B06" w14:textId="77777777" w:rsidR="0082096F" w:rsidRPr="00CF7CB1" w:rsidRDefault="0082096F" w:rsidP="0082096F">
            <w:pPr>
              <w:spacing w:after="120"/>
              <w:rPr>
                <w:lang w:val="en-AU"/>
              </w:rPr>
            </w:pPr>
            <w:r w:rsidRPr="00CF7CB1">
              <w:rPr>
                <w:lang w:val="en-AU"/>
              </w:rPr>
              <w:t>The MERI contains a logic model which illustrates the program’s results hierarchy and the relationship between results.</w:t>
            </w:r>
          </w:p>
          <w:p w14:paraId="01D7D61A" w14:textId="77777777" w:rsidR="0082096F" w:rsidRPr="00CF7CB1" w:rsidRDefault="0082096F" w:rsidP="0082096F">
            <w:pPr>
              <w:spacing w:after="120"/>
              <w:rPr>
                <w:lang w:val="en-AU"/>
              </w:rPr>
            </w:pPr>
            <w:r w:rsidRPr="00CF7CB1">
              <w:rPr>
                <w:lang w:val="en-AU"/>
              </w:rPr>
              <w:t>It has been proposed that Sustainability Road Maps be developed for the Market Access Working Groups (MAWGs). Based on the Framework for MAWGs published in August 2015, these road maps would effectively serve as results chains for interventions.</w:t>
            </w:r>
          </w:p>
          <w:p w14:paraId="503D4CA8" w14:textId="77777777" w:rsidR="0082096F" w:rsidRPr="00CF7CB1" w:rsidRDefault="0082096F" w:rsidP="0082096F">
            <w:pPr>
              <w:spacing w:after="120"/>
              <w:rPr>
                <w:lang w:val="en-AU"/>
              </w:rPr>
            </w:pPr>
            <w:r w:rsidRPr="00CF7CB1">
              <w:rPr>
                <w:lang w:val="en-AU"/>
              </w:rPr>
              <w:t>This evaluation has not reviewed any completed road maps to be able to comment on their quality or utility.</w:t>
            </w:r>
          </w:p>
        </w:tc>
        <w:tc>
          <w:tcPr>
            <w:tcW w:w="2075" w:type="dxa"/>
          </w:tcPr>
          <w:p w14:paraId="5AB29F20" w14:textId="77777777" w:rsidR="0082096F" w:rsidRPr="00CF7CB1" w:rsidRDefault="0082096F" w:rsidP="0082096F">
            <w:pPr>
              <w:spacing w:after="120"/>
              <w:rPr>
                <w:lang w:val="en-AU"/>
              </w:rPr>
            </w:pPr>
            <w:r w:rsidRPr="00CF7CB1">
              <w:rPr>
                <w:lang w:val="en-AU"/>
              </w:rPr>
              <w:t>2014-2015</w:t>
            </w:r>
            <w:r w:rsidR="00664BC7" w:rsidRPr="00CF7CB1">
              <w:rPr>
                <w:lang w:val="en-AU"/>
              </w:rPr>
              <w:t xml:space="preserve"> </w:t>
            </w:r>
            <w:r w:rsidRPr="00CF7CB1">
              <w:rPr>
                <w:lang w:val="en-AU"/>
              </w:rPr>
              <w:t>Strategic Plan</w:t>
            </w:r>
          </w:p>
          <w:p w14:paraId="118F7428" w14:textId="77777777" w:rsidR="00664BC7" w:rsidRPr="00CF7CB1" w:rsidRDefault="0082096F" w:rsidP="0082096F">
            <w:pPr>
              <w:spacing w:after="120"/>
              <w:rPr>
                <w:lang w:val="en-AU"/>
              </w:rPr>
            </w:pPr>
            <w:r w:rsidRPr="00CF7CB1">
              <w:rPr>
                <w:lang w:val="en-AU"/>
              </w:rPr>
              <w:t>6-Monthly Progress</w:t>
            </w:r>
            <w:r w:rsidR="00664BC7" w:rsidRPr="00CF7CB1">
              <w:rPr>
                <w:lang w:val="en-AU"/>
              </w:rPr>
              <w:t xml:space="preserve"> </w:t>
            </w:r>
            <w:r w:rsidRPr="00CF7CB1">
              <w:rPr>
                <w:lang w:val="en-AU"/>
              </w:rPr>
              <w:t>Report, Dec 2014</w:t>
            </w:r>
            <w:r w:rsidR="00664BC7" w:rsidRPr="00CF7CB1">
              <w:rPr>
                <w:lang w:val="en-AU"/>
              </w:rPr>
              <w:t xml:space="preserve"> </w:t>
            </w:r>
          </w:p>
          <w:p w14:paraId="4767DABA" w14:textId="77777777" w:rsidR="0082096F" w:rsidRPr="00CF7CB1" w:rsidRDefault="0082096F" w:rsidP="0082096F">
            <w:pPr>
              <w:spacing w:after="120"/>
              <w:rPr>
                <w:lang w:val="en-AU"/>
              </w:rPr>
            </w:pPr>
            <w:r w:rsidRPr="00CF7CB1">
              <w:rPr>
                <w:lang w:val="en-AU"/>
              </w:rPr>
              <w:t>2015-2016</w:t>
            </w:r>
            <w:r w:rsidR="00664BC7" w:rsidRPr="00CF7CB1">
              <w:rPr>
                <w:lang w:val="en-AU"/>
              </w:rPr>
              <w:t xml:space="preserve"> </w:t>
            </w:r>
            <w:r w:rsidRPr="00CF7CB1">
              <w:rPr>
                <w:lang w:val="en-AU"/>
              </w:rPr>
              <w:t>Strategic Plan</w:t>
            </w:r>
          </w:p>
          <w:p w14:paraId="763EF43F" w14:textId="77777777" w:rsidR="0082096F" w:rsidRPr="00CF7CB1" w:rsidRDefault="0082096F" w:rsidP="0082096F">
            <w:pPr>
              <w:spacing w:after="120"/>
              <w:rPr>
                <w:lang w:val="en-AU"/>
              </w:rPr>
            </w:pPr>
            <w:r w:rsidRPr="00CF7CB1">
              <w:rPr>
                <w:lang w:val="en-AU"/>
              </w:rPr>
              <w:t>Framework for MAWG</w:t>
            </w:r>
            <w:r w:rsidR="00664BC7" w:rsidRPr="00CF7CB1">
              <w:rPr>
                <w:lang w:val="en-AU"/>
              </w:rPr>
              <w:t xml:space="preserve"> </w:t>
            </w:r>
            <w:r w:rsidRPr="00CF7CB1">
              <w:rPr>
                <w:lang w:val="en-AU"/>
              </w:rPr>
              <w:t>and IWG Sustainability</w:t>
            </w:r>
            <w:r w:rsidR="00664BC7" w:rsidRPr="00CF7CB1">
              <w:rPr>
                <w:lang w:val="en-AU"/>
              </w:rPr>
              <w:t xml:space="preserve"> </w:t>
            </w:r>
            <w:r w:rsidRPr="00CF7CB1">
              <w:rPr>
                <w:lang w:val="en-AU"/>
              </w:rPr>
              <w:t>Roadmaps</w:t>
            </w:r>
          </w:p>
          <w:p w14:paraId="682D1D8E" w14:textId="77777777" w:rsidR="0082096F" w:rsidRPr="00CF7CB1" w:rsidRDefault="0082096F" w:rsidP="008F6A06">
            <w:pPr>
              <w:spacing w:after="120"/>
              <w:rPr>
                <w:lang w:val="en-AU"/>
              </w:rPr>
            </w:pPr>
            <w:r w:rsidRPr="00CF7CB1">
              <w:rPr>
                <w:lang w:val="en-AU"/>
              </w:rPr>
              <w:t>PHAMA program</w:t>
            </w:r>
            <w:r w:rsidR="008F6A06" w:rsidRPr="00CF7CB1">
              <w:rPr>
                <w:lang w:val="en-AU"/>
              </w:rPr>
              <w:t xml:space="preserve"> </w:t>
            </w:r>
            <w:r w:rsidRPr="00CF7CB1">
              <w:rPr>
                <w:lang w:val="en-AU"/>
              </w:rPr>
              <w:t>logic diagram</w:t>
            </w:r>
          </w:p>
        </w:tc>
      </w:tr>
      <w:tr w:rsidR="0082096F" w:rsidRPr="00CF7CB1" w14:paraId="0C5AE7BB" w14:textId="77777777" w:rsidTr="008F6A06">
        <w:tc>
          <w:tcPr>
            <w:tcW w:w="1980" w:type="dxa"/>
          </w:tcPr>
          <w:p w14:paraId="4609D494" w14:textId="77777777" w:rsidR="0082096F" w:rsidRPr="00CF7CB1" w:rsidRDefault="008F6A06" w:rsidP="00337BCF">
            <w:pPr>
              <w:spacing w:after="120"/>
              <w:rPr>
                <w:b/>
                <w:lang w:val="en-AU"/>
              </w:rPr>
            </w:pPr>
            <w:r w:rsidRPr="00CF7CB1">
              <w:rPr>
                <w:b/>
                <w:lang w:val="en-AU"/>
              </w:rPr>
              <w:t>Realistic objectives</w:t>
            </w:r>
          </w:p>
        </w:tc>
        <w:tc>
          <w:tcPr>
            <w:tcW w:w="4819" w:type="dxa"/>
          </w:tcPr>
          <w:p w14:paraId="022D03F7" w14:textId="77777777" w:rsidR="0082096F" w:rsidRPr="00CF7CB1" w:rsidRDefault="008F6A06" w:rsidP="00337BCF">
            <w:pPr>
              <w:spacing w:after="120"/>
              <w:rPr>
                <w:lang w:val="en-AU"/>
              </w:rPr>
            </w:pPr>
            <w:r w:rsidRPr="00CF7CB1">
              <w:rPr>
                <w:lang w:val="en-AU"/>
              </w:rPr>
              <w:t>The MERI contains objectives at both the regional and national level to ensure the relevance of the framework for all stakeholders.</w:t>
            </w:r>
          </w:p>
        </w:tc>
        <w:tc>
          <w:tcPr>
            <w:tcW w:w="2075" w:type="dxa"/>
          </w:tcPr>
          <w:p w14:paraId="13FDD82D" w14:textId="77777777" w:rsidR="0082096F" w:rsidRPr="00CF7CB1" w:rsidRDefault="008F6A06" w:rsidP="008F6A06">
            <w:pPr>
              <w:spacing w:after="120"/>
              <w:rPr>
                <w:lang w:val="en-AU"/>
              </w:rPr>
            </w:pPr>
            <w:r w:rsidRPr="00CF7CB1">
              <w:rPr>
                <w:lang w:val="en-AU"/>
              </w:rPr>
              <w:t>2014-2015 Strategic Plan</w:t>
            </w:r>
          </w:p>
        </w:tc>
      </w:tr>
      <w:tr w:rsidR="0082096F" w:rsidRPr="00CF7CB1" w14:paraId="39AB85E1" w14:textId="77777777" w:rsidTr="008F6A06">
        <w:tc>
          <w:tcPr>
            <w:tcW w:w="1980" w:type="dxa"/>
          </w:tcPr>
          <w:p w14:paraId="1678AFF3" w14:textId="77777777" w:rsidR="0082096F" w:rsidRPr="00CF7CB1" w:rsidRDefault="00664BC7" w:rsidP="00337BCF">
            <w:pPr>
              <w:spacing w:after="120"/>
              <w:rPr>
                <w:b/>
                <w:lang w:val="en-AU"/>
              </w:rPr>
            </w:pPr>
            <w:r w:rsidRPr="00CF7CB1">
              <w:rPr>
                <w:b/>
                <w:lang w:val="en-AU"/>
              </w:rPr>
              <w:t>Baseline data</w:t>
            </w:r>
          </w:p>
        </w:tc>
        <w:tc>
          <w:tcPr>
            <w:tcW w:w="4819" w:type="dxa"/>
          </w:tcPr>
          <w:p w14:paraId="2F02CDE7" w14:textId="77777777" w:rsidR="00664BC7" w:rsidRPr="00CF7CB1" w:rsidRDefault="00664BC7" w:rsidP="00664BC7">
            <w:pPr>
              <w:spacing w:after="120"/>
              <w:rPr>
                <w:lang w:val="en-AU"/>
              </w:rPr>
            </w:pPr>
            <w:r w:rsidRPr="00CF7CB1">
              <w:rPr>
                <w:lang w:val="en-AU"/>
              </w:rPr>
              <w:t>The MERI contains provisions to collect and use baseline data for performance monitoring   and reporting.</w:t>
            </w:r>
          </w:p>
          <w:p w14:paraId="19A1DB7B" w14:textId="77777777" w:rsidR="0082096F" w:rsidRPr="00CF7CB1" w:rsidRDefault="00664BC7" w:rsidP="00664BC7">
            <w:pPr>
              <w:spacing w:after="120"/>
              <w:rPr>
                <w:lang w:val="en-AU"/>
              </w:rPr>
            </w:pPr>
            <w:r w:rsidRPr="00CF7CB1">
              <w:rPr>
                <w:lang w:val="en-AU"/>
              </w:rPr>
              <w:t>Baseline data was collected for all of the qualitative studies reviewed.</w:t>
            </w:r>
          </w:p>
        </w:tc>
        <w:tc>
          <w:tcPr>
            <w:tcW w:w="2075" w:type="dxa"/>
          </w:tcPr>
          <w:p w14:paraId="716DB8E0" w14:textId="77777777" w:rsidR="00CF20AB" w:rsidRPr="00CF7CB1" w:rsidRDefault="00CF20AB" w:rsidP="00CF20AB">
            <w:pPr>
              <w:spacing w:after="120"/>
              <w:rPr>
                <w:lang w:val="en-AU"/>
              </w:rPr>
            </w:pPr>
            <w:r w:rsidRPr="00CF7CB1">
              <w:rPr>
                <w:lang w:val="en-AU"/>
              </w:rPr>
              <w:t>PHAMA Qualitative Impact Case Studies, 2013</w:t>
            </w:r>
          </w:p>
          <w:p w14:paraId="195A5640" w14:textId="77777777" w:rsidR="0082096F" w:rsidRPr="00CF7CB1" w:rsidRDefault="00CF20AB" w:rsidP="00CF20AB">
            <w:pPr>
              <w:spacing w:after="120"/>
              <w:rPr>
                <w:lang w:val="en-AU"/>
              </w:rPr>
            </w:pPr>
            <w:r w:rsidRPr="00CF7CB1">
              <w:rPr>
                <w:lang w:val="en-AU"/>
              </w:rPr>
              <w:t>MAWG Case Studies—Midterm and Final, 2013</w:t>
            </w:r>
          </w:p>
        </w:tc>
      </w:tr>
      <w:tr w:rsidR="0082096F" w:rsidRPr="00CF7CB1" w14:paraId="21C1CC88" w14:textId="77777777" w:rsidTr="008F6A06">
        <w:tc>
          <w:tcPr>
            <w:tcW w:w="1980" w:type="dxa"/>
          </w:tcPr>
          <w:p w14:paraId="043BDE29" w14:textId="77777777" w:rsidR="0082096F" w:rsidRPr="00CF7CB1" w:rsidRDefault="00880E1A" w:rsidP="00337BCF">
            <w:pPr>
              <w:spacing w:after="120"/>
              <w:rPr>
                <w:b/>
                <w:lang w:val="en-AU"/>
              </w:rPr>
            </w:pPr>
            <w:r w:rsidRPr="00CF7CB1">
              <w:rPr>
                <w:b/>
                <w:lang w:val="en-AU"/>
              </w:rPr>
              <w:t>Indicators</w:t>
            </w:r>
          </w:p>
        </w:tc>
        <w:tc>
          <w:tcPr>
            <w:tcW w:w="4819" w:type="dxa"/>
          </w:tcPr>
          <w:p w14:paraId="07C68112" w14:textId="77777777" w:rsidR="0082096F" w:rsidRPr="00CF7CB1" w:rsidRDefault="00880E1A" w:rsidP="00337BCF">
            <w:pPr>
              <w:spacing w:after="120"/>
              <w:rPr>
                <w:lang w:val="en-AU"/>
              </w:rPr>
            </w:pPr>
            <w:r w:rsidRPr="00CF7CB1">
              <w:rPr>
                <w:lang w:val="en-AU"/>
              </w:rPr>
              <w:t>Assumed to be present in the MERI Framework.</w:t>
            </w:r>
          </w:p>
        </w:tc>
        <w:tc>
          <w:tcPr>
            <w:tcW w:w="2075" w:type="dxa"/>
          </w:tcPr>
          <w:p w14:paraId="65524F87" w14:textId="77777777" w:rsidR="0082096F" w:rsidRPr="00CF7CB1" w:rsidRDefault="0082096F" w:rsidP="00337BCF">
            <w:pPr>
              <w:spacing w:after="120"/>
              <w:rPr>
                <w:lang w:val="en-AU"/>
              </w:rPr>
            </w:pPr>
          </w:p>
        </w:tc>
      </w:tr>
      <w:tr w:rsidR="0082096F" w:rsidRPr="00CF7CB1" w14:paraId="6BA1D105" w14:textId="77777777" w:rsidTr="008F6A06">
        <w:tc>
          <w:tcPr>
            <w:tcW w:w="1980" w:type="dxa"/>
          </w:tcPr>
          <w:p w14:paraId="22D032C2" w14:textId="77777777" w:rsidR="0082096F" w:rsidRPr="00CF7CB1" w:rsidRDefault="00880E1A" w:rsidP="00337BCF">
            <w:pPr>
              <w:spacing w:after="120"/>
              <w:rPr>
                <w:b/>
                <w:lang w:val="en-AU"/>
              </w:rPr>
            </w:pPr>
            <w:r w:rsidRPr="00CF7CB1">
              <w:rPr>
                <w:b/>
                <w:lang w:val="en-AU"/>
              </w:rPr>
              <w:t>Range of methods</w:t>
            </w:r>
          </w:p>
        </w:tc>
        <w:tc>
          <w:tcPr>
            <w:tcW w:w="4819" w:type="dxa"/>
          </w:tcPr>
          <w:p w14:paraId="2837FC8B" w14:textId="77777777" w:rsidR="00880E1A" w:rsidRPr="00CF7CB1" w:rsidRDefault="00880E1A" w:rsidP="00880E1A">
            <w:pPr>
              <w:spacing w:after="120"/>
              <w:rPr>
                <w:lang w:val="en-AU"/>
              </w:rPr>
            </w:pPr>
            <w:r w:rsidRPr="00CF7CB1">
              <w:rPr>
                <w:lang w:val="en-AU"/>
              </w:rPr>
              <w:t>The MERI includes a range of methods, both quantitative and qualitative to assess program performance.</w:t>
            </w:r>
          </w:p>
          <w:p w14:paraId="06E01F97" w14:textId="77777777" w:rsidR="00880E1A" w:rsidRPr="00CF7CB1" w:rsidRDefault="00880E1A" w:rsidP="00880E1A">
            <w:pPr>
              <w:spacing w:after="120"/>
              <w:rPr>
                <w:lang w:val="en-AU"/>
              </w:rPr>
            </w:pPr>
            <w:r w:rsidRPr="00CF7CB1">
              <w:rPr>
                <w:lang w:val="en-AU"/>
              </w:rPr>
              <w:t>Qualitative Impact Case Studies were carried out in2012 and again in 2013 to assess changes in the</w:t>
            </w:r>
            <w:r w:rsidR="00BA5A00" w:rsidRPr="00CF7CB1">
              <w:rPr>
                <w:lang w:val="en-AU"/>
              </w:rPr>
              <w:t xml:space="preserve"> </w:t>
            </w:r>
            <w:r w:rsidRPr="00CF7CB1">
              <w:rPr>
                <w:lang w:val="en-AU"/>
              </w:rPr>
              <w:t>economic circumstances of selected exporters and producers as a result of PHAMA. The case studies are based on interviews with key suppliers—the case studies could be strengthened if they were to</w:t>
            </w:r>
            <w:r w:rsidR="00BA5A00" w:rsidRPr="00CF7CB1">
              <w:rPr>
                <w:lang w:val="en-AU"/>
              </w:rPr>
              <w:t xml:space="preserve"> </w:t>
            </w:r>
            <w:r w:rsidRPr="00CF7CB1">
              <w:rPr>
                <w:lang w:val="en-AU"/>
              </w:rPr>
              <w:t>triangulate information given by individuals with   other</w:t>
            </w:r>
            <w:r w:rsidR="00BA5A00" w:rsidRPr="00CF7CB1">
              <w:rPr>
                <w:lang w:val="en-AU"/>
              </w:rPr>
              <w:t xml:space="preserve"> </w:t>
            </w:r>
            <w:r w:rsidRPr="00CF7CB1">
              <w:rPr>
                <w:lang w:val="en-AU"/>
              </w:rPr>
              <w:t>evidence. At the program level, the qualitative studies</w:t>
            </w:r>
            <w:r w:rsidR="00BA5A00" w:rsidRPr="00CF7CB1">
              <w:rPr>
                <w:lang w:val="en-AU"/>
              </w:rPr>
              <w:t xml:space="preserve"> </w:t>
            </w:r>
            <w:r w:rsidRPr="00CF7CB1">
              <w:rPr>
                <w:lang w:val="en-AU"/>
              </w:rPr>
              <w:t>complement qua</w:t>
            </w:r>
            <w:r w:rsidR="00BA5A00" w:rsidRPr="00CF7CB1">
              <w:rPr>
                <w:lang w:val="en-AU"/>
              </w:rPr>
              <w:t>ntitative data gathered by the</w:t>
            </w:r>
            <w:r w:rsidRPr="00CF7CB1">
              <w:rPr>
                <w:lang w:val="en-AU"/>
              </w:rPr>
              <w:t xml:space="preserve"> program.</w:t>
            </w:r>
          </w:p>
          <w:p w14:paraId="5F289515" w14:textId="77777777" w:rsidR="0082096F" w:rsidRPr="00CF7CB1" w:rsidRDefault="00880E1A" w:rsidP="00BA5A00">
            <w:pPr>
              <w:spacing w:after="120"/>
              <w:rPr>
                <w:lang w:val="en-AU"/>
              </w:rPr>
            </w:pPr>
            <w:r w:rsidRPr="00CF7CB1">
              <w:rPr>
                <w:lang w:val="en-AU"/>
              </w:rPr>
              <w:t>Market Access Working Group (MAWG) Case studies were</w:t>
            </w:r>
            <w:r w:rsidR="00BA5A00" w:rsidRPr="00CF7CB1">
              <w:rPr>
                <w:lang w:val="en-AU"/>
              </w:rPr>
              <w:t xml:space="preserve"> </w:t>
            </w:r>
            <w:r w:rsidRPr="00CF7CB1">
              <w:rPr>
                <w:lang w:val="en-AU"/>
              </w:rPr>
              <w:t>also reviewed and prese</w:t>
            </w:r>
            <w:r w:rsidR="00BA5A00" w:rsidRPr="00CF7CB1">
              <w:rPr>
                <w:lang w:val="en-AU"/>
              </w:rPr>
              <w:t xml:space="preserve">nt the findings of interviews </w:t>
            </w:r>
            <w:r w:rsidRPr="00CF7CB1">
              <w:rPr>
                <w:lang w:val="en-AU"/>
              </w:rPr>
              <w:t>with</w:t>
            </w:r>
            <w:r w:rsidR="00BA5A00" w:rsidRPr="00CF7CB1">
              <w:rPr>
                <w:lang w:val="en-AU"/>
              </w:rPr>
              <w:t xml:space="preserve"> </w:t>
            </w:r>
            <w:r w:rsidRPr="00CF7CB1">
              <w:rPr>
                <w:lang w:val="en-AU"/>
              </w:rPr>
              <w:t>various stakeholders on the MAWGs—the methodology for</w:t>
            </w:r>
            <w:r w:rsidR="00BA5A00" w:rsidRPr="00CF7CB1">
              <w:rPr>
                <w:lang w:val="en-AU"/>
              </w:rPr>
              <w:t xml:space="preserve"> </w:t>
            </w:r>
            <w:r w:rsidRPr="00CF7CB1">
              <w:rPr>
                <w:lang w:val="en-AU"/>
              </w:rPr>
              <w:t>undertaking these case studies is unclear.</w:t>
            </w:r>
          </w:p>
        </w:tc>
        <w:tc>
          <w:tcPr>
            <w:tcW w:w="2075" w:type="dxa"/>
          </w:tcPr>
          <w:p w14:paraId="32EC2D6F" w14:textId="77777777" w:rsidR="00460E16" w:rsidRPr="00CF7CB1" w:rsidRDefault="00460E16" w:rsidP="00460E16">
            <w:pPr>
              <w:spacing w:after="120"/>
              <w:rPr>
                <w:lang w:val="en-AU"/>
              </w:rPr>
            </w:pPr>
            <w:r w:rsidRPr="00CF7CB1">
              <w:rPr>
                <w:lang w:val="en-AU"/>
              </w:rPr>
              <w:t>2014-2015 Strategic Plan</w:t>
            </w:r>
          </w:p>
          <w:p w14:paraId="2997B6E5" w14:textId="77777777" w:rsidR="00460E16" w:rsidRPr="00CF7CB1" w:rsidRDefault="00460E16" w:rsidP="00460E16">
            <w:pPr>
              <w:spacing w:after="120"/>
              <w:rPr>
                <w:lang w:val="en-AU"/>
              </w:rPr>
            </w:pPr>
            <w:r w:rsidRPr="00CF7CB1">
              <w:rPr>
                <w:lang w:val="en-AU"/>
              </w:rPr>
              <w:t>PHAMA Qualitative Impact Case Studies, 2013</w:t>
            </w:r>
          </w:p>
          <w:p w14:paraId="3C50322E" w14:textId="77777777" w:rsidR="0082096F" w:rsidRPr="00CF7CB1" w:rsidRDefault="00460E16" w:rsidP="00460E16">
            <w:pPr>
              <w:spacing w:after="120"/>
              <w:rPr>
                <w:lang w:val="en-AU"/>
              </w:rPr>
            </w:pPr>
            <w:r w:rsidRPr="00CF7CB1">
              <w:rPr>
                <w:lang w:val="en-AU"/>
              </w:rPr>
              <w:t>MAWG Case Studies—Midterm and Final, 2013</w:t>
            </w:r>
          </w:p>
        </w:tc>
      </w:tr>
      <w:tr w:rsidR="0082096F" w:rsidRPr="00CF7CB1" w14:paraId="12EBBAF3" w14:textId="77777777" w:rsidTr="008F6A06">
        <w:tc>
          <w:tcPr>
            <w:tcW w:w="1980" w:type="dxa"/>
          </w:tcPr>
          <w:p w14:paraId="39DCA381" w14:textId="77777777" w:rsidR="0082096F" w:rsidRPr="00CF7CB1" w:rsidRDefault="003E1C1A" w:rsidP="003E1C1A">
            <w:pPr>
              <w:spacing w:after="120"/>
              <w:rPr>
                <w:b/>
                <w:lang w:val="en-AU"/>
              </w:rPr>
            </w:pPr>
            <w:r w:rsidRPr="00CF7CB1">
              <w:rPr>
                <w:b/>
                <w:lang w:val="en-AU"/>
              </w:rPr>
              <w:t>International measures</w:t>
            </w:r>
          </w:p>
        </w:tc>
        <w:tc>
          <w:tcPr>
            <w:tcW w:w="4819" w:type="dxa"/>
          </w:tcPr>
          <w:p w14:paraId="60795AE9" w14:textId="77777777" w:rsidR="0082096F" w:rsidRPr="00CF7CB1" w:rsidRDefault="003E1C1A" w:rsidP="00337BCF">
            <w:pPr>
              <w:spacing w:after="120"/>
              <w:rPr>
                <w:lang w:val="en-AU"/>
              </w:rPr>
            </w:pPr>
            <w:r w:rsidRPr="00CF7CB1">
              <w:rPr>
                <w:lang w:val="en-AU"/>
              </w:rPr>
              <w:t>No information available to date.</w:t>
            </w:r>
          </w:p>
        </w:tc>
        <w:tc>
          <w:tcPr>
            <w:tcW w:w="2075" w:type="dxa"/>
          </w:tcPr>
          <w:p w14:paraId="2AA18EB0" w14:textId="77777777" w:rsidR="0082096F" w:rsidRPr="00CF7CB1" w:rsidRDefault="0082096F" w:rsidP="00337BCF">
            <w:pPr>
              <w:spacing w:after="120"/>
              <w:rPr>
                <w:lang w:val="en-AU"/>
              </w:rPr>
            </w:pPr>
          </w:p>
        </w:tc>
      </w:tr>
      <w:tr w:rsidR="0082096F" w:rsidRPr="00CF7CB1" w14:paraId="452B0087" w14:textId="77777777" w:rsidTr="008F6A06">
        <w:tc>
          <w:tcPr>
            <w:tcW w:w="1980" w:type="dxa"/>
          </w:tcPr>
          <w:p w14:paraId="786FBAEA" w14:textId="77777777" w:rsidR="0082096F" w:rsidRPr="00CF7CB1" w:rsidRDefault="00297253" w:rsidP="00337BCF">
            <w:pPr>
              <w:spacing w:after="120"/>
              <w:rPr>
                <w:b/>
                <w:lang w:val="en-AU"/>
              </w:rPr>
            </w:pPr>
            <w:r w:rsidRPr="00CF7CB1">
              <w:rPr>
                <w:b/>
                <w:lang w:val="en-AU"/>
              </w:rPr>
              <w:t>Contextual factors</w:t>
            </w:r>
          </w:p>
        </w:tc>
        <w:tc>
          <w:tcPr>
            <w:tcW w:w="4819" w:type="dxa"/>
          </w:tcPr>
          <w:p w14:paraId="71629D83" w14:textId="77777777" w:rsidR="0082096F" w:rsidRPr="00CF7CB1" w:rsidRDefault="00297253" w:rsidP="00297253">
            <w:pPr>
              <w:spacing w:after="120"/>
              <w:rPr>
                <w:lang w:val="en-AU"/>
              </w:rPr>
            </w:pPr>
            <w:r w:rsidRPr="00CF7CB1">
              <w:rPr>
                <w:lang w:val="en-AU"/>
              </w:rPr>
              <w:t>PHAMA has completed comprehensive scoping studies and market analysis in a number of sectors, but it is unclear to what extent these factors will be monitored and assessed as part of the performance assessment.</w:t>
            </w:r>
          </w:p>
        </w:tc>
        <w:tc>
          <w:tcPr>
            <w:tcW w:w="2075" w:type="dxa"/>
          </w:tcPr>
          <w:p w14:paraId="6F41AA31" w14:textId="77777777" w:rsidR="0082096F" w:rsidRPr="00CF7CB1" w:rsidRDefault="00297253" w:rsidP="00297253">
            <w:pPr>
              <w:spacing w:after="120"/>
              <w:rPr>
                <w:lang w:val="en-AU"/>
              </w:rPr>
            </w:pPr>
            <w:r w:rsidRPr="00CF7CB1">
              <w:rPr>
                <w:lang w:val="en-AU"/>
              </w:rPr>
              <w:t>Example—Feasibility Study On Selected Horticultural Exports From Fiji To Australia, 2012</w:t>
            </w:r>
          </w:p>
        </w:tc>
      </w:tr>
      <w:tr w:rsidR="00FD41B0" w:rsidRPr="00CF7CB1" w14:paraId="7E493754" w14:textId="77777777" w:rsidTr="008F6A06">
        <w:tc>
          <w:tcPr>
            <w:tcW w:w="1980" w:type="dxa"/>
          </w:tcPr>
          <w:p w14:paraId="1DC01615" w14:textId="77777777" w:rsidR="00FD41B0" w:rsidRPr="00CF7CB1" w:rsidRDefault="00FD41B0" w:rsidP="00FD41B0">
            <w:pPr>
              <w:spacing w:after="120"/>
              <w:rPr>
                <w:b/>
                <w:lang w:val="en-AU"/>
              </w:rPr>
            </w:pPr>
            <w:r w:rsidRPr="00CF7CB1">
              <w:rPr>
                <w:b/>
                <w:lang w:val="en-AU"/>
              </w:rPr>
              <w:t>Stakeholder engagement</w:t>
            </w:r>
          </w:p>
        </w:tc>
        <w:tc>
          <w:tcPr>
            <w:tcW w:w="4819" w:type="dxa"/>
          </w:tcPr>
          <w:p w14:paraId="6D1BF1B4" w14:textId="77777777" w:rsidR="00FD41B0" w:rsidRPr="00CF7CB1" w:rsidRDefault="00FD41B0" w:rsidP="00FD41B0">
            <w:pPr>
              <w:spacing w:after="120"/>
              <w:rPr>
                <w:lang w:val="en-AU"/>
              </w:rPr>
            </w:pPr>
            <w:r w:rsidRPr="00CF7CB1">
              <w:rPr>
                <w:lang w:val="en-AU"/>
              </w:rPr>
              <w:t>The MERI links the program logic to the national priorities of partner countries and regional development initiatives and as far as possible seeks to align with existing strategic plans and monitoring arrangements.</w:t>
            </w:r>
          </w:p>
        </w:tc>
        <w:tc>
          <w:tcPr>
            <w:tcW w:w="2075" w:type="dxa"/>
          </w:tcPr>
          <w:p w14:paraId="64146A91" w14:textId="77777777" w:rsidR="00FD41B0" w:rsidRPr="00CF7CB1" w:rsidRDefault="00FD41B0" w:rsidP="00FD41B0">
            <w:pPr>
              <w:spacing w:after="120"/>
              <w:rPr>
                <w:lang w:val="en-AU"/>
              </w:rPr>
            </w:pPr>
            <w:r w:rsidRPr="00CF7CB1">
              <w:rPr>
                <w:lang w:val="en-AU"/>
              </w:rPr>
              <w:t>2014-2015 Strategic Plan</w:t>
            </w:r>
          </w:p>
        </w:tc>
      </w:tr>
      <w:tr w:rsidR="00FD41B0" w:rsidRPr="00CF7CB1" w14:paraId="6BBF483B" w14:textId="77777777" w:rsidTr="008F6A06">
        <w:tc>
          <w:tcPr>
            <w:tcW w:w="1980" w:type="dxa"/>
          </w:tcPr>
          <w:p w14:paraId="59DC9EFB" w14:textId="77777777" w:rsidR="00FD41B0" w:rsidRPr="00CF7CB1" w:rsidRDefault="00FD41B0" w:rsidP="00FD41B0">
            <w:pPr>
              <w:spacing w:after="120"/>
              <w:rPr>
                <w:b/>
                <w:lang w:val="en-AU"/>
              </w:rPr>
            </w:pPr>
            <w:r w:rsidRPr="00CF7CB1">
              <w:rPr>
                <w:b/>
                <w:lang w:val="en-AU"/>
              </w:rPr>
              <w:t>Informs program improvement</w:t>
            </w:r>
          </w:p>
        </w:tc>
        <w:tc>
          <w:tcPr>
            <w:tcW w:w="4819" w:type="dxa"/>
          </w:tcPr>
          <w:p w14:paraId="7FCBDA9F" w14:textId="77777777" w:rsidR="00FD41B0" w:rsidRPr="00CF7CB1" w:rsidRDefault="00FD41B0" w:rsidP="00FD41B0">
            <w:pPr>
              <w:spacing w:after="120"/>
              <w:rPr>
                <w:lang w:val="en-AU"/>
              </w:rPr>
            </w:pPr>
            <w:r w:rsidRPr="00CF7CB1">
              <w:rPr>
                <w:lang w:val="en-AU"/>
              </w:rPr>
              <w:t>The MERI is designed to be a flexible and adaptive system that is able to respond to changes in stakeholder priorities and in the operating environment.</w:t>
            </w:r>
          </w:p>
        </w:tc>
        <w:tc>
          <w:tcPr>
            <w:tcW w:w="2075" w:type="dxa"/>
          </w:tcPr>
          <w:p w14:paraId="4A8F04FD" w14:textId="77777777" w:rsidR="00FD41B0" w:rsidRPr="00CF7CB1" w:rsidRDefault="00C348AE" w:rsidP="00C348AE">
            <w:pPr>
              <w:spacing w:after="120"/>
              <w:rPr>
                <w:lang w:val="en-AU"/>
              </w:rPr>
            </w:pPr>
            <w:r w:rsidRPr="00CF7CB1">
              <w:rPr>
                <w:lang w:val="en-AU"/>
              </w:rPr>
              <w:t>2014-2015 Strategic Plan</w:t>
            </w:r>
          </w:p>
        </w:tc>
      </w:tr>
      <w:tr w:rsidR="00FD41B0" w:rsidRPr="00CF7CB1" w14:paraId="65192120" w14:textId="77777777" w:rsidTr="008F6A06">
        <w:tc>
          <w:tcPr>
            <w:tcW w:w="1980" w:type="dxa"/>
          </w:tcPr>
          <w:p w14:paraId="2442F5F9" w14:textId="77777777" w:rsidR="00FD41B0" w:rsidRPr="00CF7CB1" w:rsidRDefault="00C348AE" w:rsidP="00C348AE">
            <w:pPr>
              <w:spacing w:after="120"/>
              <w:rPr>
                <w:b/>
                <w:lang w:val="en-AU"/>
              </w:rPr>
            </w:pPr>
            <w:r w:rsidRPr="00CF7CB1">
              <w:rPr>
                <w:b/>
                <w:lang w:val="en-AU"/>
              </w:rPr>
              <w:t>Contributes to public knowledge</w:t>
            </w:r>
          </w:p>
        </w:tc>
        <w:tc>
          <w:tcPr>
            <w:tcW w:w="4819" w:type="dxa"/>
          </w:tcPr>
          <w:p w14:paraId="37E312B8" w14:textId="77777777" w:rsidR="006E5D93" w:rsidRPr="00CF7CB1" w:rsidRDefault="006E5D93" w:rsidP="006E5D93">
            <w:pPr>
              <w:spacing w:after="120"/>
              <w:rPr>
                <w:lang w:val="en-AU"/>
              </w:rPr>
            </w:pPr>
            <w:r w:rsidRPr="00CF7CB1">
              <w:rPr>
                <w:lang w:val="en-AU"/>
              </w:rPr>
              <w:t>The MERI sets out plans to distribute reports to a wide range of stakeholders. Program reporting suggests that there is a high degree of cooperation between PHAMA and other programs and this is supported by frequent references to PHAMA in documentation produced by programs such as PARDI. While the programs clearly work together, reporting does not detail how or to what extent they have learned from each other.</w:t>
            </w:r>
          </w:p>
          <w:p w14:paraId="1D51FEB4" w14:textId="77777777" w:rsidR="00FD41B0" w:rsidRPr="00CF7CB1" w:rsidRDefault="006E5D93" w:rsidP="006E5D93">
            <w:pPr>
              <w:spacing w:after="120"/>
              <w:rPr>
                <w:lang w:val="en-AU"/>
              </w:rPr>
            </w:pPr>
            <w:r w:rsidRPr="00CF7CB1">
              <w:rPr>
                <w:lang w:val="en-AU"/>
              </w:rPr>
              <w:t>URS prepared a submission to the Joint Standing Committee on Foreign Affairs Defence and Trade which drew on some of the lessons learnt from implementing PHAMA.</w:t>
            </w:r>
          </w:p>
        </w:tc>
        <w:tc>
          <w:tcPr>
            <w:tcW w:w="2075" w:type="dxa"/>
          </w:tcPr>
          <w:p w14:paraId="6DA4FB68" w14:textId="77777777" w:rsidR="006E5D93" w:rsidRPr="00CF7CB1" w:rsidRDefault="006E5D93" w:rsidP="006E5D93">
            <w:pPr>
              <w:spacing w:after="120"/>
              <w:rPr>
                <w:lang w:val="en-AU"/>
              </w:rPr>
            </w:pPr>
            <w:r w:rsidRPr="00CF7CB1">
              <w:rPr>
                <w:lang w:val="en-AU"/>
              </w:rPr>
              <w:t>2014-2015 Strategic Plan</w:t>
            </w:r>
          </w:p>
          <w:p w14:paraId="6D4DB193" w14:textId="77777777" w:rsidR="006E5D93" w:rsidRPr="00CF7CB1" w:rsidRDefault="006E5D93" w:rsidP="006E5D93">
            <w:pPr>
              <w:spacing w:after="120"/>
              <w:rPr>
                <w:lang w:val="en-AU"/>
              </w:rPr>
            </w:pPr>
            <w:r w:rsidRPr="00CF7CB1">
              <w:rPr>
                <w:lang w:val="en-AU"/>
              </w:rPr>
              <w:t>6-Monthly Progress Report, Dec 2014</w:t>
            </w:r>
          </w:p>
          <w:p w14:paraId="58A24AB7" w14:textId="77777777" w:rsidR="00FD41B0" w:rsidRPr="00CF7CB1" w:rsidRDefault="006E5D93" w:rsidP="006E5D93">
            <w:pPr>
              <w:spacing w:after="120"/>
              <w:rPr>
                <w:lang w:val="en-AU"/>
              </w:rPr>
            </w:pPr>
            <w:r w:rsidRPr="00CF7CB1">
              <w:rPr>
                <w:lang w:val="en-AU"/>
              </w:rPr>
              <w:t>URS submission to the inquiry into the role of the private sector in promoting economic growth and reducing poverty in the Asia-Pacific region, 2014</w:t>
            </w:r>
          </w:p>
        </w:tc>
      </w:tr>
    </w:tbl>
    <w:p w14:paraId="1018AFE1" w14:textId="77777777" w:rsidR="003B5312" w:rsidRPr="00CF7CB1" w:rsidRDefault="003B5312" w:rsidP="00AC795A">
      <w:pPr>
        <w:pStyle w:val="Heading3"/>
        <w:rPr>
          <w:lang w:val="en-AU"/>
        </w:rPr>
      </w:pPr>
      <w:r w:rsidRPr="00CF7CB1">
        <w:rPr>
          <w:lang w:val="en-AU"/>
        </w:rPr>
        <w:t>PACER Plus</w:t>
      </w:r>
    </w:p>
    <w:p w14:paraId="1E2009C1" w14:textId="77777777" w:rsidR="003B5312" w:rsidRPr="00CF7CB1" w:rsidRDefault="003B5312" w:rsidP="00337BCF">
      <w:pPr>
        <w:spacing w:after="120"/>
        <w:rPr>
          <w:lang w:val="en-AU"/>
        </w:rPr>
      </w:pPr>
      <w:r w:rsidRPr="00CF7CB1">
        <w:rPr>
          <w:lang w:val="en-AU"/>
        </w:rPr>
        <w:t>The program documentation relating to Pacer Plus that has been made available to the evaluation team does not provide any information</w:t>
      </w:r>
      <w:r w:rsidR="004A2AFA">
        <w:rPr>
          <w:lang w:val="en-AU"/>
        </w:rPr>
        <w:t xml:space="preserve"> relating to M&amp;E systems or per</w:t>
      </w:r>
      <w:r w:rsidRPr="00CF7CB1">
        <w:rPr>
          <w:lang w:val="en-AU"/>
        </w:rPr>
        <w:t>formance assessment.</w:t>
      </w:r>
    </w:p>
    <w:tbl>
      <w:tblPr>
        <w:tblStyle w:val="TableGrid"/>
        <w:tblW w:w="0" w:type="auto"/>
        <w:tblLook w:val="04A0" w:firstRow="1" w:lastRow="0" w:firstColumn="1" w:lastColumn="0" w:noHBand="0" w:noVBand="1"/>
        <w:tblCaption w:val="PACER Plus M&amp;E system "/>
        <w:tblDescription w:val="This table includes comments on the M&amp;E system for the PACER Plus program for stakeholder engagement and informs program improvement criteria. The information was obtained from the field work. There was no information available for the other criteria. There are no sources listed."/>
      </w:tblPr>
      <w:tblGrid>
        <w:gridCol w:w="1980"/>
        <w:gridCol w:w="4819"/>
        <w:gridCol w:w="2075"/>
      </w:tblGrid>
      <w:tr w:rsidR="00AC795A" w:rsidRPr="00CF7CB1" w14:paraId="1EDC896E" w14:textId="77777777" w:rsidTr="00CF1275">
        <w:trPr>
          <w:tblHeader/>
        </w:trPr>
        <w:tc>
          <w:tcPr>
            <w:tcW w:w="1980" w:type="dxa"/>
          </w:tcPr>
          <w:p w14:paraId="4E2301BC" w14:textId="77777777" w:rsidR="00AC795A" w:rsidRPr="00CF7CB1" w:rsidRDefault="00AC795A" w:rsidP="00AC795A">
            <w:pPr>
              <w:pStyle w:val="Tableheader"/>
              <w:rPr>
                <w:lang w:val="en-AU"/>
              </w:rPr>
            </w:pPr>
            <w:r w:rsidRPr="00CF7CB1">
              <w:rPr>
                <w:lang w:val="en-AU"/>
              </w:rPr>
              <w:t>Characteristic</w:t>
            </w:r>
          </w:p>
        </w:tc>
        <w:tc>
          <w:tcPr>
            <w:tcW w:w="4819" w:type="dxa"/>
          </w:tcPr>
          <w:p w14:paraId="30067439" w14:textId="77777777" w:rsidR="00AC795A" w:rsidRPr="00CF7CB1" w:rsidRDefault="00AC795A" w:rsidP="00AC795A">
            <w:pPr>
              <w:pStyle w:val="Tableheader"/>
              <w:rPr>
                <w:lang w:val="en-AU"/>
              </w:rPr>
            </w:pPr>
            <w:r w:rsidRPr="00CF7CB1">
              <w:rPr>
                <w:lang w:val="en-AU"/>
              </w:rPr>
              <w:t>Comment</w:t>
            </w:r>
          </w:p>
        </w:tc>
        <w:tc>
          <w:tcPr>
            <w:tcW w:w="2075" w:type="dxa"/>
          </w:tcPr>
          <w:p w14:paraId="02A569E8" w14:textId="77777777" w:rsidR="00AC795A" w:rsidRPr="00CF7CB1" w:rsidRDefault="00AC795A" w:rsidP="00AC795A">
            <w:pPr>
              <w:pStyle w:val="Tableheader"/>
              <w:rPr>
                <w:lang w:val="en-AU"/>
              </w:rPr>
            </w:pPr>
            <w:r w:rsidRPr="00CF7CB1">
              <w:rPr>
                <w:lang w:val="en-AU"/>
              </w:rPr>
              <w:t>Source</w:t>
            </w:r>
          </w:p>
        </w:tc>
      </w:tr>
      <w:tr w:rsidR="00AC795A" w:rsidRPr="00CF7CB1" w14:paraId="4F1A4650" w14:textId="77777777" w:rsidTr="00AC795A">
        <w:tc>
          <w:tcPr>
            <w:tcW w:w="1980" w:type="dxa"/>
          </w:tcPr>
          <w:p w14:paraId="0D90F185" w14:textId="77777777" w:rsidR="00AC795A" w:rsidRPr="00CF7CB1" w:rsidRDefault="00AC795A" w:rsidP="00AC795A">
            <w:pPr>
              <w:rPr>
                <w:b/>
                <w:lang w:val="en-AU"/>
              </w:rPr>
            </w:pPr>
            <w:r w:rsidRPr="00CF7CB1">
              <w:rPr>
                <w:b/>
                <w:lang w:val="en-AU"/>
              </w:rPr>
              <w:t>Results chains</w:t>
            </w:r>
          </w:p>
        </w:tc>
        <w:tc>
          <w:tcPr>
            <w:tcW w:w="4819" w:type="dxa"/>
          </w:tcPr>
          <w:p w14:paraId="0C8E3A69" w14:textId="77777777" w:rsidR="00AC795A" w:rsidRPr="00CF7CB1" w:rsidRDefault="00AC795A" w:rsidP="00AC795A">
            <w:pPr>
              <w:rPr>
                <w:lang w:val="en-AU"/>
              </w:rPr>
            </w:pPr>
            <w:r w:rsidRPr="00CF7CB1">
              <w:rPr>
                <w:lang w:val="en-AU"/>
              </w:rPr>
              <w:t>No information available to date.</w:t>
            </w:r>
          </w:p>
        </w:tc>
        <w:tc>
          <w:tcPr>
            <w:tcW w:w="2075" w:type="dxa"/>
          </w:tcPr>
          <w:p w14:paraId="47637F5F" w14:textId="77777777" w:rsidR="00AC795A" w:rsidRPr="00CF7CB1" w:rsidRDefault="00AC795A" w:rsidP="00AC795A">
            <w:pPr>
              <w:rPr>
                <w:lang w:val="en-AU"/>
              </w:rPr>
            </w:pPr>
          </w:p>
        </w:tc>
      </w:tr>
      <w:tr w:rsidR="00AC795A" w:rsidRPr="00CF7CB1" w14:paraId="04C1E204" w14:textId="77777777" w:rsidTr="00AC795A">
        <w:tc>
          <w:tcPr>
            <w:tcW w:w="1980" w:type="dxa"/>
          </w:tcPr>
          <w:p w14:paraId="3E084CFF" w14:textId="77777777" w:rsidR="00AC795A" w:rsidRPr="00CF7CB1" w:rsidRDefault="00AC795A" w:rsidP="00AC795A">
            <w:pPr>
              <w:rPr>
                <w:b/>
                <w:lang w:val="en-AU"/>
              </w:rPr>
            </w:pPr>
            <w:r w:rsidRPr="00CF7CB1">
              <w:rPr>
                <w:b/>
                <w:lang w:val="en-AU"/>
              </w:rPr>
              <w:t>Realistic objectives</w:t>
            </w:r>
          </w:p>
        </w:tc>
        <w:tc>
          <w:tcPr>
            <w:tcW w:w="4819" w:type="dxa"/>
          </w:tcPr>
          <w:p w14:paraId="5F7E959F" w14:textId="77777777" w:rsidR="00AC795A" w:rsidRPr="00CF7CB1" w:rsidRDefault="00AC795A" w:rsidP="00AC795A">
            <w:pPr>
              <w:rPr>
                <w:lang w:val="en-AU"/>
              </w:rPr>
            </w:pPr>
            <w:r w:rsidRPr="00CF7CB1">
              <w:rPr>
                <w:lang w:val="en-AU"/>
              </w:rPr>
              <w:t>No information available to date.</w:t>
            </w:r>
          </w:p>
        </w:tc>
        <w:tc>
          <w:tcPr>
            <w:tcW w:w="2075" w:type="dxa"/>
          </w:tcPr>
          <w:p w14:paraId="163EDD70" w14:textId="77777777" w:rsidR="00AC795A" w:rsidRPr="00CF7CB1" w:rsidRDefault="00AC795A" w:rsidP="00AC795A">
            <w:pPr>
              <w:rPr>
                <w:lang w:val="en-AU"/>
              </w:rPr>
            </w:pPr>
          </w:p>
        </w:tc>
      </w:tr>
      <w:tr w:rsidR="00AC795A" w:rsidRPr="00CF7CB1" w14:paraId="1AFE110E" w14:textId="77777777" w:rsidTr="00AC795A">
        <w:tc>
          <w:tcPr>
            <w:tcW w:w="1980" w:type="dxa"/>
          </w:tcPr>
          <w:p w14:paraId="1D085C24" w14:textId="77777777" w:rsidR="00AC795A" w:rsidRPr="00CF7CB1" w:rsidRDefault="00AC795A" w:rsidP="00AC795A">
            <w:pPr>
              <w:rPr>
                <w:b/>
                <w:lang w:val="en-AU"/>
              </w:rPr>
            </w:pPr>
            <w:r w:rsidRPr="00CF7CB1">
              <w:rPr>
                <w:b/>
                <w:lang w:val="en-AU"/>
              </w:rPr>
              <w:t>Baseline data</w:t>
            </w:r>
          </w:p>
        </w:tc>
        <w:tc>
          <w:tcPr>
            <w:tcW w:w="4819" w:type="dxa"/>
          </w:tcPr>
          <w:p w14:paraId="64C39CC1" w14:textId="77777777" w:rsidR="00AC795A" w:rsidRPr="00CF7CB1" w:rsidRDefault="00AC795A" w:rsidP="00AC795A">
            <w:pPr>
              <w:rPr>
                <w:lang w:val="en-AU"/>
              </w:rPr>
            </w:pPr>
            <w:r w:rsidRPr="00CF7CB1">
              <w:rPr>
                <w:lang w:val="en-AU"/>
              </w:rPr>
              <w:t>No information available to date.</w:t>
            </w:r>
          </w:p>
        </w:tc>
        <w:tc>
          <w:tcPr>
            <w:tcW w:w="2075" w:type="dxa"/>
          </w:tcPr>
          <w:p w14:paraId="3F61837C" w14:textId="77777777" w:rsidR="00AC795A" w:rsidRPr="00CF7CB1" w:rsidRDefault="00AC795A" w:rsidP="00AC795A">
            <w:pPr>
              <w:rPr>
                <w:lang w:val="en-AU"/>
              </w:rPr>
            </w:pPr>
          </w:p>
        </w:tc>
      </w:tr>
      <w:tr w:rsidR="00AC795A" w:rsidRPr="00CF7CB1" w14:paraId="2F92CC01" w14:textId="77777777" w:rsidTr="00AC795A">
        <w:tc>
          <w:tcPr>
            <w:tcW w:w="1980" w:type="dxa"/>
          </w:tcPr>
          <w:p w14:paraId="1FE0F3DF" w14:textId="77777777" w:rsidR="00AC795A" w:rsidRPr="00CF7CB1" w:rsidRDefault="00AC795A" w:rsidP="00AC795A">
            <w:pPr>
              <w:rPr>
                <w:b/>
                <w:lang w:val="en-AU"/>
              </w:rPr>
            </w:pPr>
            <w:r w:rsidRPr="00CF7CB1">
              <w:rPr>
                <w:b/>
                <w:lang w:val="en-AU"/>
              </w:rPr>
              <w:t>Indicators</w:t>
            </w:r>
          </w:p>
        </w:tc>
        <w:tc>
          <w:tcPr>
            <w:tcW w:w="4819" w:type="dxa"/>
          </w:tcPr>
          <w:p w14:paraId="13F864D1" w14:textId="77777777" w:rsidR="00AC795A" w:rsidRPr="00CF7CB1" w:rsidRDefault="00AC795A" w:rsidP="00AC795A">
            <w:pPr>
              <w:rPr>
                <w:lang w:val="en-AU"/>
              </w:rPr>
            </w:pPr>
            <w:r w:rsidRPr="00CF7CB1">
              <w:rPr>
                <w:lang w:val="en-AU"/>
              </w:rPr>
              <w:t>No information available to date.</w:t>
            </w:r>
          </w:p>
        </w:tc>
        <w:tc>
          <w:tcPr>
            <w:tcW w:w="2075" w:type="dxa"/>
          </w:tcPr>
          <w:p w14:paraId="3B405F3F" w14:textId="77777777" w:rsidR="00AC795A" w:rsidRPr="00CF7CB1" w:rsidRDefault="00AC795A" w:rsidP="00AC795A">
            <w:pPr>
              <w:rPr>
                <w:lang w:val="en-AU"/>
              </w:rPr>
            </w:pPr>
          </w:p>
        </w:tc>
      </w:tr>
      <w:tr w:rsidR="00AC795A" w:rsidRPr="00CF7CB1" w14:paraId="73C0C00F" w14:textId="77777777" w:rsidTr="00AC795A">
        <w:tc>
          <w:tcPr>
            <w:tcW w:w="1980" w:type="dxa"/>
          </w:tcPr>
          <w:p w14:paraId="2DA90D38" w14:textId="77777777" w:rsidR="00AC795A" w:rsidRPr="00CF7CB1" w:rsidRDefault="00AC795A" w:rsidP="00AC795A">
            <w:pPr>
              <w:rPr>
                <w:b/>
                <w:lang w:val="en-AU"/>
              </w:rPr>
            </w:pPr>
            <w:r w:rsidRPr="00CF7CB1">
              <w:rPr>
                <w:b/>
                <w:lang w:val="en-AU"/>
              </w:rPr>
              <w:t>Range of methods</w:t>
            </w:r>
          </w:p>
        </w:tc>
        <w:tc>
          <w:tcPr>
            <w:tcW w:w="4819" w:type="dxa"/>
          </w:tcPr>
          <w:p w14:paraId="496CE26D" w14:textId="77777777" w:rsidR="00AC795A" w:rsidRPr="00CF7CB1" w:rsidRDefault="00AC795A" w:rsidP="00AC795A">
            <w:pPr>
              <w:rPr>
                <w:lang w:val="en-AU"/>
              </w:rPr>
            </w:pPr>
            <w:r w:rsidRPr="00CF7CB1">
              <w:rPr>
                <w:lang w:val="en-AU"/>
              </w:rPr>
              <w:t>No information available to date.</w:t>
            </w:r>
          </w:p>
        </w:tc>
        <w:tc>
          <w:tcPr>
            <w:tcW w:w="2075" w:type="dxa"/>
          </w:tcPr>
          <w:p w14:paraId="71375B91" w14:textId="77777777" w:rsidR="00AC795A" w:rsidRPr="00CF7CB1" w:rsidRDefault="00AC795A" w:rsidP="00AC795A">
            <w:pPr>
              <w:rPr>
                <w:lang w:val="en-AU"/>
              </w:rPr>
            </w:pPr>
          </w:p>
        </w:tc>
      </w:tr>
      <w:tr w:rsidR="00AC795A" w:rsidRPr="00CF7CB1" w14:paraId="008ADAF2" w14:textId="77777777" w:rsidTr="00AC795A">
        <w:tc>
          <w:tcPr>
            <w:tcW w:w="1980" w:type="dxa"/>
          </w:tcPr>
          <w:p w14:paraId="4494FF5A" w14:textId="77777777" w:rsidR="00AC795A" w:rsidRPr="00CF7CB1" w:rsidRDefault="00AC795A" w:rsidP="00AC795A">
            <w:pPr>
              <w:rPr>
                <w:b/>
                <w:lang w:val="en-AU"/>
              </w:rPr>
            </w:pPr>
            <w:r w:rsidRPr="00CF7CB1">
              <w:rPr>
                <w:b/>
                <w:lang w:val="en-AU"/>
              </w:rPr>
              <w:t>International measures</w:t>
            </w:r>
          </w:p>
        </w:tc>
        <w:tc>
          <w:tcPr>
            <w:tcW w:w="4819" w:type="dxa"/>
          </w:tcPr>
          <w:p w14:paraId="2314FBEF" w14:textId="77777777" w:rsidR="00AC795A" w:rsidRPr="00CF7CB1" w:rsidRDefault="00AC795A" w:rsidP="00AC795A">
            <w:pPr>
              <w:rPr>
                <w:lang w:val="en-AU"/>
              </w:rPr>
            </w:pPr>
            <w:r w:rsidRPr="00CF7CB1">
              <w:rPr>
                <w:lang w:val="en-AU"/>
              </w:rPr>
              <w:t>No information available to date.</w:t>
            </w:r>
          </w:p>
        </w:tc>
        <w:tc>
          <w:tcPr>
            <w:tcW w:w="2075" w:type="dxa"/>
          </w:tcPr>
          <w:p w14:paraId="7711CA4D" w14:textId="77777777" w:rsidR="00AC795A" w:rsidRPr="00CF7CB1" w:rsidRDefault="00AC795A" w:rsidP="00AC795A">
            <w:pPr>
              <w:rPr>
                <w:lang w:val="en-AU"/>
              </w:rPr>
            </w:pPr>
          </w:p>
        </w:tc>
      </w:tr>
      <w:tr w:rsidR="00AC795A" w:rsidRPr="00CF7CB1" w14:paraId="5B67D7FB" w14:textId="77777777" w:rsidTr="00AC795A">
        <w:tc>
          <w:tcPr>
            <w:tcW w:w="1980" w:type="dxa"/>
          </w:tcPr>
          <w:p w14:paraId="69FE29D6" w14:textId="77777777" w:rsidR="00AC795A" w:rsidRPr="00CF7CB1" w:rsidRDefault="00AC795A" w:rsidP="00AC795A">
            <w:pPr>
              <w:rPr>
                <w:b/>
                <w:lang w:val="en-AU"/>
              </w:rPr>
            </w:pPr>
            <w:r w:rsidRPr="00CF7CB1">
              <w:rPr>
                <w:b/>
                <w:lang w:val="en-AU"/>
              </w:rPr>
              <w:t>Contextual factors</w:t>
            </w:r>
          </w:p>
        </w:tc>
        <w:tc>
          <w:tcPr>
            <w:tcW w:w="4819" w:type="dxa"/>
          </w:tcPr>
          <w:p w14:paraId="5697F239" w14:textId="77777777" w:rsidR="00AC795A" w:rsidRPr="00CF7CB1" w:rsidRDefault="00AC795A" w:rsidP="00AC795A">
            <w:pPr>
              <w:rPr>
                <w:lang w:val="en-AU"/>
              </w:rPr>
            </w:pPr>
            <w:r w:rsidRPr="00CF7CB1">
              <w:rPr>
                <w:lang w:val="en-AU"/>
              </w:rPr>
              <w:t>No information available to date.</w:t>
            </w:r>
          </w:p>
        </w:tc>
        <w:tc>
          <w:tcPr>
            <w:tcW w:w="2075" w:type="dxa"/>
          </w:tcPr>
          <w:p w14:paraId="1E346733" w14:textId="77777777" w:rsidR="00AC795A" w:rsidRPr="00CF7CB1" w:rsidRDefault="00AC795A" w:rsidP="00AC795A">
            <w:pPr>
              <w:rPr>
                <w:lang w:val="en-AU"/>
              </w:rPr>
            </w:pPr>
          </w:p>
        </w:tc>
      </w:tr>
      <w:tr w:rsidR="00AC795A" w:rsidRPr="00CF7CB1" w14:paraId="380B78D5" w14:textId="77777777" w:rsidTr="00AC795A">
        <w:tc>
          <w:tcPr>
            <w:tcW w:w="1980" w:type="dxa"/>
          </w:tcPr>
          <w:p w14:paraId="39D5AAD3" w14:textId="77777777" w:rsidR="00AC795A" w:rsidRPr="00CF7CB1" w:rsidRDefault="00AC795A" w:rsidP="00AC795A">
            <w:pPr>
              <w:rPr>
                <w:b/>
                <w:lang w:val="en-AU"/>
              </w:rPr>
            </w:pPr>
            <w:r w:rsidRPr="00CF7CB1">
              <w:rPr>
                <w:b/>
                <w:lang w:val="en-AU"/>
              </w:rPr>
              <w:t>Stakeholder Engagement</w:t>
            </w:r>
          </w:p>
        </w:tc>
        <w:tc>
          <w:tcPr>
            <w:tcW w:w="4819" w:type="dxa"/>
          </w:tcPr>
          <w:p w14:paraId="5507370B" w14:textId="77777777" w:rsidR="00AC795A" w:rsidRPr="00CF7CB1" w:rsidRDefault="00AC795A" w:rsidP="00AC795A">
            <w:pPr>
              <w:rPr>
                <w:lang w:val="en-AU"/>
              </w:rPr>
            </w:pPr>
            <w:r w:rsidRPr="00CF7CB1">
              <w:rPr>
                <w:lang w:val="en-AU"/>
              </w:rPr>
              <w:t>No information available to date although it was noted during field work that the program engages well with stakeholders, but to a limited extent on performance issues.</w:t>
            </w:r>
          </w:p>
        </w:tc>
        <w:tc>
          <w:tcPr>
            <w:tcW w:w="2075" w:type="dxa"/>
          </w:tcPr>
          <w:p w14:paraId="10D78B66" w14:textId="77777777" w:rsidR="00AC795A" w:rsidRPr="00CF7CB1" w:rsidRDefault="00AC795A" w:rsidP="00AC795A">
            <w:pPr>
              <w:rPr>
                <w:lang w:val="en-AU"/>
              </w:rPr>
            </w:pPr>
          </w:p>
        </w:tc>
      </w:tr>
    </w:tbl>
    <w:p w14:paraId="2B2766BC" w14:textId="77777777" w:rsidR="003B5312" w:rsidRPr="00CF7CB1" w:rsidRDefault="003B5312" w:rsidP="00F727BB">
      <w:pPr>
        <w:pStyle w:val="Heading3"/>
        <w:rPr>
          <w:lang w:val="en-AU"/>
        </w:rPr>
      </w:pPr>
      <w:r w:rsidRPr="00CF7CB1">
        <w:rPr>
          <w:lang w:val="en-AU"/>
        </w:rPr>
        <w:t>TDF-2</w:t>
      </w:r>
    </w:p>
    <w:p w14:paraId="219D0E98" w14:textId="77777777" w:rsidR="003B5312" w:rsidRPr="00CF7CB1" w:rsidRDefault="003B5312" w:rsidP="00337BCF">
      <w:pPr>
        <w:spacing w:after="120"/>
        <w:rPr>
          <w:lang w:val="en-AU"/>
        </w:rPr>
      </w:pPr>
      <w:r w:rsidRPr="00CF7CB1">
        <w:rPr>
          <w:lang w:val="en-AU"/>
        </w:rPr>
        <w:t xml:space="preserve">The evaluation examined over 23 TDF project documents—most of the information on the M&amp;E system and approach was drawn from the project appraisal and results framework. There were also some details provided on M&amp;E approaches in individual program documents such as the inception report for developing the regulatory and supervisory framework for the </w:t>
      </w:r>
      <w:r w:rsidR="00F727BB" w:rsidRPr="00CF7CB1">
        <w:rPr>
          <w:lang w:val="en-AU"/>
        </w:rPr>
        <w:t>insurance sector</w:t>
      </w:r>
      <w:r w:rsidRPr="00CF7CB1">
        <w:rPr>
          <w:lang w:val="en-AU"/>
        </w:rPr>
        <w:t>, however these generally did not link the overarching results framework.</w:t>
      </w:r>
    </w:p>
    <w:p w14:paraId="21459DF6" w14:textId="77777777" w:rsidR="003B5312" w:rsidRPr="00CF7CB1" w:rsidRDefault="003B5312" w:rsidP="00337BCF">
      <w:pPr>
        <w:spacing w:after="120"/>
        <w:rPr>
          <w:lang w:val="en-AU"/>
        </w:rPr>
      </w:pPr>
      <w:r w:rsidRPr="00CF7CB1">
        <w:rPr>
          <w:lang w:val="en-AU"/>
        </w:rPr>
        <w:t>There was no M&amp;E Plan available at the time of writing which detailed how the M&amp;E and</w:t>
      </w:r>
      <w:r w:rsidR="00F727BB" w:rsidRPr="00CF7CB1">
        <w:rPr>
          <w:lang w:val="en-AU"/>
        </w:rPr>
        <w:t xml:space="preserve"> </w:t>
      </w:r>
      <w:r w:rsidRPr="00CF7CB1">
        <w:rPr>
          <w:lang w:val="en-AU"/>
        </w:rPr>
        <w:t>performance assessment would be undertaken ie data collection, collation, storage, analysis  and reporting. The mid-term review of the program carried out in 2015 raised a number of concerns with the progr</w:t>
      </w:r>
      <w:r w:rsidR="00F727BB" w:rsidRPr="00CF7CB1">
        <w:rPr>
          <w:lang w:val="en-AU"/>
        </w:rPr>
        <w:t xml:space="preserve">am M&amp;E which were welcomed by </w:t>
      </w:r>
      <w:r w:rsidRPr="00CF7CB1">
        <w:rPr>
          <w:lang w:val="en-AU"/>
        </w:rPr>
        <w:t>DFAT</w:t>
      </w:r>
      <w:r w:rsidR="00F727BB" w:rsidRPr="00CF7CB1">
        <w:rPr>
          <w:lang w:val="en-AU"/>
        </w:rPr>
        <w:t>, namely</w:t>
      </w:r>
      <w:r w:rsidRPr="00CF7CB1">
        <w:rPr>
          <w:lang w:val="en-AU"/>
        </w:rPr>
        <w:t>:</w:t>
      </w:r>
    </w:p>
    <w:p w14:paraId="06C99773" w14:textId="77777777" w:rsidR="003B5312" w:rsidRPr="00CF7CB1" w:rsidRDefault="003B5312" w:rsidP="00BC5572">
      <w:pPr>
        <w:pStyle w:val="ListParagraph"/>
        <w:numPr>
          <w:ilvl w:val="0"/>
          <w:numId w:val="35"/>
        </w:numPr>
        <w:spacing w:after="120"/>
        <w:rPr>
          <w:lang w:val="en-AU"/>
        </w:rPr>
      </w:pPr>
      <w:r w:rsidRPr="00CF7CB1">
        <w:rPr>
          <w:lang w:val="en-AU"/>
        </w:rPr>
        <w:t xml:space="preserve">‘The performance framework does not hold the project accountable </w:t>
      </w:r>
      <w:r w:rsidR="00F727BB" w:rsidRPr="00CF7CB1">
        <w:rPr>
          <w:lang w:val="en-AU"/>
        </w:rPr>
        <w:t xml:space="preserve">for lack of progress on reform passage </w:t>
      </w:r>
      <w:r w:rsidRPr="00CF7CB1">
        <w:rPr>
          <w:lang w:val="en-AU"/>
        </w:rPr>
        <w:t>and implementation.</w:t>
      </w:r>
    </w:p>
    <w:p w14:paraId="7EC3C947" w14:textId="77777777" w:rsidR="003B5312" w:rsidRPr="00CF7CB1" w:rsidRDefault="003B5312" w:rsidP="00BC5572">
      <w:pPr>
        <w:pStyle w:val="ListParagraph"/>
        <w:numPr>
          <w:ilvl w:val="0"/>
          <w:numId w:val="35"/>
        </w:numPr>
        <w:spacing w:after="120"/>
        <w:rPr>
          <w:lang w:val="en-AU"/>
        </w:rPr>
      </w:pPr>
      <w:r w:rsidRPr="00CF7CB1">
        <w:rPr>
          <w:lang w:val="en-AU"/>
        </w:rPr>
        <w:t>The framework currently focuses too heavily on process and non-meaningful outputs, and therefore is not well placed to capture development impact going forward.</w:t>
      </w:r>
    </w:p>
    <w:p w14:paraId="380D92F8" w14:textId="77777777" w:rsidR="003B5312" w:rsidRPr="00CF7CB1" w:rsidRDefault="003B5312" w:rsidP="00BC5572">
      <w:pPr>
        <w:pStyle w:val="ListParagraph"/>
        <w:numPr>
          <w:ilvl w:val="0"/>
          <w:numId w:val="35"/>
        </w:numPr>
        <w:spacing w:after="120"/>
        <w:rPr>
          <w:lang w:val="en-AU"/>
        </w:rPr>
      </w:pPr>
      <w:r w:rsidRPr="00CF7CB1">
        <w:rPr>
          <w:lang w:val="en-AU"/>
        </w:rPr>
        <w:t>The aim of TDF-2 is trade facilitation but the overall project development level indicator currently captures customs clearing time but not trade facilitated.</w:t>
      </w:r>
    </w:p>
    <w:p w14:paraId="7BCBF667" w14:textId="77777777" w:rsidR="003B5312" w:rsidRPr="00CF7CB1" w:rsidRDefault="003B5312" w:rsidP="00337BCF">
      <w:pPr>
        <w:spacing w:after="120"/>
        <w:rPr>
          <w:lang w:val="en-AU"/>
        </w:rPr>
      </w:pPr>
      <w:r w:rsidRPr="00CF7CB1">
        <w:rPr>
          <w:lang w:val="en-AU"/>
        </w:rPr>
        <w:t>The TDF-2 is said to have a pro-poor orientation, yet available documentation does not clarify strategies that are utilised to implement these pro-poor focus or</w:t>
      </w:r>
      <w:r w:rsidR="00F727BB" w:rsidRPr="00CF7CB1">
        <w:rPr>
          <w:lang w:val="en-AU"/>
        </w:rPr>
        <w:t xml:space="preserve"> explain the results to date.’</w:t>
      </w:r>
      <w:r w:rsidR="00F727BB" w:rsidRPr="00CF7CB1">
        <w:rPr>
          <w:rStyle w:val="FootnoteReference"/>
          <w:lang w:val="en-AU"/>
        </w:rPr>
        <w:footnoteReference w:id="62"/>
      </w:r>
    </w:p>
    <w:tbl>
      <w:tblPr>
        <w:tblStyle w:val="TableGrid"/>
        <w:tblW w:w="0" w:type="auto"/>
        <w:tblLayout w:type="fixed"/>
        <w:tblLook w:val="04A0" w:firstRow="1" w:lastRow="0" w:firstColumn="1" w:lastColumn="0" w:noHBand="0" w:noVBand="1"/>
        <w:tblCaption w:val="TDF-2"/>
        <w:tblDescription w:val="The table includes comments on the M&amp;E system for the TDF-2 program, for each of the criteria except for results chains, as there was no information available. The sources were the Project appraisal Document, M&amp;E framework, TDF-2 Mid-term Review (2015), labour standards and productivity in the garments export sector (2012), TDF Program Status Report (2014), BAF Mid-term Impact Assessment, Trade Development Briefing Note, OECD Case Study (2010),Trade Facilitation Committee and Trade Portal In Lao PDR (2014), Trade Facilitation Secretariat (TFS): Lao PDR (2015)."/>
      </w:tblPr>
      <w:tblGrid>
        <w:gridCol w:w="1980"/>
        <w:gridCol w:w="4819"/>
        <w:gridCol w:w="2075"/>
      </w:tblGrid>
      <w:tr w:rsidR="00F727BB" w:rsidRPr="00CF7CB1" w14:paraId="479EAE1B" w14:textId="77777777" w:rsidTr="002E0F65">
        <w:trPr>
          <w:tblHeader/>
        </w:trPr>
        <w:tc>
          <w:tcPr>
            <w:tcW w:w="1980" w:type="dxa"/>
          </w:tcPr>
          <w:p w14:paraId="5AB8C41A" w14:textId="77777777" w:rsidR="00F727BB" w:rsidRPr="00CF7CB1" w:rsidRDefault="00F727BB" w:rsidP="00F727BB">
            <w:pPr>
              <w:pStyle w:val="Tableheader"/>
              <w:rPr>
                <w:lang w:val="en-AU"/>
              </w:rPr>
            </w:pPr>
            <w:r w:rsidRPr="00CF7CB1">
              <w:rPr>
                <w:lang w:val="en-AU"/>
              </w:rPr>
              <w:t>Characteristic</w:t>
            </w:r>
          </w:p>
        </w:tc>
        <w:tc>
          <w:tcPr>
            <w:tcW w:w="4819" w:type="dxa"/>
          </w:tcPr>
          <w:p w14:paraId="7D480EDB" w14:textId="77777777" w:rsidR="00F727BB" w:rsidRPr="00CF7CB1" w:rsidRDefault="00F727BB" w:rsidP="00F727BB">
            <w:pPr>
              <w:pStyle w:val="Tableheader"/>
              <w:rPr>
                <w:lang w:val="en-AU"/>
              </w:rPr>
            </w:pPr>
            <w:r w:rsidRPr="00CF7CB1">
              <w:rPr>
                <w:lang w:val="en-AU"/>
              </w:rPr>
              <w:t>Comment</w:t>
            </w:r>
          </w:p>
        </w:tc>
        <w:tc>
          <w:tcPr>
            <w:tcW w:w="2075" w:type="dxa"/>
          </w:tcPr>
          <w:p w14:paraId="506ED999" w14:textId="77777777" w:rsidR="00F727BB" w:rsidRPr="00CF7CB1" w:rsidRDefault="00F727BB" w:rsidP="00F727BB">
            <w:pPr>
              <w:pStyle w:val="Tableheader"/>
              <w:rPr>
                <w:lang w:val="en-AU"/>
              </w:rPr>
            </w:pPr>
            <w:r w:rsidRPr="00CF7CB1">
              <w:rPr>
                <w:lang w:val="en-AU"/>
              </w:rPr>
              <w:t>Source</w:t>
            </w:r>
          </w:p>
        </w:tc>
      </w:tr>
      <w:tr w:rsidR="00F727BB" w:rsidRPr="00CF7CB1" w14:paraId="698801F3" w14:textId="77777777" w:rsidTr="00F727BB">
        <w:tc>
          <w:tcPr>
            <w:tcW w:w="1980" w:type="dxa"/>
          </w:tcPr>
          <w:p w14:paraId="2D8A0E63" w14:textId="77777777" w:rsidR="00F727BB" w:rsidRPr="00CF7CB1" w:rsidRDefault="00F727BB" w:rsidP="00F727BB">
            <w:pPr>
              <w:rPr>
                <w:lang w:val="en-AU"/>
              </w:rPr>
            </w:pPr>
            <w:r w:rsidRPr="00CF7CB1">
              <w:rPr>
                <w:lang w:val="en-AU"/>
              </w:rPr>
              <w:t>Results chains</w:t>
            </w:r>
          </w:p>
        </w:tc>
        <w:tc>
          <w:tcPr>
            <w:tcW w:w="4819" w:type="dxa"/>
          </w:tcPr>
          <w:p w14:paraId="2456B7DF" w14:textId="77777777" w:rsidR="00F727BB" w:rsidRPr="00CF7CB1" w:rsidRDefault="00F727BB" w:rsidP="00F727BB">
            <w:pPr>
              <w:rPr>
                <w:lang w:val="en-AU"/>
              </w:rPr>
            </w:pPr>
            <w:r w:rsidRPr="00CF7CB1">
              <w:rPr>
                <w:lang w:val="en-AU"/>
              </w:rPr>
              <w:t>No information available to date.</w:t>
            </w:r>
          </w:p>
        </w:tc>
        <w:tc>
          <w:tcPr>
            <w:tcW w:w="2075" w:type="dxa"/>
          </w:tcPr>
          <w:p w14:paraId="2DD89990" w14:textId="77777777" w:rsidR="00F727BB" w:rsidRPr="00CF7CB1" w:rsidRDefault="00F727BB" w:rsidP="00F727BB">
            <w:pPr>
              <w:rPr>
                <w:lang w:val="en-AU"/>
              </w:rPr>
            </w:pPr>
          </w:p>
        </w:tc>
      </w:tr>
      <w:tr w:rsidR="00F727BB" w:rsidRPr="00CF7CB1" w14:paraId="02A20496" w14:textId="77777777" w:rsidTr="00F727BB">
        <w:tc>
          <w:tcPr>
            <w:tcW w:w="1980" w:type="dxa"/>
          </w:tcPr>
          <w:p w14:paraId="21BFC2E9" w14:textId="77777777" w:rsidR="00F727BB" w:rsidRPr="00CF7CB1" w:rsidRDefault="00F727BB" w:rsidP="00F727BB">
            <w:pPr>
              <w:rPr>
                <w:lang w:val="en-AU"/>
              </w:rPr>
            </w:pPr>
            <w:r w:rsidRPr="00CF7CB1">
              <w:rPr>
                <w:lang w:val="en-AU"/>
              </w:rPr>
              <w:t>Realistic objectives</w:t>
            </w:r>
          </w:p>
        </w:tc>
        <w:tc>
          <w:tcPr>
            <w:tcW w:w="4819" w:type="dxa"/>
          </w:tcPr>
          <w:p w14:paraId="54A5333E" w14:textId="77777777" w:rsidR="00F727BB" w:rsidRPr="00CF7CB1" w:rsidRDefault="00F727BB" w:rsidP="00F727BB">
            <w:pPr>
              <w:rPr>
                <w:lang w:val="en-AU"/>
              </w:rPr>
            </w:pPr>
            <w:r w:rsidRPr="00CF7CB1">
              <w:rPr>
                <w:lang w:val="en-AU"/>
              </w:rPr>
              <w:t xml:space="preserve">The project appraisal contextualises the </w:t>
            </w:r>
            <w:r w:rsidR="00DB1C24" w:rsidRPr="00CF7CB1">
              <w:rPr>
                <w:lang w:val="en-AU"/>
              </w:rPr>
              <w:t>project in</w:t>
            </w:r>
            <w:r w:rsidRPr="00CF7CB1">
              <w:rPr>
                <w:lang w:val="en-AU"/>
              </w:rPr>
              <w:t xml:space="preserve"> terms of the broader growth and poverty alleviation objectives and also provides details of trade-related outcomes. The mid-term review noted a disconnect between the performance indicators related to customs clearing time, while the project objectives are focussed on trade facilitation.</w:t>
            </w:r>
          </w:p>
        </w:tc>
        <w:tc>
          <w:tcPr>
            <w:tcW w:w="2075" w:type="dxa"/>
          </w:tcPr>
          <w:p w14:paraId="60ABC01E" w14:textId="77777777" w:rsidR="00DB1C24" w:rsidRPr="00CF7CB1" w:rsidRDefault="00DB1C24" w:rsidP="00DB1C24">
            <w:pPr>
              <w:rPr>
                <w:lang w:val="en-AU"/>
              </w:rPr>
            </w:pPr>
            <w:r w:rsidRPr="00CF7CB1">
              <w:rPr>
                <w:lang w:val="en-AU"/>
              </w:rPr>
              <w:t>Project appraisal document</w:t>
            </w:r>
          </w:p>
          <w:p w14:paraId="37F61CA2" w14:textId="77777777" w:rsidR="00DB1C24" w:rsidRPr="00CF7CB1" w:rsidRDefault="00DB1C24" w:rsidP="00DB1C24">
            <w:pPr>
              <w:rPr>
                <w:lang w:val="en-AU"/>
              </w:rPr>
            </w:pPr>
            <w:r w:rsidRPr="00CF7CB1">
              <w:rPr>
                <w:lang w:val="en-AU"/>
              </w:rPr>
              <w:t>M&amp;E framework</w:t>
            </w:r>
          </w:p>
          <w:p w14:paraId="77B5559B" w14:textId="77777777" w:rsidR="00F727BB" w:rsidRPr="00CF7CB1" w:rsidRDefault="00DB1C24" w:rsidP="00DB1C24">
            <w:pPr>
              <w:rPr>
                <w:lang w:val="en-AU"/>
              </w:rPr>
            </w:pPr>
            <w:r w:rsidRPr="00CF7CB1">
              <w:rPr>
                <w:lang w:val="en-AU"/>
              </w:rPr>
              <w:t>TDF-2 Mid-term Review, 2015</w:t>
            </w:r>
          </w:p>
        </w:tc>
      </w:tr>
      <w:tr w:rsidR="00DB1C24" w:rsidRPr="00CF7CB1" w14:paraId="0A837BB8" w14:textId="77777777" w:rsidTr="00F727BB">
        <w:tc>
          <w:tcPr>
            <w:tcW w:w="1980" w:type="dxa"/>
          </w:tcPr>
          <w:p w14:paraId="1C96A9EA" w14:textId="77777777" w:rsidR="00DB1C24" w:rsidRPr="00CF7CB1" w:rsidRDefault="00DB1C24" w:rsidP="00DB1C24">
            <w:pPr>
              <w:rPr>
                <w:lang w:val="en-AU"/>
              </w:rPr>
            </w:pPr>
            <w:r w:rsidRPr="00CF7CB1">
              <w:rPr>
                <w:lang w:val="en-AU"/>
              </w:rPr>
              <w:t>Baseline data</w:t>
            </w:r>
          </w:p>
        </w:tc>
        <w:tc>
          <w:tcPr>
            <w:tcW w:w="4819" w:type="dxa"/>
          </w:tcPr>
          <w:p w14:paraId="5B012B0F" w14:textId="77777777" w:rsidR="00DB1C24" w:rsidRPr="00CF7CB1" w:rsidRDefault="00DB1C24" w:rsidP="00DB1C24">
            <w:pPr>
              <w:rPr>
                <w:lang w:val="en-AU"/>
              </w:rPr>
            </w:pPr>
            <w:r w:rsidRPr="00CF7CB1">
              <w:rPr>
                <w:lang w:val="en-AU"/>
              </w:rPr>
              <w:t>Baseline data has been provided against the majority of indicators in the results framework, however most   of this data is from 2009 which is very dated and is unlikely to be helpful in assessing the attributable effects of the program.</w:t>
            </w:r>
          </w:p>
        </w:tc>
        <w:tc>
          <w:tcPr>
            <w:tcW w:w="2075" w:type="dxa"/>
          </w:tcPr>
          <w:p w14:paraId="56DDC001" w14:textId="77777777" w:rsidR="00DB1C24" w:rsidRPr="00CF7CB1" w:rsidRDefault="00DB1C24" w:rsidP="00DB1C24">
            <w:pPr>
              <w:rPr>
                <w:lang w:val="en-AU"/>
              </w:rPr>
            </w:pPr>
            <w:r w:rsidRPr="00CF7CB1">
              <w:rPr>
                <w:lang w:val="en-AU"/>
              </w:rPr>
              <w:t>M&amp;E framework</w:t>
            </w:r>
          </w:p>
          <w:p w14:paraId="141BD33D" w14:textId="77777777" w:rsidR="00DB1C24" w:rsidRPr="00CF7CB1" w:rsidRDefault="00DB1C24" w:rsidP="00DB1C24">
            <w:pPr>
              <w:rPr>
                <w:lang w:val="en-AU"/>
              </w:rPr>
            </w:pPr>
            <w:r w:rsidRPr="00CF7CB1">
              <w:rPr>
                <w:lang w:val="en-AU"/>
              </w:rPr>
              <w:t>Labour standards and productivity in the garments export sector, 2012</w:t>
            </w:r>
          </w:p>
        </w:tc>
      </w:tr>
      <w:tr w:rsidR="00DB1C24" w:rsidRPr="00CF7CB1" w14:paraId="552C3483" w14:textId="77777777" w:rsidTr="00F727BB">
        <w:tc>
          <w:tcPr>
            <w:tcW w:w="1980" w:type="dxa"/>
          </w:tcPr>
          <w:p w14:paraId="712DE9ED" w14:textId="77777777" w:rsidR="00DB1C24" w:rsidRPr="00CF7CB1" w:rsidRDefault="00DB1C24" w:rsidP="00DB1C24">
            <w:pPr>
              <w:rPr>
                <w:lang w:val="en-AU"/>
              </w:rPr>
            </w:pPr>
            <w:r w:rsidRPr="00CF7CB1">
              <w:rPr>
                <w:lang w:val="en-AU"/>
              </w:rPr>
              <w:t>Indicators</w:t>
            </w:r>
          </w:p>
        </w:tc>
        <w:tc>
          <w:tcPr>
            <w:tcW w:w="4819" w:type="dxa"/>
          </w:tcPr>
          <w:p w14:paraId="0974301F" w14:textId="77777777" w:rsidR="00DB1C24" w:rsidRPr="00CF7CB1" w:rsidRDefault="00DB1C24" w:rsidP="00DB1C24">
            <w:pPr>
              <w:rPr>
                <w:lang w:val="en-AU"/>
              </w:rPr>
            </w:pPr>
            <w:r w:rsidRPr="00CF7CB1">
              <w:rPr>
                <w:lang w:val="en-AU"/>
              </w:rPr>
              <w:t>The indicators in the results framework draw on both primary research and secondary data. The mid-term review noted that output indicators are overly process focussed and are not meaningful to the program or adequate to capture development impact. It is notable that 16 out of the 18 indicators are quantitative. While quantitative performance measures are encouraged, to be able to understand program performance and learn lessons, it is important that there also be qualitative indicators or at least a process to draw on qualitative data to understand the quantitative results. Progress reports contain only reporting against indicators and no text to qualify the figures or their relevance.</w:t>
            </w:r>
          </w:p>
        </w:tc>
        <w:tc>
          <w:tcPr>
            <w:tcW w:w="2075" w:type="dxa"/>
          </w:tcPr>
          <w:p w14:paraId="4966D507" w14:textId="77777777" w:rsidR="00DB1C24" w:rsidRPr="00CF7CB1" w:rsidRDefault="00DB1C24" w:rsidP="00DB1C24">
            <w:pPr>
              <w:rPr>
                <w:lang w:val="en-AU"/>
              </w:rPr>
            </w:pPr>
            <w:r w:rsidRPr="00CF7CB1">
              <w:rPr>
                <w:lang w:val="en-AU"/>
              </w:rPr>
              <w:t>M&amp;E framework</w:t>
            </w:r>
          </w:p>
          <w:p w14:paraId="09073720" w14:textId="77777777" w:rsidR="00DB1C24" w:rsidRPr="00CF7CB1" w:rsidRDefault="00DB1C24" w:rsidP="00DB1C24">
            <w:pPr>
              <w:rPr>
                <w:lang w:val="en-AU"/>
              </w:rPr>
            </w:pPr>
            <w:r w:rsidRPr="00CF7CB1">
              <w:rPr>
                <w:lang w:val="en-AU"/>
              </w:rPr>
              <w:t>TDF Program</w:t>
            </w:r>
          </w:p>
          <w:p w14:paraId="74DA8856" w14:textId="77777777" w:rsidR="002E0F65" w:rsidRPr="00CF7CB1" w:rsidRDefault="00DB1C24" w:rsidP="00DB1C24">
            <w:pPr>
              <w:rPr>
                <w:lang w:val="en-AU"/>
              </w:rPr>
            </w:pPr>
            <w:r w:rsidRPr="00CF7CB1">
              <w:rPr>
                <w:lang w:val="en-AU"/>
              </w:rPr>
              <w:t>Status Report, 2014</w:t>
            </w:r>
          </w:p>
          <w:p w14:paraId="7EAD308B" w14:textId="77777777" w:rsidR="00DB1C24" w:rsidRPr="00CF7CB1" w:rsidRDefault="00DB1C24" w:rsidP="00DB1C24">
            <w:pPr>
              <w:rPr>
                <w:lang w:val="en-AU"/>
              </w:rPr>
            </w:pPr>
            <w:r w:rsidRPr="00CF7CB1">
              <w:rPr>
                <w:lang w:val="en-AU"/>
              </w:rPr>
              <w:t>TDF2 Mid-term Review, 2015</w:t>
            </w:r>
          </w:p>
        </w:tc>
      </w:tr>
      <w:tr w:rsidR="00DB1C24" w:rsidRPr="00CF7CB1" w14:paraId="38DA4F45" w14:textId="77777777" w:rsidTr="00F727BB">
        <w:tc>
          <w:tcPr>
            <w:tcW w:w="1980" w:type="dxa"/>
          </w:tcPr>
          <w:p w14:paraId="1BE774B6" w14:textId="77777777" w:rsidR="00DB1C24" w:rsidRPr="00CF7CB1" w:rsidRDefault="00DB1C24" w:rsidP="00DB1C24">
            <w:pPr>
              <w:rPr>
                <w:lang w:val="en-AU"/>
              </w:rPr>
            </w:pPr>
            <w:r w:rsidRPr="00CF7CB1">
              <w:rPr>
                <w:lang w:val="en-AU"/>
              </w:rPr>
              <w:t>Range of methods</w:t>
            </w:r>
          </w:p>
        </w:tc>
        <w:tc>
          <w:tcPr>
            <w:tcW w:w="4819" w:type="dxa"/>
          </w:tcPr>
          <w:p w14:paraId="19752BE8" w14:textId="77777777" w:rsidR="00DB1C24" w:rsidRPr="00CF7CB1" w:rsidRDefault="00DB1C24" w:rsidP="00DB1C24">
            <w:pPr>
              <w:rPr>
                <w:lang w:val="en-AU"/>
              </w:rPr>
            </w:pPr>
            <w:r w:rsidRPr="00CF7CB1">
              <w:rPr>
                <w:lang w:val="en-AU"/>
              </w:rPr>
              <w:t>A range of methods are discussed in the project appraisal such as analysis of secondary data progress reviews, mid-term and end-term surveys and an independent mid-term review and program completion review. The program Mid-Term Review was completed in September 2015. There is also evidence of impact assessments employing a range of methods which relate to discrete components of the program (i.e. the BAF Mid-term Impact Assessment). There is no detail on the methodologies or analytical framework that will be applied or how result of individual components will be considered at the program level.</w:t>
            </w:r>
          </w:p>
        </w:tc>
        <w:tc>
          <w:tcPr>
            <w:tcW w:w="2075" w:type="dxa"/>
          </w:tcPr>
          <w:p w14:paraId="3F222931" w14:textId="77777777" w:rsidR="00DB1C24" w:rsidRPr="00CF7CB1" w:rsidRDefault="00DB1C24" w:rsidP="00DB1C24">
            <w:pPr>
              <w:rPr>
                <w:lang w:val="en-AU"/>
              </w:rPr>
            </w:pPr>
            <w:r w:rsidRPr="00CF7CB1">
              <w:rPr>
                <w:lang w:val="en-AU"/>
              </w:rPr>
              <w:t>Project appraisal document</w:t>
            </w:r>
          </w:p>
          <w:p w14:paraId="1C930256" w14:textId="77777777" w:rsidR="00DB1C24" w:rsidRPr="00CF7CB1" w:rsidRDefault="00DB1C24" w:rsidP="00DB1C24">
            <w:pPr>
              <w:rPr>
                <w:lang w:val="en-AU"/>
              </w:rPr>
            </w:pPr>
            <w:r w:rsidRPr="00CF7CB1">
              <w:rPr>
                <w:lang w:val="en-AU"/>
              </w:rPr>
              <w:t>TDF2 Mid-term Review, 2015</w:t>
            </w:r>
          </w:p>
          <w:p w14:paraId="4ECD664C" w14:textId="77777777" w:rsidR="00DB1C24" w:rsidRPr="00CF7CB1" w:rsidRDefault="00DB1C24" w:rsidP="00DB1C24">
            <w:pPr>
              <w:rPr>
                <w:lang w:val="en-AU"/>
              </w:rPr>
            </w:pPr>
            <w:r w:rsidRPr="00CF7CB1">
              <w:rPr>
                <w:lang w:val="en-AU"/>
              </w:rPr>
              <w:t>BAF Mid-term Impact Assessment</w:t>
            </w:r>
          </w:p>
        </w:tc>
      </w:tr>
      <w:tr w:rsidR="00DB1C24" w:rsidRPr="00CF7CB1" w14:paraId="366596B3" w14:textId="77777777" w:rsidTr="00F727BB">
        <w:tc>
          <w:tcPr>
            <w:tcW w:w="1980" w:type="dxa"/>
          </w:tcPr>
          <w:p w14:paraId="2A1FE5DB" w14:textId="77777777" w:rsidR="00DB1C24" w:rsidRPr="00CF7CB1" w:rsidRDefault="00DB1C24" w:rsidP="00DB1C24">
            <w:pPr>
              <w:rPr>
                <w:lang w:val="en-AU"/>
              </w:rPr>
            </w:pPr>
            <w:r w:rsidRPr="00CF7CB1">
              <w:rPr>
                <w:lang w:val="en-AU"/>
              </w:rPr>
              <w:t>International measures</w:t>
            </w:r>
          </w:p>
        </w:tc>
        <w:tc>
          <w:tcPr>
            <w:tcW w:w="4819" w:type="dxa"/>
          </w:tcPr>
          <w:p w14:paraId="24C1C998" w14:textId="77777777" w:rsidR="00C950F0" w:rsidRPr="00CF7CB1" w:rsidRDefault="00C950F0" w:rsidP="00C950F0">
            <w:pPr>
              <w:rPr>
                <w:lang w:val="en-AU"/>
              </w:rPr>
            </w:pPr>
            <w:r w:rsidRPr="00CF7CB1">
              <w:rPr>
                <w:lang w:val="en-AU"/>
              </w:rPr>
              <w:t>The M&amp;E framework references the Logistics</w:t>
            </w:r>
          </w:p>
          <w:p w14:paraId="395F8730" w14:textId="77777777" w:rsidR="00DB1C24" w:rsidRPr="00CF7CB1" w:rsidRDefault="00C950F0" w:rsidP="00C950F0">
            <w:pPr>
              <w:rPr>
                <w:lang w:val="en-AU"/>
              </w:rPr>
            </w:pPr>
            <w:r w:rsidRPr="00CF7CB1">
              <w:rPr>
                <w:lang w:val="en-AU"/>
              </w:rPr>
              <w:t>Performance Index and World Bank Enterprise Survey</w:t>
            </w:r>
          </w:p>
        </w:tc>
        <w:tc>
          <w:tcPr>
            <w:tcW w:w="2075" w:type="dxa"/>
          </w:tcPr>
          <w:p w14:paraId="20D21468" w14:textId="77777777" w:rsidR="00DB1C24" w:rsidRPr="00CF7CB1" w:rsidRDefault="00DB1C24" w:rsidP="00DB1C24">
            <w:pPr>
              <w:rPr>
                <w:lang w:val="en-AU"/>
              </w:rPr>
            </w:pPr>
            <w:r w:rsidRPr="00CF7CB1">
              <w:rPr>
                <w:lang w:val="en-AU"/>
              </w:rPr>
              <w:t>M&amp;E framework</w:t>
            </w:r>
          </w:p>
        </w:tc>
      </w:tr>
      <w:tr w:rsidR="00D82451" w:rsidRPr="00CF7CB1" w14:paraId="217F1006" w14:textId="77777777" w:rsidTr="00F727BB">
        <w:tc>
          <w:tcPr>
            <w:tcW w:w="1980" w:type="dxa"/>
          </w:tcPr>
          <w:p w14:paraId="72531E5A" w14:textId="77777777" w:rsidR="00D82451" w:rsidRPr="00CF7CB1" w:rsidRDefault="00D82451" w:rsidP="00D82451">
            <w:pPr>
              <w:rPr>
                <w:lang w:val="en-AU"/>
              </w:rPr>
            </w:pPr>
            <w:r w:rsidRPr="00CF7CB1">
              <w:rPr>
                <w:lang w:val="en-AU"/>
              </w:rPr>
              <w:t>Contextual factors</w:t>
            </w:r>
          </w:p>
        </w:tc>
        <w:tc>
          <w:tcPr>
            <w:tcW w:w="4819" w:type="dxa"/>
          </w:tcPr>
          <w:p w14:paraId="79C04DEA" w14:textId="77777777" w:rsidR="00D82451" w:rsidRPr="00CF7CB1" w:rsidRDefault="00D82451" w:rsidP="00D82451">
            <w:pPr>
              <w:rPr>
                <w:lang w:val="en-AU"/>
              </w:rPr>
            </w:pPr>
            <w:r w:rsidRPr="00CF7CB1">
              <w:rPr>
                <w:lang w:val="en-AU"/>
              </w:rPr>
              <w:t>The project appraisal notes that there are many micro and macro drivers or change which are likely to influence performance indicators, however it does not detail how these will be monitored or accounted for in performance assessment.</w:t>
            </w:r>
          </w:p>
        </w:tc>
        <w:tc>
          <w:tcPr>
            <w:tcW w:w="2075" w:type="dxa"/>
          </w:tcPr>
          <w:p w14:paraId="617A0783" w14:textId="77777777" w:rsidR="00D82451" w:rsidRPr="00CF7CB1" w:rsidRDefault="00D82451" w:rsidP="00D82451">
            <w:pPr>
              <w:rPr>
                <w:lang w:val="en-AU"/>
              </w:rPr>
            </w:pPr>
            <w:r w:rsidRPr="00CF7CB1">
              <w:rPr>
                <w:lang w:val="en-AU"/>
              </w:rPr>
              <w:t>Project appraisal document</w:t>
            </w:r>
          </w:p>
        </w:tc>
      </w:tr>
      <w:tr w:rsidR="00F727BB" w:rsidRPr="00CF7CB1" w14:paraId="39CA7FBC" w14:textId="77777777" w:rsidTr="00F727BB">
        <w:tc>
          <w:tcPr>
            <w:tcW w:w="1980" w:type="dxa"/>
          </w:tcPr>
          <w:p w14:paraId="22966B15" w14:textId="77777777" w:rsidR="00F727BB" w:rsidRPr="00CF7CB1" w:rsidRDefault="002E0F65" w:rsidP="00337BCF">
            <w:pPr>
              <w:spacing w:after="120"/>
              <w:rPr>
                <w:lang w:val="en-AU"/>
              </w:rPr>
            </w:pPr>
            <w:r w:rsidRPr="00CF7CB1">
              <w:rPr>
                <w:lang w:val="en-AU"/>
              </w:rPr>
              <w:t>Stakeholder engagement</w:t>
            </w:r>
          </w:p>
        </w:tc>
        <w:tc>
          <w:tcPr>
            <w:tcW w:w="4819" w:type="dxa"/>
          </w:tcPr>
          <w:p w14:paraId="7F96C13E" w14:textId="77777777" w:rsidR="00F727BB" w:rsidRPr="00CF7CB1" w:rsidRDefault="002E0F65" w:rsidP="00337BCF">
            <w:pPr>
              <w:spacing w:after="120"/>
              <w:rPr>
                <w:lang w:val="en-AU"/>
              </w:rPr>
            </w:pPr>
            <w:r w:rsidRPr="00CF7CB1">
              <w:rPr>
                <w:lang w:val="en-AU"/>
              </w:rPr>
              <w:t>The TDF is a pooled fund involving multiple donors and various government departments. No detail is provided in relation to how these stakeholders will participate in ongoing M&amp;E and performance assessment processes.</w:t>
            </w:r>
          </w:p>
        </w:tc>
        <w:tc>
          <w:tcPr>
            <w:tcW w:w="2075" w:type="dxa"/>
          </w:tcPr>
          <w:p w14:paraId="558065B4" w14:textId="77777777" w:rsidR="00F727BB" w:rsidRPr="00CF7CB1" w:rsidRDefault="002E0F65" w:rsidP="00337BCF">
            <w:pPr>
              <w:spacing w:after="120"/>
              <w:rPr>
                <w:lang w:val="en-AU"/>
              </w:rPr>
            </w:pPr>
            <w:r w:rsidRPr="00CF7CB1">
              <w:rPr>
                <w:lang w:val="en-AU"/>
              </w:rPr>
              <w:t>Project appraisal document</w:t>
            </w:r>
          </w:p>
        </w:tc>
      </w:tr>
      <w:tr w:rsidR="00F727BB" w:rsidRPr="00CF7CB1" w14:paraId="690B85B9" w14:textId="77777777" w:rsidTr="00F727BB">
        <w:tc>
          <w:tcPr>
            <w:tcW w:w="1980" w:type="dxa"/>
          </w:tcPr>
          <w:p w14:paraId="289324DE" w14:textId="77777777" w:rsidR="00F727BB" w:rsidRPr="00CF7CB1" w:rsidRDefault="002E0F65" w:rsidP="00337BCF">
            <w:pPr>
              <w:spacing w:after="120"/>
              <w:rPr>
                <w:lang w:val="en-AU"/>
              </w:rPr>
            </w:pPr>
            <w:r w:rsidRPr="00CF7CB1">
              <w:rPr>
                <w:lang w:val="en-AU"/>
              </w:rPr>
              <w:t>Informs program improvement</w:t>
            </w:r>
          </w:p>
        </w:tc>
        <w:tc>
          <w:tcPr>
            <w:tcW w:w="4819" w:type="dxa"/>
          </w:tcPr>
          <w:p w14:paraId="2FFA1CC2" w14:textId="77777777" w:rsidR="00F727BB" w:rsidRPr="00CF7CB1" w:rsidRDefault="002E0F65" w:rsidP="00337BCF">
            <w:pPr>
              <w:spacing w:after="120"/>
              <w:rPr>
                <w:lang w:val="en-AU"/>
              </w:rPr>
            </w:pPr>
            <w:r w:rsidRPr="00CF7CB1">
              <w:rPr>
                <w:lang w:val="en-AU"/>
              </w:rPr>
              <w:t>No detail provided on how M&amp;E will inform project management. Progress reports contain only reporting against indicators and no text to qualify the figures or their relevance.</w:t>
            </w:r>
          </w:p>
        </w:tc>
        <w:tc>
          <w:tcPr>
            <w:tcW w:w="2075" w:type="dxa"/>
          </w:tcPr>
          <w:p w14:paraId="292E1C97" w14:textId="77777777" w:rsidR="00F727BB" w:rsidRPr="00CF7CB1" w:rsidRDefault="002E0F65" w:rsidP="002E0F65">
            <w:pPr>
              <w:spacing w:after="120"/>
              <w:rPr>
                <w:lang w:val="en-AU"/>
              </w:rPr>
            </w:pPr>
            <w:r w:rsidRPr="00CF7CB1">
              <w:rPr>
                <w:lang w:val="en-AU"/>
              </w:rPr>
              <w:t>TDF Program Status Report, 2014</w:t>
            </w:r>
          </w:p>
        </w:tc>
      </w:tr>
      <w:tr w:rsidR="00F727BB" w:rsidRPr="00CF7CB1" w14:paraId="0E3BB891" w14:textId="77777777" w:rsidTr="00F727BB">
        <w:tc>
          <w:tcPr>
            <w:tcW w:w="1980" w:type="dxa"/>
          </w:tcPr>
          <w:p w14:paraId="7A16053C" w14:textId="77777777" w:rsidR="00F727BB" w:rsidRPr="00CF7CB1" w:rsidRDefault="002E0F65" w:rsidP="002E0F65">
            <w:pPr>
              <w:spacing w:after="120"/>
              <w:rPr>
                <w:lang w:val="en-AU"/>
              </w:rPr>
            </w:pPr>
            <w:r w:rsidRPr="00CF7CB1">
              <w:rPr>
                <w:lang w:val="en-AU"/>
              </w:rPr>
              <w:t>Contributes to public knowledge</w:t>
            </w:r>
          </w:p>
        </w:tc>
        <w:tc>
          <w:tcPr>
            <w:tcW w:w="4819" w:type="dxa"/>
          </w:tcPr>
          <w:p w14:paraId="39D3D8BE" w14:textId="77777777" w:rsidR="002E0F65" w:rsidRPr="00CF7CB1" w:rsidRDefault="002E0F65" w:rsidP="002E0F65">
            <w:pPr>
              <w:spacing w:after="120"/>
              <w:rPr>
                <w:lang w:val="en-AU"/>
              </w:rPr>
            </w:pPr>
            <w:r w:rsidRPr="00CF7CB1">
              <w:rPr>
                <w:lang w:val="en-AU"/>
              </w:rPr>
              <w:t>The project appraisal describes how the program design has drawn on lessons learned, but does not detail how the program will contribute to public knowledge. There is some evidence of lessons learning and sharing—for example, a presentation on lessons learnt from the program were made in Manila in 2014 and Geneva in 2015—however it is not clear how these lessons were generated or how they fit into broader program M&amp;E.</w:t>
            </w:r>
          </w:p>
          <w:p w14:paraId="0F2EB3F0" w14:textId="77777777" w:rsidR="00F727BB" w:rsidRPr="00CF7CB1" w:rsidRDefault="002E0F65" w:rsidP="002E0F65">
            <w:pPr>
              <w:spacing w:after="120"/>
              <w:rPr>
                <w:lang w:val="en-AU"/>
              </w:rPr>
            </w:pPr>
            <w:r w:rsidRPr="00CF7CB1">
              <w:rPr>
                <w:lang w:val="en-AU"/>
              </w:rPr>
              <w:t>Under the previous program, there were documents produced which share evidence generated from the program such as the World Bank Briefing Note on gender and entrepreneurship and the OECD Case Study on the TDF (which contains sections on lessons learnt and applicability to other programs). There is no clear link between these documents and a program M&amp;E framework or strategy.</w:t>
            </w:r>
          </w:p>
        </w:tc>
        <w:tc>
          <w:tcPr>
            <w:tcW w:w="2075" w:type="dxa"/>
          </w:tcPr>
          <w:p w14:paraId="0DB9B989" w14:textId="77777777" w:rsidR="002E0F65" w:rsidRPr="00CF7CB1" w:rsidRDefault="002E0F65" w:rsidP="002E0F65">
            <w:pPr>
              <w:spacing w:after="120"/>
              <w:rPr>
                <w:lang w:val="en-AU"/>
              </w:rPr>
            </w:pPr>
            <w:r w:rsidRPr="00CF7CB1">
              <w:rPr>
                <w:lang w:val="en-AU"/>
              </w:rPr>
              <w:t>Project appraisal document</w:t>
            </w:r>
          </w:p>
          <w:p w14:paraId="290F6ADA" w14:textId="77777777" w:rsidR="002E0F65" w:rsidRPr="00CF7CB1" w:rsidRDefault="002E0F65" w:rsidP="002E0F65">
            <w:pPr>
              <w:spacing w:after="120"/>
              <w:rPr>
                <w:lang w:val="en-AU"/>
              </w:rPr>
            </w:pPr>
            <w:r w:rsidRPr="00CF7CB1">
              <w:rPr>
                <w:lang w:val="en-AU"/>
              </w:rPr>
              <w:t>Trade Development Briefing Note</w:t>
            </w:r>
          </w:p>
          <w:p w14:paraId="4F82FBDF" w14:textId="77777777" w:rsidR="002E0F65" w:rsidRPr="00CF7CB1" w:rsidRDefault="002E0F65" w:rsidP="002E0F65">
            <w:pPr>
              <w:spacing w:after="120"/>
              <w:rPr>
                <w:lang w:val="en-AU"/>
              </w:rPr>
            </w:pPr>
            <w:r w:rsidRPr="00CF7CB1">
              <w:rPr>
                <w:lang w:val="en-AU"/>
              </w:rPr>
              <w:t>OECD Case Study, 2010</w:t>
            </w:r>
          </w:p>
          <w:p w14:paraId="6F056935" w14:textId="77777777" w:rsidR="002E0F65" w:rsidRPr="00CF7CB1" w:rsidRDefault="002E0F65" w:rsidP="002E0F65">
            <w:pPr>
              <w:spacing w:after="120"/>
              <w:rPr>
                <w:lang w:val="en-AU"/>
              </w:rPr>
            </w:pPr>
            <w:r w:rsidRPr="00CF7CB1">
              <w:rPr>
                <w:lang w:val="en-AU"/>
              </w:rPr>
              <w:t>Trade Facilitation Committee and Trade Portal In Lao PDR, 2014</w:t>
            </w:r>
          </w:p>
          <w:p w14:paraId="3DA2163B" w14:textId="77777777" w:rsidR="00F727BB" w:rsidRPr="00CF7CB1" w:rsidRDefault="002E0F65" w:rsidP="002E0F65">
            <w:pPr>
              <w:spacing w:after="120"/>
              <w:rPr>
                <w:lang w:val="en-AU"/>
              </w:rPr>
            </w:pPr>
            <w:r w:rsidRPr="00CF7CB1">
              <w:rPr>
                <w:lang w:val="en-AU"/>
              </w:rPr>
              <w:t>Trade Facilitation Secretariat (TFS): Lao PDR, 2015</w:t>
            </w:r>
          </w:p>
        </w:tc>
      </w:tr>
    </w:tbl>
    <w:p w14:paraId="24245211" w14:textId="77777777" w:rsidR="00793BF3" w:rsidRPr="00CF7CB1" w:rsidRDefault="00793BF3" w:rsidP="00793BF3">
      <w:pPr>
        <w:rPr>
          <w:lang w:val="en-AU"/>
        </w:rPr>
      </w:pPr>
    </w:p>
    <w:p w14:paraId="206D2347" w14:textId="095D0B51" w:rsidR="00793BF3" w:rsidRPr="00CF7CB1" w:rsidRDefault="00793BF3" w:rsidP="00793BF3">
      <w:pPr>
        <w:rPr>
          <w:lang w:val="en-AU"/>
        </w:rPr>
      </w:pPr>
    </w:p>
    <w:p w14:paraId="15EF311D" w14:textId="77777777" w:rsidR="00E82715" w:rsidRDefault="00E82715" w:rsidP="002E0F65">
      <w:pPr>
        <w:pStyle w:val="Heading1"/>
        <w:numPr>
          <w:ilvl w:val="0"/>
          <w:numId w:val="0"/>
        </w:numPr>
        <w:ind w:left="266" w:hanging="266"/>
        <w:rPr>
          <w:lang w:val="en-AU"/>
        </w:rPr>
      </w:pPr>
    </w:p>
    <w:p w14:paraId="259CD174" w14:textId="5187E0B1" w:rsidR="00B22A23" w:rsidRPr="00CF7CB1" w:rsidRDefault="00B22A23" w:rsidP="00B22A23">
      <w:pPr>
        <w:pStyle w:val="Caption"/>
        <w:pBdr>
          <w:top w:val="single" w:sz="4" w:space="1" w:color="auto"/>
          <w:left w:val="single" w:sz="4" w:space="4" w:color="auto"/>
          <w:bottom w:val="single" w:sz="4" w:space="1" w:color="auto"/>
          <w:right w:val="single" w:sz="4" w:space="4" w:color="auto"/>
        </w:pBdr>
        <w:rPr>
          <w:lang w:val="en-AU"/>
        </w:rPr>
      </w:pPr>
      <w:r>
        <w:rPr>
          <w:noProof/>
          <w:lang w:val="en-AU" w:eastAsia="en-AU"/>
        </w:rPr>
        <w:drawing>
          <wp:inline distT="0" distB="0" distL="0" distR="0" wp14:anchorId="64C3BDF7" wp14:editId="38F0B901">
            <wp:extent cx="5575300" cy="3594100"/>
            <wp:effectExtent l="0" t="0" r="12700" b="12700"/>
            <wp:docPr id="11" name="Picture 5" descr="Garment stall in Laos displaying jackets and blouses with different patterns and vivid colours." title="Garment stall in La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75300" cy="3594100"/>
                    </a:xfrm>
                    <a:prstGeom prst="rect">
                      <a:avLst/>
                    </a:prstGeom>
                    <a:noFill/>
                    <a:ln>
                      <a:noFill/>
                    </a:ln>
                  </pic:spPr>
                </pic:pic>
              </a:graphicData>
            </a:graphic>
          </wp:inline>
        </w:drawing>
      </w:r>
      <w:r>
        <w:rPr>
          <w:lang w:val="en-AU"/>
        </w:rPr>
        <w:t>Garment stall in Laos</w:t>
      </w:r>
      <w:r w:rsidRPr="00CF7CB1">
        <w:rPr>
          <w:lang w:val="en-AU"/>
        </w:rPr>
        <w:t>.</w:t>
      </w:r>
    </w:p>
    <w:p w14:paraId="0C1C0E3C" w14:textId="77777777" w:rsidR="00B22A23" w:rsidRDefault="00B22A23" w:rsidP="00B22A23">
      <w:pPr>
        <w:pStyle w:val="Source"/>
        <w:pBdr>
          <w:top w:val="single" w:sz="4" w:space="1" w:color="auto"/>
          <w:left w:val="single" w:sz="4" w:space="4" w:color="auto"/>
          <w:bottom w:val="single" w:sz="4" w:space="1" w:color="auto"/>
          <w:right w:val="single" w:sz="4" w:space="4" w:color="auto"/>
        </w:pBdr>
        <w:rPr>
          <w:lang w:val="en-AU"/>
        </w:rPr>
      </w:pPr>
      <w:r w:rsidRPr="00CF7CB1">
        <w:rPr>
          <w:lang w:val="en-AU"/>
        </w:rPr>
        <w:t>Source: D. Goodwins</w:t>
      </w:r>
    </w:p>
    <w:p w14:paraId="5BE61ABE" w14:textId="77777777" w:rsidR="00B22A23" w:rsidRPr="00B22A23" w:rsidRDefault="00B22A23" w:rsidP="00B22A23">
      <w:pPr>
        <w:sectPr w:rsidR="00B22A23" w:rsidRPr="00B22A23" w:rsidSect="009B2B3F">
          <w:headerReference w:type="even" r:id="rId28"/>
          <w:headerReference w:type="default" r:id="rId29"/>
          <w:footerReference w:type="even" r:id="rId30"/>
          <w:footerReference w:type="default" r:id="rId31"/>
          <w:headerReference w:type="first" r:id="rId32"/>
          <w:footerReference w:type="first" r:id="rId33"/>
          <w:pgSz w:w="12240" w:h="15840"/>
          <w:pgMar w:top="1559" w:right="1678" w:bottom="1418" w:left="1678" w:header="720" w:footer="227" w:gutter="0"/>
          <w:cols w:space="720"/>
          <w:noEndnote/>
        </w:sectPr>
      </w:pPr>
    </w:p>
    <w:p w14:paraId="143BE29B" w14:textId="77777777" w:rsidR="003B5312" w:rsidRPr="00CF7CB1" w:rsidRDefault="002E0F65" w:rsidP="002E0F65">
      <w:pPr>
        <w:pStyle w:val="Heading1"/>
        <w:numPr>
          <w:ilvl w:val="0"/>
          <w:numId w:val="0"/>
        </w:numPr>
        <w:ind w:left="266" w:hanging="266"/>
        <w:rPr>
          <w:lang w:val="en-AU"/>
        </w:rPr>
      </w:pPr>
      <w:r w:rsidRPr="00CF7CB1">
        <w:rPr>
          <w:lang w:val="en-AU"/>
        </w:rPr>
        <w:t>Annex 3: Consultations</w:t>
      </w:r>
    </w:p>
    <w:tbl>
      <w:tblPr>
        <w:tblStyle w:val="TableGrid"/>
        <w:tblW w:w="0" w:type="auto"/>
        <w:tblLook w:val="04A0" w:firstRow="1" w:lastRow="0" w:firstColumn="1" w:lastColumn="0" w:noHBand="0" w:noVBand="1"/>
        <w:tblCaption w:val="Consultations"/>
        <w:tblDescription w:val="This table lists the number of consultations. They were conducted with 98 people in total including Australia (20 persons), Fiji (22 persons), Vanuatu (11 persons), Samoa (2 persons), Tonga (4 persons), Papua New Guinea (1 person), Solomon Islands (2 persons), Tuvalu (1 person), Federated States of Micronesia (1 person), Laos (24 persons) and Cambodia (10 persons). Interviewed groups were DFAT Canberra, DFAT Post, PACER Plus Negotiators, Office of the Chief Trade Adviser (OCTA), Australian Government, Department of Agriculture, Australian Competition and Consumer Commission, Australian Government Border Protection, Private Sector representatives, Chamber of Commerce, Counterpart Government Officials, Managing Contractor, Pacific Island Forum, and Universities."/>
      </w:tblPr>
      <w:tblGrid>
        <w:gridCol w:w="1938"/>
        <w:gridCol w:w="1158"/>
        <w:gridCol w:w="534"/>
        <w:gridCol w:w="1084"/>
        <w:gridCol w:w="938"/>
        <w:gridCol w:w="876"/>
        <w:gridCol w:w="1175"/>
        <w:gridCol w:w="1299"/>
        <w:gridCol w:w="925"/>
        <w:gridCol w:w="1729"/>
        <w:gridCol w:w="730"/>
        <w:gridCol w:w="1280"/>
        <w:gridCol w:w="950"/>
      </w:tblGrid>
      <w:tr w:rsidR="00A6441B" w:rsidRPr="00CF7CB1" w14:paraId="08FCC998" w14:textId="77777777" w:rsidTr="00E82715">
        <w:trPr>
          <w:tblHeader/>
        </w:trPr>
        <w:tc>
          <w:tcPr>
            <w:tcW w:w="0" w:type="auto"/>
          </w:tcPr>
          <w:p w14:paraId="58710935" w14:textId="77777777" w:rsidR="00A6441B" w:rsidRPr="00CF7CB1" w:rsidRDefault="00A6441B" w:rsidP="00A6441B">
            <w:pPr>
              <w:rPr>
                <w:b/>
                <w:lang w:val="en-AU"/>
              </w:rPr>
            </w:pPr>
            <w:r w:rsidRPr="00CF7CB1">
              <w:rPr>
                <w:b/>
                <w:lang w:val="en-AU"/>
              </w:rPr>
              <w:t>Interview group</w:t>
            </w:r>
          </w:p>
        </w:tc>
        <w:tc>
          <w:tcPr>
            <w:tcW w:w="0" w:type="auto"/>
          </w:tcPr>
          <w:p w14:paraId="037B193D" w14:textId="77777777" w:rsidR="00A6441B" w:rsidRPr="00CF7CB1" w:rsidRDefault="00A6441B" w:rsidP="00A6441B">
            <w:pPr>
              <w:rPr>
                <w:b/>
                <w:lang w:val="en-AU"/>
              </w:rPr>
            </w:pPr>
            <w:r w:rsidRPr="00CF7CB1">
              <w:rPr>
                <w:b/>
                <w:lang w:val="en-AU"/>
              </w:rPr>
              <w:t>Australia</w:t>
            </w:r>
          </w:p>
        </w:tc>
        <w:tc>
          <w:tcPr>
            <w:tcW w:w="0" w:type="auto"/>
          </w:tcPr>
          <w:p w14:paraId="2483EA9D" w14:textId="77777777" w:rsidR="00A6441B" w:rsidRPr="00CF7CB1" w:rsidRDefault="00A6441B" w:rsidP="00A6441B">
            <w:pPr>
              <w:rPr>
                <w:b/>
                <w:lang w:val="en-AU"/>
              </w:rPr>
            </w:pPr>
            <w:r w:rsidRPr="00CF7CB1">
              <w:rPr>
                <w:b/>
                <w:lang w:val="en-AU"/>
              </w:rPr>
              <w:t>Fiji</w:t>
            </w:r>
          </w:p>
        </w:tc>
        <w:tc>
          <w:tcPr>
            <w:tcW w:w="0" w:type="auto"/>
          </w:tcPr>
          <w:p w14:paraId="73CC5E60" w14:textId="77777777" w:rsidR="00A6441B" w:rsidRPr="00CF7CB1" w:rsidRDefault="00A6441B" w:rsidP="00A6441B">
            <w:pPr>
              <w:rPr>
                <w:b/>
                <w:lang w:val="en-AU"/>
              </w:rPr>
            </w:pPr>
            <w:r w:rsidRPr="00CF7CB1">
              <w:rPr>
                <w:b/>
                <w:lang w:val="en-AU"/>
              </w:rPr>
              <w:t>Vanuatu</w:t>
            </w:r>
          </w:p>
        </w:tc>
        <w:tc>
          <w:tcPr>
            <w:tcW w:w="0" w:type="auto"/>
          </w:tcPr>
          <w:p w14:paraId="024D84CF" w14:textId="77777777" w:rsidR="00A6441B" w:rsidRPr="00CF7CB1" w:rsidRDefault="00A6441B" w:rsidP="00A6441B">
            <w:pPr>
              <w:rPr>
                <w:b/>
                <w:lang w:val="en-AU"/>
              </w:rPr>
            </w:pPr>
            <w:r w:rsidRPr="00CF7CB1">
              <w:rPr>
                <w:b/>
                <w:lang w:val="en-AU"/>
              </w:rPr>
              <w:t>Samoa</w:t>
            </w:r>
          </w:p>
        </w:tc>
        <w:tc>
          <w:tcPr>
            <w:tcW w:w="0" w:type="auto"/>
          </w:tcPr>
          <w:p w14:paraId="72ECBD75" w14:textId="77777777" w:rsidR="00A6441B" w:rsidRPr="00CF7CB1" w:rsidRDefault="00A6441B" w:rsidP="00A6441B">
            <w:pPr>
              <w:rPr>
                <w:b/>
                <w:lang w:val="en-AU"/>
              </w:rPr>
            </w:pPr>
            <w:r w:rsidRPr="00CF7CB1">
              <w:rPr>
                <w:b/>
                <w:lang w:val="en-AU"/>
              </w:rPr>
              <w:t>Tonga</w:t>
            </w:r>
          </w:p>
        </w:tc>
        <w:tc>
          <w:tcPr>
            <w:tcW w:w="0" w:type="auto"/>
          </w:tcPr>
          <w:p w14:paraId="7F2D1D8D" w14:textId="77777777" w:rsidR="00A6441B" w:rsidRPr="00CF7CB1" w:rsidRDefault="00A6441B" w:rsidP="00A6441B">
            <w:pPr>
              <w:rPr>
                <w:b/>
                <w:lang w:val="en-AU"/>
              </w:rPr>
            </w:pPr>
            <w:r w:rsidRPr="00CF7CB1">
              <w:rPr>
                <w:b/>
                <w:lang w:val="en-AU"/>
              </w:rPr>
              <w:t>Papua New Guinea</w:t>
            </w:r>
          </w:p>
        </w:tc>
        <w:tc>
          <w:tcPr>
            <w:tcW w:w="0" w:type="auto"/>
          </w:tcPr>
          <w:p w14:paraId="00D3984C" w14:textId="77777777" w:rsidR="00A6441B" w:rsidRPr="00CF7CB1" w:rsidRDefault="00A6441B" w:rsidP="00A6441B">
            <w:pPr>
              <w:rPr>
                <w:b/>
                <w:lang w:val="en-AU"/>
              </w:rPr>
            </w:pPr>
            <w:r w:rsidRPr="00CF7CB1">
              <w:rPr>
                <w:b/>
                <w:lang w:val="en-AU"/>
              </w:rPr>
              <w:t>Solomon Islands</w:t>
            </w:r>
          </w:p>
        </w:tc>
        <w:tc>
          <w:tcPr>
            <w:tcW w:w="0" w:type="auto"/>
          </w:tcPr>
          <w:p w14:paraId="508648A4" w14:textId="77777777" w:rsidR="00A6441B" w:rsidRPr="00CF7CB1" w:rsidRDefault="00A6441B" w:rsidP="00A6441B">
            <w:pPr>
              <w:rPr>
                <w:b/>
                <w:lang w:val="en-AU"/>
              </w:rPr>
            </w:pPr>
            <w:r w:rsidRPr="00CF7CB1">
              <w:rPr>
                <w:b/>
                <w:lang w:val="en-AU"/>
              </w:rPr>
              <w:t>Tuvalu</w:t>
            </w:r>
          </w:p>
        </w:tc>
        <w:tc>
          <w:tcPr>
            <w:tcW w:w="0" w:type="auto"/>
          </w:tcPr>
          <w:p w14:paraId="4A9D9BC9" w14:textId="77777777" w:rsidR="00A6441B" w:rsidRPr="00CF7CB1" w:rsidRDefault="00A6441B" w:rsidP="00A6441B">
            <w:pPr>
              <w:rPr>
                <w:b/>
                <w:lang w:val="en-AU"/>
              </w:rPr>
            </w:pPr>
            <w:r w:rsidRPr="00CF7CB1">
              <w:rPr>
                <w:b/>
                <w:lang w:val="en-AU"/>
              </w:rPr>
              <w:t>Federated States of Micronesia</w:t>
            </w:r>
          </w:p>
        </w:tc>
        <w:tc>
          <w:tcPr>
            <w:tcW w:w="0" w:type="auto"/>
          </w:tcPr>
          <w:p w14:paraId="1B6E5C04" w14:textId="77777777" w:rsidR="00A6441B" w:rsidRPr="00CF7CB1" w:rsidRDefault="00A6441B" w:rsidP="00A6441B">
            <w:pPr>
              <w:rPr>
                <w:b/>
                <w:lang w:val="en-AU"/>
              </w:rPr>
            </w:pPr>
            <w:r w:rsidRPr="00CF7CB1">
              <w:rPr>
                <w:b/>
                <w:lang w:val="en-AU"/>
              </w:rPr>
              <w:t>Laos</w:t>
            </w:r>
          </w:p>
        </w:tc>
        <w:tc>
          <w:tcPr>
            <w:tcW w:w="0" w:type="auto"/>
          </w:tcPr>
          <w:p w14:paraId="73CCD1CD" w14:textId="77777777" w:rsidR="00A6441B" w:rsidRPr="00CF7CB1" w:rsidRDefault="00A6441B" w:rsidP="00A6441B">
            <w:pPr>
              <w:rPr>
                <w:b/>
                <w:lang w:val="en-AU"/>
              </w:rPr>
            </w:pPr>
            <w:r w:rsidRPr="00CF7CB1">
              <w:rPr>
                <w:b/>
                <w:lang w:val="en-AU"/>
              </w:rPr>
              <w:t>Cambodia</w:t>
            </w:r>
          </w:p>
        </w:tc>
        <w:tc>
          <w:tcPr>
            <w:tcW w:w="0" w:type="auto"/>
          </w:tcPr>
          <w:p w14:paraId="1399A933" w14:textId="77777777" w:rsidR="00A6441B" w:rsidRPr="00CF7CB1" w:rsidRDefault="00A6441B" w:rsidP="00A6441B">
            <w:pPr>
              <w:rPr>
                <w:b/>
                <w:lang w:val="en-AU"/>
              </w:rPr>
            </w:pPr>
            <w:r w:rsidRPr="00CF7CB1">
              <w:rPr>
                <w:b/>
                <w:lang w:val="en-AU"/>
              </w:rPr>
              <w:t>TOTAL</w:t>
            </w:r>
          </w:p>
        </w:tc>
      </w:tr>
      <w:tr w:rsidR="00A6441B" w:rsidRPr="00CF7CB1" w14:paraId="429CA674" w14:textId="77777777" w:rsidTr="00A6441B">
        <w:tc>
          <w:tcPr>
            <w:tcW w:w="0" w:type="auto"/>
          </w:tcPr>
          <w:p w14:paraId="64CE8B4E" w14:textId="77777777" w:rsidR="00A6441B" w:rsidRPr="00CF7CB1" w:rsidRDefault="00A6441B" w:rsidP="00A6441B">
            <w:pPr>
              <w:rPr>
                <w:lang w:val="en-AU"/>
              </w:rPr>
            </w:pPr>
            <w:r w:rsidRPr="00CF7CB1">
              <w:rPr>
                <w:rFonts w:ascii="FranklinGothic-Book" w:hAnsi="FranklinGothic-Book" w:cs="FranklinGothic-Book"/>
                <w:sz w:val="18"/>
                <w:szCs w:val="18"/>
                <w:lang w:val="en-AU"/>
              </w:rPr>
              <w:t>DFAT Canberra</w:t>
            </w:r>
          </w:p>
        </w:tc>
        <w:tc>
          <w:tcPr>
            <w:tcW w:w="0" w:type="auto"/>
          </w:tcPr>
          <w:p w14:paraId="62C32D4A" w14:textId="77777777" w:rsidR="00A6441B" w:rsidRPr="00CF7CB1" w:rsidRDefault="00A6441B" w:rsidP="00A6441B">
            <w:pPr>
              <w:rPr>
                <w:lang w:val="en-AU"/>
              </w:rPr>
            </w:pPr>
            <w:r w:rsidRPr="00CF7CB1">
              <w:rPr>
                <w:lang w:val="en-AU"/>
              </w:rPr>
              <w:t>12</w:t>
            </w:r>
          </w:p>
        </w:tc>
        <w:tc>
          <w:tcPr>
            <w:tcW w:w="0" w:type="auto"/>
          </w:tcPr>
          <w:p w14:paraId="74AD56AE" w14:textId="77777777" w:rsidR="00A6441B" w:rsidRPr="00CF7CB1" w:rsidRDefault="00A6441B" w:rsidP="00A6441B">
            <w:pPr>
              <w:rPr>
                <w:lang w:val="en-AU"/>
              </w:rPr>
            </w:pPr>
          </w:p>
        </w:tc>
        <w:tc>
          <w:tcPr>
            <w:tcW w:w="0" w:type="auto"/>
          </w:tcPr>
          <w:p w14:paraId="38E35982" w14:textId="77777777" w:rsidR="00A6441B" w:rsidRPr="00CF7CB1" w:rsidRDefault="00A6441B" w:rsidP="00A6441B">
            <w:pPr>
              <w:rPr>
                <w:lang w:val="en-AU"/>
              </w:rPr>
            </w:pPr>
          </w:p>
        </w:tc>
        <w:tc>
          <w:tcPr>
            <w:tcW w:w="0" w:type="auto"/>
          </w:tcPr>
          <w:p w14:paraId="04ED934B" w14:textId="77777777" w:rsidR="00A6441B" w:rsidRPr="00CF7CB1" w:rsidRDefault="00A6441B" w:rsidP="00A6441B">
            <w:pPr>
              <w:rPr>
                <w:lang w:val="en-AU"/>
              </w:rPr>
            </w:pPr>
          </w:p>
        </w:tc>
        <w:tc>
          <w:tcPr>
            <w:tcW w:w="0" w:type="auto"/>
          </w:tcPr>
          <w:p w14:paraId="2938472A" w14:textId="77777777" w:rsidR="00A6441B" w:rsidRPr="00CF7CB1" w:rsidRDefault="00A6441B" w:rsidP="00A6441B">
            <w:pPr>
              <w:rPr>
                <w:lang w:val="en-AU"/>
              </w:rPr>
            </w:pPr>
          </w:p>
        </w:tc>
        <w:tc>
          <w:tcPr>
            <w:tcW w:w="0" w:type="auto"/>
          </w:tcPr>
          <w:p w14:paraId="6F0EE275" w14:textId="77777777" w:rsidR="00A6441B" w:rsidRPr="00CF7CB1" w:rsidRDefault="00A6441B" w:rsidP="00A6441B">
            <w:pPr>
              <w:rPr>
                <w:lang w:val="en-AU"/>
              </w:rPr>
            </w:pPr>
          </w:p>
        </w:tc>
        <w:tc>
          <w:tcPr>
            <w:tcW w:w="0" w:type="auto"/>
          </w:tcPr>
          <w:p w14:paraId="2912984B" w14:textId="77777777" w:rsidR="00A6441B" w:rsidRPr="00CF7CB1" w:rsidRDefault="00A6441B" w:rsidP="00A6441B">
            <w:pPr>
              <w:rPr>
                <w:lang w:val="en-AU"/>
              </w:rPr>
            </w:pPr>
          </w:p>
        </w:tc>
        <w:tc>
          <w:tcPr>
            <w:tcW w:w="0" w:type="auto"/>
          </w:tcPr>
          <w:p w14:paraId="49693D67" w14:textId="77777777" w:rsidR="00A6441B" w:rsidRPr="00CF7CB1" w:rsidRDefault="00A6441B" w:rsidP="00A6441B">
            <w:pPr>
              <w:rPr>
                <w:lang w:val="en-AU"/>
              </w:rPr>
            </w:pPr>
          </w:p>
        </w:tc>
        <w:tc>
          <w:tcPr>
            <w:tcW w:w="0" w:type="auto"/>
          </w:tcPr>
          <w:p w14:paraId="65656F2F" w14:textId="77777777" w:rsidR="00A6441B" w:rsidRPr="00CF7CB1" w:rsidRDefault="00A6441B" w:rsidP="00A6441B">
            <w:pPr>
              <w:rPr>
                <w:lang w:val="en-AU"/>
              </w:rPr>
            </w:pPr>
          </w:p>
        </w:tc>
        <w:tc>
          <w:tcPr>
            <w:tcW w:w="0" w:type="auto"/>
          </w:tcPr>
          <w:p w14:paraId="7F6744F2" w14:textId="77777777" w:rsidR="00A6441B" w:rsidRPr="00CF7CB1" w:rsidRDefault="00A6441B" w:rsidP="00A6441B">
            <w:pPr>
              <w:rPr>
                <w:lang w:val="en-AU"/>
              </w:rPr>
            </w:pPr>
          </w:p>
        </w:tc>
        <w:tc>
          <w:tcPr>
            <w:tcW w:w="0" w:type="auto"/>
          </w:tcPr>
          <w:p w14:paraId="37CD072E" w14:textId="77777777" w:rsidR="00A6441B" w:rsidRPr="00CF7CB1" w:rsidRDefault="00A6441B" w:rsidP="00A6441B">
            <w:pPr>
              <w:rPr>
                <w:lang w:val="en-AU"/>
              </w:rPr>
            </w:pPr>
          </w:p>
        </w:tc>
        <w:tc>
          <w:tcPr>
            <w:tcW w:w="0" w:type="auto"/>
          </w:tcPr>
          <w:p w14:paraId="4F992E93" w14:textId="77777777" w:rsidR="00A6441B" w:rsidRPr="00CF7CB1" w:rsidRDefault="00A6441B" w:rsidP="00A6441B">
            <w:pPr>
              <w:rPr>
                <w:lang w:val="en-AU"/>
              </w:rPr>
            </w:pPr>
            <w:r w:rsidRPr="00CF7CB1">
              <w:rPr>
                <w:lang w:val="en-AU"/>
              </w:rPr>
              <w:t>12</w:t>
            </w:r>
          </w:p>
        </w:tc>
      </w:tr>
      <w:tr w:rsidR="00A6441B" w:rsidRPr="00CF7CB1" w14:paraId="015B271B" w14:textId="77777777" w:rsidTr="00A6441B">
        <w:tc>
          <w:tcPr>
            <w:tcW w:w="0" w:type="auto"/>
          </w:tcPr>
          <w:p w14:paraId="0EAA7CF2" w14:textId="77777777" w:rsidR="00A6441B" w:rsidRPr="00CF7CB1" w:rsidRDefault="00A6441B" w:rsidP="00A6441B">
            <w:pPr>
              <w:rPr>
                <w:lang w:val="en-AU"/>
              </w:rPr>
            </w:pPr>
            <w:r w:rsidRPr="00CF7CB1">
              <w:rPr>
                <w:rFonts w:ascii="FranklinGothic-Book" w:hAnsi="FranklinGothic-Book" w:cs="FranklinGothic-Book"/>
                <w:sz w:val="18"/>
                <w:szCs w:val="18"/>
                <w:lang w:val="en-AU"/>
              </w:rPr>
              <w:t>DFAT Post</w:t>
            </w:r>
          </w:p>
        </w:tc>
        <w:tc>
          <w:tcPr>
            <w:tcW w:w="0" w:type="auto"/>
          </w:tcPr>
          <w:p w14:paraId="3D880A5C" w14:textId="77777777" w:rsidR="00A6441B" w:rsidRPr="00CF7CB1" w:rsidRDefault="00A6441B" w:rsidP="00A6441B">
            <w:pPr>
              <w:rPr>
                <w:lang w:val="en-AU"/>
              </w:rPr>
            </w:pPr>
          </w:p>
        </w:tc>
        <w:tc>
          <w:tcPr>
            <w:tcW w:w="0" w:type="auto"/>
          </w:tcPr>
          <w:p w14:paraId="270238F9" w14:textId="77777777" w:rsidR="00A6441B" w:rsidRPr="00CF7CB1" w:rsidRDefault="00A6441B" w:rsidP="00A6441B">
            <w:pPr>
              <w:rPr>
                <w:lang w:val="en-AU"/>
              </w:rPr>
            </w:pPr>
            <w:r w:rsidRPr="00CF7CB1">
              <w:rPr>
                <w:lang w:val="en-AU"/>
              </w:rPr>
              <w:t>2</w:t>
            </w:r>
          </w:p>
        </w:tc>
        <w:tc>
          <w:tcPr>
            <w:tcW w:w="0" w:type="auto"/>
          </w:tcPr>
          <w:p w14:paraId="1B508239" w14:textId="77777777" w:rsidR="00A6441B" w:rsidRPr="00CF7CB1" w:rsidRDefault="00A6441B" w:rsidP="00A6441B">
            <w:pPr>
              <w:rPr>
                <w:lang w:val="en-AU"/>
              </w:rPr>
            </w:pPr>
            <w:r w:rsidRPr="00CF7CB1">
              <w:rPr>
                <w:lang w:val="en-AU"/>
              </w:rPr>
              <w:t>2</w:t>
            </w:r>
          </w:p>
        </w:tc>
        <w:tc>
          <w:tcPr>
            <w:tcW w:w="0" w:type="auto"/>
          </w:tcPr>
          <w:p w14:paraId="7AA08F68" w14:textId="77777777" w:rsidR="00A6441B" w:rsidRPr="00CF7CB1" w:rsidRDefault="00A6441B" w:rsidP="00A6441B">
            <w:pPr>
              <w:rPr>
                <w:lang w:val="en-AU"/>
              </w:rPr>
            </w:pPr>
          </w:p>
        </w:tc>
        <w:tc>
          <w:tcPr>
            <w:tcW w:w="0" w:type="auto"/>
          </w:tcPr>
          <w:p w14:paraId="7CAA8CA7" w14:textId="77777777" w:rsidR="00A6441B" w:rsidRPr="00CF7CB1" w:rsidRDefault="00A6441B" w:rsidP="00A6441B">
            <w:pPr>
              <w:rPr>
                <w:lang w:val="en-AU"/>
              </w:rPr>
            </w:pPr>
          </w:p>
        </w:tc>
        <w:tc>
          <w:tcPr>
            <w:tcW w:w="0" w:type="auto"/>
          </w:tcPr>
          <w:p w14:paraId="35E2D6E2" w14:textId="77777777" w:rsidR="00A6441B" w:rsidRPr="00CF7CB1" w:rsidRDefault="00A6441B" w:rsidP="00A6441B">
            <w:pPr>
              <w:rPr>
                <w:lang w:val="en-AU"/>
              </w:rPr>
            </w:pPr>
          </w:p>
        </w:tc>
        <w:tc>
          <w:tcPr>
            <w:tcW w:w="0" w:type="auto"/>
          </w:tcPr>
          <w:p w14:paraId="5A5A6B73" w14:textId="77777777" w:rsidR="00A6441B" w:rsidRPr="00CF7CB1" w:rsidRDefault="00A6441B" w:rsidP="00A6441B">
            <w:pPr>
              <w:rPr>
                <w:lang w:val="en-AU"/>
              </w:rPr>
            </w:pPr>
          </w:p>
        </w:tc>
        <w:tc>
          <w:tcPr>
            <w:tcW w:w="0" w:type="auto"/>
          </w:tcPr>
          <w:p w14:paraId="59D90254" w14:textId="77777777" w:rsidR="00A6441B" w:rsidRPr="00CF7CB1" w:rsidRDefault="00A6441B" w:rsidP="00A6441B">
            <w:pPr>
              <w:rPr>
                <w:lang w:val="en-AU"/>
              </w:rPr>
            </w:pPr>
          </w:p>
        </w:tc>
        <w:tc>
          <w:tcPr>
            <w:tcW w:w="0" w:type="auto"/>
          </w:tcPr>
          <w:p w14:paraId="753B2B67" w14:textId="77777777" w:rsidR="00A6441B" w:rsidRPr="00CF7CB1" w:rsidRDefault="00A6441B" w:rsidP="00A6441B">
            <w:pPr>
              <w:rPr>
                <w:lang w:val="en-AU"/>
              </w:rPr>
            </w:pPr>
          </w:p>
        </w:tc>
        <w:tc>
          <w:tcPr>
            <w:tcW w:w="0" w:type="auto"/>
          </w:tcPr>
          <w:p w14:paraId="79FCF4EB" w14:textId="77777777" w:rsidR="00A6441B" w:rsidRPr="00CF7CB1" w:rsidRDefault="00A6441B" w:rsidP="00A6441B">
            <w:pPr>
              <w:rPr>
                <w:lang w:val="en-AU"/>
              </w:rPr>
            </w:pPr>
            <w:r w:rsidRPr="00CF7CB1">
              <w:rPr>
                <w:lang w:val="en-AU"/>
              </w:rPr>
              <w:t>4</w:t>
            </w:r>
          </w:p>
        </w:tc>
        <w:tc>
          <w:tcPr>
            <w:tcW w:w="0" w:type="auto"/>
          </w:tcPr>
          <w:p w14:paraId="784CC7CA" w14:textId="77777777" w:rsidR="00A6441B" w:rsidRPr="00CF7CB1" w:rsidRDefault="00A6441B" w:rsidP="00A6441B">
            <w:pPr>
              <w:rPr>
                <w:lang w:val="en-AU"/>
              </w:rPr>
            </w:pPr>
          </w:p>
        </w:tc>
        <w:tc>
          <w:tcPr>
            <w:tcW w:w="0" w:type="auto"/>
          </w:tcPr>
          <w:p w14:paraId="34998A4B" w14:textId="77777777" w:rsidR="00A6441B" w:rsidRPr="00CF7CB1" w:rsidRDefault="00A6441B" w:rsidP="00A6441B">
            <w:pPr>
              <w:rPr>
                <w:lang w:val="en-AU"/>
              </w:rPr>
            </w:pPr>
            <w:r w:rsidRPr="00CF7CB1">
              <w:rPr>
                <w:lang w:val="en-AU"/>
              </w:rPr>
              <w:t>8</w:t>
            </w:r>
          </w:p>
        </w:tc>
      </w:tr>
      <w:tr w:rsidR="00A6441B" w:rsidRPr="00CF7CB1" w14:paraId="2340A70C" w14:textId="77777777" w:rsidTr="00A6441B">
        <w:tc>
          <w:tcPr>
            <w:tcW w:w="0" w:type="auto"/>
          </w:tcPr>
          <w:p w14:paraId="20F7F1B4" w14:textId="77777777" w:rsidR="00A6441B" w:rsidRPr="00CF7CB1" w:rsidRDefault="00A6441B" w:rsidP="00A6441B">
            <w:pPr>
              <w:autoSpaceDE w:val="0"/>
              <w:autoSpaceDN w:val="0"/>
              <w:adjustRightInd w:val="0"/>
              <w:rPr>
                <w:lang w:val="en-AU"/>
              </w:rPr>
            </w:pPr>
            <w:r w:rsidRPr="00CF7CB1">
              <w:rPr>
                <w:rFonts w:ascii="FranklinGothic-Book" w:hAnsi="FranklinGothic-Book" w:cs="FranklinGothic-Book"/>
                <w:sz w:val="18"/>
                <w:szCs w:val="18"/>
                <w:lang w:val="en-AU"/>
              </w:rPr>
              <w:t>PACER Plus Negotiators</w:t>
            </w:r>
          </w:p>
        </w:tc>
        <w:tc>
          <w:tcPr>
            <w:tcW w:w="0" w:type="auto"/>
          </w:tcPr>
          <w:p w14:paraId="63005763" w14:textId="77777777" w:rsidR="00A6441B" w:rsidRPr="00CF7CB1" w:rsidRDefault="00A6441B" w:rsidP="00A6441B">
            <w:pPr>
              <w:rPr>
                <w:lang w:val="en-AU"/>
              </w:rPr>
            </w:pPr>
          </w:p>
        </w:tc>
        <w:tc>
          <w:tcPr>
            <w:tcW w:w="0" w:type="auto"/>
          </w:tcPr>
          <w:p w14:paraId="1F2563DF" w14:textId="77777777" w:rsidR="00A6441B" w:rsidRPr="00CF7CB1" w:rsidRDefault="00A6441B" w:rsidP="00A6441B">
            <w:pPr>
              <w:rPr>
                <w:lang w:val="en-AU"/>
              </w:rPr>
            </w:pPr>
          </w:p>
        </w:tc>
        <w:tc>
          <w:tcPr>
            <w:tcW w:w="0" w:type="auto"/>
          </w:tcPr>
          <w:p w14:paraId="78751735" w14:textId="77777777" w:rsidR="00A6441B" w:rsidRPr="00CF7CB1" w:rsidRDefault="00A6441B" w:rsidP="00A6441B">
            <w:pPr>
              <w:rPr>
                <w:lang w:val="en-AU"/>
              </w:rPr>
            </w:pPr>
          </w:p>
        </w:tc>
        <w:tc>
          <w:tcPr>
            <w:tcW w:w="0" w:type="auto"/>
          </w:tcPr>
          <w:p w14:paraId="3F084B1C" w14:textId="77777777" w:rsidR="00A6441B" w:rsidRPr="00CF7CB1" w:rsidRDefault="00A6441B" w:rsidP="00A6441B">
            <w:pPr>
              <w:rPr>
                <w:lang w:val="en-AU"/>
              </w:rPr>
            </w:pPr>
            <w:r w:rsidRPr="00CF7CB1">
              <w:rPr>
                <w:lang w:val="en-AU"/>
              </w:rPr>
              <w:t>2</w:t>
            </w:r>
          </w:p>
        </w:tc>
        <w:tc>
          <w:tcPr>
            <w:tcW w:w="0" w:type="auto"/>
          </w:tcPr>
          <w:p w14:paraId="3C363894" w14:textId="77777777" w:rsidR="00A6441B" w:rsidRPr="00CF7CB1" w:rsidRDefault="00A6441B" w:rsidP="00A6441B">
            <w:pPr>
              <w:rPr>
                <w:lang w:val="en-AU"/>
              </w:rPr>
            </w:pPr>
            <w:r w:rsidRPr="00CF7CB1">
              <w:rPr>
                <w:lang w:val="en-AU"/>
              </w:rPr>
              <w:t>4</w:t>
            </w:r>
          </w:p>
        </w:tc>
        <w:tc>
          <w:tcPr>
            <w:tcW w:w="0" w:type="auto"/>
          </w:tcPr>
          <w:p w14:paraId="07256394" w14:textId="77777777" w:rsidR="00A6441B" w:rsidRPr="00CF7CB1" w:rsidRDefault="00A6441B" w:rsidP="00A6441B">
            <w:pPr>
              <w:rPr>
                <w:lang w:val="en-AU"/>
              </w:rPr>
            </w:pPr>
            <w:r w:rsidRPr="00CF7CB1">
              <w:rPr>
                <w:lang w:val="en-AU"/>
              </w:rPr>
              <w:t>1</w:t>
            </w:r>
          </w:p>
        </w:tc>
        <w:tc>
          <w:tcPr>
            <w:tcW w:w="0" w:type="auto"/>
          </w:tcPr>
          <w:p w14:paraId="4069E820" w14:textId="77777777" w:rsidR="00A6441B" w:rsidRPr="00CF7CB1" w:rsidRDefault="00A6441B" w:rsidP="00A6441B">
            <w:pPr>
              <w:rPr>
                <w:lang w:val="en-AU"/>
              </w:rPr>
            </w:pPr>
            <w:r w:rsidRPr="00CF7CB1">
              <w:rPr>
                <w:lang w:val="en-AU"/>
              </w:rPr>
              <w:t>2</w:t>
            </w:r>
          </w:p>
        </w:tc>
        <w:tc>
          <w:tcPr>
            <w:tcW w:w="0" w:type="auto"/>
          </w:tcPr>
          <w:p w14:paraId="39FAF8C7" w14:textId="77777777" w:rsidR="00A6441B" w:rsidRPr="00CF7CB1" w:rsidRDefault="00A6441B" w:rsidP="00A6441B">
            <w:pPr>
              <w:rPr>
                <w:lang w:val="en-AU"/>
              </w:rPr>
            </w:pPr>
            <w:r w:rsidRPr="00CF7CB1">
              <w:rPr>
                <w:lang w:val="en-AU"/>
              </w:rPr>
              <w:t>1</w:t>
            </w:r>
          </w:p>
        </w:tc>
        <w:tc>
          <w:tcPr>
            <w:tcW w:w="0" w:type="auto"/>
          </w:tcPr>
          <w:p w14:paraId="6C26CC5F" w14:textId="77777777" w:rsidR="00A6441B" w:rsidRPr="00CF7CB1" w:rsidRDefault="00A6441B" w:rsidP="00A6441B">
            <w:pPr>
              <w:rPr>
                <w:lang w:val="en-AU"/>
              </w:rPr>
            </w:pPr>
            <w:r w:rsidRPr="00CF7CB1">
              <w:rPr>
                <w:lang w:val="en-AU"/>
              </w:rPr>
              <w:t>1</w:t>
            </w:r>
          </w:p>
        </w:tc>
        <w:tc>
          <w:tcPr>
            <w:tcW w:w="0" w:type="auto"/>
          </w:tcPr>
          <w:p w14:paraId="277B4FCD" w14:textId="77777777" w:rsidR="00A6441B" w:rsidRPr="00CF7CB1" w:rsidRDefault="00A6441B" w:rsidP="00A6441B">
            <w:pPr>
              <w:rPr>
                <w:lang w:val="en-AU"/>
              </w:rPr>
            </w:pPr>
          </w:p>
        </w:tc>
        <w:tc>
          <w:tcPr>
            <w:tcW w:w="0" w:type="auto"/>
          </w:tcPr>
          <w:p w14:paraId="40B1258B" w14:textId="77777777" w:rsidR="00A6441B" w:rsidRPr="00CF7CB1" w:rsidRDefault="00A6441B" w:rsidP="00A6441B">
            <w:pPr>
              <w:rPr>
                <w:lang w:val="en-AU"/>
              </w:rPr>
            </w:pPr>
          </w:p>
        </w:tc>
        <w:tc>
          <w:tcPr>
            <w:tcW w:w="0" w:type="auto"/>
          </w:tcPr>
          <w:p w14:paraId="66FA1691" w14:textId="77777777" w:rsidR="00A6441B" w:rsidRPr="00CF7CB1" w:rsidRDefault="00A6441B" w:rsidP="00A6441B">
            <w:pPr>
              <w:rPr>
                <w:lang w:val="en-AU"/>
              </w:rPr>
            </w:pPr>
            <w:r w:rsidRPr="00CF7CB1">
              <w:rPr>
                <w:lang w:val="en-AU"/>
              </w:rPr>
              <w:t>11</w:t>
            </w:r>
          </w:p>
        </w:tc>
      </w:tr>
      <w:tr w:rsidR="00A6441B" w:rsidRPr="00CF7CB1" w14:paraId="1F8E7477" w14:textId="77777777" w:rsidTr="00A6441B">
        <w:tc>
          <w:tcPr>
            <w:tcW w:w="0" w:type="auto"/>
          </w:tcPr>
          <w:p w14:paraId="02554032" w14:textId="77777777" w:rsidR="00A6441B" w:rsidRPr="00CF7CB1" w:rsidRDefault="00A6441B" w:rsidP="00A6441B">
            <w:pPr>
              <w:autoSpaceDE w:val="0"/>
              <w:autoSpaceDN w:val="0"/>
              <w:adjustRightInd w:val="0"/>
              <w:rPr>
                <w:lang w:val="en-AU"/>
              </w:rPr>
            </w:pPr>
            <w:r w:rsidRPr="00CF7CB1">
              <w:rPr>
                <w:rFonts w:ascii="FranklinGothic-Book" w:hAnsi="FranklinGothic-Book" w:cs="FranklinGothic-Book"/>
                <w:sz w:val="18"/>
                <w:szCs w:val="18"/>
                <w:lang w:val="en-AU"/>
              </w:rPr>
              <w:t>Office of the Chief Trade Adviser (OCTA)</w:t>
            </w:r>
          </w:p>
        </w:tc>
        <w:tc>
          <w:tcPr>
            <w:tcW w:w="0" w:type="auto"/>
          </w:tcPr>
          <w:p w14:paraId="1B8C608F" w14:textId="77777777" w:rsidR="00A6441B" w:rsidRPr="00CF7CB1" w:rsidRDefault="00A6441B" w:rsidP="00A6441B">
            <w:pPr>
              <w:rPr>
                <w:lang w:val="en-AU"/>
              </w:rPr>
            </w:pPr>
          </w:p>
        </w:tc>
        <w:tc>
          <w:tcPr>
            <w:tcW w:w="0" w:type="auto"/>
          </w:tcPr>
          <w:p w14:paraId="73610FBC" w14:textId="77777777" w:rsidR="00A6441B" w:rsidRPr="00CF7CB1" w:rsidRDefault="00A6441B" w:rsidP="00A6441B">
            <w:pPr>
              <w:rPr>
                <w:lang w:val="en-AU"/>
              </w:rPr>
            </w:pPr>
          </w:p>
        </w:tc>
        <w:tc>
          <w:tcPr>
            <w:tcW w:w="0" w:type="auto"/>
          </w:tcPr>
          <w:p w14:paraId="6DA5A292" w14:textId="77777777" w:rsidR="00A6441B" w:rsidRPr="00CF7CB1" w:rsidRDefault="00A6441B" w:rsidP="00A6441B">
            <w:pPr>
              <w:rPr>
                <w:lang w:val="en-AU"/>
              </w:rPr>
            </w:pPr>
            <w:r w:rsidRPr="00CF7CB1">
              <w:rPr>
                <w:lang w:val="en-AU"/>
              </w:rPr>
              <w:t>2</w:t>
            </w:r>
          </w:p>
        </w:tc>
        <w:tc>
          <w:tcPr>
            <w:tcW w:w="0" w:type="auto"/>
          </w:tcPr>
          <w:p w14:paraId="065A9DE0" w14:textId="77777777" w:rsidR="00A6441B" w:rsidRPr="00CF7CB1" w:rsidRDefault="00A6441B" w:rsidP="00A6441B">
            <w:pPr>
              <w:rPr>
                <w:lang w:val="en-AU"/>
              </w:rPr>
            </w:pPr>
          </w:p>
        </w:tc>
        <w:tc>
          <w:tcPr>
            <w:tcW w:w="0" w:type="auto"/>
          </w:tcPr>
          <w:p w14:paraId="5D673DF7" w14:textId="77777777" w:rsidR="00A6441B" w:rsidRPr="00CF7CB1" w:rsidRDefault="00A6441B" w:rsidP="00A6441B">
            <w:pPr>
              <w:rPr>
                <w:lang w:val="en-AU"/>
              </w:rPr>
            </w:pPr>
          </w:p>
        </w:tc>
        <w:tc>
          <w:tcPr>
            <w:tcW w:w="0" w:type="auto"/>
          </w:tcPr>
          <w:p w14:paraId="5CC11148" w14:textId="77777777" w:rsidR="00A6441B" w:rsidRPr="00CF7CB1" w:rsidRDefault="00A6441B" w:rsidP="00A6441B">
            <w:pPr>
              <w:rPr>
                <w:lang w:val="en-AU"/>
              </w:rPr>
            </w:pPr>
          </w:p>
        </w:tc>
        <w:tc>
          <w:tcPr>
            <w:tcW w:w="0" w:type="auto"/>
          </w:tcPr>
          <w:p w14:paraId="75C0EE37" w14:textId="77777777" w:rsidR="00A6441B" w:rsidRPr="00CF7CB1" w:rsidRDefault="00A6441B" w:rsidP="00A6441B">
            <w:pPr>
              <w:rPr>
                <w:lang w:val="en-AU"/>
              </w:rPr>
            </w:pPr>
          </w:p>
        </w:tc>
        <w:tc>
          <w:tcPr>
            <w:tcW w:w="0" w:type="auto"/>
          </w:tcPr>
          <w:p w14:paraId="057FA5E0" w14:textId="77777777" w:rsidR="00A6441B" w:rsidRPr="00CF7CB1" w:rsidRDefault="00A6441B" w:rsidP="00A6441B">
            <w:pPr>
              <w:rPr>
                <w:lang w:val="en-AU"/>
              </w:rPr>
            </w:pPr>
          </w:p>
        </w:tc>
        <w:tc>
          <w:tcPr>
            <w:tcW w:w="0" w:type="auto"/>
          </w:tcPr>
          <w:p w14:paraId="0D0B3973" w14:textId="77777777" w:rsidR="00A6441B" w:rsidRPr="00CF7CB1" w:rsidRDefault="00A6441B" w:rsidP="00A6441B">
            <w:pPr>
              <w:rPr>
                <w:lang w:val="en-AU"/>
              </w:rPr>
            </w:pPr>
          </w:p>
        </w:tc>
        <w:tc>
          <w:tcPr>
            <w:tcW w:w="0" w:type="auto"/>
          </w:tcPr>
          <w:p w14:paraId="02A7B7AA" w14:textId="77777777" w:rsidR="00A6441B" w:rsidRPr="00CF7CB1" w:rsidRDefault="00A6441B" w:rsidP="00A6441B">
            <w:pPr>
              <w:rPr>
                <w:lang w:val="en-AU"/>
              </w:rPr>
            </w:pPr>
          </w:p>
        </w:tc>
        <w:tc>
          <w:tcPr>
            <w:tcW w:w="0" w:type="auto"/>
          </w:tcPr>
          <w:p w14:paraId="773DA1C9" w14:textId="77777777" w:rsidR="00A6441B" w:rsidRPr="00CF7CB1" w:rsidRDefault="00A6441B" w:rsidP="00A6441B">
            <w:pPr>
              <w:rPr>
                <w:lang w:val="en-AU"/>
              </w:rPr>
            </w:pPr>
          </w:p>
        </w:tc>
        <w:tc>
          <w:tcPr>
            <w:tcW w:w="0" w:type="auto"/>
          </w:tcPr>
          <w:p w14:paraId="1274A299" w14:textId="77777777" w:rsidR="00A6441B" w:rsidRPr="00CF7CB1" w:rsidRDefault="00A6441B" w:rsidP="00A6441B">
            <w:pPr>
              <w:rPr>
                <w:lang w:val="en-AU"/>
              </w:rPr>
            </w:pPr>
            <w:r w:rsidRPr="00CF7CB1">
              <w:rPr>
                <w:lang w:val="en-AU"/>
              </w:rPr>
              <w:t>2</w:t>
            </w:r>
          </w:p>
        </w:tc>
      </w:tr>
      <w:tr w:rsidR="00A6441B" w:rsidRPr="00CF7CB1" w14:paraId="55E9AEBA" w14:textId="77777777" w:rsidTr="00A6441B">
        <w:tc>
          <w:tcPr>
            <w:tcW w:w="0" w:type="auto"/>
          </w:tcPr>
          <w:p w14:paraId="3716CB81" w14:textId="77777777" w:rsidR="00A6441B" w:rsidRPr="00CF7CB1" w:rsidRDefault="00A6441B" w:rsidP="00A6441B">
            <w:pPr>
              <w:autoSpaceDE w:val="0"/>
              <w:autoSpaceDN w:val="0"/>
              <w:adjustRightInd w:val="0"/>
              <w:rPr>
                <w:lang w:val="en-AU"/>
              </w:rPr>
            </w:pPr>
            <w:r w:rsidRPr="00CF7CB1">
              <w:rPr>
                <w:rFonts w:ascii="FranklinGothic-Book" w:hAnsi="FranklinGothic-Book" w:cs="FranklinGothic-Book"/>
                <w:sz w:val="18"/>
                <w:szCs w:val="18"/>
                <w:lang w:val="en-AU"/>
              </w:rPr>
              <w:t>Australian Government, Department of Agriculture</w:t>
            </w:r>
          </w:p>
        </w:tc>
        <w:tc>
          <w:tcPr>
            <w:tcW w:w="0" w:type="auto"/>
          </w:tcPr>
          <w:p w14:paraId="0089D847" w14:textId="77777777" w:rsidR="00A6441B" w:rsidRPr="00CF7CB1" w:rsidRDefault="00A6441B" w:rsidP="00A6441B">
            <w:pPr>
              <w:rPr>
                <w:lang w:val="en-AU"/>
              </w:rPr>
            </w:pPr>
            <w:r w:rsidRPr="00CF7CB1">
              <w:rPr>
                <w:lang w:val="en-AU"/>
              </w:rPr>
              <w:t>2</w:t>
            </w:r>
          </w:p>
        </w:tc>
        <w:tc>
          <w:tcPr>
            <w:tcW w:w="0" w:type="auto"/>
          </w:tcPr>
          <w:p w14:paraId="433AC90D" w14:textId="77777777" w:rsidR="00A6441B" w:rsidRPr="00CF7CB1" w:rsidRDefault="00A6441B" w:rsidP="00A6441B">
            <w:pPr>
              <w:rPr>
                <w:lang w:val="en-AU"/>
              </w:rPr>
            </w:pPr>
          </w:p>
        </w:tc>
        <w:tc>
          <w:tcPr>
            <w:tcW w:w="0" w:type="auto"/>
          </w:tcPr>
          <w:p w14:paraId="413FC679" w14:textId="77777777" w:rsidR="00A6441B" w:rsidRPr="00CF7CB1" w:rsidRDefault="00A6441B" w:rsidP="00A6441B">
            <w:pPr>
              <w:rPr>
                <w:lang w:val="en-AU"/>
              </w:rPr>
            </w:pPr>
          </w:p>
        </w:tc>
        <w:tc>
          <w:tcPr>
            <w:tcW w:w="0" w:type="auto"/>
          </w:tcPr>
          <w:p w14:paraId="46ADF197" w14:textId="77777777" w:rsidR="00A6441B" w:rsidRPr="00CF7CB1" w:rsidRDefault="00A6441B" w:rsidP="00A6441B">
            <w:pPr>
              <w:rPr>
                <w:lang w:val="en-AU"/>
              </w:rPr>
            </w:pPr>
          </w:p>
        </w:tc>
        <w:tc>
          <w:tcPr>
            <w:tcW w:w="0" w:type="auto"/>
          </w:tcPr>
          <w:p w14:paraId="1A19FB55" w14:textId="77777777" w:rsidR="00A6441B" w:rsidRPr="00CF7CB1" w:rsidRDefault="00A6441B" w:rsidP="00A6441B">
            <w:pPr>
              <w:rPr>
                <w:lang w:val="en-AU"/>
              </w:rPr>
            </w:pPr>
          </w:p>
        </w:tc>
        <w:tc>
          <w:tcPr>
            <w:tcW w:w="0" w:type="auto"/>
          </w:tcPr>
          <w:p w14:paraId="71CBBEAC" w14:textId="77777777" w:rsidR="00A6441B" w:rsidRPr="00CF7CB1" w:rsidRDefault="00A6441B" w:rsidP="00A6441B">
            <w:pPr>
              <w:rPr>
                <w:lang w:val="en-AU"/>
              </w:rPr>
            </w:pPr>
          </w:p>
        </w:tc>
        <w:tc>
          <w:tcPr>
            <w:tcW w:w="0" w:type="auto"/>
          </w:tcPr>
          <w:p w14:paraId="305EC1AC" w14:textId="77777777" w:rsidR="00A6441B" w:rsidRPr="00CF7CB1" w:rsidRDefault="00A6441B" w:rsidP="00A6441B">
            <w:pPr>
              <w:rPr>
                <w:lang w:val="en-AU"/>
              </w:rPr>
            </w:pPr>
          </w:p>
        </w:tc>
        <w:tc>
          <w:tcPr>
            <w:tcW w:w="0" w:type="auto"/>
          </w:tcPr>
          <w:p w14:paraId="3E38C09F" w14:textId="77777777" w:rsidR="00A6441B" w:rsidRPr="00CF7CB1" w:rsidRDefault="00A6441B" w:rsidP="00A6441B">
            <w:pPr>
              <w:rPr>
                <w:lang w:val="en-AU"/>
              </w:rPr>
            </w:pPr>
          </w:p>
        </w:tc>
        <w:tc>
          <w:tcPr>
            <w:tcW w:w="0" w:type="auto"/>
          </w:tcPr>
          <w:p w14:paraId="22426523" w14:textId="77777777" w:rsidR="00A6441B" w:rsidRPr="00CF7CB1" w:rsidRDefault="00A6441B" w:rsidP="00A6441B">
            <w:pPr>
              <w:rPr>
                <w:lang w:val="en-AU"/>
              </w:rPr>
            </w:pPr>
          </w:p>
        </w:tc>
        <w:tc>
          <w:tcPr>
            <w:tcW w:w="0" w:type="auto"/>
          </w:tcPr>
          <w:p w14:paraId="682EAD3B" w14:textId="77777777" w:rsidR="00A6441B" w:rsidRPr="00CF7CB1" w:rsidRDefault="00A6441B" w:rsidP="00A6441B">
            <w:pPr>
              <w:rPr>
                <w:lang w:val="en-AU"/>
              </w:rPr>
            </w:pPr>
          </w:p>
        </w:tc>
        <w:tc>
          <w:tcPr>
            <w:tcW w:w="0" w:type="auto"/>
          </w:tcPr>
          <w:p w14:paraId="61B88F24" w14:textId="77777777" w:rsidR="00A6441B" w:rsidRPr="00CF7CB1" w:rsidRDefault="00A6441B" w:rsidP="00A6441B">
            <w:pPr>
              <w:rPr>
                <w:lang w:val="en-AU"/>
              </w:rPr>
            </w:pPr>
          </w:p>
        </w:tc>
        <w:tc>
          <w:tcPr>
            <w:tcW w:w="0" w:type="auto"/>
          </w:tcPr>
          <w:p w14:paraId="005848B3" w14:textId="77777777" w:rsidR="00A6441B" w:rsidRPr="00CF7CB1" w:rsidRDefault="00A6441B" w:rsidP="00A6441B">
            <w:pPr>
              <w:rPr>
                <w:lang w:val="en-AU"/>
              </w:rPr>
            </w:pPr>
            <w:r w:rsidRPr="00CF7CB1">
              <w:rPr>
                <w:lang w:val="en-AU"/>
              </w:rPr>
              <w:t>2</w:t>
            </w:r>
          </w:p>
        </w:tc>
      </w:tr>
      <w:tr w:rsidR="00A6441B" w:rsidRPr="00CF7CB1" w14:paraId="69300C98" w14:textId="77777777" w:rsidTr="00A6441B">
        <w:tc>
          <w:tcPr>
            <w:tcW w:w="0" w:type="auto"/>
          </w:tcPr>
          <w:p w14:paraId="00E0FC27" w14:textId="77777777" w:rsidR="00A6441B" w:rsidRPr="00CF7CB1" w:rsidRDefault="00A6441B" w:rsidP="00A6441B">
            <w:pPr>
              <w:autoSpaceDE w:val="0"/>
              <w:autoSpaceDN w:val="0"/>
              <w:adjustRightInd w:val="0"/>
              <w:rPr>
                <w:lang w:val="en-AU"/>
              </w:rPr>
            </w:pPr>
            <w:r w:rsidRPr="00CF7CB1">
              <w:rPr>
                <w:rFonts w:ascii="FranklinGothic-Book" w:hAnsi="FranklinGothic-Book" w:cs="FranklinGothic-Book"/>
                <w:sz w:val="18"/>
                <w:szCs w:val="18"/>
                <w:lang w:val="en-AU"/>
              </w:rPr>
              <w:t>Australian Competition and Consumer Commission</w:t>
            </w:r>
          </w:p>
        </w:tc>
        <w:tc>
          <w:tcPr>
            <w:tcW w:w="0" w:type="auto"/>
          </w:tcPr>
          <w:p w14:paraId="52361937" w14:textId="77777777" w:rsidR="00A6441B" w:rsidRPr="00CF7CB1" w:rsidRDefault="00A6441B" w:rsidP="00A6441B">
            <w:pPr>
              <w:rPr>
                <w:lang w:val="en-AU"/>
              </w:rPr>
            </w:pPr>
            <w:r w:rsidRPr="00CF7CB1">
              <w:rPr>
                <w:lang w:val="en-AU"/>
              </w:rPr>
              <w:t>2</w:t>
            </w:r>
          </w:p>
        </w:tc>
        <w:tc>
          <w:tcPr>
            <w:tcW w:w="0" w:type="auto"/>
          </w:tcPr>
          <w:p w14:paraId="007243E7" w14:textId="77777777" w:rsidR="00A6441B" w:rsidRPr="00CF7CB1" w:rsidRDefault="00A6441B" w:rsidP="00A6441B">
            <w:pPr>
              <w:rPr>
                <w:lang w:val="en-AU"/>
              </w:rPr>
            </w:pPr>
          </w:p>
        </w:tc>
        <w:tc>
          <w:tcPr>
            <w:tcW w:w="0" w:type="auto"/>
          </w:tcPr>
          <w:p w14:paraId="3AA3A998" w14:textId="77777777" w:rsidR="00A6441B" w:rsidRPr="00CF7CB1" w:rsidRDefault="00A6441B" w:rsidP="00A6441B">
            <w:pPr>
              <w:rPr>
                <w:lang w:val="en-AU"/>
              </w:rPr>
            </w:pPr>
          </w:p>
        </w:tc>
        <w:tc>
          <w:tcPr>
            <w:tcW w:w="0" w:type="auto"/>
          </w:tcPr>
          <w:p w14:paraId="33ADFA4C" w14:textId="77777777" w:rsidR="00A6441B" w:rsidRPr="00CF7CB1" w:rsidRDefault="00A6441B" w:rsidP="00A6441B">
            <w:pPr>
              <w:rPr>
                <w:lang w:val="en-AU"/>
              </w:rPr>
            </w:pPr>
          </w:p>
        </w:tc>
        <w:tc>
          <w:tcPr>
            <w:tcW w:w="0" w:type="auto"/>
          </w:tcPr>
          <w:p w14:paraId="3467FEE4" w14:textId="77777777" w:rsidR="00A6441B" w:rsidRPr="00CF7CB1" w:rsidRDefault="00A6441B" w:rsidP="00A6441B">
            <w:pPr>
              <w:rPr>
                <w:lang w:val="en-AU"/>
              </w:rPr>
            </w:pPr>
          </w:p>
        </w:tc>
        <w:tc>
          <w:tcPr>
            <w:tcW w:w="0" w:type="auto"/>
          </w:tcPr>
          <w:p w14:paraId="14AA3D08" w14:textId="77777777" w:rsidR="00A6441B" w:rsidRPr="00CF7CB1" w:rsidRDefault="00A6441B" w:rsidP="00A6441B">
            <w:pPr>
              <w:rPr>
                <w:lang w:val="en-AU"/>
              </w:rPr>
            </w:pPr>
          </w:p>
        </w:tc>
        <w:tc>
          <w:tcPr>
            <w:tcW w:w="0" w:type="auto"/>
          </w:tcPr>
          <w:p w14:paraId="61F42B54" w14:textId="77777777" w:rsidR="00A6441B" w:rsidRPr="00CF7CB1" w:rsidRDefault="00A6441B" w:rsidP="00A6441B">
            <w:pPr>
              <w:rPr>
                <w:lang w:val="en-AU"/>
              </w:rPr>
            </w:pPr>
          </w:p>
        </w:tc>
        <w:tc>
          <w:tcPr>
            <w:tcW w:w="0" w:type="auto"/>
          </w:tcPr>
          <w:p w14:paraId="6F2F2408" w14:textId="77777777" w:rsidR="00A6441B" w:rsidRPr="00CF7CB1" w:rsidRDefault="00A6441B" w:rsidP="00A6441B">
            <w:pPr>
              <w:rPr>
                <w:lang w:val="en-AU"/>
              </w:rPr>
            </w:pPr>
          </w:p>
        </w:tc>
        <w:tc>
          <w:tcPr>
            <w:tcW w:w="0" w:type="auto"/>
          </w:tcPr>
          <w:p w14:paraId="7E864408" w14:textId="77777777" w:rsidR="00A6441B" w:rsidRPr="00CF7CB1" w:rsidRDefault="00A6441B" w:rsidP="00A6441B">
            <w:pPr>
              <w:rPr>
                <w:lang w:val="en-AU"/>
              </w:rPr>
            </w:pPr>
          </w:p>
        </w:tc>
        <w:tc>
          <w:tcPr>
            <w:tcW w:w="0" w:type="auto"/>
          </w:tcPr>
          <w:p w14:paraId="7FECF44B" w14:textId="77777777" w:rsidR="00A6441B" w:rsidRPr="00CF7CB1" w:rsidRDefault="00A6441B" w:rsidP="00A6441B">
            <w:pPr>
              <w:rPr>
                <w:lang w:val="en-AU"/>
              </w:rPr>
            </w:pPr>
          </w:p>
        </w:tc>
        <w:tc>
          <w:tcPr>
            <w:tcW w:w="0" w:type="auto"/>
          </w:tcPr>
          <w:p w14:paraId="4064D828" w14:textId="77777777" w:rsidR="00A6441B" w:rsidRPr="00CF7CB1" w:rsidRDefault="00A6441B" w:rsidP="00A6441B">
            <w:pPr>
              <w:rPr>
                <w:lang w:val="en-AU"/>
              </w:rPr>
            </w:pPr>
          </w:p>
        </w:tc>
        <w:tc>
          <w:tcPr>
            <w:tcW w:w="0" w:type="auto"/>
          </w:tcPr>
          <w:p w14:paraId="77C55A8F" w14:textId="77777777" w:rsidR="00A6441B" w:rsidRPr="00CF7CB1" w:rsidRDefault="00A6441B" w:rsidP="00A6441B">
            <w:pPr>
              <w:rPr>
                <w:lang w:val="en-AU"/>
              </w:rPr>
            </w:pPr>
            <w:r w:rsidRPr="00CF7CB1">
              <w:rPr>
                <w:lang w:val="en-AU"/>
              </w:rPr>
              <w:t>2</w:t>
            </w:r>
          </w:p>
        </w:tc>
      </w:tr>
      <w:tr w:rsidR="00A6441B" w:rsidRPr="00CF7CB1" w14:paraId="3ABA4DB2" w14:textId="77777777" w:rsidTr="00A6441B">
        <w:tc>
          <w:tcPr>
            <w:tcW w:w="0" w:type="auto"/>
          </w:tcPr>
          <w:p w14:paraId="73600BBE" w14:textId="77777777" w:rsidR="00A6441B" w:rsidRPr="00CF7CB1" w:rsidRDefault="00A6441B" w:rsidP="00A6441B">
            <w:pPr>
              <w:autoSpaceDE w:val="0"/>
              <w:autoSpaceDN w:val="0"/>
              <w:adjustRightInd w:val="0"/>
              <w:rPr>
                <w:lang w:val="en-AU"/>
              </w:rPr>
            </w:pPr>
            <w:r w:rsidRPr="00CF7CB1">
              <w:rPr>
                <w:rFonts w:ascii="FranklinGothic-Book" w:hAnsi="FranklinGothic-Book" w:cs="FranklinGothic-Book"/>
                <w:sz w:val="18"/>
                <w:szCs w:val="18"/>
                <w:lang w:val="en-AU"/>
              </w:rPr>
              <w:t>Australian Government Border Protection</w:t>
            </w:r>
          </w:p>
        </w:tc>
        <w:tc>
          <w:tcPr>
            <w:tcW w:w="0" w:type="auto"/>
          </w:tcPr>
          <w:p w14:paraId="46AF60C6" w14:textId="77777777" w:rsidR="00A6441B" w:rsidRPr="00CF7CB1" w:rsidRDefault="00A6441B" w:rsidP="00A6441B">
            <w:pPr>
              <w:rPr>
                <w:lang w:val="en-AU"/>
              </w:rPr>
            </w:pPr>
            <w:r w:rsidRPr="00CF7CB1">
              <w:rPr>
                <w:lang w:val="en-AU"/>
              </w:rPr>
              <w:t>1</w:t>
            </w:r>
          </w:p>
        </w:tc>
        <w:tc>
          <w:tcPr>
            <w:tcW w:w="0" w:type="auto"/>
          </w:tcPr>
          <w:p w14:paraId="5120635F" w14:textId="77777777" w:rsidR="00A6441B" w:rsidRPr="00CF7CB1" w:rsidRDefault="00A6441B" w:rsidP="00A6441B">
            <w:pPr>
              <w:rPr>
                <w:lang w:val="en-AU"/>
              </w:rPr>
            </w:pPr>
          </w:p>
        </w:tc>
        <w:tc>
          <w:tcPr>
            <w:tcW w:w="0" w:type="auto"/>
          </w:tcPr>
          <w:p w14:paraId="62910C60" w14:textId="77777777" w:rsidR="00A6441B" w:rsidRPr="00CF7CB1" w:rsidRDefault="00A6441B" w:rsidP="00A6441B">
            <w:pPr>
              <w:rPr>
                <w:lang w:val="en-AU"/>
              </w:rPr>
            </w:pPr>
          </w:p>
        </w:tc>
        <w:tc>
          <w:tcPr>
            <w:tcW w:w="0" w:type="auto"/>
          </w:tcPr>
          <w:p w14:paraId="7194A90C" w14:textId="77777777" w:rsidR="00A6441B" w:rsidRPr="00CF7CB1" w:rsidRDefault="00A6441B" w:rsidP="00A6441B">
            <w:pPr>
              <w:rPr>
                <w:lang w:val="en-AU"/>
              </w:rPr>
            </w:pPr>
          </w:p>
        </w:tc>
        <w:tc>
          <w:tcPr>
            <w:tcW w:w="0" w:type="auto"/>
          </w:tcPr>
          <w:p w14:paraId="6F2619F5" w14:textId="77777777" w:rsidR="00A6441B" w:rsidRPr="00CF7CB1" w:rsidRDefault="00A6441B" w:rsidP="00A6441B">
            <w:pPr>
              <w:rPr>
                <w:lang w:val="en-AU"/>
              </w:rPr>
            </w:pPr>
          </w:p>
        </w:tc>
        <w:tc>
          <w:tcPr>
            <w:tcW w:w="0" w:type="auto"/>
          </w:tcPr>
          <w:p w14:paraId="23BEBBB9" w14:textId="77777777" w:rsidR="00A6441B" w:rsidRPr="00CF7CB1" w:rsidRDefault="00A6441B" w:rsidP="00A6441B">
            <w:pPr>
              <w:rPr>
                <w:lang w:val="en-AU"/>
              </w:rPr>
            </w:pPr>
          </w:p>
        </w:tc>
        <w:tc>
          <w:tcPr>
            <w:tcW w:w="0" w:type="auto"/>
          </w:tcPr>
          <w:p w14:paraId="67347B73" w14:textId="77777777" w:rsidR="00A6441B" w:rsidRPr="00CF7CB1" w:rsidRDefault="00A6441B" w:rsidP="00A6441B">
            <w:pPr>
              <w:rPr>
                <w:lang w:val="en-AU"/>
              </w:rPr>
            </w:pPr>
          </w:p>
        </w:tc>
        <w:tc>
          <w:tcPr>
            <w:tcW w:w="0" w:type="auto"/>
          </w:tcPr>
          <w:p w14:paraId="6370E369" w14:textId="77777777" w:rsidR="00A6441B" w:rsidRPr="00CF7CB1" w:rsidRDefault="00A6441B" w:rsidP="00A6441B">
            <w:pPr>
              <w:rPr>
                <w:lang w:val="en-AU"/>
              </w:rPr>
            </w:pPr>
          </w:p>
        </w:tc>
        <w:tc>
          <w:tcPr>
            <w:tcW w:w="0" w:type="auto"/>
          </w:tcPr>
          <w:p w14:paraId="7CD11DEA" w14:textId="77777777" w:rsidR="00A6441B" w:rsidRPr="00CF7CB1" w:rsidRDefault="00A6441B" w:rsidP="00A6441B">
            <w:pPr>
              <w:rPr>
                <w:lang w:val="en-AU"/>
              </w:rPr>
            </w:pPr>
          </w:p>
        </w:tc>
        <w:tc>
          <w:tcPr>
            <w:tcW w:w="0" w:type="auto"/>
          </w:tcPr>
          <w:p w14:paraId="7D7593FD" w14:textId="77777777" w:rsidR="00A6441B" w:rsidRPr="00CF7CB1" w:rsidRDefault="00A6441B" w:rsidP="00A6441B">
            <w:pPr>
              <w:rPr>
                <w:lang w:val="en-AU"/>
              </w:rPr>
            </w:pPr>
          </w:p>
        </w:tc>
        <w:tc>
          <w:tcPr>
            <w:tcW w:w="0" w:type="auto"/>
          </w:tcPr>
          <w:p w14:paraId="22BB4606" w14:textId="77777777" w:rsidR="00A6441B" w:rsidRPr="00CF7CB1" w:rsidRDefault="00A6441B" w:rsidP="00A6441B">
            <w:pPr>
              <w:rPr>
                <w:lang w:val="en-AU"/>
              </w:rPr>
            </w:pPr>
          </w:p>
        </w:tc>
        <w:tc>
          <w:tcPr>
            <w:tcW w:w="0" w:type="auto"/>
          </w:tcPr>
          <w:p w14:paraId="057A2A6D" w14:textId="77777777" w:rsidR="00A6441B" w:rsidRPr="00CF7CB1" w:rsidRDefault="00A6441B" w:rsidP="00A6441B">
            <w:pPr>
              <w:rPr>
                <w:lang w:val="en-AU"/>
              </w:rPr>
            </w:pPr>
            <w:r w:rsidRPr="00CF7CB1">
              <w:rPr>
                <w:lang w:val="en-AU"/>
              </w:rPr>
              <w:t>1</w:t>
            </w:r>
          </w:p>
        </w:tc>
      </w:tr>
      <w:tr w:rsidR="00A6441B" w:rsidRPr="00CF7CB1" w14:paraId="25A8D7D4" w14:textId="77777777" w:rsidTr="00A6441B">
        <w:tc>
          <w:tcPr>
            <w:tcW w:w="0" w:type="auto"/>
          </w:tcPr>
          <w:p w14:paraId="1843850D" w14:textId="77777777" w:rsidR="00A6441B" w:rsidRPr="00CF7CB1" w:rsidRDefault="00A6441B" w:rsidP="00A6441B">
            <w:pPr>
              <w:autoSpaceDE w:val="0"/>
              <w:autoSpaceDN w:val="0"/>
              <w:adjustRightInd w:val="0"/>
              <w:rPr>
                <w:lang w:val="en-AU"/>
              </w:rPr>
            </w:pPr>
            <w:r w:rsidRPr="00CF7CB1">
              <w:rPr>
                <w:rFonts w:ascii="FranklinGothic-Book" w:hAnsi="FranklinGothic-Book" w:cs="FranklinGothic-Book"/>
                <w:sz w:val="18"/>
                <w:szCs w:val="18"/>
                <w:lang w:val="en-AU"/>
              </w:rPr>
              <w:t>Private Sector representatives</w:t>
            </w:r>
          </w:p>
        </w:tc>
        <w:tc>
          <w:tcPr>
            <w:tcW w:w="0" w:type="auto"/>
          </w:tcPr>
          <w:p w14:paraId="7153FFF6" w14:textId="77777777" w:rsidR="00A6441B" w:rsidRPr="00CF7CB1" w:rsidRDefault="00A6441B" w:rsidP="00A6441B">
            <w:pPr>
              <w:rPr>
                <w:lang w:val="en-AU"/>
              </w:rPr>
            </w:pPr>
            <w:r w:rsidRPr="00CF7CB1">
              <w:rPr>
                <w:lang w:val="en-AU"/>
              </w:rPr>
              <w:t>2</w:t>
            </w:r>
          </w:p>
        </w:tc>
        <w:tc>
          <w:tcPr>
            <w:tcW w:w="0" w:type="auto"/>
          </w:tcPr>
          <w:p w14:paraId="3E8F8212" w14:textId="77777777" w:rsidR="00A6441B" w:rsidRPr="00CF7CB1" w:rsidRDefault="00A6441B" w:rsidP="00A6441B">
            <w:pPr>
              <w:rPr>
                <w:lang w:val="en-AU"/>
              </w:rPr>
            </w:pPr>
            <w:r w:rsidRPr="00CF7CB1">
              <w:rPr>
                <w:lang w:val="en-AU"/>
              </w:rPr>
              <w:t>13</w:t>
            </w:r>
          </w:p>
        </w:tc>
        <w:tc>
          <w:tcPr>
            <w:tcW w:w="0" w:type="auto"/>
          </w:tcPr>
          <w:p w14:paraId="227DB034" w14:textId="77777777" w:rsidR="00A6441B" w:rsidRPr="00CF7CB1" w:rsidRDefault="00A6441B" w:rsidP="00A6441B">
            <w:pPr>
              <w:rPr>
                <w:lang w:val="en-AU"/>
              </w:rPr>
            </w:pPr>
            <w:r w:rsidRPr="00CF7CB1">
              <w:rPr>
                <w:lang w:val="en-AU"/>
              </w:rPr>
              <w:t>2</w:t>
            </w:r>
          </w:p>
        </w:tc>
        <w:tc>
          <w:tcPr>
            <w:tcW w:w="0" w:type="auto"/>
          </w:tcPr>
          <w:p w14:paraId="4ADD6F31" w14:textId="77777777" w:rsidR="00A6441B" w:rsidRPr="00CF7CB1" w:rsidRDefault="00A6441B" w:rsidP="00A6441B">
            <w:pPr>
              <w:rPr>
                <w:lang w:val="en-AU"/>
              </w:rPr>
            </w:pPr>
          </w:p>
        </w:tc>
        <w:tc>
          <w:tcPr>
            <w:tcW w:w="0" w:type="auto"/>
          </w:tcPr>
          <w:p w14:paraId="2BFF7C66" w14:textId="77777777" w:rsidR="00A6441B" w:rsidRPr="00CF7CB1" w:rsidRDefault="00A6441B" w:rsidP="00A6441B">
            <w:pPr>
              <w:rPr>
                <w:lang w:val="en-AU"/>
              </w:rPr>
            </w:pPr>
          </w:p>
        </w:tc>
        <w:tc>
          <w:tcPr>
            <w:tcW w:w="0" w:type="auto"/>
          </w:tcPr>
          <w:p w14:paraId="0354277B" w14:textId="77777777" w:rsidR="00A6441B" w:rsidRPr="00CF7CB1" w:rsidRDefault="00A6441B" w:rsidP="00A6441B">
            <w:pPr>
              <w:rPr>
                <w:lang w:val="en-AU"/>
              </w:rPr>
            </w:pPr>
          </w:p>
        </w:tc>
        <w:tc>
          <w:tcPr>
            <w:tcW w:w="0" w:type="auto"/>
          </w:tcPr>
          <w:p w14:paraId="4E7B45AA" w14:textId="77777777" w:rsidR="00A6441B" w:rsidRPr="00CF7CB1" w:rsidRDefault="00A6441B" w:rsidP="00A6441B">
            <w:pPr>
              <w:rPr>
                <w:lang w:val="en-AU"/>
              </w:rPr>
            </w:pPr>
          </w:p>
        </w:tc>
        <w:tc>
          <w:tcPr>
            <w:tcW w:w="0" w:type="auto"/>
          </w:tcPr>
          <w:p w14:paraId="6A2C7C80" w14:textId="77777777" w:rsidR="00A6441B" w:rsidRPr="00CF7CB1" w:rsidRDefault="00A6441B" w:rsidP="00A6441B">
            <w:pPr>
              <w:rPr>
                <w:lang w:val="en-AU"/>
              </w:rPr>
            </w:pPr>
          </w:p>
        </w:tc>
        <w:tc>
          <w:tcPr>
            <w:tcW w:w="0" w:type="auto"/>
          </w:tcPr>
          <w:p w14:paraId="47B12100" w14:textId="77777777" w:rsidR="00A6441B" w:rsidRPr="00CF7CB1" w:rsidRDefault="00A6441B" w:rsidP="00A6441B">
            <w:pPr>
              <w:rPr>
                <w:lang w:val="en-AU"/>
              </w:rPr>
            </w:pPr>
          </w:p>
        </w:tc>
        <w:tc>
          <w:tcPr>
            <w:tcW w:w="0" w:type="auto"/>
          </w:tcPr>
          <w:p w14:paraId="714BE96B" w14:textId="77777777" w:rsidR="00A6441B" w:rsidRPr="00CF7CB1" w:rsidRDefault="00A6441B" w:rsidP="00A6441B">
            <w:pPr>
              <w:rPr>
                <w:lang w:val="en-AU"/>
              </w:rPr>
            </w:pPr>
            <w:r w:rsidRPr="00CF7CB1">
              <w:rPr>
                <w:lang w:val="en-AU"/>
              </w:rPr>
              <w:t>2</w:t>
            </w:r>
          </w:p>
        </w:tc>
        <w:tc>
          <w:tcPr>
            <w:tcW w:w="0" w:type="auto"/>
          </w:tcPr>
          <w:p w14:paraId="0846A7B5" w14:textId="77777777" w:rsidR="00A6441B" w:rsidRPr="00CF7CB1" w:rsidRDefault="00A6441B" w:rsidP="00A6441B">
            <w:pPr>
              <w:rPr>
                <w:lang w:val="en-AU"/>
              </w:rPr>
            </w:pPr>
          </w:p>
        </w:tc>
        <w:tc>
          <w:tcPr>
            <w:tcW w:w="0" w:type="auto"/>
          </w:tcPr>
          <w:p w14:paraId="199C8BB8" w14:textId="77777777" w:rsidR="00A6441B" w:rsidRPr="00CF7CB1" w:rsidRDefault="00A6441B" w:rsidP="00A6441B">
            <w:pPr>
              <w:rPr>
                <w:lang w:val="en-AU"/>
              </w:rPr>
            </w:pPr>
            <w:r w:rsidRPr="00CF7CB1">
              <w:rPr>
                <w:lang w:val="en-AU"/>
              </w:rPr>
              <w:t>19</w:t>
            </w:r>
          </w:p>
        </w:tc>
      </w:tr>
      <w:tr w:rsidR="00A6441B" w:rsidRPr="00CF7CB1" w14:paraId="03C7F972" w14:textId="77777777" w:rsidTr="00A6441B">
        <w:tc>
          <w:tcPr>
            <w:tcW w:w="0" w:type="auto"/>
          </w:tcPr>
          <w:p w14:paraId="596CAC84" w14:textId="77777777" w:rsidR="00A6441B" w:rsidRPr="00CF7CB1" w:rsidRDefault="00A6441B" w:rsidP="00A6441B">
            <w:pPr>
              <w:rPr>
                <w:lang w:val="en-AU"/>
              </w:rPr>
            </w:pPr>
            <w:r w:rsidRPr="00CF7CB1">
              <w:rPr>
                <w:rFonts w:ascii="FranklinGothic-Book" w:hAnsi="FranklinGothic-Book" w:cs="FranklinGothic-Book"/>
                <w:sz w:val="18"/>
                <w:szCs w:val="18"/>
                <w:lang w:val="en-AU"/>
              </w:rPr>
              <w:t>Chamber of Commerce</w:t>
            </w:r>
          </w:p>
        </w:tc>
        <w:tc>
          <w:tcPr>
            <w:tcW w:w="0" w:type="auto"/>
          </w:tcPr>
          <w:p w14:paraId="39232F40" w14:textId="77777777" w:rsidR="00A6441B" w:rsidRPr="00CF7CB1" w:rsidRDefault="00A6441B" w:rsidP="00A6441B">
            <w:pPr>
              <w:rPr>
                <w:lang w:val="en-AU"/>
              </w:rPr>
            </w:pPr>
          </w:p>
        </w:tc>
        <w:tc>
          <w:tcPr>
            <w:tcW w:w="0" w:type="auto"/>
          </w:tcPr>
          <w:p w14:paraId="15D8884A" w14:textId="77777777" w:rsidR="00A6441B" w:rsidRPr="00CF7CB1" w:rsidRDefault="00A6441B" w:rsidP="00A6441B">
            <w:pPr>
              <w:rPr>
                <w:lang w:val="en-AU"/>
              </w:rPr>
            </w:pPr>
          </w:p>
        </w:tc>
        <w:tc>
          <w:tcPr>
            <w:tcW w:w="0" w:type="auto"/>
          </w:tcPr>
          <w:p w14:paraId="2EF130C9" w14:textId="77777777" w:rsidR="00A6441B" w:rsidRPr="00CF7CB1" w:rsidRDefault="00A6441B" w:rsidP="00A6441B">
            <w:pPr>
              <w:rPr>
                <w:lang w:val="en-AU"/>
              </w:rPr>
            </w:pPr>
          </w:p>
        </w:tc>
        <w:tc>
          <w:tcPr>
            <w:tcW w:w="0" w:type="auto"/>
          </w:tcPr>
          <w:p w14:paraId="75E967CE" w14:textId="77777777" w:rsidR="00A6441B" w:rsidRPr="00CF7CB1" w:rsidRDefault="00A6441B" w:rsidP="00A6441B">
            <w:pPr>
              <w:rPr>
                <w:lang w:val="en-AU"/>
              </w:rPr>
            </w:pPr>
          </w:p>
        </w:tc>
        <w:tc>
          <w:tcPr>
            <w:tcW w:w="0" w:type="auto"/>
          </w:tcPr>
          <w:p w14:paraId="16405368" w14:textId="77777777" w:rsidR="00A6441B" w:rsidRPr="00CF7CB1" w:rsidRDefault="00A6441B" w:rsidP="00A6441B">
            <w:pPr>
              <w:rPr>
                <w:lang w:val="en-AU"/>
              </w:rPr>
            </w:pPr>
          </w:p>
        </w:tc>
        <w:tc>
          <w:tcPr>
            <w:tcW w:w="0" w:type="auto"/>
          </w:tcPr>
          <w:p w14:paraId="3CCC8324" w14:textId="77777777" w:rsidR="00A6441B" w:rsidRPr="00CF7CB1" w:rsidRDefault="00A6441B" w:rsidP="00A6441B">
            <w:pPr>
              <w:rPr>
                <w:lang w:val="en-AU"/>
              </w:rPr>
            </w:pPr>
          </w:p>
        </w:tc>
        <w:tc>
          <w:tcPr>
            <w:tcW w:w="0" w:type="auto"/>
          </w:tcPr>
          <w:p w14:paraId="0CCFC510" w14:textId="77777777" w:rsidR="00A6441B" w:rsidRPr="00CF7CB1" w:rsidRDefault="00A6441B" w:rsidP="00A6441B">
            <w:pPr>
              <w:rPr>
                <w:lang w:val="en-AU"/>
              </w:rPr>
            </w:pPr>
          </w:p>
        </w:tc>
        <w:tc>
          <w:tcPr>
            <w:tcW w:w="0" w:type="auto"/>
          </w:tcPr>
          <w:p w14:paraId="19C7A725" w14:textId="77777777" w:rsidR="00A6441B" w:rsidRPr="00CF7CB1" w:rsidRDefault="00A6441B" w:rsidP="00A6441B">
            <w:pPr>
              <w:rPr>
                <w:lang w:val="en-AU"/>
              </w:rPr>
            </w:pPr>
          </w:p>
        </w:tc>
        <w:tc>
          <w:tcPr>
            <w:tcW w:w="0" w:type="auto"/>
          </w:tcPr>
          <w:p w14:paraId="1B63EFFD" w14:textId="77777777" w:rsidR="00A6441B" w:rsidRPr="00CF7CB1" w:rsidRDefault="00A6441B" w:rsidP="00A6441B">
            <w:pPr>
              <w:rPr>
                <w:lang w:val="en-AU"/>
              </w:rPr>
            </w:pPr>
          </w:p>
        </w:tc>
        <w:tc>
          <w:tcPr>
            <w:tcW w:w="0" w:type="auto"/>
          </w:tcPr>
          <w:p w14:paraId="63FA8391" w14:textId="77777777" w:rsidR="00A6441B" w:rsidRPr="00CF7CB1" w:rsidRDefault="00A6441B" w:rsidP="00A6441B">
            <w:pPr>
              <w:rPr>
                <w:lang w:val="en-AU"/>
              </w:rPr>
            </w:pPr>
          </w:p>
        </w:tc>
        <w:tc>
          <w:tcPr>
            <w:tcW w:w="0" w:type="auto"/>
          </w:tcPr>
          <w:p w14:paraId="1C963688" w14:textId="77777777" w:rsidR="00A6441B" w:rsidRPr="00CF7CB1" w:rsidRDefault="00A6441B" w:rsidP="00A6441B">
            <w:pPr>
              <w:rPr>
                <w:lang w:val="en-AU"/>
              </w:rPr>
            </w:pPr>
          </w:p>
        </w:tc>
        <w:tc>
          <w:tcPr>
            <w:tcW w:w="0" w:type="auto"/>
          </w:tcPr>
          <w:p w14:paraId="49B6C59D" w14:textId="77777777" w:rsidR="00A6441B" w:rsidRPr="00CF7CB1" w:rsidRDefault="00A6441B" w:rsidP="00A6441B">
            <w:pPr>
              <w:rPr>
                <w:lang w:val="en-AU"/>
              </w:rPr>
            </w:pPr>
            <w:r w:rsidRPr="00CF7CB1">
              <w:rPr>
                <w:lang w:val="en-AU"/>
              </w:rPr>
              <w:t>1</w:t>
            </w:r>
          </w:p>
        </w:tc>
      </w:tr>
      <w:tr w:rsidR="00A6441B" w:rsidRPr="00CF7CB1" w14:paraId="21926935" w14:textId="77777777" w:rsidTr="00A6441B">
        <w:tc>
          <w:tcPr>
            <w:tcW w:w="0" w:type="auto"/>
          </w:tcPr>
          <w:p w14:paraId="29B942FD" w14:textId="77777777" w:rsidR="00A6441B" w:rsidRPr="00CF7CB1" w:rsidRDefault="00A6441B" w:rsidP="00A6441B">
            <w:pPr>
              <w:autoSpaceDE w:val="0"/>
              <w:autoSpaceDN w:val="0"/>
              <w:adjustRightInd w:val="0"/>
              <w:rPr>
                <w:rFonts w:ascii="FranklinGothic-Book" w:hAnsi="FranklinGothic-Book" w:cs="FranklinGothic-Book"/>
                <w:sz w:val="18"/>
                <w:szCs w:val="18"/>
                <w:lang w:val="en-AU"/>
              </w:rPr>
            </w:pPr>
            <w:r w:rsidRPr="00CF7CB1">
              <w:rPr>
                <w:rFonts w:ascii="FranklinGothic-Book" w:hAnsi="FranklinGothic-Book" w:cs="FranklinGothic-Book"/>
                <w:sz w:val="18"/>
                <w:szCs w:val="18"/>
                <w:lang w:val="en-AU"/>
              </w:rPr>
              <w:t>Counterpart</w:t>
            </w:r>
          </w:p>
          <w:p w14:paraId="434B9CB5" w14:textId="77777777" w:rsidR="00A6441B" w:rsidRPr="00CF7CB1" w:rsidRDefault="00A6441B" w:rsidP="00A6441B">
            <w:pPr>
              <w:rPr>
                <w:lang w:val="en-AU"/>
              </w:rPr>
            </w:pPr>
            <w:r w:rsidRPr="00CF7CB1">
              <w:rPr>
                <w:rFonts w:ascii="FranklinGothic-Book" w:hAnsi="FranklinGothic-Book" w:cs="FranklinGothic-Book"/>
                <w:sz w:val="18"/>
                <w:szCs w:val="18"/>
                <w:lang w:val="en-AU"/>
              </w:rPr>
              <w:t>Government Officials</w:t>
            </w:r>
          </w:p>
        </w:tc>
        <w:tc>
          <w:tcPr>
            <w:tcW w:w="0" w:type="auto"/>
          </w:tcPr>
          <w:p w14:paraId="46C79974" w14:textId="77777777" w:rsidR="00A6441B" w:rsidRPr="00CF7CB1" w:rsidRDefault="00A6441B" w:rsidP="00A6441B">
            <w:pPr>
              <w:rPr>
                <w:lang w:val="en-AU"/>
              </w:rPr>
            </w:pPr>
          </w:p>
        </w:tc>
        <w:tc>
          <w:tcPr>
            <w:tcW w:w="0" w:type="auto"/>
          </w:tcPr>
          <w:p w14:paraId="7256DED7" w14:textId="77777777" w:rsidR="00A6441B" w:rsidRPr="00CF7CB1" w:rsidRDefault="00A6441B" w:rsidP="00A6441B">
            <w:pPr>
              <w:rPr>
                <w:lang w:val="en-AU"/>
              </w:rPr>
            </w:pPr>
            <w:r w:rsidRPr="00CF7CB1">
              <w:rPr>
                <w:lang w:val="en-AU"/>
              </w:rPr>
              <w:t>1</w:t>
            </w:r>
          </w:p>
        </w:tc>
        <w:tc>
          <w:tcPr>
            <w:tcW w:w="0" w:type="auto"/>
          </w:tcPr>
          <w:p w14:paraId="09AFC6EF" w14:textId="77777777" w:rsidR="00A6441B" w:rsidRPr="00CF7CB1" w:rsidRDefault="00A6441B" w:rsidP="00A6441B">
            <w:pPr>
              <w:rPr>
                <w:lang w:val="en-AU"/>
              </w:rPr>
            </w:pPr>
            <w:r w:rsidRPr="00CF7CB1">
              <w:rPr>
                <w:lang w:val="en-AU"/>
              </w:rPr>
              <w:t>2</w:t>
            </w:r>
          </w:p>
        </w:tc>
        <w:tc>
          <w:tcPr>
            <w:tcW w:w="0" w:type="auto"/>
          </w:tcPr>
          <w:p w14:paraId="376F76CC" w14:textId="77777777" w:rsidR="00A6441B" w:rsidRPr="00CF7CB1" w:rsidRDefault="00A6441B" w:rsidP="00A6441B">
            <w:pPr>
              <w:rPr>
                <w:lang w:val="en-AU"/>
              </w:rPr>
            </w:pPr>
          </w:p>
        </w:tc>
        <w:tc>
          <w:tcPr>
            <w:tcW w:w="0" w:type="auto"/>
          </w:tcPr>
          <w:p w14:paraId="4A2D3DE2" w14:textId="77777777" w:rsidR="00A6441B" w:rsidRPr="00CF7CB1" w:rsidRDefault="00A6441B" w:rsidP="00A6441B">
            <w:pPr>
              <w:rPr>
                <w:lang w:val="en-AU"/>
              </w:rPr>
            </w:pPr>
          </w:p>
        </w:tc>
        <w:tc>
          <w:tcPr>
            <w:tcW w:w="0" w:type="auto"/>
          </w:tcPr>
          <w:p w14:paraId="44ABF5C5" w14:textId="77777777" w:rsidR="00A6441B" w:rsidRPr="00CF7CB1" w:rsidRDefault="00A6441B" w:rsidP="00A6441B">
            <w:pPr>
              <w:rPr>
                <w:lang w:val="en-AU"/>
              </w:rPr>
            </w:pPr>
          </w:p>
        </w:tc>
        <w:tc>
          <w:tcPr>
            <w:tcW w:w="0" w:type="auto"/>
          </w:tcPr>
          <w:p w14:paraId="14006B46" w14:textId="77777777" w:rsidR="00A6441B" w:rsidRPr="00CF7CB1" w:rsidRDefault="00A6441B" w:rsidP="00A6441B">
            <w:pPr>
              <w:rPr>
                <w:lang w:val="en-AU"/>
              </w:rPr>
            </w:pPr>
          </w:p>
        </w:tc>
        <w:tc>
          <w:tcPr>
            <w:tcW w:w="0" w:type="auto"/>
          </w:tcPr>
          <w:p w14:paraId="6F2014B3" w14:textId="77777777" w:rsidR="00A6441B" w:rsidRPr="00CF7CB1" w:rsidRDefault="00A6441B" w:rsidP="00A6441B">
            <w:pPr>
              <w:rPr>
                <w:lang w:val="en-AU"/>
              </w:rPr>
            </w:pPr>
          </w:p>
        </w:tc>
        <w:tc>
          <w:tcPr>
            <w:tcW w:w="0" w:type="auto"/>
          </w:tcPr>
          <w:p w14:paraId="3CC700AD" w14:textId="77777777" w:rsidR="00A6441B" w:rsidRPr="00CF7CB1" w:rsidRDefault="00A6441B" w:rsidP="00A6441B">
            <w:pPr>
              <w:rPr>
                <w:lang w:val="en-AU"/>
              </w:rPr>
            </w:pPr>
          </w:p>
        </w:tc>
        <w:tc>
          <w:tcPr>
            <w:tcW w:w="0" w:type="auto"/>
          </w:tcPr>
          <w:p w14:paraId="3971CB2F" w14:textId="77777777" w:rsidR="00A6441B" w:rsidRPr="00CF7CB1" w:rsidRDefault="00A6441B" w:rsidP="00A6441B">
            <w:pPr>
              <w:rPr>
                <w:lang w:val="en-AU"/>
              </w:rPr>
            </w:pPr>
            <w:r w:rsidRPr="00CF7CB1">
              <w:rPr>
                <w:lang w:val="en-AU"/>
              </w:rPr>
              <w:t>13</w:t>
            </w:r>
          </w:p>
        </w:tc>
        <w:tc>
          <w:tcPr>
            <w:tcW w:w="0" w:type="auto"/>
          </w:tcPr>
          <w:p w14:paraId="5D8C97D9" w14:textId="77777777" w:rsidR="00A6441B" w:rsidRPr="00CF7CB1" w:rsidRDefault="00A6441B" w:rsidP="00A6441B">
            <w:pPr>
              <w:rPr>
                <w:lang w:val="en-AU"/>
              </w:rPr>
            </w:pPr>
            <w:r w:rsidRPr="00CF7CB1">
              <w:rPr>
                <w:lang w:val="en-AU"/>
              </w:rPr>
              <w:t>9</w:t>
            </w:r>
          </w:p>
        </w:tc>
        <w:tc>
          <w:tcPr>
            <w:tcW w:w="0" w:type="auto"/>
          </w:tcPr>
          <w:p w14:paraId="75AA4E80" w14:textId="77777777" w:rsidR="00A6441B" w:rsidRPr="00CF7CB1" w:rsidRDefault="00A6441B" w:rsidP="00A6441B">
            <w:pPr>
              <w:rPr>
                <w:lang w:val="en-AU"/>
              </w:rPr>
            </w:pPr>
            <w:r w:rsidRPr="00CF7CB1">
              <w:rPr>
                <w:lang w:val="en-AU"/>
              </w:rPr>
              <w:t>25</w:t>
            </w:r>
          </w:p>
        </w:tc>
      </w:tr>
      <w:tr w:rsidR="00A6441B" w:rsidRPr="00CF7CB1" w14:paraId="637F7200" w14:textId="77777777" w:rsidTr="00A6441B">
        <w:tc>
          <w:tcPr>
            <w:tcW w:w="0" w:type="auto"/>
          </w:tcPr>
          <w:p w14:paraId="08DACE87" w14:textId="77777777" w:rsidR="00A6441B" w:rsidRPr="00CF7CB1" w:rsidRDefault="00A6441B" w:rsidP="00A6441B">
            <w:pPr>
              <w:rPr>
                <w:lang w:val="en-AU"/>
              </w:rPr>
            </w:pPr>
            <w:r w:rsidRPr="00CF7CB1">
              <w:rPr>
                <w:rFonts w:ascii="FranklinGothic-Book" w:hAnsi="FranklinGothic-Book" w:cs="FranklinGothic-Book"/>
                <w:sz w:val="18"/>
                <w:szCs w:val="18"/>
                <w:lang w:val="en-AU"/>
              </w:rPr>
              <w:t>Managing Contractor</w:t>
            </w:r>
          </w:p>
        </w:tc>
        <w:tc>
          <w:tcPr>
            <w:tcW w:w="0" w:type="auto"/>
          </w:tcPr>
          <w:p w14:paraId="4D31D454" w14:textId="77777777" w:rsidR="00A6441B" w:rsidRPr="00CF7CB1" w:rsidRDefault="00A6441B" w:rsidP="00A6441B">
            <w:pPr>
              <w:rPr>
                <w:lang w:val="en-AU"/>
              </w:rPr>
            </w:pPr>
          </w:p>
        </w:tc>
        <w:tc>
          <w:tcPr>
            <w:tcW w:w="0" w:type="auto"/>
          </w:tcPr>
          <w:p w14:paraId="0BAB78B4" w14:textId="77777777" w:rsidR="00A6441B" w:rsidRPr="00CF7CB1" w:rsidRDefault="00F82926" w:rsidP="00A6441B">
            <w:pPr>
              <w:rPr>
                <w:lang w:val="en-AU"/>
              </w:rPr>
            </w:pPr>
            <w:r w:rsidRPr="00CF7CB1">
              <w:rPr>
                <w:lang w:val="en-AU"/>
              </w:rPr>
              <w:t>4</w:t>
            </w:r>
          </w:p>
        </w:tc>
        <w:tc>
          <w:tcPr>
            <w:tcW w:w="0" w:type="auto"/>
          </w:tcPr>
          <w:p w14:paraId="4C42513B" w14:textId="77777777" w:rsidR="00A6441B" w:rsidRPr="00CF7CB1" w:rsidRDefault="00F82926" w:rsidP="00A6441B">
            <w:pPr>
              <w:rPr>
                <w:lang w:val="en-AU"/>
              </w:rPr>
            </w:pPr>
            <w:r w:rsidRPr="00CF7CB1">
              <w:rPr>
                <w:lang w:val="en-AU"/>
              </w:rPr>
              <w:t>2</w:t>
            </w:r>
          </w:p>
        </w:tc>
        <w:tc>
          <w:tcPr>
            <w:tcW w:w="0" w:type="auto"/>
          </w:tcPr>
          <w:p w14:paraId="273314FC" w14:textId="77777777" w:rsidR="00A6441B" w:rsidRPr="00CF7CB1" w:rsidRDefault="00A6441B" w:rsidP="00A6441B">
            <w:pPr>
              <w:rPr>
                <w:lang w:val="en-AU"/>
              </w:rPr>
            </w:pPr>
          </w:p>
        </w:tc>
        <w:tc>
          <w:tcPr>
            <w:tcW w:w="0" w:type="auto"/>
          </w:tcPr>
          <w:p w14:paraId="6DB8C523" w14:textId="77777777" w:rsidR="00A6441B" w:rsidRPr="00CF7CB1" w:rsidRDefault="00A6441B" w:rsidP="00A6441B">
            <w:pPr>
              <w:rPr>
                <w:lang w:val="en-AU"/>
              </w:rPr>
            </w:pPr>
          </w:p>
        </w:tc>
        <w:tc>
          <w:tcPr>
            <w:tcW w:w="0" w:type="auto"/>
          </w:tcPr>
          <w:p w14:paraId="646FB564" w14:textId="77777777" w:rsidR="00A6441B" w:rsidRPr="00CF7CB1" w:rsidRDefault="00A6441B" w:rsidP="00A6441B">
            <w:pPr>
              <w:rPr>
                <w:lang w:val="en-AU"/>
              </w:rPr>
            </w:pPr>
          </w:p>
        </w:tc>
        <w:tc>
          <w:tcPr>
            <w:tcW w:w="0" w:type="auto"/>
          </w:tcPr>
          <w:p w14:paraId="2C8EA9E7" w14:textId="77777777" w:rsidR="00A6441B" w:rsidRPr="00CF7CB1" w:rsidRDefault="00A6441B" w:rsidP="00A6441B">
            <w:pPr>
              <w:rPr>
                <w:lang w:val="en-AU"/>
              </w:rPr>
            </w:pPr>
          </w:p>
        </w:tc>
        <w:tc>
          <w:tcPr>
            <w:tcW w:w="0" w:type="auto"/>
          </w:tcPr>
          <w:p w14:paraId="7818BDF5" w14:textId="77777777" w:rsidR="00A6441B" w:rsidRPr="00CF7CB1" w:rsidRDefault="00A6441B" w:rsidP="00A6441B">
            <w:pPr>
              <w:rPr>
                <w:lang w:val="en-AU"/>
              </w:rPr>
            </w:pPr>
          </w:p>
        </w:tc>
        <w:tc>
          <w:tcPr>
            <w:tcW w:w="0" w:type="auto"/>
          </w:tcPr>
          <w:p w14:paraId="683C654D" w14:textId="77777777" w:rsidR="00A6441B" w:rsidRPr="00CF7CB1" w:rsidRDefault="00A6441B" w:rsidP="00A6441B">
            <w:pPr>
              <w:rPr>
                <w:lang w:val="en-AU"/>
              </w:rPr>
            </w:pPr>
          </w:p>
        </w:tc>
        <w:tc>
          <w:tcPr>
            <w:tcW w:w="0" w:type="auto"/>
          </w:tcPr>
          <w:p w14:paraId="70071A34" w14:textId="77777777" w:rsidR="00A6441B" w:rsidRPr="00CF7CB1" w:rsidRDefault="00F82926" w:rsidP="00A6441B">
            <w:pPr>
              <w:rPr>
                <w:lang w:val="en-AU"/>
              </w:rPr>
            </w:pPr>
            <w:r w:rsidRPr="00CF7CB1">
              <w:rPr>
                <w:lang w:val="en-AU"/>
              </w:rPr>
              <w:t>3</w:t>
            </w:r>
          </w:p>
        </w:tc>
        <w:tc>
          <w:tcPr>
            <w:tcW w:w="0" w:type="auto"/>
          </w:tcPr>
          <w:p w14:paraId="5B8537EC" w14:textId="77777777" w:rsidR="00A6441B" w:rsidRPr="00CF7CB1" w:rsidRDefault="00A6441B" w:rsidP="00A6441B">
            <w:pPr>
              <w:rPr>
                <w:lang w:val="en-AU"/>
              </w:rPr>
            </w:pPr>
          </w:p>
        </w:tc>
        <w:tc>
          <w:tcPr>
            <w:tcW w:w="0" w:type="auto"/>
          </w:tcPr>
          <w:p w14:paraId="20BF3C77" w14:textId="77777777" w:rsidR="00A6441B" w:rsidRPr="00CF7CB1" w:rsidRDefault="00A6441B" w:rsidP="00A6441B">
            <w:pPr>
              <w:rPr>
                <w:lang w:val="en-AU"/>
              </w:rPr>
            </w:pPr>
          </w:p>
        </w:tc>
      </w:tr>
      <w:tr w:rsidR="00A6441B" w:rsidRPr="00CF7CB1" w14:paraId="7EF0FDAA" w14:textId="77777777" w:rsidTr="00A6441B">
        <w:tc>
          <w:tcPr>
            <w:tcW w:w="0" w:type="auto"/>
          </w:tcPr>
          <w:p w14:paraId="2B4562DC" w14:textId="77777777" w:rsidR="00A6441B" w:rsidRPr="00CF7CB1" w:rsidRDefault="00A6441B" w:rsidP="00A6441B">
            <w:pPr>
              <w:rPr>
                <w:lang w:val="en-AU"/>
              </w:rPr>
            </w:pPr>
            <w:r w:rsidRPr="00CF7CB1">
              <w:rPr>
                <w:rFonts w:ascii="FranklinGothic-Book" w:hAnsi="FranklinGothic-Book" w:cs="FranklinGothic-Book"/>
                <w:sz w:val="18"/>
                <w:szCs w:val="18"/>
                <w:lang w:val="en-AU"/>
              </w:rPr>
              <w:t>Pacific Island Forum</w:t>
            </w:r>
          </w:p>
        </w:tc>
        <w:tc>
          <w:tcPr>
            <w:tcW w:w="0" w:type="auto"/>
          </w:tcPr>
          <w:p w14:paraId="1FEE6B3D" w14:textId="77777777" w:rsidR="00A6441B" w:rsidRPr="00CF7CB1" w:rsidRDefault="00A6441B" w:rsidP="00A6441B">
            <w:pPr>
              <w:rPr>
                <w:lang w:val="en-AU"/>
              </w:rPr>
            </w:pPr>
          </w:p>
        </w:tc>
        <w:tc>
          <w:tcPr>
            <w:tcW w:w="0" w:type="auto"/>
          </w:tcPr>
          <w:p w14:paraId="1894CA6B" w14:textId="77777777" w:rsidR="00A6441B" w:rsidRPr="00CF7CB1" w:rsidRDefault="00F82926" w:rsidP="00A6441B">
            <w:pPr>
              <w:rPr>
                <w:lang w:val="en-AU"/>
              </w:rPr>
            </w:pPr>
            <w:r w:rsidRPr="00CF7CB1">
              <w:rPr>
                <w:lang w:val="en-AU"/>
              </w:rPr>
              <w:t>2</w:t>
            </w:r>
          </w:p>
        </w:tc>
        <w:tc>
          <w:tcPr>
            <w:tcW w:w="0" w:type="auto"/>
          </w:tcPr>
          <w:p w14:paraId="1F263ABF" w14:textId="77777777" w:rsidR="00A6441B" w:rsidRPr="00CF7CB1" w:rsidRDefault="00A6441B" w:rsidP="00A6441B">
            <w:pPr>
              <w:rPr>
                <w:lang w:val="en-AU"/>
              </w:rPr>
            </w:pPr>
          </w:p>
        </w:tc>
        <w:tc>
          <w:tcPr>
            <w:tcW w:w="0" w:type="auto"/>
          </w:tcPr>
          <w:p w14:paraId="18A87CFE" w14:textId="77777777" w:rsidR="00A6441B" w:rsidRPr="00CF7CB1" w:rsidRDefault="00A6441B" w:rsidP="00A6441B">
            <w:pPr>
              <w:rPr>
                <w:lang w:val="en-AU"/>
              </w:rPr>
            </w:pPr>
          </w:p>
        </w:tc>
        <w:tc>
          <w:tcPr>
            <w:tcW w:w="0" w:type="auto"/>
          </w:tcPr>
          <w:p w14:paraId="12CFDA51" w14:textId="77777777" w:rsidR="00A6441B" w:rsidRPr="00CF7CB1" w:rsidRDefault="00A6441B" w:rsidP="00A6441B">
            <w:pPr>
              <w:rPr>
                <w:lang w:val="en-AU"/>
              </w:rPr>
            </w:pPr>
          </w:p>
        </w:tc>
        <w:tc>
          <w:tcPr>
            <w:tcW w:w="0" w:type="auto"/>
          </w:tcPr>
          <w:p w14:paraId="4AF71830" w14:textId="77777777" w:rsidR="00A6441B" w:rsidRPr="00CF7CB1" w:rsidRDefault="00A6441B" w:rsidP="00A6441B">
            <w:pPr>
              <w:rPr>
                <w:lang w:val="en-AU"/>
              </w:rPr>
            </w:pPr>
          </w:p>
        </w:tc>
        <w:tc>
          <w:tcPr>
            <w:tcW w:w="0" w:type="auto"/>
          </w:tcPr>
          <w:p w14:paraId="0467BD36" w14:textId="77777777" w:rsidR="00A6441B" w:rsidRPr="00CF7CB1" w:rsidRDefault="00A6441B" w:rsidP="00A6441B">
            <w:pPr>
              <w:rPr>
                <w:lang w:val="en-AU"/>
              </w:rPr>
            </w:pPr>
          </w:p>
        </w:tc>
        <w:tc>
          <w:tcPr>
            <w:tcW w:w="0" w:type="auto"/>
          </w:tcPr>
          <w:p w14:paraId="1AD276F1" w14:textId="77777777" w:rsidR="00A6441B" w:rsidRPr="00CF7CB1" w:rsidRDefault="00A6441B" w:rsidP="00A6441B">
            <w:pPr>
              <w:rPr>
                <w:lang w:val="en-AU"/>
              </w:rPr>
            </w:pPr>
          </w:p>
        </w:tc>
        <w:tc>
          <w:tcPr>
            <w:tcW w:w="0" w:type="auto"/>
          </w:tcPr>
          <w:p w14:paraId="1729C97B" w14:textId="77777777" w:rsidR="00A6441B" w:rsidRPr="00CF7CB1" w:rsidRDefault="00A6441B" w:rsidP="00A6441B">
            <w:pPr>
              <w:rPr>
                <w:lang w:val="en-AU"/>
              </w:rPr>
            </w:pPr>
          </w:p>
        </w:tc>
        <w:tc>
          <w:tcPr>
            <w:tcW w:w="0" w:type="auto"/>
          </w:tcPr>
          <w:p w14:paraId="39232390" w14:textId="77777777" w:rsidR="00A6441B" w:rsidRPr="00CF7CB1" w:rsidRDefault="00A6441B" w:rsidP="00A6441B">
            <w:pPr>
              <w:rPr>
                <w:lang w:val="en-AU"/>
              </w:rPr>
            </w:pPr>
          </w:p>
        </w:tc>
        <w:tc>
          <w:tcPr>
            <w:tcW w:w="0" w:type="auto"/>
          </w:tcPr>
          <w:p w14:paraId="141827C7" w14:textId="77777777" w:rsidR="00A6441B" w:rsidRPr="00CF7CB1" w:rsidRDefault="00A6441B" w:rsidP="00A6441B">
            <w:pPr>
              <w:rPr>
                <w:lang w:val="en-AU"/>
              </w:rPr>
            </w:pPr>
          </w:p>
        </w:tc>
        <w:tc>
          <w:tcPr>
            <w:tcW w:w="0" w:type="auto"/>
          </w:tcPr>
          <w:p w14:paraId="7DBAB64F" w14:textId="77777777" w:rsidR="00A6441B" w:rsidRPr="00CF7CB1" w:rsidRDefault="00A6441B" w:rsidP="00A6441B">
            <w:pPr>
              <w:rPr>
                <w:lang w:val="en-AU"/>
              </w:rPr>
            </w:pPr>
          </w:p>
        </w:tc>
      </w:tr>
      <w:tr w:rsidR="00A6441B" w:rsidRPr="00CF7CB1" w14:paraId="317A73FA" w14:textId="77777777" w:rsidTr="00A6441B">
        <w:tc>
          <w:tcPr>
            <w:tcW w:w="0" w:type="auto"/>
          </w:tcPr>
          <w:p w14:paraId="7E406475" w14:textId="77777777" w:rsidR="00A6441B" w:rsidRPr="00CF7CB1" w:rsidRDefault="00A6441B" w:rsidP="00A6441B">
            <w:pPr>
              <w:rPr>
                <w:lang w:val="en-AU"/>
              </w:rPr>
            </w:pPr>
            <w:r w:rsidRPr="00CF7CB1">
              <w:rPr>
                <w:rFonts w:ascii="FranklinGothic-Book" w:hAnsi="FranklinGothic-Book" w:cs="FranklinGothic-Book"/>
                <w:sz w:val="18"/>
                <w:szCs w:val="18"/>
                <w:lang w:val="en-AU"/>
              </w:rPr>
              <w:t>Universities</w:t>
            </w:r>
          </w:p>
        </w:tc>
        <w:tc>
          <w:tcPr>
            <w:tcW w:w="0" w:type="auto"/>
          </w:tcPr>
          <w:p w14:paraId="075AC688" w14:textId="77777777" w:rsidR="00A6441B" w:rsidRPr="00CF7CB1" w:rsidRDefault="00A6441B" w:rsidP="00A6441B">
            <w:pPr>
              <w:rPr>
                <w:lang w:val="en-AU"/>
              </w:rPr>
            </w:pPr>
            <w:r w:rsidRPr="00CF7CB1">
              <w:rPr>
                <w:lang w:val="en-AU"/>
              </w:rPr>
              <w:t>1</w:t>
            </w:r>
          </w:p>
        </w:tc>
        <w:tc>
          <w:tcPr>
            <w:tcW w:w="0" w:type="auto"/>
          </w:tcPr>
          <w:p w14:paraId="407F03C8" w14:textId="77777777" w:rsidR="00A6441B" w:rsidRPr="00CF7CB1" w:rsidRDefault="00A6441B" w:rsidP="00A6441B">
            <w:pPr>
              <w:rPr>
                <w:lang w:val="en-AU"/>
              </w:rPr>
            </w:pPr>
          </w:p>
        </w:tc>
        <w:tc>
          <w:tcPr>
            <w:tcW w:w="0" w:type="auto"/>
          </w:tcPr>
          <w:p w14:paraId="63C0E838" w14:textId="77777777" w:rsidR="00A6441B" w:rsidRPr="00CF7CB1" w:rsidRDefault="00A6441B" w:rsidP="00A6441B">
            <w:pPr>
              <w:rPr>
                <w:lang w:val="en-AU"/>
              </w:rPr>
            </w:pPr>
          </w:p>
        </w:tc>
        <w:tc>
          <w:tcPr>
            <w:tcW w:w="0" w:type="auto"/>
          </w:tcPr>
          <w:p w14:paraId="7A99A101" w14:textId="77777777" w:rsidR="00A6441B" w:rsidRPr="00CF7CB1" w:rsidRDefault="00A6441B" w:rsidP="00A6441B">
            <w:pPr>
              <w:rPr>
                <w:lang w:val="en-AU"/>
              </w:rPr>
            </w:pPr>
          </w:p>
        </w:tc>
        <w:tc>
          <w:tcPr>
            <w:tcW w:w="0" w:type="auto"/>
          </w:tcPr>
          <w:p w14:paraId="72C29C72" w14:textId="77777777" w:rsidR="00A6441B" w:rsidRPr="00CF7CB1" w:rsidRDefault="00A6441B" w:rsidP="00A6441B">
            <w:pPr>
              <w:rPr>
                <w:lang w:val="en-AU"/>
              </w:rPr>
            </w:pPr>
          </w:p>
        </w:tc>
        <w:tc>
          <w:tcPr>
            <w:tcW w:w="0" w:type="auto"/>
          </w:tcPr>
          <w:p w14:paraId="2EF8AFA3" w14:textId="77777777" w:rsidR="00A6441B" w:rsidRPr="00CF7CB1" w:rsidRDefault="00A6441B" w:rsidP="00A6441B">
            <w:pPr>
              <w:rPr>
                <w:lang w:val="en-AU"/>
              </w:rPr>
            </w:pPr>
          </w:p>
        </w:tc>
        <w:tc>
          <w:tcPr>
            <w:tcW w:w="0" w:type="auto"/>
          </w:tcPr>
          <w:p w14:paraId="1576BB30" w14:textId="77777777" w:rsidR="00A6441B" w:rsidRPr="00CF7CB1" w:rsidRDefault="00A6441B" w:rsidP="00A6441B">
            <w:pPr>
              <w:rPr>
                <w:lang w:val="en-AU"/>
              </w:rPr>
            </w:pPr>
          </w:p>
        </w:tc>
        <w:tc>
          <w:tcPr>
            <w:tcW w:w="0" w:type="auto"/>
          </w:tcPr>
          <w:p w14:paraId="06F7D20B" w14:textId="77777777" w:rsidR="00A6441B" w:rsidRPr="00CF7CB1" w:rsidRDefault="00A6441B" w:rsidP="00A6441B">
            <w:pPr>
              <w:rPr>
                <w:lang w:val="en-AU"/>
              </w:rPr>
            </w:pPr>
          </w:p>
        </w:tc>
        <w:tc>
          <w:tcPr>
            <w:tcW w:w="0" w:type="auto"/>
          </w:tcPr>
          <w:p w14:paraId="6C41ACE9" w14:textId="77777777" w:rsidR="00A6441B" w:rsidRPr="00CF7CB1" w:rsidRDefault="00A6441B" w:rsidP="00A6441B">
            <w:pPr>
              <w:rPr>
                <w:lang w:val="en-AU"/>
              </w:rPr>
            </w:pPr>
          </w:p>
        </w:tc>
        <w:tc>
          <w:tcPr>
            <w:tcW w:w="0" w:type="auto"/>
          </w:tcPr>
          <w:p w14:paraId="2E935A56" w14:textId="77777777" w:rsidR="00A6441B" w:rsidRPr="00CF7CB1" w:rsidRDefault="00A6441B" w:rsidP="00A6441B">
            <w:pPr>
              <w:rPr>
                <w:lang w:val="en-AU"/>
              </w:rPr>
            </w:pPr>
            <w:r w:rsidRPr="00CF7CB1">
              <w:rPr>
                <w:lang w:val="en-AU"/>
              </w:rPr>
              <w:t>2</w:t>
            </w:r>
          </w:p>
        </w:tc>
        <w:tc>
          <w:tcPr>
            <w:tcW w:w="0" w:type="auto"/>
          </w:tcPr>
          <w:p w14:paraId="65FD5A19" w14:textId="77777777" w:rsidR="00A6441B" w:rsidRPr="00CF7CB1" w:rsidRDefault="00A6441B" w:rsidP="00A6441B">
            <w:pPr>
              <w:rPr>
                <w:lang w:val="en-AU"/>
              </w:rPr>
            </w:pPr>
            <w:r w:rsidRPr="00CF7CB1">
              <w:rPr>
                <w:lang w:val="en-AU"/>
              </w:rPr>
              <w:t>1</w:t>
            </w:r>
          </w:p>
        </w:tc>
        <w:tc>
          <w:tcPr>
            <w:tcW w:w="0" w:type="auto"/>
          </w:tcPr>
          <w:p w14:paraId="43766E83" w14:textId="77777777" w:rsidR="00A6441B" w:rsidRPr="00CF7CB1" w:rsidRDefault="00A6441B" w:rsidP="00A6441B">
            <w:pPr>
              <w:rPr>
                <w:lang w:val="en-AU"/>
              </w:rPr>
            </w:pPr>
            <w:r w:rsidRPr="00CF7CB1">
              <w:rPr>
                <w:lang w:val="en-AU"/>
              </w:rPr>
              <w:t>4</w:t>
            </w:r>
          </w:p>
        </w:tc>
      </w:tr>
      <w:tr w:rsidR="00A6441B" w:rsidRPr="00CF7CB1" w14:paraId="3CF4D9C4" w14:textId="77777777" w:rsidTr="00A6441B">
        <w:tc>
          <w:tcPr>
            <w:tcW w:w="0" w:type="auto"/>
          </w:tcPr>
          <w:p w14:paraId="41C0163C" w14:textId="77777777" w:rsidR="00A6441B" w:rsidRPr="00CF7CB1" w:rsidRDefault="00A6441B" w:rsidP="00A6441B">
            <w:pPr>
              <w:rPr>
                <w:b/>
                <w:lang w:val="en-AU"/>
              </w:rPr>
            </w:pPr>
            <w:r w:rsidRPr="00CF7CB1">
              <w:rPr>
                <w:b/>
                <w:lang w:val="en-AU"/>
              </w:rPr>
              <w:t>Total</w:t>
            </w:r>
          </w:p>
        </w:tc>
        <w:tc>
          <w:tcPr>
            <w:tcW w:w="0" w:type="auto"/>
          </w:tcPr>
          <w:p w14:paraId="0121E287" w14:textId="77777777" w:rsidR="00A6441B" w:rsidRPr="00CF7CB1" w:rsidRDefault="00A6441B" w:rsidP="00A6441B">
            <w:pPr>
              <w:rPr>
                <w:b/>
                <w:lang w:val="en-AU"/>
              </w:rPr>
            </w:pPr>
            <w:r w:rsidRPr="00CF7CB1">
              <w:rPr>
                <w:b/>
                <w:lang w:val="en-AU"/>
              </w:rPr>
              <w:t>20</w:t>
            </w:r>
          </w:p>
        </w:tc>
        <w:tc>
          <w:tcPr>
            <w:tcW w:w="0" w:type="auto"/>
          </w:tcPr>
          <w:p w14:paraId="0BFC09A5" w14:textId="77777777" w:rsidR="00A6441B" w:rsidRPr="00CF7CB1" w:rsidRDefault="00A6441B" w:rsidP="00A6441B">
            <w:pPr>
              <w:rPr>
                <w:b/>
                <w:lang w:val="en-AU"/>
              </w:rPr>
            </w:pPr>
            <w:r w:rsidRPr="00CF7CB1">
              <w:rPr>
                <w:b/>
                <w:lang w:val="en-AU"/>
              </w:rPr>
              <w:t>22</w:t>
            </w:r>
          </w:p>
        </w:tc>
        <w:tc>
          <w:tcPr>
            <w:tcW w:w="0" w:type="auto"/>
          </w:tcPr>
          <w:p w14:paraId="5F0AC60C" w14:textId="77777777" w:rsidR="00A6441B" w:rsidRPr="00CF7CB1" w:rsidRDefault="00A6441B" w:rsidP="00A6441B">
            <w:pPr>
              <w:rPr>
                <w:b/>
                <w:lang w:val="en-AU"/>
              </w:rPr>
            </w:pPr>
            <w:r w:rsidRPr="00CF7CB1">
              <w:rPr>
                <w:b/>
                <w:lang w:val="en-AU"/>
              </w:rPr>
              <w:t>11</w:t>
            </w:r>
          </w:p>
        </w:tc>
        <w:tc>
          <w:tcPr>
            <w:tcW w:w="0" w:type="auto"/>
          </w:tcPr>
          <w:p w14:paraId="3B5CAE29" w14:textId="77777777" w:rsidR="00A6441B" w:rsidRPr="00CF7CB1" w:rsidRDefault="00A6441B" w:rsidP="00A6441B">
            <w:pPr>
              <w:rPr>
                <w:b/>
                <w:lang w:val="en-AU"/>
              </w:rPr>
            </w:pPr>
            <w:r w:rsidRPr="00CF7CB1">
              <w:rPr>
                <w:b/>
                <w:lang w:val="en-AU"/>
              </w:rPr>
              <w:t>2</w:t>
            </w:r>
          </w:p>
        </w:tc>
        <w:tc>
          <w:tcPr>
            <w:tcW w:w="0" w:type="auto"/>
          </w:tcPr>
          <w:p w14:paraId="6D923D59" w14:textId="77777777" w:rsidR="00A6441B" w:rsidRPr="00CF7CB1" w:rsidRDefault="00A6441B" w:rsidP="00A6441B">
            <w:pPr>
              <w:rPr>
                <w:b/>
                <w:lang w:val="en-AU"/>
              </w:rPr>
            </w:pPr>
            <w:r w:rsidRPr="00CF7CB1">
              <w:rPr>
                <w:b/>
                <w:lang w:val="en-AU"/>
              </w:rPr>
              <w:t>4</w:t>
            </w:r>
          </w:p>
        </w:tc>
        <w:tc>
          <w:tcPr>
            <w:tcW w:w="0" w:type="auto"/>
          </w:tcPr>
          <w:p w14:paraId="1E487319" w14:textId="77777777" w:rsidR="00A6441B" w:rsidRPr="00CF7CB1" w:rsidRDefault="00A6441B" w:rsidP="00A6441B">
            <w:pPr>
              <w:rPr>
                <w:b/>
                <w:lang w:val="en-AU"/>
              </w:rPr>
            </w:pPr>
            <w:r w:rsidRPr="00CF7CB1">
              <w:rPr>
                <w:b/>
                <w:lang w:val="en-AU"/>
              </w:rPr>
              <w:t>1</w:t>
            </w:r>
          </w:p>
        </w:tc>
        <w:tc>
          <w:tcPr>
            <w:tcW w:w="0" w:type="auto"/>
          </w:tcPr>
          <w:p w14:paraId="5C7451FC" w14:textId="77777777" w:rsidR="00A6441B" w:rsidRPr="00CF7CB1" w:rsidRDefault="00A6441B" w:rsidP="00A6441B">
            <w:pPr>
              <w:rPr>
                <w:b/>
                <w:lang w:val="en-AU"/>
              </w:rPr>
            </w:pPr>
            <w:r w:rsidRPr="00CF7CB1">
              <w:rPr>
                <w:b/>
                <w:lang w:val="en-AU"/>
              </w:rPr>
              <w:t>2</w:t>
            </w:r>
          </w:p>
        </w:tc>
        <w:tc>
          <w:tcPr>
            <w:tcW w:w="0" w:type="auto"/>
          </w:tcPr>
          <w:p w14:paraId="757A0A75" w14:textId="77777777" w:rsidR="00A6441B" w:rsidRPr="00CF7CB1" w:rsidRDefault="00A6441B" w:rsidP="00A6441B">
            <w:pPr>
              <w:rPr>
                <w:b/>
                <w:lang w:val="en-AU"/>
              </w:rPr>
            </w:pPr>
            <w:r w:rsidRPr="00CF7CB1">
              <w:rPr>
                <w:b/>
                <w:lang w:val="en-AU"/>
              </w:rPr>
              <w:t>1</w:t>
            </w:r>
          </w:p>
        </w:tc>
        <w:tc>
          <w:tcPr>
            <w:tcW w:w="0" w:type="auto"/>
          </w:tcPr>
          <w:p w14:paraId="65F02981" w14:textId="77777777" w:rsidR="00A6441B" w:rsidRPr="00CF7CB1" w:rsidRDefault="00A6441B" w:rsidP="00A6441B">
            <w:pPr>
              <w:rPr>
                <w:b/>
                <w:lang w:val="en-AU"/>
              </w:rPr>
            </w:pPr>
            <w:r w:rsidRPr="00CF7CB1">
              <w:rPr>
                <w:b/>
                <w:lang w:val="en-AU"/>
              </w:rPr>
              <w:t>1</w:t>
            </w:r>
          </w:p>
        </w:tc>
        <w:tc>
          <w:tcPr>
            <w:tcW w:w="0" w:type="auto"/>
          </w:tcPr>
          <w:p w14:paraId="49753592" w14:textId="77777777" w:rsidR="00A6441B" w:rsidRPr="00CF7CB1" w:rsidRDefault="00A6441B" w:rsidP="00A6441B">
            <w:pPr>
              <w:rPr>
                <w:b/>
                <w:lang w:val="en-AU"/>
              </w:rPr>
            </w:pPr>
            <w:r w:rsidRPr="00CF7CB1">
              <w:rPr>
                <w:b/>
                <w:lang w:val="en-AU"/>
              </w:rPr>
              <w:t>24</w:t>
            </w:r>
          </w:p>
        </w:tc>
        <w:tc>
          <w:tcPr>
            <w:tcW w:w="0" w:type="auto"/>
          </w:tcPr>
          <w:p w14:paraId="3094F79C" w14:textId="77777777" w:rsidR="00A6441B" w:rsidRPr="00CF7CB1" w:rsidRDefault="00A6441B" w:rsidP="00A6441B">
            <w:pPr>
              <w:rPr>
                <w:b/>
                <w:lang w:val="en-AU"/>
              </w:rPr>
            </w:pPr>
            <w:r w:rsidRPr="00CF7CB1">
              <w:rPr>
                <w:b/>
                <w:lang w:val="en-AU"/>
              </w:rPr>
              <w:t>10</w:t>
            </w:r>
          </w:p>
        </w:tc>
        <w:tc>
          <w:tcPr>
            <w:tcW w:w="0" w:type="auto"/>
          </w:tcPr>
          <w:p w14:paraId="5DEBDFC8" w14:textId="77777777" w:rsidR="00A6441B" w:rsidRPr="00CF7CB1" w:rsidRDefault="008D6E5F" w:rsidP="00A6441B">
            <w:pPr>
              <w:rPr>
                <w:b/>
                <w:lang w:val="en-AU"/>
              </w:rPr>
            </w:pPr>
            <w:r>
              <w:rPr>
                <w:b/>
                <w:lang w:val="en-AU"/>
              </w:rPr>
              <w:t>98</w:t>
            </w:r>
          </w:p>
        </w:tc>
      </w:tr>
    </w:tbl>
    <w:p w14:paraId="18531371" w14:textId="77777777" w:rsidR="00A6441B" w:rsidRPr="00CF7CB1" w:rsidRDefault="00A6441B" w:rsidP="00A6441B">
      <w:pPr>
        <w:rPr>
          <w:lang w:val="en-AU"/>
        </w:rPr>
      </w:pPr>
    </w:p>
    <w:sectPr w:rsidR="00A6441B" w:rsidRPr="00CF7CB1" w:rsidSect="00E82715">
      <w:pgSz w:w="15840" w:h="12240" w:orient="landscape"/>
      <w:pgMar w:top="720" w:right="720" w:bottom="720" w:left="720" w:header="720" w:footer="227"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AE479B" w14:textId="77777777" w:rsidR="005E2889" w:rsidRDefault="005E2889">
      <w:r>
        <w:separator/>
      </w:r>
    </w:p>
  </w:endnote>
  <w:endnote w:type="continuationSeparator" w:id="0">
    <w:p w14:paraId="5182C2A7" w14:textId="77777777" w:rsidR="005E2889" w:rsidRDefault="005E28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 Dingbats">
    <w:altName w:val="Times New Roman"/>
    <w:charset w:val="00"/>
    <w:family w:val="auto"/>
    <w:pitch w:val="variable"/>
    <w:sig w:usb0="00000000" w:usb1="10000000" w:usb2="00000000" w:usb3="00000000" w:csb0="80000000" w:csb1="00000000"/>
  </w:font>
  <w:font w:name="Arial Bold">
    <w:panose1 w:val="020B0704020202020204"/>
    <w:charset w:val="00"/>
    <w:family w:val="auto"/>
    <w:pitch w:val="variable"/>
    <w:sig w:usb0="E0002AFF" w:usb1="C0007843" w:usb2="00000009" w:usb3="00000000" w:csb0="000001FF" w:csb1="00000000"/>
  </w:font>
  <w:font w:name="Franklin Gothic Book">
    <w:altName w:val="Unlimited Sans Regular"/>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VistaSansBold">
    <w:charset w:val="00"/>
    <w:family w:val="auto"/>
    <w:pitch w:val="variable"/>
    <w:sig w:usb0="00000003" w:usb1="00000000" w:usb2="00000000" w:usb3="00000000" w:csb0="00000001" w:csb1="00000000"/>
  </w:font>
  <w:font w:name="HelveticaNeue-Light">
    <w:altName w:val="45 Helvetica Light"/>
    <w:panose1 w:val="00000000000000000000"/>
    <w:charset w:val="00"/>
    <w:family w:val="swiss"/>
    <w:notTrueType/>
    <w:pitch w:val="default"/>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FranklinGothic-Book">
    <w:altName w:val="FranklinGothic"/>
    <w:panose1 w:val="00000000000000000000"/>
    <w:charset w:val="00"/>
    <w:family w:val="swiss"/>
    <w:notTrueType/>
    <w:pitch w:val="default"/>
    <w:sig w:usb0="00000003" w:usb1="00000000" w:usb2="00000000" w:usb3="00000000" w:csb0="00000001" w:csb1="00000000"/>
  </w:font>
  <w:font w:name="FranklinGothic-Demi">
    <w:altName w:val="B Franklin Gothic Demi"/>
    <w:panose1 w:val="00000000000000000000"/>
    <w:charset w:val="4D"/>
    <w:family w:val="auto"/>
    <w:notTrueType/>
    <w:pitch w:val="default"/>
    <w:sig w:usb0="00000003" w:usb1="00000000" w:usb2="00000000" w:usb3="00000000" w:csb0="00000001" w:csb1="00000000"/>
  </w:font>
  <w:font w:name="FranklinGothic-BookOblique">
    <w:altName w:val="FranklinGothic"/>
    <w:panose1 w:val="00000000000000000000"/>
    <w:charset w:val="4D"/>
    <w:family w:val="auto"/>
    <w:notTrueType/>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497712" w14:textId="77777777" w:rsidR="00BD272F" w:rsidRDefault="00BD272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A4EE9C" w14:textId="77777777" w:rsidR="006D19F2" w:rsidRPr="004B6242" w:rsidRDefault="006D19F2" w:rsidP="00541FAF">
    <w:pPr>
      <w:pStyle w:val="Footer"/>
      <w:framePr w:wrap="around" w:vAnchor="text" w:hAnchor="margin" w:xAlign="right" w:y="1"/>
      <w:rPr>
        <w:rStyle w:val="PageNumber"/>
      </w:rPr>
    </w:pPr>
    <w:r w:rsidRPr="004B6242">
      <w:rPr>
        <w:rStyle w:val="PageNumber"/>
        <w:rFonts w:asciiTheme="majorHAnsi" w:hAnsiTheme="majorHAnsi"/>
        <w:sz w:val="18"/>
        <w:szCs w:val="18"/>
      </w:rPr>
      <w:fldChar w:fldCharType="begin"/>
    </w:r>
    <w:r w:rsidRPr="004B6242">
      <w:rPr>
        <w:rStyle w:val="PageNumber"/>
        <w:rFonts w:asciiTheme="majorHAnsi" w:hAnsiTheme="majorHAnsi"/>
        <w:sz w:val="18"/>
        <w:szCs w:val="18"/>
      </w:rPr>
      <w:instrText xml:space="preserve">PAGE  </w:instrText>
    </w:r>
    <w:r w:rsidRPr="004B6242">
      <w:rPr>
        <w:rStyle w:val="PageNumber"/>
        <w:rFonts w:asciiTheme="majorHAnsi" w:hAnsiTheme="majorHAnsi"/>
        <w:sz w:val="18"/>
        <w:szCs w:val="18"/>
      </w:rPr>
      <w:fldChar w:fldCharType="separate"/>
    </w:r>
    <w:r w:rsidR="00BD272F">
      <w:rPr>
        <w:rStyle w:val="PageNumber"/>
        <w:rFonts w:asciiTheme="majorHAnsi" w:hAnsiTheme="majorHAnsi"/>
        <w:noProof/>
        <w:sz w:val="18"/>
        <w:szCs w:val="18"/>
      </w:rPr>
      <w:t>1</w:t>
    </w:r>
    <w:r w:rsidRPr="004B6242">
      <w:rPr>
        <w:rStyle w:val="PageNumber"/>
        <w:rFonts w:asciiTheme="majorHAnsi" w:hAnsiTheme="majorHAnsi"/>
        <w:sz w:val="18"/>
        <w:szCs w:val="18"/>
      </w:rPr>
      <w:fldChar w:fldCharType="end"/>
    </w:r>
  </w:p>
  <w:p w14:paraId="1262B7A2" w14:textId="77777777" w:rsidR="006D19F2" w:rsidRPr="009B2B3F" w:rsidRDefault="006D19F2" w:rsidP="000741BC">
    <w:pPr>
      <w:tabs>
        <w:tab w:val="left" w:pos="880"/>
      </w:tabs>
      <w:spacing w:line="200" w:lineRule="exact"/>
      <w:ind w:right="360"/>
      <w:rPr>
        <w:rFonts w:cs="Arial"/>
        <w:sz w:val="18"/>
        <w:szCs w:val="18"/>
      </w:rPr>
    </w:pPr>
    <w:r w:rsidRPr="000741BC">
      <w:rPr>
        <w:rFonts w:cs="Arial"/>
        <w:sz w:val="18"/>
        <w:szCs w:val="18"/>
      </w:rPr>
      <w:t>Gearing up for Trade:</w:t>
    </w:r>
    <w:r>
      <w:rPr>
        <w:rFonts w:cs="Arial"/>
        <w:sz w:val="18"/>
        <w:szCs w:val="18"/>
      </w:rPr>
      <w:t xml:space="preserve"> </w:t>
    </w:r>
    <w:r w:rsidRPr="000741BC">
      <w:rPr>
        <w:rFonts w:cs="Arial"/>
        <w:sz w:val="18"/>
        <w:szCs w:val="18"/>
      </w:rPr>
      <w:t>Australia’s support for trade facilitation programs</w:t>
    </w:r>
  </w:p>
  <w:p w14:paraId="702B76F9" w14:textId="77777777" w:rsidR="006D19F2" w:rsidRDefault="006D19F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C5CC21" w14:textId="77777777" w:rsidR="00BD272F" w:rsidRDefault="00BD27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9C0AAB" w14:textId="77777777" w:rsidR="005E2889" w:rsidRDefault="005E2889">
      <w:r>
        <w:separator/>
      </w:r>
    </w:p>
  </w:footnote>
  <w:footnote w:type="continuationSeparator" w:id="0">
    <w:p w14:paraId="450A5DE9" w14:textId="77777777" w:rsidR="005E2889" w:rsidRDefault="005E2889">
      <w:r>
        <w:continuationSeparator/>
      </w:r>
    </w:p>
  </w:footnote>
  <w:footnote w:id="1">
    <w:p w14:paraId="677B0AB3" w14:textId="77777777" w:rsidR="006D19F2" w:rsidRPr="0077302C" w:rsidRDefault="006D19F2">
      <w:pPr>
        <w:pStyle w:val="FootnoteText"/>
        <w:rPr>
          <w:lang w:val="en-AU"/>
        </w:rPr>
      </w:pPr>
      <w:r>
        <w:rPr>
          <w:rStyle w:val="FootnoteReference"/>
        </w:rPr>
        <w:footnoteRef/>
      </w:r>
      <w:r>
        <w:t xml:space="preserve"> </w:t>
      </w:r>
      <w:r>
        <w:rPr>
          <w:rFonts w:ascii="FranklinGothic-Book" w:hAnsi="FranklinGothic-Book" w:cs="FranklinGothic-Book"/>
          <w:szCs w:val="16"/>
          <w:lang w:val="en-AU"/>
        </w:rPr>
        <w:t>https://sustainabledevelopment.un.org/?menu=1300.</w:t>
      </w:r>
    </w:p>
  </w:footnote>
  <w:footnote w:id="2">
    <w:p w14:paraId="76566664" w14:textId="77777777" w:rsidR="006D19F2" w:rsidRPr="00EC723E" w:rsidRDefault="006D19F2">
      <w:pPr>
        <w:pStyle w:val="FootnoteText"/>
        <w:rPr>
          <w:lang w:val="en-AU"/>
        </w:rPr>
      </w:pPr>
      <w:r>
        <w:rPr>
          <w:rStyle w:val="FootnoteReference"/>
        </w:rPr>
        <w:footnoteRef/>
      </w:r>
      <w:r>
        <w:t xml:space="preserve"> http://dfat.gov.au/about-us/publications/Pages/strategy-for-australias-aid-for-trade-investments.aspx</w:t>
      </w:r>
    </w:p>
  </w:footnote>
  <w:footnote w:id="3">
    <w:p w14:paraId="6BA303B6" w14:textId="77777777" w:rsidR="006D19F2" w:rsidRPr="007C28D6" w:rsidRDefault="006D19F2">
      <w:pPr>
        <w:pStyle w:val="FootnoteText"/>
        <w:rPr>
          <w:lang w:val="en-AU"/>
        </w:rPr>
      </w:pPr>
      <w:r>
        <w:rPr>
          <w:rStyle w:val="FootnoteReference"/>
        </w:rPr>
        <w:footnoteRef/>
      </w:r>
      <w:r>
        <w:t xml:space="preserve"> WTO and OECD, 2015 Aid for Trade at a Glance 2015: Reducing Trade Costs for Inclusive, Sustainable Growth</w:t>
      </w:r>
    </w:p>
  </w:footnote>
  <w:footnote w:id="4">
    <w:p w14:paraId="67D240D8" w14:textId="77777777" w:rsidR="006D19F2" w:rsidRPr="00CF0022" w:rsidRDefault="006D19F2" w:rsidP="00CF0022">
      <w:pPr>
        <w:spacing w:after="120"/>
      </w:pPr>
      <w:r>
        <w:rPr>
          <w:rStyle w:val="FootnoteReference"/>
        </w:rPr>
        <w:footnoteRef/>
      </w:r>
      <w:r>
        <w:t xml:space="preserve"> </w:t>
      </w:r>
      <w:r w:rsidRPr="00CF0022">
        <w:rPr>
          <w:sz w:val="16"/>
          <w:szCs w:val="16"/>
        </w:rPr>
        <w:t>http://dfat.gov.au/aid/topics/development-issues/aid-for-trade/Pages/aid-for-trade.aspx</w:t>
      </w:r>
    </w:p>
  </w:footnote>
  <w:footnote w:id="5">
    <w:p w14:paraId="080E95AF" w14:textId="77777777" w:rsidR="006D19F2" w:rsidRPr="007C4543" w:rsidRDefault="006D19F2">
      <w:pPr>
        <w:pStyle w:val="FootnoteText"/>
        <w:rPr>
          <w:lang w:val="en-AU"/>
        </w:rPr>
      </w:pPr>
      <w:r>
        <w:rPr>
          <w:rStyle w:val="FootnoteReference"/>
        </w:rPr>
        <w:footnoteRef/>
      </w:r>
      <w:r>
        <w:t xml:space="preserve"> </w:t>
      </w:r>
      <w:r w:rsidRPr="007C4543">
        <w:t>Hagen von, M 2014, Trade and Gender—Exploring a reciprocal relationship: Approaches to mitigate and measure gender-related trade impacts. GIZ.</w:t>
      </w:r>
    </w:p>
  </w:footnote>
  <w:footnote w:id="6">
    <w:p w14:paraId="32910DAD" w14:textId="77777777" w:rsidR="006D19F2" w:rsidRPr="007C4543" w:rsidRDefault="006D19F2">
      <w:pPr>
        <w:pStyle w:val="FootnoteText"/>
        <w:rPr>
          <w:lang w:val="en-AU"/>
        </w:rPr>
      </w:pPr>
      <w:r>
        <w:rPr>
          <w:rStyle w:val="FootnoteReference"/>
        </w:rPr>
        <w:footnoteRef/>
      </w:r>
      <w:r>
        <w:t xml:space="preserve"> </w:t>
      </w:r>
      <w:r w:rsidRPr="007C4543">
        <w:t>OECD (2013) and World Bank  (2014)</w:t>
      </w:r>
    </w:p>
  </w:footnote>
  <w:footnote w:id="7">
    <w:p w14:paraId="01C67B0C" w14:textId="77777777" w:rsidR="006D19F2" w:rsidRPr="0044634F" w:rsidRDefault="006D19F2">
      <w:pPr>
        <w:pStyle w:val="FootnoteText"/>
        <w:rPr>
          <w:lang w:val="en-AU"/>
        </w:rPr>
      </w:pPr>
      <w:r>
        <w:rPr>
          <w:rStyle w:val="FootnoteReference"/>
        </w:rPr>
        <w:footnoteRef/>
      </w:r>
      <w:r>
        <w:t xml:space="preserve"> </w:t>
      </w:r>
      <w:r w:rsidRPr="0044634F">
        <w:t>ODE (2016) Global and Regional Perspectives: A situation analysis.</w:t>
      </w:r>
    </w:p>
  </w:footnote>
  <w:footnote w:id="8">
    <w:p w14:paraId="366B1CA1" w14:textId="77777777" w:rsidR="006D19F2" w:rsidRPr="0044634F" w:rsidRDefault="006D19F2">
      <w:pPr>
        <w:pStyle w:val="FootnoteText"/>
        <w:rPr>
          <w:lang w:val="en-AU"/>
        </w:rPr>
      </w:pPr>
      <w:r>
        <w:rPr>
          <w:rStyle w:val="FootnoteReference"/>
        </w:rPr>
        <w:footnoteRef/>
      </w:r>
      <w:r>
        <w:t xml:space="preserve"> </w:t>
      </w:r>
      <w:r w:rsidRPr="0044634F">
        <w:t>In 2015 PNG joined PHAMA and PHAMA will assist in PNG’s ongoing agriculture sector development and trade facilitation initiatives.</w:t>
      </w:r>
    </w:p>
  </w:footnote>
  <w:footnote w:id="9">
    <w:p w14:paraId="463618D8" w14:textId="77777777" w:rsidR="006D19F2" w:rsidRPr="004058D1" w:rsidRDefault="006D19F2">
      <w:pPr>
        <w:pStyle w:val="FootnoteText"/>
        <w:rPr>
          <w:lang w:val="en-AU"/>
        </w:rPr>
      </w:pPr>
      <w:r>
        <w:rPr>
          <w:rStyle w:val="FootnoteReference"/>
        </w:rPr>
        <w:footnoteRef/>
      </w:r>
      <w:r>
        <w:t xml:space="preserve"> </w:t>
      </w:r>
      <w:r w:rsidRPr="004058D1">
        <w:t>EIF DTIS Framework is only available for LDCs to draw upon at this stage, however others could seek to adopt a similar framework or approach but cannot access it in the same way.</w:t>
      </w:r>
    </w:p>
  </w:footnote>
  <w:footnote w:id="10">
    <w:p w14:paraId="2463E479" w14:textId="77777777" w:rsidR="006D19F2" w:rsidRPr="00945D69" w:rsidRDefault="006D19F2">
      <w:pPr>
        <w:pStyle w:val="FootnoteText"/>
        <w:rPr>
          <w:lang w:val="en-AU"/>
        </w:rPr>
      </w:pPr>
      <w:r>
        <w:rPr>
          <w:rStyle w:val="FootnoteReference"/>
        </w:rPr>
        <w:footnoteRef/>
      </w:r>
      <w:r>
        <w:t xml:space="preserve"> </w:t>
      </w:r>
      <w:r w:rsidRPr="00945D69">
        <w:t>http://dfat.gov.au/about-us/publications/Pages/strategy-for-australias-aid-for-trade-investments.aspx</w:t>
      </w:r>
    </w:p>
  </w:footnote>
  <w:footnote w:id="11">
    <w:p w14:paraId="2740ACCE" w14:textId="77777777" w:rsidR="006D19F2" w:rsidRPr="00945D69" w:rsidRDefault="006D19F2">
      <w:pPr>
        <w:pStyle w:val="FootnoteText"/>
        <w:rPr>
          <w:lang w:val="en-AU"/>
        </w:rPr>
      </w:pPr>
      <w:r>
        <w:rPr>
          <w:rStyle w:val="FootnoteReference"/>
        </w:rPr>
        <w:footnoteRef/>
      </w:r>
      <w:r>
        <w:t xml:space="preserve"> </w:t>
      </w:r>
      <w:r w:rsidRPr="00945D69">
        <w:t>OECD Development Assessment Committee Aid for Trade Classification Structure</w:t>
      </w:r>
    </w:p>
  </w:footnote>
  <w:footnote w:id="12">
    <w:p w14:paraId="7732332C" w14:textId="77777777" w:rsidR="006D19F2" w:rsidRPr="00945D69" w:rsidRDefault="006D19F2">
      <w:pPr>
        <w:pStyle w:val="FootnoteText"/>
        <w:rPr>
          <w:lang w:val="en-AU"/>
        </w:rPr>
      </w:pPr>
      <w:r>
        <w:rPr>
          <w:rStyle w:val="FootnoteReference"/>
        </w:rPr>
        <w:footnoteRef/>
      </w:r>
      <w:r>
        <w:t xml:space="preserve"> </w:t>
      </w:r>
      <w:r w:rsidRPr="00945D69">
        <w:t>SDG’s that explicitly mention trade include: Target 2.b—Correct and prevent trade restrictions and distortions in world agricultural markets; Target 8.a—Increase Aid for Trade support for developing countries; Target 10.a—In accordance with the WTO, implement special and different treatment principles for developing countries; Target 17.10—Promote a universal, rule-based, open non-discriminatory and equitable multilateral trading system. Many of the other SDG Goals and Targets also have implications for Aid for Trade see https://sustainabledevelopment.un.org/?menu=1300</w:t>
      </w:r>
    </w:p>
  </w:footnote>
  <w:footnote w:id="13">
    <w:p w14:paraId="5BE2251B" w14:textId="77777777" w:rsidR="006D19F2" w:rsidRPr="00784EFF" w:rsidRDefault="006D19F2">
      <w:pPr>
        <w:pStyle w:val="FootnoteText"/>
        <w:rPr>
          <w:lang w:val="en-AU"/>
        </w:rPr>
      </w:pPr>
      <w:r>
        <w:rPr>
          <w:rStyle w:val="FootnoteReference"/>
        </w:rPr>
        <w:footnoteRef/>
      </w:r>
      <w:r>
        <w:t xml:space="preserve"> </w:t>
      </w:r>
      <w:r w:rsidRPr="00784EFF">
        <w:t>http://dfat.gov.au/about-us/publications/Pages/strategy-for-australias-aid-for-trade-investments.aspx</w:t>
      </w:r>
    </w:p>
  </w:footnote>
  <w:footnote w:id="14">
    <w:p w14:paraId="0DB65C0C" w14:textId="77777777" w:rsidR="006D19F2" w:rsidRDefault="006D19F2" w:rsidP="00784EFF">
      <w:pPr>
        <w:pStyle w:val="FootnoteText"/>
      </w:pPr>
      <w:r>
        <w:rPr>
          <w:rStyle w:val="FootnoteReference"/>
        </w:rPr>
        <w:footnoteRef/>
      </w:r>
      <w:r>
        <w:t xml:space="preserve"> The definition used is consistent with the WTO and OECD Aid for Trade definition of trade facilitation but adds elements of trade policy and regulations as defined by OECD. The rationale for this is to allow a more focused evaluation without losing significant elements of Australia’s AfT investments. Various terminologies are used by the WTO and OECD:</w:t>
      </w:r>
    </w:p>
    <w:p w14:paraId="27F5E6AB" w14:textId="77777777" w:rsidR="006D19F2" w:rsidRDefault="006D19F2" w:rsidP="00BC5572">
      <w:pPr>
        <w:pStyle w:val="FootnoteText"/>
        <w:numPr>
          <w:ilvl w:val="0"/>
          <w:numId w:val="11"/>
        </w:numPr>
      </w:pPr>
      <w:r w:rsidRPr="00892519">
        <w:rPr>
          <w:b/>
        </w:rPr>
        <w:t>WTO:</w:t>
      </w:r>
      <w:r>
        <w:t xml:space="preserve"> Removing obstacles to the movement of goods across borders (e.g. simplification of customs procedures).</w:t>
      </w:r>
    </w:p>
    <w:p w14:paraId="1F9EEB57" w14:textId="77777777" w:rsidR="006D19F2" w:rsidRDefault="006D19F2" w:rsidP="00784EFF">
      <w:pPr>
        <w:pStyle w:val="FootnoteText"/>
        <w:ind w:left="360"/>
      </w:pPr>
      <w:r>
        <w:t>Trade Facilitation Agreement (2013 Bali Package) contains provisions for expediting the movement, release and clearance of goods, including goods in transit. It also sets out measures for effective cooperation between customs and other appropriate authorities on trade facilitation and customs compliance issues. It further contains provisions for technical assistance and capacity building in this area.</w:t>
      </w:r>
    </w:p>
    <w:p w14:paraId="2EB72B71" w14:textId="77777777" w:rsidR="006D19F2" w:rsidRPr="00784EFF" w:rsidRDefault="006D19F2" w:rsidP="00BC5572">
      <w:pPr>
        <w:pStyle w:val="FootnoteText"/>
        <w:numPr>
          <w:ilvl w:val="0"/>
          <w:numId w:val="11"/>
        </w:numPr>
        <w:rPr>
          <w:lang w:val="en-AU"/>
        </w:rPr>
      </w:pPr>
      <w:r w:rsidRPr="00892519">
        <w:rPr>
          <w:b/>
        </w:rPr>
        <w:t>OECD</w:t>
      </w:r>
      <w:r>
        <w:t xml:space="preserve"> (DAC code 33120): Simplification and harmonisation of international trade procedures including import and export procedures (e.g.  customs  valuation,  licensing  procedures,  transport  formalities,  payments,  insurance), support  to  customs  departments,  and  tariff reforms.</w:t>
      </w:r>
    </w:p>
  </w:footnote>
  <w:footnote w:id="15">
    <w:p w14:paraId="440A68CA" w14:textId="77777777" w:rsidR="006D19F2" w:rsidRPr="00035808" w:rsidRDefault="006D19F2">
      <w:pPr>
        <w:pStyle w:val="FootnoteText"/>
        <w:rPr>
          <w:lang w:val="en-AU"/>
        </w:rPr>
      </w:pPr>
      <w:r>
        <w:rPr>
          <w:rStyle w:val="FootnoteReference"/>
        </w:rPr>
        <w:footnoteRef/>
      </w:r>
      <w:r>
        <w:t xml:space="preserve"> </w:t>
      </w:r>
      <w:r w:rsidRPr="00035808">
        <w:t>Lowy Institute, Global value chains, border management and Australian trade analysis report - http://www.lowyinstitute. org/publications/global-value-chains-border-management-and-australian-trade-</w:t>
      </w:r>
    </w:p>
  </w:footnote>
  <w:footnote w:id="16">
    <w:p w14:paraId="5E62E5F2" w14:textId="77777777" w:rsidR="006D19F2" w:rsidRPr="004B435E" w:rsidRDefault="006D19F2">
      <w:pPr>
        <w:pStyle w:val="FootnoteText"/>
        <w:rPr>
          <w:lang w:val="en-AU"/>
        </w:rPr>
      </w:pPr>
      <w:r>
        <w:rPr>
          <w:rStyle w:val="FootnoteReference"/>
        </w:rPr>
        <w:footnoteRef/>
      </w:r>
      <w:r>
        <w:t xml:space="preserve"> </w:t>
      </w:r>
      <w:r w:rsidRPr="004B435E">
        <w:t>WTO and OECD, 2015, Aid For Trade at a Glance 2015: Reducing Trade Costs for Inclusive, Sustainable Growth</w:t>
      </w:r>
    </w:p>
  </w:footnote>
  <w:footnote w:id="17">
    <w:p w14:paraId="131C6995" w14:textId="77777777" w:rsidR="006D19F2" w:rsidRPr="004B435E" w:rsidRDefault="006D19F2">
      <w:pPr>
        <w:pStyle w:val="FootnoteText"/>
        <w:rPr>
          <w:lang w:val="en-AU"/>
        </w:rPr>
      </w:pPr>
      <w:r>
        <w:rPr>
          <w:rStyle w:val="FootnoteReference"/>
        </w:rPr>
        <w:footnoteRef/>
      </w:r>
      <w:r>
        <w:t xml:space="preserve"> </w:t>
      </w:r>
      <w:r w:rsidRPr="004B435E">
        <w:t>http://dfat.gov.au/aid/topics/development-issues/aid-for-trade/Pages/aid-for-trade.aspx</w:t>
      </w:r>
    </w:p>
  </w:footnote>
  <w:footnote w:id="18">
    <w:p w14:paraId="440B257D" w14:textId="77777777" w:rsidR="006D19F2" w:rsidRPr="004E265F" w:rsidRDefault="006D19F2">
      <w:pPr>
        <w:pStyle w:val="FootnoteText"/>
        <w:rPr>
          <w:lang w:val="en-AU"/>
        </w:rPr>
      </w:pPr>
      <w:r>
        <w:rPr>
          <w:rStyle w:val="FootnoteReference"/>
        </w:rPr>
        <w:footnoteRef/>
      </w:r>
      <w:r>
        <w:t xml:space="preserve"> </w:t>
      </w:r>
      <w:r w:rsidRPr="004E265F">
        <w:t>This included RAMSI, an AUD211m program to improve public sector governance through support to central agencies including small scale support to improve customs and the automation of its systems using ASYCUDA. Other funded programs in the Solomon Islands were predominantly behind-the-border initiatives.</w:t>
      </w:r>
    </w:p>
  </w:footnote>
  <w:footnote w:id="19">
    <w:p w14:paraId="7AA9F443" w14:textId="77777777" w:rsidR="006D19F2" w:rsidRPr="00850BD1" w:rsidRDefault="006D19F2">
      <w:pPr>
        <w:pStyle w:val="FootnoteText"/>
        <w:rPr>
          <w:lang w:val="en-AU"/>
        </w:rPr>
      </w:pPr>
      <w:r>
        <w:rPr>
          <w:rStyle w:val="FootnoteReference"/>
        </w:rPr>
        <w:footnoteRef/>
      </w:r>
      <w:r>
        <w:t xml:space="preserve"> </w:t>
      </w:r>
      <w:r w:rsidRPr="00850BD1">
        <w:t>The 2015 World Trade Report can be found at https://www.wto.org/english/res_e/publications_e/wtr15_e.htm</w:t>
      </w:r>
    </w:p>
  </w:footnote>
  <w:footnote w:id="20">
    <w:p w14:paraId="650CB5F5" w14:textId="77777777" w:rsidR="006D19F2" w:rsidRPr="007A31CC" w:rsidRDefault="006D19F2">
      <w:pPr>
        <w:pStyle w:val="FootnoteText"/>
        <w:rPr>
          <w:lang w:val="en-AU"/>
        </w:rPr>
      </w:pPr>
      <w:r>
        <w:rPr>
          <w:rStyle w:val="FootnoteReference"/>
        </w:rPr>
        <w:footnoteRef/>
      </w:r>
      <w:r>
        <w:t xml:space="preserve"> </w:t>
      </w:r>
      <w:r w:rsidRPr="007A31CC">
        <w:t>See Stoler, Redden and Jackson, 2009, Trade and Poverty Reduction in the Asia-Pacific Region: Case Studies and Lessons from Low-Income Communities. Cambridge University Press, UK.</w:t>
      </w:r>
    </w:p>
  </w:footnote>
  <w:footnote w:id="21">
    <w:p w14:paraId="33AD6F84" w14:textId="77777777" w:rsidR="006D19F2" w:rsidRPr="00632343" w:rsidRDefault="006D19F2">
      <w:pPr>
        <w:pStyle w:val="FootnoteText"/>
        <w:rPr>
          <w:lang w:val="en-AU"/>
        </w:rPr>
      </w:pPr>
      <w:r>
        <w:rPr>
          <w:rStyle w:val="FootnoteReference"/>
        </w:rPr>
        <w:footnoteRef/>
      </w:r>
      <w:r>
        <w:t xml:space="preserve"> </w:t>
      </w:r>
      <w:r w:rsidRPr="00632343">
        <w:t>Higgins, K, 2012, Gender Dimensions of Trade Facilitation and Logistics: A Guidance Note, World Bank.</w:t>
      </w:r>
    </w:p>
  </w:footnote>
  <w:footnote w:id="22">
    <w:p w14:paraId="1F9BE9EE" w14:textId="77777777" w:rsidR="006D19F2" w:rsidRPr="00632343" w:rsidRDefault="006D19F2">
      <w:pPr>
        <w:pStyle w:val="FootnoteText"/>
        <w:rPr>
          <w:lang w:val="en-AU"/>
        </w:rPr>
      </w:pPr>
      <w:r>
        <w:rPr>
          <w:rStyle w:val="FootnoteReference"/>
        </w:rPr>
        <w:footnoteRef/>
      </w:r>
      <w:r>
        <w:t xml:space="preserve"> </w:t>
      </w:r>
      <w:r w:rsidRPr="00632343">
        <w:t>Hagen von, M, 2014, Trade and Gender—Exploring a reciprocal relationship: Approaches to mitigate and measure gender-related trade impacts. GIZ.</w:t>
      </w:r>
    </w:p>
  </w:footnote>
  <w:footnote w:id="23">
    <w:p w14:paraId="3B6A142C" w14:textId="77777777" w:rsidR="006D19F2" w:rsidRPr="00821A2A" w:rsidRDefault="006D19F2" w:rsidP="0084444D">
      <w:pPr>
        <w:pStyle w:val="FootnoteText"/>
        <w:rPr>
          <w:lang w:val="en-AU"/>
        </w:rPr>
      </w:pPr>
      <w:r>
        <w:rPr>
          <w:rStyle w:val="FootnoteReference"/>
        </w:rPr>
        <w:footnoteRef/>
      </w:r>
      <w:r>
        <w:t xml:space="preserve"> </w:t>
      </w:r>
      <w:r w:rsidRPr="00821A2A">
        <w:t>See http://dfat.gov.au/about-us/publications/Documents/australian-aid-development-policy.pdf</w:t>
      </w:r>
    </w:p>
  </w:footnote>
  <w:footnote w:id="24">
    <w:p w14:paraId="6F94A51D" w14:textId="77777777" w:rsidR="006D19F2" w:rsidRPr="0084444D" w:rsidRDefault="006D19F2" w:rsidP="0084444D">
      <w:pPr>
        <w:pStyle w:val="FootnoteText"/>
        <w:rPr>
          <w:lang w:val="en-AU"/>
        </w:rPr>
      </w:pPr>
      <w:r>
        <w:rPr>
          <w:rStyle w:val="FootnoteReference"/>
        </w:rPr>
        <w:footnoteRef/>
      </w:r>
      <w:r>
        <w:t xml:space="preserve"> </w:t>
      </w:r>
      <w:r w:rsidRPr="0084444D">
        <w:t>Source: http://dfat.gov.au/aid/topics/development-issues/aid-for-trade/Pages/aid-for-trade.aspx</w:t>
      </w:r>
    </w:p>
  </w:footnote>
  <w:footnote w:id="25">
    <w:p w14:paraId="348F2E2A" w14:textId="77777777" w:rsidR="006D19F2" w:rsidRPr="00054015" w:rsidRDefault="006D19F2">
      <w:pPr>
        <w:pStyle w:val="FootnoteText"/>
        <w:rPr>
          <w:lang w:val="en-AU"/>
        </w:rPr>
      </w:pPr>
      <w:r>
        <w:rPr>
          <w:rStyle w:val="FootnoteReference"/>
        </w:rPr>
        <w:footnoteRef/>
      </w:r>
      <w:r>
        <w:t xml:space="preserve"> </w:t>
      </w:r>
      <w:r w:rsidRPr="00054015">
        <w:t>Australia ranks second behind Singapore in terms of Trade Facilitation and Paperless Trade according to the 2015 Asia Pacific Survey—unnext.unescap.org/UNTFSurvey2015.asp</w:t>
      </w:r>
    </w:p>
  </w:footnote>
  <w:footnote w:id="26">
    <w:p w14:paraId="73EAD8FF" w14:textId="77777777" w:rsidR="006D19F2" w:rsidRPr="00E711E9" w:rsidRDefault="006D19F2">
      <w:pPr>
        <w:pStyle w:val="FootnoteText"/>
        <w:rPr>
          <w:lang w:val="en-AU"/>
        </w:rPr>
      </w:pPr>
      <w:r>
        <w:rPr>
          <w:rStyle w:val="FootnoteReference"/>
        </w:rPr>
        <w:footnoteRef/>
      </w:r>
      <w:r>
        <w:t xml:space="preserve"> </w:t>
      </w:r>
      <w:r w:rsidRPr="00E711E9">
        <w:t>However, the evaluation will not specifically examine the effectiveness of investments in economic infrastructure or building productive capacity.</w:t>
      </w:r>
    </w:p>
  </w:footnote>
  <w:footnote w:id="27">
    <w:p w14:paraId="1393A361" w14:textId="77777777" w:rsidR="006D19F2" w:rsidRPr="00E711E9" w:rsidRDefault="006D19F2">
      <w:pPr>
        <w:pStyle w:val="FootnoteText"/>
        <w:rPr>
          <w:lang w:val="en-AU"/>
        </w:rPr>
      </w:pPr>
      <w:r>
        <w:rPr>
          <w:rStyle w:val="FootnoteReference"/>
        </w:rPr>
        <w:footnoteRef/>
      </w:r>
      <w:r>
        <w:t xml:space="preserve"> </w:t>
      </w:r>
      <w:r w:rsidRPr="00E711E9">
        <w:t>In 2015 PNG joined PHAMA and PHAMA will assist in PNG’s ongoing agriculture sector development and trade facilitation initiatives</w:t>
      </w:r>
    </w:p>
  </w:footnote>
  <w:footnote w:id="28">
    <w:p w14:paraId="21EF73B7" w14:textId="77777777" w:rsidR="006D19F2" w:rsidRPr="002F3667" w:rsidRDefault="006D19F2">
      <w:pPr>
        <w:pStyle w:val="FootnoteText"/>
        <w:rPr>
          <w:lang w:val="en-AU"/>
        </w:rPr>
      </w:pPr>
      <w:r>
        <w:rPr>
          <w:rStyle w:val="FootnoteReference"/>
        </w:rPr>
        <w:footnoteRef/>
      </w:r>
      <w:r>
        <w:t xml:space="preserve"> </w:t>
      </w:r>
      <w:r w:rsidRPr="002F3667">
        <w:t>This is also referred to as an ‘exploratory sequential’ mixed methods design. Qualitative studies are conducted and findings explored when considering individual programs being evaluated.</w:t>
      </w:r>
    </w:p>
  </w:footnote>
  <w:footnote w:id="29">
    <w:p w14:paraId="7A370526" w14:textId="77777777" w:rsidR="006D19F2" w:rsidRPr="006F4E87" w:rsidRDefault="006D19F2">
      <w:pPr>
        <w:pStyle w:val="FootnoteText"/>
        <w:rPr>
          <w:lang w:val="en-AU"/>
        </w:rPr>
      </w:pPr>
      <w:r>
        <w:rPr>
          <w:rStyle w:val="FootnoteReference"/>
        </w:rPr>
        <w:footnoteRef/>
      </w:r>
      <w:r>
        <w:t xml:space="preserve"> </w:t>
      </w:r>
      <w:r w:rsidRPr="006F4E87">
        <w:t>The results of Phase 1 are captured in ODE (2015) Global and Regional Perspectives: Situation Analysis Report.</w:t>
      </w:r>
    </w:p>
  </w:footnote>
  <w:footnote w:id="30">
    <w:p w14:paraId="2BCD828F" w14:textId="77777777" w:rsidR="006D19F2" w:rsidRPr="0029030E" w:rsidRDefault="006D19F2">
      <w:pPr>
        <w:pStyle w:val="FootnoteText"/>
        <w:rPr>
          <w:lang w:val="en-AU"/>
        </w:rPr>
      </w:pPr>
      <w:r>
        <w:rPr>
          <w:rStyle w:val="FootnoteReference"/>
        </w:rPr>
        <w:footnoteRef/>
      </w:r>
      <w:r>
        <w:t xml:space="preserve"> </w:t>
      </w:r>
      <w:r w:rsidRPr="0029030E">
        <w:t>ODE (2015) Evaluation Plan - Trade Facilitation and Related Assistance</w:t>
      </w:r>
    </w:p>
  </w:footnote>
  <w:footnote w:id="31">
    <w:p w14:paraId="06167641" w14:textId="77777777" w:rsidR="006D19F2" w:rsidRPr="00DF2D6F" w:rsidRDefault="006D19F2">
      <w:pPr>
        <w:pStyle w:val="FootnoteText"/>
        <w:rPr>
          <w:lang w:val="en-AU"/>
        </w:rPr>
      </w:pPr>
      <w:r>
        <w:rPr>
          <w:rStyle w:val="FootnoteReference"/>
        </w:rPr>
        <w:footnoteRef/>
      </w:r>
      <w:r>
        <w:t xml:space="preserve"> </w:t>
      </w:r>
      <w:r w:rsidRPr="00DF2D6F">
        <w:t>PHAMA August 2015—Framework for MAWG and IWG Sustainability Road Maps</w:t>
      </w:r>
    </w:p>
  </w:footnote>
  <w:footnote w:id="32">
    <w:p w14:paraId="26C347F9" w14:textId="77777777" w:rsidR="006D19F2" w:rsidRPr="00575B2A" w:rsidRDefault="006D19F2">
      <w:pPr>
        <w:pStyle w:val="FootnoteText"/>
        <w:rPr>
          <w:lang w:val="en-AU"/>
        </w:rPr>
      </w:pPr>
      <w:r>
        <w:rPr>
          <w:rStyle w:val="FootnoteReference"/>
        </w:rPr>
        <w:footnoteRef/>
      </w:r>
      <w:r>
        <w:t xml:space="preserve"> </w:t>
      </w:r>
      <w:r w:rsidRPr="00575B2A">
        <w:t>A 2015 OECD review of Aid for Trade noted: Deepening economic integration via regional co-operation has thus emerged as a key priority in the reform strategies of most developing economies. Source: Lammersen, F. and M. Roberts (2015), Aid for trade 10 years on: Keeping it effective, OECD Development Policy Papers, No. 1, OECD Publishing, Paris. http://dx.doi.org/10.1787/5jrqc6q4xxr5-en. p 15</w:t>
      </w:r>
    </w:p>
  </w:footnote>
  <w:footnote w:id="33">
    <w:p w14:paraId="2CACE351" w14:textId="77777777" w:rsidR="006D19F2" w:rsidRPr="004D4366" w:rsidRDefault="006D19F2">
      <w:pPr>
        <w:pStyle w:val="FootnoteText"/>
        <w:rPr>
          <w:lang w:val="en-AU"/>
        </w:rPr>
      </w:pPr>
      <w:r>
        <w:rPr>
          <w:rStyle w:val="FootnoteReference"/>
        </w:rPr>
        <w:footnoteRef/>
      </w:r>
      <w:r>
        <w:t xml:space="preserve"> </w:t>
      </w:r>
      <w:r w:rsidRPr="004D4366">
        <w:t>Hagen von, M. (2014). Trade and Gender—Exploring a reciprocal relationship: Approaches to mitigate and measure gender related trade impacts. GIZ.</w:t>
      </w:r>
    </w:p>
  </w:footnote>
  <w:footnote w:id="34">
    <w:p w14:paraId="7F995551" w14:textId="77777777" w:rsidR="006D19F2" w:rsidRPr="004D4366" w:rsidRDefault="006D19F2">
      <w:pPr>
        <w:pStyle w:val="FootnoteText"/>
        <w:rPr>
          <w:lang w:val="en-AU"/>
        </w:rPr>
      </w:pPr>
      <w:r>
        <w:rPr>
          <w:rStyle w:val="FootnoteReference"/>
        </w:rPr>
        <w:footnoteRef/>
      </w:r>
      <w:r>
        <w:t xml:space="preserve"> </w:t>
      </w:r>
      <w:r w:rsidRPr="004D4366">
        <w:t>While the preferred method for statistically determining causation is randomised control trials (RCTs) or quasi-experimental variants of RCTs, the cost and difficulty in establishing a controlled environment for AfT initiatives will prohibit these being successfully applied. Instead approaches such as mixed method designs, using case study research and contribution analysis, offer more cost effective ways to explore causality.</w:t>
      </w:r>
    </w:p>
  </w:footnote>
  <w:footnote w:id="35">
    <w:p w14:paraId="386AFBCA" w14:textId="77777777" w:rsidR="006D19F2" w:rsidRPr="004D4366" w:rsidRDefault="006D19F2">
      <w:pPr>
        <w:pStyle w:val="FootnoteText"/>
        <w:rPr>
          <w:lang w:val="en-AU"/>
        </w:rPr>
      </w:pPr>
      <w:r>
        <w:rPr>
          <w:rStyle w:val="FootnoteReference"/>
        </w:rPr>
        <w:footnoteRef/>
      </w:r>
      <w:r>
        <w:t xml:space="preserve"> </w:t>
      </w:r>
      <w:r w:rsidRPr="004D4366">
        <w:t>Bamberger, M, Vaessen, J and Raimondo, R. (eds) (2016) Dealing with Complexity in Development Evaluation. A Practical Approach. Sage Thousand Oaks California. p   429</w:t>
      </w:r>
    </w:p>
  </w:footnote>
  <w:footnote w:id="36">
    <w:p w14:paraId="7B4A357E" w14:textId="77777777" w:rsidR="006D19F2" w:rsidRPr="00977E19" w:rsidRDefault="006D19F2">
      <w:pPr>
        <w:pStyle w:val="FootnoteText"/>
        <w:rPr>
          <w:lang w:val="en-AU"/>
        </w:rPr>
      </w:pPr>
      <w:r>
        <w:rPr>
          <w:rStyle w:val="FootnoteReference"/>
        </w:rPr>
        <w:footnoteRef/>
      </w:r>
      <w:r>
        <w:t xml:space="preserve"> </w:t>
      </w:r>
      <w:r w:rsidRPr="00977E19">
        <w:t>WTO Aid for Trade Review, 2011.</w:t>
      </w:r>
    </w:p>
  </w:footnote>
  <w:footnote w:id="37">
    <w:p w14:paraId="68F31D0E" w14:textId="77777777" w:rsidR="006D19F2" w:rsidRPr="00977E19" w:rsidRDefault="006D19F2">
      <w:pPr>
        <w:pStyle w:val="FootnoteText"/>
        <w:rPr>
          <w:lang w:val="en-AU"/>
        </w:rPr>
      </w:pPr>
      <w:r>
        <w:rPr>
          <w:rStyle w:val="FootnoteReference"/>
        </w:rPr>
        <w:footnoteRef/>
      </w:r>
      <w:r>
        <w:t xml:space="preserve"> </w:t>
      </w:r>
      <w:r w:rsidRPr="00977E19">
        <w:t>OCTA has produced ‘benefits and myths’ publication to address misconceptions and inaccuracies and has been proactively communicating the messages around benefits.</w:t>
      </w:r>
    </w:p>
  </w:footnote>
  <w:footnote w:id="38">
    <w:p w14:paraId="51AE8CB5" w14:textId="77777777" w:rsidR="006D19F2" w:rsidRPr="00CE2081" w:rsidRDefault="006D19F2">
      <w:pPr>
        <w:pStyle w:val="FootnoteText"/>
        <w:rPr>
          <w:lang w:val="en-AU"/>
        </w:rPr>
      </w:pPr>
      <w:r>
        <w:rPr>
          <w:rStyle w:val="FootnoteReference"/>
        </w:rPr>
        <w:footnoteRef/>
      </w:r>
      <w:r>
        <w:t xml:space="preserve"> </w:t>
      </w:r>
      <w:r w:rsidRPr="00CE2081">
        <w:t>http://knoema.com/FAOTSJUL2015/trade-statistics-crops-livestock-products-live-animal-july-2015</w:t>
      </w:r>
    </w:p>
  </w:footnote>
  <w:footnote w:id="39">
    <w:p w14:paraId="3058E7CD" w14:textId="77777777" w:rsidR="006D19F2" w:rsidRPr="00DB64F3" w:rsidRDefault="006D19F2">
      <w:pPr>
        <w:pStyle w:val="FootnoteText"/>
        <w:rPr>
          <w:lang w:val="en-AU"/>
        </w:rPr>
      </w:pPr>
      <w:r>
        <w:rPr>
          <w:rStyle w:val="FootnoteReference"/>
        </w:rPr>
        <w:footnoteRef/>
      </w:r>
      <w:r>
        <w:t xml:space="preserve"> </w:t>
      </w:r>
      <w:r w:rsidRPr="00DB64F3">
        <w:t>The Australian Government’s Gender and Development Policy (1997) required a gender perspective to be integrated throughout the aid program.</w:t>
      </w:r>
    </w:p>
  </w:footnote>
  <w:footnote w:id="40">
    <w:p w14:paraId="5DC17A77" w14:textId="77777777" w:rsidR="006D19F2" w:rsidRPr="0031010A" w:rsidRDefault="006D19F2">
      <w:pPr>
        <w:pStyle w:val="FootnoteText"/>
        <w:rPr>
          <w:lang w:val="en-AU"/>
        </w:rPr>
      </w:pPr>
      <w:r>
        <w:rPr>
          <w:rStyle w:val="FootnoteReference"/>
        </w:rPr>
        <w:footnoteRef/>
      </w:r>
      <w:r>
        <w:t xml:space="preserve"> </w:t>
      </w:r>
      <w:r w:rsidRPr="0031010A">
        <w:t>Gender was raised only once during a presentation in relation to monitoring NTMs and how they affect men and women differently.</w:t>
      </w:r>
    </w:p>
  </w:footnote>
  <w:footnote w:id="41">
    <w:p w14:paraId="6283FCA6" w14:textId="77777777" w:rsidR="006D19F2" w:rsidRPr="0031010A" w:rsidRDefault="006D19F2">
      <w:pPr>
        <w:pStyle w:val="FootnoteText"/>
        <w:rPr>
          <w:lang w:val="en-AU"/>
        </w:rPr>
      </w:pPr>
      <w:r>
        <w:rPr>
          <w:rStyle w:val="FootnoteReference"/>
        </w:rPr>
        <w:footnoteRef/>
      </w:r>
      <w:r>
        <w:t xml:space="preserve"> </w:t>
      </w:r>
      <w:r w:rsidRPr="0031010A">
        <w:t>World Bank, (2012) Mapping the gender dimensions of trade. Poverty Reduction and Economic Management Sector Department. East Asia Pacific Region</w:t>
      </w:r>
    </w:p>
  </w:footnote>
  <w:footnote w:id="42">
    <w:p w14:paraId="7C8048D6" w14:textId="77777777" w:rsidR="006D19F2" w:rsidRPr="002F2FF0" w:rsidRDefault="006D19F2">
      <w:pPr>
        <w:pStyle w:val="FootnoteText"/>
        <w:rPr>
          <w:lang w:val="en-AU"/>
        </w:rPr>
      </w:pPr>
      <w:r>
        <w:rPr>
          <w:rStyle w:val="FootnoteReference"/>
        </w:rPr>
        <w:footnoteRef/>
      </w:r>
      <w:r>
        <w:t xml:space="preserve"> </w:t>
      </w:r>
      <w:r w:rsidRPr="002F2FF0">
        <w:t>Such as the Ministry of Industry and Commerce (MOIC), Lao Women’s Union (LWU) and the Lao National Committee for</w:t>
      </w:r>
      <w:r>
        <w:t xml:space="preserve"> </w:t>
      </w:r>
      <w:r w:rsidRPr="002F2FF0">
        <w:t>the Advancement of Women (NCAW).</w:t>
      </w:r>
    </w:p>
  </w:footnote>
  <w:footnote w:id="43">
    <w:p w14:paraId="60774675" w14:textId="77777777" w:rsidR="006D19F2" w:rsidRPr="00397187" w:rsidRDefault="006D19F2">
      <w:pPr>
        <w:pStyle w:val="FootnoteText"/>
        <w:rPr>
          <w:lang w:val="en-AU"/>
        </w:rPr>
      </w:pPr>
      <w:r>
        <w:rPr>
          <w:rStyle w:val="FootnoteReference"/>
        </w:rPr>
        <w:footnoteRef/>
      </w:r>
      <w:r>
        <w:t xml:space="preserve"> </w:t>
      </w:r>
      <w:r w:rsidRPr="00397187">
        <w:t>Bysouth,K and Sann, K. (2015) Review of Gender in Aid Quality Checks: Final Report. IOD PARC Australia.</w:t>
      </w:r>
    </w:p>
  </w:footnote>
  <w:footnote w:id="44">
    <w:p w14:paraId="5AD6D523" w14:textId="77777777" w:rsidR="006D19F2" w:rsidRPr="000C37CF" w:rsidRDefault="006D19F2">
      <w:pPr>
        <w:pStyle w:val="FootnoteText"/>
        <w:rPr>
          <w:lang w:val="en-AU"/>
        </w:rPr>
      </w:pPr>
      <w:r>
        <w:rPr>
          <w:rStyle w:val="FootnoteReference"/>
        </w:rPr>
        <w:footnoteRef/>
      </w:r>
      <w:r>
        <w:t xml:space="preserve"> </w:t>
      </w:r>
      <w:r w:rsidRPr="000C37CF">
        <w:t>See ODE (2016) Aid for Trade: Global and Regional Perspectives: Situation Analysis Report for a discussion on gender and trade based on a review of literature and DFAT AfT investments.</w:t>
      </w:r>
    </w:p>
  </w:footnote>
  <w:footnote w:id="45">
    <w:p w14:paraId="7EBB895C" w14:textId="77777777" w:rsidR="006D19F2" w:rsidRPr="007A1348" w:rsidRDefault="006D19F2">
      <w:pPr>
        <w:pStyle w:val="FootnoteText"/>
        <w:rPr>
          <w:lang w:val="en-AU"/>
        </w:rPr>
      </w:pPr>
      <w:r>
        <w:rPr>
          <w:rStyle w:val="FootnoteReference"/>
        </w:rPr>
        <w:footnoteRef/>
      </w:r>
      <w:r>
        <w:t xml:space="preserve"> </w:t>
      </w:r>
      <w:r w:rsidRPr="007A1348">
        <w:t>See ODE (2016) Aid for Trade: Global and Regional Perspectives: Situation Analysis Report</w:t>
      </w:r>
    </w:p>
  </w:footnote>
  <w:footnote w:id="46">
    <w:p w14:paraId="7B9192F7" w14:textId="77777777" w:rsidR="006D19F2" w:rsidRPr="007A1348" w:rsidRDefault="006D19F2">
      <w:pPr>
        <w:pStyle w:val="FootnoteText"/>
        <w:rPr>
          <w:lang w:val="en-AU"/>
        </w:rPr>
      </w:pPr>
      <w:r>
        <w:rPr>
          <w:rStyle w:val="FootnoteReference"/>
        </w:rPr>
        <w:footnoteRef/>
      </w:r>
      <w:r>
        <w:t xml:space="preserve"> </w:t>
      </w:r>
      <w:r w:rsidRPr="007A1348">
        <w:t>For a recent review of the AfT experience, see: Lammersen, F. and M. Roberts, 2015. Aid for trade 10 years on: Keeping it effective, OECD Development Policy Papers, No. 1, OECD Publishing, Paris. http://dx.doi.org/10.1787/5jrqc6q4xxr5-en.</w:t>
      </w:r>
    </w:p>
  </w:footnote>
  <w:footnote w:id="47">
    <w:p w14:paraId="1AC01A60" w14:textId="77777777" w:rsidR="006D19F2" w:rsidRPr="007A1348" w:rsidRDefault="006D19F2">
      <w:pPr>
        <w:pStyle w:val="FootnoteText"/>
        <w:rPr>
          <w:lang w:val="en-AU"/>
        </w:rPr>
      </w:pPr>
      <w:r>
        <w:rPr>
          <w:rStyle w:val="FootnoteReference"/>
        </w:rPr>
        <w:footnoteRef/>
      </w:r>
      <w:r>
        <w:t xml:space="preserve"> </w:t>
      </w:r>
      <w:r w:rsidRPr="007A1348">
        <w:t>Ratnakar Adhikari, 2011. Evaluating Aid for Trade Effectiveness on the Ground: A Methodological Framework. Issue Paper No. 20. International Centre for Trade and Sustainable Development (ICTSD), Geneva.</w:t>
      </w:r>
    </w:p>
  </w:footnote>
  <w:footnote w:id="48">
    <w:p w14:paraId="56C0861A" w14:textId="77777777" w:rsidR="006D19F2" w:rsidRPr="007A1348" w:rsidRDefault="006D19F2">
      <w:pPr>
        <w:pStyle w:val="FootnoteText"/>
        <w:rPr>
          <w:lang w:val="en-AU"/>
        </w:rPr>
      </w:pPr>
      <w:r>
        <w:rPr>
          <w:rStyle w:val="FootnoteReference"/>
        </w:rPr>
        <w:footnoteRef/>
      </w:r>
      <w:r>
        <w:t xml:space="preserve"> </w:t>
      </w:r>
      <w:r w:rsidRPr="007A1348">
        <w:t>Lammersen, F. and M. Roberts, 2015, Aid for trade 10 years on: Keeping it effective, OECD Development Policy Papers, No. 1, OECD Publishing, Paris.</w:t>
      </w:r>
    </w:p>
  </w:footnote>
  <w:footnote w:id="49">
    <w:p w14:paraId="32E57A40" w14:textId="77777777" w:rsidR="006D19F2" w:rsidRPr="00B46A86" w:rsidRDefault="006D19F2">
      <w:pPr>
        <w:pStyle w:val="FootnoteText"/>
        <w:rPr>
          <w:lang w:val="en-AU"/>
        </w:rPr>
      </w:pPr>
      <w:r>
        <w:rPr>
          <w:rStyle w:val="FootnoteReference"/>
        </w:rPr>
        <w:footnoteRef/>
      </w:r>
      <w:r>
        <w:t xml:space="preserve"> </w:t>
      </w:r>
      <w:r w:rsidRPr="00B46A86">
        <w:t>OECD/WTO, 2013, Aid for Trade in Action, ECD Publishing.</w:t>
      </w:r>
    </w:p>
  </w:footnote>
  <w:footnote w:id="50">
    <w:p w14:paraId="288FA4D2" w14:textId="77777777" w:rsidR="006D19F2" w:rsidRPr="00B46A86" w:rsidRDefault="006D19F2">
      <w:pPr>
        <w:pStyle w:val="FootnoteText"/>
        <w:rPr>
          <w:lang w:val="en-AU"/>
        </w:rPr>
      </w:pPr>
      <w:r>
        <w:rPr>
          <w:rStyle w:val="FootnoteReference"/>
        </w:rPr>
        <w:footnoteRef/>
      </w:r>
      <w:r>
        <w:t xml:space="preserve"> </w:t>
      </w:r>
      <w:r w:rsidRPr="00B46A86">
        <w:t>ODI, 2013, Focusing on what matters in Aid-for-Trade: Increasing effectiveness and delivering results, Briefing Paper 79.</w:t>
      </w:r>
    </w:p>
  </w:footnote>
  <w:footnote w:id="51">
    <w:p w14:paraId="29B2CF47" w14:textId="77777777" w:rsidR="006D19F2" w:rsidRPr="00B46A86" w:rsidRDefault="006D19F2">
      <w:pPr>
        <w:pStyle w:val="FootnoteText"/>
        <w:rPr>
          <w:lang w:val="en-AU"/>
        </w:rPr>
      </w:pPr>
      <w:r>
        <w:rPr>
          <w:rStyle w:val="FootnoteReference"/>
        </w:rPr>
        <w:footnoteRef/>
      </w:r>
      <w:r>
        <w:t xml:space="preserve"> </w:t>
      </w:r>
      <w:r w:rsidRPr="00B46A86">
        <w:t xml:space="preserve">Ancharaz, Ghisu and Bellmann, 2013, Assesseing the Effectiveness of Aid for Trade: Lessons from the Ground, In Razzaque and te Velde, 2013, Assessing Aid for Trade: Effectiveness, Current Issues and </w:t>
      </w:r>
      <w:r>
        <w:t xml:space="preserve">Future direction, Commonwealth Secretariat. and </w:t>
      </w:r>
      <w:r w:rsidRPr="00B46A86">
        <w:t>ODI, London.</w:t>
      </w:r>
    </w:p>
  </w:footnote>
  <w:footnote w:id="52">
    <w:p w14:paraId="4BC6991B" w14:textId="77777777" w:rsidR="006D19F2" w:rsidRPr="00B46A86" w:rsidRDefault="006D19F2">
      <w:pPr>
        <w:pStyle w:val="FootnoteText"/>
        <w:rPr>
          <w:lang w:val="en-AU"/>
        </w:rPr>
      </w:pPr>
      <w:r>
        <w:rPr>
          <w:rStyle w:val="FootnoteReference"/>
        </w:rPr>
        <w:footnoteRef/>
      </w:r>
      <w:r>
        <w:t xml:space="preserve"> </w:t>
      </w:r>
      <w:r w:rsidRPr="00B46A86">
        <w:t>OECD, 2011, Aid for Trade: is it Working? See: http://www.oecd.org/trade/AfT/45581702.pdf.</w:t>
      </w:r>
    </w:p>
  </w:footnote>
  <w:footnote w:id="53">
    <w:p w14:paraId="1CEC7122" w14:textId="77777777" w:rsidR="006D19F2" w:rsidRPr="00CE443A" w:rsidRDefault="006D19F2">
      <w:pPr>
        <w:pStyle w:val="FootnoteText"/>
        <w:rPr>
          <w:lang w:val="en-AU"/>
        </w:rPr>
      </w:pPr>
      <w:r>
        <w:rPr>
          <w:rStyle w:val="FootnoteReference"/>
        </w:rPr>
        <w:footnoteRef/>
      </w:r>
      <w:r>
        <w:t xml:space="preserve"> </w:t>
      </w:r>
      <w:r w:rsidRPr="00CE443A">
        <w:t>OECD, 2006, The Development Dimension Aid for Trade Making it Effective. Bernard Hoekman and John S. Wilson, 2010 Aid for Trade: An Action Agenda Looking Forward, Poverty Reduction and Economic Management (PREM) Network. Economic Premise No. 25.</w:t>
      </w:r>
    </w:p>
  </w:footnote>
  <w:footnote w:id="54">
    <w:p w14:paraId="35BCF467" w14:textId="77777777" w:rsidR="006D19F2" w:rsidRDefault="006D19F2" w:rsidP="00CE443A">
      <w:pPr>
        <w:pStyle w:val="FootnoteText"/>
      </w:pPr>
      <w:r>
        <w:rPr>
          <w:rStyle w:val="FootnoteReference"/>
        </w:rPr>
        <w:footnoteRef/>
      </w:r>
      <w:r>
        <w:t xml:space="preserve"> APEC Policy Support Unit, May 2014, Integrating SMEs into Global Value Chains: Policy Principles and Best Practices. ISSUES PAPER No.6.</w:t>
      </w:r>
    </w:p>
    <w:p w14:paraId="2CF8DF19" w14:textId="77777777" w:rsidR="006D19F2" w:rsidRDefault="006D19F2" w:rsidP="00CE443A">
      <w:pPr>
        <w:pStyle w:val="FootnoteText"/>
      </w:pPr>
      <w:r>
        <w:t>ADB 2013, Aid for Trade in Asia and the Pacific: Driving Private Sector Participation in Global Value Chains, ADB and WTO. Manila.</w:t>
      </w:r>
    </w:p>
    <w:p w14:paraId="62938717" w14:textId="77777777" w:rsidR="006D19F2" w:rsidRPr="00CE443A" w:rsidRDefault="006D19F2" w:rsidP="00CE443A">
      <w:pPr>
        <w:pStyle w:val="FootnoteText"/>
        <w:rPr>
          <w:lang w:val="en-AU"/>
        </w:rPr>
      </w:pPr>
      <w:r>
        <w:t>World Bank, 2013, What is the World Bank Doing on Aid for Trade? A report highlighting the World Bank Group’s support to address the main constraints which firms in developing countries face in connecting to value chains, Washington.</w:t>
      </w:r>
    </w:p>
  </w:footnote>
  <w:footnote w:id="55">
    <w:p w14:paraId="50B2625C" w14:textId="77777777" w:rsidR="006D19F2" w:rsidRPr="00233FA9" w:rsidRDefault="006D19F2">
      <w:pPr>
        <w:pStyle w:val="FootnoteText"/>
        <w:rPr>
          <w:lang w:val="en-AU"/>
        </w:rPr>
      </w:pPr>
      <w:r>
        <w:rPr>
          <w:rStyle w:val="FootnoteReference"/>
        </w:rPr>
        <w:footnoteRef/>
      </w:r>
      <w:r>
        <w:t xml:space="preserve"> </w:t>
      </w:r>
      <w:r w:rsidRPr="00233FA9">
        <w:t>Hagen von, M., 2014, Trade and Gender—Exploring a reciprocal relationship: Approaches to mitigate and measure gender related trade impacts (GIZ)</w:t>
      </w:r>
    </w:p>
  </w:footnote>
  <w:footnote w:id="56">
    <w:p w14:paraId="66743790" w14:textId="77777777" w:rsidR="006D19F2" w:rsidRPr="00233FA9" w:rsidRDefault="006D19F2">
      <w:pPr>
        <w:pStyle w:val="FootnoteText"/>
        <w:rPr>
          <w:lang w:val="en-AU"/>
        </w:rPr>
      </w:pPr>
      <w:r>
        <w:rPr>
          <w:rStyle w:val="FootnoteReference"/>
        </w:rPr>
        <w:footnoteRef/>
      </w:r>
      <w:r>
        <w:t xml:space="preserve"> </w:t>
      </w:r>
      <w:r w:rsidRPr="0012311F">
        <w:t>See Bishop, D. and K. Bowman, 2014, Still learning: A critical reflection on three years of measuring women’s empowerment in Oxfa</w:t>
      </w:r>
      <w:r>
        <w:t xml:space="preserve">m. Gender and Development, 22, </w:t>
      </w:r>
      <w:r w:rsidRPr="0012311F">
        <w:t>253-269.</w:t>
      </w:r>
    </w:p>
  </w:footnote>
  <w:footnote w:id="57">
    <w:p w14:paraId="13848ED8" w14:textId="77777777" w:rsidR="006D19F2" w:rsidRPr="003A3EA8" w:rsidRDefault="006D19F2">
      <w:pPr>
        <w:pStyle w:val="FootnoteText"/>
        <w:rPr>
          <w:lang w:val="en-AU"/>
        </w:rPr>
      </w:pPr>
      <w:r>
        <w:rPr>
          <w:rStyle w:val="FootnoteReference"/>
        </w:rPr>
        <w:footnoteRef/>
      </w:r>
      <w:r>
        <w:t xml:space="preserve"> </w:t>
      </w:r>
      <w:r w:rsidRPr="003A3EA8">
        <w:t>WTO, 2015 World Trade Report 2015: Speeding up trade: benefits and challenges of implementing the WTO Trade Facilitation Agreement.</w:t>
      </w:r>
    </w:p>
  </w:footnote>
  <w:footnote w:id="58">
    <w:p w14:paraId="5F68ADCA" w14:textId="77777777" w:rsidR="006D19F2" w:rsidRPr="003A3EA8" w:rsidRDefault="006D19F2">
      <w:pPr>
        <w:pStyle w:val="FootnoteText"/>
        <w:rPr>
          <w:lang w:val="en-AU"/>
        </w:rPr>
      </w:pPr>
      <w:r>
        <w:rPr>
          <w:rStyle w:val="FootnoteReference"/>
        </w:rPr>
        <w:footnoteRef/>
      </w:r>
      <w:r>
        <w:t xml:space="preserve"> </w:t>
      </w:r>
      <w:r w:rsidRPr="003A3EA8">
        <w:t>Basnett, Engel, Kennan, Kingombe, Massa and Willem te Velde, Increasing the effectiveness of Aid for Trade: the circumstances under which it works best, Working Paper 353.</w:t>
      </w:r>
    </w:p>
  </w:footnote>
  <w:footnote w:id="59">
    <w:p w14:paraId="4DDFF67F" w14:textId="77777777" w:rsidR="006D19F2" w:rsidRPr="00E742A5" w:rsidRDefault="006D19F2">
      <w:pPr>
        <w:pStyle w:val="FootnoteText"/>
        <w:rPr>
          <w:lang w:val="en-AU"/>
        </w:rPr>
      </w:pPr>
      <w:r>
        <w:rPr>
          <w:rStyle w:val="FootnoteReference"/>
        </w:rPr>
        <w:footnoteRef/>
      </w:r>
      <w:r>
        <w:t xml:space="preserve"> </w:t>
      </w:r>
      <w:r w:rsidRPr="00E742A5">
        <w:t>NB: It should also be noted that data is lacking for many of the programs. Efforts will be made to obtain and analyse this   data prior to the publication of the second draft report.</w:t>
      </w:r>
    </w:p>
  </w:footnote>
  <w:footnote w:id="60">
    <w:p w14:paraId="2400575B" w14:textId="77777777" w:rsidR="006D19F2" w:rsidRPr="0005369D" w:rsidRDefault="006D19F2">
      <w:pPr>
        <w:pStyle w:val="FootnoteText"/>
        <w:rPr>
          <w:lang w:val="en-AU"/>
        </w:rPr>
      </w:pPr>
      <w:r>
        <w:rPr>
          <w:rStyle w:val="FootnoteReference"/>
        </w:rPr>
        <w:footnoteRef/>
      </w:r>
      <w:r>
        <w:t xml:space="preserve"> </w:t>
      </w:r>
      <w:r w:rsidRPr="0005369D">
        <w:t>EIF DTIS Framework is only available for LDCs to draw upon at this stage, however others could seek to adopt a similar framework or approach but cannot access it in the same way.</w:t>
      </w:r>
    </w:p>
  </w:footnote>
  <w:footnote w:id="61">
    <w:p w14:paraId="3C240325" w14:textId="77777777" w:rsidR="006D19F2" w:rsidRPr="00CE6422" w:rsidRDefault="006D19F2">
      <w:pPr>
        <w:pStyle w:val="FootnoteText"/>
        <w:rPr>
          <w:lang w:val="en-AU"/>
        </w:rPr>
      </w:pPr>
      <w:r>
        <w:rPr>
          <w:rStyle w:val="FootnoteReference"/>
        </w:rPr>
        <w:footnoteRef/>
      </w:r>
      <w:r>
        <w:t xml:space="preserve"> </w:t>
      </w:r>
      <w:r w:rsidRPr="00CE6422">
        <w:t>Anecdotal evidence identifies that a further three participants have since found employment in regional organizations.</w:t>
      </w:r>
    </w:p>
  </w:footnote>
  <w:footnote w:id="62">
    <w:p w14:paraId="4C99680D" w14:textId="77777777" w:rsidR="006D19F2" w:rsidRPr="00F727BB" w:rsidRDefault="006D19F2">
      <w:pPr>
        <w:pStyle w:val="FootnoteText"/>
        <w:rPr>
          <w:lang w:val="en-AU"/>
        </w:rPr>
      </w:pPr>
      <w:r>
        <w:rPr>
          <w:rStyle w:val="FootnoteReference"/>
        </w:rPr>
        <w:footnoteRef/>
      </w:r>
      <w:r>
        <w:t xml:space="preserve"> </w:t>
      </w:r>
      <w:r w:rsidRPr="00F727BB">
        <w:t>Mid-term review of Lao PDR Trade Development Facility Phase 2, DFAT Mission Members Report, September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5454E6" w14:textId="77777777" w:rsidR="00BD272F" w:rsidRDefault="00BD272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5FB383" w14:textId="77777777" w:rsidR="00BD272F" w:rsidRDefault="00BD272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634DCD" w14:textId="77777777" w:rsidR="00BD272F" w:rsidRDefault="00BD27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911A08F4"/>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88"/>
    <w:multiLevelType w:val="singleLevel"/>
    <w:tmpl w:val="7508134A"/>
    <w:lvl w:ilvl="0">
      <w:start w:val="1"/>
      <w:numFmt w:val="decimal"/>
      <w:pStyle w:val="ListNumber"/>
      <w:lvlText w:val="%1."/>
      <w:lvlJc w:val="left"/>
      <w:pPr>
        <w:tabs>
          <w:tab w:val="num" w:pos="360"/>
        </w:tabs>
        <w:ind w:left="360" w:hanging="360"/>
      </w:pPr>
    </w:lvl>
  </w:abstractNum>
  <w:abstractNum w:abstractNumId="2">
    <w:nsid w:val="FFFFFF89"/>
    <w:multiLevelType w:val="singleLevel"/>
    <w:tmpl w:val="377295C4"/>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20A6681"/>
    <w:multiLevelType w:val="hybridMultilevel"/>
    <w:tmpl w:val="3F42351A"/>
    <w:lvl w:ilvl="0" w:tplc="1574788E">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06366B59"/>
    <w:multiLevelType w:val="hybridMultilevel"/>
    <w:tmpl w:val="0A9C5470"/>
    <w:lvl w:ilvl="0" w:tplc="1574788E">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07C700D5"/>
    <w:multiLevelType w:val="hybridMultilevel"/>
    <w:tmpl w:val="445E4EFC"/>
    <w:lvl w:ilvl="0" w:tplc="1574788E">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08E569F4"/>
    <w:multiLevelType w:val="hybridMultilevel"/>
    <w:tmpl w:val="28581408"/>
    <w:lvl w:ilvl="0" w:tplc="25720ADC">
      <w:start w:val="1"/>
      <w:numFmt w:val="upperRoman"/>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nsid w:val="0A6F6E38"/>
    <w:multiLevelType w:val="hybridMultilevel"/>
    <w:tmpl w:val="78DAC6C4"/>
    <w:lvl w:ilvl="0" w:tplc="1574788E">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0A785A03"/>
    <w:multiLevelType w:val="hybridMultilevel"/>
    <w:tmpl w:val="DF882982"/>
    <w:lvl w:ilvl="0" w:tplc="0C09000F">
      <w:start w:val="1"/>
      <w:numFmt w:val="decimal"/>
      <w:lvlText w:val="%1."/>
      <w:lvlJc w:val="left"/>
      <w:pPr>
        <w:ind w:left="360" w:hanging="360"/>
      </w:pPr>
    </w:lvl>
    <w:lvl w:ilvl="1" w:tplc="D638D188">
      <w:start w:val="1"/>
      <w:numFmt w:val="bullet"/>
      <w:lvlText w:val=""/>
      <w:lvlJc w:val="left"/>
      <w:pPr>
        <w:tabs>
          <w:tab w:val="num" w:pos="397"/>
        </w:tabs>
        <w:ind w:left="720" w:hanging="323"/>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nsid w:val="0DC6250B"/>
    <w:multiLevelType w:val="hybridMultilevel"/>
    <w:tmpl w:val="AFF0FCBE"/>
    <w:lvl w:ilvl="0" w:tplc="1574788E">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106A57F3"/>
    <w:multiLevelType w:val="hybridMultilevel"/>
    <w:tmpl w:val="2266F912"/>
    <w:lvl w:ilvl="0" w:tplc="0C09000F">
      <w:start w:val="1"/>
      <w:numFmt w:val="decimal"/>
      <w:lvlText w:val="%1."/>
      <w:lvlJc w:val="left"/>
      <w:pPr>
        <w:ind w:left="360" w:hanging="360"/>
      </w:pPr>
    </w:lvl>
    <w:lvl w:ilvl="1" w:tplc="B726CEF2">
      <w:start w:val="1"/>
      <w:numFmt w:val="upperRoman"/>
      <w:lvlText w:val="%2."/>
      <w:lvlJc w:val="left"/>
      <w:pPr>
        <w:ind w:left="1440" w:hanging="72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nsid w:val="1221389D"/>
    <w:multiLevelType w:val="hybridMultilevel"/>
    <w:tmpl w:val="178233B2"/>
    <w:lvl w:ilvl="0" w:tplc="1574788E">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12A8719F"/>
    <w:multiLevelType w:val="hybridMultilevel"/>
    <w:tmpl w:val="BA62F410"/>
    <w:lvl w:ilvl="0" w:tplc="1574788E">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13456C09"/>
    <w:multiLevelType w:val="hybridMultilevel"/>
    <w:tmpl w:val="ED6AB414"/>
    <w:lvl w:ilvl="0" w:tplc="1574788E">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16586C69"/>
    <w:multiLevelType w:val="hybridMultilevel"/>
    <w:tmpl w:val="78FE20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1928594D"/>
    <w:multiLevelType w:val="hybridMultilevel"/>
    <w:tmpl w:val="F6DE3AF8"/>
    <w:lvl w:ilvl="0" w:tplc="752EFB14">
      <w:start w:val="1"/>
      <w:numFmt w:val="decimal"/>
      <w:lvlText w:val="%1."/>
      <w:lvlJc w:val="left"/>
      <w:pPr>
        <w:ind w:left="357" w:hanging="357"/>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nsid w:val="1BF651FC"/>
    <w:multiLevelType w:val="hybridMultilevel"/>
    <w:tmpl w:val="1478C0AC"/>
    <w:lvl w:ilvl="0" w:tplc="1574788E">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1C7B534A"/>
    <w:multiLevelType w:val="hybridMultilevel"/>
    <w:tmpl w:val="2D6E40F8"/>
    <w:lvl w:ilvl="0" w:tplc="1574788E">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25282EDE"/>
    <w:multiLevelType w:val="hybridMultilevel"/>
    <w:tmpl w:val="79C4DD1C"/>
    <w:lvl w:ilvl="0" w:tplc="F78A356C">
      <w:start w:val="1"/>
      <w:numFmt w:val="bullet"/>
      <w:lvlText w:val="■"/>
      <w:lvlJc w:val="left"/>
      <w:pPr>
        <w:ind w:left="282" w:hanging="283"/>
      </w:pPr>
      <w:rPr>
        <w:rFonts w:ascii="Zapf Dingbats" w:eastAsia="Zapf Dingbats" w:hAnsi="Zapf Dingbats" w:hint="default"/>
        <w:w w:val="99"/>
      </w:rPr>
    </w:lvl>
    <w:lvl w:ilvl="1" w:tplc="F39C6AFE">
      <w:start w:val="1"/>
      <w:numFmt w:val="bullet"/>
      <w:lvlText w:val="•"/>
      <w:lvlJc w:val="left"/>
      <w:pPr>
        <w:ind w:left="463" w:hanging="283"/>
      </w:pPr>
      <w:rPr>
        <w:rFonts w:hint="default"/>
      </w:rPr>
    </w:lvl>
    <w:lvl w:ilvl="2" w:tplc="F7A87140">
      <w:start w:val="1"/>
      <w:numFmt w:val="bullet"/>
      <w:lvlText w:val="•"/>
      <w:lvlJc w:val="left"/>
      <w:pPr>
        <w:ind w:left="646" w:hanging="283"/>
      </w:pPr>
      <w:rPr>
        <w:rFonts w:hint="default"/>
      </w:rPr>
    </w:lvl>
    <w:lvl w:ilvl="3" w:tplc="0232B948">
      <w:start w:val="1"/>
      <w:numFmt w:val="bullet"/>
      <w:lvlText w:val="•"/>
      <w:lvlJc w:val="left"/>
      <w:pPr>
        <w:ind w:left="830" w:hanging="283"/>
      </w:pPr>
      <w:rPr>
        <w:rFonts w:hint="default"/>
      </w:rPr>
    </w:lvl>
    <w:lvl w:ilvl="4" w:tplc="9CC239D0">
      <w:start w:val="1"/>
      <w:numFmt w:val="bullet"/>
      <w:lvlText w:val="•"/>
      <w:lvlJc w:val="left"/>
      <w:pPr>
        <w:ind w:left="1013" w:hanging="283"/>
      </w:pPr>
      <w:rPr>
        <w:rFonts w:hint="default"/>
      </w:rPr>
    </w:lvl>
    <w:lvl w:ilvl="5" w:tplc="58F63992">
      <w:start w:val="1"/>
      <w:numFmt w:val="bullet"/>
      <w:lvlText w:val="•"/>
      <w:lvlJc w:val="left"/>
      <w:pPr>
        <w:ind w:left="1196" w:hanging="283"/>
      </w:pPr>
      <w:rPr>
        <w:rFonts w:hint="default"/>
      </w:rPr>
    </w:lvl>
    <w:lvl w:ilvl="6" w:tplc="FE581654">
      <w:start w:val="1"/>
      <w:numFmt w:val="bullet"/>
      <w:lvlText w:val="•"/>
      <w:lvlJc w:val="left"/>
      <w:pPr>
        <w:ind w:left="1380" w:hanging="283"/>
      </w:pPr>
      <w:rPr>
        <w:rFonts w:hint="default"/>
      </w:rPr>
    </w:lvl>
    <w:lvl w:ilvl="7" w:tplc="F8C4FED2">
      <w:start w:val="1"/>
      <w:numFmt w:val="bullet"/>
      <w:lvlText w:val="•"/>
      <w:lvlJc w:val="left"/>
      <w:pPr>
        <w:ind w:left="1563" w:hanging="283"/>
      </w:pPr>
      <w:rPr>
        <w:rFonts w:hint="default"/>
      </w:rPr>
    </w:lvl>
    <w:lvl w:ilvl="8" w:tplc="6D3285A8">
      <w:start w:val="1"/>
      <w:numFmt w:val="bullet"/>
      <w:lvlText w:val="•"/>
      <w:lvlJc w:val="left"/>
      <w:pPr>
        <w:ind w:left="1746" w:hanging="283"/>
      </w:pPr>
      <w:rPr>
        <w:rFonts w:hint="default"/>
      </w:rPr>
    </w:lvl>
  </w:abstractNum>
  <w:abstractNum w:abstractNumId="19">
    <w:nsid w:val="33AC19AF"/>
    <w:multiLevelType w:val="hybridMultilevel"/>
    <w:tmpl w:val="EF50704C"/>
    <w:lvl w:ilvl="0" w:tplc="6C3EFB28">
      <w:start w:val="1"/>
      <w:numFmt w:val="bullet"/>
      <w:lvlText w:val="■"/>
      <w:lvlJc w:val="left"/>
      <w:pPr>
        <w:ind w:left="282" w:hanging="283"/>
      </w:pPr>
      <w:rPr>
        <w:rFonts w:ascii="Zapf Dingbats" w:eastAsia="Zapf Dingbats" w:hAnsi="Zapf Dingbats" w:hint="default"/>
        <w:w w:val="99"/>
      </w:rPr>
    </w:lvl>
    <w:lvl w:ilvl="1" w:tplc="EE3C3068">
      <w:start w:val="1"/>
      <w:numFmt w:val="bullet"/>
      <w:lvlText w:val="•"/>
      <w:lvlJc w:val="left"/>
      <w:pPr>
        <w:ind w:left="421" w:hanging="283"/>
      </w:pPr>
      <w:rPr>
        <w:rFonts w:hint="default"/>
      </w:rPr>
    </w:lvl>
    <w:lvl w:ilvl="2" w:tplc="85188014">
      <w:start w:val="1"/>
      <w:numFmt w:val="bullet"/>
      <w:lvlText w:val="•"/>
      <w:lvlJc w:val="left"/>
      <w:pPr>
        <w:ind w:left="562" w:hanging="283"/>
      </w:pPr>
      <w:rPr>
        <w:rFonts w:hint="default"/>
      </w:rPr>
    </w:lvl>
    <w:lvl w:ilvl="3" w:tplc="2068BFA0">
      <w:start w:val="1"/>
      <w:numFmt w:val="bullet"/>
      <w:lvlText w:val="•"/>
      <w:lvlJc w:val="left"/>
      <w:pPr>
        <w:ind w:left="703" w:hanging="283"/>
      </w:pPr>
      <w:rPr>
        <w:rFonts w:hint="default"/>
      </w:rPr>
    </w:lvl>
    <w:lvl w:ilvl="4" w:tplc="D5BE9A08">
      <w:start w:val="1"/>
      <w:numFmt w:val="bullet"/>
      <w:lvlText w:val="•"/>
      <w:lvlJc w:val="left"/>
      <w:pPr>
        <w:ind w:left="844" w:hanging="283"/>
      </w:pPr>
      <w:rPr>
        <w:rFonts w:hint="default"/>
      </w:rPr>
    </w:lvl>
    <w:lvl w:ilvl="5" w:tplc="B2304BA4">
      <w:start w:val="1"/>
      <w:numFmt w:val="bullet"/>
      <w:lvlText w:val="•"/>
      <w:lvlJc w:val="left"/>
      <w:pPr>
        <w:ind w:left="985" w:hanging="283"/>
      </w:pPr>
      <w:rPr>
        <w:rFonts w:hint="default"/>
      </w:rPr>
    </w:lvl>
    <w:lvl w:ilvl="6" w:tplc="29366E78">
      <w:start w:val="1"/>
      <w:numFmt w:val="bullet"/>
      <w:lvlText w:val="•"/>
      <w:lvlJc w:val="left"/>
      <w:pPr>
        <w:ind w:left="1126" w:hanging="283"/>
      </w:pPr>
      <w:rPr>
        <w:rFonts w:hint="default"/>
      </w:rPr>
    </w:lvl>
    <w:lvl w:ilvl="7" w:tplc="4C12E518">
      <w:start w:val="1"/>
      <w:numFmt w:val="bullet"/>
      <w:lvlText w:val="•"/>
      <w:lvlJc w:val="left"/>
      <w:pPr>
        <w:ind w:left="1267" w:hanging="283"/>
      </w:pPr>
      <w:rPr>
        <w:rFonts w:hint="default"/>
      </w:rPr>
    </w:lvl>
    <w:lvl w:ilvl="8" w:tplc="5C8E3770">
      <w:start w:val="1"/>
      <w:numFmt w:val="bullet"/>
      <w:lvlText w:val="•"/>
      <w:lvlJc w:val="left"/>
      <w:pPr>
        <w:ind w:left="1408" w:hanging="283"/>
      </w:pPr>
      <w:rPr>
        <w:rFonts w:hint="default"/>
      </w:rPr>
    </w:lvl>
  </w:abstractNum>
  <w:abstractNum w:abstractNumId="20">
    <w:nsid w:val="35BB1742"/>
    <w:multiLevelType w:val="hybridMultilevel"/>
    <w:tmpl w:val="9E188EF4"/>
    <w:lvl w:ilvl="0" w:tplc="C5C49542">
      <w:start w:val="1"/>
      <w:numFmt w:val="lowerLetter"/>
      <w:lvlText w:val="%1."/>
      <w:lvlJc w:val="left"/>
      <w:pPr>
        <w:tabs>
          <w:tab w:val="num" w:pos="589"/>
        </w:tabs>
        <w:ind w:left="816" w:hanging="379"/>
      </w:pPr>
      <w:rPr>
        <w:rFonts w:hint="default"/>
      </w:rPr>
    </w:lvl>
    <w:lvl w:ilvl="1" w:tplc="D20CB38C">
      <w:start w:val="1"/>
      <w:numFmt w:val="lowerLetter"/>
      <w:lvlText w:val="%2."/>
      <w:lvlJc w:val="left"/>
      <w:pPr>
        <w:ind w:left="1800" w:hanging="720"/>
      </w:pPr>
      <w:rPr>
        <w:rFonts w:hint="default"/>
      </w:rPr>
    </w:lvl>
    <w:lvl w:ilvl="2" w:tplc="5E6833AE">
      <w:start w:val="1"/>
      <w:numFmt w:val="decimal"/>
      <w:lvlText w:val="%3."/>
      <w:lvlJc w:val="left"/>
      <w:pPr>
        <w:ind w:left="2700" w:hanging="72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385C520B"/>
    <w:multiLevelType w:val="hybridMultilevel"/>
    <w:tmpl w:val="7A8E0882"/>
    <w:lvl w:ilvl="0" w:tplc="72BE4572">
      <w:start w:val="1"/>
      <w:numFmt w:val="decimal"/>
      <w:lvlText w:val="%1."/>
      <w:lvlJc w:val="left"/>
      <w:pPr>
        <w:ind w:left="380" w:hanging="380"/>
      </w:pPr>
      <w:rPr>
        <w:rFonts w:hint="default"/>
      </w:rPr>
    </w:lvl>
    <w:lvl w:ilvl="1" w:tplc="D20CB38C">
      <w:start w:val="1"/>
      <w:numFmt w:val="lowerLetter"/>
      <w:lvlText w:val="%2."/>
      <w:lvlJc w:val="left"/>
      <w:pPr>
        <w:ind w:left="1440" w:hanging="720"/>
      </w:pPr>
      <w:rPr>
        <w:rFonts w:hint="default"/>
      </w:rPr>
    </w:lvl>
    <w:lvl w:ilvl="2" w:tplc="5E6833AE">
      <w:start w:val="1"/>
      <w:numFmt w:val="decimal"/>
      <w:lvlText w:val="%3."/>
      <w:lvlJc w:val="left"/>
      <w:pPr>
        <w:ind w:left="2340" w:hanging="720"/>
      </w:pPr>
      <w:rPr>
        <w:rFonts w:hint="default"/>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nsid w:val="3CF71930"/>
    <w:multiLevelType w:val="hybridMultilevel"/>
    <w:tmpl w:val="EE224CF6"/>
    <w:lvl w:ilvl="0" w:tplc="25720ADC">
      <w:start w:val="1"/>
      <w:numFmt w:val="upperRoman"/>
      <w:lvlText w:val="%1."/>
      <w:lvlJc w:val="left"/>
      <w:pPr>
        <w:ind w:left="357" w:hanging="357"/>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3EC07EBB"/>
    <w:multiLevelType w:val="hybridMultilevel"/>
    <w:tmpl w:val="50369FBE"/>
    <w:lvl w:ilvl="0" w:tplc="1574788E">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43AA195D"/>
    <w:multiLevelType w:val="multilevel"/>
    <w:tmpl w:val="736A313C"/>
    <w:lvl w:ilvl="0">
      <w:start w:val="1"/>
      <w:numFmt w:val="decimal"/>
      <w:lvlText w:val="%1."/>
      <w:lvlJc w:val="left"/>
      <w:pPr>
        <w:ind w:left="380" w:hanging="380"/>
      </w:pPr>
      <w:rPr>
        <w:rFonts w:hint="default"/>
      </w:rPr>
    </w:lvl>
    <w:lvl w:ilvl="1">
      <w:start w:val="1"/>
      <w:numFmt w:val="lowerLetter"/>
      <w:lvlText w:val="%2."/>
      <w:lvlJc w:val="left"/>
      <w:pPr>
        <w:ind w:left="794" w:hanging="38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5">
    <w:nsid w:val="44165441"/>
    <w:multiLevelType w:val="hybridMultilevel"/>
    <w:tmpl w:val="07520F30"/>
    <w:lvl w:ilvl="0" w:tplc="25720ADC">
      <w:start w:val="1"/>
      <w:numFmt w:val="upperRoman"/>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nsid w:val="46707744"/>
    <w:multiLevelType w:val="hybridMultilevel"/>
    <w:tmpl w:val="577A614A"/>
    <w:lvl w:ilvl="0" w:tplc="0C090019">
      <w:start w:val="1"/>
      <w:numFmt w:val="lowerLetter"/>
      <w:lvlText w:val="%1."/>
      <w:lvlJc w:val="left"/>
      <w:pPr>
        <w:ind w:left="1080" w:hanging="720"/>
      </w:pPr>
      <w:rPr>
        <w:rFonts w:hint="default"/>
      </w:rPr>
    </w:lvl>
    <w:lvl w:ilvl="1" w:tplc="D20CB38C">
      <w:start w:val="1"/>
      <w:numFmt w:val="lowerLetter"/>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48837DD2"/>
    <w:multiLevelType w:val="multilevel"/>
    <w:tmpl w:val="14A0B2FC"/>
    <w:lvl w:ilvl="0">
      <w:start w:val="1"/>
      <w:numFmt w:val="decimal"/>
      <w:lvlText w:val="%1."/>
      <w:lvlJc w:val="left"/>
      <w:pPr>
        <w:ind w:left="380" w:hanging="380"/>
      </w:pPr>
      <w:rPr>
        <w:rFonts w:hint="default"/>
      </w:rPr>
    </w:lvl>
    <w:lvl w:ilvl="1">
      <w:start w:val="1"/>
      <w:numFmt w:val="lowerLetter"/>
      <w:lvlText w:val="%2."/>
      <w:lvlJc w:val="left"/>
      <w:pPr>
        <w:ind w:left="794" w:hanging="38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8">
    <w:nsid w:val="4B2101EE"/>
    <w:multiLevelType w:val="hybridMultilevel"/>
    <w:tmpl w:val="4F780508"/>
    <w:lvl w:ilvl="0" w:tplc="1574788E">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nsid w:val="4C274048"/>
    <w:multiLevelType w:val="hybridMultilevel"/>
    <w:tmpl w:val="72C46540"/>
    <w:lvl w:ilvl="0" w:tplc="1574788E">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nsid w:val="4E3456B9"/>
    <w:multiLevelType w:val="hybridMultilevel"/>
    <w:tmpl w:val="F34673C6"/>
    <w:lvl w:ilvl="0" w:tplc="CF4C5784">
      <w:start w:val="1"/>
      <w:numFmt w:val="decimal"/>
      <w:lvlText w:val="%1."/>
      <w:lvlJc w:val="left"/>
      <w:pPr>
        <w:ind w:left="1080" w:hanging="720"/>
      </w:pPr>
      <w:rPr>
        <w:rFonts w:hint="default"/>
      </w:rPr>
    </w:lvl>
    <w:lvl w:ilvl="1" w:tplc="D20CB38C">
      <w:start w:val="1"/>
      <w:numFmt w:val="lowerLetter"/>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577209DF"/>
    <w:multiLevelType w:val="hybridMultilevel"/>
    <w:tmpl w:val="D61C6D0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nsid w:val="5A860BE1"/>
    <w:multiLevelType w:val="hybridMultilevel"/>
    <w:tmpl w:val="EE76B62A"/>
    <w:lvl w:ilvl="0" w:tplc="1574788E">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nsid w:val="5CFE4EF8"/>
    <w:multiLevelType w:val="hybridMultilevel"/>
    <w:tmpl w:val="9282F3B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nsid w:val="5EDE3EF7"/>
    <w:multiLevelType w:val="multilevel"/>
    <w:tmpl w:val="9F948AF8"/>
    <w:lvl w:ilvl="0">
      <w:start w:val="1"/>
      <w:numFmt w:val="decimal"/>
      <w:lvlText w:val="%1."/>
      <w:lvlJc w:val="left"/>
      <w:pPr>
        <w:ind w:left="380" w:hanging="380"/>
      </w:pPr>
      <w:rPr>
        <w:rFonts w:hint="default"/>
      </w:rPr>
    </w:lvl>
    <w:lvl w:ilvl="1">
      <w:start w:val="1"/>
      <w:numFmt w:val="lowerLetter"/>
      <w:lvlText w:val="%2."/>
      <w:lvlJc w:val="left"/>
      <w:pPr>
        <w:ind w:left="1440" w:hanging="72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5">
    <w:nsid w:val="64FE41DF"/>
    <w:multiLevelType w:val="hybridMultilevel"/>
    <w:tmpl w:val="DAC2D018"/>
    <w:lvl w:ilvl="0" w:tplc="28EC3CFC">
      <w:start w:val="1"/>
      <w:numFmt w:val="upperRoman"/>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nsid w:val="65A002C0"/>
    <w:multiLevelType w:val="multilevel"/>
    <w:tmpl w:val="5EB01F08"/>
    <w:lvl w:ilvl="0">
      <w:start w:val="1"/>
      <w:numFmt w:val="decimal"/>
      <w:pStyle w:val="Heading1"/>
      <w:lvlText w:val="%1."/>
      <w:lvlJc w:val="left"/>
      <w:pPr>
        <w:ind w:left="266" w:hanging="266"/>
      </w:pPr>
      <w:rPr>
        <w:rFonts w:ascii="Arial Bold" w:hAnsi="Arial Bold" w:hint="default"/>
        <w:b/>
        <w:i w:val="0"/>
        <w:color w:val="auto"/>
        <w:sz w:val="44"/>
      </w:rPr>
    </w:lvl>
    <w:lvl w:ilvl="1">
      <w:start w:val="1"/>
      <w:numFmt w:val="decimal"/>
      <w:pStyle w:val="Heading2"/>
      <w:lvlText w:val="%1.%2"/>
      <w:lvlJc w:val="left"/>
      <w:pPr>
        <w:tabs>
          <w:tab w:val="num" w:pos="709"/>
        </w:tabs>
        <w:ind w:left="709" w:hanging="709"/>
      </w:pPr>
      <w:rPr>
        <w:rFonts w:hint="default"/>
      </w:rPr>
    </w:lvl>
    <w:lvl w:ilvl="2">
      <w:start w:val="1"/>
      <w:numFmt w:val="none"/>
      <w:lvlRestart w:val="0"/>
      <w:pStyle w:val="Heading3"/>
      <w:lvlText w:val=""/>
      <w:lvlJc w:val="left"/>
      <w:pPr>
        <w:tabs>
          <w:tab w:val="num" w:pos="0"/>
        </w:tabs>
        <w:ind w:left="0" w:firstLine="0"/>
      </w:pPr>
      <w:rPr>
        <w:rFonts w:hint="default"/>
      </w:rPr>
    </w:lvl>
    <w:lvl w:ilvl="3">
      <w:start w:val="1"/>
      <w:numFmt w:val="none"/>
      <w:lvlRestart w:val="0"/>
      <w:pStyle w:val="Heading4"/>
      <w:lvlText w:val=""/>
      <w:lvlJc w:val="left"/>
      <w:pPr>
        <w:tabs>
          <w:tab w:val="num" w:pos="0"/>
        </w:tabs>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upperLetter"/>
      <w:lvlRestart w:val="0"/>
      <w:pStyle w:val="Heading6"/>
      <w:lvlText w:val="%6"/>
      <w:lvlJc w:val="left"/>
      <w:pPr>
        <w:tabs>
          <w:tab w:val="num" w:pos="709"/>
        </w:tabs>
        <w:ind w:left="0" w:firstLine="0"/>
      </w:pPr>
      <w:rPr>
        <w:rFonts w:ascii="Franklin Gothic Book" w:hAnsi="Franklin Gothic Book" w:hint="default"/>
        <w:b w:val="0"/>
        <w:i w:val="0"/>
        <w:caps w:val="0"/>
        <w:color w:val="AD495D"/>
        <w:position w:val="0"/>
        <w:sz w:val="50"/>
      </w:rPr>
    </w:lvl>
    <w:lvl w:ilvl="6">
      <w:start w:val="1"/>
      <w:numFmt w:val="none"/>
      <w:lvlRestart w:val="0"/>
      <w:pStyle w:val="Heading7"/>
      <w:lvlText w:val=""/>
      <w:lvlJc w:val="left"/>
      <w:pPr>
        <w:tabs>
          <w:tab w:val="num" w:pos="0"/>
        </w:tabs>
        <w:ind w:left="0" w:firstLine="0"/>
      </w:pPr>
      <w:rPr>
        <w:rFonts w:hint="default"/>
        <w:caps/>
        <w:sz w:val="22"/>
      </w:rPr>
    </w:lvl>
    <w:lvl w:ilvl="7">
      <w:start w:val="1"/>
      <w:numFmt w:val="none"/>
      <w:lvlRestart w:val="0"/>
      <w:pStyle w:val="Heading8"/>
      <w:suff w:val="nothing"/>
      <w:lvlText w:val=""/>
      <w:lvlJc w:val="left"/>
      <w:pPr>
        <w:ind w:left="0" w:firstLine="0"/>
      </w:pPr>
      <w:rPr>
        <w:rFonts w:hint="default"/>
      </w:rPr>
    </w:lvl>
    <w:lvl w:ilvl="8">
      <w:start w:val="1"/>
      <w:numFmt w:val="none"/>
      <w:lvlRestart w:val="0"/>
      <w:pStyle w:val="Heading9"/>
      <w:lvlText w:val=""/>
      <w:lvlJc w:val="left"/>
      <w:pPr>
        <w:tabs>
          <w:tab w:val="num" w:pos="0"/>
        </w:tabs>
        <w:ind w:left="0" w:firstLine="0"/>
      </w:pPr>
      <w:rPr>
        <w:rFonts w:hint="default"/>
      </w:rPr>
    </w:lvl>
  </w:abstractNum>
  <w:abstractNum w:abstractNumId="37">
    <w:nsid w:val="77957440"/>
    <w:multiLevelType w:val="hybridMultilevel"/>
    <w:tmpl w:val="056A000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nsid w:val="7B2339B5"/>
    <w:multiLevelType w:val="hybridMultilevel"/>
    <w:tmpl w:val="2D9E7516"/>
    <w:lvl w:ilvl="0" w:tplc="1574788E">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nsid w:val="7C5521AA"/>
    <w:multiLevelType w:val="hybridMultilevel"/>
    <w:tmpl w:val="E0060082"/>
    <w:lvl w:ilvl="0" w:tplc="752EFB14">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nsid w:val="7F4A0DD6"/>
    <w:multiLevelType w:val="hybridMultilevel"/>
    <w:tmpl w:val="FD4279C6"/>
    <w:lvl w:ilvl="0" w:tplc="1574788E">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1"/>
  </w:num>
  <w:num w:numId="4">
    <w:abstractNumId w:val="36"/>
  </w:num>
  <w:num w:numId="5">
    <w:abstractNumId w:val="15"/>
  </w:num>
  <w:num w:numId="6">
    <w:abstractNumId w:val="30"/>
  </w:num>
  <w:num w:numId="7">
    <w:abstractNumId w:val="26"/>
  </w:num>
  <w:num w:numId="8">
    <w:abstractNumId w:val="20"/>
  </w:num>
  <w:num w:numId="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4"/>
  </w:num>
  <w:num w:numId="11">
    <w:abstractNumId w:val="14"/>
  </w:num>
  <w:num w:numId="12">
    <w:abstractNumId w:val="21"/>
  </w:num>
  <w:num w:numId="13">
    <w:abstractNumId w:val="23"/>
  </w:num>
  <w:num w:numId="14">
    <w:abstractNumId w:val="18"/>
  </w:num>
  <w:num w:numId="15">
    <w:abstractNumId w:val="19"/>
  </w:num>
  <w:num w:numId="16">
    <w:abstractNumId w:val="12"/>
  </w:num>
  <w:num w:numId="17">
    <w:abstractNumId w:val="32"/>
  </w:num>
  <w:num w:numId="18">
    <w:abstractNumId w:val="4"/>
  </w:num>
  <w:num w:numId="19">
    <w:abstractNumId w:val="37"/>
  </w:num>
  <w:num w:numId="20">
    <w:abstractNumId w:val="33"/>
  </w:num>
  <w:num w:numId="21">
    <w:abstractNumId w:val="3"/>
  </w:num>
  <w:num w:numId="22">
    <w:abstractNumId w:val="8"/>
  </w:num>
  <w:num w:numId="23">
    <w:abstractNumId w:val="29"/>
  </w:num>
  <w:num w:numId="24">
    <w:abstractNumId w:val="10"/>
  </w:num>
  <w:num w:numId="25">
    <w:abstractNumId w:val="31"/>
  </w:num>
  <w:num w:numId="26">
    <w:abstractNumId w:val="13"/>
  </w:num>
  <w:num w:numId="27">
    <w:abstractNumId w:val="40"/>
  </w:num>
  <w:num w:numId="28">
    <w:abstractNumId w:val="5"/>
  </w:num>
  <w:num w:numId="29">
    <w:abstractNumId w:val="16"/>
  </w:num>
  <w:num w:numId="30">
    <w:abstractNumId w:val="17"/>
  </w:num>
  <w:num w:numId="31">
    <w:abstractNumId w:val="9"/>
  </w:num>
  <w:num w:numId="32">
    <w:abstractNumId w:val="7"/>
  </w:num>
  <w:num w:numId="33">
    <w:abstractNumId w:val="28"/>
  </w:num>
  <w:num w:numId="34">
    <w:abstractNumId w:val="38"/>
  </w:num>
  <w:num w:numId="35">
    <w:abstractNumId w:val="11"/>
  </w:num>
  <w:num w:numId="36">
    <w:abstractNumId w:val="24"/>
  </w:num>
  <w:num w:numId="37">
    <w:abstractNumId w:val="27"/>
  </w:num>
  <w:num w:numId="38">
    <w:abstractNumId w:val="35"/>
  </w:num>
  <w:num w:numId="39">
    <w:abstractNumId w:val="22"/>
  </w:num>
  <w:num w:numId="40">
    <w:abstractNumId w:val="6"/>
  </w:num>
  <w:num w:numId="41">
    <w:abstractNumId w:val="25"/>
  </w:num>
  <w:num w:numId="42">
    <w:abstractNumId w:val="39"/>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59A3"/>
    <w:rsid w:val="000067FB"/>
    <w:rsid w:val="000069E9"/>
    <w:rsid w:val="000252F3"/>
    <w:rsid w:val="00030C0D"/>
    <w:rsid w:val="00035808"/>
    <w:rsid w:val="00042257"/>
    <w:rsid w:val="0005369D"/>
    <w:rsid w:val="00054015"/>
    <w:rsid w:val="00057DE7"/>
    <w:rsid w:val="0007408E"/>
    <w:rsid w:val="000741BC"/>
    <w:rsid w:val="00075D8D"/>
    <w:rsid w:val="00075F22"/>
    <w:rsid w:val="000A11A5"/>
    <w:rsid w:val="000A5651"/>
    <w:rsid w:val="000A5A5C"/>
    <w:rsid w:val="000C1350"/>
    <w:rsid w:val="000C37CF"/>
    <w:rsid w:val="000C6561"/>
    <w:rsid w:val="000C77D3"/>
    <w:rsid w:val="000E5269"/>
    <w:rsid w:val="000F0FB8"/>
    <w:rsid w:val="000F2526"/>
    <w:rsid w:val="00103591"/>
    <w:rsid w:val="00103C5D"/>
    <w:rsid w:val="001219D9"/>
    <w:rsid w:val="0012234D"/>
    <w:rsid w:val="0012311F"/>
    <w:rsid w:val="001343A3"/>
    <w:rsid w:val="00135BB2"/>
    <w:rsid w:val="00137C0A"/>
    <w:rsid w:val="001672FD"/>
    <w:rsid w:val="00190BE8"/>
    <w:rsid w:val="00194BE7"/>
    <w:rsid w:val="001A21DC"/>
    <w:rsid w:val="001A31FA"/>
    <w:rsid w:val="001A36BC"/>
    <w:rsid w:val="001B211E"/>
    <w:rsid w:val="001B47B9"/>
    <w:rsid w:val="001E167F"/>
    <w:rsid w:val="001F7614"/>
    <w:rsid w:val="002109F6"/>
    <w:rsid w:val="00216821"/>
    <w:rsid w:val="00225814"/>
    <w:rsid w:val="00233FA9"/>
    <w:rsid w:val="00251400"/>
    <w:rsid w:val="002535F2"/>
    <w:rsid w:val="00254ABF"/>
    <w:rsid w:val="00276157"/>
    <w:rsid w:val="0029030E"/>
    <w:rsid w:val="002912D6"/>
    <w:rsid w:val="0029289D"/>
    <w:rsid w:val="00294A78"/>
    <w:rsid w:val="00297253"/>
    <w:rsid w:val="002B1F0C"/>
    <w:rsid w:val="002C0001"/>
    <w:rsid w:val="002C59A3"/>
    <w:rsid w:val="002C5D46"/>
    <w:rsid w:val="002D1780"/>
    <w:rsid w:val="002D23D3"/>
    <w:rsid w:val="002D4E5A"/>
    <w:rsid w:val="002E0F65"/>
    <w:rsid w:val="002E293C"/>
    <w:rsid w:val="002F2FF0"/>
    <w:rsid w:val="002F3667"/>
    <w:rsid w:val="00306E5D"/>
    <w:rsid w:val="0031010A"/>
    <w:rsid w:val="00337BCF"/>
    <w:rsid w:val="00352E23"/>
    <w:rsid w:val="00354669"/>
    <w:rsid w:val="0035795B"/>
    <w:rsid w:val="00366891"/>
    <w:rsid w:val="00371CBB"/>
    <w:rsid w:val="0038322B"/>
    <w:rsid w:val="0038353B"/>
    <w:rsid w:val="00397187"/>
    <w:rsid w:val="003A0EDE"/>
    <w:rsid w:val="003A3EA8"/>
    <w:rsid w:val="003B1F53"/>
    <w:rsid w:val="003B5312"/>
    <w:rsid w:val="003C4246"/>
    <w:rsid w:val="003D60F1"/>
    <w:rsid w:val="003E1C15"/>
    <w:rsid w:val="003E1C1A"/>
    <w:rsid w:val="003F1D68"/>
    <w:rsid w:val="003F2AFF"/>
    <w:rsid w:val="004058D1"/>
    <w:rsid w:val="004061FB"/>
    <w:rsid w:val="00412852"/>
    <w:rsid w:val="00414A5B"/>
    <w:rsid w:val="00414AE0"/>
    <w:rsid w:val="00415C14"/>
    <w:rsid w:val="004208E2"/>
    <w:rsid w:val="004251AC"/>
    <w:rsid w:val="00432776"/>
    <w:rsid w:val="0044634F"/>
    <w:rsid w:val="004465D8"/>
    <w:rsid w:val="004548E7"/>
    <w:rsid w:val="00460E16"/>
    <w:rsid w:val="00467824"/>
    <w:rsid w:val="004804C1"/>
    <w:rsid w:val="004859D7"/>
    <w:rsid w:val="00487A79"/>
    <w:rsid w:val="00492CCD"/>
    <w:rsid w:val="00493D7A"/>
    <w:rsid w:val="00494915"/>
    <w:rsid w:val="004A2AFA"/>
    <w:rsid w:val="004A5604"/>
    <w:rsid w:val="004A6F92"/>
    <w:rsid w:val="004B435E"/>
    <w:rsid w:val="004B5744"/>
    <w:rsid w:val="004B6242"/>
    <w:rsid w:val="004C716D"/>
    <w:rsid w:val="004D4366"/>
    <w:rsid w:val="004D7EDB"/>
    <w:rsid w:val="004E265F"/>
    <w:rsid w:val="004E544C"/>
    <w:rsid w:val="004F1B97"/>
    <w:rsid w:val="004F219A"/>
    <w:rsid w:val="00511A07"/>
    <w:rsid w:val="005324ED"/>
    <w:rsid w:val="00541FAF"/>
    <w:rsid w:val="00564EEC"/>
    <w:rsid w:val="00575B2A"/>
    <w:rsid w:val="00576C13"/>
    <w:rsid w:val="0058504A"/>
    <w:rsid w:val="00592888"/>
    <w:rsid w:val="005B32DA"/>
    <w:rsid w:val="005B3EA1"/>
    <w:rsid w:val="005B6AF0"/>
    <w:rsid w:val="005C7795"/>
    <w:rsid w:val="005D7013"/>
    <w:rsid w:val="005E1381"/>
    <w:rsid w:val="005E2889"/>
    <w:rsid w:val="006069AD"/>
    <w:rsid w:val="00612C5E"/>
    <w:rsid w:val="00615EF3"/>
    <w:rsid w:val="0062128C"/>
    <w:rsid w:val="006224FE"/>
    <w:rsid w:val="00632343"/>
    <w:rsid w:val="00635537"/>
    <w:rsid w:val="00642AE1"/>
    <w:rsid w:val="00664BC7"/>
    <w:rsid w:val="00667764"/>
    <w:rsid w:val="006814DE"/>
    <w:rsid w:val="00683AAC"/>
    <w:rsid w:val="00697988"/>
    <w:rsid w:val="006C4BEC"/>
    <w:rsid w:val="006C59E2"/>
    <w:rsid w:val="006D19F2"/>
    <w:rsid w:val="006D400F"/>
    <w:rsid w:val="006E5D93"/>
    <w:rsid w:val="006E72F0"/>
    <w:rsid w:val="006F11E7"/>
    <w:rsid w:val="006F2004"/>
    <w:rsid w:val="006F4E87"/>
    <w:rsid w:val="006F56B7"/>
    <w:rsid w:val="006F65DD"/>
    <w:rsid w:val="007032FA"/>
    <w:rsid w:val="00710F19"/>
    <w:rsid w:val="007210E4"/>
    <w:rsid w:val="00725879"/>
    <w:rsid w:val="00736B40"/>
    <w:rsid w:val="00752174"/>
    <w:rsid w:val="00767D8E"/>
    <w:rsid w:val="0077302C"/>
    <w:rsid w:val="00780416"/>
    <w:rsid w:val="00784EFF"/>
    <w:rsid w:val="00793BF3"/>
    <w:rsid w:val="00794640"/>
    <w:rsid w:val="00795A2B"/>
    <w:rsid w:val="007A1348"/>
    <w:rsid w:val="007A1D78"/>
    <w:rsid w:val="007A31CC"/>
    <w:rsid w:val="007A3F26"/>
    <w:rsid w:val="007A7438"/>
    <w:rsid w:val="007B438B"/>
    <w:rsid w:val="007B4B50"/>
    <w:rsid w:val="007C28D6"/>
    <w:rsid w:val="007C4543"/>
    <w:rsid w:val="007C4B99"/>
    <w:rsid w:val="007D23BC"/>
    <w:rsid w:val="007F22E1"/>
    <w:rsid w:val="00801636"/>
    <w:rsid w:val="0081156C"/>
    <w:rsid w:val="0082096F"/>
    <w:rsid w:val="00821A2A"/>
    <w:rsid w:val="00822696"/>
    <w:rsid w:val="00822F41"/>
    <w:rsid w:val="008254DB"/>
    <w:rsid w:val="00841423"/>
    <w:rsid w:val="008422AF"/>
    <w:rsid w:val="0084444D"/>
    <w:rsid w:val="0084650A"/>
    <w:rsid w:val="00847481"/>
    <w:rsid w:val="00850B8F"/>
    <w:rsid w:val="00850BD1"/>
    <w:rsid w:val="00853618"/>
    <w:rsid w:val="00857902"/>
    <w:rsid w:val="008654B1"/>
    <w:rsid w:val="008743A7"/>
    <w:rsid w:val="00880E1A"/>
    <w:rsid w:val="008900DB"/>
    <w:rsid w:val="00892519"/>
    <w:rsid w:val="00893288"/>
    <w:rsid w:val="008939C9"/>
    <w:rsid w:val="00895CE5"/>
    <w:rsid w:val="00896909"/>
    <w:rsid w:val="008A298D"/>
    <w:rsid w:val="008A458D"/>
    <w:rsid w:val="008B29A3"/>
    <w:rsid w:val="008D44B1"/>
    <w:rsid w:val="008D6E5F"/>
    <w:rsid w:val="008F16D7"/>
    <w:rsid w:val="008F3693"/>
    <w:rsid w:val="008F4731"/>
    <w:rsid w:val="008F6A06"/>
    <w:rsid w:val="009035A1"/>
    <w:rsid w:val="009042D9"/>
    <w:rsid w:val="00911E8C"/>
    <w:rsid w:val="009203EA"/>
    <w:rsid w:val="00921DC7"/>
    <w:rsid w:val="009252BB"/>
    <w:rsid w:val="00927432"/>
    <w:rsid w:val="00940595"/>
    <w:rsid w:val="00945D69"/>
    <w:rsid w:val="00960358"/>
    <w:rsid w:val="00962769"/>
    <w:rsid w:val="00977E19"/>
    <w:rsid w:val="00981BCD"/>
    <w:rsid w:val="00990F9D"/>
    <w:rsid w:val="009913A0"/>
    <w:rsid w:val="00997276"/>
    <w:rsid w:val="009A61C9"/>
    <w:rsid w:val="009B2B3F"/>
    <w:rsid w:val="009B49FB"/>
    <w:rsid w:val="009C542F"/>
    <w:rsid w:val="009E0564"/>
    <w:rsid w:val="009E3EA6"/>
    <w:rsid w:val="009F1D98"/>
    <w:rsid w:val="009F2441"/>
    <w:rsid w:val="00A01C7C"/>
    <w:rsid w:val="00A20FBC"/>
    <w:rsid w:val="00A33F51"/>
    <w:rsid w:val="00A42C48"/>
    <w:rsid w:val="00A43DE5"/>
    <w:rsid w:val="00A54564"/>
    <w:rsid w:val="00A6441B"/>
    <w:rsid w:val="00A73610"/>
    <w:rsid w:val="00A75301"/>
    <w:rsid w:val="00A974BA"/>
    <w:rsid w:val="00AB0B89"/>
    <w:rsid w:val="00AB2269"/>
    <w:rsid w:val="00AC795A"/>
    <w:rsid w:val="00AE738F"/>
    <w:rsid w:val="00B016CB"/>
    <w:rsid w:val="00B04D08"/>
    <w:rsid w:val="00B05D4B"/>
    <w:rsid w:val="00B07807"/>
    <w:rsid w:val="00B201FA"/>
    <w:rsid w:val="00B20FE5"/>
    <w:rsid w:val="00B22A23"/>
    <w:rsid w:val="00B24921"/>
    <w:rsid w:val="00B275BB"/>
    <w:rsid w:val="00B337E0"/>
    <w:rsid w:val="00B4100E"/>
    <w:rsid w:val="00B4199B"/>
    <w:rsid w:val="00B42850"/>
    <w:rsid w:val="00B46A86"/>
    <w:rsid w:val="00B475AB"/>
    <w:rsid w:val="00B62C79"/>
    <w:rsid w:val="00B6389A"/>
    <w:rsid w:val="00B85CDE"/>
    <w:rsid w:val="00BA31BB"/>
    <w:rsid w:val="00BA5A00"/>
    <w:rsid w:val="00BC5572"/>
    <w:rsid w:val="00BD272F"/>
    <w:rsid w:val="00BD301B"/>
    <w:rsid w:val="00BE3319"/>
    <w:rsid w:val="00BE579C"/>
    <w:rsid w:val="00BE6A74"/>
    <w:rsid w:val="00BE7016"/>
    <w:rsid w:val="00BF2010"/>
    <w:rsid w:val="00BF6DA4"/>
    <w:rsid w:val="00C131D7"/>
    <w:rsid w:val="00C348AE"/>
    <w:rsid w:val="00C43627"/>
    <w:rsid w:val="00C443FF"/>
    <w:rsid w:val="00C452AD"/>
    <w:rsid w:val="00C65089"/>
    <w:rsid w:val="00C7564E"/>
    <w:rsid w:val="00C865F8"/>
    <w:rsid w:val="00C86679"/>
    <w:rsid w:val="00C916E6"/>
    <w:rsid w:val="00C950F0"/>
    <w:rsid w:val="00C973EA"/>
    <w:rsid w:val="00CA02DB"/>
    <w:rsid w:val="00CA2141"/>
    <w:rsid w:val="00CA28B9"/>
    <w:rsid w:val="00CA3FBF"/>
    <w:rsid w:val="00CA4F66"/>
    <w:rsid w:val="00CA544A"/>
    <w:rsid w:val="00CA6898"/>
    <w:rsid w:val="00CA7904"/>
    <w:rsid w:val="00CB6389"/>
    <w:rsid w:val="00CB7314"/>
    <w:rsid w:val="00CC5781"/>
    <w:rsid w:val="00CE2081"/>
    <w:rsid w:val="00CE443A"/>
    <w:rsid w:val="00CE6422"/>
    <w:rsid w:val="00CF0022"/>
    <w:rsid w:val="00CF1275"/>
    <w:rsid w:val="00CF20AB"/>
    <w:rsid w:val="00CF6021"/>
    <w:rsid w:val="00CF7CB1"/>
    <w:rsid w:val="00D20513"/>
    <w:rsid w:val="00D20EFB"/>
    <w:rsid w:val="00D34253"/>
    <w:rsid w:val="00D473C7"/>
    <w:rsid w:val="00D51D2C"/>
    <w:rsid w:val="00D62262"/>
    <w:rsid w:val="00D634F0"/>
    <w:rsid w:val="00D63EF9"/>
    <w:rsid w:val="00D676CF"/>
    <w:rsid w:val="00D702ED"/>
    <w:rsid w:val="00D82451"/>
    <w:rsid w:val="00D85ED1"/>
    <w:rsid w:val="00D9405C"/>
    <w:rsid w:val="00D9501F"/>
    <w:rsid w:val="00DB1C24"/>
    <w:rsid w:val="00DB3E4E"/>
    <w:rsid w:val="00DB64F3"/>
    <w:rsid w:val="00DC4170"/>
    <w:rsid w:val="00DC59BB"/>
    <w:rsid w:val="00DD0508"/>
    <w:rsid w:val="00DD28AE"/>
    <w:rsid w:val="00DE188C"/>
    <w:rsid w:val="00DE6875"/>
    <w:rsid w:val="00DF2D6F"/>
    <w:rsid w:val="00DF363D"/>
    <w:rsid w:val="00E01E6F"/>
    <w:rsid w:val="00E050A0"/>
    <w:rsid w:val="00E1031F"/>
    <w:rsid w:val="00E1231C"/>
    <w:rsid w:val="00E13236"/>
    <w:rsid w:val="00E14AA9"/>
    <w:rsid w:val="00E43071"/>
    <w:rsid w:val="00E4307B"/>
    <w:rsid w:val="00E46796"/>
    <w:rsid w:val="00E51CB7"/>
    <w:rsid w:val="00E5430E"/>
    <w:rsid w:val="00E711E9"/>
    <w:rsid w:val="00E742A5"/>
    <w:rsid w:val="00E82715"/>
    <w:rsid w:val="00E95E6A"/>
    <w:rsid w:val="00EA5413"/>
    <w:rsid w:val="00EC339E"/>
    <w:rsid w:val="00EC723E"/>
    <w:rsid w:val="00ED666F"/>
    <w:rsid w:val="00EE16D8"/>
    <w:rsid w:val="00EE1AB2"/>
    <w:rsid w:val="00EE4DA8"/>
    <w:rsid w:val="00EF0DE4"/>
    <w:rsid w:val="00EF2813"/>
    <w:rsid w:val="00F11AED"/>
    <w:rsid w:val="00F229D8"/>
    <w:rsid w:val="00F266EB"/>
    <w:rsid w:val="00F362C2"/>
    <w:rsid w:val="00F365A5"/>
    <w:rsid w:val="00F3775D"/>
    <w:rsid w:val="00F477A4"/>
    <w:rsid w:val="00F51F30"/>
    <w:rsid w:val="00F63116"/>
    <w:rsid w:val="00F66323"/>
    <w:rsid w:val="00F727BB"/>
    <w:rsid w:val="00F82926"/>
    <w:rsid w:val="00F86767"/>
    <w:rsid w:val="00F9367A"/>
    <w:rsid w:val="00FA5A70"/>
    <w:rsid w:val="00FB5F2E"/>
    <w:rsid w:val="00FC7312"/>
    <w:rsid w:val="00FD1821"/>
    <w:rsid w:val="00FD41B0"/>
    <w:rsid w:val="00FE4BEB"/>
    <w:rsid w:val="00FE55E2"/>
    <w:rsid w:val="00FE628A"/>
    <w:rsid w:val="00FE759F"/>
  </w:rsids>
  <m:mathPr>
    <m:mathFont m:val="Cambria Math"/>
    <m:brkBin m:val="before"/>
    <m:brkBinSub m:val="--"/>
    <m:smallFrac/>
    <m:dispDef/>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5592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1" w:defUnhideWhenUsed="0" w:defQFormat="0" w:count="267">
    <w:lsdException w:name="Normal" w:semiHidden="0"/>
    <w:lsdException w:name="heading 1" w:semiHidden="0"/>
    <w:lsdException w:name="heading 2" w:semiHidden="0"/>
    <w:lsdException w:name="heading 3" w:semiHidden="0"/>
    <w:lsdException w:name="heading 4" w:semiHidden="0"/>
    <w:lsdException w:name="heading 5" w:semiHidden="0"/>
    <w:lsdException w:name="heading 6" w:semiHidden="0"/>
    <w:lsdException w:name="heading 7" w:semiHidden="0"/>
    <w:lsdException w:name="heading 8" w:semiHidden="0"/>
    <w:lsdException w:name="heading 9" w:semiHidden="0"/>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lsdException w:name="FollowedHyperlink" w:semiHidden="0"/>
    <w:lsdException w:name="Strong" w:semiHidden="0"/>
    <w:lsdException w:name="Emphasis" w:semiHidden="0"/>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lsdException w:name="Intense Emphasis" w:semiHidden="0"/>
    <w:lsdException w:name="Subtle Reference" w:semiHidden="0"/>
    <w:lsdException w:name="Intense Reference" w:semiHidden="0"/>
    <w:lsdException w:name="Book Title" w:semiHidden="0"/>
    <w:lsdException w:name="Bibliography" w:unhideWhenUsed="1"/>
    <w:lsdException w:name="TOC Heading" w:unhideWhenUsed="1"/>
  </w:latentStyles>
  <w:style w:type="paragraph" w:default="1" w:styleId="Normal">
    <w:name w:val="Normal"/>
    <w:qFormat/>
    <w:rsid w:val="003B5312"/>
    <w:rPr>
      <w:rFonts w:ascii="Arial" w:hAnsi="Arial"/>
      <w:sz w:val="22"/>
    </w:rPr>
  </w:style>
  <w:style w:type="paragraph" w:styleId="Heading1">
    <w:name w:val="heading 1"/>
    <w:basedOn w:val="Normal"/>
    <w:next w:val="Normal"/>
    <w:link w:val="Heading1Char"/>
    <w:uiPriority w:val="9"/>
    <w:qFormat/>
    <w:rsid w:val="00A73610"/>
    <w:pPr>
      <w:keepNext/>
      <w:keepLines/>
      <w:numPr>
        <w:numId w:val="4"/>
      </w:numPr>
      <w:tabs>
        <w:tab w:val="left" w:pos="357"/>
      </w:tabs>
      <w:spacing w:before="240" w:after="480"/>
      <w:outlineLvl w:val="0"/>
    </w:pPr>
    <w:rPr>
      <w:rFonts w:eastAsiaTheme="majorEastAsia" w:cstheme="majorBidi"/>
      <w:b/>
      <w:bCs/>
      <w:sz w:val="44"/>
      <w:szCs w:val="32"/>
    </w:rPr>
  </w:style>
  <w:style w:type="paragraph" w:styleId="Heading2">
    <w:name w:val="heading 2"/>
    <w:basedOn w:val="Normal"/>
    <w:next w:val="Normal"/>
    <w:link w:val="Heading2Char"/>
    <w:uiPriority w:val="9"/>
    <w:unhideWhenUsed/>
    <w:qFormat/>
    <w:rsid w:val="00A73610"/>
    <w:pPr>
      <w:keepNext/>
      <w:keepLines/>
      <w:numPr>
        <w:ilvl w:val="1"/>
        <w:numId w:val="4"/>
      </w:numPr>
      <w:spacing w:before="480" w:after="120"/>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414AE0"/>
    <w:pPr>
      <w:keepNext/>
      <w:keepLines/>
      <w:numPr>
        <w:ilvl w:val="2"/>
        <w:numId w:val="4"/>
      </w:numPr>
      <w:spacing w:before="200" w:after="120"/>
      <w:outlineLvl w:val="2"/>
    </w:pPr>
    <w:rPr>
      <w:rFonts w:eastAsiaTheme="majorEastAsia" w:cstheme="majorBidi"/>
      <w:b/>
      <w:bCs/>
    </w:rPr>
  </w:style>
  <w:style w:type="paragraph" w:styleId="Heading4">
    <w:name w:val="heading 4"/>
    <w:basedOn w:val="Normal"/>
    <w:next w:val="Normal"/>
    <w:link w:val="Heading4Char"/>
    <w:uiPriority w:val="9"/>
    <w:unhideWhenUsed/>
    <w:qFormat/>
    <w:rsid w:val="00414AE0"/>
    <w:pPr>
      <w:keepNext/>
      <w:keepLines/>
      <w:numPr>
        <w:ilvl w:val="3"/>
        <w:numId w:val="4"/>
      </w:numPr>
      <w:spacing w:before="200"/>
      <w:outlineLvl w:val="3"/>
    </w:pPr>
    <w:rPr>
      <w:rFonts w:eastAsiaTheme="majorEastAsia" w:cstheme="majorBidi"/>
      <w:b/>
      <w:bCs/>
      <w:i/>
      <w:iCs/>
    </w:rPr>
  </w:style>
  <w:style w:type="paragraph" w:styleId="Heading5">
    <w:name w:val="heading 5"/>
    <w:basedOn w:val="Normal"/>
    <w:next w:val="Normal"/>
    <w:link w:val="Heading5Char"/>
    <w:rsid w:val="00A73610"/>
    <w:pPr>
      <w:keepNext/>
      <w:keepLines/>
      <w:numPr>
        <w:ilvl w:val="4"/>
        <w:numId w:val="4"/>
      </w:numPr>
      <w:spacing w:before="200"/>
      <w:outlineLvl w:val="4"/>
    </w:pPr>
    <w:rPr>
      <w:rFonts w:asciiTheme="majorHAnsi" w:eastAsiaTheme="majorEastAsia" w:hAnsiTheme="majorHAnsi" w:cstheme="majorBidi"/>
      <w:color w:val="244061" w:themeColor="accent1" w:themeShade="80"/>
    </w:rPr>
  </w:style>
  <w:style w:type="paragraph" w:styleId="Heading6">
    <w:name w:val="heading 6"/>
    <w:basedOn w:val="Normal"/>
    <w:next w:val="Normal"/>
    <w:link w:val="Heading6Char"/>
    <w:rsid w:val="00A73610"/>
    <w:pPr>
      <w:keepNext/>
      <w:keepLines/>
      <w:numPr>
        <w:ilvl w:val="5"/>
        <w:numId w:val="4"/>
      </w:numPr>
      <w:spacing w:before="200"/>
      <w:outlineLvl w:val="5"/>
    </w:pPr>
    <w:rPr>
      <w:rFonts w:asciiTheme="majorHAnsi" w:eastAsiaTheme="majorEastAsia" w:hAnsiTheme="majorHAnsi" w:cstheme="majorBidi"/>
      <w:i/>
      <w:iCs/>
      <w:color w:val="244061" w:themeColor="accent1" w:themeShade="80"/>
    </w:rPr>
  </w:style>
  <w:style w:type="paragraph" w:styleId="Heading7">
    <w:name w:val="heading 7"/>
    <w:basedOn w:val="Normal"/>
    <w:next w:val="Normal"/>
    <w:link w:val="Heading7Char"/>
    <w:rsid w:val="00A73610"/>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rsid w:val="00A73610"/>
    <w:pPr>
      <w:keepNext/>
      <w:keepLines/>
      <w:numPr>
        <w:ilvl w:val="7"/>
        <w:numId w:val="4"/>
      </w:numPr>
      <w:spacing w:before="200"/>
      <w:outlineLvl w:val="7"/>
    </w:pPr>
    <w:rPr>
      <w:rFonts w:asciiTheme="majorHAnsi" w:eastAsiaTheme="majorEastAsia" w:hAnsiTheme="majorHAnsi" w:cstheme="majorBidi"/>
      <w:color w:val="363636" w:themeColor="text1" w:themeTint="C9"/>
      <w:sz w:val="20"/>
      <w:szCs w:val="20"/>
    </w:rPr>
  </w:style>
  <w:style w:type="paragraph" w:styleId="Heading9">
    <w:name w:val="heading 9"/>
    <w:basedOn w:val="Normal"/>
    <w:next w:val="Normal"/>
    <w:link w:val="Heading9Char"/>
    <w:rsid w:val="00A73610"/>
    <w:pPr>
      <w:keepNext/>
      <w:keepLines/>
      <w:numPr>
        <w:ilvl w:val="8"/>
        <w:numId w:val="4"/>
      </w:numPr>
      <w:spacing w:before="200"/>
      <w:outlineLvl w:val="8"/>
    </w:pPr>
    <w:rPr>
      <w:rFonts w:asciiTheme="majorHAnsi" w:eastAsiaTheme="majorEastAsia" w:hAnsiTheme="majorHAnsi" w:cstheme="majorBidi"/>
      <w:i/>
      <w:iCs/>
      <w:color w:val="363636" w:themeColor="text1" w:themeTint="C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1F2595"/>
    <w:rPr>
      <w:rFonts w:ascii="Lucida Grande" w:hAnsi="Lucida Grande"/>
      <w:sz w:val="18"/>
      <w:szCs w:val="18"/>
    </w:rPr>
  </w:style>
  <w:style w:type="character" w:customStyle="1" w:styleId="BalloonTextChar">
    <w:name w:val="Balloon Text Char"/>
    <w:basedOn w:val="DefaultParagraphFont"/>
    <w:uiPriority w:val="99"/>
    <w:semiHidden/>
    <w:rsid w:val="001F2595"/>
    <w:rPr>
      <w:rFonts w:ascii="Lucida Grande" w:hAnsi="Lucida Grande"/>
      <w:sz w:val="18"/>
      <w:szCs w:val="18"/>
    </w:rPr>
  </w:style>
  <w:style w:type="character" w:customStyle="1" w:styleId="BalloonTextChar3">
    <w:name w:val="Balloon Text Char3"/>
    <w:basedOn w:val="DefaultParagraphFont"/>
    <w:uiPriority w:val="99"/>
    <w:semiHidden/>
    <w:rsid w:val="001F2595"/>
    <w:rPr>
      <w:rFonts w:ascii="Lucida Grande" w:hAnsi="Lucida Grande"/>
      <w:sz w:val="18"/>
      <w:szCs w:val="18"/>
    </w:rPr>
  </w:style>
  <w:style w:type="character" w:customStyle="1" w:styleId="BalloonTextChar2">
    <w:name w:val="Balloon Text Char2"/>
    <w:basedOn w:val="DefaultParagraphFont"/>
    <w:uiPriority w:val="99"/>
    <w:semiHidden/>
    <w:rsid w:val="001F2595"/>
    <w:rPr>
      <w:rFonts w:ascii="Lucida Grande" w:hAnsi="Lucida Grande"/>
      <w:sz w:val="18"/>
      <w:szCs w:val="18"/>
    </w:rPr>
  </w:style>
  <w:style w:type="character" w:customStyle="1" w:styleId="BalloonTextChar1">
    <w:name w:val="Balloon Text Char1"/>
    <w:basedOn w:val="DefaultParagraphFont"/>
    <w:link w:val="BalloonText"/>
    <w:uiPriority w:val="99"/>
    <w:semiHidden/>
    <w:rsid w:val="001F2595"/>
    <w:rPr>
      <w:rFonts w:ascii="Lucida Grande" w:hAnsi="Lucida Grande"/>
      <w:sz w:val="18"/>
      <w:szCs w:val="18"/>
    </w:rPr>
  </w:style>
  <w:style w:type="paragraph" w:customStyle="1" w:styleId="2ndlevelbullet">
    <w:name w:val="2nd level bullet"/>
    <w:basedOn w:val="Normal"/>
    <w:autoRedefine/>
    <w:uiPriority w:val="99"/>
    <w:rsid w:val="000E2A92"/>
    <w:pPr>
      <w:widowControl w:val="0"/>
      <w:tabs>
        <w:tab w:val="left" w:pos="283"/>
      </w:tabs>
      <w:suppressAutoHyphens/>
      <w:autoSpaceDE w:val="0"/>
      <w:autoSpaceDN w:val="0"/>
      <w:adjustRightInd w:val="0"/>
      <w:spacing w:after="113" w:line="240" w:lineRule="atLeast"/>
      <w:ind w:left="567" w:hanging="567"/>
      <w:textAlignment w:val="center"/>
    </w:pPr>
    <w:rPr>
      <w:rFonts w:cs="VistaSansBold"/>
      <w:b/>
      <w:bCs/>
      <w:color w:val="000000"/>
      <w:spacing w:val="-2"/>
      <w:szCs w:val="22"/>
      <w:lang w:val="en-GB"/>
    </w:rPr>
  </w:style>
  <w:style w:type="character" w:customStyle="1" w:styleId="Heading1Char">
    <w:name w:val="Heading 1 Char"/>
    <w:basedOn w:val="DefaultParagraphFont"/>
    <w:link w:val="Heading1"/>
    <w:uiPriority w:val="9"/>
    <w:rsid w:val="00A73610"/>
    <w:rPr>
      <w:rFonts w:ascii="Arial" w:eastAsiaTheme="majorEastAsia" w:hAnsi="Arial" w:cstheme="majorBidi"/>
      <w:b/>
      <w:bCs/>
      <w:sz w:val="44"/>
      <w:szCs w:val="32"/>
    </w:rPr>
  </w:style>
  <w:style w:type="character" w:customStyle="1" w:styleId="Heading2Char">
    <w:name w:val="Heading 2 Char"/>
    <w:basedOn w:val="DefaultParagraphFont"/>
    <w:link w:val="Heading2"/>
    <w:uiPriority w:val="9"/>
    <w:rsid w:val="00A73610"/>
    <w:rPr>
      <w:rFonts w:ascii="Arial" w:eastAsiaTheme="majorEastAsia" w:hAnsi="Arial" w:cstheme="majorBidi"/>
      <w:b/>
      <w:bCs/>
      <w:sz w:val="28"/>
      <w:szCs w:val="26"/>
    </w:rPr>
  </w:style>
  <w:style w:type="paragraph" w:styleId="List">
    <w:name w:val="List"/>
    <w:basedOn w:val="Normal"/>
    <w:uiPriority w:val="99"/>
    <w:unhideWhenUsed/>
    <w:rsid w:val="002C59A3"/>
    <w:pPr>
      <w:ind w:left="283" w:hanging="283"/>
      <w:contextualSpacing/>
    </w:pPr>
  </w:style>
  <w:style w:type="paragraph" w:styleId="ListBullet">
    <w:name w:val="List Bullet"/>
    <w:basedOn w:val="Normal"/>
    <w:uiPriority w:val="99"/>
    <w:unhideWhenUsed/>
    <w:rsid w:val="009F2441"/>
    <w:pPr>
      <w:numPr>
        <w:numId w:val="1"/>
      </w:numPr>
      <w:spacing w:before="120" w:after="120" w:line="260" w:lineRule="exact"/>
      <w:ind w:left="357" w:hanging="357"/>
      <w:contextualSpacing/>
    </w:pPr>
  </w:style>
  <w:style w:type="paragraph" w:styleId="BodyText">
    <w:name w:val="Body Text"/>
    <w:basedOn w:val="Normal"/>
    <w:link w:val="BodyTextChar"/>
    <w:uiPriority w:val="99"/>
    <w:unhideWhenUsed/>
    <w:rsid w:val="009B2B3F"/>
    <w:pPr>
      <w:spacing w:after="120" w:line="260" w:lineRule="exact"/>
    </w:pPr>
    <w:rPr>
      <w:szCs w:val="22"/>
    </w:rPr>
  </w:style>
  <w:style w:type="character" w:customStyle="1" w:styleId="BodyTextChar">
    <w:name w:val="Body Text Char"/>
    <w:basedOn w:val="DefaultParagraphFont"/>
    <w:link w:val="BodyText"/>
    <w:uiPriority w:val="99"/>
    <w:rsid w:val="009B2B3F"/>
    <w:rPr>
      <w:rFonts w:ascii="Arial" w:hAnsi="Arial"/>
      <w:sz w:val="22"/>
      <w:szCs w:val="22"/>
    </w:rPr>
  </w:style>
  <w:style w:type="character" w:customStyle="1" w:styleId="Heading4Char">
    <w:name w:val="Heading 4 Char"/>
    <w:basedOn w:val="DefaultParagraphFont"/>
    <w:link w:val="Heading4"/>
    <w:uiPriority w:val="9"/>
    <w:rsid w:val="00414AE0"/>
    <w:rPr>
      <w:rFonts w:ascii="Arial" w:eastAsiaTheme="majorEastAsia" w:hAnsi="Arial" w:cstheme="majorBidi"/>
      <w:b/>
      <w:bCs/>
      <w:i/>
      <w:iCs/>
      <w:sz w:val="22"/>
    </w:rPr>
  </w:style>
  <w:style w:type="character" w:customStyle="1" w:styleId="Heading3Char">
    <w:name w:val="Heading 3 Char"/>
    <w:basedOn w:val="DefaultParagraphFont"/>
    <w:link w:val="Heading3"/>
    <w:uiPriority w:val="9"/>
    <w:rsid w:val="00414AE0"/>
    <w:rPr>
      <w:rFonts w:ascii="Arial" w:eastAsiaTheme="majorEastAsia" w:hAnsi="Arial" w:cstheme="majorBidi"/>
      <w:b/>
      <w:bCs/>
      <w:sz w:val="22"/>
    </w:rPr>
  </w:style>
  <w:style w:type="paragraph" w:customStyle="1" w:styleId="Boxhead1">
    <w:name w:val="Box head 1"/>
    <w:basedOn w:val="Heading3"/>
    <w:qFormat/>
    <w:rsid w:val="00AE738F"/>
    <w:pPr>
      <w:spacing w:before="240"/>
    </w:pPr>
    <w:rPr>
      <w:kern w:val="1"/>
      <w:sz w:val="28"/>
    </w:rPr>
  </w:style>
  <w:style w:type="paragraph" w:customStyle="1" w:styleId="Tabletext">
    <w:name w:val="Table text"/>
    <w:basedOn w:val="BodyText"/>
    <w:qFormat/>
    <w:rsid w:val="000A5651"/>
    <w:rPr>
      <w:b/>
      <w:kern w:val="1"/>
    </w:rPr>
  </w:style>
  <w:style w:type="paragraph" w:customStyle="1" w:styleId="Tablehead">
    <w:name w:val="Table head"/>
    <w:qFormat/>
    <w:rsid w:val="001343A3"/>
    <w:pPr>
      <w:spacing w:before="240" w:after="120"/>
    </w:pPr>
    <w:rPr>
      <w:rFonts w:ascii="Arial" w:eastAsiaTheme="majorEastAsia" w:hAnsi="Arial" w:cstheme="majorBidi"/>
      <w:b/>
      <w:bCs/>
      <w:iCs/>
      <w:kern w:val="1"/>
      <w:sz w:val="22"/>
    </w:rPr>
  </w:style>
  <w:style w:type="paragraph" w:customStyle="1" w:styleId="Tableheader">
    <w:name w:val="Table header"/>
    <w:basedOn w:val="BodyText"/>
    <w:qFormat/>
    <w:rsid w:val="000A5651"/>
    <w:rPr>
      <w:b/>
    </w:rPr>
  </w:style>
  <w:style w:type="paragraph" w:customStyle="1" w:styleId="Source">
    <w:name w:val="Source"/>
    <w:basedOn w:val="Normal"/>
    <w:qFormat/>
    <w:rsid w:val="009F2441"/>
    <w:pPr>
      <w:widowControl w:val="0"/>
      <w:autoSpaceDE w:val="0"/>
      <w:autoSpaceDN w:val="0"/>
      <w:adjustRightInd w:val="0"/>
      <w:spacing w:before="120"/>
    </w:pPr>
    <w:rPr>
      <w:rFonts w:cs="Arial"/>
      <w:color w:val="000000" w:themeColor="text1"/>
      <w:kern w:val="1"/>
      <w:sz w:val="18"/>
      <w:szCs w:val="16"/>
    </w:rPr>
  </w:style>
  <w:style w:type="paragraph" w:styleId="Caption">
    <w:name w:val="caption"/>
    <w:basedOn w:val="Normal"/>
    <w:next w:val="Normal"/>
    <w:qFormat/>
    <w:rsid w:val="00B24921"/>
    <w:pPr>
      <w:spacing w:before="360" w:after="120"/>
    </w:pPr>
    <w:rPr>
      <w:b/>
      <w:bCs/>
      <w:szCs w:val="18"/>
    </w:rPr>
  </w:style>
  <w:style w:type="table" w:styleId="ColorfulGrid-Accent1">
    <w:name w:val="Colorful Grid Accent 1"/>
    <w:basedOn w:val="TableNormal"/>
    <w:uiPriority w:val="73"/>
    <w:rsid w:val="00494915"/>
    <w:rPr>
      <w:color w:val="000000" w:themeColor="text1"/>
      <w:sz w:val="22"/>
      <w:szCs w:val="22"/>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body">
    <w:name w:val="body"/>
    <w:basedOn w:val="Normal"/>
    <w:uiPriority w:val="99"/>
    <w:rsid w:val="001B211E"/>
    <w:pPr>
      <w:widowControl w:val="0"/>
      <w:tabs>
        <w:tab w:val="left" w:pos="567"/>
      </w:tabs>
      <w:suppressAutoHyphens/>
      <w:autoSpaceDE w:val="0"/>
      <w:autoSpaceDN w:val="0"/>
      <w:adjustRightInd w:val="0"/>
      <w:spacing w:before="57" w:after="57" w:line="240" w:lineRule="atLeast"/>
      <w:textAlignment w:val="center"/>
    </w:pPr>
    <w:rPr>
      <w:rFonts w:ascii="HelveticaNeue-Light" w:hAnsi="HelveticaNeue-Light" w:cs="HelveticaNeue-Light"/>
      <w:color w:val="000000"/>
      <w:sz w:val="19"/>
      <w:szCs w:val="19"/>
      <w:lang w:val="en-GB"/>
    </w:rPr>
  </w:style>
  <w:style w:type="paragraph" w:customStyle="1" w:styleId="NoParagraphStyle">
    <w:name w:val="[No Paragraph Style]"/>
    <w:rsid w:val="001B211E"/>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Hyperlink">
    <w:name w:val="Hyperlink"/>
    <w:basedOn w:val="DefaultParagraphFont"/>
    <w:rsid w:val="001B211E"/>
    <w:rPr>
      <w:color w:val="0000FF" w:themeColor="hyperlink"/>
      <w:u w:val="single"/>
    </w:rPr>
  </w:style>
  <w:style w:type="paragraph" w:styleId="FootnoteText">
    <w:name w:val="footnote text"/>
    <w:basedOn w:val="Normal"/>
    <w:link w:val="FootnoteTextChar"/>
    <w:rsid w:val="009B2B3F"/>
    <w:rPr>
      <w:sz w:val="16"/>
    </w:rPr>
  </w:style>
  <w:style w:type="character" w:customStyle="1" w:styleId="FootnoteTextChar">
    <w:name w:val="Footnote Text Char"/>
    <w:basedOn w:val="DefaultParagraphFont"/>
    <w:link w:val="FootnoteText"/>
    <w:rsid w:val="009B2B3F"/>
    <w:rPr>
      <w:rFonts w:ascii="Arial" w:hAnsi="Arial"/>
      <w:sz w:val="16"/>
    </w:rPr>
  </w:style>
  <w:style w:type="character" w:styleId="FootnoteReference">
    <w:name w:val="footnote reference"/>
    <w:basedOn w:val="FootnoteTextChar"/>
    <w:rsid w:val="001B211E"/>
    <w:rPr>
      <w:rFonts w:asciiTheme="minorHAnsi" w:hAnsiTheme="minorHAnsi"/>
      <w:sz w:val="20"/>
      <w:bdr w:val="none" w:sz="0" w:space="0" w:color="auto"/>
      <w:vertAlign w:val="superscript"/>
    </w:rPr>
  </w:style>
  <w:style w:type="paragraph" w:styleId="ListBullet2">
    <w:name w:val="List Bullet 2"/>
    <w:basedOn w:val="Normal"/>
    <w:rsid w:val="004A5604"/>
    <w:pPr>
      <w:numPr>
        <w:numId w:val="2"/>
      </w:numPr>
      <w:contextualSpacing/>
    </w:pPr>
  </w:style>
  <w:style w:type="paragraph" w:styleId="ListNumber">
    <w:name w:val="List Number"/>
    <w:basedOn w:val="Normal"/>
    <w:rsid w:val="009F2441"/>
    <w:pPr>
      <w:numPr>
        <w:numId w:val="3"/>
      </w:numPr>
      <w:spacing w:before="120" w:after="120" w:line="260" w:lineRule="exact"/>
      <w:ind w:left="357" w:hanging="357"/>
    </w:pPr>
  </w:style>
  <w:style w:type="paragraph" w:styleId="Header">
    <w:name w:val="header"/>
    <w:basedOn w:val="Normal"/>
    <w:link w:val="HeaderChar"/>
    <w:rsid w:val="006D400F"/>
    <w:pPr>
      <w:tabs>
        <w:tab w:val="center" w:pos="4320"/>
        <w:tab w:val="right" w:pos="8640"/>
      </w:tabs>
    </w:pPr>
  </w:style>
  <w:style w:type="character" w:customStyle="1" w:styleId="HeaderChar">
    <w:name w:val="Header Char"/>
    <w:basedOn w:val="DefaultParagraphFont"/>
    <w:link w:val="Header"/>
    <w:rsid w:val="006D400F"/>
  </w:style>
  <w:style w:type="paragraph" w:styleId="Footer">
    <w:name w:val="footer"/>
    <w:basedOn w:val="Normal"/>
    <w:link w:val="FooterChar"/>
    <w:rsid w:val="006D400F"/>
    <w:pPr>
      <w:tabs>
        <w:tab w:val="center" w:pos="4320"/>
        <w:tab w:val="right" w:pos="8640"/>
      </w:tabs>
    </w:pPr>
  </w:style>
  <w:style w:type="character" w:customStyle="1" w:styleId="FooterChar">
    <w:name w:val="Footer Char"/>
    <w:basedOn w:val="DefaultParagraphFont"/>
    <w:link w:val="Footer"/>
    <w:rsid w:val="006D400F"/>
  </w:style>
  <w:style w:type="table" w:styleId="TableGrid">
    <w:name w:val="Table Grid"/>
    <w:basedOn w:val="TableNormal"/>
    <w:rsid w:val="00FE75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251400"/>
    <w:pPr>
      <w:spacing w:before="120"/>
    </w:pPr>
  </w:style>
  <w:style w:type="paragraph" w:styleId="TOC2">
    <w:name w:val="toc 2"/>
    <w:basedOn w:val="Normal"/>
    <w:next w:val="Normal"/>
    <w:autoRedefine/>
    <w:uiPriority w:val="39"/>
    <w:rsid w:val="00492CCD"/>
    <w:pPr>
      <w:ind w:left="240"/>
    </w:pPr>
    <w:rPr>
      <w:b/>
      <w:szCs w:val="22"/>
    </w:rPr>
  </w:style>
  <w:style w:type="paragraph" w:styleId="TOC3">
    <w:name w:val="toc 3"/>
    <w:basedOn w:val="Normal"/>
    <w:next w:val="Normal"/>
    <w:autoRedefine/>
    <w:uiPriority w:val="39"/>
    <w:rsid w:val="00492CCD"/>
    <w:pPr>
      <w:ind w:left="480"/>
    </w:pPr>
    <w:rPr>
      <w:szCs w:val="22"/>
    </w:rPr>
  </w:style>
  <w:style w:type="paragraph" w:styleId="TOC4">
    <w:name w:val="toc 4"/>
    <w:basedOn w:val="Normal"/>
    <w:next w:val="Normal"/>
    <w:autoRedefine/>
    <w:uiPriority w:val="39"/>
    <w:rsid w:val="00492CCD"/>
    <w:pPr>
      <w:ind w:left="720"/>
    </w:pPr>
    <w:rPr>
      <w:sz w:val="20"/>
      <w:szCs w:val="20"/>
    </w:rPr>
  </w:style>
  <w:style w:type="paragraph" w:styleId="TOC5">
    <w:name w:val="toc 5"/>
    <w:basedOn w:val="Normal"/>
    <w:next w:val="Normal"/>
    <w:autoRedefine/>
    <w:uiPriority w:val="39"/>
    <w:rsid w:val="00492CCD"/>
    <w:pPr>
      <w:ind w:left="960"/>
    </w:pPr>
    <w:rPr>
      <w:sz w:val="20"/>
      <w:szCs w:val="20"/>
    </w:rPr>
  </w:style>
  <w:style w:type="paragraph" w:styleId="TOC6">
    <w:name w:val="toc 6"/>
    <w:basedOn w:val="Normal"/>
    <w:next w:val="Normal"/>
    <w:autoRedefine/>
    <w:uiPriority w:val="39"/>
    <w:rsid w:val="00492CCD"/>
    <w:pPr>
      <w:ind w:left="1200"/>
    </w:pPr>
    <w:rPr>
      <w:sz w:val="20"/>
      <w:szCs w:val="20"/>
    </w:rPr>
  </w:style>
  <w:style w:type="paragraph" w:styleId="TOC7">
    <w:name w:val="toc 7"/>
    <w:basedOn w:val="Normal"/>
    <w:next w:val="Normal"/>
    <w:autoRedefine/>
    <w:uiPriority w:val="39"/>
    <w:rsid w:val="00492CCD"/>
    <w:pPr>
      <w:ind w:left="1440"/>
    </w:pPr>
    <w:rPr>
      <w:sz w:val="20"/>
      <w:szCs w:val="20"/>
    </w:rPr>
  </w:style>
  <w:style w:type="paragraph" w:styleId="TOC8">
    <w:name w:val="toc 8"/>
    <w:basedOn w:val="Normal"/>
    <w:next w:val="Normal"/>
    <w:autoRedefine/>
    <w:uiPriority w:val="39"/>
    <w:rsid w:val="00492CCD"/>
    <w:pPr>
      <w:ind w:left="1680"/>
    </w:pPr>
    <w:rPr>
      <w:sz w:val="20"/>
      <w:szCs w:val="20"/>
    </w:rPr>
  </w:style>
  <w:style w:type="paragraph" w:styleId="TOC9">
    <w:name w:val="toc 9"/>
    <w:basedOn w:val="Normal"/>
    <w:next w:val="Normal"/>
    <w:autoRedefine/>
    <w:uiPriority w:val="39"/>
    <w:rsid w:val="00492CCD"/>
    <w:pPr>
      <w:ind w:left="1920"/>
    </w:pPr>
    <w:rPr>
      <w:sz w:val="20"/>
      <w:szCs w:val="20"/>
    </w:rPr>
  </w:style>
  <w:style w:type="paragraph" w:styleId="TableofFigures">
    <w:name w:val="table of figures"/>
    <w:basedOn w:val="Normal"/>
    <w:next w:val="Normal"/>
    <w:uiPriority w:val="99"/>
    <w:rsid w:val="004465D8"/>
    <w:pPr>
      <w:ind w:left="480" w:hanging="480"/>
    </w:pPr>
  </w:style>
  <w:style w:type="character" w:styleId="PageNumber">
    <w:name w:val="page number"/>
    <w:basedOn w:val="DefaultParagraphFont"/>
    <w:rsid w:val="00541FAF"/>
  </w:style>
  <w:style w:type="character" w:customStyle="1" w:styleId="Heading5Char">
    <w:name w:val="Heading 5 Char"/>
    <w:basedOn w:val="DefaultParagraphFont"/>
    <w:link w:val="Heading5"/>
    <w:rsid w:val="00A73610"/>
    <w:rPr>
      <w:rFonts w:asciiTheme="majorHAnsi" w:eastAsiaTheme="majorEastAsia" w:hAnsiTheme="majorHAnsi" w:cstheme="majorBidi"/>
      <w:color w:val="244061" w:themeColor="accent1" w:themeShade="80"/>
      <w:sz w:val="22"/>
    </w:rPr>
  </w:style>
  <w:style w:type="character" w:customStyle="1" w:styleId="Heading6Char">
    <w:name w:val="Heading 6 Char"/>
    <w:basedOn w:val="DefaultParagraphFont"/>
    <w:link w:val="Heading6"/>
    <w:rsid w:val="00A73610"/>
    <w:rPr>
      <w:rFonts w:asciiTheme="majorHAnsi" w:eastAsiaTheme="majorEastAsia" w:hAnsiTheme="majorHAnsi" w:cstheme="majorBidi"/>
      <w:i/>
      <w:iCs/>
      <w:color w:val="244061" w:themeColor="accent1" w:themeShade="80"/>
      <w:sz w:val="22"/>
    </w:rPr>
  </w:style>
  <w:style w:type="character" w:customStyle="1" w:styleId="Heading7Char">
    <w:name w:val="Heading 7 Char"/>
    <w:basedOn w:val="DefaultParagraphFont"/>
    <w:link w:val="Heading7"/>
    <w:rsid w:val="00A73610"/>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rsid w:val="00A73610"/>
    <w:rPr>
      <w:rFonts w:asciiTheme="majorHAnsi" w:eastAsiaTheme="majorEastAsia" w:hAnsiTheme="majorHAnsi" w:cstheme="majorBidi"/>
      <w:color w:val="363636" w:themeColor="text1" w:themeTint="C9"/>
      <w:sz w:val="20"/>
      <w:szCs w:val="20"/>
    </w:rPr>
  </w:style>
  <w:style w:type="character" w:customStyle="1" w:styleId="Heading9Char">
    <w:name w:val="Heading 9 Char"/>
    <w:basedOn w:val="DefaultParagraphFont"/>
    <w:link w:val="Heading9"/>
    <w:rsid w:val="00A73610"/>
    <w:rPr>
      <w:rFonts w:asciiTheme="majorHAnsi" w:eastAsiaTheme="majorEastAsia" w:hAnsiTheme="majorHAnsi" w:cstheme="majorBidi"/>
      <w:i/>
      <w:iCs/>
      <w:color w:val="363636" w:themeColor="text1" w:themeTint="C9"/>
      <w:sz w:val="20"/>
      <w:szCs w:val="20"/>
    </w:rPr>
  </w:style>
  <w:style w:type="paragraph" w:customStyle="1" w:styleId="BodyTextIndent1">
    <w:name w:val="Body Text Indent1"/>
    <w:basedOn w:val="BodyText"/>
    <w:qFormat/>
    <w:rsid w:val="00F365A5"/>
    <w:pPr>
      <w:ind w:left="426" w:right="-574"/>
    </w:pPr>
    <w:rPr>
      <w:w w:val="95"/>
      <w:sz w:val="20"/>
    </w:rPr>
  </w:style>
  <w:style w:type="paragraph" w:customStyle="1" w:styleId="Casestudy">
    <w:name w:val="Case study"/>
    <w:basedOn w:val="Boxhead1"/>
    <w:qFormat/>
    <w:rsid w:val="008A298D"/>
    <w:pPr>
      <w:pBdr>
        <w:top w:val="single" w:sz="4" w:space="1" w:color="auto"/>
        <w:left w:val="single" w:sz="4" w:space="4" w:color="auto"/>
        <w:bottom w:val="single" w:sz="4" w:space="1" w:color="auto"/>
        <w:right w:val="single" w:sz="4" w:space="4" w:color="auto"/>
      </w:pBdr>
    </w:pPr>
  </w:style>
  <w:style w:type="character" w:styleId="FollowedHyperlink">
    <w:name w:val="FollowedHyperlink"/>
    <w:basedOn w:val="DefaultParagraphFont"/>
    <w:rsid w:val="00BE579C"/>
    <w:rPr>
      <w:color w:val="800080" w:themeColor="followedHyperlink"/>
      <w:u w:val="single"/>
    </w:rPr>
  </w:style>
  <w:style w:type="paragraph" w:styleId="ListParagraph">
    <w:name w:val="List Paragraph"/>
    <w:basedOn w:val="Normal"/>
    <w:rsid w:val="004061FB"/>
    <w:pPr>
      <w:ind w:left="720"/>
      <w:contextualSpacing/>
    </w:pPr>
  </w:style>
  <w:style w:type="paragraph" w:customStyle="1" w:styleId="TableParagraph">
    <w:name w:val="Table Paragraph"/>
    <w:basedOn w:val="Normal"/>
    <w:uiPriority w:val="1"/>
    <w:qFormat/>
    <w:rsid w:val="00493D7A"/>
    <w:pPr>
      <w:widowControl w:val="0"/>
    </w:pPr>
    <w:rPr>
      <w:rFonts w:asciiTheme="minorHAnsi" w:eastAsiaTheme="minorHAnsi" w:hAnsiTheme="minorHAnsi"/>
      <w:szCs w:val="22"/>
      <w:lang w:eastAsia="en-US"/>
    </w:rPr>
  </w:style>
  <w:style w:type="paragraph" w:styleId="DocumentMap">
    <w:name w:val="Document Map"/>
    <w:basedOn w:val="Normal"/>
    <w:link w:val="DocumentMapChar"/>
    <w:semiHidden/>
    <w:unhideWhenUsed/>
    <w:rsid w:val="003F2AFF"/>
    <w:rPr>
      <w:rFonts w:ascii="Lucida Grande" w:hAnsi="Lucida Grande" w:cs="Lucida Grande"/>
      <w:sz w:val="24"/>
    </w:rPr>
  </w:style>
  <w:style w:type="character" w:customStyle="1" w:styleId="DocumentMapChar">
    <w:name w:val="Document Map Char"/>
    <w:basedOn w:val="DefaultParagraphFont"/>
    <w:link w:val="DocumentMap"/>
    <w:semiHidden/>
    <w:rsid w:val="003F2AFF"/>
    <w:rPr>
      <w:rFonts w:ascii="Lucida Grande" w:hAnsi="Lucida Grande" w:cs="Lucida Grande"/>
    </w:rPr>
  </w:style>
  <w:style w:type="paragraph" w:customStyle="1" w:styleId="H1">
    <w:name w:val="H1"/>
    <w:basedOn w:val="NoParagraphStyle"/>
    <w:uiPriority w:val="99"/>
    <w:rsid w:val="005E1381"/>
    <w:pPr>
      <w:tabs>
        <w:tab w:val="left" w:pos="567"/>
      </w:tabs>
      <w:suppressAutoHyphens/>
      <w:spacing w:before="142" w:after="57" w:line="440" w:lineRule="atLeast"/>
    </w:pPr>
    <w:rPr>
      <w:rFonts w:ascii="FranklinGothic-Book" w:hAnsi="FranklinGothic-Book" w:cs="FranklinGothic-Book"/>
      <w:color w:val="FFFFFF"/>
      <w:sz w:val="48"/>
      <w:szCs w:val="48"/>
      <w:lang w:val="en-US"/>
    </w:rPr>
  </w:style>
  <w:style w:type="paragraph" w:customStyle="1" w:styleId="H2">
    <w:name w:val="H2"/>
    <w:basedOn w:val="NoParagraphStyle"/>
    <w:uiPriority w:val="99"/>
    <w:rsid w:val="002B1F0C"/>
    <w:pPr>
      <w:keepNext/>
      <w:keepLines/>
      <w:tabs>
        <w:tab w:val="left" w:pos="567"/>
      </w:tabs>
      <w:suppressAutoHyphens/>
      <w:spacing w:before="340" w:after="113" w:line="320" w:lineRule="atLeast"/>
      <w:textAlignment w:val="baseline"/>
    </w:pPr>
    <w:rPr>
      <w:rFonts w:ascii="FranklinGothic-Book" w:hAnsi="FranklinGothic-Book" w:cs="FranklinGothic-Book"/>
      <w:color w:val="034D96"/>
      <w:spacing w:val="3"/>
      <w:sz w:val="28"/>
      <w:szCs w:val="28"/>
      <w:lang w:val="en-US"/>
    </w:rPr>
  </w:style>
  <w:style w:type="paragraph" w:customStyle="1" w:styleId="tableheader0">
    <w:name w:val="table header"/>
    <w:basedOn w:val="body"/>
    <w:uiPriority w:val="99"/>
    <w:rsid w:val="002B1F0C"/>
    <w:rPr>
      <w:rFonts w:ascii="FranklinGothic-Demi" w:hAnsi="FranklinGothic-Demi" w:cs="FranklinGothic-Demi"/>
      <w:color w:val="FFFFFF"/>
      <w:sz w:val="18"/>
      <w:szCs w:val="18"/>
    </w:rPr>
  </w:style>
  <w:style w:type="paragraph" w:customStyle="1" w:styleId="boxtextbox">
    <w:name w:val="box text (box)"/>
    <w:basedOn w:val="body"/>
    <w:uiPriority w:val="99"/>
    <w:rsid w:val="002B1F0C"/>
    <w:pPr>
      <w:spacing w:line="270" w:lineRule="atLeast"/>
    </w:pPr>
    <w:rPr>
      <w:rFonts w:ascii="FranklinGothic-Book" w:hAnsi="FranklinGothic-Book" w:cs="FranklinGothic-Book"/>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1" w:defUnhideWhenUsed="0" w:defQFormat="0" w:count="267">
    <w:lsdException w:name="Normal" w:semiHidden="0"/>
    <w:lsdException w:name="heading 1" w:semiHidden="0"/>
    <w:lsdException w:name="heading 2" w:semiHidden="0"/>
    <w:lsdException w:name="heading 3" w:semiHidden="0"/>
    <w:lsdException w:name="heading 4" w:semiHidden="0"/>
    <w:lsdException w:name="heading 5" w:semiHidden="0"/>
    <w:lsdException w:name="heading 6" w:semiHidden="0"/>
    <w:lsdException w:name="heading 7" w:semiHidden="0"/>
    <w:lsdException w:name="heading 8" w:semiHidden="0"/>
    <w:lsdException w:name="heading 9" w:semiHidden="0"/>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lsdException w:name="FollowedHyperlink" w:semiHidden="0"/>
    <w:lsdException w:name="Strong" w:semiHidden="0"/>
    <w:lsdException w:name="Emphasis" w:semiHidden="0"/>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lsdException w:name="Intense Emphasis" w:semiHidden="0"/>
    <w:lsdException w:name="Subtle Reference" w:semiHidden="0"/>
    <w:lsdException w:name="Intense Reference" w:semiHidden="0"/>
    <w:lsdException w:name="Book Title" w:semiHidden="0"/>
    <w:lsdException w:name="Bibliography" w:unhideWhenUsed="1"/>
    <w:lsdException w:name="TOC Heading" w:unhideWhenUsed="1"/>
  </w:latentStyles>
  <w:style w:type="paragraph" w:default="1" w:styleId="Normal">
    <w:name w:val="Normal"/>
    <w:qFormat/>
    <w:rsid w:val="003B5312"/>
    <w:rPr>
      <w:rFonts w:ascii="Arial" w:hAnsi="Arial"/>
      <w:sz w:val="22"/>
    </w:rPr>
  </w:style>
  <w:style w:type="paragraph" w:styleId="Heading1">
    <w:name w:val="heading 1"/>
    <w:basedOn w:val="Normal"/>
    <w:next w:val="Normal"/>
    <w:link w:val="Heading1Char"/>
    <w:uiPriority w:val="9"/>
    <w:qFormat/>
    <w:rsid w:val="00A73610"/>
    <w:pPr>
      <w:keepNext/>
      <w:keepLines/>
      <w:numPr>
        <w:numId w:val="4"/>
      </w:numPr>
      <w:tabs>
        <w:tab w:val="left" w:pos="357"/>
      </w:tabs>
      <w:spacing w:before="240" w:after="480"/>
      <w:outlineLvl w:val="0"/>
    </w:pPr>
    <w:rPr>
      <w:rFonts w:eastAsiaTheme="majorEastAsia" w:cstheme="majorBidi"/>
      <w:b/>
      <w:bCs/>
      <w:sz w:val="44"/>
      <w:szCs w:val="32"/>
    </w:rPr>
  </w:style>
  <w:style w:type="paragraph" w:styleId="Heading2">
    <w:name w:val="heading 2"/>
    <w:basedOn w:val="Normal"/>
    <w:next w:val="Normal"/>
    <w:link w:val="Heading2Char"/>
    <w:uiPriority w:val="9"/>
    <w:unhideWhenUsed/>
    <w:qFormat/>
    <w:rsid w:val="00A73610"/>
    <w:pPr>
      <w:keepNext/>
      <w:keepLines/>
      <w:numPr>
        <w:ilvl w:val="1"/>
        <w:numId w:val="4"/>
      </w:numPr>
      <w:spacing w:before="480" w:after="120"/>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414AE0"/>
    <w:pPr>
      <w:keepNext/>
      <w:keepLines/>
      <w:numPr>
        <w:ilvl w:val="2"/>
        <w:numId w:val="4"/>
      </w:numPr>
      <w:spacing w:before="200" w:after="120"/>
      <w:outlineLvl w:val="2"/>
    </w:pPr>
    <w:rPr>
      <w:rFonts w:eastAsiaTheme="majorEastAsia" w:cstheme="majorBidi"/>
      <w:b/>
      <w:bCs/>
    </w:rPr>
  </w:style>
  <w:style w:type="paragraph" w:styleId="Heading4">
    <w:name w:val="heading 4"/>
    <w:basedOn w:val="Normal"/>
    <w:next w:val="Normal"/>
    <w:link w:val="Heading4Char"/>
    <w:uiPriority w:val="9"/>
    <w:unhideWhenUsed/>
    <w:qFormat/>
    <w:rsid w:val="00414AE0"/>
    <w:pPr>
      <w:keepNext/>
      <w:keepLines/>
      <w:numPr>
        <w:ilvl w:val="3"/>
        <w:numId w:val="4"/>
      </w:numPr>
      <w:spacing w:before="200"/>
      <w:outlineLvl w:val="3"/>
    </w:pPr>
    <w:rPr>
      <w:rFonts w:eastAsiaTheme="majorEastAsia" w:cstheme="majorBidi"/>
      <w:b/>
      <w:bCs/>
      <w:i/>
      <w:iCs/>
    </w:rPr>
  </w:style>
  <w:style w:type="paragraph" w:styleId="Heading5">
    <w:name w:val="heading 5"/>
    <w:basedOn w:val="Normal"/>
    <w:next w:val="Normal"/>
    <w:link w:val="Heading5Char"/>
    <w:rsid w:val="00A73610"/>
    <w:pPr>
      <w:keepNext/>
      <w:keepLines/>
      <w:numPr>
        <w:ilvl w:val="4"/>
        <w:numId w:val="4"/>
      </w:numPr>
      <w:spacing w:before="200"/>
      <w:outlineLvl w:val="4"/>
    </w:pPr>
    <w:rPr>
      <w:rFonts w:asciiTheme="majorHAnsi" w:eastAsiaTheme="majorEastAsia" w:hAnsiTheme="majorHAnsi" w:cstheme="majorBidi"/>
      <w:color w:val="244061" w:themeColor="accent1" w:themeShade="80"/>
    </w:rPr>
  </w:style>
  <w:style w:type="paragraph" w:styleId="Heading6">
    <w:name w:val="heading 6"/>
    <w:basedOn w:val="Normal"/>
    <w:next w:val="Normal"/>
    <w:link w:val="Heading6Char"/>
    <w:rsid w:val="00A73610"/>
    <w:pPr>
      <w:keepNext/>
      <w:keepLines/>
      <w:numPr>
        <w:ilvl w:val="5"/>
        <w:numId w:val="4"/>
      </w:numPr>
      <w:spacing w:before="200"/>
      <w:outlineLvl w:val="5"/>
    </w:pPr>
    <w:rPr>
      <w:rFonts w:asciiTheme="majorHAnsi" w:eastAsiaTheme="majorEastAsia" w:hAnsiTheme="majorHAnsi" w:cstheme="majorBidi"/>
      <w:i/>
      <w:iCs/>
      <w:color w:val="244061" w:themeColor="accent1" w:themeShade="80"/>
    </w:rPr>
  </w:style>
  <w:style w:type="paragraph" w:styleId="Heading7">
    <w:name w:val="heading 7"/>
    <w:basedOn w:val="Normal"/>
    <w:next w:val="Normal"/>
    <w:link w:val="Heading7Char"/>
    <w:rsid w:val="00A73610"/>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rsid w:val="00A73610"/>
    <w:pPr>
      <w:keepNext/>
      <w:keepLines/>
      <w:numPr>
        <w:ilvl w:val="7"/>
        <w:numId w:val="4"/>
      </w:numPr>
      <w:spacing w:before="200"/>
      <w:outlineLvl w:val="7"/>
    </w:pPr>
    <w:rPr>
      <w:rFonts w:asciiTheme="majorHAnsi" w:eastAsiaTheme="majorEastAsia" w:hAnsiTheme="majorHAnsi" w:cstheme="majorBidi"/>
      <w:color w:val="363636" w:themeColor="text1" w:themeTint="C9"/>
      <w:sz w:val="20"/>
      <w:szCs w:val="20"/>
    </w:rPr>
  </w:style>
  <w:style w:type="paragraph" w:styleId="Heading9">
    <w:name w:val="heading 9"/>
    <w:basedOn w:val="Normal"/>
    <w:next w:val="Normal"/>
    <w:link w:val="Heading9Char"/>
    <w:rsid w:val="00A73610"/>
    <w:pPr>
      <w:keepNext/>
      <w:keepLines/>
      <w:numPr>
        <w:ilvl w:val="8"/>
        <w:numId w:val="4"/>
      </w:numPr>
      <w:spacing w:before="200"/>
      <w:outlineLvl w:val="8"/>
    </w:pPr>
    <w:rPr>
      <w:rFonts w:asciiTheme="majorHAnsi" w:eastAsiaTheme="majorEastAsia" w:hAnsiTheme="majorHAnsi" w:cstheme="majorBidi"/>
      <w:i/>
      <w:iCs/>
      <w:color w:val="363636" w:themeColor="text1" w:themeTint="C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1F2595"/>
    <w:rPr>
      <w:rFonts w:ascii="Lucida Grande" w:hAnsi="Lucida Grande"/>
      <w:sz w:val="18"/>
      <w:szCs w:val="18"/>
    </w:rPr>
  </w:style>
  <w:style w:type="character" w:customStyle="1" w:styleId="BalloonTextChar">
    <w:name w:val="Balloon Text Char"/>
    <w:basedOn w:val="DefaultParagraphFont"/>
    <w:uiPriority w:val="99"/>
    <w:semiHidden/>
    <w:rsid w:val="001F2595"/>
    <w:rPr>
      <w:rFonts w:ascii="Lucida Grande" w:hAnsi="Lucida Grande"/>
      <w:sz w:val="18"/>
      <w:szCs w:val="18"/>
    </w:rPr>
  </w:style>
  <w:style w:type="character" w:customStyle="1" w:styleId="BalloonTextChar3">
    <w:name w:val="Balloon Text Char3"/>
    <w:basedOn w:val="DefaultParagraphFont"/>
    <w:uiPriority w:val="99"/>
    <w:semiHidden/>
    <w:rsid w:val="001F2595"/>
    <w:rPr>
      <w:rFonts w:ascii="Lucida Grande" w:hAnsi="Lucida Grande"/>
      <w:sz w:val="18"/>
      <w:szCs w:val="18"/>
    </w:rPr>
  </w:style>
  <w:style w:type="character" w:customStyle="1" w:styleId="BalloonTextChar2">
    <w:name w:val="Balloon Text Char2"/>
    <w:basedOn w:val="DefaultParagraphFont"/>
    <w:uiPriority w:val="99"/>
    <w:semiHidden/>
    <w:rsid w:val="001F2595"/>
    <w:rPr>
      <w:rFonts w:ascii="Lucida Grande" w:hAnsi="Lucida Grande"/>
      <w:sz w:val="18"/>
      <w:szCs w:val="18"/>
    </w:rPr>
  </w:style>
  <w:style w:type="character" w:customStyle="1" w:styleId="BalloonTextChar1">
    <w:name w:val="Balloon Text Char1"/>
    <w:basedOn w:val="DefaultParagraphFont"/>
    <w:link w:val="BalloonText"/>
    <w:uiPriority w:val="99"/>
    <w:semiHidden/>
    <w:rsid w:val="001F2595"/>
    <w:rPr>
      <w:rFonts w:ascii="Lucida Grande" w:hAnsi="Lucida Grande"/>
      <w:sz w:val="18"/>
      <w:szCs w:val="18"/>
    </w:rPr>
  </w:style>
  <w:style w:type="paragraph" w:customStyle="1" w:styleId="2ndlevelbullet">
    <w:name w:val="2nd level bullet"/>
    <w:basedOn w:val="Normal"/>
    <w:autoRedefine/>
    <w:uiPriority w:val="99"/>
    <w:rsid w:val="000E2A92"/>
    <w:pPr>
      <w:widowControl w:val="0"/>
      <w:tabs>
        <w:tab w:val="left" w:pos="283"/>
      </w:tabs>
      <w:suppressAutoHyphens/>
      <w:autoSpaceDE w:val="0"/>
      <w:autoSpaceDN w:val="0"/>
      <w:adjustRightInd w:val="0"/>
      <w:spacing w:after="113" w:line="240" w:lineRule="atLeast"/>
      <w:ind w:left="567" w:hanging="567"/>
      <w:textAlignment w:val="center"/>
    </w:pPr>
    <w:rPr>
      <w:rFonts w:cs="VistaSansBold"/>
      <w:b/>
      <w:bCs/>
      <w:color w:val="000000"/>
      <w:spacing w:val="-2"/>
      <w:szCs w:val="22"/>
      <w:lang w:val="en-GB"/>
    </w:rPr>
  </w:style>
  <w:style w:type="character" w:customStyle="1" w:styleId="Heading1Char">
    <w:name w:val="Heading 1 Char"/>
    <w:basedOn w:val="DefaultParagraphFont"/>
    <w:link w:val="Heading1"/>
    <w:uiPriority w:val="9"/>
    <w:rsid w:val="00A73610"/>
    <w:rPr>
      <w:rFonts w:ascii="Arial" w:eastAsiaTheme="majorEastAsia" w:hAnsi="Arial" w:cstheme="majorBidi"/>
      <w:b/>
      <w:bCs/>
      <w:sz w:val="44"/>
      <w:szCs w:val="32"/>
    </w:rPr>
  </w:style>
  <w:style w:type="character" w:customStyle="1" w:styleId="Heading2Char">
    <w:name w:val="Heading 2 Char"/>
    <w:basedOn w:val="DefaultParagraphFont"/>
    <w:link w:val="Heading2"/>
    <w:uiPriority w:val="9"/>
    <w:rsid w:val="00A73610"/>
    <w:rPr>
      <w:rFonts w:ascii="Arial" w:eastAsiaTheme="majorEastAsia" w:hAnsi="Arial" w:cstheme="majorBidi"/>
      <w:b/>
      <w:bCs/>
      <w:sz w:val="28"/>
      <w:szCs w:val="26"/>
    </w:rPr>
  </w:style>
  <w:style w:type="paragraph" w:styleId="List">
    <w:name w:val="List"/>
    <w:basedOn w:val="Normal"/>
    <w:uiPriority w:val="99"/>
    <w:unhideWhenUsed/>
    <w:rsid w:val="002C59A3"/>
    <w:pPr>
      <w:ind w:left="283" w:hanging="283"/>
      <w:contextualSpacing/>
    </w:pPr>
  </w:style>
  <w:style w:type="paragraph" w:styleId="ListBullet">
    <w:name w:val="List Bullet"/>
    <w:basedOn w:val="Normal"/>
    <w:uiPriority w:val="99"/>
    <w:unhideWhenUsed/>
    <w:rsid w:val="009F2441"/>
    <w:pPr>
      <w:numPr>
        <w:numId w:val="1"/>
      </w:numPr>
      <w:spacing w:before="120" w:after="120" w:line="260" w:lineRule="exact"/>
      <w:ind w:left="357" w:hanging="357"/>
      <w:contextualSpacing/>
    </w:pPr>
  </w:style>
  <w:style w:type="paragraph" w:styleId="BodyText">
    <w:name w:val="Body Text"/>
    <w:basedOn w:val="Normal"/>
    <w:link w:val="BodyTextChar"/>
    <w:uiPriority w:val="99"/>
    <w:unhideWhenUsed/>
    <w:rsid w:val="009B2B3F"/>
    <w:pPr>
      <w:spacing w:after="120" w:line="260" w:lineRule="exact"/>
    </w:pPr>
    <w:rPr>
      <w:szCs w:val="22"/>
    </w:rPr>
  </w:style>
  <w:style w:type="character" w:customStyle="1" w:styleId="BodyTextChar">
    <w:name w:val="Body Text Char"/>
    <w:basedOn w:val="DefaultParagraphFont"/>
    <w:link w:val="BodyText"/>
    <w:uiPriority w:val="99"/>
    <w:rsid w:val="009B2B3F"/>
    <w:rPr>
      <w:rFonts w:ascii="Arial" w:hAnsi="Arial"/>
      <w:sz w:val="22"/>
      <w:szCs w:val="22"/>
    </w:rPr>
  </w:style>
  <w:style w:type="character" w:customStyle="1" w:styleId="Heading4Char">
    <w:name w:val="Heading 4 Char"/>
    <w:basedOn w:val="DefaultParagraphFont"/>
    <w:link w:val="Heading4"/>
    <w:uiPriority w:val="9"/>
    <w:rsid w:val="00414AE0"/>
    <w:rPr>
      <w:rFonts w:ascii="Arial" w:eastAsiaTheme="majorEastAsia" w:hAnsi="Arial" w:cstheme="majorBidi"/>
      <w:b/>
      <w:bCs/>
      <w:i/>
      <w:iCs/>
      <w:sz w:val="22"/>
    </w:rPr>
  </w:style>
  <w:style w:type="character" w:customStyle="1" w:styleId="Heading3Char">
    <w:name w:val="Heading 3 Char"/>
    <w:basedOn w:val="DefaultParagraphFont"/>
    <w:link w:val="Heading3"/>
    <w:uiPriority w:val="9"/>
    <w:rsid w:val="00414AE0"/>
    <w:rPr>
      <w:rFonts w:ascii="Arial" w:eastAsiaTheme="majorEastAsia" w:hAnsi="Arial" w:cstheme="majorBidi"/>
      <w:b/>
      <w:bCs/>
      <w:sz w:val="22"/>
    </w:rPr>
  </w:style>
  <w:style w:type="paragraph" w:customStyle="1" w:styleId="Boxhead1">
    <w:name w:val="Box head 1"/>
    <w:basedOn w:val="Heading3"/>
    <w:qFormat/>
    <w:rsid w:val="00AE738F"/>
    <w:pPr>
      <w:spacing w:before="240"/>
    </w:pPr>
    <w:rPr>
      <w:kern w:val="1"/>
      <w:sz w:val="28"/>
    </w:rPr>
  </w:style>
  <w:style w:type="paragraph" w:customStyle="1" w:styleId="Tabletext">
    <w:name w:val="Table text"/>
    <w:basedOn w:val="BodyText"/>
    <w:qFormat/>
    <w:rsid w:val="000A5651"/>
    <w:rPr>
      <w:b/>
      <w:kern w:val="1"/>
    </w:rPr>
  </w:style>
  <w:style w:type="paragraph" w:customStyle="1" w:styleId="Tablehead">
    <w:name w:val="Table head"/>
    <w:qFormat/>
    <w:rsid w:val="001343A3"/>
    <w:pPr>
      <w:spacing w:before="240" w:after="120"/>
    </w:pPr>
    <w:rPr>
      <w:rFonts w:ascii="Arial" w:eastAsiaTheme="majorEastAsia" w:hAnsi="Arial" w:cstheme="majorBidi"/>
      <w:b/>
      <w:bCs/>
      <w:iCs/>
      <w:kern w:val="1"/>
      <w:sz w:val="22"/>
    </w:rPr>
  </w:style>
  <w:style w:type="paragraph" w:customStyle="1" w:styleId="Tableheader">
    <w:name w:val="Table header"/>
    <w:basedOn w:val="BodyText"/>
    <w:qFormat/>
    <w:rsid w:val="000A5651"/>
    <w:rPr>
      <w:b/>
    </w:rPr>
  </w:style>
  <w:style w:type="paragraph" w:customStyle="1" w:styleId="Source">
    <w:name w:val="Source"/>
    <w:basedOn w:val="Normal"/>
    <w:qFormat/>
    <w:rsid w:val="009F2441"/>
    <w:pPr>
      <w:widowControl w:val="0"/>
      <w:autoSpaceDE w:val="0"/>
      <w:autoSpaceDN w:val="0"/>
      <w:adjustRightInd w:val="0"/>
      <w:spacing w:before="120"/>
    </w:pPr>
    <w:rPr>
      <w:rFonts w:cs="Arial"/>
      <w:color w:val="000000" w:themeColor="text1"/>
      <w:kern w:val="1"/>
      <w:sz w:val="18"/>
      <w:szCs w:val="16"/>
    </w:rPr>
  </w:style>
  <w:style w:type="paragraph" w:styleId="Caption">
    <w:name w:val="caption"/>
    <w:basedOn w:val="Normal"/>
    <w:next w:val="Normal"/>
    <w:qFormat/>
    <w:rsid w:val="00B24921"/>
    <w:pPr>
      <w:spacing w:before="360" w:after="120"/>
    </w:pPr>
    <w:rPr>
      <w:b/>
      <w:bCs/>
      <w:szCs w:val="18"/>
    </w:rPr>
  </w:style>
  <w:style w:type="table" w:styleId="ColorfulGrid-Accent1">
    <w:name w:val="Colorful Grid Accent 1"/>
    <w:basedOn w:val="TableNormal"/>
    <w:uiPriority w:val="73"/>
    <w:rsid w:val="00494915"/>
    <w:rPr>
      <w:color w:val="000000" w:themeColor="text1"/>
      <w:sz w:val="22"/>
      <w:szCs w:val="22"/>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body">
    <w:name w:val="body"/>
    <w:basedOn w:val="Normal"/>
    <w:uiPriority w:val="99"/>
    <w:rsid w:val="001B211E"/>
    <w:pPr>
      <w:widowControl w:val="0"/>
      <w:tabs>
        <w:tab w:val="left" w:pos="567"/>
      </w:tabs>
      <w:suppressAutoHyphens/>
      <w:autoSpaceDE w:val="0"/>
      <w:autoSpaceDN w:val="0"/>
      <w:adjustRightInd w:val="0"/>
      <w:spacing w:before="57" w:after="57" w:line="240" w:lineRule="atLeast"/>
      <w:textAlignment w:val="center"/>
    </w:pPr>
    <w:rPr>
      <w:rFonts w:ascii="HelveticaNeue-Light" w:hAnsi="HelveticaNeue-Light" w:cs="HelveticaNeue-Light"/>
      <w:color w:val="000000"/>
      <w:sz w:val="19"/>
      <w:szCs w:val="19"/>
      <w:lang w:val="en-GB"/>
    </w:rPr>
  </w:style>
  <w:style w:type="paragraph" w:customStyle="1" w:styleId="NoParagraphStyle">
    <w:name w:val="[No Paragraph Style]"/>
    <w:rsid w:val="001B211E"/>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Hyperlink">
    <w:name w:val="Hyperlink"/>
    <w:basedOn w:val="DefaultParagraphFont"/>
    <w:rsid w:val="001B211E"/>
    <w:rPr>
      <w:color w:val="0000FF" w:themeColor="hyperlink"/>
      <w:u w:val="single"/>
    </w:rPr>
  </w:style>
  <w:style w:type="paragraph" w:styleId="FootnoteText">
    <w:name w:val="footnote text"/>
    <w:basedOn w:val="Normal"/>
    <w:link w:val="FootnoteTextChar"/>
    <w:rsid w:val="009B2B3F"/>
    <w:rPr>
      <w:sz w:val="16"/>
    </w:rPr>
  </w:style>
  <w:style w:type="character" w:customStyle="1" w:styleId="FootnoteTextChar">
    <w:name w:val="Footnote Text Char"/>
    <w:basedOn w:val="DefaultParagraphFont"/>
    <w:link w:val="FootnoteText"/>
    <w:rsid w:val="009B2B3F"/>
    <w:rPr>
      <w:rFonts w:ascii="Arial" w:hAnsi="Arial"/>
      <w:sz w:val="16"/>
    </w:rPr>
  </w:style>
  <w:style w:type="character" w:styleId="FootnoteReference">
    <w:name w:val="footnote reference"/>
    <w:basedOn w:val="FootnoteTextChar"/>
    <w:rsid w:val="001B211E"/>
    <w:rPr>
      <w:rFonts w:asciiTheme="minorHAnsi" w:hAnsiTheme="minorHAnsi"/>
      <w:sz w:val="20"/>
      <w:bdr w:val="none" w:sz="0" w:space="0" w:color="auto"/>
      <w:vertAlign w:val="superscript"/>
    </w:rPr>
  </w:style>
  <w:style w:type="paragraph" w:styleId="ListBullet2">
    <w:name w:val="List Bullet 2"/>
    <w:basedOn w:val="Normal"/>
    <w:rsid w:val="004A5604"/>
    <w:pPr>
      <w:numPr>
        <w:numId w:val="2"/>
      </w:numPr>
      <w:contextualSpacing/>
    </w:pPr>
  </w:style>
  <w:style w:type="paragraph" w:styleId="ListNumber">
    <w:name w:val="List Number"/>
    <w:basedOn w:val="Normal"/>
    <w:rsid w:val="009F2441"/>
    <w:pPr>
      <w:numPr>
        <w:numId w:val="3"/>
      </w:numPr>
      <w:spacing w:before="120" w:after="120" w:line="260" w:lineRule="exact"/>
      <w:ind w:left="357" w:hanging="357"/>
    </w:pPr>
  </w:style>
  <w:style w:type="paragraph" w:styleId="Header">
    <w:name w:val="header"/>
    <w:basedOn w:val="Normal"/>
    <w:link w:val="HeaderChar"/>
    <w:rsid w:val="006D400F"/>
    <w:pPr>
      <w:tabs>
        <w:tab w:val="center" w:pos="4320"/>
        <w:tab w:val="right" w:pos="8640"/>
      </w:tabs>
    </w:pPr>
  </w:style>
  <w:style w:type="character" w:customStyle="1" w:styleId="HeaderChar">
    <w:name w:val="Header Char"/>
    <w:basedOn w:val="DefaultParagraphFont"/>
    <w:link w:val="Header"/>
    <w:rsid w:val="006D400F"/>
  </w:style>
  <w:style w:type="paragraph" w:styleId="Footer">
    <w:name w:val="footer"/>
    <w:basedOn w:val="Normal"/>
    <w:link w:val="FooterChar"/>
    <w:rsid w:val="006D400F"/>
    <w:pPr>
      <w:tabs>
        <w:tab w:val="center" w:pos="4320"/>
        <w:tab w:val="right" w:pos="8640"/>
      </w:tabs>
    </w:pPr>
  </w:style>
  <w:style w:type="character" w:customStyle="1" w:styleId="FooterChar">
    <w:name w:val="Footer Char"/>
    <w:basedOn w:val="DefaultParagraphFont"/>
    <w:link w:val="Footer"/>
    <w:rsid w:val="006D400F"/>
  </w:style>
  <w:style w:type="table" w:styleId="TableGrid">
    <w:name w:val="Table Grid"/>
    <w:basedOn w:val="TableNormal"/>
    <w:rsid w:val="00FE75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251400"/>
    <w:pPr>
      <w:spacing w:before="120"/>
    </w:pPr>
  </w:style>
  <w:style w:type="paragraph" w:styleId="TOC2">
    <w:name w:val="toc 2"/>
    <w:basedOn w:val="Normal"/>
    <w:next w:val="Normal"/>
    <w:autoRedefine/>
    <w:uiPriority w:val="39"/>
    <w:rsid w:val="00492CCD"/>
    <w:pPr>
      <w:ind w:left="240"/>
    </w:pPr>
    <w:rPr>
      <w:b/>
      <w:szCs w:val="22"/>
    </w:rPr>
  </w:style>
  <w:style w:type="paragraph" w:styleId="TOC3">
    <w:name w:val="toc 3"/>
    <w:basedOn w:val="Normal"/>
    <w:next w:val="Normal"/>
    <w:autoRedefine/>
    <w:uiPriority w:val="39"/>
    <w:rsid w:val="00492CCD"/>
    <w:pPr>
      <w:ind w:left="480"/>
    </w:pPr>
    <w:rPr>
      <w:szCs w:val="22"/>
    </w:rPr>
  </w:style>
  <w:style w:type="paragraph" w:styleId="TOC4">
    <w:name w:val="toc 4"/>
    <w:basedOn w:val="Normal"/>
    <w:next w:val="Normal"/>
    <w:autoRedefine/>
    <w:uiPriority w:val="39"/>
    <w:rsid w:val="00492CCD"/>
    <w:pPr>
      <w:ind w:left="720"/>
    </w:pPr>
    <w:rPr>
      <w:sz w:val="20"/>
      <w:szCs w:val="20"/>
    </w:rPr>
  </w:style>
  <w:style w:type="paragraph" w:styleId="TOC5">
    <w:name w:val="toc 5"/>
    <w:basedOn w:val="Normal"/>
    <w:next w:val="Normal"/>
    <w:autoRedefine/>
    <w:uiPriority w:val="39"/>
    <w:rsid w:val="00492CCD"/>
    <w:pPr>
      <w:ind w:left="960"/>
    </w:pPr>
    <w:rPr>
      <w:sz w:val="20"/>
      <w:szCs w:val="20"/>
    </w:rPr>
  </w:style>
  <w:style w:type="paragraph" w:styleId="TOC6">
    <w:name w:val="toc 6"/>
    <w:basedOn w:val="Normal"/>
    <w:next w:val="Normal"/>
    <w:autoRedefine/>
    <w:uiPriority w:val="39"/>
    <w:rsid w:val="00492CCD"/>
    <w:pPr>
      <w:ind w:left="1200"/>
    </w:pPr>
    <w:rPr>
      <w:sz w:val="20"/>
      <w:szCs w:val="20"/>
    </w:rPr>
  </w:style>
  <w:style w:type="paragraph" w:styleId="TOC7">
    <w:name w:val="toc 7"/>
    <w:basedOn w:val="Normal"/>
    <w:next w:val="Normal"/>
    <w:autoRedefine/>
    <w:uiPriority w:val="39"/>
    <w:rsid w:val="00492CCD"/>
    <w:pPr>
      <w:ind w:left="1440"/>
    </w:pPr>
    <w:rPr>
      <w:sz w:val="20"/>
      <w:szCs w:val="20"/>
    </w:rPr>
  </w:style>
  <w:style w:type="paragraph" w:styleId="TOC8">
    <w:name w:val="toc 8"/>
    <w:basedOn w:val="Normal"/>
    <w:next w:val="Normal"/>
    <w:autoRedefine/>
    <w:uiPriority w:val="39"/>
    <w:rsid w:val="00492CCD"/>
    <w:pPr>
      <w:ind w:left="1680"/>
    </w:pPr>
    <w:rPr>
      <w:sz w:val="20"/>
      <w:szCs w:val="20"/>
    </w:rPr>
  </w:style>
  <w:style w:type="paragraph" w:styleId="TOC9">
    <w:name w:val="toc 9"/>
    <w:basedOn w:val="Normal"/>
    <w:next w:val="Normal"/>
    <w:autoRedefine/>
    <w:uiPriority w:val="39"/>
    <w:rsid w:val="00492CCD"/>
    <w:pPr>
      <w:ind w:left="1920"/>
    </w:pPr>
    <w:rPr>
      <w:sz w:val="20"/>
      <w:szCs w:val="20"/>
    </w:rPr>
  </w:style>
  <w:style w:type="paragraph" w:styleId="TableofFigures">
    <w:name w:val="table of figures"/>
    <w:basedOn w:val="Normal"/>
    <w:next w:val="Normal"/>
    <w:uiPriority w:val="99"/>
    <w:rsid w:val="004465D8"/>
    <w:pPr>
      <w:ind w:left="480" w:hanging="480"/>
    </w:pPr>
  </w:style>
  <w:style w:type="character" w:styleId="PageNumber">
    <w:name w:val="page number"/>
    <w:basedOn w:val="DefaultParagraphFont"/>
    <w:rsid w:val="00541FAF"/>
  </w:style>
  <w:style w:type="character" w:customStyle="1" w:styleId="Heading5Char">
    <w:name w:val="Heading 5 Char"/>
    <w:basedOn w:val="DefaultParagraphFont"/>
    <w:link w:val="Heading5"/>
    <w:rsid w:val="00A73610"/>
    <w:rPr>
      <w:rFonts w:asciiTheme="majorHAnsi" w:eastAsiaTheme="majorEastAsia" w:hAnsiTheme="majorHAnsi" w:cstheme="majorBidi"/>
      <w:color w:val="244061" w:themeColor="accent1" w:themeShade="80"/>
      <w:sz w:val="22"/>
    </w:rPr>
  </w:style>
  <w:style w:type="character" w:customStyle="1" w:styleId="Heading6Char">
    <w:name w:val="Heading 6 Char"/>
    <w:basedOn w:val="DefaultParagraphFont"/>
    <w:link w:val="Heading6"/>
    <w:rsid w:val="00A73610"/>
    <w:rPr>
      <w:rFonts w:asciiTheme="majorHAnsi" w:eastAsiaTheme="majorEastAsia" w:hAnsiTheme="majorHAnsi" w:cstheme="majorBidi"/>
      <w:i/>
      <w:iCs/>
      <w:color w:val="244061" w:themeColor="accent1" w:themeShade="80"/>
      <w:sz w:val="22"/>
    </w:rPr>
  </w:style>
  <w:style w:type="character" w:customStyle="1" w:styleId="Heading7Char">
    <w:name w:val="Heading 7 Char"/>
    <w:basedOn w:val="DefaultParagraphFont"/>
    <w:link w:val="Heading7"/>
    <w:rsid w:val="00A73610"/>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rsid w:val="00A73610"/>
    <w:rPr>
      <w:rFonts w:asciiTheme="majorHAnsi" w:eastAsiaTheme="majorEastAsia" w:hAnsiTheme="majorHAnsi" w:cstheme="majorBidi"/>
      <w:color w:val="363636" w:themeColor="text1" w:themeTint="C9"/>
      <w:sz w:val="20"/>
      <w:szCs w:val="20"/>
    </w:rPr>
  </w:style>
  <w:style w:type="character" w:customStyle="1" w:styleId="Heading9Char">
    <w:name w:val="Heading 9 Char"/>
    <w:basedOn w:val="DefaultParagraphFont"/>
    <w:link w:val="Heading9"/>
    <w:rsid w:val="00A73610"/>
    <w:rPr>
      <w:rFonts w:asciiTheme="majorHAnsi" w:eastAsiaTheme="majorEastAsia" w:hAnsiTheme="majorHAnsi" w:cstheme="majorBidi"/>
      <w:i/>
      <w:iCs/>
      <w:color w:val="363636" w:themeColor="text1" w:themeTint="C9"/>
      <w:sz w:val="20"/>
      <w:szCs w:val="20"/>
    </w:rPr>
  </w:style>
  <w:style w:type="paragraph" w:customStyle="1" w:styleId="BodyTextIndent1">
    <w:name w:val="Body Text Indent1"/>
    <w:basedOn w:val="BodyText"/>
    <w:qFormat/>
    <w:rsid w:val="00F365A5"/>
    <w:pPr>
      <w:ind w:left="426" w:right="-574"/>
    </w:pPr>
    <w:rPr>
      <w:w w:val="95"/>
      <w:sz w:val="20"/>
    </w:rPr>
  </w:style>
  <w:style w:type="paragraph" w:customStyle="1" w:styleId="Casestudy">
    <w:name w:val="Case study"/>
    <w:basedOn w:val="Boxhead1"/>
    <w:qFormat/>
    <w:rsid w:val="008A298D"/>
    <w:pPr>
      <w:pBdr>
        <w:top w:val="single" w:sz="4" w:space="1" w:color="auto"/>
        <w:left w:val="single" w:sz="4" w:space="4" w:color="auto"/>
        <w:bottom w:val="single" w:sz="4" w:space="1" w:color="auto"/>
        <w:right w:val="single" w:sz="4" w:space="4" w:color="auto"/>
      </w:pBdr>
    </w:pPr>
  </w:style>
  <w:style w:type="character" w:styleId="FollowedHyperlink">
    <w:name w:val="FollowedHyperlink"/>
    <w:basedOn w:val="DefaultParagraphFont"/>
    <w:rsid w:val="00BE579C"/>
    <w:rPr>
      <w:color w:val="800080" w:themeColor="followedHyperlink"/>
      <w:u w:val="single"/>
    </w:rPr>
  </w:style>
  <w:style w:type="paragraph" w:styleId="ListParagraph">
    <w:name w:val="List Paragraph"/>
    <w:basedOn w:val="Normal"/>
    <w:rsid w:val="004061FB"/>
    <w:pPr>
      <w:ind w:left="720"/>
      <w:contextualSpacing/>
    </w:pPr>
  </w:style>
  <w:style w:type="paragraph" w:customStyle="1" w:styleId="TableParagraph">
    <w:name w:val="Table Paragraph"/>
    <w:basedOn w:val="Normal"/>
    <w:uiPriority w:val="1"/>
    <w:qFormat/>
    <w:rsid w:val="00493D7A"/>
    <w:pPr>
      <w:widowControl w:val="0"/>
    </w:pPr>
    <w:rPr>
      <w:rFonts w:asciiTheme="minorHAnsi" w:eastAsiaTheme="minorHAnsi" w:hAnsiTheme="minorHAnsi"/>
      <w:szCs w:val="22"/>
      <w:lang w:eastAsia="en-US"/>
    </w:rPr>
  </w:style>
  <w:style w:type="paragraph" w:styleId="DocumentMap">
    <w:name w:val="Document Map"/>
    <w:basedOn w:val="Normal"/>
    <w:link w:val="DocumentMapChar"/>
    <w:semiHidden/>
    <w:unhideWhenUsed/>
    <w:rsid w:val="003F2AFF"/>
    <w:rPr>
      <w:rFonts w:ascii="Lucida Grande" w:hAnsi="Lucida Grande" w:cs="Lucida Grande"/>
      <w:sz w:val="24"/>
    </w:rPr>
  </w:style>
  <w:style w:type="character" w:customStyle="1" w:styleId="DocumentMapChar">
    <w:name w:val="Document Map Char"/>
    <w:basedOn w:val="DefaultParagraphFont"/>
    <w:link w:val="DocumentMap"/>
    <w:semiHidden/>
    <w:rsid w:val="003F2AFF"/>
    <w:rPr>
      <w:rFonts w:ascii="Lucida Grande" w:hAnsi="Lucida Grande" w:cs="Lucida Grande"/>
    </w:rPr>
  </w:style>
  <w:style w:type="paragraph" w:customStyle="1" w:styleId="H1">
    <w:name w:val="H1"/>
    <w:basedOn w:val="NoParagraphStyle"/>
    <w:uiPriority w:val="99"/>
    <w:rsid w:val="005E1381"/>
    <w:pPr>
      <w:tabs>
        <w:tab w:val="left" w:pos="567"/>
      </w:tabs>
      <w:suppressAutoHyphens/>
      <w:spacing w:before="142" w:after="57" w:line="440" w:lineRule="atLeast"/>
    </w:pPr>
    <w:rPr>
      <w:rFonts w:ascii="FranklinGothic-Book" w:hAnsi="FranklinGothic-Book" w:cs="FranklinGothic-Book"/>
      <w:color w:val="FFFFFF"/>
      <w:sz w:val="48"/>
      <w:szCs w:val="48"/>
      <w:lang w:val="en-US"/>
    </w:rPr>
  </w:style>
  <w:style w:type="paragraph" w:customStyle="1" w:styleId="H2">
    <w:name w:val="H2"/>
    <w:basedOn w:val="NoParagraphStyle"/>
    <w:uiPriority w:val="99"/>
    <w:rsid w:val="002B1F0C"/>
    <w:pPr>
      <w:keepNext/>
      <w:keepLines/>
      <w:tabs>
        <w:tab w:val="left" w:pos="567"/>
      </w:tabs>
      <w:suppressAutoHyphens/>
      <w:spacing w:before="340" w:after="113" w:line="320" w:lineRule="atLeast"/>
      <w:textAlignment w:val="baseline"/>
    </w:pPr>
    <w:rPr>
      <w:rFonts w:ascii="FranklinGothic-Book" w:hAnsi="FranklinGothic-Book" w:cs="FranklinGothic-Book"/>
      <w:color w:val="034D96"/>
      <w:spacing w:val="3"/>
      <w:sz w:val="28"/>
      <w:szCs w:val="28"/>
      <w:lang w:val="en-US"/>
    </w:rPr>
  </w:style>
  <w:style w:type="paragraph" w:customStyle="1" w:styleId="tableheader0">
    <w:name w:val="table header"/>
    <w:basedOn w:val="body"/>
    <w:uiPriority w:val="99"/>
    <w:rsid w:val="002B1F0C"/>
    <w:rPr>
      <w:rFonts w:ascii="FranklinGothic-Demi" w:hAnsi="FranklinGothic-Demi" w:cs="FranklinGothic-Demi"/>
      <w:color w:val="FFFFFF"/>
      <w:sz w:val="18"/>
      <w:szCs w:val="18"/>
    </w:rPr>
  </w:style>
  <w:style w:type="paragraph" w:customStyle="1" w:styleId="boxtextbox">
    <w:name w:val="box text (box)"/>
    <w:basedOn w:val="body"/>
    <w:uiPriority w:val="99"/>
    <w:rsid w:val="002B1F0C"/>
    <w:pPr>
      <w:spacing w:line="270" w:lineRule="atLeast"/>
    </w:pPr>
    <w:rPr>
      <w:rFonts w:ascii="FranklinGothic-Book" w:hAnsi="FranklinGothic-Book" w:cs="FranklinGothic-Book"/>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15892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8.png"/><Relationship Id="rId21" Type="http://schemas.openxmlformats.org/officeDocument/2006/relationships/image" Target="media/image13.emf"/><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footer" Target="footer3.xml"/><Relationship Id="rId38"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header" Target="header3.xml"/><Relationship Id="rId37"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header" Target="header1.xml"/><Relationship Id="rId36" Type="http://schemas.openxmlformats.org/officeDocument/2006/relationships/customXml" Target="../customXml/item2.xml"/><Relationship Id="rId10" Type="http://schemas.openxmlformats.org/officeDocument/2006/relationships/image" Target="media/image2.jpeg"/><Relationship Id="rId19" Type="http://schemas.openxmlformats.org/officeDocument/2006/relationships/image" Target="media/image11.emf"/><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97E0CA36F93F49A064E94984C37C74" ma:contentTypeVersion="1" ma:contentTypeDescription="Create a new document." ma:contentTypeScope="" ma:versionID="a1ec0aab63804d740f38be68fd3aa03d">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266DB79-AC27-4CBB-B6D1-36B34A39A588}"/>
</file>

<file path=customXml/itemProps2.xml><?xml version="1.0" encoding="utf-8"?>
<ds:datastoreItem xmlns:ds="http://schemas.openxmlformats.org/officeDocument/2006/customXml" ds:itemID="{B18A7996-6306-4E41-9DDF-8C053EB1A3D4}"/>
</file>

<file path=customXml/itemProps3.xml><?xml version="1.0" encoding="utf-8"?>
<ds:datastoreItem xmlns:ds="http://schemas.openxmlformats.org/officeDocument/2006/customXml" ds:itemID="{FED9A949-3FA9-4B52-9107-BE9639984119}"/>
</file>

<file path=customXml/itemProps4.xml><?xml version="1.0" encoding="utf-8"?>
<ds:datastoreItem xmlns:ds="http://schemas.openxmlformats.org/officeDocument/2006/customXml" ds:itemID="{79EA2051-3AAE-4760-B18D-053F11308B76}"/>
</file>

<file path=docProps/app.xml><?xml version="1.0" encoding="utf-8"?>
<Properties xmlns="http://schemas.openxmlformats.org/officeDocument/2006/extended-properties" xmlns:vt="http://schemas.openxmlformats.org/officeDocument/2006/docPropsVTypes">
  <Template>6DDABE97</Template>
  <TotalTime>0</TotalTime>
  <Pages>80</Pages>
  <Words>26013</Words>
  <Characters>148277</Characters>
  <Application>Microsoft Office Word</Application>
  <DocSecurity>0</DocSecurity>
  <Lines>1235</Lines>
  <Paragraphs>347</Paragraphs>
  <ScaleCrop>false</ScaleCrop>
  <Company/>
  <LinksUpToDate>false</LinksUpToDate>
  <CharactersWithSpaces>173943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2016-05-10T01:41:00Z</dcterms:created>
  <dcterms:modified xsi:type="dcterms:W3CDTF">2016-05-10T01:41:00Z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948bbeae-1fa6-41de-8af6-1cbaa34f3494</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0x0101003B97E0CA36F93F49A064E94984C37C74</vt:lpwstr>
  </property>
  <property fmtid="{D5CDD505-2E9C-101B-9397-08002B2CF9AE}" pid="6" name="Order">
    <vt:r8>69600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