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17F5" w14:textId="599FD2D9" w:rsidR="00DE6DA2" w:rsidRPr="00DF7EC1" w:rsidRDefault="00DE6DA2" w:rsidP="00DF7EC1">
      <w:pPr>
        <w:pStyle w:val="Heading1"/>
      </w:pPr>
      <w:r w:rsidRPr="00DF7EC1">
        <w:t xml:space="preserve">Annex </w:t>
      </w:r>
      <w:r w:rsidR="0089015A" w:rsidRPr="00DF7EC1">
        <w:t>B 6.4: Statistical Measurement of the Green Economy</w:t>
      </w:r>
    </w:p>
    <w:tbl>
      <w:tblPr>
        <w:tblStyle w:val="TableGrid"/>
        <w:tblW w:w="0" w:type="auto"/>
        <w:tblInd w:w="0" w:type="dxa"/>
        <w:tblLook w:val="04A0" w:firstRow="1" w:lastRow="0" w:firstColumn="1" w:lastColumn="0" w:noHBand="0" w:noVBand="1"/>
      </w:tblPr>
      <w:tblGrid>
        <w:gridCol w:w="2263"/>
        <w:gridCol w:w="6753"/>
      </w:tblGrid>
      <w:tr w:rsidR="00CC56B2" w:rsidRPr="003A57B2" w14:paraId="2EC79412"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2DC7F1" w14:textId="77777777" w:rsidR="00CC56B2" w:rsidRPr="00E70386" w:rsidRDefault="00CC56B2" w:rsidP="00E0144E">
            <w:pPr>
              <w:rPr>
                <w:b/>
                <w:bCs/>
                <w:sz w:val="24"/>
                <w:szCs w:val="24"/>
              </w:rPr>
            </w:pPr>
            <w:r w:rsidRPr="00E70386">
              <w:rPr>
                <w:b/>
                <w:bCs/>
                <w:sz w:val="24"/>
                <w:szCs w:val="24"/>
              </w:rPr>
              <w:t xml:space="preserve">Area of Cooperation </w:t>
            </w:r>
          </w:p>
          <w:p w14:paraId="025C301D"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25AE678F" w14:textId="77777777" w:rsidR="00CC56B2" w:rsidRPr="00E70386" w:rsidRDefault="00CC56B2" w:rsidP="00E0144E">
            <w:pPr>
              <w:rPr>
                <w:color w:val="7030A0"/>
                <w:sz w:val="24"/>
                <w:szCs w:val="24"/>
              </w:rPr>
            </w:pPr>
            <w:r w:rsidRPr="00E70386">
              <w:rPr>
                <w:sz w:val="24"/>
                <w:szCs w:val="24"/>
              </w:rPr>
              <w:t xml:space="preserve">Engagements and Partnerships </w:t>
            </w:r>
          </w:p>
        </w:tc>
      </w:tr>
      <w:tr w:rsidR="00CC56B2" w:rsidRPr="003A57B2" w14:paraId="21EFF0A8"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884D15" w14:textId="77777777" w:rsidR="00CC56B2" w:rsidRPr="00E70386" w:rsidRDefault="00CC56B2" w:rsidP="00E0144E">
            <w:pPr>
              <w:rPr>
                <w:b/>
                <w:bCs/>
                <w:sz w:val="24"/>
                <w:szCs w:val="24"/>
              </w:rPr>
            </w:pPr>
            <w:r w:rsidRPr="00E70386">
              <w:rPr>
                <w:b/>
                <w:bCs/>
                <w:sz w:val="24"/>
                <w:szCs w:val="24"/>
              </w:rPr>
              <w:t>Purpose</w:t>
            </w:r>
          </w:p>
          <w:p w14:paraId="3D01F09A"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0E7812D9" w14:textId="77777777" w:rsidR="00CC56B2" w:rsidRPr="00E70386" w:rsidRDefault="00CC56B2" w:rsidP="00E0144E">
            <w:pPr>
              <w:rPr>
                <w:sz w:val="24"/>
                <w:szCs w:val="24"/>
              </w:rPr>
            </w:pPr>
            <w:r w:rsidRPr="00E70386">
              <w:rPr>
                <w:sz w:val="24"/>
                <w:szCs w:val="24"/>
              </w:rPr>
              <w:t>Consistent and comprehensive data sources are a public good and necessary to help our governments, businesses, and communities identify and seize new opportunities and effectively manage the risks and costs from the transition of our economies to net zero.</w:t>
            </w:r>
            <w:r w:rsidRPr="00E70386">
              <w:rPr>
                <w:sz w:val="24"/>
                <w:szCs w:val="24"/>
                <w:u w:val="single"/>
              </w:rPr>
              <w:t xml:space="preserve">  </w:t>
            </w:r>
          </w:p>
          <w:p w14:paraId="2F77CC93" w14:textId="77777777" w:rsidR="00CC56B2" w:rsidRPr="00E70386" w:rsidRDefault="00CC56B2" w:rsidP="00E0144E">
            <w:pPr>
              <w:rPr>
                <w:sz w:val="24"/>
                <w:szCs w:val="24"/>
              </w:rPr>
            </w:pPr>
          </w:p>
        </w:tc>
      </w:tr>
      <w:tr w:rsidR="00CC56B2" w:rsidRPr="003A57B2" w14:paraId="618B0732"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F01AED" w14:textId="77777777" w:rsidR="00CC56B2" w:rsidRPr="00E70386" w:rsidRDefault="00CC56B2" w:rsidP="00E0144E">
            <w:pPr>
              <w:rPr>
                <w:b/>
                <w:bCs/>
                <w:sz w:val="24"/>
                <w:szCs w:val="24"/>
              </w:rPr>
            </w:pPr>
            <w:r w:rsidRPr="00E70386">
              <w:rPr>
                <w:b/>
                <w:bCs/>
                <w:sz w:val="24"/>
                <w:szCs w:val="24"/>
              </w:rPr>
              <w:t xml:space="preserve">Description </w:t>
            </w:r>
          </w:p>
          <w:p w14:paraId="7245AAEB"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75BAFBBE" w14:textId="77777777" w:rsidR="00CC56B2" w:rsidRPr="00E70386" w:rsidRDefault="00CC56B2" w:rsidP="00E0144E">
            <w:pPr>
              <w:rPr>
                <w:sz w:val="24"/>
                <w:szCs w:val="24"/>
              </w:rPr>
            </w:pPr>
            <w:r w:rsidRPr="00E70386">
              <w:rPr>
                <w:sz w:val="24"/>
                <w:szCs w:val="24"/>
              </w:rPr>
              <w:t xml:space="preserve">We will cooperate through a technical working group (formed on 27 April 2022) to learn from each other’s good practices, and make a valuable contribution regionally and internationally, in the emerging areas of environmental-economic measures, while enhancing our understanding of the value of decarbonisation and sustainable development to our economies.  </w:t>
            </w:r>
          </w:p>
          <w:p w14:paraId="2158AA53" w14:textId="77777777" w:rsidR="00CC56B2" w:rsidRPr="00E70386" w:rsidRDefault="00CC56B2" w:rsidP="00E0144E">
            <w:pPr>
              <w:rPr>
                <w:sz w:val="24"/>
                <w:szCs w:val="24"/>
              </w:rPr>
            </w:pPr>
          </w:p>
        </w:tc>
      </w:tr>
      <w:tr w:rsidR="00CC56B2" w:rsidRPr="003A57B2" w14:paraId="3F070FC6"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9FE939" w14:textId="77777777" w:rsidR="00CC56B2" w:rsidRPr="00E70386" w:rsidRDefault="00CC56B2" w:rsidP="00E0144E">
            <w:pPr>
              <w:rPr>
                <w:b/>
                <w:bCs/>
                <w:sz w:val="24"/>
                <w:szCs w:val="24"/>
              </w:rPr>
            </w:pPr>
            <w:r w:rsidRPr="00E70386">
              <w:rPr>
                <w:b/>
                <w:bCs/>
                <w:sz w:val="24"/>
                <w:szCs w:val="24"/>
              </w:rPr>
              <w:t xml:space="preserve">Specific Objectives </w:t>
            </w:r>
          </w:p>
          <w:p w14:paraId="6AC3044C" w14:textId="77777777" w:rsidR="00CC56B2" w:rsidRPr="00E70386" w:rsidRDefault="00CC56B2" w:rsidP="00E0144E">
            <w:pPr>
              <w:rPr>
                <w:b/>
                <w:bCs/>
                <w:sz w:val="24"/>
                <w:szCs w:val="24"/>
              </w:rPr>
            </w:pPr>
          </w:p>
          <w:p w14:paraId="5688DA95"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5B367373" w14:textId="77777777" w:rsidR="00CC56B2" w:rsidRPr="00E70386" w:rsidRDefault="00CC56B2" w:rsidP="00E0144E">
            <w:pPr>
              <w:rPr>
                <w:sz w:val="24"/>
                <w:szCs w:val="24"/>
              </w:rPr>
            </w:pPr>
            <w:r w:rsidRPr="00E70386">
              <w:rPr>
                <w:sz w:val="24"/>
                <w:szCs w:val="24"/>
              </w:rPr>
              <w:t xml:space="preserve">To meet regularly through the technical working group to: </w:t>
            </w:r>
          </w:p>
          <w:p w14:paraId="52F7DD24" w14:textId="25943EDD" w:rsidR="00CC56B2" w:rsidRPr="00E70386" w:rsidRDefault="00CC56B2" w:rsidP="00E0144E">
            <w:pPr>
              <w:pStyle w:val="ListParagraph"/>
              <w:numPr>
                <w:ilvl w:val="0"/>
                <w:numId w:val="7"/>
              </w:numPr>
              <w:contextualSpacing/>
              <w:rPr>
                <w:sz w:val="24"/>
                <w:szCs w:val="24"/>
              </w:rPr>
            </w:pPr>
            <w:r w:rsidRPr="00E70386">
              <w:rPr>
                <w:sz w:val="24"/>
                <w:szCs w:val="24"/>
              </w:rPr>
              <w:t>discuss approaches to the collection and compilation of the environmental-economic data needed to measure the green economy</w:t>
            </w:r>
            <w:r w:rsidR="00F721E9">
              <w:rPr>
                <w:sz w:val="24"/>
                <w:szCs w:val="24"/>
              </w:rPr>
              <w:t>; and</w:t>
            </w:r>
          </w:p>
          <w:p w14:paraId="09EB8A2B" w14:textId="77777777" w:rsidR="00CC56B2" w:rsidRPr="00E70386" w:rsidRDefault="00CC56B2" w:rsidP="00E0144E">
            <w:pPr>
              <w:pStyle w:val="ListParagraph"/>
              <w:numPr>
                <w:ilvl w:val="0"/>
                <w:numId w:val="8"/>
              </w:numPr>
              <w:contextualSpacing/>
              <w:rPr>
                <w:sz w:val="24"/>
                <w:szCs w:val="24"/>
              </w:rPr>
            </w:pPr>
            <w:r w:rsidRPr="00E70386">
              <w:rPr>
                <w:sz w:val="24"/>
                <w:szCs w:val="24"/>
              </w:rPr>
              <w:t>share experiences in the use of environmental-economic data for green economy policy decisions and reporting requirements, with the aim of improving coordination across our government agencies.</w:t>
            </w:r>
          </w:p>
          <w:p w14:paraId="2C20502A" w14:textId="77777777" w:rsidR="00CC56B2" w:rsidRPr="00E70386" w:rsidRDefault="00CC56B2" w:rsidP="00E0144E">
            <w:pPr>
              <w:rPr>
                <w:sz w:val="24"/>
                <w:szCs w:val="24"/>
              </w:rPr>
            </w:pPr>
          </w:p>
          <w:p w14:paraId="6EB02C1A" w14:textId="77777777" w:rsidR="00CC56B2" w:rsidRPr="00E70386" w:rsidRDefault="00CC56B2" w:rsidP="00E0144E">
            <w:pPr>
              <w:rPr>
                <w:sz w:val="24"/>
                <w:szCs w:val="24"/>
              </w:rPr>
            </w:pPr>
            <w:r w:rsidRPr="00E70386">
              <w:rPr>
                <w:sz w:val="24"/>
                <w:szCs w:val="24"/>
              </w:rPr>
              <w:t>To provide statistical leadership in the measurement of the green economy by example and/or in the international fora.</w:t>
            </w:r>
          </w:p>
          <w:p w14:paraId="7798E145" w14:textId="77777777" w:rsidR="00CC56B2" w:rsidRPr="00E70386" w:rsidRDefault="00CC56B2" w:rsidP="00E0144E">
            <w:pPr>
              <w:rPr>
                <w:sz w:val="24"/>
                <w:szCs w:val="24"/>
              </w:rPr>
            </w:pPr>
          </w:p>
        </w:tc>
      </w:tr>
      <w:tr w:rsidR="00CC56B2" w:rsidRPr="003A57B2" w14:paraId="445B8DDE"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F4F493" w14:textId="77777777" w:rsidR="00CC56B2" w:rsidRPr="00E70386" w:rsidRDefault="00CC56B2" w:rsidP="00E0144E">
            <w:pPr>
              <w:rPr>
                <w:b/>
                <w:bCs/>
                <w:sz w:val="24"/>
                <w:szCs w:val="24"/>
              </w:rPr>
            </w:pPr>
            <w:r w:rsidRPr="00E70386">
              <w:rPr>
                <w:b/>
                <w:bCs/>
                <w:sz w:val="24"/>
                <w:szCs w:val="24"/>
              </w:rPr>
              <w:t xml:space="preserve">Duration </w:t>
            </w:r>
          </w:p>
          <w:p w14:paraId="2C57767B"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326926AC" w14:textId="17A331F1" w:rsidR="00CC56B2" w:rsidRPr="00E70386" w:rsidRDefault="00862AE7" w:rsidP="00E0144E">
            <w:pPr>
              <w:rPr>
                <w:sz w:val="24"/>
                <w:szCs w:val="24"/>
              </w:rPr>
            </w:pPr>
            <w:r w:rsidRPr="00E70386">
              <w:rPr>
                <w:sz w:val="24"/>
                <w:szCs w:val="24"/>
              </w:rPr>
              <w:t xml:space="preserve">Commenced in </w:t>
            </w:r>
            <w:r w:rsidR="00CC56B2" w:rsidRPr="00E70386">
              <w:rPr>
                <w:sz w:val="24"/>
                <w:szCs w:val="24"/>
              </w:rPr>
              <w:t xml:space="preserve">April 2022 </w:t>
            </w:r>
          </w:p>
          <w:p w14:paraId="06FD7419" w14:textId="77777777" w:rsidR="00CC56B2" w:rsidRPr="00E70386" w:rsidRDefault="00CC56B2" w:rsidP="00E0144E">
            <w:pPr>
              <w:rPr>
                <w:sz w:val="24"/>
                <w:szCs w:val="24"/>
              </w:rPr>
            </w:pPr>
          </w:p>
        </w:tc>
      </w:tr>
      <w:tr w:rsidR="00CC56B2" w:rsidRPr="003A57B2" w14:paraId="644F4D0E"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5E4CA0" w14:textId="77777777" w:rsidR="00CC56B2" w:rsidRPr="00E70386" w:rsidRDefault="00CC56B2" w:rsidP="00E0144E">
            <w:pPr>
              <w:rPr>
                <w:b/>
                <w:bCs/>
                <w:sz w:val="24"/>
                <w:szCs w:val="24"/>
              </w:rPr>
            </w:pPr>
            <w:r w:rsidRPr="00E70386">
              <w:rPr>
                <w:b/>
                <w:bCs/>
                <w:sz w:val="24"/>
                <w:szCs w:val="24"/>
              </w:rPr>
              <w:t>Expected outcomes</w:t>
            </w:r>
          </w:p>
          <w:p w14:paraId="47AE5AD6" w14:textId="77777777" w:rsidR="00CC56B2" w:rsidRPr="00E70386" w:rsidRDefault="00CC56B2" w:rsidP="00E0144E">
            <w:pPr>
              <w:rPr>
                <w:b/>
                <w:bCs/>
                <w:sz w:val="24"/>
                <w:szCs w:val="24"/>
              </w:rPr>
            </w:pPr>
          </w:p>
          <w:p w14:paraId="06DF8CE0"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492C2BA4" w14:textId="0D73FF60" w:rsidR="00CC56B2" w:rsidRPr="00E70386" w:rsidRDefault="00CC56B2" w:rsidP="00E0144E">
            <w:pPr>
              <w:pStyle w:val="ListParagraph"/>
              <w:numPr>
                <w:ilvl w:val="0"/>
                <w:numId w:val="7"/>
              </w:numPr>
              <w:contextualSpacing/>
              <w:rPr>
                <w:sz w:val="24"/>
                <w:szCs w:val="24"/>
              </w:rPr>
            </w:pPr>
            <w:r w:rsidRPr="00E70386">
              <w:rPr>
                <w:sz w:val="24"/>
                <w:szCs w:val="24"/>
              </w:rPr>
              <w:t>Strengthened bilateral cooperation in the use of environmental-economic data in policy making</w:t>
            </w:r>
            <w:r w:rsidR="008B2C72">
              <w:rPr>
                <w:sz w:val="24"/>
                <w:szCs w:val="24"/>
              </w:rPr>
              <w:t>.</w:t>
            </w:r>
          </w:p>
          <w:p w14:paraId="3E930A3F" w14:textId="77777777" w:rsidR="00CC56B2" w:rsidRPr="00E70386" w:rsidRDefault="00CC56B2" w:rsidP="00E0144E">
            <w:pPr>
              <w:pStyle w:val="ListParagraph"/>
              <w:numPr>
                <w:ilvl w:val="0"/>
                <w:numId w:val="7"/>
              </w:numPr>
              <w:contextualSpacing/>
              <w:rPr>
                <w:sz w:val="24"/>
                <w:szCs w:val="24"/>
              </w:rPr>
            </w:pPr>
            <w:r w:rsidRPr="00E70386">
              <w:rPr>
                <w:sz w:val="24"/>
                <w:szCs w:val="24"/>
              </w:rPr>
              <w:t>Enhanced understanding of the green economy transition.</w:t>
            </w:r>
          </w:p>
          <w:p w14:paraId="29FCDA4C" w14:textId="77777777" w:rsidR="00CC56B2" w:rsidRPr="00E70386" w:rsidRDefault="00CC56B2" w:rsidP="00E0144E">
            <w:pPr>
              <w:rPr>
                <w:sz w:val="24"/>
                <w:szCs w:val="24"/>
              </w:rPr>
            </w:pPr>
          </w:p>
        </w:tc>
      </w:tr>
      <w:tr w:rsidR="00CC56B2" w:rsidRPr="003A57B2" w14:paraId="1BDAF0D1" w14:textId="77777777" w:rsidTr="00E0144E">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4BFBCF" w14:textId="77777777" w:rsidR="00CC56B2" w:rsidRPr="00E70386" w:rsidRDefault="00CC56B2" w:rsidP="00E0144E">
            <w:pPr>
              <w:rPr>
                <w:b/>
                <w:bCs/>
                <w:sz w:val="24"/>
                <w:szCs w:val="24"/>
              </w:rPr>
            </w:pPr>
            <w:r w:rsidRPr="00E70386">
              <w:rPr>
                <w:b/>
                <w:bCs/>
                <w:sz w:val="24"/>
                <w:szCs w:val="24"/>
              </w:rPr>
              <w:t>Lead Agencies</w:t>
            </w:r>
          </w:p>
          <w:p w14:paraId="6B08195A" w14:textId="77777777" w:rsidR="00CC56B2" w:rsidRPr="00E70386" w:rsidRDefault="00CC56B2" w:rsidP="00E0144E">
            <w:pPr>
              <w:rPr>
                <w:b/>
                <w:bCs/>
                <w:sz w:val="24"/>
                <w:szCs w:val="24"/>
              </w:rPr>
            </w:pPr>
          </w:p>
          <w:p w14:paraId="30C173C7" w14:textId="77777777" w:rsidR="00CC56B2" w:rsidRPr="00E70386" w:rsidRDefault="00CC56B2" w:rsidP="00E0144E">
            <w:pPr>
              <w:rPr>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74A149C9" w14:textId="77777777" w:rsidR="00F721E9" w:rsidRPr="00E70386" w:rsidRDefault="00F721E9" w:rsidP="00F721E9">
            <w:pPr>
              <w:rPr>
                <w:sz w:val="24"/>
                <w:szCs w:val="24"/>
                <w:u w:val="single"/>
              </w:rPr>
            </w:pPr>
            <w:r w:rsidRPr="00E70386">
              <w:rPr>
                <w:sz w:val="24"/>
                <w:szCs w:val="24"/>
                <w:u w:val="single"/>
              </w:rPr>
              <w:t>Singapore</w:t>
            </w:r>
          </w:p>
          <w:p w14:paraId="7E2B81A7" w14:textId="1EEF56BE" w:rsidR="00F721E9" w:rsidRPr="00E70386" w:rsidRDefault="00F721E9" w:rsidP="00F721E9">
            <w:pPr>
              <w:rPr>
                <w:sz w:val="24"/>
                <w:szCs w:val="24"/>
              </w:rPr>
            </w:pPr>
            <w:r w:rsidRPr="00E70386">
              <w:rPr>
                <w:sz w:val="24"/>
                <w:szCs w:val="24"/>
              </w:rPr>
              <w:t xml:space="preserve">Singapore’s Department of Statistics </w:t>
            </w:r>
          </w:p>
          <w:p w14:paraId="71F13EFF" w14:textId="77777777" w:rsidR="004213DE" w:rsidRDefault="004213DE" w:rsidP="00E0144E">
            <w:pPr>
              <w:rPr>
                <w:sz w:val="24"/>
                <w:szCs w:val="24"/>
                <w:u w:val="single"/>
              </w:rPr>
            </w:pPr>
          </w:p>
          <w:p w14:paraId="53751698" w14:textId="4D19CD99" w:rsidR="00991CD5" w:rsidRPr="00E70386" w:rsidRDefault="00CC56B2" w:rsidP="00E0144E">
            <w:pPr>
              <w:rPr>
                <w:sz w:val="24"/>
                <w:szCs w:val="24"/>
                <w:u w:val="single"/>
              </w:rPr>
            </w:pPr>
            <w:r w:rsidRPr="00E70386">
              <w:rPr>
                <w:sz w:val="24"/>
                <w:szCs w:val="24"/>
                <w:u w:val="single"/>
              </w:rPr>
              <w:t>Australia</w:t>
            </w:r>
          </w:p>
          <w:p w14:paraId="08836A4B" w14:textId="59F6284E" w:rsidR="00CC56B2" w:rsidRPr="00E70386" w:rsidRDefault="00CC56B2" w:rsidP="00E0144E">
            <w:pPr>
              <w:rPr>
                <w:sz w:val="24"/>
                <w:szCs w:val="24"/>
              </w:rPr>
            </w:pPr>
            <w:r w:rsidRPr="00E70386">
              <w:rPr>
                <w:sz w:val="24"/>
                <w:szCs w:val="24"/>
              </w:rPr>
              <w:t xml:space="preserve">Department of Climate Change, Energy, the Environment and Water </w:t>
            </w:r>
          </w:p>
          <w:p w14:paraId="4CF33D78" w14:textId="77777777" w:rsidR="00CC56B2" w:rsidRPr="00E70386" w:rsidRDefault="00CC56B2" w:rsidP="00E0144E">
            <w:pPr>
              <w:rPr>
                <w:sz w:val="24"/>
                <w:szCs w:val="24"/>
              </w:rPr>
            </w:pPr>
            <w:r w:rsidRPr="00E70386">
              <w:rPr>
                <w:sz w:val="24"/>
                <w:szCs w:val="24"/>
              </w:rPr>
              <w:t xml:space="preserve">The Australian Bureau of Statistics </w:t>
            </w:r>
          </w:p>
          <w:p w14:paraId="4B93AC85" w14:textId="0C717AF2" w:rsidR="00CC56B2" w:rsidRPr="00E70386" w:rsidRDefault="00CC56B2" w:rsidP="00E0144E">
            <w:pPr>
              <w:rPr>
                <w:sz w:val="24"/>
                <w:szCs w:val="24"/>
              </w:rPr>
            </w:pPr>
          </w:p>
          <w:p w14:paraId="7B4E5456" w14:textId="51F9BBAA" w:rsidR="00CC56B2" w:rsidRPr="00E70386" w:rsidRDefault="00CC56B2" w:rsidP="00E0144E">
            <w:pPr>
              <w:rPr>
                <w:sz w:val="24"/>
                <w:szCs w:val="24"/>
              </w:rPr>
            </w:pPr>
            <w:r w:rsidRPr="00E70386">
              <w:rPr>
                <w:sz w:val="24"/>
                <w:szCs w:val="24"/>
              </w:rPr>
              <w:t xml:space="preserve">Other government agencies, as required.  </w:t>
            </w:r>
          </w:p>
          <w:p w14:paraId="07066846" w14:textId="77777777" w:rsidR="00CC56B2" w:rsidRPr="00E70386" w:rsidRDefault="00CC56B2" w:rsidP="00F721E9">
            <w:pPr>
              <w:rPr>
                <w:sz w:val="24"/>
                <w:szCs w:val="24"/>
              </w:rPr>
            </w:pPr>
          </w:p>
        </w:tc>
      </w:tr>
    </w:tbl>
    <w:p w14:paraId="1C0A6B3F" w14:textId="6D3CCF0D" w:rsidR="00DE6DA2" w:rsidRPr="00DE6DA2" w:rsidRDefault="00DE6DA2" w:rsidP="00CB0A72">
      <w:pPr>
        <w:rPr>
          <w:rFonts w:cstheme="minorHAnsi"/>
          <w:b/>
          <w:bCs/>
          <w:color w:val="FF0000"/>
        </w:rPr>
      </w:pPr>
    </w:p>
    <w:sectPr w:rsidR="00DE6DA2" w:rsidRPr="00DE6D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FE72" w14:textId="77777777" w:rsidR="002E0E9D" w:rsidRDefault="002E0E9D" w:rsidP="005E36B8">
      <w:pPr>
        <w:spacing w:after="0" w:line="240" w:lineRule="auto"/>
      </w:pPr>
      <w:r>
        <w:separator/>
      </w:r>
    </w:p>
  </w:endnote>
  <w:endnote w:type="continuationSeparator" w:id="0">
    <w:p w14:paraId="398313E4" w14:textId="77777777" w:rsidR="002E0E9D" w:rsidRDefault="002E0E9D" w:rsidP="005E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BE2E" w14:textId="77777777" w:rsidR="002E0E9D" w:rsidRDefault="002E0E9D" w:rsidP="005E36B8">
      <w:pPr>
        <w:spacing w:after="0" w:line="240" w:lineRule="auto"/>
      </w:pPr>
      <w:r>
        <w:separator/>
      </w:r>
    </w:p>
  </w:footnote>
  <w:footnote w:type="continuationSeparator" w:id="0">
    <w:p w14:paraId="1A59CFE1" w14:textId="77777777" w:rsidR="002E0E9D" w:rsidRDefault="002E0E9D" w:rsidP="005E3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DC1"/>
    <w:multiLevelType w:val="hybridMultilevel"/>
    <w:tmpl w:val="48705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1D7BA2"/>
    <w:multiLevelType w:val="hybridMultilevel"/>
    <w:tmpl w:val="9D0C53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CD033E"/>
    <w:multiLevelType w:val="hybridMultilevel"/>
    <w:tmpl w:val="36CC78B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B75D96"/>
    <w:multiLevelType w:val="hybridMultilevel"/>
    <w:tmpl w:val="87A42FA0"/>
    <w:lvl w:ilvl="0" w:tplc="AF18A28A">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C1F1D17"/>
    <w:multiLevelType w:val="hybridMultilevel"/>
    <w:tmpl w:val="60AAB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2934A79"/>
    <w:multiLevelType w:val="hybridMultilevel"/>
    <w:tmpl w:val="8DD2244E"/>
    <w:lvl w:ilvl="0" w:tplc="19564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FB084A"/>
    <w:multiLevelType w:val="hybridMultilevel"/>
    <w:tmpl w:val="13D8C298"/>
    <w:lvl w:ilvl="0" w:tplc="D26AD8C2">
      <w:start w:val="1"/>
      <w:numFmt w:val="decimal"/>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7E5C69"/>
    <w:multiLevelType w:val="hybridMultilevel"/>
    <w:tmpl w:val="B976797C"/>
    <w:lvl w:ilvl="0" w:tplc="93B05D74">
      <w:start w:val="1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94"/>
    <w:rsid w:val="00000484"/>
    <w:rsid w:val="00004474"/>
    <w:rsid w:val="0009102A"/>
    <w:rsid w:val="000936AD"/>
    <w:rsid w:val="000D4BEE"/>
    <w:rsid w:val="00121892"/>
    <w:rsid w:val="00134CCE"/>
    <w:rsid w:val="00143440"/>
    <w:rsid w:val="00154F64"/>
    <w:rsid w:val="00157B3B"/>
    <w:rsid w:val="001B57D7"/>
    <w:rsid w:val="001C5F90"/>
    <w:rsid w:val="00223BBF"/>
    <w:rsid w:val="002E0E9D"/>
    <w:rsid w:val="002E3486"/>
    <w:rsid w:val="002E3D28"/>
    <w:rsid w:val="003A20FC"/>
    <w:rsid w:val="003A57B2"/>
    <w:rsid w:val="003D201C"/>
    <w:rsid w:val="003F4A76"/>
    <w:rsid w:val="004213DE"/>
    <w:rsid w:val="00445C5D"/>
    <w:rsid w:val="00480ACF"/>
    <w:rsid w:val="00480FDE"/>
    <w:rsid w:val="00495D2A"/>
    <w:rsid w:val="004B02AD"/>
    <w:rsid w:val="004C5A8B"/>
    <w:rsid w:val="004D3827"/>
    <w:rsid w:val="005360A0"/>
    <w:rsid w:val="00541516"/>
    <w:rsid w:val="00584DC0"/>
    <w:rsid w:val="005878D7"/>
    <w:rsid w:val="00595576"/>
    <w:rsid w:val="005A7AB1"/>
    <w:rsid w:val="005E36B8"/>
    <w:rsid w:val="00667F92"/>
    <w:rsid w:val="006A6865"/>
    <w:rsid w:val="006B329A"/>
    <w:rsid w:val="006B6694"/>
    <w:rsid w:val="006E6702"/>
    <w:rsid w:val="006E7931"/>
    <w:rsid w:val="006F0481"/>
    <w:rsid w:val="00720668"/>
    <w:rsid w:val="007E7DAE"/>
    <w:rsid w:val="00822430"/>
    <w:rsid w:val="0082250C"/>
    <w:rsid w:val="00862AE7"/>
    <w:rsid w:val="00880F1B"/>
    <w:rsid w:val="00883E37"/>
    <w:rsid w:val="0089015A"/>
    <w:rsid w:val="008B2C72"/>
    <w:rsid w:val="008D4FD6"/>
    <w:rsid w:val="008E167B"/>
    <w:rsid w:val="0095260C"/>
    <w:rsid w:val="00991CD5"/>
    <w:rsid w:val="00A02014"/>
    <w:rsid w:val="00A15BD1"/>
    <w:rsid w:val="00A22F85"/>
    <w:rsid w:val="00AB427B"/>
    <w:rsid w:val="00AD1FA8"/>
    <w:rsid w:val="00BB7674"/>
    <w:rsid w:val="00BC4766"/>
    <w:rsid w:val="00BF67F6"/>
    <w:rsid w:val="00CA757B"/>
    <w:rsid w:val="00CB0A72"/>
    <w:rsid w:val="00CB794D"/>
    <w:rsid w:val="00CC0268"/>
    <w:rsid w:val="00CC56B2"/>
    <w:rsid w:val="00D13190"/>
    <w:rsid w:val="00D20CF1"/>
    <w:rsid w:val="00DE6DA2"/>
    <w:rsid w:val="00DF7EC1"/>
    <w:rsid w:val="00E01C35"/>
    <w:rsid w:val="00E21F30"/>
    <w:rsid w:val="00E50AF0"/>
    <w:rsid w:val="00E54BB3"/>
    <w:rsid w:val="00E70386"/>
    <w:rsid w:val="00E84939"/>
    <w:rsid w:val="00EC365E"/>
    <w:rsid w:val="00F54464"/>
    <w:rsid w:val="00F721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51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EC1"/>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Text">
    <w:name w:val="Resume Text"/>
    <w:basedOn w:val="Normal"/>
    <w:qFormat/>
    <w:rsid w:val="006B6694"/>
    <w:pPr>
      <w:spacing w:before="40" w:after="40" w:line="288" w:lineRule="auto"/>
      <w:ind w:right="1440"/>
    </w:pPr>
    <w:rPr>
      <w:color w:val="595959" w:themeColor="text1" w:themeTint="A6"/>
      <w:kern w:val="20"/>
      <w:sz w:val="20"/>
      <w:szCs w:val="20"/>
      <w:lang w:val="en-US" w:eastAsia="ja-JP"/>
    </w:rPr>
  </w:style>
  <w:style w:type="paragraph" w:styleId="ListParagraph">
    <w:name w:val="List Paragraph"/>
    <w:basedOn w:val="Normal"/>
    <w:uiPriority w:val="34"/>
    <w:qFormat/>
    <w:rsid w:val="006B6694"/>
    <w:pPr>
      <w:spacing w:after="0" w:line="240" w:lineRule="auto"/>
      <w:ind w:left="720"/>
    </w:pPr>
    <w:rPr>
      <w:rFonts w:ascii="Calibri" w:hAnsi="Calibri" w:cs="Calibri"/>
    </w:rPr>
  </w:style>
  <w:style w:type="paragraph" w:styleId="CommentText">
    <w:name w:val="annotation text"/>
    <w:basedOn w:val="Normal"/>
    <w:link w:val="CommentTextChar"/>
    <w:uiPriority w:val="99"/>
    <w:unhideWhenUsed/>
    <w:rsid w:val="00595576"/>
    <w:pPr>
      <w:spacing w:line="240" w:lineRule="auto"/>
    </w:pPr>
    <w:rPr>
      <w:sz w:val="20"/>
      <w:szCs w:val="20"/>
    </w:rPr>
  </w:style>
  <w:style w:type="character" w:customStyle="1" w:styleId="CommentTextChar">
    <w:name w:val="Comment Text Char"/>
    <w:basedOn w:val="DefaultParagraphFont"/>
    <w:link w:val="CommentText"/>
    <w:uiPriority w:val="99"/>
    <w:rsid w:val="00595576"/>
    <w:rPr>
      <w:sz w:val="20"/>
      <w:szCs w:val="20"/>
    </w:rPr>
  </w:style>
  <w:style w:type="character" w:styleId="CommentReference">
    <w:name w:val="annotation reference"/>
    <w:basedOn w:val="DefaultParagraphFont"/>
    <w:uiPriority w:val="99"/>
    <w:semiHidden/>
    <w:unhideWhenUsed/>
    <w:rsid w:val="00595576"/>
    <w:rPr>
      <w:sz w:val="16"/>
      <w:szCs w:val="16"/>
    </w:rPr>
  </w:style>
  <w:style w:type="table" w:styleId="TableGrid">
    <w:name w:val="Table Grid"/>
    <w:basedOn w:val="TableNormal"/>
    <w:uiPriority w:val="39"/>
    <w:rsid w:val="005955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6B8"/>
  </w:style>
  <w:style w:type="paragraph" w:styleId="Footer">
    <w:name w:val="footer"/>
    <w:basedOn w:val="Normal"/>
    <w:link w:val="FooterChar"/>
    <w:uiPriority w:val="99"/>
    <w:unhideWhenUsed/>
    <w:rsid w:val="005E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6B8"/>
  </w:style>
  <w:style w:type="paragraph" w:styleId="CommentSubject">
    <w:name w:val="annotation subject"/>
    <w:basedOn w:val="CommentText"/>
    <w:next w:val="CommentText"/>
    <w:link w:val="CommentSubjectChar"/>
    <w:uiPriority w:val="99"/>
    <w:semiHidden/>
    <w:unhideWhenUsed/>
    <w:rsid w:val="00822430"/>
    <w:rPr>
      <w:b/>
      <w:bCs/>
    </w:rPr>
  </w:style>
  <w:style w:type="character" w:customStyle="1" w:styleId="CommentSubjectChar">
    <w:name w:val="Comment Subject Char"/>
    <w:basedOn w:val="CommentTextChar"/>
    <w:link w:val="CommentSubject"/>
    <w:uiPriority w:val="99"/>
    <w:semiHidden/>
    <w:rsid w:val="00822430"/>
    <w:rPr>
      <w:b/>
      <w:bCs/>
      <w:sz w:val="20"/>
      <w:szCs w:val="20"/>
    </w:rPr>
  </w:style>
  <w:style w:type="paragraph" w:styleId="Revision">
    <w:name w:val="Revision"/>
    <w:hidden/>
    <w:uiPriority w:val="99"/>
    <w:semiHidden/>
    <w:rsid w:val="00445C5D"/>
    <w:pPr>
      <w:spacing w:after="0" w:line="240" w:lineRule="auto"/>
    </w:pPr>
  </w:style>
  <w:style w:type="character" w:customStyle="1" w:styleId="Heading1Char">
    <w:name w:val="Heading 1 Char"/>
    <w:basedOn w:val="DefaultParagraphFont"/>
    <w:link w:val="Heading1"/>
    <w:uiPriority w:val="9"/>
    <w:rsid w:val="00DF7EC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78291">
      <w:bodyDiv w:val="1"/>
      <w:marLeft w:val="0"/>
      <w:marRight w:val="0"/>
      <w:marTop w:val="0"/>
      <w:marBottom w:val="0"/>
      <w:divBdr>
        <w:top w:val="none" w:sz="0" w:space="0" w:color="auto"/>
        <w:left w:val="none" w:sz="0" w:space="0" w:color="auto"/>
        <w:bottom w:val="none" w:sz="0" w:space="0" w:color="auto"/>
        <w:right w:val="none" w:sz="0" w:space="0" w:color="auto"/>
      </w:divBdr>
    </w:div>
    <w:div w:id="21101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D74A-2F36-416F-85DB-1468E973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1479</Characters>
  <Application>Microsoft Office Word</Application>
  <DocSecurity>0</DocSecurity>
  <Lines>61</Lines>
  <Paragraphs>28</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6.4: Statistical Measurement of the Green Economy</dc:title>
  <dc:subject/>
  <dc:creator/>
  <cp:keywords>[SEC=OFFICIAL]</cp:keywords>
  <dc:description/>
  <cp:lastModifiedBy/>
  <cp:revision>1</cp:revision>
  <dcterms:created xsi:type="dcterms:W3CDTF">2022-10-14T06:52:00Z</dcterms:created>
  <dcterms:modified xsi:type="dcterms:W3CDTF">2022-10-16T21:59:00Z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8e5a7ee-c283-40b0-98eb-fa437df4c031_Name">
    <vt:lpwstr>OFFICIAL</vt:lpwstr>
  </property>
  <property fmtid="{D5CDD505-2E9C-101B-9397-08002B2CF9AE}" pid="8" name="MSIP_Label_c8e5a7ee-c283-40b0-98eb-fa437df4c031_Method">
    <vt:lpwstr>Privileged</vt:lpwstr>
  </property>
  <property fmtid="{D5CDD505-2E9C-101B-9397-08002B2CF9AE}" pid="9" name="PM_InsertionValue">
    <vt:lpwstr>OFFICIAL</vt:lpwstr>
  </property>
  <property fmtid="{D5CDD505-2E9C-101B-9397-08002B2CF9AE}" pid="10" name="MSIP_Label_bb7bb1b7-f1f8-44bc-8626-ac3f7950ddcb_Enabled">
    <vt:lpwstr>true</vt:lpwstr>
  </property>
  <property fmtid="{D5CDD505-2E9C-101B-9397-08002B2CF9AE}" pid="11" name="PM_Originator_Hash_SHA1">
    <vt:lpwstr>D9F6E5C82DFAF7AB6E3D596D48DD43C72EDFDAB4</vt:lpwstr>
  </property>
  <property fmtid="{D5CDD505-2E9C-101B-9397-08002B2CF9AE}" pid="12" name="PM_Originating_FileId">
    <vt:lpwstr>D3ABAE6732ED4C46A17080410BA872B3</vt:lpwstr>
  </property>
  <property fmtid="{D5CDD505-2E9C-101B-9397-08002B2CF9AE}" pid="13" name="PM_ProtectiveMarkingValue_Footer">
    <vt:lpwstr>OFFICIAL</vt:lpwstr>
  </property>
  <property fmtid="{D5CDD505-2E9C-101B-9397-08002B2CF9AE}" pid="14" name="PM_ProtectiveMarkingValue_Header">
    <vt:lpwstr>OFFICIAL</vt:lpwstr>
  </property>
  <property fmtid="{D5CDD505-2E9C-101B-9397-08002B2CF9AE}" pid="15" name="PM_OriginationTimeStamp">
    <vt:lpwstr>2022-10-14T06:52:30Z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bb7bb1b7-f1f8-44bc-8626-ac3f7950ddcb_ActionId">
    <vt:lpwstr>681a6ad6-dce2-4cad-abfd-eabb5879a937</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3537A8C4282992D5A0FFB677C570824E</vt:lpwstr>
  </property>
  <property fmtid="{D5CDD505-2E9C-101B-9397-08002B2CF9AE}" pid="24" name="PM_Hash_Salt">
    <vt:lpwstr>AFB5D82445FEBF8C10975ED31AA269A8</vt:lpwstr>
  </property>
  <property fmtid="{D5CDD505-2E9C-101B-9397-08002B2CF9AE}" pid="25" name="PM_Hash_SHA1">
    <vt:lpwstr>BEB912CB0B36AAE98CCC87320A23E83471FF337C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c8e5a7ee-c283-40b0-98eb-fa437df4c031_ContentBits">
    <vt:lpwstr>0</vt:lpwstr>
  </property>
  <property fmtid="{D5CDD505-2E9C-101B-9397-08002B2CF9AE}" pid="29" name="MSIP_Label_c8e5a7ee-c283-40b0-98eb-fa437df4c031_Enabled">
    <vt:lpwstr>true</vt:lpwstr>
  </property>
  <property fmtid="{D5CDD505-2E9C-101B-9397-08002B2CF9AE}" pid="30" name="MSIP_Label_bb7bb1b7-f1f8-44bc-8626-ac3f7950ddcb_SetDate">
    <vt:lpwstr>2022-07-17T11:28:28Z</vt:lpwstr>
  </property>
  <property fmtid="{D5CDD505-2E9C-101B-9397-08002B2CF9AE}" pid="31" name="PM_OriginatorDomainName_SHA256">
    <vt:lpwstr>6F3591835F3B2A8A025B00B5BA6418010DA3A17C9C26EA9C049FFD28039489A2</vt:lpwstr>
  </property>
  <property fmtid="{D5CDD505-2E9C-101B-9397-08002B2CF9AE}" pid="32" name="MSIP_Label_bb7bb1b7-f1f8-44bc-8626-ac3f7950ddcb_Method">
    <vt:lpwstr>Privileged</vt:lpwstr>
  </property>
  <property fmtid="{D5CDD505-2E9C-101B-9397-08002B2CF9AE}" pid="33" name="MSIP_Label_bb7bb1b7-f1f8-44bc-8626-ac3f7950ddcb_Name">
    <vt:lpwstr>Sensitive High_0</vt:lpwstr>
  </property>
  <property fmtid="{D5CDD505-2E9C-101B-9397-08002B2CF9AE}" pid="34" name="MSIP_Label_bb7bb1b7-f1f8-44bc-8626-ac3f7950ddcb_SiteId">
    <vt:lpwstr>0b11c524-9a1c-4e1b-84cb-6336aefc2243</vt:lpwstr>
  </property>
  <property fmtid="{D5CDD505-2E9C-101B-9397-08002B2CF9AE}" pid="35" name="MSIP_Label_bb7bb1b7-f1f8-44bc-8626-ac3f7950ddcb_ContentBits">
    <vt:lpwstr>0</vt:lpwstr>
  </property>
  <property fmtid="{D5CDD505-2E9C-101B-9397-08002B2CF9AE}" pid="36" name="MSIP_Label_c8e5a7ee-c283-40b0-98eb-fa437df4c031_SetDate">
    <vt:lpwstr>2022-08-26T03:04:29Z</vt:lpwstr>
  </property>
  <property fmtid="{D5CDD505-2E9C-101B-9397-08002B2CF9AE}" pid="37" name="MSIP_Label_c8e5a7ee-c283-40b0-98eb-fa437df4c031_SiteId">
    <vt:lpwstr>34cdb737-c4fa-4c21-9a34-88ac2d721f88</vt:lpwstr>
  </property>
  <property fmtid="{D5CDD505-2E9C-101B-9397-08002B2CF9AE}" pid="38" name="MSIP_Label_c8e5a7ee-c283-40b0-98eb-fa437df4c031_ActionId">
    <vt:lpwstr>c40422db-cd59-4f51-a61a-5fdd65206713</vt:lpwstr>
  </property>
  <property fmtid="{D5CDD505-2E9C-101B-9397-08002B2CF9AE}" pid="39" name="PM_Display">
    <vt:lpwstr>OFFICIAL</vt:lpwstr>
  </property>
  <property fmtid="{D5CDD505-2E9C-101B-9397-08002B2CF9AE}" pid="40" name="PMUuid">
    <vt:lpwstr>ABBFF5E2-9674-55C9-B08D-C9980002FD58</vt:lpwstr>
  </property>
  <property fmtid="{D5CDD505-2E9C-101B-9397-08002B2CF9AE}" pid="41" name="PMUuidVer">
    <vt:lpwstr>2022.1</vt:lpwstr>
  </property>
  <property fmtid="{D5CDD505-2E9C-101B-9397-08002B2CF9AE}" pid="42" name="PM_OriginatorUserAccountName_SHA256">
    <vt:lpwstr>3E9DB5AB808CA91EB3E8EC398CDB7F67B110581D6BB28BC88565729DCE387350</vt:lpwstr>
  </property>
</Properties>
</file>