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6E525" w14:textId="149B3D9A" w:rsidR="00A72B86" w:rsidRPr="00BA486F" w:rsidRDefault="00A72B86" w:rsidP="00BA486F">
      <w:pPr>
        <w:pStyle w:val="Heading1"/>
      </w:pPr>
      <w:r w:rsidRPr="00BA486F">
        <w:t>A</w:t>
      </w:r>
      <w:r w:rsidR="00BA486F" w:rsidRPr="00BA486F">
        <w:t>nnex</w:t>
      </w:r>
      <w:r w:rsidRPr="00BA486F">
        <w:t xml:space="preserve"> </w:t>
      </w:r>
      <w:r w:rsidR="00DB49CA" w:rsidRPr="00BA486F">
        <w:t>B</w:t>
      </w:r>
      <w:r w:rsidRPr="00BA486F">
        <w:t xml:space="preserve">: </w:t>
      </w:r>
      <w:r w:rsidR="00B552BE" w:rsidRPr="00BA486F">
        <w:t>6</w:t>
      </w:r>
      <w:r w:rsidR="00F02711" w:rsidRPr="00BA486F">
        <w:t xml:space="preserve">.1 </w:t>
      </w:r>
      <w:r w:rsidR="00850426" w:rsidRPr="00BA486F">
        <w:t xml:space="preserve">Singapore-Australia </w:t>
      </w:r>
      <w:r w:rsidR="00F02711" w:rsidRPr="00BA486F">
        <w:t xml:space="preserve">Go-Green </w:t>
      </w:r>
      <w:r w:rsidR="00330C17" w:rsidRPr="00BA486F">
        <w:t xml:space="preserve">Co-Innovation </w:t>
      </w:r>
      <w:r w:rsidR="005A3829" w:rsidRPr="00BA486F">
        <w:t>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A72B86" w:rsidRPr="005A5D70" w14:paraId="2176230C" w14:textId="77777777" w:rsidTr="00B33C62">
        <w:tc>
          <w:tcPr>
            <w:tcW w:w="2263" w:type="dxa"/>
            <w:shd w:val="clear" w:color="auto" w:fill="E2EFD9" w:themeFill="accent6" w:themeFillTint="33"/>
          </w:tcPr>
          <w:p w14:paraId="5865FA89" w14:textId="117D1303" w:rsidR="00A72B86" w:rsidRPr="005A5D70" w:rsidRDefault="00CE7BC0" w:rsidP="00D20C9F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106702796"/>
            <w:r w:rsidRPr="005A5D70">
              <w:rPr>
                <w:rFonts w:cstheme="minorHAnsi"/>
                <w:b/>
                <w:bCs/>
                <w:sz w:val="24"/>
                <w:szCs w:val="24"/>
              </w:rPr>
              <w:t>Area of Cooperation</w:t>
            </w:r>
          </w:p>
        </w:tc>
        <w:tc>
          <w:tcPr>
            <w:tcW w:w="6753" w:type="dxa"/>
          </w:tcPr>
          <w:p w14:paraId="4A397A8E" w14:textId="0380081E" w:rsidR="00A72B86" w:rsidRPr="005A5D70" w:rsidRDefault="00A5575D" w:rsidP="00B33C6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A5D70">
              <w:rPr>
                <w:rFonts w:cstheme="minorHAnsi"/>
                <w:color w:val="000000" w:themeColor="text1"/>
                <w:sz w:val="24"/>
                <w:szCs w:val="24"/>
              </w:rPr>
              <w:t>Engagement</w:t>
            </w:r>
            <w:r w:rsidR="009836A8">
              <w:rPr>
                <w:rFonts w:cstheme="minorHAnsi"/>
                <w:color w:val="000000" w:themeColor="text1"/>
                <w:sz w:val="24"/>
                <w:szCs w:val="24"/>
              </w:rPr>
              <w:t>s</w:t>
            </w:r>
            <w:r w:rsidRPr="005A5D70">
              <w:rPr>
                <w:rFonts w:cstheme="minorHAnsi"/>
                <w:color w:val="000000" w:themeColor="text1"/>
                <w:sz w:val="24"/>
                <w:szCs w:val="24"/>
              </w:rPr>
              <w:t xml:space="preserve"> and Partnerships </w:t>
            </w:r>
          </w:p>
          <w:p w14:paraId="5B492DFD" w14:textId="7BF6E844" w:rsidR="00A85D87" w:rsidRPr="005A5D70" w:rsidRDefault="00A85D87" w:rsidP="00B33C62">
            <w:pPr>
              <w:rPr>
                <w:rFonts w:cstheme="minorHAnsi"/>
                <w:color w:val="000000" w:themeColor="text1"/>
              </w:rPr>
            </w:pPr>
          </w:p>
        </w:tc>
      </w:tr>
      <w:tr w:rsidR="00A72B86" w:rsidRPr="005A5D70" w14:paraId="4CA486B2" w14:textId="77777777" w:rsidTr="00513045">
        <w:tc>
          <w:tcPr>
            <w:tcW w:w="2263" w:type="dxa"/>
            <w:shd w:val="clear" w:color="auto" w:fill="E2EFD9" w:themeFill="accent6" w:themeFillTint="33"/>
          </w:tcPr>
          <w:p w14:paraId="31259E71" w14:textId="7ABEE11B" w:rsidR="00A72B86" w:rsidRPr="005A5D70" w:rsidRDefault="00A72B86" w:rsidP="00D20C9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A5D70">
              <w:rPr>
                <w:rFonts w:cstheme="minorHAnsi"/>
                <w:b/>
                <w:bCs/>
                <w:sz w:val="24"/>
                <w:szCs w:val="24"/>
              </w:rPr>
              <w:t>Purpose</w:t>
            </w:r>
          </w:p>
        </w:tc>
        <w:tc>
          <w:tcPr>
            <w:tcW w:w="6753" w:type="dxa"/>
            <w:shd w:val="clear" w:color="auto" w:fill="auto"/>
          </w:tcPr>
          <w:p w14:paraId="0D3976B4" w14:textId="3ED1006C" w:rsidR="002C22FB" w:rsidRPr="005A5D70" w:rsidRDefault="008042FB" w:rsidP="003C5F69">
            <w:pPr>
              <w:rPr>
                <w:rFonts w:cstheme="minorHAnsi"/>
                <w:sz w:val="24"/>
                <w:szCs w:val="24"/>
              </w:rPr>
            </w:pPr>
            <w:r w:rsidRPr="005A5D70">
              <w:rPr>
                <w:rFonts w:cstheme="minorHAnsi"/>
                <w:sz w:val="24"/>
                <w:szCs w:val="24"/>
              </w:rPr>
              <w:t xml:space="preserve">To </w:t>
            </w:r>
            <w:r w:rsidR="00513045" w:rsidRPr="005A5D70">
              <w:rPr>
                <w:rFonts w:cstheme="minorHAnsi"/>
                <w:sz w:val="24"/>
                <w:szCs w:val="24"/>
              </w:rPr>
              <w:t>incentivise and facilitate collaboration between</w:t>
            </w:r>
            <w:r w:rsidR="007366EA" w:rsidRPr="005A5D70">
              <w:rPr>
                <w:rFonts w:cstheme="minorHAnsi"/>
                <w:sz w:val="24"/>
                <w:szCs w:val="24"/>
              </w:rPr>
              <w:t xml:space="preserve"> </w:t>
            </w:r>
            <w:r w:rsidR="003C5F69" w:rsidRPr="005A5D70">
              <w:rPr>
                <w:rFonts w:cstheme="minorHAnsi"/>
                <w:sz w:val="24"/>
                <w:szCs w:val="24"/>
              </w:rPr>
              <w:t>Small and Medium</w:t>
            </w:r>
            <w:r w:rsidR="00A434FB" w:rsidRPr="005A5D70">
              <w:rPr>
                <w:rFonts w:cstheme="minorHAnsi"/>
                <w:sz w:val="24"/>
                <w:szCs w:val="24"/>
              </w:rPr>
              <w:t>-sized</w:t>
            </w:r>
            <w:r w:rsidR="003C5F69" w:rsidRPr="005A5D70">
              <w:rPr>
                <w:rFonts w:cstheme="minorHAnsi"/>
                <w:sz w:val="24"/>
                <w:szCs w:val="24"/>
              </w:rPr>
              <w:t xml:space="preserve"> Enterprises (SME</w:t>
            </w:r>
            <w:r w:rsidR="00513045" w:rsidRPr="005A5D70">
              <w:rPr>
                <w:rFonts w:cstheme="minorHAnsi"/>
                <w:sz w:val="24"/>
                <w:szCs w:val="24"/>
              </w:rPr>
              <w:t>s</w:t>
            </w:r>
            <w:r w:rsidR="003C5F69" w:rsidRPr="005A5D70">
              <w:rPr>
                <w:rFonts w:cstheme="minorHAnsi"/>
                <w:sz w:val="24"/>
                <w:szCs w:val="24"/>
              </w:rPr>
              <w:t>)</w:t>
            </w:r>
            <w:r w:rsidR="00513045" w:rsidRPr="005A5D70">
              <w:rPr>
                <w:rFonts w:cstheme="minorHAnsi"/>
                <w:sz w:val="24"/>
                <w:szCs w:val="24"/>
              </w:rPr>
              <w:t xml:space="preserve"> </w:t>
            </w:r>
            <w:r w:rsidR="0014170F">
              <w:rPr>
                <w:rFonts w:cstheme="minorHAnsi"/>
                <w:sz w:val="24"/>
                <w:szCs w:val="24"/>
              </w:rPr>
              <w:t xml:space="preserve">from Singapore and Australia </w:t>
            </w:r>
            <w:r w:rsidR="00513045" w:rsidRPr="005A5D70">
              <w:rPr>
                <w:rFonts w:cstheme="minorHAnsi"/>
                <w:sz w:val="24"/>
                <w:szCs w:val="24"/>
              </w:rPr>
              <w:t xml:space="preserve">seeking to </w:t>
            </w:r>
            <w:r w:rsidR="002C22FB" w:rsidRPr="005A5D70">
              <w:rPr>
                <w:rFonts w:cstheme="minorHAnsi"/>
                <w:sz w:val="24"/>
                <w:szCs w:val="24"/>
              </w:rPr>
              <w:t xml:space="preserve">establish or expand business and commercial activities that boost trade in goods and services across green growth sectors. </w:t>
            </w:r>
          </w:p>
          <w:p w14:paraId="3A46E3F8" w14:textId="5067C358" w:rsidR="00A434FB" w:rsidRPr="005A5D70" w:rsidRDefault="00A434FB" w:rsidP="002C22FB">
            <w:pPr>
              <w:rPr>
                <w:rFonts w:cstheme="minorHAnsi"/>
              </w:rPr>
            </w:pPr>
          </w:p>
        </w:tc>
      </w:tr>
      <w:tr w:rsidR="00A72B86" w:rsidRPr="005A5D70" w14:paraId="0EE6825D" w14:textId="77777777" w:rsidTr="00B33C62">
        <w:tc>
          <w:tcPr>
            <w:tcW w:w="2263" w:type="dxa"/>
            <w:shd w:val="clear" w:color="auto" w:fill="E2EFD9" w:themeFill="accent6" w:themeFillTint="33"/>
          </w:tcPr>
          <w:p w14:paraId="763B765B" w14:textId="5C0D067D" w:rsidR="00A72B86" w:rsidRPr="005A5D70" w:rsidRDefault="00A72B86" w:rsidP="00D20C9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A5D70">
              <w:rPr>
                <w:rFonts w:cstheme="minorHAnsi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6753" w:type="dxa"/>
          </w:tcPr>
          <w:p w14:paraId="34DEC730" w14:textId="610866B9" w:rsidR="00E97AEE" w:rsidRPr="005A5D70" w:rsidRDefault="0014170F" w:rsidP="00B33C62">
            <w:pPr>
              <w:rPr>
                <w:rFonts w:cstheme="minorHAnsi"/>
                <w:sz w:val="24"/>
                <w:szCs w:val="24"/>
              </w:rPr>
            </w:pPr>
            <w:r w:rsidRPr="0014170F">
              <w:rPr>
                <w:sz w:val="24"/>
                <w:szCs w:val="24"/>
              </w:rPr>
              <w:t xml:space="preserve">Singapore and </w:t>
            </w:r>
            <w:proofErr w:type="gramStart"/>
            <w:r w:rsidRPr="0014170F">
              <w:rPr>
                <w:sz w:val="24"/>
                <w:szCs w:val="24"/>
              </w:rPr>
              <w:t xml:space="preserve">Australia </w:t>
            </w:r>
            <w:r w:rsidR="00601124" w:rsidRPr="0014170F">
              <w:rPr>
                <w:rFonts w:cstheme="minorHAnsi"/>
                <w:sz w:val="24"/>
                <w:szCs w:val="24"/>
              </w:rPr>
              <w:t xml:space="preserve"> </w:t>
            </w:r>
            <w:r w:rsidR="002C22FB" w:rsidRPr="0014170F">
              <w:rPr>
                <w:rFonts w:cstheme="minorHAnsi"/>
                <w:sz w:val="24"/>
                <w:szCs w:val="24"/>
              </w:rPr>
              <w:t>will</w:t>
            </w:r>
            <w:proofErr w:type="gramEnd"/>
            <w:r w:rsidR="002C22FB" w:rsidRPr="005A5D70">
              <w:rPr>
                <w:rFonts w:cstheme="minorHAnsi"/>
                <w:sz w:val="24"/>
                <w:szCs w:val="24"/>
              </w:rPr>
              <w:t xml:space="preserve"> work together </w:t>
            </w:r>
            <w:r w:rsidR="00052A21" w:rsidRPr="005A5D70">
              <w:rPr>
                <w:rFonts w:cstheme="minorHAnsi"/>
                <w:sz w:val="24"/>
                <w:szCs w:val="24"/>
              </w:rPr>
              <w:t>to support SMEs in their efforts to</w:t>
            </w:r>
            <w:r w:rsidR="008354D2" w:rsidRPr="005A5D70">
              <w:rPr>
                <w:rFonts w:cstheme="minorHAnsi"/>
                <w:sz w:val="24"/>
                <w:szCs w:val="24"/>
              </w:rPr>
              <w:t xml:space="preserve"> jointly </w:t>
            </w:r>
            <w:r w:rsidR="00052A21" w:rsidRPr="005A5D70">
              <w:rPr>
                <w:rFonts w:cstheme="minorHAnsi"/>
                <w:sz w:val="24"/>
                <w:szCs w:val="24"/>
              </w:rPr>
              <w:t xml:space="preserve">develop innovative </w:t>
            </w:r>
            <w:r w:rsidR="00D84075" w:rsidRPr="005A5D70">
              <w:rPr>
                <w:rFonts w:cstheme="minorHAnsi"/>
                <w:sz w:val="24"/>
                <w:szCs w:val="24"/>
              </w:rPr>
              <w:t xml:space="preserve">green </w:t>
            </w:r>
            <w:r w:rsidR="008354D2" w:rsidRPr="005A5D70">
              <w:rPr>
                <w:rFonts w:cstheme="minorHAnsi"/>
                <w:sz w:val="24"/>
                <w:szCs w:val="24"/>
              </w:rPr>
              <w:t>products, services or technology</w:t>
            </w:r>
            <w:r w:rsidR="007673E9" w:rsidRPr="005A5D70">
              <w:rPr>
                <w:rFonts w:cstheme="minorHAnsi"/>
                <w:sz w:val="24"/>
                <w:szCs w:val="24"/>
              </w:rPr>
              <w:t xml:space="preserve"> that</w:t>
            </w:r>
            <w:r w:rsidR="008354D2" w:rsidRPr="005A5D70">
              <w:rPr>
                <w:rFonts w:cstheme="minorHAnsi"/>
                <w:sz w:val="24"/>
                <w:szCs w:val="24"/>
              </w:rPr>
              <w:t xml:space="preserve"> </w:t>
            </w:r>
            <w:r w:rsidR="0051209B" w:rsidRPr="005A5D70">
              <w:rPr>
                <w:rFonts w:cstheme="minorHAnsi"/>
                <w:sz w:val="24"/>
                <w:szCs w:val="24"/>
              </w:rPr>
              <w:t xml:space="preserve">will </w:t>
            </w:r>
            <w:r w:rsidR="00052A21" w:rsidRPr="005A5D70">
              <w:rPr>
                <w:rFonts w:cstheme="minorHAnsi"/>
                <w:sz w:val="24"/>
                <w:szCs w:val="24"/>
              </w:rPr>
              <w:t>lead to the establishment or expansion of business and</w:t>
            </w:r>
            <w:r w:rsidR="001B4B95" w:rsidRPr="005A5D70">
              <w:rPr>
                <w:rFonts w:cstheme="minorHAnsi"/>
                <w:sz w:val="24"/>
                <w:szCs w:val="24"/>
              </w:rPr>
              <w:t xml:space="preserve"> </w:t>
            </w:r>
            <w:r w:rsidR="00052A21" w:rsidRPr="005A5D70">
              <w:rPr>
                <w:rFonts w:cstheme="minorHAnsi"/>
                <w:sz w:val="24"/>
                <w:szCs w:val="24"/>
              </w:rPr>
              <w:t>commercial activities</w:t>
            </w:r>
            <w:r w:rsidR="0051209B" w:rsidRPr="005A5D70">
              <w:rPr>
                <w:rFonts w:cstheme="minorHAnsi"/>
                <w:sz w:val="24"/>
                <w:szCs w:val="24"/>
              </w:rPr>
              <w:t xml:space="preserve"> that further promote trade between the two countries.</w:t>
            </w:r>
            <w:r w:rsidR="00052A21" w:rsidRPr="005A5D7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10485E2" w14:textId="77777777" w:rsidR="00E97AEE" w:rsidRPr="005A5D70" w:rsidRDefault="00E97AEE" w:rsidP="00B33C62">
            <w:pPr>
              <w:rPr>
                <w:rFonts w:cstheme="minorHAnsi"/>
              </w:rPr>
            </w:pPr>
          </w:p>
          <w:p w14:paraId="16F69548" w14:textId="06D57812" w:rsidR="00E97AEE" w:rsidRPr="005A5D70" w:rsidRDefault="00052A21" w:rsidP="00D84075">
            <w:pPr>
              <w:rPr>
                <w:rFonts w:cstheme="minorHAnsi"/>
                <w:sz w:val="24"/>
                <w:szCs w:val="24"/>
              </w:rPr>
            </w:pPr>
            <w:r w:rsidRPr="005A5D70">
              <w:rPr>
                <w:rFonts w:cstheme="minorHAnsi"/>
                <w:sz w:val="24"/>
                <w:szCs w:val="24"/>
              </w:rPr>
              <w:t xml:space="preserve">Support </w:t>
            </w:r>
            <w:r w:rsidR="0044588C" w:rsidRPr="005A5D70">
              <w:rPr>
                <w:rFonts w:cstheme="minorHAnsi"/>
                <w:sz w:val="24"/>
                <w:szCs w:val="24"/>
              </w:rPr>
              <w:t xml:space="preserve">for projects </w:t>
            </w:r>
            <w:r w:rsidRPr="005A5D70">
              <w:rPr>
                <w:rFonts w:cstheme="minorHAnsi"/>
                <w:sz w:val="24"/>
                <w:szCs w:val="24"/>
              </w:rPr>
              <w:t>will be provided in the form of grant</w:t>
            </w:r>
            <w:r w:rsidR="0044588C" w:rsidRPr="005A5D70">
              <w:rPr>
                <w:rFonts w:cstheme="minorHAnsi"/>
                <w:sz w:val="24"/>
                <w:szCs w:val="24"/>
              </w:rPr>
              <w:t>s and business matching services</w:t>
            </w:r>
            <w:r w:rsidR="0051209B" w:rsidRPr="005A5D70">
              <w:rPr>
                <w:rFonts w:cstheme="minorHAnsi"/>
                <w:sz w:val="24"/>
                <w:szCs w:val="24"/>
              </w:rPr>
              <w:t>. P</w:t>
            </w:r>
            <w:r w:rsidR="00D84075" w:rsidRPr="005A5D70">
              <w:rPr>
                <w:rFonts w:cstheme="minorHAnsi"/>
                <w:sz w:val="24"/>
                <w:szCs w:val="24"/>
              </w:rPr>
              <w:t xml:space="preserve">articipating SMEs will </w:t>
            </w:r>
            <w:r w:rsidR="0051209B" w:rsidRPr="005A5D70">
              <w:rPr>
                <w:rFonts w:cstheme="minorHAnsi"/>
                <w:sz w:val="24"/>
                <w:szCs w:val="24"/>
              </w:rPr>
              <w:t xml:space="preserve">be expected to also </w:t>
            </w:r>
            <w:r w:rsidR="00E97AEE" w:rsidRPr="005A5D70">
              <w:rPr>
                <w:rFonts w:cstheme="minorHAnsi"/>
                <w:sz w:val="24"/>
                <w:szCs w:val="24"/>
              </w:rPr>
              <w:t xml:space="preserve">invest resources into </w:t>
            </w:r>
            <w:r w:rsidR="00573391" w:rsidRPr="005A5D70">
              <w:rPr>
                <w:rFonts w:cstheme="minorHAnsi"/>
                <w:sz w:val="24"/>
                <w:szCs w:val="24"/>
              </w:rPr>
              <w:t xml:space="preserve">their </w:t>
            </w:r>
            <w:r w:rsidR="00E97AEE" w:rsidRPr="005A5D70">
              <w:rPr>
                <w:rFonts w:cstheme="minorHAnsi"/>
                <w:sz w:val="24"/>
                <w:szCs w:val="24"/>
              </w:rPr>
              <w:t>project</w:t>
            </w:r>
            <w:r w:rsidR="0044588C" w:rsidRPr="005A5D70">
              <w:rPr>
                <w:rFonts w:cstheme="minorHAnsi"/>
                <w:sz w:val="24"/>
                <w:szCs w:val="24"/>
              </w:rPr>
              <w:t>s</w:t>
            </w:r>
            <w:r w:rsidR="00E97AEE" w:rsidRPr="005A5D70">
              <w:rPr>
                <w:rFonts w:cstheme="minorHAnsi"/>
                <w:sz w:val="24"/>
                <w:szCs w:val="24"/>
              </w:rPr>
              <w:t xml:space="preserve">. </w:t>
            </w:r>
            <w:r w:rsidR="0044588C" w:rsidRPr="005A5D70">
              <w:rPr>
                <w:rFonts w:cstheme="minorHAnsi"/>
                <w:sz w:val="24"/>
                <w:szCs w:val="24"/>
              </w:rPr>
              <w:t>G</w:t>
            </w:r>
            <w:r w:rsidR="00D84075" w:rsidRPr="005A5D70">
              <w:rPr>
                <w:rFonts w:cstheme="minorHAnsi"/>
                <w:sz w:val="24"/>
                <w:szCs w:val="24"/>
              </w:rPr>
              <w:t xml:space="preserve">rants </w:t>
            </w:r>
            <w:r w:rsidR="00013029" w:rsidRPr="005A5D70">
              <w:rPr>
                <w:rFonts w:cstheme="minorHAnsi"/>
                <w:sz w:val="24"/>
                <w:szCs w:val="24"/>
              </w:rPr>
              <w:t xml:space="preserve">can be used to </w:t>
            </w:r>
            <w:r w:rsidR="00D84075" w:rsidRPr="005A5D70">
              <w:rPr>
                <w:rFonts w:cstheme="minorHAnsi"/>
                <w:sz w:val="24"/>
                <w:szCs w:val="24"/>
              </w:rPr>
              <w:t xml:space="preserve">fund the development </w:t>
            </w:r>
            <w:r w:rsidR="00E97AEE" w:rsidRPr="005A5D70">
              <w:rPr>
                <w:rFonts w:cstheme="minorHAnsi"/>
                <w:sz w:val="24"/>
                <w:szCs w:val="24"/>
              </w:rPr>
              <w:t xml:space="preserve">and </w:t>
            </w:r>
            <w:r w:rsidR="0025293F" w:rsidRPr="005A5D70">
              <w:rPr>
                <w:rFonts w:cstheme="minorHAnsi"/>
                <w:sz w:val="24"/>
                <w:szCs w:val="24"/>
              </w:rPr>
              <w:t>commercialisation of</w:t>
            </w:r>
            <w:r w:rsidR="00E97AEE" w:rsidRPr="005A5D70">
              <w:rPr>
                <w:rFonts w:cstheme="minorHAnsi"/>
                <w:sz w:val="24"/>
                <w:szCs w:val="24"/>
              </w:rPr>
              <w:t xml:space="preserve"> products, services or solutions </w:t>
            </w:r>
            <w:r w:rsidR="0044588C" w:rsidRPr="005A5D70">
              <w:rPr>
                <w:rFonts w:cstheme="minorHAnsi"/>
                <w:sz w:val="24"/>
                <w:szCs w:val="24"/>
              </w:rPr>
              <w:t xml:space="preserve">that </w:t>
            </w:r>
            <w:r w:rsidR="00E97AEE" w:rsidRPr="005A5D70">
              <w:rPr>
                <w:rFonts w:cstheme="minorHAnsi"/>
                <w:sz w:val="24"/>
                <w:szCs w:val="24"/>
              </w:rPr>
              <w:t xml:space="preserve">drive the </w:t>
            </w:r>
            <w:r w:rsidR="0044588C" w:rsidRPr="005A5D70">
              <w:rPr>
                <w:rFonts w:cstheme="minorHAnsi"/>
                <w:sz w:val="24"/>
                <w:szCs w:val="24"/>
              </w:rPr>
              <w:t xml:space="preserve">decarbonisation </w:t>
            </w:r>
            <w:r w:rsidR="00E97AEE" w:rsidRPr="005A5D70">
              <w:rPr>
                <w:rFonts w:cstheme="minorHAnsi"/>
                <w:sz w:val="24"/>
                <w:szCs w:val="24"/>
              </w:rPr>
              <w:t>of economic activities</w:t>
            </w:r>
            <w:r w:rsidR="0044588C" w:rsidRPr="005A5D70">
              <w:rPr>
                <w:rFonts w:cstheme="minorHAnsi"/>
                <w:sz w:val="24"/>
                <w:szCs w:val="24"/>
              </w:rPr>
              <w:t xml:space="preserve"> </w:t>
            </w:r>
            <w:r w:rsidR="004327AA" w:rsidRPr="005A5D70">
              <w:rPr>
                <w:rFonts w:cstheme="minorHAnsi"/>
                <w:sz w:val="24"/>
                <w:szCs w:val="24"/>
              </w:rPr>
              <w:t xml:space="preserve">or </w:t>
            </w:r>
            <w:r w:rsidR="0044588C" w:rsidRPr="005A5D70">
              <w:rPr>
                <w:rFonts w:cstheme="minorHAnsi"/>
                <w:sz w:val="24"/>
                <w:szCs w:val="24"/>
              </w:rPr>
              <w:t xml:space="preserve">help Singapore and Australia </w:t>
            </w:r>
            <w:r w:rsidR="000B2676" w:rsidRPr="005A5D70">
              <w:rPr>
                <w:rFonts w:cstheme="minorHAnsi"/>
                <w:sz w:val="24"/>
                <w:szCs w:val="24"/>
              </w:rPr>
              <w:t xml:space="preserve">transition to net zero emissions. </w:t>
            </w:r>
            <w:r w:rsidR="0044588C" w:rsidRPr="005A5D70">
              <w:rPr>
                <w:rFonts w:cstheme="minorHAnsi"/>
                <w:sz w:val="24"/>
                <w:szCs w:val="24"/>
              </w:rPr>
              <w:t xml:space="preserve"> </w:t>
            </w:r>
            <w:r w:rsidR="00E97AEE" w:rsidRPr="005A5D7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8BA8189" w14:textId="77777777" w:rsidR="000B2676" w:rsidRPr="005A5D70" w:rsidRDefault="000B2676" w:rsidP="002D5CF8">
            <w:pPr>
              <w:rPr>
                <w:rFonts w:cstheme="minorHAnsi"/>
              </w:rPr>
            </w:pPr>
          </w:p>
          <w:p w14:paraId="0807FC6B" w14:textId="73A8B6F5" w:rsidR="00507628" w:rsidRPr="005A5D70" w:rsidRDefault="000B2676" w:rsidP="00507628">
            <w:pPr>
              <w:rPr>
                <w:rFonts w:cstheme="minorHAnsi"/>
                <w:sz w:val="24"/>
                <w:szCs w:val="24"/>
              </w:rPr>
            </w:pPr>
            <w:r w:rsidRPr="005A5D70">
              <w:rPr>
                <w:rFonts w:cstheme="minorHAnsi"/>
                <w:sz w:val="24"/>
                <w:szCs w:val="24"/>
              </w:rPr>
              <w:t xml:space="preserve">Full details on this initiative, including the </w:t>
            </w:r>
            <w:r w:rsidR="0022341E" w:rsidRPr="005A5D70">
              <w:rPr>
                <w:rFonts w:cstheme="minorHAnsi"/>
                <w:sz w:val="24"/>
                <w:szCs w:val="24"/>
              </w:rPr>
              <w:t>process of applying for grants</w:t>
            </w:r>
            <w:r w:rsidR="0014170F">
              <w:rPr>
                <w:rFonts w:cstheme="minorHAnsi"/>
                <w:sz w:val="24"/>
                <w:szCs w:val="24"/>
              </w:rPr>
              <w:t>,</w:t>
            </w:r>
            <w:r w:rsidR="0022341E" w:rsidRPr="005A5D70">
              <w:rPr>
                <w:rFonts w:cstheme="minorHAnsi"/>
                <w:sz w:val="24"/>
                <w:szCs w:val="24"/>
              </w:rPr>
              <w:t xml:space="preserve"> </w:t>
            </w:r>
            <w:r w:rsidRPr="005A5D70">
              <w:rPr>
                <w:rFonts w:cstheme="minorHAnsi"/>
                <w:sz w:val="24"/>
                <w:szCs w:val="24"/>
              </w:rPr>
              <w:t xml:space="preserve">will be made available </w:t>
            </w:r>
            <w:r w:rsidR="001B4B95" w:rsidRPr="005A5D70">
              <w:rPr>
                <w:rFonts w:cstheme="minorHAnsi"/>
                <w:sz w:val="24"/>
                <w:szCs w:val="24"/>
              </w:rPr>
              <w:t>in the first quarter of 2023</w:t>
            </w:r>
            <w:r w:rsidRPr="005A5D70">
              <w:rPr>
                <w:rFonts w:cstheme="minorHAnsi"/>
                <w:sz w:val="24"/>
                <w:szCs w:val="24"/>
              </w:rPr>
              <w:t xml:space="preserve">. </w:t>
            </w:r>
            <w:r w:rsidR="008A6315" w:rsidRPr="005A5D70">
              <w:rPr>
                <w:rFonts w:cstheme="minorHAnsi"/>
                <w:sz w:val="24"/>
                <w:szCs w:val="24"/>
              </w:rPr>
              <w:t>Grant</w:t>
            </w:r>
            <w:r w:rsidR="00514249">
              <w:rPr>
                <w:rFonts w:cstheme="minorHAnsi"/>
                <w:sz w:val="24"/>
                <w:szCs w:val="24"/>
              </w:rPr>
              <w:t>s</w:t>
            </w:r>
            <w:r w:rsidR="001B4B95" w:rsidRPr="005A5D70">
              <w:rPr>
                <w:rFonts w:cstheme="minorHAnsi"/>
                <w:sz w:val="24"/>
                <w:szCs w:val="24"/>
              </w:rPr>
              <w:t xml:space="preserve"> </w:t>
            </w:r>
            <w:r w:rsidR="00514249">
              <w:rPr>
                <w:rFonts w:cstheme="minorHAnsi"/>
                <w:sz w:val="24"/>
                <w:szCs w:val="24"/>
              </w:rPr>
              <w:t xml:space="preserve">will support projects that </w:t>
            </w:r>
            <w:r w:rsidRPr="005A5D70">
              <w:rPr>
                <w:rFonts w:cstheme="minorHAnsi"/>
                <w:sz w:val="24"/>
                <w:szCs w:val="24"/>
              </w:rPr>
              <w:t xml:space="preserve">focus </w:t>
            </w:r>
            <w:r w:rsidR="0022341E" w:rsidRPr="005A5D70">
              <w:rPr>
                <w:rFonts w:cstheme="minorHAnsi"/>
                <w:sz w:val="24"/>
                <w:szCs w:val="24"/>
              </w:rPr>
              <w:t>on</w:t>
            </w:r>
            <w:r w:rsidR="00514249">
              <w:rPr>
                <w:rFonts w:cstheme="minorHAnsi"/>
                <w:sz w:val="24"/>
                <w:szCs w:val="24"/>
              </w:rPr>
              <w:t xml:space="preserve"> </w:t>
            </w:r>
            <w:r w:rsidR="00507628" w:rsidRPr="005A5D70">
              <w:rPr>
                <w:rFonts w:cstheme="minorHAnsi"/>
                <w:sz w:val="24"/>
                <w:szCs w:val="24"/>
              </w:rPr>
              <w:t xml:space="preserve">priority green economy </w:t>
            </w:r>
            <w:r w:rsidR="002D5CF8" w:rsidRPr="005A5D70">
              <w:rPr>
                <w:rFonts w:cstheme="minorHAnsi"/>
                <w:sz w:val="24"/>
                <w:szCs w:val="24"/>
              </w:rPr>
              <w:t>sectors</w:t>
            </w:r>
            <w:r w:rsidR="00507628" w:rsidRPr="005A5D70">
              <w:rPr>
                <w:rFonts w:cstheme="minorHAnsi"/>
                <w:sz w:val="24"/>
                <w:szCs w:val="24"/>
              </w:rPr>
              <w:t>, including</w:t>
            </w:r>
            <w:r w:rsidR="002D5CF8" w:rsidRPr="005A5D70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6365DED3" w14:textId="1AE4FD54" w:rsidR="00507628" w:rsidRPr="005A5D70" w:rsidRDefault="00507628" w:rsidP="002D5CF8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5A5D70">
              <w:rPr>
                <w:rFonts w:cstheme="minorHAnsi"/>
                <w:sz w:val="24"/>
                <w:szCs w:val="24"/>
              </w:rPr>
              <w:t xml:space="preserve">Renewable and clean </w:t>
            </w:r>
            <w:proofErr w:type="gramStart"/>
            <w:r w:rsidRPr="005A5D70">
              <w:rPr>
                <w:rFonts w:cstheme="minorHAnsi"/>
                <w:sz w:val="24"/>
                <w:szCs w:val="24"/>
              </w:rPr>
              <w:t>energy</w:t>
            </w:r>
            <w:r w:rsidR="0014170F">
              <w:rPr>
                <w:rFonts w:cstheme="minorHAnsi"/>
                <w:sz w:val="24"/>
                <w:szCs w:val="24"/>
              </w:rPr>
              <w:t>;</w:t>
            </w:r>
            <w:proofErr w:type="gramEnd"/>
          </w:p>
          <w:p w14:paraId="20D71242" w14:textId="468A4578" w:rsidR="00507628" w:rsidRPr="005A5D70" w:rsidRDefault="00EA3AE7" w:rsidP="002D5CF8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5A5D70">
              <w:rPr>
                <w:rFonts w:cstheme="minorHAnsi"/>
                <w:sz w:val="24"/>
                <w:szCs w:val="24"/>
              </w:rPr>
              <w:t xml:space="preserve">Sustainable </w:t>
            </w:r>
            <w:r w:rsidR="00507628" w:rsidRPr="005A5D70">
              <w:rPr>
                <w:rFonts w:cstheme="minorHAnsi"/>
                <w:sz w:val="24"/>
                <w:szCs w:val="24"/>
              </w:rPr>
              <w:t xml:space="preserve">Agribusiness and </w:t>
            </w:r>
            <w:proofErr w:type="gramStart"/>
            <w:r w:rsidR="00507628" w:rsidRPr="005A5D70">
              <w:rPr>
                <w:rFonts w:cstheme="minorHAnsi"/>
                <w:sz w:val="24"/>
                <w:szCs w:val="24"/>
              </w:rPr>
              <w:t>food</w:t>
            </w:r>
            <w:r w:rsidR="0014170F">
              <w:rPr>
                <w:rFonts w:cstheme="minorHAnsi"/>
                <w:sz w:val="24"/>
                <w:szCs w:val="24"/>
              </w:rPr>
              <w:t>;</w:t>
            </w:r>
            <w:proofErr w:type="gramEnd"/>
          </w:p>
          <w:p w14:paraId="4B4BE12E" w14:textId="625AB1A7" w:rsidR="00507628" w:rsidRPr="005A5D70" w:rsidRDefault="00507628" w:rsidP="002D5CF8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5A5D70">
              <w:rPr>
                <w:rFonts w:cstheme="minorHAnsi"/>
                <w:sz w:val="24"/>
                <w:szCs w:val="24"/>
              </w:rPr>
              <w:t xml:space="preserve">Built environment and </w:t>
            </w:r>
            <w:proofErr w:type="gramStart"/>
            <w:r w:rsidRPr="005A5D70">
              <w:rPr>
                <w:rFonts w:cstheme="minorHAnsi"/>
                <w:sz w:val="24"/>
                <w:szCs w:val="24"/>
              </w:rPr>
              <w:t>infrastructure</w:t>
            </w:r>
            <w:r w:rsidR="0014170F">
              <w:rPr>
                <w:rFonts w:cstheme="minorHAnsi"/>
                <w:sz w:val="24"/>
                <w:szCs w:val="24"/>
              </w:rPr>
              <w:t>;</w:t>
            </w:r>
            <w:proofErr w:type="gramEnd"/>
            <w:r w:rsidRPr="005A5D7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8746838" w14:textId="1A59A971" w:rsidR="002D5CF8" w:rsidRPr="005A5D70" w:rsidRDefault="002D5CF8" w:rsidP="002D5CF8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5A5D70">
              <w:rPr>
                <w:rFonts w:cstheme="minorHAnsi"/>
                <w:sz w:val="24"/>
                <w:szCs w:val="24"/>
              </w:rPr>
              <w:t xml:space="preserve">Advanced Manufacturing </w:t>
            </w:r>
            <w:r w:rsidR="0014170F">
              <w:rPr>
                <w:rFonts w:cstheme="minorHAnsi"/>
                <w:sz w:val="24"/>
                <w:szCs w:val="24"/>
              </w:rPr>
              <w:t>and</w:t>
            </w:r>
            <w:r w:rsidR="0014170F" w:rsidRPr="005A5D70">
              <w:rPr>
                <w:rFonts w:cstheme="minorHAnsi"/>
                <w:sz w:val="24"/>
                <w:szCs w:val="24"/>
              </w:rPr>
              <w:t xml:space="preserve"> </w:t>
            </w:r>
            <w:r w:rsidR="00EA3AE7" w:rsidRPr="005A5D70">
              <w:rPr>
                <w:rFonts w:cstheme="minorHAnsi"/>
                <w:sz w:val="24"/>
                <w:szCs w:val="24"/>
              </w:rPr>
              <w:t xml:space="preserve">Sustainable </w:t>
            </w:r>
            <w:proofErr w:type="gramStart"/>
            <w:r w:rsidRPr="005A5D70">
              <w:rPr>
                <w:rFonts w:cstheme="minorHAnsi"/>
                <w:sz w:val="24"/>
                <w:szCs w:val="24"/>
              </w:rPr>
              <w:t>Materials</w:t>
            </w:r>
            <w:r w:rsidR="0014170F">
              <w:rPr>
                <w:rFonts w:cstheme="minorHAnsi"/>
                <w:sz w:val="24"/>
                <w:szCs w:val="24"/>
              </w:rPr>
              <w:t>;</w:t>
            </w:r>
            <w:proofErr w:type="gramEnd"/>
            <w:r w:rsidRPr="005A5D7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36913AB" w14:textId="75FC5628" w:rsidR="00507628" w:rsidRPr="005A5D70" w:rsidRDefault="00507628" w:rsidP="002D5CF8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5A5D70">
              <w:rPr>
                <w:rFonts w:cstheme="minorHAnsi"/>
                <w:sz w:val="24"/>
                <w:szCs w:val="24"/>
              </w:rPr>
              <w:t xml:space="preserve">Waste management and circular </w:t>
            </w:r>
            <w:proofErr w:type="gramStart"/>
            <w:r w:rsidRPr="005A5D70">
              <w:rPr>
                <w:rFonts w:cstheme="minorHAnsi"/>
                <w:sz w:val="24"/>
                <w:szCs w:val="24"/>
              </w:rPr>
              <w:t>economy</w:t>
            </w:r>
            <w:r w:rsidR="0014170F">
              <w:rPr>
                <w:rFonts w:cstheme="minorHAnsi"/>
                <w:sz w:val="24"/>
                <w:szCs w:val="24"/>
              </w:rPr>
              <w:t>;</w:t>
            </w:r>
            <w:proofErr w:type="gramEnd"/>
          </w:p>
          <w:p w14:paraId="24CF2940" w14:textId="7CC60C8B" w:rsidR="002D5CF8" w:rsidRPr="005A5D70" w:rsidRDefault="00507628" w:rsidP="002D5CF8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5A5D70">
              <w:rPr>
                <w:rFonts w:cstheme="minorHAnsi"/>
                <w:sz w:val="24"/>
                <w:szCs w:val="24"/>
              </w:rPr>
              <w:t xml:space="preserve">Green </w:t>
            </w:r>
            <w:r w:rsidR="002D5CF8" w:rsidRPr="005A5D70">
              <w:rPr>
                <w:rFonts w:cstheme="minorHAnsi"/>
                <w:sz w:val="24"/>
                <w:szCs w:val="24"/>
              </w:rPr>
              <w:t xml:space="preserve">Transportation </w:t>
            </w:r>
            <w:r w:rsidR="0014170F">
              <w:rPr>
                <w:rFonts w:cstheme="minorHAnsi"/>
                <w:sz w:val="24"/>
                <w:szCs w:val="24"/>
              </w:rPr>
              <w:t>and</w:t>
            </w:r>
            <w:r w:rsidR="0014170F" w:rsidRPr="005A5D70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="00D25290" w:rsidRPr="005A5D70">
              <w:rPr>
                <w:rFonts w:cstheme="minorHAnsi"/>
                <w:sz w:val="24"/>
                <w:szCs w:val="24"/>
              </w:rPr>
              <w:t>Logistics</w:t>
            </w:r>
            <w:r w:rsidR="0014170F">
              <w:rPr>
                <w:rFonts w:cstheme="minorHAnsi"/>
                <w:sz w:val="24"/>
                <w:szCs w:val="24"/>
              </w:rPr>
              <w:t>;</w:t>
            </w:r>
            <w:proofErr w:type="gramEnd"/>
            <w:r w:rsidR="00D25290" w:rsidRPr="005A5D7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4BE8F7A" w14:textId="3D1327A9" w:rsidR="002D5CF8" w:rsidRPr="005A5D70" w:rsidRDefault="002D5CF8" w:rsidP="002D5CF8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5A5D70">
              <w:rPr>
                <w:rFonts w:cstheme="minorHAnsi"/>
                <w:sz w:val="24"/>
                <w:szCs w:val="24"/>
              </w:rPr>
              <w:t>Energy Efficient Technologies and Products</w:t>
            </w:r>
            <w:r w:rsidR="0014170F">
              <w:rPr>
                <w:rFonts w:cstheme="minorHAnsi"/>
                <w:sz w:val="24"/>
                <w:szCs w:val="24"/>
              </w:rPr>
              <w:t>; and</w:t>
            </w:r>
            <w:r w:rsidRPr="005A5D70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0D931B4F" w14:textId="35A568C8" w:rsidR="002D5CF8" w:rsidRPr="005A5D70" w:rsidRDefault="002D5CF8" w:rsidP="002D5CF8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5A5D70">
              <w:rPr>
                <w:rFonts w:cstheme="minorHAnsi"/>
                <w:sz w:val="24"/>
                <w:szCs w:val="24"/>
              </w:rPr>
              <w:t>Environmental Monitoring, Analysis and Assessment</w:t>
            </w:r>
            <w:r w:rsidR="0014170F">
              <w:rPr>
                <w:rFonts w:cstheme="minorHAnsi"/>
                <w:sz w:val="24"/>
                <w:szCs w:val="24"/>
              </w:rPr>
              <w:t>.</w:t>
            </w:r>
            <w:r w:rsidRPr="005A5D7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FC76125" w14:textId="387DC419" w:rsidR="0022341E" w:rsidRPr="005A5D70" w:rsidRDefault="0022341E" w:rsidP="001B4B9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7D51" w:rsidRPr="005A5D70" w14:paraId="0A48E898" w14:textId="77777777" w:rsidTr="00B33C62">
        <w:tc>
          <w:tcPr>
            <w:tcW w:w="2263" w:type="dxa"/>
            <w:shd w:val="clear" w:color="auto" w:fill="E2EFD9" w:themeFill="accent6" w:themeFillTint="33"/>
          </w:tcPr>
          <w:p w14:paraId="49C5797B" w14:textId="77777777" w:rsidR="00317D51" w:rsidRDefault="00317D51" w:rsidP="00B33C6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Duration</w:t>
            </w:r>
          </w:p>
          <w:p w14:paraId="0ECCBCBA" w14:textId="1D225938" w:rsidR="00317D51" w:rsidRPr="005A5D70" w:rsidRDefault="00317D51" w:rsidP="00B33C6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753" w:type="dxa"/>
          </w:tcPr>
          <w:p w14:paraId="5F70ED35" w14:textId="7C796E6D" w:rsidR="00317D51" w:rsidRPr="005A5D70" w:rsidRDefault="00317D51" w:rsidP="00D20C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To commence </w:t>
            </w:r>
            <w:r w:rsidR="00106AB2">
              <w:rPr>
                <w:rFonts w:cstheme="minorHAnsi"/>
                <w:sz w:val="24"/>
                <w:szCs w:val="24"/>
              </w:rPr>
              <w:t>in first quarter 2023.</w:t>
            </w:r>
          </w:p>
        </w:tc>
      </w:tr>
      <w:tr w:rsidR="00D20C9F" w:rsidRPr="005A5D70" w14:paraId="0862FE02" w14:textId="77777777" w:rsidTr="00B33C62">
        <w:tc>
          <w:tcPr>
            <w:tcW w:w="2263" w:type="dxa"/>
            <w:shd w:val="clear" w:color="auto" w:fill="E2EFD9" w:themeFill="accent6" w:themeFillTint="33"/>
          </w:tcPr>
          <w:p w14:paraId="32931C59" w14:textId="4EA131CF" w:rsidR="00D20C9F" w:rsidRPr="005A5D70" w:rsidRDefault="00D20C9F" w:rsidP="00B33C6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A5D70">
              <w:rPr>
                <w:rFonts w:cstheme="minorHAnsi"/>
                <w:b/>
                <w:bCs/>
                <w:sz w:val="24"/>
                <w:szCs w:val="24"/>
              </w:rPr>
              <w:t xml:space="preserve">Governance Process </w:t>
            </w:r>
          </w:p>
        </w:tc>
        <w:tc>
          <w:tcPr>
            <w:tcW w:w="6753" w:type="dxa"/>
          </w:tcPr>
          <w:p w14:paraId="7D900951" w14:textId="403A35E0" w:rsidR="00765014" w:rsidRPr="005A5D70" w:rsidRDefault="0022341E" w:rsidP="00D20C9F">
            <w:pPr>
              <w:rPr>
                <w:rFonts w:cstheme="minorHAnsi"/>
                <w:sz w:val="24"/>
                <w:szCs w:val="24"/>
              </w:rPr>
            </w:pPr>
            <w:r w:rsidRPr="005A5D70">
              <w:rPr>
                <w:rFonts w:cstheme="minorHAnsi"/>
                <w:sz w:val="24"/>
                <w:szCs w:val="24"/>
              </w:rPr>
              <w:t xml:space="preserve">Lead agencies will report </w:t>
            </w:r>
            <w:r w:rsidR="00765014" w:rsidRPr="005A5D70">
              <w:rPr>
                <w:rFonts w:cstheme="minorHAnsi"/>
                <w:sz w:val="24"/>
                <w:szCs w:val="24"/>
              </w:rPr>
              <w:t xml:space="preserve">on the design, </w:t>
            </w:r>
            <w:proofErr w:type="gramStart"/>
            <w:r w:rsidR="00765014" w:rsidRPr="005A5D70">
              <w:rPr>
                <w:rFonts w:cstheme="minorHAnsi"/>
                <w:sz w:val="24"/>
                <w:szCs w:val="24"/>
              </w:rPr>
              <w:t>development</w:t>
            </w:r>
            <w:proofErr w:type="gramEnd"/>
            <w:r w:rsidR="00765014" w:rsidRPr="005A5D70">
              <w:rPr>
                <w:rFonts w:cstheme="minorHAnsi"/>
                <w:sz w:val="24"/>
                <w:szCs w:val="24"/>
              </w:rPr>
              <w:t xml:space="preserve"> and implementation of the</w:t>
            </w:r>
            <w:r w:rsidR="00DA3B02">
              <w:rPr>
                <w:rFonts w:cstheme="minorHAnsi"/>
                <w:sz w:val="24"/>
                <w:szCs w:val="24"/>
              </w:rPr>
              <w:t xml:space="preserve"> initiative</w:t>
            </w:r>
            <w:r w:rsidR="0084015F">
              <w:rPr>
                <w:rFonts w:cstheme="minorHAnsi"/>
                <w:sz w:val="24"/>
                <w:szCs w:val="24"/>
              </w:rPr>
              <w:t xml:space="preserve"> </w:t>
            </w:r>
            <w:r w:rsidR="00765014" w:rsidRPr="005A5D70">
              <w:rPr>
                <w:rFonts w:cstheme="minorHAnsi"/>
                <w:sz w:val="24"/>
                <w:szCs w:val="24"/>
              </w:rPr>
              <w:t>to the GEA Action Team.</w:t>
            </w:r>
          </w:p>
          <w:p w14:paraId="50B344CB" w14:textId="77777777" w:rsidR="00D20C9F" w:rsidRPr="005A5D70" w:rsidRDefault="00D20C9F" w:rsidP="0076501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A72B86" w:rsidRPr="005A5D70" w14:paraId="5221F71F" w14:textId="77777777" w:rsidTr="00B33C62">
        <w:tc>
          <w:tcPr>
            <w:tcW w:w="2263" w:type="dxa"/>
            <w:shd w:val="clear" w:color="auto" w:fill="E2EFD9" w:themeFill="accent6" w:themeFillTint="33"/>
          </w:tcPr>
          <w:p w14:paraId="71A9FDE9" w14:textId="01A81E93" w:rsidR="00A72B86" w:rsidRPr="005A5D70" w:rsidRDefault="00A72B86" w:rsidP="00D20C9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A5D70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="00854956" w:rsidRPr="005A5D70">
              <w:rPr>
                <w:rFonts w:cstheme="minorHAnsi"/>
                <w:b/>
                <w:bCs/>
                <w:sz w:val="24"/>
                <w:szCs w:val="24"/>
              </w:rPr>
              <w:t>articipating Agencies</w:t>
            </w:r>
          </w:p>
        </w:tc>
        <w:tc>
          <w:tcPr>
            <w:tcW w:w="6753" w:type="dxa"/>
          </w:tcPr>
          <w:p w14:paraId="70580746" w14:textId="77777777" w:rsidR="0014170F" w:rsidRPr="005A5D70" w:rsidRDefault="0014170F" w:rsidP="0014170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5A5D70">
              <w:rPr>
                <w:rFonts w:cstheme="minorHAnsi"/>
                <w:sz w:val="24"/>
                <w:szCs w:val="24"/>
                <w:u w:val="single"/>
              </w:rPr>
              <w:t>S</w:t>
            </w:r>
            <w:r>
              <w:rPr>
                <w:rFonts w:cstheme="minorHAnsi"/>
                <w:sz w:val="24"/>
                <w:szCs w:val="24"/>
                <w:u w:val="single"/>
              </w:rPr>
              <w:t>ingapore</w:t>
            </w:r>
          </w:p>
          <w:p w14:paraId="7C1C0ABA" w14:textId="77777777" w:rsidR="0014170F" w:rsidRPr="005A5D70" w:rsidRDefault="0014170F" w:rsidP="001417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Enterprise Singapore</w:t>
            </w:r>
          </w:p>
          <w:p w14:paraId="5D4D05F3" w14:textId="77777777" w:rsidR="0014170F" w:rsidRDefault="0014170F" w:rsidP="00601124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1DFA07D3" w14:textId="178B7D27" w:rsidR="002D5CF8" w:rsidRPr="005A5D70" w:rsidRDefault="009F08C5" w:rsidP="00601124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Australia</w:t>
            </w:r>
          </w:p>
          <w:p w14:paraId="1A7C4B2A" w14:textId="75B20AA6" w:rsidR="00601124" w:rsidRPr="005A5D70" w:rsidRDefault="00601124" w:rsidP="00601124">
            <w:pPr>
              <w:rPr>
                <w:rFonts w:cstheme="minorHAnsi"/>
                <w:sz w:val="24"/>
                <w:szCs w:val="24"/>
              </w:rPr>
            </w:pPr>
            <w:r w:rsidRPr="005A5D70">
              <w:rPr>
                <w:rFonts w:cstheme="minorHAnsi"/>
                <w:sz w:val="24"/>
                <w:szCs w:val="24"/>
              </w:rPr>
              <w:t>Department of Foreign Affairs and Trade</w:t>
            </w:r>
          </w:p>
          <w:p w14:paraId="42264B42" w14:textId="75974CCC" w:rsidR="00A72B86" w:rsidRPr="005A5D70" w:rsidRDefault="009F08C5" w:rsidP="00A45EC9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Australia</w:t>
            </w:r>
            <w:r w:rsidR="00DA1527">
              <w:rPr>
                <w:rFonts w:cstheme="minorHAnsi"/>
                <w:sz w:val="24"/>
                <w:szCs w:val="24"/>
              </w:rPr>
              <w:t xml:space="preserve">n </w:t>
            </w:r>
            <w:r w:rsidR="008B6671">
              <w:rPr>
                <w:rFonts w:cstheme="minorHAnsi"/>
                <w:sz w:val="24"/>
                <w:szCs w:val="24"/>
              </w:rPr>
              <w:t>Trade and Investment Commission</w:t>
            </w:r>
          </w:p>
        </w:tc>
      </w:tr>
      <w:bookmarkEnd w:id="0"/>
    </w:tbl>
    <w:p w14:paraId="6449DE02" w14:textId="1E76CE4F" w:rsidR="00A72B86" w:rsidRPr="005A5D70" w:rsidRDefault="00A72B86" w:rsidP="00A45EC9">
      <w:pPr>
        <w:rPr>
          <w:rFonts w:cstheme="minorHAnsi"/>
        </w:rPr>
      </w:pPr>
    </w:p>
    <w:sectPr w:rsidR="00A72B86" w:rsidRPr="005A5D70" w:rsidSect="0084015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D8BFE" w14:textId="77777777" w:rsidR="003E42CB" w:rsidRDefault="003E42CB" w:rsidP="005F4E51">
      <w:pPr>
        <w:spacing w:after="0" w:line="240" w:lineRule="auto"/>
      </w:pPr>
      <w:r>
        <w:separator/>
      </w:r>
    </w:p>
  </w:endnote>
  <w:endnote w:type="continuationSeparator" w:id="0">
    <w:p w14:paraId="322F1B5D" w14:textId="77777777" w:rsidR="003E42CB" w:rsidRDefault="003E42CB" w:rsidP="005F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11DC" w14:textId="77777777" w:rsidR="000E19AA" w:rsidRDefault="000E19AA" w:rsidP="00FC522A">
    <w:pPr>
      <w:pStyle w:val="Footer"/>
      <w:jc w:val="center"/>
      <w:rPr>
        <w:i/>
        <w:iCs/>
      </w:rPr>
    </w:pPr>
    <w:r>
      <w:rPr>
        <w:i/>
        <w:iCs/>
      </w:rPr>
      <w:t>OFFICIAL</w:t>
    </w:r>
  </w:p>
  <w:p w14:paraId="439DD7FE" w14:textId="40733404" w:rsidR="00376365" w:rsidRPr="000E19AA" w:rsidRDefault="00376365" w:rsidP="00FC522A">
    <w:pPr>
      <w:pStyle w:val="Footer"/>
      <w:jc w:val="cen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80BA1" w14:textId="77777777" w:rsidR="003E42CB" w:rsidRDefault="003E42CB" w:rsidP="005F4E51">
      <w:pPr>
        <w:spacing w:after="0" w:line="240" w:lineRule="auto"/>
      </w:pPr>
      <w:r>
        <w:separator/>
      </w:r>
    </w:p>
  </w:footnote>
  <w:footnote w:type="continuationSeparator" w:id="0">
    <w:p w14:paraId="2C3164E4" w14:textId="77777777" w:rsidR="003E42CB" w:rsidRDefault="003E42CB" w:rsidP="005F4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DFC0B" w14:textId="62245890" w:rsidR="00376365" w:rsidRDefault="00456014">
    <w:pPr>
      <w:pStyle w:val="Header"/>
    </w:pPr>
    <w:r>
      <w:rPr>
        <w:noProof/>
      </w:rPr>
      <w:pict w14:anchorId="16B2BD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9079" o:spid="_x0000_s1026" type="#_x0000_t136" style="position:absolute;margin-left:0;margin-top:0;width:397.7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86500" w14:textId="495D963A" w:rsidR="00376365" w:rsidRPr="00A85D87" w:rsidRDefault="00376365" w:rsidP="00FC522A">
    <w:pPr>
      <w:pStyle w:val="Header"/>
      <w:jc w:val="center"/>
      <w:rPr>
        <w:i/>
        <w:iCs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AD80" w14:textId="1FD7EA8B" w:rsidR="00376365" w:rsidRDefault="00456014">
    <w:pPr>
      <w:pStyle w:val="Header"/>
    </w:pPr>
    <w:r>
      <w:rPr>
        <w:noProof/>
      </w:rPr>
      <w:pict w14:anchorId="70DB15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09078" o:spid="_x0000_s1025" type="#_x0000_t136" style="position:absolute;margin-left:0;margin-top:0;width:397.7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5321"/>
    <w:multiLevelType w:val="hybridMultilevel"/>
    <w:tmpl w:val="D80027B0"/>
    <w:lvl w:ilvl="0" w:tplc="F05C9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B97258"/>
    <w:multiLevelType w:val="hybridMultilevel"/>
    <w:tmpl w:val="8438C672"/>
    <w:lvl w:ilvl="0" w:tplc="97BCB2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32C0B"/>
    <w:multiLevelType w:val="hybridMultilevel"/>
    <w:tmpl w:val="89B8E264"/>
    <w:lvl w:ilvl="0" w:tplc="65D65AD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237219"/>
    <w:multiLevelType w:val="hybridMultilevel"/>
    <w:tmpl w:val="BF6C3AD0"/>
    <w:lvl w:ilvl="0" w:tplc="C51EAA9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266724"/>
    <w:multiLevelType w:val="hybridMultilevel"/>
    <w:tmpl w:val="4F32A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C7C1A"/>
    <w:multiLevelType w:val="hybridMultilevel"/>
    <w:tmpl w:val="F70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D59F4"/>
    <w:multiLevelType w:val="hybridMultilevel"/>
    <w:tmpl w:val="0BD41364"/>
    <w:lvl w:ilvl="0" w:tplc="018473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94C7C"/>
    <w:multiLevelType w:val="hybridMultilevel"/>
    <w:tmpl w:val="DA020AD4"/>
    <w:lvl w:ilvl="0" w:tplc="76F4D25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4B3AB6"/>
    <w:multiLevelType w:val="hybridMultilevel"/>
    <w:tmpl w:val="546AC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513A4"/>
    <w:multiLevelType w:val="hybridMultilevel"/>
    <w:tmpl w:val="5A38A0B0"/>
    <w:lvl w:ilvl="0" w:tplc="E012CB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9562D5"/>
    <w:multiLevelType w:val="hybridMultilevel"/>
    <w:tmpl w:val="E918C8EA"/>
    <w:lvl w:ilvl="0" w:tplc="53F67C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8C4F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B270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FA6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2A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AE84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7C1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646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E8E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65D0F"/>
    <w:multiLevelType w:val="multilevel"/>
    <w:tmpl w:val="B1FA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394B0D"/>
    <w:multiLevelType w:val="multilevel"/>
    <w:tmpl w:val="E92A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10"/>
  </w:num>
  <w:num w:numId="9">
    <w:abstractNumId w:val="8"/>
  </w:num>
  <w:num w:numId="10">
    <w:abstractNumId w:val="5"/>
  </w:num>
  <w:num w:numId="11">
    <w:abstractNumId w:val="4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E51"/>
    <w:rsid w:val="00002238"/>
    <w:rsid w:val="00013029"/>
    <w:rsid w:val="00043A1C"/>
    <w:rsid w:val="00052A21"/>
    <w:rsid w:val="00070A3D"/>
    <w:rsid w:val="00090F58"/>
    <w:rsid w:val="000A674A"/>
    <w:rsid w:val="000B19BB"/>
    <w:rsid w:val="000B2676"/>
    <w:rsid w:val="000D12F1"/>
    <w:rsid w:val="000D69EE"/>
    <w:rsid w:val="000E19AA"/>
    <w:rsid w:val="00106AB2"/>
    <w:rsid w:val="0014170F"/>
    <w:rsid w:val="001535AD"/>
    <w:rsid w:val="00163AD3"/>
    <w:rsid w:val="00170115"/>
    <w:rsid w:val="00186B9F"/>
    <w:rsid w:val="001A3107"/>
    <w:rsid w:val="001B4B95"/>
    <w:rsid w:val="001C7E01"/>
    <w:rsid w:val="001D2D12"/>
    <w:rsid w:val="00204376"/>
    <w:rsid w:val="002165AA"/>
    <w:rsid w:val="0022341E"/>
    <w:rsid w:val="00232337"/>
    <w:rsid w:val="00251FDC"/>
    <w:rsid w:val="0025293F"/>
    <w:rsid w:val="0025394B"/>
    <w:rsid w:val="00264680"/>
    <w:rsid w:val="002716BB"/>
    <w:rsid w:val="002977E9"/>
    <w:rsid w:val="002A255A"/>
    <w:rsid w:val="002B2950"/>
    <w:rsid w:val="002B37BB"/>
    <w:rsid w:val="002C22FB"/>
    <w:rsid w:val="002D4F0D"/>
    <w:rsid w:val="002D5CF8"/>
    <w:rsid w:val="00310E45"/>
    <w:rsid w:val="00317D51"/>
    <w:rsid w:val="00330C17"/>
    <w:rsid w:val="00345DD5"/>
    <w:rsid w:val="00376365"/>
    <w:rsid w:val="00395124"/>
    <w:rsid w:val="003B5E67"/>
    <w:rsid w:val="003C5F69"/>
    <w:rsid w:val="003D5FD8"/>
    <w:rsid w:val="003E42CB"/>
    <w:rsid w:val="003E7E2A"/>
    <w:rsid w:val="0040325A"/>
    <w:rsid w:val="00415777"/>
    <w:rsid w:val="004327AA"/>
    <w:rsid w:val="004413FF"/>
    <w:rsid w:val="00442A67"/>
    <w:rsid w:val="0044588C"/>
    <w:rsid w:val="00466988"/>
    <w:rsid w:val="0047490C"/>
    <w:rsid w:val="004A6CD6"/>
    <w:rsid w:val="004B55D1"/>
    <w:rsid w:val="004C2446"/>
    <w:rsid w:val="004F3A32"/>
    <w:rsid w:val="004F6E51"/>
    <w:rsid w:val="005008A8"/>
    <w:rsid w:val="00507628"/>
    <w:rsid w:val="0051209B"/>
    <w:rsid w:val="00513045"/>
    <w:rsid w:val="00514249"/>
    <w:rsid w:val="0051725B"/>
    <w:rsid w:val="00535C37"/>
    <w:rsid w:val="00550244"/>
    <w:rsid w:val="005504A6"/>
    <w:rsid w:val="005614E4"/>
    <w:rsid w:val="00566EE4"/>
    <w:rsid w:val="00567A46"/>
    <w:rsid w:val="00573391"/>
    <w:rsid w:val="00587497"/>
    <w:rsid w:val="005A3829"/>
    <w:rsid w:val="005A5D70"/>
    <w:rsid w:val="005A6D6C"/>
    <w:rsid w:val="005C763B"/>
    <w:rsid w:val="005D3737"/>
    <w:rsid w:val="005E2A88"/>
    <w:rsid w:val="005F4211"/>
    <w:rsid w:val="005F4E51"/>
    <w:rsid w:val="005F72B5"/>
    <w:rsid w:val="00601124"/>
    <w:rsid w:val="006319E8"/>
    <w:rsid w:val="00631BB9"/>
    <w:rsid w:val="00676348"/>
    <w:rsid w:val="006770A7"/>
    <w:rsid w:val="006C08DB"/>
    <w:rsid w:val="006E0421"/>
    <w:rsid w:val="006F7D7A"/>
    <w:rsid w:val="007214E6"/>
    <w:rsid w:val="0072694D"/>
    <w:rsid w:val="00733DBB"/>
    <w:rsid w:val="007366EA"/>
    <w:rsid w:val="00765014"/>
    <w:rsid w:val="007673E9"/>
    <w:rsid w:val="007723AD"/>
    <w:rsid w:val="0078088D"/>
    <w:rsid w:val="00783BDB"/>
    <w:rsid w:val="00794D57"/>
    <w:rsid w:val="007A06CB"/>
    <w:rsid w:val="007B2A65"/>
    <w:rsid w:val="007D2AAD"/>
    <w:rsid w:val="008042FB"/>
    <w:rsid w:val="0081050E"/>
    <w:rsid w:val="00811110"/>
    <w:rsid w:val="008207D0"/>
    <w:rsid w:val="008354D2"/>
    <w:rsid w:val="0084015F"/>
    <w:rsid w:val="00846B43"/>
    <w:rsid w:val="00850426"/>
    <w:rsid w:val="00854369"/>
    <w:rsid w:val="00854956"/>
    <w:rsid w:val="00856578"/>
    <w:rsid w:val="00886012"/>
    <w:rsid w:val="008952A8"/>
    <w:rsid w:val="008A6315"/>
    <w:rsid w:val="008A6788"/>
    <w:rsid w:val="008B05CF"/>
    <w:rsid w:val="008B6671"/>
    <w:rsid w:val="008C71A0"/>
    <w:rsid w:val="008E4859"/>
    <w:rsid w:val="008F07D4"/>
    <w:rsid w:val="00905D6B"/>
    <w:rsid w:val="00922CBE"/>
    <w:rsid w:val="009836A8"/>
    <w:rsid w:val="009D4A33"/>
    <w:rsid w:val="009F08C5"/>
    <w:rsid w:val="00A21A36"/>
    <w:rsid w:val="00A23222"/>
    <w:rsid w:val="00A34145"/>
    <w:rsid w:val="00A434FB"/>
    <w:rsid w:val="00A45EC9"/>
    <w:rsid w:val="00A5575D"/>
    <w:rsid w:val="00A72B86"/>
    <w:rsid w:val="00A85D87"/>
    <w:rsid w:val="00A91C26"/>
    <w:rsid w:val="00AF7426"/>
    <w:rsid w:val="00B44FBE"/>
    <w:rsid w:val="00B523C6"/>
    <w:rsid w:val="00B552BE"/>
    <w:rsid w:val="00B977EC"/>
    <w:rsid w:val="00BA486F"/>
    <w:rsid w:val="00BA5A20"/>
    <w:rsid w:val="00BE0F5C"/>
    <w:rsid w:val="00C35AFA"/>
    <w:rsid w:val="00C4345C"/>
    <w:rsid w:val="00C73A1E"/>
    <w:rsid w:val="00C91785"/>
    <w:rsid w:val="00CE7BC0"/>
    <w:rsid w:val="00D20C9F"/>
    <w:rsid w:val="00D25290"/>
    <w:rsid w:val="00D3577B"/>
    <w:rsid w:val="00D81C21"/>
    <w:rsid w:val="00D84075"/>
    <w:rsid w:val="00D841A9"/>
    <w:rsid w:val="00D86168"/>
    <w:rsid w:val="00DA1527"/>
    <w:rsid w:val="00DA3B02"/>
    <w:rsid w:val="00DB49CA"/>
    <w:rsid w:val="00DC109F"/>
    <w:rsid w:val="00DE74A5"/>
    <w:rsid w:val="00DF048A"/>
    <w:rsid w:val="00DF302A"/>
    <w:rsid w:val="00DF4F8D"/>
    <w:rsid w:val="00E32107"/>
    <w:rsid w:val="00E3659E"/>
    <w:rsid w:val="00E46F74"/>
    <w:rsid w:val="00E7609A"/>
    <w:rsid w:val="00E95970"/>
    <w:rsid w:val="00E97AEE"/>
    <w:rsid w:val="00EA3AE7"/>
    <w:rsid w:val="00ED6E28"/>
    <w:rsid w:val="00EF2050"/>
    <w:rsid w:val="00F02711"/>
    <w:rsid w:val="00F126FE"/>
    <w:rsid w:val="00F2420E"/>
    <w:rsid w:val="00F34F9D"/>
    <w:rsid w:val="00F43B00"/>
    <w:rsid w:val="00FC522A"/>
    <w:rsid w:val="00FD3E6B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DD0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E51"/>
  </w:style>
  <w:style w:type="paragraph" w:styleId="Heading1">
    <w:name w:val="heading 1"/>
    <w:basedOn w:val="Normal"/>
    <w:next w:val="Normal"/>
    <w:link w:val="Heading1Char"/>
    <w:uiPriority w:val="9"/>
    <w:qFormat/>
    <w:rsid w:val="00BA486F"/>
    <w:pPr>
      <w:outlineLvl w:val="0"/>
    </w:pPr>
    <w:rPr>
      <w:rFonts w:cstheme="min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E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4E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4E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4E51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6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365"/>
  </w:style>
  <w:style w:type="paragraph" w:styleId="Footer">
    <w:name w:val="footer"/>
    <w:basedOn w:val="Normal"/>
    <w:link w:val="FooterChar"/>
    <w:uiPriority w:val="99"/>
    <w:unhideWhenUsed/>
    <w:rsid w:val="00376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365"/>
  </w:style>
  <w:style w:type="table" w:styleId="TableGrid">
    <w:name w:val="Table Grid"/>
    <w:basedOn w:val="TableNormal"/>
    <w:uiPriority w:val="39"/>
    <w:rsid w:val="00794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A88"/>
    <w:rPr>
      <w:b/>
      <w:bCs/>
      <w:sz w:val="20"/>
      <w:szCs w:val="20"/>
    </w:rPr>
  </w:style>
  <w:style w:type="paragraph" w:customStyle="1" w:styleId="paragraph">
    <w:name w:val="paragraph"/>
    <w:basedOn w:val="Normal"/>
    <w:rsid w:val="00DE7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DE74A5"/>
  </w:style>
  <w:style w:type="character" w:customStyle="1" w:styleId="eop">
    <w:name w:val="eop"/>
    <w:basedOn w:val="DefaultParagraphFont"/>
    <w:rsid w:val="00DE74A5"/>
  </w:style>
  <w:style w:type="paragraph" w:styleId="Revision">
    <w:name w:val="Revision"/>
    <w:hidden/>
    <w:uiPriority w:val="99"/>
    <w:semiHidden/>
    <w:rsid w:val="00C35AF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A486F"/>
    <w:rPr>
      <w:rFonts w:cstheme="minorHAns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1679</Characters>
  <Application>Microsoft Office Word</Application>
  <DocSecurity>0</DocSecurity>
  <Lines>53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B: 6.1 Singapore-Australia Go-Green Co-Innovation Program</vt:lpstr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B: 6.1 Singapore-Australia Go-Green Co-Innovation Program</dc:title>
  <dc:subject/>
  <dc:creator/>
  <cp:keywords>[SEC=OFFICIAL]</cp:keywords>
  <dc:description/>
  <cp:lastModifiedBy/>
  <cp:revision>1</cp:revision>
  <dcterms:created xsi:type="dcterms:W3CDTF">2022-10-14T06:40:00Z</dcterms:created>
  <dcterms:modified xsi:type="dcterms:W3CDTF">2022-10-16T21:57:00Z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SecurityClassification">
    <vt:lpwstr>OFFICIAL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D9F6E5C82DFAF7AB6E3D596D48DD43C72EDFDAB4</vt:lpwstr>
  </property>
  <property fmtid="{D5CDD505-2E9C-101B-9397-08002B2CF9AE}" pid="9" name="PM_Originating_FileId">
    <vt:lpwstr>CF0570168E3A434DACE88781A77F1AFC</vt:lpwstr>
  </property>
  <property fmtid="{D5CDD505-2E9C-101B-9397-08002B2CF9AE}" pid="10" name="PM_ProtectiveMarkingValue_Footer">
    <vt:lpwstr>OFFICIAL</vt:lpwstr>
  </property>
  <property fmtid="{D5CDD505-2E9C-101B-9397-08002B2CF9AE}" pid="11" name="MSIP_Label_153db910-0838-4c35-bb3a-1ee21aa199ac_ActionId">
    <vt:lpwstr>3d54117e-5aaf-4d82-adee-416d07dca9cc</vt:lpwstr>
  </property>
  <property fmtid="{D5CDD505-2E9C-101B-9397-08002B2CF9AE}" pid="12" name="PM_ProtectiveMarkingValue_Header">
    <vt:lpwstr>OFFICIAL</vt:lpwstr>
  </property>
  <property fmtid="{D5CDD505-2E9C-101B-9397-08002B2CF9AE}" pid="13" name="PM_OriginationTimeStamp">
    <vt:lpwstr>2022-10-16T21:57:33Z</vt:lpwstr>
  </property>
  <property fmtid="{D5CDD505-2E9C-101B-9397-08002B2CF9AE}" pid="14" name="PM_ProtectiveMarkingImage_Footer">
    <vt:lpwstr>C:\Program Files (x86)\Common Files\janusNET Shared\janusSEAL\Images\DocumentSlashBlue.png</vt:lpwstr>
  </property>
  <property fmtid="{D5CDD505-2E9C-101B-9397-08002B2CF9AE}" pid="15" name="PM_Namespace">
    <vt:lpwstr>gov.au</vt:lpwstr>
  </property>
  <property fmtid="{D5CDD505-2E9C-101B-9397-08002B2CF9AE}" pid="16" name="PM_Version">
    <vt:lpwstr>2018.4</vt:lpwstr>
  </property>
  <property fmtid="{D5CDD505-2E9C-101B-9397-08002B2CF9AE}" pid="17" name="PM_Note">
    <vt:lpwstr/>
  </property>
  <property fmtid="{D5CDD505-2E9C-101B-9397-08002B2CF9AE}" pid="18" name="MSIP_Label_153db910-0838-4c35-bb3a-1ee21aa199ac_ContentBits">
    <vt:lpwstr>0</vt:lpwstr>
  </property>
  <property fmtid="{D5CDD505-2E9C-101B-9397-08002B2CF9AE}" pid="19" name="PM_Markers">
    <vt:lpwstr/>
  </property>
  <property fmtid="{D5CDD505-2E9C-101B-9397-08002B2CF9AE}" pid="20" name="PM_Hash_Version">
    <vt:lpwstr>2018.0</vt:lpwstr>
  </property>
  <property fmtid="{D5CDD505-2E9C-101B-9397-08002B2CF9AE}" pid="21" name="PM_Hash_Salt_Prev">
    <vt:lpwstr>FCCC7E5717328E8C59A7ED31094D1FC0</vt:lpwstr>
  </property>
  <property fmtid="{D5CDD505-2E9C-101B-9397-08002B2CF9AE}" pid="22" name="PM_Hash_Salt">
    <vt:lpwstr>3B4127704863EF685AF7D094484B055E</vt:lpwstr>
  </property>
  <property fmtid="{D5CDD505-2E9C-101B-9397-08002B2CF9AE}" pid="23" name="PM_Hash_SHA1">
    <vt:lpwstr>C9E16861A88B1D55AAD7E0684A1080BB5CF709A5</vt:lpwstr>
  </property>
  <property fmtid="{D5CDD505-2E9C-101B-9397-08002B2CF9AE}" pid="24" name="PM_SecurityClassification_Prev">
    <vt:lpwstr>OFFICIAL</vt:lpwstr>
  </property>
  <property fmtid="{D5CDD505-2E9C-101B-9397-08002B2CF9AE}" pid="25" name="PM_Qualifier_Prev">
    <vt:lpwstr/>
  </property>
  <property fmtid="{D5CDD505-2E9C-101B-9397-08002B2CF9AE}" pid="26" name="MSIP_Label_153db910-0838-4c35-bb3a-1ee21aa199ac_Enabled">
    <vt:lpwstr>true</vt:lpwstr>
  </property>
  <property fmtid="{D5CDD505-2E9C-101B-9397-08002B2CF9AE}" pid="27" name="MSIP_Label_153db910-0838-4c35-bb3a-1ee21aa199ac_SetDate">
    <vt:lpwstr>2022-09-02T05:56:58Z</vt:lpwstr>
  </property>
  <property fmtid="{D5CDD505-2E9C-101B-9397-08002B2CF9AE}" pid="28" name="MSIP_Label_153db910-0838-4c35-bb3a-1ee21aa199ac_Method">
    <vt:lpwstr>Privileged</vt:lpwstr>
  </property>
  <property fmtid="{D5CDD505-2E9C-101B-9397-08002B2CF9AE}" pid="29" name="PMUuidVer">
    <vt:lpwstr>2022.1</vt:lpwstr>
  </property>
  <property fmtid="{D5CDD505-2E9C-101B-9397-08002B2CF9AE}" pid="30" name="MSIP_Label_153db910-0838-4c35-bb3a-1ee21aa199ac_Name">
    <vt:lpwstr>Sensitive Normal</vt:lpwstr>
  </property>
  <property fmtid="{D5CDD505-2E9C-101B-9397-08002B2CF9AE}" pid="31" name="MSIP_Label_153db910-0838-4c35-bb3a-1ee21aa199ac_SiteId">
    <vt:lpwstr>0b11c524-9a1c-4e1b-84cb-6336aefc2243</vt:lpwstr>
  </property>
  <property fmtid="{D5CDD505-2E9C-101B-9397-08002B2CF9AE}" pid="32" name="PM_Display">
    <vt:lpwstr>OFFICIAL</vt:lpwstr>
  </property>
  <property fmtid="{D5CDD505-2E9C-101B-9397-08002B2CF9AE}" pid="33" name="PMUuid">
    <vt:lpwstr>ABBFF5E2-9674-55C9-B08D-C9980002FD58</vt:lpwstr>
  </property>
  <property fmtid="{D5CDD505-2E9C-101B-9397-08002B2CF9AE}" pid="34" name="PM_OriginatorUserAccountName_SHA256">
    <vt:lpwstr>3E9DB5AB808CA91EB3E8EC398CDB7F67B110581D6BB28BC88565729DCE387350</vt:lpwstr>
  </property>
  <property fmtid="{D5CDD505-2E9C-101B-9397-08002B2CF9AE}" pid="35" name="PM_OriginatorDomainName_SHA256">
    <vt:lpwstr>6F3591835F3B2A8A025B00B5BA6418010DA3A17C9C26EA9C049FFD28039489A2</vt:lpwstr>
  </property>
</Properties>
</file>