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7DEE" w14:textId="3CC56465" w:rsidR="00A72B86" w:rsidRPr="000429BB" w:rsidRDefault="00A72B86" w:rsidP="00EA4E07">
      <w:pPr>
        <w:rPr>
          <w:rFonts w:cstheme="minorHAnsi"/>
          <w:b/>
          <w:bCs/>
          <w:sz w:val="28"/>
          <w:szCs w:val="28"/>
        </w:rPr>
      </w:pPr>
      <w:bookmarkStart w:id="0" w:name="_Hlk112155274"/>
      <w:r w:rsidRPr="000429BB">
        <w:rPr>
          <w:rFonts w:cstheme="minorHAnsi"/>
          <w:b/>
          <w:bCs/>
          <w:sz w:val="28"/>
          <w:szCs w:val="28"/>
        </w:rPr>
        <w:t>A</w:t>
      </w:r>
      <w:r w:rsidR="00484412">
        <w:rPr>
          <w:rFonts w:cstheme="minorHAnsi"/>
          <w:b/>
          <w:bCs/>
          <w:sz w:val="28"/>
          <w:szCs w:val="28"/>
        </w:rPr>
        <w:t>nnex</w:t>
      </w:r>
      <w:r w:rsidRPr="000429BB">
        <w:rPr>
          <w:rFonts w:cstheme="minorHAnsi"/>
          <w:b/>
          <w:bCs/>
          <w:sz w:val="28"/>
          <w:szCs w:val="28"/>
        </w:rPr>
        <w:t xml:space="preserve"> </w:t>
      </w:r>
      <w:r w:rsidR="00EA4E07" w:rsidRPr="000429BB">
        <w:rPr>
          <w:rFonts w:cstheme="minorHAnsi"/>
          <w:b/>
          <w:bCs/>
          <w:sz w:val="28"/>
          <w:szCs w:val="28"/>
        </w:rPr>
        <w:t xml:space="preserve">B: </w:t>
      </w:r>
      <w:r w:rsidR="00203D05">
        <w:rPr>
          <w:rFonts w:cstheme="minorHAnsi"/>
          <w:b/>
          <w:bCs/>
          <w:sz w:val="28"/>
          <w:szCs w:val="28"/>
        </w:rPr>
        <w:t>5</w:t>
      </w:r>
      <w:r w:rsidR="00EA4E07" w:rsidRPr="000429BB">
        <w:rPr>
          <w:rFonts w:cstheme="minorHAnsi"/>
          <w:b/>
          <w:bCs/>
          <w:sz w:val="28"/>
          <w:szCs w:val="28"/>
        </w:rPr>
        <w:t xml:space="preserve">.1 </w:t>
      </w:r>
      <w:r w:rsidR="002275EF" w:rsidRPr="000429BB">
        <w:rPr>
          <w:rFonts w:cstheme="minorHAnsi"/>
          <w:b/>
          <w:bCs/>
          <w:sz w:val="28"/>
          <w:szCs w:val="28"/>
        </w:rPr>
        <w:t>–</w:t>
      </w:r>
      <w:r w:rsidR="00EA4E07" w:rsidRPr="000429BB">
        <w:rPr>
          <w:rFonts w:cstheme="minorHAnsi"/>
          <w:b/>
          <w:bCs/>
          <w:sz w:val="28"/>
          <w:szCs w:val="28"/>
        </w:rPr>
        <w:t xml:space="preserve"> Australia</w:t>
      </w:r>
      <w:r w:rsidR="002275EF" w:rsidRPr="000429BB">
        <w:rPr>
          <w:rFonts w:cstheme="minorHAnsi"/>
          <w:b/>
          <w:bCs/>
          <w:sz w:val="28"/>
          <w:szCs w:val="28"/>
        </w:rPr>
        <w:t>-</w:t>
      </w:r>
      <w:r w:rsidR="00EA4E07" w:rsidRPr="000429BB">
        <w:rPr>
          <w:rFonts w:cstheme="minorHAnsi"/>
          <w:b/>
          <w:bCs/>
          <w:sz w:val="28"/>
          <w:szCs w:val="28"/>
        </w:rPr>
        <w:t xml:space="preserve">Singapore Green Skills </w:t>
      </w:r>
      <w:r w:rsidR="0035035A" w:rsidRPr="000429BB">
        <w:rPr>
          <w:rFonts w:cstheme="minorHAnsi"/>
          <w:b/>
          <w:bCs/>
          <w:sz w:val="28"/>
          <w:szCs w:val="28"/>
        </w:rPr>
        <w:t>Roundtable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A4E07" w:rsidRPr="000429BB" w14:paraId="2049C45A" w14:textId="77777777" w:rsidTr="00BF74A5">
        <w:tc>
          <w:tcPr>
            <w:tcW w:w="2405" w:type="dxa"/>
            <w:shd w:val="clear" w:color="auto" w:fill="E2EFD9" w:themeFill="accent6" w:themeFillTint="33"/>
          </w:tcPr>
          <w:p w14:paraId="14450F20" w14:textId="0E529A58" w:rsidR="00EA4E07" w:rsidRPr="000429BB" w:rsidRDefault="00EA4E07" w:rsidP="00B33C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29BB">
              <w:rPr>
                <w:rFonts w:cstheme="minorHAnsi"/>
                <w:b/>
                <w:bCs/>
                <w:sz w:val="24"/>
                <w:szCs w:val="24"/>
              </w:rPr>
              <w:t xml:space="preserve">Area of Cooperation </w:t>
            </w:r>
          </w:p>
        </w:tc>
        <w:tc>
          <w:tcPr>
            <w:tcW w:w="6611" w:type="dxa"/>
          </w:tcPr>
          <w:p w14:paraId="3861F03A" w14:textId="6D4B278A" w:rsidR="00EA4E07" w:rsidRPr="000429BB" w:rsidRDefault="00EA4E07" w:rsidP="001D63F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429BB">
              <w:rPr>
                <w:rFonts w:cstheme="minorHAnsi"/>
                <w:sz w:val="24"/>
                <w:szCs w:val="24"/>
              </w:rPr>
              <w:t xml:space="preserve">Skills and Capabilities for Green Growth </w:t>
            </w:r>
          </w:p>
        </w:tc>
      </w:tr>
      <w:tr w:rsidR="00A72B86" w:rsidRPr="000429BB" w14:paraId="4CA486B2" w14:textId="77777777" w:rsidTr="00BF74A5">
        <w:tc>
          <w:tcPr>
            <w:tcW w:w="2405" w:type="dxa"/>
            <w:shd w:val="clear" w:color="auto" w:fill="E2EFD9" w:themeFill="accent6" w:themeFillTint="33"/>
          </w:tcPr>
          <w:p w14:paraId="4C2B388F" w14:textId="77777777" w:rsidR="00A72B86" w:rsidRPr="000429BB" w:rsidRDefault="00A72B86" w:rsidP="00B33C62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06702796"/>
            <w:r w:rsidRPr="000429BB">
              <w:rPr>
                <w:rFonts w:cstheme="minorHAnsi"/>
                <w:b/>
                <w:bCs/>
                <w:sz w:val="24"/>
                <w:szCs w:val="24"/>
              </w:rPr>
              <w:t>Purpose</w:t>
            </w:r>
          </w:p>
          <w:p w14:paraId="31259E71" w14:textId="77777777" w:rsidR="00A72B86" w:rsidRPr="000429BB" w:rsidRDefault="00A72B86" w:rsidP="00B33C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3A46E3F8" w14:textId="3332C288" w:rsidR="00A72B86" w:rsidRPr="000429BB" w:rsidRDefault="00BC4DDE" w:rsidP="001D63FC">
            <w:pPr>
              <w:rPr>
                <w:rFonts w:cstheme="minorHAnsi"/>
                <w:sz w:val="24"/>
                <w:szCs w:val="24"/>
              </w:rPr>
            </w:pPr>
            <w:r w:rsidRPr="000429BB">
              <w:rPr>
                <w:rFonts w:cstheme="minorHAnsi"/>
                <w:sz w:val="24"/>
                <w:szCs w:val="24"/>
              </w:rPr>
              <w:t xml:space="preserve">To </w:t>
            </w:r>
            <w:r w:rsidR="002275EF" w:rsidRPr="000429BB">
              <w:rPr>
                <w:rFonts w:cstheme="minorHAnsi"/>
                <w:sz w:val="24"/>
                <w:szCs w:val="24"/>
              </w:rPr>
              <w:t xml:space="preserve">better inform and support the development of skills and capabilities required </w:t>
            </w:r>
            <w:r w:rsidR="00272486" w:rsidRPr="000429BB">
              <w:rPr>
                <w:rFonts w:cstheme="minorHAnsi"/>
                <w:sz w:val="24"/>
                <w:szCs w:val="24"/>
              </w:rPr>
              <w:t>by the</w:t>
            </w:r>
            <w:r w:rsidR="002275EF" w:rsidRPr="000429BB">
              <w:rPr>
                <w:rFonts w:cstheme="minorHAnsi"/>
                <w:sz w:val="24"/>
                <w:szCs w:val="24"/>
              </w:rPr>
              <w:t xml:space="preserve"> workforce across new and </w:t>
            </w:r>
            <w:r w:rsidR="00550A1F">
              <w:rPr>
                <w:rFonts w:cstheme="minorHAnsi"/>
                <w:sz w:val="24"/>
                <w:szCs w:val="24"/>
              </w:rPr>
              <w:t>e</w:t>
            </w:r>
            <w:r w:rsidR="002275EF" w:rsidRPr="000429BB">
              <w:rPr>
                <w:rFonts w:cstheme="minorHAnsi"/>
                <w:sz w:val="24"/>
                <w:szCs w:val="24"/>
              </w:rPr>
              <w:t xml:space="preserve">merging occupations </w:t>
            </w:r>
            <w:r w:rsidR="00272486" w:rsidRPr="000429BB">
              <w:rPr>
                <w:rFonts w:cstheme="minorHAnsi"/>
                <w:sz w:val="24"/>
                <w:szCs w:val="24"/>
              </w:rPr>
              <w:t xml:space="preserve">in the green economy </w:t>
            </w:r>
            <w:r w:rsidR="002275EF" w:rsidRPr="000429BB">
              <w:rPr>
                <w:rFonts w:cstheme="minorHAnsi"/>
                <w:sz w:val="24"/>
                <w:szCs w:val="24"/>
              </w:rPr>
              <w:t xml:space="preserve">in </w:t>
            </w:r>
            <w:r w:rsidR="00F50BC6">
              <w:t>Singapore and Australia</w:t>
            </w:r>
            <w:r w:rsidR="002D5C68" w:rsidRPr="000429B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72B86" w:rsidRPr="000429BB" w14:paraId="0EE6825D" w14:textId="77777777" w:rsidTr="00BF74A5">
        <w:tc>
          <w:tcPr>
            <w:tcW w:w="2405" w:type="dxa"/>
            <w:shd w:val="clear" w:color="auto" w:fill="E2EFD9" w:themeFill="accent6" w:themeFillTint="33"/>
          </w:tcPr>
          <w:p w14:paraId="5ED04031" w14:textId="77777777" w:rsidR="00A72B86" w:rsidRPr="000429BB" w:rsidRDefault="00A72B86" w:rsidP="00B33C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29BB">
              <w:rPr>
                <w:rFonts w:cstheme="minorHAnsi"/>
                <w:b/>
                <w:bCs/>
                <w:sz w:val="24"/>
                <w:szCs w:val="24"/>
              </w:rPr>
              <w:t xml:space="preserve">Description </w:t>
            </w:r>
          </w:p>
          <w:p w14:paraId="763B765B" w14:textId="77777777" w:rsidR="00A72B86" w:rsidRPr="000429BB" w:rsidRDefault="00A72B86" w:rsidP="00B33C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2FDFCFE0" w14:textId="01200D08" w:rsidR="00E04DE2" w:rsidRPr="000429BB" w:rsidRDefault="002275EF" w:rsidP="00F351CA">
            <w:pPr>
              <w:rPr>
                <w:rFonts w:cstheme="minorHAnsi"/>
                <w:sz w:val="24"/>
                <w:szCs w:val="24"/>
              </w:rPr>
            </w:pPr>
            <w:r w:rsidRPr="000429BB">
              <w:rPr>
                <w:rFonts w:cstheme="minorHAnsi"/>
                <w:sz w:val="24"/>
                <w:szCs w:val="24"/>
              </w:rPr>
              <w:t xml:space="preserve">The Australia-Singapore Green Skills </w:t>
            </w:r>
            <w:r w:rsidR="00554884" w:rsidRPr="000429BB">
              <w:rPr>
                <w:rFonts w:cstheme="minorHAnsi"/>
                <w:sz w:val="24"/>
                <w:szCs w:val="24"/>
              </w:rPr>
              <w:t xml:space="preserve">Roundtable </w:t>
            </w:r>
            <w:r w:rsidR="00E04DE2" w:rsidRPr="000429BB">
              <w:rPr>
                <w:rFonts w:cstheme="minorHAnsi"/>
                <w:sz w:val="24"/>
                <w:szCs w:val="24"/>
              </w:rPr>
              <w:t>(</w:t>
            </w:r>
            <w:r w:rsidR="00A421A5" w:rsidRPr="000429BB">
              <w:rPr>
                <w:rFonts w:cstheme="minorHAnsi"/>
                <w:sz w:val="24"/>
                <w:szCs w:val="24"/>
              </w:rPr>
              <w:t>ASGSR</w:t>
            </w:r>
            <w:r w:rsidR="00E04DE2" w:rsidRPr="000429BB">
              <w:rPr>
                <w:rFonts w:cstheme="minorHAnsi"/>
                <w:sz w:val="24"/>
                <w:szCs w:val="24"/>
              </w:rPr>
              <w:t xml:space="preserve">) </w:t>
            </w:r>
            <w:r w:rsidRPr="000429BB">
              <w:rPr>
                <w:rFonts w:cstheme="minorHAnsi"/>
                <w:sz w:val="24"/>
                <w:szCs w:val="24"/>
              </w:rPr>
              <w:t>will serve as an informal platform that draws together policy</w:t>
            </w:r>
            <w:r w:rsidR="00E04DE2" w:rsidRPr="000429BB">
              <w:rPr>
                <w:rFonts w:cstheme="minorHAnsi"/>
                <w:sz w:val="24"/>
                <w:szCs w:val="24"/>
              </w:rPr>
              <w:t xml:space="preserve">, </w:t>
            </w:r>
            <w:r w:rsidRPr="000429BB">
              <w:rPr>
                <w:rFonts w:cstheme="minorHAnsi"/>
                <w:sz w:val="24"/>
                <w:szCs w:val="24"/>
              </w:rPr>
              <w:t xml:space="preserve">technical </w:t>
            </w:r>
            <w:r w:rsidR="00E04DE2" w:rsidRPr="000429BB">
              <w:rPr>
                <w:rFonts w:cstheme="minorHAnsi"/>
                <w:sz w:val="24"/>
                <w:szCs w:val="24"/>
              </w:rPr>
              <w:t xml:space="preserve">and subject-matter </w:t>
            </w:r>
            <w:r w:rsidRPr="000429BB">
              <w:rPr>
                <w:rFonts w:cstheme="minorHAnsi"/>
                <w:sz w:val="24"/>
                <w:szCs w:val="24"/>
              </w:rPr>
              <w:t xml:space="preserve">experts from relevant government agencies </w:t>
            </w:r>
            <w:r w:rsidR="00FF3702">
              <w:rPr>
                <w:rFonts w:cstheme="minorHAnsi"/>
                <w:sz w:val="24"/>
                <w:szCs w:val="24"/>
              </w:rPr>
              <w:t>from</w:t>
            </w:r>
            <w:r w:rsidRPr="000429BB">
              <w:rPr>
                <w:rFonts w:cstheme="minorHAnsi"/>
                <w:sz w:val="24"/>
                <w:szCs w:val="24"/>
              </w:rPr>
              <w:t xml:space="preserve"> </w:t>
            </w:r>
            <w:r w:rsidR="00FF3702">
              <w:rPr>
                <w:rFonts w:cstheme="minorHAnsi"/>
                <w:sz w:val="24"/>
                <w:szCs w:val="24"/>
              </w:rPr>
              <w:t xml:space="preserve">both </w:t>
            </w:r>
            <w:r w:rsidRPr="000429BB">
              <w:rPr>
                <w:rFonts w:cstheme="minorHAnsi"/>
                <w:sz w:val="24"/>
                <w:szCs w:val="24"/>
              </w:rPr>
              <w:t xml:space="preserve">countries. The </w:t>
            </w:r>
            <w:r w:rsidR="00E96C40">
              <w:rPr>
                <w:rFonts w:cstheme="minorHAnsi"/>
                <w:sz w:val="24"/>
                <w:szCs w:val="24"/>
              </w:rPr>
              <w:t xml:space="preserve">ASGSR </w:t>
            </w:r>
            <w:r w:rsidRPr="000429BB">
              <w:rPr>
                <w:rFonts w:cstheme="minorHAnsi"/>
                <w:sz w:val="24"/>
                <w:szCs w:val="24"/>
              </w:rPr>
              <w:t xml:space="preserve">will exchange information, experience </w:t>
            </w:r>
            <w:r w:rsidR="002D5C68" w:rsidRPr="000429BB">
              <w:rPr>
                <w:rFonts w:cstheme="minorHAnsi"/>
                <w:sz w:val="24"/>
                <w:szCs w:val="24"/>
              </w:rPr>
              <w:t xml:space="preserve">and best practice on areas relating to identifying and assessing the core </w:t>
            </w:r>
            <w:r w:rsidR="007E79D4" w:rsidRPr="000429BB">
              <w:rPr>
                <w:rFonts w:cstheme="minorHAnsi"/>
                <w:sz w:val="24"/>
                <w:szCs w:val="24"/>
              </w:rPr>
              <w:t xml:space="preserve">skills and </w:t>
            </w:r>
            <w:r w:rsidR="002D5C68" w:rsidRPr="000429BB">
              <w:rPr>
                <w:rFonts w:cstheme="minorHAnsi"/>
                <w:sz w:val="24"/>
                <w:szCs w:val="24"/>
              </w:rPr>
              <w:t xml:space="preserve">competencies required for </w:t>
            </w:r>
            <w:r w:rsidR="00272486" w:rsidRPr="000429BB">
              <w:rPr>
                <w:rFonts w:cstheme="minorHAnsi"/>
                <w:sz w:val="24"/>
                <w:szCs w:val="24"/>
              </w:rPr>
              <w:t xml:space="preserve">workers to take on </w:t>
            </w:r>
            <w:r w:rsidR="002D5C68" w:rsidRPr="000429BB">
              <w:rPr>
                <w:rFonts w:cstheme="minorHAnsi"/>
                <w:sz w:val="24"/>
                <w:szCs w:val="24"/>
              </w:rPr>
              <w:t xml:space="preserve">jobs and occupations in </w:t>
            </w:r>
            <w:r w:rsidR="00272486" w:rsidRPr="000429BB">
              <w:rPr>
                <w:rFonts w:cstheme="minorHAnsi"/>
                <w:sz w:val="24"/>
                <w:szCs w:val="24"/>
              </w:rPr>
              <w:t>the green economy</w:t>
            </w:r>
            <w:r w:rsidR="002D5C68" w:rsidRPr="000429BB">
              <w:rPr>
                <w:rFonts w:cstheme="minorHAnsi"/>
                <w:sz w:val="24"/>
                <w:szCs w:val="24"/>
              </w:rPr>
              <w:t xml:space="preserve">. </w:t>
            </w:r>
            <w:r w:rsidR="003E077E">
              <w:rPr>
                <w:rFonts w:cstheme="minorHAnsi"/>
                <w:sz w:val="24"/>
                <w:szCs w:val="24"/>
              </w:rPr>
              <w:t>T</w:t>
            </w:r>
            <w:r w:rsidR="00550A1F">
              <w:rPr>
                <w:rFonts w:cstheme="minorHAnsi"/>
                <w:sz w:val="24"/>
                <w:szCs w:val="24"/>
              </w:rPr>
              <w:t xml:space="preserve">opics for discussion at the </w:t>
            </w:r>
            <w:r w:rsidR="00E96C40">
              <w:rPr>
                <w:rFonts w:cstheme="minorHAnsi"/>
                <w:sz w:val="24"/>
                <w:szCs w:val="24"/>
              </w:rPr>
              <w:t xml:space="preserve">ASGSR </w:t>
            </w:r>
            <w:r w:rsidR="00550A1F">
              <w:rPr>
                <w:rFonts w:cstheme="minorHAnsi"/>
                <w:sz w:val="24"/>
                <w:szCs w:val="24"/>
              </w:rPr>
              <w:t xml:space="preserve">will be jointly identified on a </w:t>
            </w:r>
            <w:proofErr w:type="gramStart"/>
            <w:r w:rsidR="00550A1F">
              <w:rPr>
                <w:rFonts w:cstheme="minorHAnsi"/>
                <w:sz w:val="24"/>
                <w:szCs w:val="24"/>
              </w:rPr>
              <w:t>needs</w:t>
            </w:r>
            <w:proofErr w:type="gramEnd"/>
            <w:r w:rsidR="00550A1F">
              <w:rPr>
                <w:rFonts w:cstheme="minorHAnsi"/>
                <w:sz w:val="24"/>
                <w:szCs w:val="24"/>
              </w:rPr>
              <w:t xml:space="preserve"> basis, and </w:t>
            </w:r>
            <w:r w:rsidR="007E79D4" w:rsidRPr="000429BB">
              <w:rPr>
                <w:rFonts w:cstheme="minorHAnsi"/>
                <w:sz w:val="24"/>
                <w:szCs w:val="24"/>
              </w:rPr>
              <w:t xml:space="preserve">could include for example the new expertise required to perform jobs in areas </w:t>
            </w:r>
            <w:r w:rsidR="00550A1F">
              <w:rPr>
                <w:rFonts w:cstheme="minorHAnsi"/>
                <w:sz w:val="24"/>
                <w:szCs w:val="24"/>
              </w:rPr>
              <w:t xml:space="preserve">such as </w:t>
            </w:r>
            <w:r w:rsidR="007E79D4" w:rsidRPr="000429BB">
              <w:rPr>
                <w:rFonts w:cstheme="minorHAnsi"/>
                <w:sz w:val="24"/>
                <w:szCs w:val="24"/>
              </w:rPr>
              <w:t xml:space="preserve">clean hydrogen, renewable energy and innovations in waste management, the circular economy </w:t>
            </w:r>
            <w:r w:rsidR="0025500D" w:rsidRPr="000429BB">
              <w:rPr>
                <w:rFonts w:cstheme="minorHAnsi"/>
                <w:sz w:val="24"/>
                <w:szCs w:val="24"/>
              </w:rPr>
              <w:t xml:space="preserve">or </w:t>
            </w:r>
            <w:r w:rsidR="007E79D4" w:rsidRPr="000429BB">
              <w:rPr>
                <w:rFonts w:cstheme="minorHAnsi"/>
                <w:sz w:val="24"/>
                <w:szCs w:val="24"/>
              </w:rPr>
              <w:t>the buil</w:t>
            </w:r>
            <w:r w:rsidR="000D3D21">
              <w:rPr>
                <w:rFonts w:cstheme="minorHAnsi"/>
                <w:sz w:val="24"/>
                <w:szCs w:val="24"/>
              </w:rPr>
              <w:t>t</w:t>
            </w:r>
            <w:r w:rsidR="007E79D4" w:rsidRPr="000429BB">
              <w:rPr>
                <w:rFonts w:cstheme="minorHAnsi"/>
                <w:sz w:val="24"/>
                <w:szCs w:val="24"/>
              </w:rPr>
              <w:t xml:space="preserve"> environment. </w:t>
            </w:r>
          </w:p>
          <w:p w14:paraId="2146C254" w14:textId="77777777" w:rsidR="00E04DE2" w:rsidRPr="000429BB" w:rsidRDefault="00E04DE2" w:rsidP="00F351CA">
            <w:pPr>
              <w:rPr>
                <w:rFonts w:cstheme="minorHAnsi"/>
                <w:sz w:val="24"/>
                <w:szCs w:val="24"/>
              </w:rPr>
            </w:pPr>
          </w:p>
          <w:p w14:paraId="52F796CD" w14:textId="3D4EACF1" w:rsidR="00E04DE2" w:rsidRPr="000429BB" w:rsidRDefault="002D5C68" w:rsidP="00F351CA">
            <w:pPr>
              <w:rPr>
                <w:rFonts w:cstheme="minorHAnsi"/>
                <w:sz w:val="24"/>
                <w:szCs w:val="24"/>
              </w:rPr>
            </w:pPr>
            <w:r w:rsidRPr="000429BB">
              <w:rPr>
                <w:rFonts w:cstheme="minorHAnsi"/>
                <w:sz w:val="24"/>
                <w:szCs w:val="24"/>
              </w:rPr>
              <w:t xml:space="preserve">Outcomes from these exchanges are expected </w:t>
            </w:r>
            <w:r w:rsidR="00F66BFE" w:rsidRPr="000429BB">
              <w:rPr>
                <w:rFonts w:cstheme="minorHAnsi"/>
                <w:sz w:val="24"/>
                <w:szCs w:val="24"/>
              </w:rPr>
              <w:t xml:space="preserve">to further expand </w:t>
            </w:r>
            <w:r w:rsidR="00F50BC6">
              <w:rPr>
                <w:rFonts w:cstheme="minorHAnsi"/>
                <w:sz w:val="24"/>
                <w:szCs w:val="24"/>
              </w:rPr>
              <w:t>Singapore</w:t>
            </w:r>
            <w:r w:rsidR="00F50BC6" w:rsidRPr="000429BB">
              <w:rPr>
                <w:rFonts w:cstheme="minorHAnsi"/>
                <w:sz w:val="24"/>
                <w:szCs w:val="24"/>
              </w:rPr>
              <w:t xml:space="preserve">’s </w:t>
            </w:r>
            <w:r w:rsidR="00F66BFE" w:rsidRPr="000429BB">
              <w:rPr>
                <w:rFonts w:cstheme="minorHAnsi"/>
                <w:sz w:val="24"/>
                <w:szCs w:val="24"/>
              </w:rPr>
              <w:t xml:space="preserve">and </w:t>
            </w:r>
            <w:r w:rsidR="00F50BC6">
              <w:rPr>
                <w:rFonts w:cstheme="minorHAnsi"/>
                <w:sz w:val="24"/>
                <w:szCs w:val="24"/>
              </w:rPr>
              <w:t>Australia</w:t>
            </w:r>
            <w:r w:rsidR="00F50BC6" w:rsidRPr="000429BB">
              <w:rPr>
                <w:rFonts w:cstheme="minorHAnsi"/>
                <w:sz w:val="24"/>
                <w:szCs w:val="24"/>
              </w:rPr>
              <w:t xml:space="preserve">’s </w:t>
            </w:r>
            <w:r w:rsidR="00F66BFE" w:rsidRPr="000429BB">
              <w:rPr>
                <w:rFonts w:cstheme="minorHAnsi"/>
                <w:sz w:val="24"/>
                <w:szCs w:val="24"/>
              </w:rPr>
              <w:t xml:space="preserve">knowledge and ability to </w:t>
            </w:r>
            <w:r w:rsidR="00BE6AD4" w:rsidRPr="000429BB">
              <w:rPr>
                <w:rFonts w:cstheme="minorHAnsi"/>
                <w:sz w:val="24"/>
                <w:szCs w:val="24"/>
              </w:rPr>
              <w:t xml:space="preserve">equip workers with skills and capabilities to effectively participate in the green economy. </w:t>
            </w:r>
          </w:p>
          <w:p w14:paraId="4D593517" w14:textId="77777777" w:rsidR="00E04DE2" w:rsidRPr="000429BB" w:rsidRDefault="00E04DE2" w:rsidP="00F351CA">
            <w:pPr>
              <w:rPr>
                <w:rFonts w:cstheme="minorHAnsi"/>
                <w:sz w:val="24"/>
                <w:szCs w:val="24"/>
              </w:rPr>
            </w:pPr>
          </w:p>
          <w:p w14:paraId="3F945B4D" w14:textId="5027163D" w:rsidR="002275EF" w:rsidRPr="000429BB" w:rsidRDefault="00BE6AD4" w:rsidP="00F351CA">
            <w:pPr>
              <w:rPr>
                <w:rFonts w:cstheme="minorHAnsi"/>
                <w:sz w:val="24"/>
                <w:szCs w:val="24"/>
              </w:rPr>
            </w:pPr>
            <w:r w:rsidRPr="000429BB">
              <w:rPr>
                <w:rFonts w:cstheme="minorHAnsi"/>
                <w:sz w:val="24"/>
                <w:szCs w:val="24"/>
              </w:rPr>
              <w:t xml:space="preserve">Any potential </w:t>
            </w:r>
            <w:r w:rsidR="000D3D21">
              <w:rPr>
                <w:rFonts w:cstheme="minorHAnsi"/>
                <w:sz w:val="24"/>
                <w:szCs w:val="24"/>
              </w:rPr>
              <w:t xml:space="preserve">future </w:t>
            </w:r>
            <w:r w:rsidRPr="000429BB">
              <w:rPr>
                <w:rFonts w:cstheme="minorHAnsi"/>
                <w:sz w:val="24"/>
                <w:szCs w:val="24"/>
              </w:rPr>
              <w:t>joint activities</w:t>
            </w:r>
            <w:r w:rsidR="00272486" w:rsidRPr="000429BB">
              <w:rPr>
                <w:rFonts w:cstheme="minorHAnsi"/>
                <w:sz w:val="24"/>
                <w:szCs w:val="24"/>
              </w:rPr>
              <w:t xml:space="preserve"> would be</w:t>
            </w:r>
            <w:r w:rsidRPr="000429BB">
              <w:rPr>
                <w:rFonts w:cstheme="minorHAnsi"/>
                <w:sz w:val="24"/>
                <w:szCs w:val="24"/>
              </w:rPr>
              <w:t xml:space="preserve"> determined by t</w:t>
            </w:r>
            <w:r w:rsidR="00E04DE2" w:rsidRPr="000429BB">
              <w:rPr>
                <w:rFonts w:cstheme="minorHAnsi"/>
                <w:sz w:val="24"/>
                <w:szCs w:val="24"/>
              </w:rPr>
              <w:t xml:space="preserve">he </w:t>
            </w:r>
            <w:r w:rsidR="0035035A" w:rsidRPr="000429BB">
              <w:rPr>
                <w:rFonts w:cstheme="minorHAnsi"/>
                <w:sz w:val="24"/>
                <w:szCs w:val="24"/>
              </w:rPr>
              <w:t xml:space="preserve">ASGSR </w:t>
            </w:r>
            <w:r w:rsidR="00E04DE2" w:rsidRPr="000429BB">
              <w:rPr>
                <w:rFonts w:cstheme="minorHAnsi"/>
                <w:sz w:val="24"/>
                <w:szCs w:val="24"/>
              </w:rPr>
              <w:t>discussions and consultations</w:t>
            </w:r>
            <w:r w:rsidRPr="000429BB">
              <w:rPr>
                <w:rFonts w:cstheme="minorHAnsi"/>
                <w:sz w:val="24"/>
                <w:szCs w:val="24"/>
              </w:rPr>
              <w:t>.</w:t>
            </w:r>
          </w:p>
          <w:p w14:paraId="2FC76125" w14:textId="3A983C54" w:rsidR="007D6881" w:rsidRPr="000429BB" w:rsidRDefault="007D6881" w:rsidP="00BE6A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7CB" w:rsidRPr="000429BB" w14:paraId="13E314EE" w14:textId="77777777" w:rsidTr="00BF74A5">
        <w:tc>
          <w:tcPr>
            <w:tcW w:w="2405" w:type="dxa"/>
            <w:shd w:val="clear" w:color="auto" w:fill="E2EFD9" w:themeFill="accent6" w:themeFillTint="33"/>
          </w:tcPr>
          <w:p w14:paraId="45FA6A94" w14:textId="77777777" w:rsidR="002747CB" w:rsidRDefault="002747CB" w:rsidP="00B33C6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Duration </w:t>
            </w:r>
          </w:p>
          <w:p w14:paraId="7B54609A" w14:textId="0952BBC7" w:rsidR="002747CB" w:rsidRPr="000429BB" w:rsidRDefault="002747CB" w:rsidP="00B33C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6F0AFEEF" w14:textId="4E0C9DF8" w:rsidR="002747CB" w:rsidRPr="000429BB" w:rsidRDefault="007E5493" w:rsidP="005D67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commence in </w:t>
            </w:r>
            <w:r w:rsidR="00A629B3">
              <w:rPr>
                <w:rFonts w:cstheme="minorHAnsi"/>
                <w:sz w:val="24"/>
                <w:szCs w:val="24"/>
              </w:rPr>
              <w:t>first quarter 2023.</w:t>
            </w:r>
          </w:p>
        </w:tc>
      </w:tr>
      <w:tr w:rsidR="00A72B86" w:rsidRPr="000429BB" w14:paraId="5834298E" w14:textId="77777777" w:rsidTr="00BF74A5">
        <w:tc>
          <w:tcPr>
            <w:tcW w:w="2405" w:type="dxa"/>
            <w:shd w:val="clear" w:color="auto" w:fill="E2EFD9" w:themeFill="accent6" w:themeFillTint="33"/>
          </w:tcPr>
          <w:p w14:paraId="7EAFDD34" w14:textId="06A316CB" w:rsidR="00A72B86" w:rsidRPr="000429BB" w:rsidRDefault="00870463" w:rsidP="00B33C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29BB">
              <w:rPr>
                <w:rFonts w:cstheme="minorHAnsi"/>
                <w:b/>
                <w:bCs/>
                <w:sz w:val="24"/>
                <w:szCs w:val="24"/>
              </w:rPr>
              <w:t>Governance Process</w:t>
            </w:r>
          </w:p>
          <w:p w14:paraId="3BC613F2" w14:textId="77777777" w:rsidR="00A72B86" w:rsidRPr="000429BB" w:rsidRDefault="00A72B86" w:rsidP="00B33C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71262C1C" w14:textId="78BF3024" w:rsidR="00A72B86" w:rsidRPr="000429BB" w:rsidRDefault="005D67C1" w:rsidP="005D67C1">
            <w:pPr>
              <w:rPr>
                <w:rFonts w:cstheme="minorHAnsi"/>
                <w:sz w:val="24"/>
                <w:szCs w:val="24"/>
              </w:rPr>
            </w:pPr>
            <w:r w:rsidRPr="000429BB">
              <w:rPr>
                <w:rFonts w:cstheme="minorHAnsi"/>
                <w:sz w:val="24"/>
                <w:szCs w:val="24"/>
              </w:rPr>
              <w:t xml:space="preserve">Lead agencies will report on the </w:t>
            </w:r>
            <w:r w:rsidR="0035035A" w:rsidRPr="000429BB">
              <w:rPr>
                <w:rFonts w:cstheme="minorHAnsi"/>
                <w:sz w:val="24"/>
                <w:szCs w:val="24"/>
              </w:rPr>
              <w:t xml:space="preserve">ASGSR </w:t>
            </w:r>
            <w:r w:rsidR="00272486" w:rsidRPr="000429BB">
              <w:rPr>
                <w:rFonts w:cstheme="minorHAnsi"/>
                <w:sz w:val="24"/>
                <w:szCs w:val="24"/>
              </w:rPr>
              <w:t xml:space="preserve">discussions (e.g., </w:t>
            </w:r>
            <w:r w:rsidRPr="000429BB">
              <w:rPr>
                <w:rFonts w:cstheme="minorHAnsi"/>
                <w:sz w:val="24"/>
                <w:szCs w:val="24"/>
              </w:rPr>
              <w:t>o</w:t>
            </w:r>
            <w:r w:rsidR="00637DAE" w:rsidRPr="000429BB">
              <w:rPr>
                <w:rFonts w:cstheme="minorHAnsi"/>
                <w:sz w:val="24"/>
                <w:szCs w:val="24"/>
              </w:rPr>
              <w:t>utcomes</w:t>
            </w:r>
            <w:r w:rsidR="00272486" w:rsidRPr="000429BB">
              <w:rPr>
                <w:rFonts w:cstheme="minorHAnsi"/>
                <w:sz w:val="24"/>
                <w:szCs w:val="24"/>
              </w:rPr>
              <w:t>,</w:t>
            </w:r>
            <w:r w:rsidR="00CC5718" w:rsidRPr="000429BB">
              <w:rPr>
                <w:rFonts w:cstheme="minorHAnsi"/>
                <w:sz w:val="24"/>
                <w:szCs w:val="24"/>
              </w:rPr>
              <w:t xml:space="preserve"> </w:t>
            </w:r>
            <w:r w:rsidRPr="000429BB">
              <w:rPr>
                <w:rFonts w:cstheme="minorHAnsi"/>
                <w:sz w:val="24"/>
                <w:szCs w:val="24"/>
              </w:rPr>
              <w:t>recommendations</w:t>
            </w:r>
            <w:r w:rsidR="00CC5718" w:rsidRPr="000429BB">
              <w:rPr>
                <w:rFonts w:cstheme="minorHAnsi"/>
                <w:sz w:val="24"/>
                <w:szCs w:val="24"/>
              </w:rPr>
              <w:t>)</w:t>
            </w:r>
            <w:r w:rsidR="00637DAE" w:rsidRPr="000429BB">
              <w:rPr>
                <w:rFonts w:cstheme="minorHAnsi"/>
                <w:sz w:val="24"/>
                <w:szCs w:val="24"/>
              </w:rPr>
              <w:t xml:space="preserve"> </w:t>
            </w:r>
            <w:r w:rsidR="007E79D4" w:rsidRPr="000429BB">
              <w:rPr>
                <w:rFonts w:cstheme="minorHAnsi"/>
                <w:sz w:val="24"/>
                <w:szCs w:val="24"/>
              </w:rPr>
              <w:t>to the GEA Action Team</w:t>
            </w:r>
            <w:r w:rsidRPr="000429BB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A8E17CF" w14:textId="781FA5BD" w:rsidR="005D67C1" w:rsidRPr="000429BB" w:rsidRDefault="005D67C1" w:rsidP="005D67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2B86" w:rsidRPr="000429BB" w14:paraId="5221F71F" w14:textId="77777777" w:rsidTr="00BF74A5">
        <w:tc>
          <w:tcPr>
            <w:tcW w:w="2405" w:type="dxa"/>
            <w:shd w:val="clear" w:color="auto" w:fill="E2EFD9" w:themeFill="accent6" w:themeFillTint="33"/>
          </w:tcPr>
          <w:p w14:paraId="644632BD" w14:textId="7F7EA180" w:rsidR="00A72B86" w:rsidRPr="000429BB" w:rsidRDefault="00A72B86" w:rsidP="00B33C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29BB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BF74A5" w:rsidRPr="000429BB">
              <w:rPr>
                <w:rFonts w:cstheme="minorHAnsi"/>
                <w:b/>
                <w:bCs/>
                <w:sz w:val="24"/>
                <w:szCs w:val="24"/>
              </w:rPr>
              <w:t>articipating Agencies</w:t>
            </w:r>
          </w:p>
          <w:p w14:paraId="741556A5" w14:textId="77777777" w:rsidR="00A72B86" w:rsidRPr="000429BB" w:rsidRDefault="00A72B86" w:rsidP="00B33C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A9FDE9" w14:textId="77777777" w:rsidR="00A72B86" w:rsidRPr="000429BB" w:rsidRDefault="00A72B86" w:rsidP="00B33C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611" w:type="dxa"/>
          </w:tcPr>
          <w:p w14:paraId="7D70E45C" w14:textId="77777777" w:rsidR="00F50BC6" w:rsidRPr="009E403B" w:rsidRDefault="00F50BC6" w:rsidP="00F50BC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9E403B">
              <w:rPr>
                <w:rFonts w:cstheme="minorHAnsi"/>
                <w:sz w:val="24"/>
                <w:szCs w:val="24"/>
                <w:u w:val="single"/>
              </w:rPr>
              <w:t>Singapore</w:t>
            </w:r>
          </w:p>
          <w:p w14:paraId="6EF5A2DE" w14:textId="77777777" w:rsidR="00F50BC6" w:rsidRPr="000429BB" w:rsidRDefault="00F50BC6" w:rsidP="00F50BC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429BB">
              <w:rPr>
                <w:rFonts w:cstheme="minorHAnsi"/>
                <w:sz w:val="24"/>
                <w:szCs w:val="24"/>
              </w:rPr>
              <w:t xml:space="preserve">Ministry of Trade and Industry </w:t>
            </w:r>
          </w:p>
          <w:p w14:paraId="60760BD1" w14:textId="77777777" w:rsidR="00F50BC6" w:rsidRPr="000429BB" w:rsidRDefault="00F50BC6" w:rsidP="00F50BC6">
            <w:pPr>
              <w:rPr>
                <w:rFonts w:cstheme="minorHAnsi"/>
                <w:sz w:val="24"/>
                <w:szCs w:val="24"/>
              </w:rPr>
            </w:pPr>
            <w:r w:rsidRPr="000429BB">
              <w:rPr>
                <w:rFonts w:cstheme="minorHAnsi"/>
                <w:sz w:val="24"/>
                <w:szCs w:val="24"/>
              </w:rPr>
              <w:t>Ministry of Education</w:t>
            </w:r>
          </w:p>
          <w:p w14:paraId="2BB043CB" w14:textId="77777777" w:rsidR="00F50BC6" w:rsidRPr="000429BB" w:rsidRDefault="00F50BC6" w:rsidP="00F50BC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429BB">
              <w:rPr>
                <w:rFonts w:cstheme="minorHAnsi"/>
                <w:sz w:val="24"/>
                <w:szCs w:val="24"/>
              </w:rPr>
              <w:t>SkillsFuture</w:t>
            </w:r>
            <w:proofErr w:type="spellEnd"/>
            <w:r w:rsidRPr="000429BB">
              <w:rPr>
                <w:rFonts w:cstheme="minorHAnsi"/>
                <w:sz w:val="24"/>
                <w:szCs w:val="24"/>
              </w:rPr>
              <w:t xml:space="preserve"> Singapore</w:t>
            </w:r>
          </w:p>
          <w:p w14:paraId="0F23D528" w14:textId="38D3A9D4" w:rsidR="00F50BC6" w:rsidRPr="000429BB" w:rsidRDefault="00F50BC6" w:rsidP="00F50BC6">
            <w:pPr>
              <w:rPr>
                <w:rFonts w:cstheme="minorHAnsi"/>
                <w:sz w:val="24"/>
                <w:szCs w:val="24"/>
              </w:rPr>
            </w:pPr>
            <w:r w:rsidRPr="000429BB">
              <w:rPr>
                <w:rFonts w:cstheme="minorHAnsi"/>
                <w:sz w:val="24"/>
                <w:szCs w:val="24"/>
              </w:rPr>
              <w:t xml:space="preserve">Ministry of Manpower </w:t>
            </w:r>
          </w:p>
          <w:p w14:paraId="104324A2" w14:textId="77777777" w:rsidR="00F50BC6" w:rsidRDefault="00F50BC6" w:rsidP="00B33C62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6DDE5918" w14:textId="6DD49ACA" w:rsidR="009E403B" w:rsidRPr="009E403B" w:rsidRDefault="009E403B" w:rsidP="00B33C62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9E403B">
              <w:rPr>
                <w:rFonts w:cstheme="minorHAnsi"/>
                <w:sz w:val="24"/>
                <w:szCs w:val="24"/>
                <w:u w:val="single"/>
              </w:rPr>
              <w:t>Australia</w:t>
            </w:r>
          </w:p>
          <w:p w14:paraId="18448C95" w14:textId="1A35385E" w:rsidR="00A72B86" w:rsidRPr="000429BB" w:rsidRDefault="002B5EC0" w:rsidP="00B33C62">
            <w:pPr>
              <w:rPr>
                <w:rFonts w:cstheme="minorHAnsi"/>
                <w:sz w:val="24"/>
                <w:szCs w:val="24"/>
              </w:rPr>
            </w:pPr>
            <w:r w:rsidRPr="000429BB">
              <w:rPr>
                <w:rFonts w:cstheme="minorHAnsi"/>
                <w:sz w:val="24"/>
                <w:szCs w:val="24"/>
              </w:rPr>
              <w:t>Department of Foreign Affairs and Trade</w:t>
            </w:r>
          </w:p>
          <w:p w14:paraId="0F433587" w14:textId="1A68D0E9" w:rsidR="00BF74A5" w:rsidRPr="000429BB" w:rsidRDefault="00BF74A5" w:rsidP="00B33C62">
            <w:pPr>
              <w:rPr>
                <w:rFonts w:cstheme="minorHAnsi"/>
                <w:sz w:val="24"/>
                <w:szCs w:val="24"/>
              </w:rPr>
            </w:pPr>
            <w:r w:rsidRPr="000429BB">
              <w:rPr>
                <w:rFonts w:cstheme="minorHAnsi"/>
                <w:sz w:val="24"/>
                <w:szCs w:val="24"/>
              </w:rPr>
              <w:t>Department of Employment and Workplace Relations</w:t>
            </w:r>
          </w:p>
          <w:p w14:paraId="3155BBFF" w14:textId="2D76F2F8" w:rsidR="00272486" w:rsidRPr="000429BB" w:rsidRDefault="00523997" w:rsidP="00272486">
            <w:pPr>
              <w:rPr>
                <w:rFonts w:cstheme="minorHAnsi"/>
                <w:sz w:val="24"/>
                <w:szCs w:val="24"/>
              </w:rPr>
            </w:pPr>
            <w:r w:rsidRPr="000429BB">
              <w:rPr>
                <w:rFonts w:cstheme="minorHAnsi"/>
                <w:sz w:val="24"/>
                <w:szCs w:val="24"/>
              </w:rPr>
              <w:t xml:space="preserve">Jobs and Skills Australia </w:t>
            </w:r>
          </w:p>
          <w:p w14:paraId="2E3416AA" w14:textId="55C05998" w:rsidR="00DB3644" w:rsidRPr="000429BB" w:rsidRDefault="00DB3644" w:rsidP="00B33C62">
            <w:pPr>
              <w:rPr>
                <w:rFonts w:cstheme="minorHAnsi"/>
                <w:sz w:val="24"/>
                <w:szCs w:val="24"/>
              </w:rPr>
            </w:pPr>
          </w:p>
          <w:p w14:paraId="4AB5F935" w14:textId="4EED3757" w:rsidR="00A72B86" w:rsidRPr="000429BB" w:rsidRDefault="00554884" w:rsidP="00B33C62">
            <w:pPr>
              <w:rPr>
                <w:rFonts w:cstheme="minorHAnsi"/>
                <w:sz w:val="24"/>
                <w:szCs w:val="24"/>
              </w:rPr>
            </w:pPr>
            <w:r w:rsidRPr="000429BB">
              <w:rPr>
                <w:rFonts w:cstheme="minorHAnsi"/>
                <w:sz w:val="24"/>
                <w:szCs w:val="24"/>
              </w:rPr>
              <w:t>And other agencies</w:t>
            </w:r>
            <w:r w:rsidR="00DB3644" w:rsidRPr="000429BB">
              <w:rPr>
                <w:rFonts w:cstheme="minorHAnsi"/>
                <w:sz w:val="24"/>
                <w:szCs w:val="24"/>
              </w:rPr>
              <w:t>,</w:t>
            </w:r>
            <w:r w:rsidRPr="000429BB">
              <w:rPr>
                <w:rFonts w:cstheme="minorHAnsi"/>
                <w:sz w:val="24"/>
                <w:szCs w:val="24"/>
              </w:rPr>
              <w:t xml:space="preserve"> where needed</w:t>
            </w:r>
            <w:r w:rsidR="00612235">
              <w:rPr>
                <w:rFonts w:cstheme="minorHAnsi"/>
                <w:sz w:val="24"/>
                <w:szCs w:val="24"/>
              </w:rPr>
              <w:t>.</w:t>
            </w:r>
            <w:r w:rsidR="00BF74A5" w:rsidRPr="000429B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2264B42" w14:textId="77777777" w:rsidR="00A72B86" w:rsidRPr="000429BB" w:rsidRDefault="00A72B86" w:rsidP="00F50BC6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  <w:bookmarkEnd w:id="1"/>
    </w:tbl>
    <w:p w14:paraId="6449DE02" w14:textId="77777777" w:rsidR="00A72B86" w:rsidRPr="000429BB" w:rsidRDefault="00A72B86" w:rsidP="000B19BB">
      <w:pPr>
        <w:rPr>
          <w:rFonts w:cstheme="minorHAnsi"/>
          <w:sz w:val="24"/>
          <w:szCs w:val="24"/>
        </w:rPr>
      </w:pPr>
    </w:p>
    <w:sectPr w:rsidR="00A72B86" w:rsidRPr="000429BB" w:rsidSect="0054151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9C13" w14:textId="77777777" w:rsidR="00C64063" w:rsidRDefault="00C64063" w:rsidP="005F4E51">
      <w:pPr>
        <w:spacing w:after="0" w:line="240" w:lineRule="auto"/>
      </w:pPr>
      <w:r>
        <w:separator/>
      </w:r>
    </w:p>
  </w:endnote>
  <w:endnote w:type="continuationSeparator" w:id="0">
    <w:p w14:paraId="458DD633" w14:textId="77777777" w:rsidR="00C64063" w:rsidRDefault="00C64063" w:rsidP="005F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D7FE" w14:textId="226993EE" w:rsidR="00376365" w:rsidRPr="000E19AA" w:rsidRDefault="00376365" w:rsidP="00FC522A">
    <w:pPr>
      <w:pStyle w:val="Footer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0139" w14:textId="77777777" w:rsidR="00C64063" w:rsidRDefault="00C64063" w:rsidP="005F4E51">
      <w:pPr>
        <w:spacing w:after="0" w:line="240" w:lineRule="auto"/>
      </w:pPr>
      <w:r>
        <w:separator/>
      </w:r>
    </w:p>
  </w:footnote>
  <w:footnote w:type="continuationSeparator" w:id="0">
    <w:p w14:paraId="576499C1" w14:textId="77777777" w:rsidR="00C64063" w:rsidRDefault="00C64063" w:rsidP="005F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FC0B" w14:textId="62245890" w:rsidR="00376365" w:rsidRDefault="00C12026">
    <w:pPr>
      <w:pStyle w:val="Header"/>
    </w:pPr>
    <w:r>
      <w:rPr>
        <w:noProof/>
      </w:rPr>
      <w:pict w14:anchorId="16B2BD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9079" o:spid="_x0000_s1026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6500" w14:textId="07548BEB" w:rsidR="00376365" w:rsidRPr="00FC522A" w:rsidRDefault="00E7653D" w:rsidP="00FC522A">
    <w:pPr>
      <w:pStyle w:val="Header"/>
      <w:jc w:val="center"/>
      <w:rPr>
        <w:i/>
        <w:iCs/>
      </w:rPr>
    </w:pPr>
    <w:r>
      <w:rPr>
        <w:i/>
        <w:i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AD80" w14:textId="1FD7EA8B" w:rsidR="00376365" w:rsidRDefault="00C12026">
    <w:pPr>
      <w:pStyle w:val="Header"/>
    </w:pPr>
    <w:r>
      <w:rPr>
        <w:noProof/>
      </w:rPr>
      <w:pict w14:anchorId="70DB1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9078" o:spid="_x0000_s1025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321"/>
    <w:multiLevelType w:val="hybridMultilevel"/>
    <w:tmpl w:val="D80027B0"/>
    <w:lvl w:ilvl="0" w:tplc="F05C9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97258"/>
    <w:multiLevelType w:val="hybridMultilevel"/>
    <w:tmpl w:val="8438C672"/>
    <w:lvl w:ilvl="0" w:tplc="97BCB2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32C0B"/>
    <w:multiLevelType w:val="hybridMultilevel"/>
    <w:tmpl w:val="237C8F6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237219"/>
    <w:multiLevelType w:val="hybridMultilevel"/>
    <w:tmpl w:val="BF6C3AD0"/>
    <w:lvl w:ilvl="0" w:tplc="C51EAA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C7C1A"/>
    <w:multiLevelType w:val="hybridMultilevel"/>
    <w:tmpl w:val="F70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D59F4"/>
    <w:multiLevelType w:val="hybridMultilevel"/>
    <w:tmpl w:val="0BD41364"/>
    <w:lvl w:ilvl="0" w:tplc="018473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94C7C"/>
    <w:multiLevelType w:val="hybridMultilevel"/>
    <w:tmpl w:val="DA020AD4"/>
    <w:lvl w:ilvl="0" w:tplc="76F4D2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4C41A1"/>
    <w:multiLevelType w:val="hybridMultilevel"/>
    <w:tmpl w:val="1186B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F1D44"/>
    <w:multiLevelType w:val="hybridMultilevel"/>
    <w:tmpl w:val="FA264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B3AB6"/>
    <w:multiLevelType w:val="hybridMultilevel"/>
    <w:tmpl w:val="546AC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513A4"/>
    <w:multiLevelType w:val="hybridMultilevel"/>
    <w:tmpl w:val="5A38A0B0"/>
    <w:lvl w:ilvl="0" w:tplc="E012CB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9562D5"/>
    <w:multiLevelType w:val="hybridMultilevel"/>
    <w:tmpl w:val="E918C8EA"/>
    <w:lvl w:ilvl="0" w:tplc="53F67C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C4F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27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A6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2A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E8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C1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46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8E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60B80"/>
    <w:multiLevelType w:val="multilevel"/>
    <w:tmpl w:val="C4F8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51"/>
    <w:rsid w:val="00000087"/>
    <w:rsid w:val="00020834"/>
    <w:rsid w:val="000429BB"/>
    <w:rsid w:val="00043A1C"/>
    <w:rsid w:val="00070A3D"/>
    <w:rsid w:val="000716B6"/>
    <w:rsid w:val="00090F58"/>
    <w:rsid w:val="000931FF"/>
    <w:rsid w:val="000A674A"/>
    <w:rsid w:val="000B19BB"/>
    <w:rsid w:val="000D12F1"/>
    <w:rsid w:val="000D3D21"/>
    <w:rsid w:val="000D69EE"/>
    <w:rsid w:val="000E19AA"/>
    <w:rsid w:val="00121822"/>
    <w:rsid w:val="001535AD"/>
    <w:rsid w:val="00154465"/>
    <w:rsid w:val="00170115"/>
    <w:rsid w:val="001B2108"/>
    <w:rsid w:val="001C7E01"/>
    <w:rsid w:val="001D2D12"/>
    <w:rsid w:val="001D63FC"/>
    <w:rsid w:val="001D76E5"/>
    <w:rsid w:val="001E7D80"/>
    <w:rsid w:val="001F798D"/>
    <w:rsid w:val="00203D05"/>
    <w:rsid w:val="00204376"/>
    <w:rsid w:val="002165AA"/>
    <w:rsid w:val="002275EF"/>
    <w:rsid w:val="002467D1"/>
    <w:rsid w:val="00251FDC"/>
    <w:rsid w:val="0025394B"/>
    <w:rsid w:val="0025500D"/>
    <w:rsid w:val="0025579B"/>
    <w:rsid w:val="002557AF"/>
    <w:rsid w:val="002716BB"/>
    <w:rsid w:val="00272486"/>
    <w:rsid w:val="002747CB"/>
    <w:rsid w:val="00290711"/>
    <w:rsid w:val="00292B70"/>
    <w:rsid w:val="002A255A"/>
    <w:rsid w:val="002A3A8E"/>
    <w:rsid w:val="002B37BB"/>
    <w:rsid w:val="002B5EC0"/>
    <w:rsid w:val="002D3050"/>
    <w:rsid w:val="002D5C68"/>
    <w:rsid w:val="00332441"/>
    <w:rsid w:val="00345DD5"/>
    <w:rsid w:val="0035035A"/>
    <w:rsid w:val="00376365"/>
    <w:rsid w:val="00395124"/>
    <w:rsid w:val="00396D28"/>
    <w:rsid w:val="003C37ED"/>
    <w:rsid w:val="003C7EA5"/>
    <w:rsid w:val="003D2BBC"/>
    <w:rsid w:val="003D5FD8"/>
    <w:rsid w:val="003E077E"/>
    <w:rsid w:val="003E7E2A"/>
    <w:rsid w:val="003F5B5E"/>
    <w:rsid w:val="00434388"/>
    <w:rsid w:val="00442A67"/>
    <w:rsid w:val="0046534B"/>
    <w:rsid w:val="0047490C"/>
    <w:rsid w:val="00484412"/>
    <w:rsid w:val="00490A96"/>
    <w:rsid w:val="004B5E6E"/>
    <w:rsid w:val="004E2EB4"/>
    <w:rsid w:val="004E587E"/>
    <w:rsid w:val="004F3A32"/>
    <w:rsid w:val="00500AF7"/>
    <w:rsid w:val="0051725B"/>
    <w:rsid w:val="00523997"/>
    <w:rsid w:val="0052535F"/>
    <w:rsid w:val="00535C37"/>
    <w:rsid w:val="00541511"/>
    <w:rsid w:val="005504A6"/>
    <w:rsid w:val="00550A1F"/>
    <w:rsid w:val="00554884"/>
    <w:rsid w:val="00566EE4"/>
    <w:rsid w:val="00567A46"/>
    <w:rsid w:val="005A6D6C"/>
    <w:rsid w:val="005D67C1"/>
    <w:rsid w:val="005E2A88"/>
    <w:rsid w:val="005F4E51"/>
    <w:rsid w:val="005F705E"/>
    <w:rsid w:val="00600643"/>
    <w:rsid w:val="00602C96"/>
    <w:rsid w:val="00612235"/>
    <w:rsid w:val="00637DAE"/>
    <w:rsid w:val="006A47EC"/>
    <w:rsid w:val="006C08DB"/>
    <w:rsid w:val="006C3CD9"/>
    <w:rsid w:val="006E0421"/>
    <w:rsid w:val="006F7D7A"/>
    <w:rsid w:val="007214E6"/>
    <w:rsid w:val="0073339A"/>
    <w:rsid w:val="0075417C"/>
    <w:rsid w:val="0078088D"/>
    <w:rsid w:val="00783BDB"/>
    <w:rsid w:val="00794D57"/>
    <w:rsid w:val="007D2AAD"/>
    <w:rsid w:val="007D47E4"/>
    <w:rsid w:val="007D6881"/>
    <w:rsid w:val="007E5493"/>
    <w:rsid w:val="007E79D4"/>
    <w:rsid w:val="007F5A8F"/>
    <w:rsid w:val="008207D0"/>
    <w:rsid w:val="00846B43"/>
    <w:rsid w:val="00856578"/>
    <w:rsid w:val="0086725F"/>
    <w:rsid w:val="00870463"/>
    <w:rsid w:val="008A6788"/>
    <w:rsid w:val="008B7ED0"/>
    <w:rsid w:val="008C71A0"/>
    <w:rsid w:val="008D317C"/>
    <w:rsid w:val="008D5ABF"/>
    <w:rsid w:val="008F07D4"/>
    <w:rsid w:val="008F4C27"/>
    <w:rsid w:val="00905D6B"/>
    <w:rsid w:val="009758D9"/>
    <w:rsid w:val="009C63E7"/>
    <w:rsid w:val="009E403B"/>
    <w:rsid w:val="00A13C8B"/>
    <w:rsid w:val="00A21A36"/>
    <w:rsid w:val="00A34145"/>
    <w:rsid w:val="00A421A5"/>
    <w:rsid w:val="00A4677A"/>
    <w:rsid w:val="00A55B7A"/>
    <w:rsid w:val="00A629B3"/>
    <w:rsid w:val="00A72B86"/>
    <w:rsid w:val="00A82B10"/>
    <w:rsid w:val="00A91C26"/>
    <w:rsid w:val="00AF3501"/>
    <w:rsid w:val="00AF7426"/>
    <w:rsid w:val="00B0384A"/>
    <w:rsid w:val="00B13109"/>
    <w:rsid w:val="00B30BAB"/>
    <w:rsid w:val="00B44FBE"/>
    <w:rsid w:val="00B502F5"/>
    <w:rsid w:val="00B523C6"/>
    <w:rsid w:val="00B525DE"/>
    <w:rsid w:val="00B977EC"/>
    <w:rsid w:val="00BA5A20"/>
    <w:rsid w:val="00BC4DDE"/>
    <w:rsid w:val="00BE0F5C"/>
    <w:rsid w:val="00BE6AD4"/>
    <w:rsid w:val="00BF74A5"/>
    <w:rsid w:val="00C23876"/>
    <w:rsid w:val="00C24DD8"/>
    <w:rsid w:val="00C347A8"/>
    <w:rsid w:val="00C64063"/>
    <w:rsid w:val="00C93B76"/>
    <w:rsid w:val="00CC5718"/>
    <w:rsid w:val="00D20F91"/>
    <w:rsid w:val="00D3577B"/>
    <w:rsid w:val="00D6118B"/>
    <w:rsid w:val="00D67880"/>
    <w:rsid w:val="00D72040"/>
    <w:rsid w:val="00D81C21"/>
    <w:rsid w:val="00D86168"/>
    <w:rsid w:val="00D93926"/>
    <w:rsid w:val="00DB3644"/>
    <w:rsid w:val="00DC109F"/>
    <w:rsid w:val="00DD58C6"/>
    <w:rsid w:val="00DE74CD"/>
    <w:rsid w:val="00DF048A"/>
    <w:rsid w:val="00DF302A"/>
    <w:rsid w:val="00DF4F8D"/>
    <w:rsid w:val="00E04DE2"/>
    <w:rsid w:val="00E32107"/>
    <w:rsid w:val="00E3659E"/>
    <w:rsid w:val="00E37F17"/>
    <w:rsid w:val="00E7609A"/>
    <w:rsid w:val="00E7653D"/>
    <w:rsid w:val="00E95970"/>
    <w:rsid w:val="00E96C40"/>
    <w:rsid w:val="00EA4E07"/>
    <w:rsid w:val="00ED6E28"/>
    <w:rsid w:val="00EF2050"/>
    <w:rsid w:val="00F34F9D"/>
    <w:rsid w:val="00F351CA"/>
    <w:rsid w:val="00F40EDD"/>
    <w:rsid w:val="00F50BC6"/>
    <w:rsid w:val="00F66BFE"/>
    <w:rsid w:val="00F93C65"/>
    <w:rsid w:val="00FB2065"/>
    <w:rsid w:val="00FC522A"/>
    <w:rsid w:val="00FF14FE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D0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E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4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E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E5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6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365"/>
  </w:style>
  <w:style w:type="paragraph" w:styleId="Footer">
    <w:name w:val="footer"/>
    <w:basedOn w:val="Normal"/>
    <w:link w:val="FooterChar"/>
    <w:uiPriority w:val="99"/>
    <w:unhideWhenUsed/>
    <w:rsid w:val="00376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365"/>
  </w:style>
  <w:style w:type="table" w:styleId="TableGrid">
    <w:name w:val="Table Grid"/>
    <w:basedOn w:val="TableNormal"/>
    <w:uiPriority w:val="39"/>
    <w:rsid w:val="0079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A8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D6881"/>
    <w:rPr>
      <w:color w:val="0563C1"/>
      <w:u w:val="single"/>
    </w:rPr>
  </w:style>
  <w:style w:type="paragraph" w:styleId="Revision">
    <w:name w:val="Revision"/>
    <w:hidden/>
    <w:uiPriority w:val="99"/>
    <w:semiHidden/>
    <w:rsid w:val="00554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E6096-E29B-4842-B8CC-04D4087F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1551</Characters>
  <Application>Microsoft Office Word</Application>
  <DocSecurity>0</DocSecurity>
  <Lines>56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B: 5.1 – Australia-Singapore Green Skills Roundtable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B: 5.1 – Australia-Singapore Green Skills Roundtable</dc:title>
  <dc:subject/>
  <dc:creator/>
  <cp:keywords>[SEC=OFFICIAL]</cp:keywords>
  <dc:description/>
  <cp:lastModifiedBy/>
  <cp:revision>1</cp:revision>
  <dcterms:created xsi:type="dcterms:W3CDTF">2022-10-14T06:34:00Z</dcterms:created>
  <dcterms:modified xsi:type="dcterms:W3CDTF">2022-10-16T21:56:00Z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MSIP_Label_c477f0d0-1a40-415d-b130-8b40a41c8c21_ActionId">
    <vt:lpwstr>55b3da8e-bfd7-4d25-a562-6d591cc3b11b</vt:lpwstr>
  </property>
  <property fmtid="{D5CDD505-2E9C-101B-9397-08002B2CF9AE}" pid="4" name="PM_ProtectiveMarkingImage_Header">
    <vt:lpwstr>C:\Program Files (x86)\Common Files\janusNET Shared\janusSEAL\Images\DocumentSlashBlue.png</vt:lpwstr>
  </property>
  <property fmtid="{D5CDD505-2E9C-101B-9397-08002B2CF9AE}" pid="5" name="PM_SecurityClassification">
    <vt:lpwstr>OFFICIAL</vt:lpwstr>
  </property>
  <property fmtid="{D5CDD505-2E9C-101B-9397-08002B2CF9AE}" pid="6" name="PM_Qualifier">
    <vt:lpwstr/>
  </property>
  <property fmtid="{D5CDD505-2E9C-101B-9397-08002B2CF9AE}" pid="7" name="PM_DisplayValueSecClassificationWithQualifier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or_Hash_SHA1">
    <vt:lpwstr>D9F6E5C82DFAF7AB6E3D596D48DD43C72EDFDAB4</vt:lpwstr>
  </property>
  <property fmtid="{D5CDD505-2E9C-101B-9397-08002B2CF9AE}" pid="10" name="PM_Originating_FileId">
    <vt:lpwstr>CF0570168E3A434DACE88781A77F1AFC</vt:lpwstr>
  </property>
  <property fmtid="{D5CDD505-2E9C-101B-9397-08002B2CF9AE}" pid="11" name="PM_ProtectiveMarkingValue_Footer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2022-10-16T21:56:30Z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CC5DBF79B559780A22937F36C80B4F3A</vt:lpwstr>
  </property>
  <property fmtid="{D5CDD505-2E9C-101B-9397-08002B2CF9AE}" pid="21" name="MSIP_Label_c477f0d0-1a40-415d-b130-8b40a41c8c21_Name">
    <vt:lpwstr>Sensitive Normal_3</vt:lpwstr>
  </property>
  <property fmtid="{D5CDD505-2E9C-101B-9397-08002B2CF9AE}" pid="22" name="PM_Hash_Salt">
    <vt:lpwstr>1AC6A2BC40C61A7ACFF9BED2E3C95C85</vt:lpwstr>
  </property>
  <property fmtid="{D5CDD505-2E9C-101B-9397-08002B2CF9AE}" pid="23" name="MSIP_Label_c477f0d0-1a40-415d-b130-8b40a41c8c21_SetDate">
    <vt:lpwstr>2022-10-09T10:14:50Z</vt:lpwstr>
  </property>
  <property fmtid="{D5CDD505-2E9C-101B-9397-08002B2CF9AE}" pid="24" name="PM_Hash_SHA1">
    <vt:lpwstr>DD637AEACBDF46CF8E34B21395BB995A21595DA9</vt:lpwstr>
  </property>
  <property fmtid="{D5CDD505-2E9C-101B-9397-08002B2CF9AE}" pid="25" name="MSIP_Label_c477f0d0-1a40-415d-b130-8b40a41c8c21_SiteId">
    <vt:lpwstr>0b11c524-9a1c-4e1b-84cb-6336aefc2243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MSIP_Label_c477f0d0-1a40-415d-b130-8b40a41c8c21_Enabled">
    <vt:lpwstr>true</vt:lpwstr>
  </property>
  <property fmtid="{D5CDD505-2E9C-101B-9397-08002B2CF9AE}" pid="29" name="MSIP_Label_c477f0d0-1a40-415d-b130-8b40a41c8c21_Method">
    <vt:lpwstr>Privileged</vt:lpwstr>
  </property>
  <property fmtid="{D5CDD505-2E9C-101B-9397-08002B2CF9AE}" pid="30" name="MSIP_Label_c477f0d0-1a40-415d-b130-8b40a41c8c21_ContentBits">
    <vt:lpwstr>0</vt:lpwstr>
  </property>
  <property fmtid="{D5CDD505-2E9C-101B-9397-08002B2CF9AE}" pid="31" name="PM_Display">
    <vt:lpwstr>OFFICIAL</vt:lpwstr>
  </property>
  <property fmtid="{D5CDD505-2E9C-101B-9397-08002B2CF9AE}" pid="32" name="PMUuid">
    <vt:lpwstr>ABBFF5E2-9674-55C9-B08D-C9980002FD58</vt:lpwstr>
  </property>
  <property fmtid="{D5CDD505-2E9C-101B-9397-08002B2CF9AE}" pid="33" name="PMUuidVer">
    <vt:lpwstr>2022.1</vt:lpwstr>
  </property>
  <property fmtid="{D5CDD505-2E9C-101B-9397-08002B2CF9AE}" pid="34" name="PM_OriginatorUserAccountName_SHA256">
    <vt:lpwstr>3E9DB5AB808CA91EB3E8EC398CDB7F67B110581D6BB28BC88565729DCE387350</vt:lpwstr>
  </property>
  <property fmtid="{D5CDD505-2E9C-101B-9397-08002B2CF9AE}" pid="35" name="PM_OriginatorDomainName_SHA256">
    <vt:lpwstr>6F3591835F3B2A8A025B00B5BA6418010DA3A17C9C26EA9C049FFD28039489A2</vt:lpwstr>
  </property>
</Properties>
</file>