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3D131" w14:textId="666C3DE5" w:rsidR="00BE3A96" w:rsidRPr="00FA70A9" w:rsidRDefault="00D1628E" w:rsidP="00D1628E">
      <w:pPr>
        <w:spacing w:after="0"/>
        <w:rPr>
          <w:rFonts w:ascii="Calibri" w:hAnsi="Calibri" w:cs="Calibri"/>
          <w:b/>
          <w:bCs/>
          <w:sz w:val="24"/>
          <w:szCs w:val="24"/>
        </w:rPr>
      </w:pPr>
      <w:r w:rsidRPr="00FA70A9">
        <w:rPr>
          <w:rFonts w:ascii="Calibri" w:hAnsi="Calibri" w:cs="Calibri"/>
          <w:b/>
          <w:bCs/>
          <w:sz w:val="24"/>
          <w:szCs w:val="24"/>
        </w:rPr>
        <w:t>Annex B 4.</w:t>
      </w:r>
      <w:r w:rsidR="00F674D0">
        <w:rPr>
          <w:rFonts w:ascii="Calibri" w:hAnsi="Calibri" w:cs="Calibri"/>
          <w:b/>
          <w:bCs/>
          <w:sz w:val="24"/>
          <w:szCs w:val="24"/>
        </w:rPr>
        <w:t>6</w:t>
      </w:r>
      <w:r w:rsidRPr="00FA70A9">
        <w:rPr>
          <w:rFonts w:ascii="Calibri" w:hAnsi="Calibri" w:cs="Calibri"/>
          <w:b/>
          <w:bCs/>
          <w:sz w:val="24"/>
          <w:szCs w:val="24"/>
        </w:rPr>
        <w:t xml:space="preserve">: </w:t>
      </w:r>
      <w:r w:rsidR="00F674D0" w:rsidRPr="00F674D0">
        <w:rPr>
          <w:rFonts w:ascii="Calibri" w:hAnsi="Calibri" w:cs="Calibri"/>
          <w:b/>
          <w:bCs/>
          <w:sz w:val="24"/>
          <w:szCs w:val="24"/>
        </w:rPr>
        <w:t xml:space="preserve">Spearheading </w:t>
      </w:r>
      <w:r w:rsidR="00F674D0">
        <w:rPr>
          <w:rFonts w:ascii="Calibri" w:hAnsi="Calibri" w:cs="Calibri"/>
          <w:b/>
          <w:bCs/>
          <w:sz w:val="24"/>
          <w:szCs w:val="24"/>
        </w:rPr>
        <w:t>F</w:t>
      </w:r>
      <w:r w:rsidR="00F674D0" w:rsidRPr="00F674D0">
        <w:rPr>
          <w:rFonts w:ascii="Calibri" w:hAnsi="Calibri" w:cs="Calibri"/>
          <w:b/>
          <w:bCs/>
          <w:sz w:val="24"/>
          <w:szCs w:val="24"/>
        </w:rPr>
        <w:t xml:space="preserve">urther </w:t>
      </w:r>
      <w:r w:rsidR="00F674D0">
        <w:rPr>
          <w:rFonts w:ascii="Calibri" w:hAnsi="Calibri" w:cs="Calibri"/>
          <w:b/>
          <w:bCs/>
          <w:sz w:val="24"/>
          <w:szCs w:val="24"/>
        </w:rPr>
        <w:t>B</w:t>
      </w:r>
      <w:r w:rsidR="00F674D0" w:rsidRPr="00F674D0">
        <w:rPr>
          <w:rFonts w:ascii="Calibri" w:hAnsi="Calibri" w:cs="Calibri"/>
          <w:b/>
          <w:bCs/>
          <w:sz w:val="24"/>
          <w:szCs w:val="24"/>
        </w:rPr>
        <w:t xml:space="preserve">attery </w:t>
      </w:r>
      <w:r w:rsidR="00F674D0">
        <w:rPr>
          <w:rFonts w:ascii="Calibri" w:hAnsi="Calibri" w:cs="Calibri"/>
          <w:b/>
          <w:bCs/>
          <w:sz w:val="24"/>
          <w:szCs w:val="24"/>
        </w:rPr>
        <w:t>C</w:t>
      </w:r>
      <w:r w:rsidR="00F674D0" w:rsidRPr="00F674D0">
        <w:rPr>
          <w:rFonts w:ascii="Calibri" w:hAnsi="Calibri" w:cs="Calibri"/>
          <w:b/>
          <w:bCs/>
          <w:sz w:val="24"/>
          <w:szCs w:val="24"/>
        </w:rPr>
        <w:t>ollaboration</w:t>
      </w:r>
    </w:p>
    <w:p w14:paraId="3C836F01" w14:textId="77777777" w:rsidR="00D1628E" w:rsidRPr="00FA70A9" w:rsidRDefault="00D1628E" w:rsidP="00D1628E">
      <w:pPr>
        <w:spacing w:after="0"/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687"/>
        <w:gridCol w:w="6319"/>
      </w:tblGrid>
      <w:tr w:rsidR="00D1628E" w:rsidRPr="00FA70A9" w14:paraId="4E7791C1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67AC85F3" w14:textId="1BA33508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Area of Cooperation</w:t>
            </w:r>
          </w:p>
        </w:tc>
        <w:tc>
          <w:tcPr>
            <w:tcW w:w="6319" w:type="dxa"/>
          </w:tcPr>
          <w:p w14:paraId="609BA78C" w14:textId="532DBCB0" w:rsidR="00D1628E" w:rsidRPr="00777501" w:rsidRDefault="002D5E46" w:rsidP="002D5E46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Clean Energy, Decarbonisation and Technology</w:t>
            </w:r>
          </w:p>
        </w:tc>
      </w:tr>
      <w:tr w:rsidR="00D1628E" w:rsidRPr="00FA70A9" w14:paraId="79A712F6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5C1F8888" w14:textId="1082189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Purpose</w:t>
            </w:r>
          </w:p>
        </w:tc>
        <w:tc>
          <w:tcPr>
            <w:tcW w:w="6319" w:type="dxa"/>
          </w:tcPr>
          <w:p w14:paraId="40C5A711" w14:textId="14EE94D7" w:rsidR="00D1628E" w:rsidRPr="003413ED" w:rsidRDefault="00777501" w:rsidP="002D5E46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3413ED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Spearhead further collaboration in battery and related technologies.</w:t>
            </w:r>
          </w:p>
        </w:tc>
      </w:tr>
      <w:tr w:rsidR="00D1628E" w:rsidRPr="00FA70A9" w14:paraId="47C7D5F3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198F54C4" w14:textId="26F711D8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319" w:type="dxa"/>
          </w:tcPr>
          <w:p w14:paraId="2AB39E2C" w14:textId="4D03F69B" w:rsidR="00D1628E" w:rsidRPr="00777501" w:rsidRDefault="00F271DF" w:rsidP="002D5E46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Singapore and Australia will </w:t>
            </w:r>
            <w:r w:rsidR="00392934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explore </w:t>
            </w:r>
            <w:r w:rsidR="00777501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further collaboration in battery and related technologies in areas such as standards, with a view to possibly including other areas on </w:t>
            </w: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R&amp;D</w:t>
            </w:r>
            <w:r w:rsidR="00777501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and </w:t>
            </w: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investments</w:t>
            </w:r>
            <w:r w:rsidR="00777501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 future.</w:t>
            </w:r>
          </w:p>
        </w:tc>
      </w:tr>
      <w:tr w:rsidR="00D1628E" w:rsidRPr="00FA70A9" w14:paraId="522675A7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5867AE8E" w14:textId="717C90B2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Specific Objectives</w:t>
            </w:r>
          </w:p>
        </w:tc>
        <w:tc>
          <w:tcPr>
            <w:tcW w:w="6319" w:type="dxa"/>
          </w:tcPr>
          <w:p w14:paraId="1CA07147" w14:textId="515DB8FE" w:rsidR="00B163D8" w:rsidRPr="00777501" w:rsidRDefault="00777501" w:rsidP="00B163D8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Singapore and Australia will </w:t>
            </w:r>
            <w:r w:rsidR="00BD078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share information and </w:t>
            </w: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work together to p</w:t>
            </w:r>
            <w:r w:rsidR="00B163D8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romote harmonisation of battery safety and performance standards through </w:t>
            </w:r>
            <w:r w:rsidR="00BD078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collaboration on </w:t>
            </w:r>
            <w:r w:rsidR="002F7CB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existing and </w:t>
            </w:r>
            <w:r w:rsidR="00BD078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emerging areas for standardisation</w:t>
            </w:r>
            <w:r w:rsidR="002F7CB8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,</w:t>
            </w:r>
            <w:r w:rsidR="00BD078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and 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alignment and adoption of </w:t>
            </w:r>
            <w:r w:rsidR="00B163D8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international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  <w:r w:rsidR="00B163D8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standards 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to facilitate trade and market access</w:t>
            </w:r>
            <w:r w:rsidR="000713EA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.</w:t>
            </w:r>
            <w:r w:rsidR="00B163D8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D1628E" w:rsidRPr="00FA70A9" w14:paraId="748230A0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6F6ACE5C" w14:textId="0080D66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Desired Outcomes</w:t>
            </w:r>
          </w:p>
        </w:tc>
        <w:tc>
          <w:tcPr>
            <w:tcW w:w="6319" w:type="dxa"/>
          </w:tcPr>
          <w:p w14:paraId="6F7B9EA6" w14:textId="3C79DD1E" w:rsidR="00181105" w:rsidRPr="00777501" w:rsidRDefault="00777501" w:rsidP="00757F1C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Singapore and Australia will c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ontinue </w:t>
            </w: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to 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leverag</w:t>
            </w: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existing </w:t>
            </w:r>
            <w:r w:rsidR="007E0E5B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international 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standards development platforms (i.e. International Electrotechnical Commission) where Singapore and Australia are participating members to</w:t>
            </w:r>
            <w:r w:rsidR="007E0E5B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contribute to battery standards development</w:t>
            </w: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, while </w:t>
            </w:r>
            <w:r w:rsidR="007B148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looking out for </w:t>
            </w:r>
            <w:r w:rsidR="002038D7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avenues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to collaborate on </w:t>
            </w:r>
            <w:r w:rsidR="007E0E5B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bilateral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initiatives </w:t>
            </w:r>
            <w:r w:rsidR="007E0E5B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if </w:t>
            </w:r>
            <w:r w:rsidR="00D1744D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opportunities emerge.</w:t>
            </w:r>
          </w:p>
        </w:tc>
      </w:tr>
      <w:tr w:rsidR="00D1628E" w:rsidRPr="00FA70A9" w14:paraId="49638A3F" w14:textId="77777777" w:rsidTr="00FA70A9">
        <w:tc>
          <w:tcPr>
            <w:tcW w:w="2687" w:type="dxa"/>
            <w:shd w:val="clear" w:color="auto" w:fill="D9F2D0" w:themeFill="accent6" w:themeFillTint="33"/>
          </w:tcPr>
          <w:p w14:paraId="4431FAB1" w14:textId="758851FB" w:rsidR="00D1628E" w:rsidRPr="00FA70A9" w:rsidRDefault="00D1628E" w:rsidP="00D1628E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FA70A9">
              <w:rPr>
                <w:rFonts w:ascii="Calibri" w:hAnsi="Calibri" w:cs="Calibri"/>
                <w:b/>
                <w:bCs/>
                <w:sz w:val="24"/>
                <w:szCs w:val="24"/>
              </w:rPr>
              <w:t>Project Leads</w:t>
            </w:r>
          </w:p>
        </w:tc>
        <w:tc>
          <w:tcPr>
            <w:tcW w:w="6319" w:type="dxa"/>
          </w:tcPr>
          <w:p w14:paraId="46592F5D" w14:textId="77777777" w:rsidR="00FA70A9" w:rsidRPr="00777501" w:rsidRDefault="00FA70A9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Singapore</w:t>
            </w:r>
          </w:p>
          <w:p w14:paraId="5DCF75DA" w14:textId="5A595434" w:rsidR="00777501" w:rsidRPr="00777501" w:rsidRDefault="00777501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Ministry of Trade and Industry Singapore</w:t>
            </w:r>
          </w:p>
          <w:p w14:paraId="4BD725B1" w14:textId="011431F7" w:rsidR="008233A2" w:rsidRPr="00777501" w:rsidRDefault="008233A2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proofErr w:type="spellStart"/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EnterpriseSG</w:t>
            </w:r>
            <w:proofErr w:type="spellEnd"/>
            <w:r w:rsidR="0089299C"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 xml:space="preserve"> </w:t>
            </w:r>
          </w:p>
          <w:p w14:paraId="10F521F3" w14:textId="77777777" w:rsidR="00FA70A9" w:rsidRPr="00777501" w:rsidRDefault="00FA70A9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117782EC" w14:textId="77777777" w:rsidR="00FA70A9" w:rsidRPr="00777501" w:rsidRDefault="00FA70A9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  <w:u w:val="single"/>
              </w:rPr>
              <w:t>Australia</w:t>
            </w:r>
          </w:p>
          <w:p w14:paraId="7B22C7E4" w14:textId="4E0E56A0" w:rsidR="00B41B42" w:rsidRPr="00777501" w:rsidRDefault="00B41B42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Department of Foreign Affairs and Trade</w:t>
            </w:r>
          </w:p>
          <w:p w14:paraId="4161CDAC" w14:textId="1781FC74" w:rsidR="00616E2F" w:rsidRPr="00777501" w:rsidRDefault="00616E2F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Standards Australia</w:t>
            </w:r>
          </w:p>
          <w:p w14:paraId="0D3DC448" w14:textId="77777777" w:rsidR="00FA70A9" w:rsidRPr="00777501" w:rsidRDefault="00FA70A9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</w:p>
          <w:p w14:paraId="4C6B3F2D" w14:textId="177F6476" w:rsidR="00D1628E" w:rsidRPr="00777501" w:rsidRDefault="00FA70A9" w:rsidP="00FA70A9">
            <w:pPr>
              <w:jc w:val="both"/>
              <w:rPr>
                <w:rFonts w:ascii="Calibri" w:hAnsi="Calibri" w:cs="Calibri"/>
                <w:color w:val="000000" w:themeColor="text1"/>
                <w:sz w:val="24"/>
                <w:szCs w:val="24"/>
              </w:rPr>
            </w:pPr>
            <w:r w:rsidRPr="00777501">
              <w:rPr>
                <w:rFonts w:ascii="Calibri" w:hAnsi="Calibri" w:cs="Calibri"/>
                <w:color w:val="000000" w:themeColor="text1"/>
                <w:sz w:val="24"/>
                <w:szCs w:val="24"/>
              </w:rPr>
              <w:t>And the participation of other agencies as needed.</w:t>
            </w:r>
          </w:p>
        </w:tc>
      </w:tr>
    </w:tbl>
    <w:p w14:paraId="3BCA2E5B" w14:textId="77777777" w:rsidR="00D1628E" w:rsidRPr="00FA70A9" w:rsidRDefault="00D1628E" w:rsidP="00D1628E">
      <w:pPr>
        <w:spacing w:after="0"/>
        <w:rPr>
          <w:rFonts w:ascii="Arial" w:hAnsi="Arial" w:cs="Arial"/>
          <w:b/>
          <w:bCs/>
          <w:sz w:val="24"/>
          <w:szCs w:val="24"/>
        </w:rPr>
      </w:pPr>
    </w:p>
    <w:sectPr w:rsidR="00D1628E" w:rsidRPr="00FA70A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AC5F9" w14:textId="77777777" w:rsidR="001379A4" w:rsidRDefault="001379A4" w:rsidP="00D1628E">
      <w:pPr>
        <w:spacing w:after="0" w:line="240" w:lineRule="auto"/>
      </w:pPr>
      <w:r>
        <w:separator/>
      </w:r>
    </w:p>
  </w:endnote>
  <w:endnote w:type="continuationSeparator" w:id="0">
    <w:p w14:paraId="7E1CE3E8" w14:textId="77777777" w:rsidR="001379A4" w:rsidRDefault="001379A4" w:rsidP="00D16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F79E5" w14:textId="77777777" w:rsidR="001379A4" w:rsidRDefault="001379A4" w:rsidP="00D1628E">
      <w:pPr>
        <w:spacing w:after="0" w:line="240" w:lineRule="auto"/>
      </w:pPr>
      <w:r>
        <w:separator/>
      </w:r>
    </w:p>
  </w:footnote>
  <w:footnote w:type="continuationSeparator" w:id="0">
    <w:p w14:paraId="5729B53E" w14:textId="77777777" w:rsidR="001379A4" w:rsidRDefault="001379A4" w:rsidP="00D16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E99B" w14:textId="1612ED42" w:rsidR="00D1628E" w:rsidRPr="00D1628E" w:rsidRDefault="00D1628E" w:rsidP="00D1628E">
    <w:pPr>
      <w:pStyle w:val="Header"/>
      <w:jc w:val="center"/>
      <w:rPr>
        <w:rFonts w:ascii="Calibri" w:hAnsi="Calibri" w:cs="Calibri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D2887"/>
    <w:multiLevelType w:val="multilevel"/>
    <w:tmpl w:val="1ECE4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6510A0B"/>
    <w:multiLevelType w:val="hybridMultilevel"/>
    <w:tmpl w:val="0136E72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76081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4529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F25"/>
    <w:rsid w:val="000713EA"/>
    <w:rsid w:val="000A65BD"/>
    <w:rsid w:val="001379A4"/>
    <w:rsid w:val="00150CB4"/>
    <w:rsid w:val="00181105"/>
    <w:rsid w:val="001860B0"/>
    <w:rsid w:val="001D537E"/>
    <w:rsid w:val="002038D7"/>
    <w:rsid w:val="00211B57"/>
    <w:rsid w:val="002C43D6"/>
    <w:rsid w:val="002D5E46"/>
    <w:rsid w:val="002E7673"/>
    <w:rsid w:val="002F7CB8"/>
    <w:rsid w:val="003413ED"/>
    <w:rsid w:val="00392934"/>
    <w:rsid w:val="003A276B"/>
    <w:rsid w:val="003F2F25"/>
    <w:rsid w:val="00423B6A"/>
    <w:rsid w:val="00425B70"/>
    <w:rsid w:val="004A22B2"/>
    <w:rsid w:val="004F0007"/>
    <w:rsid w:val="004F7079"/>
    <w:rsid w:val="005022C6"/>
    <w:rsid w:val="00524DAB"/>
    <w:rsid w:val="005B35FB"/>
    <w:rsid w:val="00601BFB"/>
    <w:rsid w:val="00616E2F"/>
    <w:rsid w:val="006673CC"/>
    <w:rsid w:val="00671378"/>
    <w:rsid w:val="006A077B"/>
    <w:rsid w:val="006A46D3"/>
    <w:rsid w:val="006D05FA"/>
    <w:rsid w:val="00757F1C"/>
    <w:rsid w:val="007755F4"/>
    <w:rsid w:val="00777501"/>
    <w:rsid w:val="00790D79"/>
    <w:rsid w:val="007B1487"/>
    <w:rsid w:val="007B6D00"/>
    <w:rsid w:val="007E0E5B"/>
    <w:rsid w:val="008233A2"/>
    <w:rsid w:val="00833D81"/>
    <w:rsid w:val="0089213E"/>
    <w:rsid w:val="0089299C"/>
    <w:rsid w:val="008A0026"/>
    <w:rsid w:val="008D6045"/>
    <w:rsid w:val="009602BD"/>
    <w:rsid w:val="009637B8"/>
    <w:rsid w:val="00995A7E"/>
    <w:rsid w:val="00A00741"/>
    <w:rsid w:val="00B163D8"/>
    <w:rsid w:val="00B41B42"/>
    <w:rsid w:val="00BD0787"/>
    <w:rsid w:val="00BE3A96"/>
    <w:rsid w:val="00CB6BBE"/>
    <w:rsid w:val="00D1628E"/>
    <w:rsid w:val="00D1744D"/>
    <w:rsid w:val="00D4279A"/>
    <w:rsid w:val="00D760BC"/>
    <w:rsid w:val="00DA1D82"/>
    <w:rsid w:val="00DD3D2F"/>
    <w:rsid w:val="00E26DB8"/>
    <w:rsid w:val="00E42799"/>
    <w:rsid w:val="00E8723F"/>
    <w:rsid w:val="00EA56A3"/>
    <w:rsid w:val="00EE71EC"/>
    <w:rsid w:val="00F271DF"/>
    <w:rsid w:val="00F552AC"/>
    <w:rsid w:val="00F674D0"/>
    <w:rsid w:val="00F826F9"/>
    <w:rsid w:val="00FA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C84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2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2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2F2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2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2F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2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2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2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2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2F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2F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2F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2F2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2F2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2F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2F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2F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2F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2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2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2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2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2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2F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2F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2F2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2F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2F2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2F2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16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628E"/>
  </w:style>
  <w:style w:type="paragraph" w:styleId="Footer">
    <w:name w:val="footer"/>
    <w:basedOn w:val="Normal"/>
    <w:link w:val="FooterChar"/>
    <w:uiPriority w:val="99"/>
    <w:unhideWhenUsed/>
    <w:rsid w:val="00D162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628E"/>
  </w:style>
  <w:style w:type="paragraph" w:styleId="Revision">
    <w:name w:val="Revision"/>
    <w:hidden/>
    <w:uiPriority w:val="99"/>
    <w:semiHidden/>
    <w:rsid w:val="007775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7775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775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75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F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F1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1134</Characters>
  <Application>Microsoft Office Word</Application>
  <DocSecurity>0</DocSecurity>
  <Lines>36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B 4.6: Spearheading Further Battery Collaboration</dc:title>
  <dc:subject/>
  <dc:creator/>
  <cp:keywords>[SEC=OFFICIAL]</cp:keywords>
  <dc:description/>
  <cp:lastModifiedBy/>
  <cp:revision>1</cp:revision>
  <dcterms:created xsi:type="dcterms:W3CDTF">2025-10-09T06:53:00Z</dcterms:created>
  <dcterms:modified xsi:type="dcterms:W3CDTF">2025-10-09T06:53:00Z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OriginationTimeStamp">
    <vt:lpwstr>2025-10-02T01:13:14Z</vt:lpwstr>
  </property>
  <property fmtid="{D5CDD505-2E9C-101B-9397-08002B2CF9AE}" pid="3" name="PM_ProtectiveMarkingValue_Header">
    <vt:lpwstr>OFFICIAL</vt:lpwstr>
  </property>
  <property fmtid="{D5CDD505-2E9C-101B-9397-08002B2CF9AE}" pid="4" name="PM_Expires">
    <vt:lpwstr/>
  </property>
  <property fmtid="{D5CDD505-2E9C-101B-9397-08002B2CF9AE}" pid="5" name="PM_DisplayValueSecClassificationWithQualifier">
    <vt:lpwstr>OFFICIAL</vt:lpwstr>
  </property>
  <property fmtid="{D5CDD505-2E9C-101B-9397-08002B2CF9AE}" pid="6" name="PM_InsertionValue">
    <vt:lpwstr>OFFICIAL</vt:lpwstr>
  </property>
  <property fmtid="{D5CDD505-2E9C-101B-9397-08002B2CF9AE}" pid="7" name="PM_Originator_Hash_SHA1">
    <vt:lpwstr>D9F6E5C82DFAF7AB6E3D596D48DD43C72EDFDAB4</vt:lpwstr>
  </property>
  <property fmtid="{D5CDD505-2E9C-101B-9397-08002B2CF9AE}" pid="8" name="PM_ProtectiveMarkingValue_Footer">
    <vt:lpwstr>OFFICIAL</vt:lpwstr>
  </property>
  <property fmtid="{D5CDD505-2E9C-101B-9397-08002B2CF9AE}" pid="9" name="PM_Originating_FileId">
    <vt:lpwstr>FD622D3E9DE0421DB7B83B5BA185EFB7</vt:lpwstr>
  </property>
  <property fmtid="{D5CDD505-2E9C-101B-9397-08002B2CF9AE}" pid="10" name="PM_Display">
    <vt:lpwstr>OFFICIAL</vt:lpwstr>
  </property>
  <property fmtid="{D5CDD505-2E9C-101B-9397-08002B2CF9AE}" pid="11" name="PM_OriginatorUserAccountName_SHA256">
    <vt:lpwstr>3E9DB5AB808CA91EB3E8EC398CDB7F67B110581D6BB28BC88565729DCE387350</vt:lpwstr>
  </property>
  <property fmtid="{D5CDD505-2E9C-101B-9397-08002B2CF9AE}" pid="12" name="PM_OriginatorDomainName_SHA256">
    <vt:lpwstr>6F3591835F3B2A8A025B00B5BA6418010DA3A17C9C26EA9C049FFD28039489A2</vt:lpwstr>
  </property>
  <property fmtid="{D5CDD505-2E9C-101B-9397-08002B2CF9AE}" pid="13" name="PMUuid">
    <vt:lpwstr>v=2022.2;d=gov.au;g=46DD6D7C-8107-577B-BC6E-F348953B2E44</vt:lpwstr>
  </property>
  <property fmtid="{D5CDD505-2E9C-101B-9397-08002B2CF9AE}" pid="14" name="PM_Hash_Version">
    <vt:lpwstr>2022.1</vt:lpwstr>
  </property>
  <property fmtid="{D5CDD505-2E9C-101B-9397-08002B2CF9AE}" pid="15" name="PM_Hash_Salt_Prev">
    <vt:lpwstr>CDC1542E39E2A8382947E710E04E3D8D</vt:lpwstr>
  </property>
  <property fmtid="{D5CDD505-2E9C-101B-9397-08002B2CF9AE}" pid="16" name="PM_Hash_Salt">
    <vt:lpwstr>29741C81C665E9E0AE39DA31621B4EEF</vt:lpwstr>
  </property>
  <property fmtid="{D5CDD505-2E9C-101B-9397-08002B2CF9AE}" pid="17" name="PM_Hash_SHA1">
    <vt:lpwstr>AF52433855B264ABEAE17D4A19ED0DE97F1C08AE</vt:lpwstr>
  </property>
  <property fmtid="{D5CDD505-2E9C-101B-9397-08002B2CF9AE}" pid="18" name="PM_SecurityClassification_Prev">
    <vt:lpwstr>OFFICIAL</vt:lpwstr>
  </property>
  <property fmtid="{D5CDD505-2E9C-101B-9397-08002B2CF9AE}" pid="19" name="PM_Qualifier_Prev">
    <vt:lpwstr/>
  </property>
  <property fmtid="{D5CDD505-2E9C-101B-9397-08002B2CF9AE}" pid="20" name="PM_Namespace">
    <vt:lpwstr>gov.au</vt:lpwstr>
  </property>
  <property fmtid="{D5CDD505-2E9C-101B-9397-08002B2CF9AE}" pid="21" name="PM_Version">
    <vt:lpwstr>2018.4</vt:lpwstr>
  </property>
  <property fmtid="{D5CDD505-2E9C-101B-9397-08002B2CF9AE}" pid="22" name="PM_SecurityClassification">
    <vt:lpwstr>OFFICIAL</vt:lpwstr>
  </property>
  <property fmtid="{D5CDD505-2E9C-101B-9397-08002B2CF9AE}" pid="23" name="PMHMAC">
    <vt:lpwstr>v=2022.1;a=SHA256;h=901AF66275863C943D3C63D55A9AB76C9684B867D725EF564D12F944F6E6D41F</vt:lpwstr>
  </property>
  <property fmtid="{D5CDD505-2E9C-101B-9397-08002B2CF9AE}" pid="24" name="PM_Qualifier">
    <vt:lpwstr/>
  </property>
  <property fmtid="{D5CDD505-2E9C-101B-9397-08002B2CF9AE}" pid="25" name="PM_Note">
    <vt:lpwstr/>
  </property>
  <property fmtid="{D5CDD505-2E9C-101B-9397-08002B2CF9AE}" pid="26" name="PM_Markers">
    <vt:lpwstr/>
  </property>
  <property fmtid="{D5CDD505-2E9C-101B-9397-08002B2CF9AE}" pid="27" name="PM_Caveats_Count">
    <vt:lpwstr>0</vt:lpwstr>
  </property>
  <property fmtid="{D5CDD505-2E9C-101B-9397-08002B2CF9AE}" pid="28" name="PM_DownTo">
    <vt:lpwstr/>
  </property>
</Properties>
</file>