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ECFB" w14:textId="417B8896" w:rsidR="007C3934" w:rsidRPr="00D346E0" w:rsidRDefault="00DB6496" w:rsidP="00D346E0">
      <w:pPr>
        <w:pStyle w:val="Heading1"/>
      </w:pPr>
      <w:r w:rsidRPr="00D346E0">
        <w:t>Annex B 4.2: Green Shipping Cooperation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035DD" w14:paraId="6A1CD205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146B4659" w14:textId="77777777" w:rsidR="00A035DD" w:rsidRPr="004F5CEF" w:rsidRDefault="00A035DD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Area of Cooperation </w:t>
            </w:r>
          </w:p>
          <w:p w14:paraId="6B1B43EE" w14:textId="27CCD240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009FC32" w14:textId="518CFF9E" w:rsidR="00A035DD" w:rsidRPr="00D92002" w:rsidRDefault="00DB6496">
            <w:r>
              <w:t xml:space="preserve">Clean Energy, </w:t>
            </w:r>
            <w:r w:rsidR="007C3934">
              <w:t>D</w:t>
            </w:r>
            <w:r w:rsidR="00D92002">
              <w:t xml:space="preserve">ecarbonisation and </w:t>
            </w:r>
            <w:r>
              <w:t>T</w:t>
            </w:r>
            <w:r w:rsidR="00D92002">
              <w:t>echnology</w:t>
            </w:r>
          </w:p>
        </w:tc>
      </w:tr>
      <w:tr w:rsidR="00A035DD" w14:paraId="62434779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70807D53" w14:textId="77777777" w:rsidR="00A035DD" w:rsidRPr="004F5CEF" w:rsidRDefault="00A035DD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>Purpose</w:t>
            </w:r>
          </w:p>
          <w:p w14:paraId="437FD1D3" w14:textId="0C54CBB9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B51FA54" w14:textId="359887E4" w:rsidR="006B7F4A" w:rsidRDefault="005A4497" w:rsidP="002210E8">
            <w:r>
              <w:t xml:space="preserve">Focus joint efforts across a range </w:t>
            </w:r>
            <w:r w:rsidR="00287B54">
              <w:t xml:space="preserve">of </w:t>
            </w:r>
            <w:r>
              <w:t xml:space="preserve">fora and initiatives to </w:t>
            </w:r>
            <w:r w:rsidR="002210E8">
              <w:t xml:space="preserve">accelerate implementation and promotion of </w:t>
            </w:r>
            <w:r w:rsidR="006B0F29">
              <w:t xml:space="preserve">technologies for decarbonising </w:t>
            </w:r>
            <w:r w:rsidR="002210E8">
              <w:t xml:space="preserve">shipping. </w:t>
            </w:r>
          </w:p>
          <w:p w14:paraId="19A17647" w14:textId="59F15B8C" w:rsidR="003F6DF2" w:rsidRPr="006B7F4A" w:rsidRDefault="003F6DF2" w:rsidP="002210E8"/>
        </w:tc>
      </w:tr>
      <w:tr w:rsidR="00A035DD" w14:paraId="086A4F39" w14:textId="77777777" w:rsidTr="003A24F2">
        <w:trPr>
          <w:trHeight w:val="3374"/>
        </w:trPr>
        <w:tc>
          <w:tcPr>
            <w:tcW w:w="2263" w:type="dxa"/>
            <w:shd w:val="clear" w:color="auto" w:fill="E2EFD9" w:themeFill="accent6" w:themeFillTint="33"/>
          </w:tcPr>
          <w:p w14:paraId="277BA41E" w14:textId="77777777" w:rsidR="00A035DD" w:rsidRPr="004F5CEF" w:rsidRDefault="00A035DD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Description </w:t>
            </w:r>
          </w:p>
          <w:p w14:paraId="4A19EA50" w14:textId="2F77F195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D8C1A1A" w14:textId="19702226" w:rsidR="00A31E37" w:rsidRDefault="002210E8" w:rsidP="00D92002">
            <w:r>
              <w:t>A</w:t>
            </w:r>
            <w:r w:rsidR="006A32A2">
              <w:t xml:space="preserve"> new dialogue </w:t>
            </w:r>
            <w:r>
              <w:t xml:space="preserve">would </w:t>
            </w:r>
            <w:r w:rsidR="00287B54">
              <w:t xml:space="preserve">focus on the partnerships required to implement green shipping corridor(s) as a tangible </w:t>
            </w:r>
            <w:r w:rsidR="00697746">
              <w:t>outcome of technology development, deployment</w:t>
            </w:r>
            <w:r w:rsidR="0026684A">
              <w:t xml:space="preserve">, </w:t>
            </w:r>
            <w:proofErr w:type="gramStart"/>
            <w:r w:rsidR="0026684A">
              <w:t>assessment</w:t>
            </w:r>
            <w:proofErr w:type="gramEnd"/>
            <w:r w:rsidR="00697746">
              <w:t xml:space="preserve"> and information sharing</w:t>
            </w:r>
            <w:r w:rsidR="0026684A">
              <w:t xml:space="preserve">. These partnerships could </w:t>
            </w:r>
            <w:r>
              <w:t>build o</w:t>
            </w:r>
            <w:r w:rsidR="008024D1">
              <w:t xml:space="preserve">n </w:t>
            </w:r>
            <w:r w:rsidR="00697746">
              <w:t>and incorporat</w:t>
            </w:r>
            <w:r w:rsidR="0026684A">
              <w:t>e</w:t>
            </w:r>
            <w:r w:rsidR="00287B54">
              <w:t xml:space="preserve"> </w:t>
            </w:r>
            <w:r w:rsidR="006A32A2">
              <w:t>Singapore and Australia’</w:t>
            </w:r>
            <w:r w:rsidR="0026684A">
              <w:t>s</w:t>
            </w:r>
            <w:r w:rsidR="006A32A2">
              <w:t xml:space="preserve"> </w:t>
            </w:r>
            <w:r w:rsidR="00697746">
              <w:t xml:space="preserve">shared </w:t>
            </w:r>
            <w:r w:rsidR="006A32A2">
              <w:t xml:space="preserve">engagement </w:t>
            </w:r>
            <w:r w:rsidR="00A31E37">
              <w:t xml:space="preserve">in: </w:t>
            </w:r>
          </w:p>
          <w:p w14:paraId="21FC8DF6" w14:textId="217EC934" w:rsidR="00287B54" w:rsidRDefault="00C1605D" w:rsidP="005A4497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B27660" w:rsidRPr="00B27660">
              <w:t>Memorandum of Understanding between the Government of Australia and the Government of Singapore for Cooperation on Low-Emissions Solutions</w:t>
            </w:r>
            <w:r w:rsidR="00C4764B">
              <w:t xml:space="preserve">, including the </w:t>
            </w:r>
            <w:r w:rsidR="006C362B" w:rsidRPr="006C362B">
              <w:t xml:space="preserve">Australia-Singapore </w:t>
            </w:r>
            <w:r w:rsidR="00B07B34">
              <w:t>initiative</w:t>
            </w:r>
            <w:r w:rsidR="00B07B34" w:rsidRPr="006C362B">
              <w:t xml:space="preserve"> </w:t>
            </w:r>
            <w:r w:rsidR="006C362B" w:rsidRPr="006C362B">
              <w:t xml:space="preserve">on low emissions technologies for maritime and port </w:t>
            </w:r>
            <w:proofErr w:type="gramStart"/>
            <w:r w:rsidR="006C362B" w:rsidRPr="006C362B">
              <w:t>operations</w:t>
            </w:r>
            <w:r w:rsidR="001061D0">
              <w:t>;</w:t>
            </w:r>
            <w:proofErr w:type="gramEnd"/>
          </w:p>
          <w:p w14:paraId="76CD1434" w14:textId="1E478C4F" w:rsidR="0026684A" w:rsidRPr="005A4497" w:rsidRDefault="0026684A" w:rsidP="0026684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t xml:space="preserve">the </w:t>
            </w:r>
            <w:r w:rsidRPr="005A4497">
              <w:rPr>
                <w:rFonts w:cstheme="minorHAnsi"/>
                <w:color w:val="000000" w:themeColor="text1"/>
              </w:rPr>
              <w:t>Clydebank Declaration</w:t>
            </w:r>
            <w:r w:rsidR="00E35D6E">
              <w:rPr>
                <w:rFonts w:cstheme="minorHAnsi"/>
                <w:color w:val="000000" w:themeColor="text1"/>
              </w:rPr>
              <w:t xml:space="preserve"> for green shipping </w:t>
            </w:r>
            <w:proofErr w:type="gramStart"/>
            <w:r w:rsidR="00E35D6E">
              <w:rPr>
                <w:rFonts w:cstheme="minorHAnsi"/>
                <w:color w:val="000000" w:themeColor="text1"/>
              </w:rPr>
              <w:t>corridors</w:t>
            </w:r>
            <w:r w:rsidR="001061D0">
              <w:rPr>
                <w:rFonts w:cstheme="minorHAnsi"/>
                <w:color w:val="000000" w:themeColor="text1"/>
              </w:rPr>
              <w:t>;</w:t>
            </w:r>
            <w:proofErr w:type="gramEnd"/>
          </w:p>
          <w:p w14:paraId="1F64791B" w14:textId="4248C5B3" w:rsidR="006A32A2" w:rsidRDefault="006A32A2" w:rsidP="005A4497">
            <w:pPr>
              <w:pStyle w:val="ListParagraph"/>
              <w:numPr>
                <w:ilvl w:val="0"/>
                <w:numId w:val="4"/>
              </w:numPr>
            </w:pPr>
            <w:r>
              <w:t>the International Maritime Organi</w:t>
            </w:r>
            <w:r w:rsidR="006B0F29">
              <w:t>z</w:t>
            </w:r>
            <w:r>
              <w:t xml:space="preserve">ation’s </w:t>
            </w:r>
            <w:r w:rsidR="00C1605D">
              <w:t>(IMO)</w:t>
            </w:r>
            <w:r w:rsidR="008D73EF">
              <w:t xml:space="preserve"> </w:t>
            </w:r>
            <w:r w:rsidR="006B0F29">
              <w:t>actions</w:t>
            </w:r>
            <w:r>
              <w:t xml:space="preserve"> to reduce international shipping emissions</w:t>
            </w:r>
            <w:r w:rsidR="001061D0">
              <w:t>; and</w:t>
            </w:r>
          </w:p>
          <w:p w14:paraId="041E8D7D" w14:textId="57216881" w:rsidR="006A32A2" w:rsidRDefault="00E35F0B" w:rsidP="005A4497">
            <w:pPr>
              <w:pStyle w:val="ListParagraph"/>
              <w:numPr>
                <w:ilvl w:val="0"/>
                <w:numId w:val="4"/>
              </w:numPr>
            </w:pPr>
            <w:hyperlink r:id="rId8" w:history="1">
              <w:r w:rsidR="006A32A2" w:rsidRPr="00A31E37">
                <w:t>Mission Innovation</w:t>
              </w:r>
            </w:hyperlink>
            <w:r w:rsidR="006A32A2">
              <w:t xml:space="preserve"> (MI)</w:t>
            </w:r>
            <w:r w:rsidR="00A31E37">
              <w:t xml:space="preserve">, </w:t>
            </w:r>
            <w:r w:rsidR="006B0F29">
              <w:t>noting</w:t>
            </w:r>
            <w:r w:rsidR="00A31E37">
              <w:t xml:space="preserve"> Singapore’s role as </w:t>
            </w:r>
            <w:r w:rsidR="000D7642">
              <w:t xml:space="preserve">a </w:t>
            </w:r>
            <w:r w:rsidR="00A31E37">
              <w:t xml:space="preserve">core mission </w:t>
            </w:r>
            <w:r w:rsidR="000D7642">
              <w:t>m</w:t>
            </w:r>
            <w:r w:rsidR="00A31E37">
              <w:t>ember in</w:t>
            </w:r>
            <w:r w:rsidR="006A32A2">
              <w:t xml:space="preserve"> </w:t>
            </w:r>
            <w:hyperlink r:id="rId9" w:history="1">
              <w:r w:rsidR="006A32A2" w:rsidRPr="00A31E37">
                <w:t>Zero-Emission Shipping</w:t>
              </w:r>
            </w:hyperlink>
            <w:r w:rsidR="006A32A2">
              <w:t xml:space="preserve">.  </w:t>
            </w:r>
          </w:p>
          <w:p w14:paraId="7CECC307" w14:textId="204EEBA2" w:rsidR="006A32A2" w:rsidRDefault="006A32A2" w:rsidP="006A32A2"/>
          <w:p w14:paraId="44E071E2" w14:textId="25D77FDB" w:rsidR="00C23A57" w:rsidRDefault="00266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dialogue</w:t>
            </w:r>
            <w:r w:rsidR="006F46CE">
              <w:rPr>
                <w:rFonts w:cstheme="minorHAnsi"/>
                <w:color w:val="000000" w:themeColor="text1"/>
              </w:rPr>
              <w:t xml:space="preserve"> could also draw on </w:t>
            </w:r>
            <w:r w:rsidR="00FF6F25">
              <w:rPr>
                <w:rFonts w:cstheme="minorHAnsi"/>
                <w:color w:val="000000" w:themeColor="text1"/>
              </w:rPr>
              <w:t xml:space="preserve">Singapore’s </w:t>
            </w:r>
            <w:r w:rsidR="006F73AD">
              <w:rPr>
                <w:rFonts w:cstheme="minorHAnsi"/>
                <w:color w:val="000000" w:themeColor="text1"/>
              </w:rPr>
              <w:t xml:space="preserve">hosting of the Global Centre for Maritime Decarbonisation. </w:t>
            </w:r>
          </w:p>
          <w:p w14:paraId="5F3ED47B" w14:textId="29372DB0" w:rsidR="00DB6496" w:rsidRDefault="00DB6496"/>
        </w:tc>
      </w:tr>
      <w:tr w:rsidR="00A035DD" w14:paraId="5D36B197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771A176F" w14:textId="43B59F1C" w:rsidR="00A035DD" w:rsidRPr="004F5CEF" w:rsidRDefault="00A035DD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Specific Objectives </w:t>
            </w:r>
          </w:p>
          <w:p w14:paraId="4AC12017" w14:textId="77777777" w:rsidR="00A035DD" w:rsidRPr="004F5CEF" w:rsidRDefault="00A035DD">
            <w:pPr>
              <w:rPr>
                <w:b/>
                <w:bCs/>
              </w:rPr>
            </w:pPr>
          </w:p>
          <w:p w14:paraId="716DFDB1" w14:textId="3F01FFDA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4955EDB7" w14:textId="77777777" w:rsidR="00450B23" w:rsidRDefault="00450B23" w:rsidP="00450B23">
            <w:r>
              <w:t xml:space="preserve">Establishment of government / business / research partnerships to: </w:t>
            </w:r>
          </w:p>
          <w:p w14:paraId="008D68D7" w14:textId="10651A48" w:rsidR="00450B23" w:rsidRDefault="00450B23" w:rsidP="00450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further the understanding of relevant technologies to reduce emissions from shipping and accelerate their development</w:t>
            </w:r>
            <w:r w:rsidR="00831704">
              <w:t>,</w:t>
            </w:r>
            <w:r>
              <w:t xml:space="preserve"> contributing to minimisation of risk exposure of stakeholders in the value chain for green shipping technology </w:t>
            </w:r>
            <w:proofErr w:type="gramStart"/>
            <w:r>
              <w:t>deployment</w:t>
            </w:r>
            <w:r w:rsidR="00831704">
              <w:t>;</w:t>
            </w:r>
            <w:proofErr w:type="gramEnd"/>
          </w:p>
          <w:p w14:paraId="4BFBAE09" w14:textId="77777777" w:rsidR="00450B23" w:rsidRDefault="00450B23" w:rsidP="00450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pursue efforts to advance our common objective to establish green shipping corridors under the Clydebank Declaration, including exploring green shipping corridor(s) between Singapore and Australia; and</w:t>
            </w:r>
          </w:p>
          <w:p w14:paraId="11507660" w14:textId="5A24FC22" w:rsidR="00450B23" w:rsidRDefault="00450B23" w:rsidP="00450B23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share with other partners, as </w:t>
            </w:r>
            <w:r w:rsidR="00354DA1">
              <w:t>jointly determined</w:t>
            </w:r>
            <w:r>
              <w:t xml:space="preserve"> (such as in the </w:t>
            </w:r>
            <w:r w:rsidR="00025DC4">
              <w:t>Indo-</w:t>
            </w:r>
            <w:r w:rsidR="008D73EF">
              <w:t>P</w:t>
            </w:r>
            <w:r>
              <w:t xml:space="preserve">acific region, through the IMO), on actions taken by </w:t>
            </w:r>
            <w:r w:rsidR="001061D0" w:rsidRPr="00881169">
              <w:t>Singapore</w:t>
            </w:r>
            <w:r w:rsidR="001061D0">
              <w:t xml:space="preserve"> and </w:t>
            </w:r>
            <w:proofErr w:type="gramStart"/>
            <w:r w:rsidR="001061D0">
              <w:t>Australia</w:t>
            </w:r>
            <w:r w:rsidR="001061D0" w:rsidRPr="00881169">
              <w:t xml:space="preserve"> </w:t>
            </w:r>
            <w:r>
              <w:t>.</w:t>
            </w:r>
            <w:proofErr w:type="gramEnd"/>
          </w:p>
          <w:p w14:paraId="213248DA" w14:textId="77777777" w:rsidR="00DB6496" w:rsidRDefault="00450B23" w:rsidP="00450B23">
            <w:r>
              <w:t xml:space="preserve">Areas of collaboration could include </w:t>
            </w:r>
            <w:r w:rsidRPr="001C279C">
              <w:rPr>
                <w:i/>
              </w:rPr>
              <w:t>inter alia</w:t>
            </w:r>
            <w:r>
              <w:t xml:space="preserve"> decarbonisation of operations at sea and at ports, a</w:t>
            </w:r>
            <w:r w:rsidRPr="00AB3A08">
              <w:t>ssess</w:t>
            </w:r>
            <w:r>
              <w:t>ing</w:t>
            </w:r>
            <w:r w:rsidRPr="00AB3A08">
              <w:t xml:space="preserve"> routes, </w:t>
            </w:r>
            <w:r>
              <w:t xml:space="preserve">alternative </w:t>
            </w:r>
            <w:r w:rsidRPr="00AB3A08">
              <w:t>fuel</w:t>
            </w:r>
            <w:r>
              <w:t xml:space="preserve"> use and bunkering, and </w:t>
            </w:r>
            <w:r w:rsidRPr="00AB3A08">
              <w:t>infrastructure</w:t>
            </w:r>
            <w:r>
              <w:t xml:space="preserve"> requirements.</w:t>
            </w:r>
          </w:p>
          <w:p w14:paraId="23AA7427" w14:textId="1A393EFE" w:rsidR="00581418" w:rsidRDefault="00581418" w:rsidP="00450B23"/>
        </w:tc>
      </w:tr>
      <w:tr w:rsidR="00A035DD" w14:paraId="3836B718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6E314256" w14:textId="1A29FABE" w:rsidR="00A035DD" w:rsidRPr="004F5CEF" w:rsidRDefault="00A035DD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t xml:space="preserve">Duration </w:t>
            </w:r>
          </w:p>
          <w:p w14:paraId="1647DB41" w14:textId="4930BF8C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5DB30795" w14:textId="27AEAD94" w:rsidR="00D92002" w:rsidRDefault="002210E8">
            <w:r w:rsidRPr="002210E8">
              <w:t>Commen</w:t>
            </w:r>
            <w:r w:rsidR="000B38F9">
              <w:t>ced</w:t>
            </w:r>
            <w:r w:rsidRPr="002210E8">
              <w:t xml:space="preserve"> in </w:t>
            </w:r>
            <w:r w:rsidR="003F6DF2">
              <w:t>October</w:t>
            </w:r>
            <w:r w:rsidRPr="002210E8">
              <w:t xml:space="preserve"> 2022, to develop a work program. </w:t>
            </w:r>
          </w:p>
        </w:tc>
      </w:tr>
      <w:tr w:rsidR="00C93419" w14:paraId="5294302E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626E6A89" w14:textId="3A85661D" w:rsidR="00C93419" w:rsidRPr="004F5CEF" w:rsidRDefault="00C93419">
            <w:pPr>
              <w:rPr>
                <w:b/>
                <w:bCs/>
              </w:rPr>
            </w:pPr>
            <w:r>
              <w:rPr>
                <w:b/>
                <w:bCs/>
              </w:rPr>
              <w:t>Governance Process</w:t>
            </w:r>
          </w:p>
        </w:tc>
        <w:tc>
          <w:tcPr>
            <w:tcW w:w="6753" w:type="dxa"/>
          </w:tcPr>
          <w:p w14:paraId="1B2BDDC4" w14:textId="727B74B7" w:rsidR="00C93419" w:rsidRPr="00C93419" w:rsidRDefault="00C93419" w:rsidP="00C93419">
            <w:r w:rsidRPr="00C93419">
              <w:t>Lead agencies will report on discussions (</w:t>
            </w:r>
            <w:proofErr w:type="gramStart"/>
            <w:r w:rsidRPr="00C93419">
              <w:t>e.g.</w:t>
            </w:r>
            <w:proofErr w:type="gramEnd"/>
            <w:r w:rsidRPr="00C93419">
              <w:t xml:space="preserve"> outcomes, recommendations) to the GEA Action Team (GAT). </w:t>
            </w:r>
          </w:p>
          <w:p w14:paraId="40FA04BA" w14:textId="77777777" w:rsidR="00C93419" w:rsidRPr="002210E8" w:rsidRDefault="00C93419"/>
        </w:tc>
      </w:tr>
      <w:tr w:rsidR="00A035DD" w14:paraId="71B4C35F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586B1E9D" w14:textId="5FA1489B" w:rsidR="00A035DD" w:rsidRPr="004F5CEF" w:rsidRDefault="00287B54">
            <w:pPr>
              <w:rPr>
                <w:b/>
                <w:bCs/>
              </w:rPr>
            </w:pPr>
            <w:r>
              <w:rPr>
                <w:b/>
                <w:bCs/>
              </w:rPr>
              <w:t>Desired</w:t>
            </w:r>
            <w:r w:rsidRPr="004F5CEF">
              <w:rPr>
                <w:b/>
                <w:bCs/>
              </w:rPr>
              <w:t xml:space="preserve"> </w:t>
            </w:r>
            <w:r w:rsidR="00A035DD" w:rsidRPr="004F5CEF">
              <w:rPr>
                <w:b/>
                <w:bCs/>
              </w:rPr>
              <w:t>outcomes</w:t>
            </w:r>
          </w:p>
          <w:p w14:paraId="44D103EA" w14:textId="77777777" w:rsidR="00A035DD" w:rsidRPr="004F5CEF" w:rsidRDefault="00A035DD">
            <w:pPr>
              <w:rPr>
                <w:b/>
                <w:bCs/>
              </w:rPr>
            </w:pPr>
          </w:p>
          <w:p w14:paraId="261AF700" w14:textId="20826107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5CAEC09" w14:textId="2102DFDA" w:rsidR="002C011E" w:rsidRPr="002C011E" w:rsidRDefault="001061D0" w:rsidP="00F63AC6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881169">
              <w:t>Singapore</w:t>
            </w:r>
            <w:r>
              <w:t xml:space="preserve"> and </w:t>
            </w:r>
            <w:proofErr w:type="gramStart"/>
            <w:r>
              <w:t>Australia</w:t>
            </w:r>
            <w:r w:rsidRPr="00881169">
              <w:t xml:space="preserve"> </w:t>
            </w:r>
            <w:r w:rsidR="003327CF">
              <w:t xml:space="preserve"> </w:t>
            </w:r>
            <w:r w:rsidR="00697746">
              <w:t>provide</w:t>
            </w:r>
            <w:proofErr w:type="gramEnd"/>
            <w:r w:rsidR="00697746">
              <w:t xml:space="preserve"> a best practice example and lessons learnt </w:t>
            </w:r>
            <w:r w:rsidR="00705CB3">
              <w:t>report to the Clydebank Declaration Secretariat</w:t>
            </w:r>
            <w:r w:rsidR="008E52A1">
              <w:t xml:space="preserve"> of steps taken to facilitate partnerships on green shipping corridors. </w:t>
            </w:r>
          </w:p>
          <w:p w14:paraId="21B63DF0" w14:textId="77777777" w:rsidR="00F63AC6" w:rsidRPr="00581418" w:rsidRDefault="00643664" w:rsidP="00860D0B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lastRenderedPageBreak/>
              <w:t>E</w:t>
            </w:r>
            <w:r w:rsidR="00697746">
              <w:t>s</w:t>
            </w:r>
            <w:r w:rsidR="00BC1219">
              <w:t>t</w:t>
            </w:r>
            <w:r w:rsidR="00697746">
              <w:t>ablish ongoing p</w:t>
            </w:r>
            <w:r w:rsidR="008E52A1">
              <w:t>artnerships</w:t>
            </w:r>
            <w:r w:rsidR="00A74041">
              <w:t xml:space="preserve"> with industry </w:t>
            </w:r>
            <w:r w:rsidR="00CE4F13">
              <w:t xml:space="preserve">for </w:t>
            </w:r>
            <w:r w:rsidR="006B0F29">
              <w:t xml:space="preserve">ongoing </w:t>
            </w:r>
            <w:r w:rsidR="003F6DF2">
              <w:t>real-world</w:t>
            </w:r>
            <w:r w:rsidR="00CE4F13">
              <w:t xml:space="preserve"> implementation of green shipping corridor</w:t>
            </w:r>
            <w:r w:rsidR="00697746">
              <w:t>s</w:t>
            </w:r>
            <w:r w:rsidR="00CE4F13">
              <w:t xml:space="preserve"> and </w:t>
            </w:r>
            <w:r w:rsidR="00697746">
              <w:t xml:space="preserve">the </w:t>
            </w:r>
            <w:r w:rsidR="00FA0FDB">
              <w:t xml:space="preserve">green shipping value chain. </w:t>
            </w:r>
          </w:p>
          <w:p w14:paraId="73828853" w14:textId="21219DFA" w:rsidR="00581418" w:rsidRPr="00860D0B" w:rsidRDefault="00581418" w:rsidP="006F20D8">
            <w:pPr>
              <w:pStyle w:val="ListParagraph"/>
              <w:rPr>
                <w:color w:val="FF0000"/>
              </w:rPr>
            </w:pPr>
          </w:p>
        </w:tc>
      </w:tr>
      <w:tr w:rsidR="00A035DD" w14:paraId="7A8C7606" w14:textId="77777777" w:rsidTr="00BB2224">
        <w:tc>
          <w:tcPr>
            <w:tcW w:w="2263" w:type="dxa"/>
            <w:shd w:val="clear" w:color="auto" w:fill="E2EFD9" w:themeFill="accent6" w:themeFillTint="33"/>
          </w:tcPr>
          <w:p w14:paraId="7AEE9878" w14:textId="31D1793D" w:rsidR="00A035DD" w:rsidRPr="004F5CEF" w:rsidRDefault="00D32C6B">
            <w:pPr>
              <w:rPr>
                <w:b/>
                <w:bCs/>
              </w:rPr>
            </w:pPr>
            <w:r w:rsidRPr="004F5CEF">
              <w:rPr>
                <w:b/>
                <w:bCs/>
              </w:rPr>
              <w:lastRenderedPageBreak/>
              <w:t>Project Leads</w:t>
            </w:r>
          </w:p>
          <w:p w14:paraId="1EB8336A" w14:textId="77777777" w:rsidR="00A035DD" w:rsidRPr="004F5CEF" w:rsidRDefault="00A035DD">
            <w:pPr>
              <w:rPr>
                <w:b/>
                <w:bCs/>
              </w:rPr>
            </w:pPr>
          </w:p>
          <w:p w14:paraId="026FEC18" w14:textId="2E5C1C58" w:rsidR="00A035DD" w:rsidRPr="004F5CEF" w:rsidRDefault="00A035DD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2DCDD2E" w14:textId="77777777" w:rsidR="001061D0" w:rsidRPr="00406423" w:rsidRDefault="001061D0" w:rsidP="001061D0">
            <w:pPr>
              <w:rPr>
                <w:u w:val="single"/>
              </w:rPr>
            </w:pPr>
            <w:r w:rsidRPr="00406423">
              <w:rPr>
                <w:u w:val="single"/>
              </w:rPr>
              <w:t>Singapore</w:t>
            </w:r>
          </w:p>
          <w:p w14:paraId="5A9A4035" w14:textId="7F4C7352" w:rsidR="001061D0" w:rsidRPr="00DB6496" w:rsidRDefault="001061D0" w:rsidP="001061D0">
            <w:r w:rsidRPr="00DB6496">
              <w:t xml:space="preserve">Maritime </w:t>
            </w:r>
            <w:r>
              <w:t xml:space="preserve">and </w:t>
            </w:r>
            <w:r w:rsidRPr="00DB6496">
              <w:t>Port Authority</w:t>
            </w:r>
            <w:r>
              <w:t xml:space="preserve"> of Singapore </w:t>
            </w:r>
          </w:p>
          <w:p w14:paraId="5055B85B" w14:textId="77777777" w:rsidR="001061D0" w:rsidRDefault="001061D0" w:rsidP="00D05E38">
            <w:pPr>
              <w:rPr>
                <w:u w:val="single"/>
              </w:rPr>
            </w:pPr>
          </w:p>
          <w:p w14:paraId="7B24A9EF" w14:textId="10DED9C9" w:rsidR="00D05E38" w:rsidRPr="00B775DC" w:rsidRDefault="00D05E38" w:rsidP="00D05E38">
            <w:pPr>
              <w:rPr>
                <w:u w:val="single"/>
              </w:rPr>
            </w:pPr>
            <w:r w:rsidRPr="00B775DC">
              <w:rPr>
                <w:u w:val="single"/>
              </w:rPr>
              <w:t>Australia</w:t>
            </w:r>
          </w:p>
          <w:p w14:paraId="489834FA" w14:textId="77777777" w:rsidR="00D05E38" w:rsidRDefault="00D05E38" w:rsidP="00D05E38">
            <w:r>
              <w:t xml:space="preserve">Department of Infrastructure, Transport, Regional Development, </w:t>
            </w:r>
            <w:proofErr w:type="gramStart"/>
            <w:r>
              <w:t>Communications</w:t>
            </w:r>
            <w:proofErr w:type="gramEnd"/>
            <w:r>
              <w:t xml:space="preserve"> and the Arts</w:t>
            </w:r>
          </w:p>
          <w:p w14:paraId="12353E1A" w14:textId="77777777" w:rsidR="00D05E38" w:rsidRDefault="00D05E38" w:rsidP="00D05E38">
            <w:r>
              <w:t>Department of Foreign Affairs and Trade</w:t>
            </w:r>
          </w:p>
          <w:p w14:paraId="1F9C38C6" w14:textId="77777777" w:rsidR="00D05E38" w:rsidRDefault="00D05E38" w:rsidP="00D05E38">
            <w:r w:rsidRPr="00CB4482">
              <w:rPr>
                <w:sz w:val="24"/>
                <w:szCs w:val="24"/>
              </w:rPr>
              <w:t>Department of Climate Change, Energy, the Environment and Water</w:t>
            </w:r>
          </w:p>
          <w:p w14:paraId="217CBFAD" w14:textId="73354648" w:rsidR="00D05E38" w:rsidRDefault="00D05E38" w:rsidP="00D05E38"/>
          <w:p w14:paraId="49D21036" w14:textId="11EE6407" w:rsidR="00D05E38" w:rsidRPr="00DB6496" w:rsidRDefault="00D05E38" w:rsidP="00D05E38">
            <w:r>
              <w:t>And the p</w:t>
            </w:r>
            <w:r w:rsidRPr="00DB6496">
              <w:t xml:space="preserve">articipation </w:t>
            </w:r>
            <w:r>
              <w:t xml:space="preserve">of </w:t>
            </w:r>
            <w:r w:rsidRPr="00DB6496">
              <w:t>other</w:t>
            </w:r>
            <w:r>
              <w:t xml:space="preserve"> agencies </w:t>
            </w:r>
            <w:r w:rsidRPr="00DB6496">
              <w:t xml:space="preserve">as </w:t>
            </w:r>
            <w:r>
              <w:t>needed</w:t>
            </w:r>
            <w:r w:rsidR="00831704">
              <w:t>.</w:t>
            </w:r>
          </w:p>
          <w:p w14:paraId="1AC1093F" w14:textId="45C621D9" w:rsidR="002210E8" w:rsidRPr="002210E8" w:rsidRDefault="002210E8" w:rsidP="001061D0">
            <w:pPr>
              <w:rPr>
                <w:b/>
                <w:bCs/>
              </w:rPr>
            </w:pPr>
          </w:p>
        </w:tc>
      </w:tr>
    </w:tbl>
    <w:p w14:paraId="33CB0701" w14:textId="77777777" w:rsidR="00A035DD" w:rsidRDefault="00A035DD" w:rsidP="006B7F4A"/>
    <w:sectPr w:rsidR="00A035DD" w:rsidSect="00A035D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D084" w14:textId="77777777" w:rsidR="00E35F0B" w:rsidRDefault="00E35F0B" w:rsidP="00D32C6B">
      <w:pPr>
        <w:spacing w:after="0" w:line="240" w:lineRule="auto"/>
      </w:pPr>
      <w:r>
        <w:separator/>
      </w:r>
    </w:p>
  </w:endnote>
  <w:endnote w:type="continuationSeparator" w:id="0">
    <w:p w14:paraId="08390D95" w14:textId="77777777" w:rsidR="00E35F0B" w:rsidRDefault="00E35F0B" w:rsidP="00D3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9EB3" w14:textId="77777777" w:rsidR="00E35F0B" w:rsidRDefault="00E35F0B" w:rsidP="00D32C6B">
      <w:pPr>
        <w:spacing w:after="0" w:line="240" w:lineRule="auto"/>
      </w:pPr>
      <w:r>
        <w:separator/>
      </w:r>
    </w:p>
  </w:footnote>
  <w:footnote w:type="continuationSeparator" w:id="0">
    <w:p w14:paraId="7E370918" w14:textId="77777777" w:rsidR="00E35F0B" w:rsidRDefault="00E35F0B" w:rsidP="00D3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BCA"/>
    <w:multiLevelType w:val="hybridMultilevel"/>
    <w:tmpl w:val="CC5C988E"/>
    <w:lvl w:ilvl="0" w:tplc="EE5A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2945"/>
    <w:multiLevelType w:val="hybridMultilevel"/>
    <w:tmpl w:val="A072D8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0DC9"/>
    <w:multiLevelType w:val="hybridMultilevel"/>
    <w:tmpl w:val="F2262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C15BC"/>
    <w:multiLevelType w:val="hybridMultilevel"/>
    <w:tmpl w:val="18060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1408"/>
    <w:multiLevelType w:val="hybridMultilevel"/>
    <w:tmpl w:val="B2365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3CD7"/>
    <w:multiLevelType w:val="hybridMultilevel"/>
    <w:tmpl w:val="7230385A"/>
    <w:lvl w:ilvl="0" w:tplc="CEC0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A4B73"/>
    <w:multiLevelType w:val="hybridMultilevel"/>
    <w:tmpl w:val="7A64D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025DC4"/>
    <w:rsid w:val="000308F0"/>
    <w:rsid w:val="00031114"/>
    <w:rsid w:val="000952CD"/>
    <w:rsid w:val="00095941"/>
    <w:rsid w:val="000A27BA"/>
    <w:rsid w:val="000B38F9"/>
    <w:rsid w:val="000D7642"/>
    <w:rsid w:val="000E26B4"/>
    <w:rsid w:val="000E2BDA"/>
    <w:rsid w:val="00102544"/>
    <w:rsid w:val="001061D0"/>
    <w:rsid w:val="00130DD7"/>
    <w:rsid w:val="00141D52"/>
    <w:rsid w:val="001607C2"/>
    <w:rsid w:val="001A4FBA"/>
    <w:rsid w:val="002210E8"/>
    <w:rsid w:val="00250FD3"/>
    <w:rsid w:val="0026684A"/>
    <w:rsid w:val="00283CB6"/>
    <w:rsid w:val="00285C0E"/>
    <w:rsid w:val="00287B54"/>
    <w:rsid w:val="00293BF4"/>
    <w:rsid w:val="002A471A"/>
    <w:rsid w:val="002C011E"/>
    <w:rsid w:val="002D235B"/>
    <w:rsid w:val="003327CF"/>
    <w:rsid w:val="003402BC"/>
    <w:rsid w:val="00354D3D"/>
    <w:rsid w:val="00354DA1"/>
    <w:rsid w:val="003A24F2"/>
    <w:rsid w:val="003B5BDC"/>
    <w:rsid w:val="003F4597"/>
    <w:rsid w:val="003F6DF2"/>
    <w:rsid w:val="00402EF2"/>
    <w:rsid w:val="004031FB"/>
    <w:rsid w:val="00450B23"/>
    <w:rsid w:val="00464444"/>
    <w:rsid w:val="00473114"/>
    <w:rsid w:val="004D0995"/>
    <w:rsid w:val="004D65D6"/>
    <w:rsid w:val="004E6521"/>
    <w:rsid w:val="004F5CEF"/>
    <w:rsid w:val="00543C5E"/>
    <w:rsid w:val="0056073B"/>
    <w:rsid w:val="00581418"/>
    <w:rsid w:val="00590B22"/>
    <w:rsid w:val="005915A8"/>
    <w:rsid w:val="00593875"/>
    <w:rsid w:val="005A4497"/>
    <w:rsid w:val="005A5EF4"/>
    <w:rsid w:val="005B4722"/>
    <w:rsid w:val="005C00E3"/>
    <w:rsid w:val="005C40A6"/>
    <w:rsid w:val="005D3616"/>
    <w:rsid w:val="00643664"/>
    <w:rsid w:val="006738C8"/>
    <w:rsid w:val="00692980"/>
    <w:rsid w:val="006967BC"/>
    <w:rsid w:val="00697746"/>
    <w:rsid w:val="006A1D01"/>
    <w:rsid w:val="006A32A2"/>
    <w:rsid w:val="006A475A"/>
    <w:rsid w:val="006B0F29"/>
    <w:rsid w:val="006B1D94"/>
    <w:rsid w:val="006B7F4A"/>
    <w:rsid w:val="006C362B"/>
    <w:rsid w:val="006D6628"/>
    <w:rsid w:val="006E34E4"/>
    <w:rsid w:val="006E37F2"/>
    <w:rsid w:val="006F20D8"/>
    <w:rsid w:val="006F46CE"/>
    <w:rsid w:val="006F73AD"/>
    <w:rsid w:val="00705CB3"/>
    <w:rsid w:val="0070699D"/>
    <w:rsid w:val="007479F6"/>
    <w:rsid w:val="00763E86"/>
    <w:rsid w:val="007938FD"/>
    <w:rsid w:val="007976C4"/>
    <w:rsid w:val="007C3934"/>
    <w:rsid w:val="008011EF"/>
    <w:rsid w:val="008024D1"/>
    <w:rsid w:val="00821C42"/>
    <w:rsid w:val="008256F5"/>
    <w:rsid w:val="00831704"/>
    <w:rsid w:val="0083734D"/>
    <w:rsid w:val="00860D0B"/>
    <w:rsid w:val="008637D8"/>
    <w:rsid w:val="00866C1D"/>
    <w:rsid w:val="0089142E"/>
    <w:rsid w:val="008914FB"/>
    <w:rsid w:val="008C394D"/>
    <w:rsid w:val="008D73EF"/>
    <w:rsid w:val="008E52A1"/>
    <w:rsid w:val="008F390C"/>
    <w:rsid w:val="008F769D"/>
    <w:rsid w:val="009463EF"/>
    <w:rsid w:val="009575A6"/>
    <w:rsid w:val="009C44C6"/>
    <w:rsid w:val="009F58D4"/>
    <w:rsid w:val="009F6333"/>
    <w:rsid w:val="00A035DD"/>
    <w:rsid w:val="00A07217"/>
    <w:rsid w:val="00A13650"/>
    <w:rsid w:val="00A31E37"/>
    <w:rsid w:val="00A50688"/>
    <w:rsid w:val="00A74041"/>
    <w:rsid w:val="00AA1F75"/>
    <w:rsid w:val="00AA4915"/>
    <w:rsid w:val="00AA574F"/>
    <w:rsid w:val="00AB3A08"/>
    <w:rsid w:val="00B02A93"/>
    <w:rsid w:val="00B06C17"/>
    <w:rsid w:val="00B07B34"/>
    <w:rsid w:val="00B16089"/>
    <w:rsid w:val="00B244E6"/>
    <w:rsid w:val="00B27660"/>
    <w:rsid w:val="00BA2881"/>
    <w:rsid w:val="00BA7749"/>
    <w:rsid w:val="00BB2224"/>
    <w:rsid w:val="00BC1219"/>
    <w:rsid w:val="00BF53C2"/>
    <w:rsid w:val="00C1605D"/>
    <w:rsid w:val="00C22145"/>
    <w:rsid w:val="00C23A57"/>
    <w:rsid w:val="00C348A4"/>
    <w:rsid w:val="00C355ED"/>
    <w:rsid w:val="00C44EF1"/>
    <w:rsid w:val="00C4764B"/>
    <w:rsid w:val="00C6357E"/>
    <w:rsid w:val="00C81A90"/>
    <w:rsid w:val="00C93419"/>
    <w:rsid w:val="00CB4235"/>
    <w:rsid w:val="00CE4F13"/>
    <w:rsid w:val="00CF02B0"/>
    <w:rsid w:val="00D05E38"/>
    <w:rsid w:val="00D115EC"/>
    <w:rsid w:val="00D267D0"/>
    <w:rsid w:val="00D32C6B"/>
    <w:rsid w:val="00D346E0"/>
    <w:rsid w:val="00D36009"/>
    <w:rsid w:val="00D56A4E"/>
    <w:rsid w:val="00D57067"/>
    <w:rsid w:val="00D92002"/>
    <w:rsid w:val="00DA1B41"/>
    <w:rsid w:val="00DA4626"/>
    <w:rsid w:val="00DB6496"/>
    <w:rsid w:val="00DD3C99"/>
    <w:rsid w:val="00DE563D"/>
    <w:rsid w:val="00E27D5C"/>
    <w:rsid w:val="00E35D6E"/>
    <w:rsid w:val="00E35F0B"/>
    <w:rsid w:val="00E945EC"/>
    <w:rsid w:val="00EC009D"/>
    <w:rsid w:val="00EF391E"/>
    <w:rsid w:val="00EF4F4A"/>
    <w:rsid w:val="00EF6A97"/>
    <w:rsid w:val="00EF75C9"/>
    <w:rsid w:val="00F0069B"/>
    <w:rsid w:val="00F02565"/>
    <w:rsid w:val="00F63AC6"/>
    <w:rsid w:val="00F81427"/>
    <w:rsid w:val="00F90DC8"/>
    <w:rsid w:val="00F92682"/>
    <w:rsid w:val="00FA0FDB"/>
    <w:rsid w:val="00FC3A89"/>
    <w:rsid w:val="00FD14D4"/>
    <w:rsid w:val="00FE36A1"/>
    <w:rsid w:val="00FE76AE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0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6E0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34"/>
  </w:style>
  <w:style w:type="paragraph" w:styleId="Footer">
    <w:name w:val="footer"/>
    <w:basedOn w:val="Normal"/>
    <w:link w:val="FooterChar"/>
    <w:uiPriority w:val="99"/>
    <w:unhideWhenUsed/>
    <w:rsid w:val="007C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34"/>
  </w:style>
  <w:style w:type="character" w:styleId="Hyperlink">
    <w:name w:val="Hyperlink"/>
    <w:basedOn w:val="DefaultParagraphFont"/>
    <w:uiPriority w:val="99"/>
    <w:semiHidden/>
    <w:unhideWhenUsed/>
    <w:rsid w:val="006A32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2A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926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8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46E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sion-innovation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ssion-innovation.net/missions/ship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4697-BC4A-494E-BB36-F35C39B3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2529</Characters>
  <Application>Microsoft Office Word</Application>
  <DocSecurity>0</DocSecurity>
  <Lines>83</Lines>
  <Paragraphs>33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4.2: Green Shipping Cooperation</dc:title>
  <dc:subject/>
  <dc:creator/>
  <cp:keywords>[SEC=OFFICIAL]</cp:keywords>
  <dc:description/>
  <cp:lastModifiedBy/>
  <cp:revision>1</cp:revision>
  <dcterms:created xsi:type="dcterms:W3CDTF">2022-10-18T00:04:00Z</dcterms:created>
  <dcterms:modified xsi:type="dcterms:W3CDTF">2023-03-02T01:26:00Z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4A7271639FA647DABA5AD5F275F4235B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D9F6E5C82DFAF7AB6E3D596D48DD43C72EDFDAB4</vt:lpwstr>
  </property>
  <property fmtid="{D5CDD505-2E9C-101B-9397-08002B2CF9AE}" pid="11" name="PM_OriginationTimeStamp">
    <vt:lpwstr>2023-03-02T01:26:38Z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DA50961D0AAEFDB6AEBFE50C7C7716CB</vt:lpwstr>
  </property>
  <property fmtid="{D5CDD505-2E9C-101B-9397-08002B2CF9AE}" pid="23" name="PM_Hash_Salt">
    <vt:lpwstr>DA50961D0AAEFDB6AEBFE50C7C7716CB</vt:lpwstr>
  </property>
  <property fmtid="{D5CDD505-2E9C-101B-9397-08002B2CF9AE}" pid="24" name="PM_Hash_SHA1">
    <vt:lpwstr>6AFB922A092F3E402AB8011188D8DD4016DB72BB</vt:lpwstr>
  </property>
  <property fmtid="{D5CDD505-2E9C-101B-9397-08002B2CF9AE}" pid="25" name="PM_OriginatorUserAccountName_SHA256">
    <vt:lpwstr>3E9DB5AB808CA91EB3E8EC398CDB7F67B110581D6BB28BC88565729DCE387350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</Properties>
</file>