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ECFB" w14:textId="07738C98" w:rsidR="007C3934" w:rsidRPr="00CC1D3F" w:rsidRDefault="00BA7B92" w:rsidP="00CC1D3F">
      <w:pPr>
        <w:pStyle w:val="Heading1"/>
      </w:pPr>
      <w:r w:rsidRPr="00CC1D3F">
        <w:t>Annex B 4.1: Develop Architecture for Cross-Border Electricity Trade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D0974" w:rsidRPr="003C2405" w14:paraId="3D052D96" w14:textId="77777777" w:rsidTr="002F15BB">
        <w:tc>
          <w:tcPr>
            <w:tcW w:w="2263" w:type="dxa"/>
            <w:shd w:val="clear" w:color="auto" w:fill="E2EFD9" w:themeFill="accent6" w:themeFillTint="33"/>
          </w:tcPr>
          <w:p w14:paraId="4D2BCEE9" w14:textId="77777777" w:rsidR="00FD0974" w:rsidRPr="0005219B" w:rsidRDefault="00FD0974" w:rsidP="002F15BB">
            <w:pPr>
              <w:rPr>
                <w:b/>
                <w:bCs/>
                <w:sz w:val="24"/>
                <w:szCs w:val="24"/>
              </w:rPr>
            </w:pPr>
            <w:r w:rsidRPr="0005219B">
              <w:rPr>
                <w:b/>
                <w:bCs/>
                <w:sz w:val="24"/>
                <w:szCs w:val="24"/>
              </w:rPr>
              <w:t xml:space="preserve">Area of Cooperation </w:t>
            </w:r>
          </w:p>
          <w:p w14:paraId="24AD8D39" w14:textId="77777777" w:rsidR="00FD0974" w:rsidRPr="0005219B" w:rsidRDefault="00FD0974" w:rsidP="002F15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310F8F9C" w14:textId="77777777" w:rsidR="00FD0974" w:rsidRPr="00CB4482" w:rsidRDefault="00FD0974" w:rsidP="002F15BB">
            <w:pPr>
              <w:rPr>
                <w:rFonts w:cstheme="minorHAnsi"/>
                <w:sz w:val="24"/>
                <w:szCs w:val="24"/>
              </w:rPr>
            </w:pPr>
            <w:r w:rsidRPr="00CB4482">
              <w:rPr>
                <w:rFonts w:cstheme="minorHAnsi"/>
                <w:sz w:val="24"/>
                <w:szCs w:val="24"/>
              </w:rPr>
              <w:t>Cross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CB4482">
              <w:rPr>
                <w:rFonts w:cstheme="minorHAnsi"/>
                <w:sz w:val="24"/>
                <w:szCs w:val="24"/>
              </w:rPr>
              <w:t xml:space="preserve">Border Electricity Trade </w:t>
            </w:r>
          </w:p>
        </w:tc>
      </w:tr>
      <w:tr w:rsidR="00FD0974" w:rsidRPr="003C2405" w14:paraId="749AD19B" w14:textId="77777777" w:rsidTr="002F15BB">
        <w:tc>
          <w:tcPr>
            <w:tcW w:w="2263" w:type="dxa"/>
            <w:shd w:val="clear" w:color="auto" w:fill="E2EFD9" w:themeFill="accent6" w:themeFillTint="33"/>
          </w:tcPr>
          <w:p w14:paraId="23038E31" w14:textId="77777777" w:rsidR="00FD0974" w:rsidRPr="0005219B" w:rsidRDefault="00FD0974" w:rsidP="002F15BB">
            <w:pPr>
              <w:rPr>
                <w:b/>
                <w:bCs/>
                <w:sz w:val="24"/>
                <w:szCs w:val="24"/>
              </w:rPr>
            </w:pPr>
            <w:r w:rsidRPr="0005219B">
              <w:rPr>
                <w:b/>
                <w:bCs/>
                <w:sz w:val="24"/>
                <w:szCs w:val="24"/>
              </w:rPr>
              <w:t>Purpose</w:t>
            </w:r>
          </w:p>
          <w:p w14:paraId="5A72AA31" w14:textId="77777777" w:rsidR="00FD0974" w:rsidRPr="0005219B" w:rsidRDefault="00FD0974" w:rsidP="002F15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2FE4C5C2" w14:textId="1AD8CCFF" w:rsidR="00FD0974" w:rsidRDefault="00B56635" w:rsidP="002F1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D0974" w:rsidRPr="0058224D">
              <w:rPr>
                <w:sz w:val="24"/>
                <w:szCs w:val="24"/>
              </w:rPr>
              <w:t>o develop best-practice</w:t>
            </w:r>
            <w:r w:rsidR="00FD0974">
              <w:rPr>
                <w:sz w:val="24"/>
                <w:szCs w:val="24"/>
              </w:rPr>
              <w:t xml:space="preserve"> bilateral</w:t>
            </w:r>
            <w:r w:rsidR="00FD0974" w:rsidRPr="0058224D">
              <w:rPr>
                <w:sz w:val="24"/>
                <w:szCs w:val="24"/>
              </w:rPr>
              <w:t xml:space="preserve"> electricity trade architecture</w:t>
            </w:r>
            <w:r w:rsidR="00FD0974">
              <w:rPr>
                <w:sz w:val="24"/>
                <w:szCs w:val="24"/>
              </w:rPr>
              <w:t xml:space="preserve"> to </w:t>
            </w:r>
            <w:r w:rsidR="00FD0974" w:rsidRPr="0058224D">
              <w:rPr>
                <w:sz w:val="24"/>
                <w:szCs w:val="24"/>
              </w:rPr>
              <w:t>facilitate trade and investment</w:t>
            </w:r>
            <w:r w:rsidR="00FD0974">
              <w:rPr>
                <w:sz w:val="24"/>
                <w:szCs w:val="24"/>
              </w:rPr>
              <w:t xml:space="preserve">, </w:t>
            </w:r>
            <w:r w:rsidR="00FD0974" w:rsidRPr="0058224D">
              <w:rPr>
                <w:sz w:val="24"/>
                <w:szCs w:val="24"/>
              </w:rPr>
              <w:t>provide clarity and predictability for companies, investors and other actors looking to participate in this future market</w:t>
            </w:r>
            <w:r w:rsidR="00FD0974">
              <w:rPr>
                <w:sz w:val="24"/>
                <w:szCs w:val="24"/>
              </w:rPr>
              <w:t>, and enhance regional energy connectivity.</w:t>
            </w:r>
          </w:p>
          <w:p w14:paraId="7BF80312" w14:textId="0C86F153" w:rsidR="00150C38" w:rsidRPr="0058224D" w:rsidRDefault="00150C38" w:rsidP="002F15BB">
            <w:pPr>
              <w:rPr>
                <w:sz w:val="24"/>
                <w:szCs w:val="24"/>
              </w:rPr>
            </w:pPr>
          </w:p>
        </w:tc>
      </w:tr>
      <w:tr w:rsidR="00FD0974" w:rsidRPr="003C2405" w14:paraId="14596332" w14:textId="77777777" w:rsidTr="002F15BB">
        <w:tc>
          <w:tcPr>
            <w:tcW w:w="2263" w:type="dxa"/>
            <w:shd w:val="clear" w:color="auto" w:fill="E2EFD9" w:themeFill="accent6" w:themeFillTint="33"/>
          </w:tcPr>
          <w:p w14:paraId="7268221D" w14:textId="77777777" w:rsidR="00FD0974" w:rsidRPr="0005219B" w:rsidRDefault="00FD0974" w:rsidP="002F15BB">
            <w:pPr>
              <w:rPr>
                <w:b/>
                <w:bCs/>
                <w:sz w:val="24"/>
                <w:szCs w:val="24"/>
              </w:rPr>
            </w:pPr>
            <w:r w:rsidRPr="0005219B">
              <w:rPr>
                <w:b/>
                <w:bCs/>
                <w:sz w:val="24"/>
                <w:szCs w:val="24"/>
              </w:rPr>
              <w:t xml:space="preserve">Description </w:t>
            </w:r>
          </w:p>
          <w:p w14:paraId="1FF1A7A6" w14:textId="77777777" w:rsidR="00FD0974" w:rsidRPr="0005219B" w:rsidRDefault="00FD0974" w:rsidP="002F15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14B9618D" w14:textId="77777777" w:rsidR="00FD0974" w:rsidRPr="00CB4482" w:rsidRDefault="00FD0974" w:rsidP="002F15BB">
            <w:pPr>
              <w:rPr>
                <w:sz w:val="24"/>
                <w:szCs w:val="24"/>
              </w:rPr>
            </w:pPr>
            <w:r w:rsidRPr="00CB4482">
              <w:rPr>
                <w:sz w:val="24"/>
                <w:szCs w:val="24"/>
              </w:rPr>
              <w:t>Singapore and Australia will establish a joint working group to:</w:t>
            </w:r>
          </w:p>
          <w:p w14:paraId="26E01453" w14:textId="49CF7AA7" w:rsidR="00FD0974" w:rsidRPr="00CB4482" w:rsidRDefault="00FD0974" w:rsidP="002F15B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4482">
              <w:rPr>
                <w:sz w:val="24"/>
                <w:szCs w:val="24"/>
              </w:rPr>
              <w:t xml:space="preserve">Identify issues for inclusion in </w:t>
            </w:r>
            <w:r w:rsidR="005E5F2C">
              <w:rPr>
                <w:sz w:val="24"/>
                <w:szCs w:val="24"/>
              </w:rPr>
              <w:t xml:space="preserve">the </w:t>
            </w:r>
            <w:r w:rsidRPr="00CB4482">
              <w:rPr>
                <w:sz w:val="24"/>
                <w:szCs w:val="24"/>
              </w:rPr>
              <w:t>cross-border electricity trade architecture between Singapore and Australia</w:t>
            </w:r>
            <w:r>
              <w:rPr>
                <w:sz w:val="24"/>
                <w:szCs w:val="24"/>
              </w:rPr>
              <w:t xml:space="preserve">, and to enhance regional energy </w:t>
            </w:r>
            <w:proofErr w:type="gramStart"/>
            <w:r>
              <w:rPr>
                <w:sz w:val="24"/>
                <w:szCs w:val="24"/>
              </w:rPr>
              <w:t>connectivity</w:t>
            </w:r>
            <w:r w:rsidRPr="00CB4482">
              <w:rPr>
                <w:sz w:val="24"/>
                <w:szCs w:val="24"/>
              </w:rPr>
              <w:t>;</w:t>
            </w:r>
            <w:proofErr w:type="gramEnd"/>
          </w:p>
          <w:p w14:paraId="7D786D2B" w14:textId="77777777" w:rsidR="00FD0974" w:rsidRPr="00CB4482" w:rsidRDefault="00FD0974" w:rsidP="002F15B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4482">
              <w:rPr>
                <w:sz w:val="24"/>
                <w:szCs w:val="24"/>
              </w:rPr>
              <w:t>Build on existing arrangements (including free trade agreements) of relevance, and, to the extent necessary, develop new arrangements to form the architecture for cross</w:t>
            </w:r>
            <w:r>
              <w:rPr>
                <w:sz w:val="24"/>
                <w:szCs w:val="24"/>
              </w:rPr>
              <w:t>-</w:t>
            </w:r>
            <w:r w:rsidRPr="00CB4482">
              <w:rPr>
                <w:sz w:val="24"/>
                <w:szCs w:val="24"/>
              </w:rPr>
              <w:t xml:space="preserve">border electricity trade between the two </w:t>
            </w:r>
            <w:proofErr w:type="gramStart"/>
            <w:r w:rsidRPr="00CB4482">
              <w:rPr>
                <w:sz w:val="24"/>
                <w:szCs w:val="24"/>
              </w:rPr>
              <w:t>countries;</w:t>
            </w:r>
            <w:proofErr w:type="gramEnd"/>
          </w:p>
          <w:p w14:paraId="2D79BD74" w14:textId="77777777" w:rsidR="00FD0974" w:rsidRDefault="00FD0974" w:rsidP="002F15B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4482">
              <w:rPr>
                <w:sz w:val="24"/>
                <w:szCs w:val="24"/>
              </w:rPr>
              <w:t>Bring together relevant technical and policy experts for information sharing on bilateral electricity</w:t>
            </w:r>
            <w:r>
              <w:rPr>
                <w:sz w:val="24"/>
                <w:szCs w:val="24"/>
              </w:rPr>
              <w:t xml:space="preserve"> trade, and to enhance regional energy connectivity</w:t>
            </w:r>
            <w:r w:rsidRPr="0058224D">
              <w:rPr>
                <w:sz w:val="24"/>
                <w:szCs w:val="24"/>
              </w:rPr>
              <w:t>.</w:t>
            </w:r>
          </w:p>
          <w:p w14:paraId="10011398" w14:textId="76837DB0" w:rsidR="00150C38" w:rsidRPr="00CB4482" w:rsidRDefault="00150C38" w:rsidP="00150C38">
            <w:pPr>
              <w:pStyle w:val="ListParagraph"/>
              <w:rPr>
                <w:sz w:val="24"/>
                <w:szCs w:val="24"/>
              </w:rPr>
            </w:pPr>
          </w:p>
        </w:tc>
      </w:tr>
      <w:tr w:rsidR="00FD0974" w:rsidRPr="003C2405" w14:paraId="1DB5123F" w14:textId="77777777" w:rsidTr="002F15BB">
        <w:trPr>
          <w:trHeight w:val="994"/>
        </w:trPr>
        <w:tc>
          <w:tcPr>
            <w:tcW w:w="2263" w:type="dxa"/>
            <w:shd w:val="clear" w:color="auto" w:fill="E2EFD9" w:themeFill="accent6" w:themeFillTint="33"/>
          </w:tcPr>
          <w:p w14:paraId="443F38C0" w14:textId="77777777" w:rsidR="00FD0974" w:rsidRPr="0005219B" w:rsidRDefault="00FD0974" w:rsidP="002F15BB">
            <w:pPr>
              <w:rPr>
                <w:b/>
                <w:bCs/>
                <w:sz w:val="24"/>
                <w:szCs w:val="24"/>
              </w:rPr>
            </w:pPr>
            <w:r w:rsidRPr="0005219B">
              <w:rPr>
                <w:b/>
                <w:bCs/>
                <w:sz w:val="24"/>
                <w:szCs w:val="24"/>
              </w:rPr>
              <w:t xml:space="preserve">Structure </w:t>
            </w:r>
            <w:r>
              <w:rPr>
                <w:b/>
                <w:bCs/>
                <w:sz w:val="24"/>
                <w:szCs w:val="24"/>
              </w:rPr>
              <w:t xml:space="preserve">and meetings </w:t>
            </w:r>
            <w:r w:rsidRPr="0005219B">
              <w:rPr>
                <w:b/>
                <w:bCs/>
                <w:sz w:val="24"/>
                <w:szCs w:val="24"/>
              </w:rPr>
              <w:t>of</w:t>
            </w:r>
            <w:r>
              <w:rPr>
                <w:b/>
                <w:bCs/>
                <w:sz w:val="24"/>
                <w:szCs w:val="24"/>
              </w:rPr>
              <w:t xml:space="preserve"> the</w:t>
            </w:r>
            <w:r w:rsidRPr="0005219B">
              <w:rPr>
                <w:b/>
                <w:bCs/>
                <w:sz w:val="24"/>
                <w:szCs w:val="24"/>
              </w:rPr>
              <w:t xml:space="preserve"> joint working group </w:t>
            </w:r>
          </w:p>
          <w:p w14:paraId="4870F172" w14:textId="77777777" w:rsidR="00FD0974" w:rsidRPr="0005219B" w:rsidRDefault="00FD0974" w:rsidP="002F15BB">
            <w:pPr>
              <w:rPr>
                <w:b/>
                <w:bCs/>
                <w:sz w:val="24"/>
                <w:szCs w:val="24"/>
              </w:rPr>
            </w:pPr>
          </w:p>
          <w:p w14:paraId="2FEB7822" w14:textId="77777777" w:rsidR="00FD0974" w:rsidRPr="0005219B" w:rsidRDefault="00FD0974" w:rsidP="002F15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776C8265" w14:textId="69088AA3" w:rsidR="00FD0974" w:rsidRPr="00CB4482" w:rsidRDefault="00FD0974" w:rsidP="002F15B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B4482">
              <w:rPr>
                <w:sz w:val="24"/>
                <w:szCs w:val="24"/>
              </w:rPr>
              <w:t xml:space="preserve">The joint working group will be co-chaired by an official from </w:t>
            </w:r>
            <w:r w:rsidR="005E5F2C" w:rsidRPr="00CB4482">
              <w:rPr>
                <w:sz w:val="24"/>
                <w:szCs w:val="24"/>
              </w:rPr>
              <w:t>Singapore</w:t>
            </w:r>
            <w:r w:rsidR="005E5F2C">
              <w:rPr>
                <w:sz w:val="24"/>
                <w:szCs w:val="24"/>
              </w:rPr>
              <w:t>’s Ministry of Trade and Industry, and an official from</w:t>
            </w:r>
            <w:r w:rsidR="005E5F2C" w:rsidRPr="00CB4482">
              <w:rPr>
                <w:sz w:val="24"/>
                <w:szCs w:val="24"/>
              </w:rPr>
              <w:t xml:space="preserve"> </w:t>
            </w:r>
            <w:r w:rsidRPr="00CB4482">
              <w:rPr>
                <w:sz w:val="24"/>
                <w:szCs w:val="24"/>
              </w:rPr>
              <w:t>Australia</w:t>
            </w:r>
            <w:r>
              <w:rPr>
                <w:sz w:val="24"/>
                <w:szCs w:val="24"/>
              </w:rPr>
              <w:t>’s Department of Foreign Affairs and Trade</w:t>
            </w:r>
            <w:r w:rsidRPr="00CB4482">
              <w:rPr>
                <w:sz w:val="24"/>
                <w:szCs w:val="24"/>
              </w:rPr>
              <w:t>.</w:t>
            </w:r>
          </w:p>
          <w:p w14:paraId="18D358ED" w14:textId="77777777" w:rsidR="00FD0974" w:rsidRPr="00CB4482" w:rsidRDefault="00FD0974" w:rsidP="002F15B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B4482">
              <w:rPr>
                <w:sz w:val="24"/>
                <w:szCs w:val="24"/>
              </w:rPr>
              <w:t xml:space="preserve">Each side can invite relevant officials from across their government to attend joint working group meetings.  </w:t>
            </w:r>
          </w:p>
          <w:p w14:paraId="7F0735DD" w14:textId="77777777" w:rsidR="00FD0974" w:rsidRPr="00CB4482" w:rsidRDefault="00FD0974" w:rsidP="002F15B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B4482">
              <w:rPr>
                <w:sz w:val="24"/>
                <w:szCs w:val="24"/>
              </w:rPr>
              <w:t xml:space="preserve">The joint working group will meet </w:t>
            </w:r>
            <w:r>
              <w:rPr>
                <w:sz w:val="24"/>
                <w:szCs w:val="24"/>
              </w:rPr>
              <w:t>every quarter (or more frequently as needed)</w:t>
            </w:r>
            <w:r w:rsidRPr="00CB4482">
              <w:rPr>
                <w:sz w:val="24"/>
                <w:szCs w:val="24"/>
              </w:rPr>
              <w:t>.</w:t>
            </w:r>
          </w:p>
          <w:p w14:paraId="06E96712" w14:textId="1BF55F0B" w:rsidR="00FD0974" w:rsidRPr="00E65C39" w:rsidRDefault="00FD0974" w:rsidP="00E65C39">
            <w:pPr>
              <w:pStyle w:val="ListParagraph"/>
              <w:numPr>
                <w:ilvl w:val="0"/>
                <w:numId w:val="9"/>
              </w:numPr>
            </w:pPr>
            <w:r w:rsidRPr="00CB4482">
              <w:rPr>
                <w:sz w:val="24"/>
                <w:szCs w:val="24"/>
              </w:rPr>
              <w:t xml:space="preserve">Senior officials will also chair at least one joint working group per year. The senior officials meeting will </w:t>
            </w:r>
            <w:r w:rsidRPr="00CB4482">
              <w:rPr>
                <w:rFonts w:eastAsia="Times New Roman"/>
                <w:sz w:val="24"/>
                <w:szCs w:val="24"/>
              </w:rPr>
              <w:t>provide direction to the</w:t>
            </w:r>
            <w:r>
              <w:rPr>
                <w:rFonts w:eastAsia="Times New Roman"/>
                <w:sz w:val="24"/>
                <w:szCs w:val="24"/>
              </w:rPr>
              <w:t xml:space="preserve"> joint</w:t>
            </w:r>
            <w:r w:rsidRPr="00CB4482">
              <w:rPr>
                <w:rFonts w:eastAsia="Times New Roman"/>
                <w:sz w:val="24"/>
                <w:szCs w:val="24"/>
              </w:rPr>
              <w:t xml:space="preserve"> working group on priorities and the forward work </w:t>
            </w:r>
            <w:proofErr w:type="spellStart"/>
            <w:proofErr w:type="gramStart"/>
            <w:r w:rsidRPr="00CB4482">
              <w:rPr>
                <w:rFonts w:eastAsia="Times New Roman"/>
                <w:sz w:val="24"/>
                <w:szCs w:val="24"/>
              </w:rPr>
              <w:t>program.</w:t>
            </w:r>
            <w:r w:rsidRPr="00E65C39">
              <w:rPr>
                <w:sz w:val="24"/>
                <w:szCs w:val="24"/>
              </w:rPr>
              <w:t>The</w:t>
            </w:r>
            <w:proofErr w:type="spellEnd"/>
            <w:proofErr w:type="gramEnd"/>
            <w:r w:rsidRPr="00E65C39">
              <w:rPr>
                <w:sz w:val="24"/>
                <w:szCs w:val="24"/>
              </w:rPr>
              <w:t xml:space="preserve"> joint working group will report at least annually on progress to both the GEA Action Team (GAT) and the</w:t>
            </w:r>
            <w:r w:rsidR="00F6228C">
              <w:rPr>
                <w:sz w:val="24"/>
                <w:szCs w:val="24"/>
              </w:rPr>
              <w:t xml:space="preserve"> </w:t>
            </w:r>
            <w:r w:rsidR="00F6228C" w:rsidRPr="00E65C39">
              <w:rPr>
                <w:rFonts w:cstheme="minorHAnsi"/>
                <w:color w:val="903300"/>
                <w:sz w:val="24"/>
                <w:szCs w:val="24"/>
              </w:rPr>
              <w:t xml:space="preserve">annual </w:t>
            </w:r>
            <w:r w:rsidR="00F6228C">
              <w:rPr>
                <w:rFonts w:cstheme="minorHAnsi"/>
                <w:color w:val="903300"/>
                <w:sz w:val="24"/>
                <w:szCs w:val="24"/>
              </w:rPr>
              <w:t>D</w:t>
            </w:r>
            <w:r w:rsidR="00F6228C" w:rsidRPr="00E65C39">
              <w:rPr>
                <w:rFonts w:cstheme="minorHAnsi"/>
                <w:color w:val="903300"/>
                <w:sz w:val="24"/>
                <w:szCs w:val="24"/>
              </w:rPr>
              <w:t>eputy Secretary (DS)</w:t>
            </w:r>
            <w:r w:rsidR="00F6228C">
              <w:rPr>
                <w:rFonts w:cstheme="minorHAnsi"/>
                <w:color w:val="903300"/>
                <w:sz w:val="24"/>
                <w:szCs w:val="24"/>
              </w:rPr>
              <w:t xml:space="preserve"> </w:t>
            </w:r>
            <w:r w:rsidR="00F6228C" w:rsidRPr="00E65C39">
              <w:rPr>
                <w:rFonts w:cstheme="minorHAnsi"/>
                <w:color w:val="903300"/>
                <w:sz w:val="24"/>
                <w:szCs w:val="24"/>
              </w:rPr>
              <w:t xml:space="preserve">level </w:t>
            </w:r>
            <w:r w:rsidR="00F6228C">
              <w:rPr>
                <w:rFonts w:cstheme="minorHAnsi"/>
                <w:color w:val="903300"/>
                <w:sz w:val="24"/>
                <w:szCs w:val="24"/>
              </w:rPr>
              <w:t>dialogue</w:t>
            </w:r>
            <w:r w:rsidR="00F6228C" w:rsidRPr="00E65C39">
              <w:rPr>
                <w:rFonts w:cstheme="minorHAnsi"/>
                <w:color w:val="903300"/>
                <w:sz w:val="24"/>
                <w:szCs w:val="24"/>
              </w:rPr>
              <w:t xml:space="preserve"> for</w:t>
            </w:r>
            <w:r w:rsidR="00F6228C">
              <w:rPr>
                <w:rFonts w:cstheme="minorHAnsi"/>
                <w:color w:val="903300"/>
                <w:sz w:val="24"/>
                <w:szCs w:val="24"/>
              </w:rPr>
              <w:t xml:space="preserve"> the</w:t>
            </w:r>
            <w:r w:rsidRPr="00E65C39">
              <w:rPr>
                <w:sz w:val="24"/>
                <w:szCs w:val="24"/>
              </w:rPr>
              <w:t xml:space="preserve"> MOU for Cooperation on Low-Emissions Solutions.</w:t>
            </w:r>
          </w:p>
          <w:p w14:paraId="6D602D41" w14:textId="3265D000" w:rsidR="00150C38" w:rsidRPr="00CB4482" w:rsidRDefault="00150C38" w:rsidP="00150C38">
            <w:pPr>
              <w:pStyle w:val="ListParagraph"/>
              <w:rPr>
                <w:sz w:val="24"/>
                <w:szCs w:val="24"/>
              </w:rPr>
            </w:pPr>
          </w:p>
        </w:tc>
      </w:tr>
      <w:tr w:rsidR="00FD0974" w:rsidRPr="003C2405" w14:paraId="587BCF0C" w14:textId="77777777" w:rsidTr="002F15BB">
        <w:tc>
          <w:tcPr>
            <w:tcW w:w="2263" w:type="dxa"/>
            <w:shd w:val="clear" w:color="auto" w:fill="E2EFD9" w:themeFill="accent6" w:themeFillTint="33"/>
          </w:tcPr>
          <w:p w14:paraId="4689C9A3" w14:textId="77777777" w:rsidR="00FD0974" w:rsidRPr="0005219B" w:rsidRDefault="00FD0974" w:rsidP="002F15BB">
            <w:pPr>
              <w:rPr>
                <w:b/>
                <w:bCs/>
                <w:sz w:val="24"/>
                <w:szCs w:val="24"/>
              </w:rPr>
            </w:pPr>
            <w:r w:rsidRPr="0005219B">
              <w:rPr>
                <w:b/>
                <w:bCs/>
                <w:sz w:val="24"/>
                <w:szCs w:val="24"/>
              </w:rPr>
              <w:t xml:space="preserve">Duration </w:t>
            </w:r>
          </w:p>
          <w:p w14:paraId="2F094862" w14:textId="77777777" w:rsidR="00FD0974" w:rsidRPr="0005219B" w:rsidRDefault="00FD0974" w:rsidP="002F15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122AAD19" w14:textId="102173EC" w:rsidR="00FD0974" w:rsidRPr="0058224D" w:rsidRDefault="00FD0974" w:rsidP="002F15B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8224D">
              <w:rPr>
                <w:sz w:val="24"/>
                <w:szCs w:val="24"/>
              </w:rPr>
              <w:t xml:space="preserve">The joint working group will hold its first senior officials chaired meeting </w:t>
            </w:r>
            <w:r>
              <w:rPr>
                <w:sz w:val="24"/>
                <w:szCs w:val="24"/>
              </w:rPr>
              <w:t>in December 2022,</w:t>
            </w:r>
            <w:r w:rsidRPr="0058224D">
              <w:rPr>
                <w:sz w:val="24"/>
                <w:szCs w:val="24"/>
              </w:rPr>
              <w:t xml:space="preserve"> after </w:t>
            </w:r>
            <w:r>
              <w:rPr>
                <w:sz w:val="24"/>
                <w:szCs w:val="24"/>
              </w:rPr>
              <w:t>the</w:t>
            </w:r>
            <w:r w:rsidR="00C97970">
              <w:rPr>
                <w:sz w:val="24"/>
                <w:szCs w:val="24"/>
              </w:rPr>
              <w:t xml:space="preserve"> GEA is signed on 18 October 2022</w:t>
            </w:r>
            <w:r w:rsidRPr="0058224D">
              <w:rPr>
                <w:sz w:val="24"/>
                <w:szCs w:val="24"/>
              </w:rPr>
              <w:t xml:space="preserve">. </w:t>
            </w:r>
          </w:p>
          <w:p w14:paraId="0A3F553A" w14:textId="6E68CBEB" w:rsidR="00FD0974" w:rsidRPr="008C5BE3" w:rsidRDefault="00FD0974" w:rsidP="002F15B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8224D">
              <w:rPr>
                <w:sz w:val="24"/>
                <w:szCs w:val="24"/>
              </w:rPr>
              <w:t xml:space="preserve">Further meetings </w:t>
            </w:r>
            <w:r w:rsidRPr="008C5BE3">
              <w:rPr>
                <w:sz w:val="24"/>
                <w:szCs w:val="24"/>
              </w:rPr>
              <w:t>will then take place as determined by</w:t>
            </w:r>
            <w:r w:rsidR="00E318B7" w:rsidRPr="008C5BE3">
              <w:rPr>
                <w:sz w:val="24"/>
                <w:szCs w:val="24"/>
              </w:rPr>
              <w:t xml:space="preserve"> </w:t>
            </w:r>
            <w:r w:rsidR="005E5F2C" w:rsidRPr="008C5BE3">
              <w:rPr>
                <w:sz w:val="24"/>
                <w:szCs w:val="24"/>
              </w:rPr>
              <w:t xml:space="preserve">Singapore and </w:t>
            </w:r>
            <w:proofErr w:type="gramStart"/>
            <w:r w:rsidR="005E5F2C" w:rsidRPr="008C5BE3">
              <w:rPr>
                <w:sz w:val="24"/>
                <w:szCs w:val="24"/>
              </w:rPr>
              <w:t xml:space="preserve">Australia </w:t>
            </w:r>
            <w:r w:rsidRPr="008C5BE3">
              <w:rPr>
                <w:sz w:val="24"/>
                <w:szCs w:val="24"/>
              </w:rPr>
              <w:t>.</w:t>
            </w:r>
            <w:proofErr w:type="gramEnd"/>
            <w:r w:rsidRPr="008C5BE3">
              <w:rPr>
                <w:sz w:val="24"/>
                <w:szCs w:val="24"/>
              </w:rPr>
              <w:t xml:space="preserve"> </w:t>
            </w:r>
          </w:p>
          <w:p w14:paraId="507813BA" w14:textId="4563F680" w:rsidR="00FD0974" w:rsidRDefault="00FD0974" w:rsidP="002F15B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8224D">
              <w:rPr>
                <w:sz w:val="24"/>
                <w:szCs w:val="24"/>
              </w:rPr>
              <w:t xml:space="preserve">The joint working group will be dissolved when the two </w:t>
            </w:r>
            <w:r w:rsidR="00F6228C">
              <w:rPr>
                <w:sz w:val="24"/>
                <w:szCs w:val="24"/>
              </w:rPr>
              <w:t>co-Chairs of the joint working group</w:t>
            </w:r>
            <w:r w:rsidRPr="0058224D">
              <w:rPr>
                <w:sz w:val="24"/>
                <w:szCs w:val="24"/>
              </w:rPr>
              <w:t xml:space="preserve"> </w:t>
            </w:r>
            <w:r w:rsidR="00B56635">
              <w:rPr>
                <w:sz w:val="24"/>
                <w:szCs w:val="24"/>
              </w:rPr>
              <w:t>decide</w:t>
            </w:r>
            <w:r w:rsidRPr="0058224D">
              <w:rPr>
                <w:sz w:val="24"/>
                <w:szCs w:val="24"/>
              </w:rPr>
              <w:t xml:space="preserve"> its purpose has been met</w:t>
            </w:r>
            <w:r>
              <w:rPr>
                <w:sz w:val="24"/>
                <w:szCs w:val="24"/>
              </w:rPr>
              <w:t>.</w:t>
            </w:r>
          </w:p>
          <w:p w14:paraId="3AB54DF0" w14:textId="4323D390" w:rsidR="00150C38" w:rsidRPr="0058224D" w:rsidRDefault="00150C38" w:rsidP="00150C38">
            <w:pPr>
              <w:pStyle w:val="ListParagraph"/>
              <w:rPr>
                <w:sz w:val="24"/>
                <w:szCs w:val="24"/>
              </w:rPr>
            </w:pPr>
          </w:p>
        </w:tc>
      </w:tr>
      <w:tr w:rsidR="00FD0974" w:rsidRPr="003C2405" w14:paraId="060706DB" w14:textId="77777777" w:rsidTr="002F15BB">
        <w:trPr>
          <w:trHeight w:val="1621"/>
        </w:trPr>
        <w:tc>
          <w:tcPr>
            <w:tcW w:w="2263" w:type="dxa"/>
            <w:shd w:val="clear" w:color="auto" w:fill="E2EFD9" w:themeFill="accent6" w:themeFillTint="33"/>
          </w:tcPr>
          <w:p w14:paraId="20C2D78D" w14:textId="77777777" w:rsidR="00FD0974" w:rsidRPr="0005219B" w:rsidRDefault="00FD0974" w:rsidP="002F15BB">
            <w:pPr>
              <w:rPr>
                <w:b/>
                <w:bCs/>
                <w:sz w:val="24"/>
                <w:szCs w:val="24"/>
              </w:rPr>
            </w:pPr>
            <w:r w:rsidRPr="0005219B">
              <w:rPr>
                <w:b/>
                <w:bCs/>
                <w:sz w:val="24"/>
                <w:szCs w:val="24"/>
              </w:rPr>
              <w:lastRenderedPageBreak/>
              <w:t>Project Leads</w:t>
            </w:r>
          </w:p>
          <w:p w14:paraId="6DD40E0B" w14:textId="77777777" w:rsidR="00FD0974" w:rsidRPr="0005219B" w:rsidRDefault="00FD0974" w:rsidP="002F15BB">
            <w:pPr>
              <w:rPr>
                <w:b/>
                <w:bCs/>
                <w:sz w:val="24"/>
                <w:szCs w:val="24"/>
              </w:rPr>
            </w:pPr>
          </w:p>
          <w:p w14:paraId="7B2BA352" w14:textId="77777777" w:rsidR="00FD0974" w:rsidRPr="0005219B" w:rsidRDefault="00FD0974" w:rsidP="002F15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0E0157C6" w14:textId="77777777" w:rsidR="005E5F2C" w:rsidRDefault="005E5F2C" w:rsidP="005E5F2C">
            <w:pPr>
              <w:rPr>
                <w:sz w:val="24"/>
                <w:szCs w:val="24"/>
                <w:u w:val="single"/>
              </w:rPr>
            </w:pPr>
            <w:r w:rsidRPr="00381965">
              <w:rPr>
                <w:sz w:val="24"/>
                <w:szCs w:val="24"/>
                <w:u w:val="single"/>
              </w:rPr>
              <w:t>Singapore</w:t>
            </w:r>
          </w:p>
          <w:p w14:paraId="6491082F" w14:textId="77777777" w:rsidR="005E5F2C" w:rsidRDefault="005E5F2C" w:rsidP="005E5F2C">
            <w:pPr>
              <w:rPr>
                <w:sz w:val="24"/>
                <w:szCs w:val="24"/>
              </w:rPr>
            </w:pPr>
            <w:r w:rsidRPr="00863378">
              <w:rPr>
                <w:sz w:val="24"/>
                <w:szCs w:val="24"/>
              </w:rPr>
              <w:t xml:space="preserve">Ministry of Trade and Industry, </w:t>
            </w:r>
            <w:r>
              <w:rPr>
                <w:sz w:val="24"/>
                <w:szCs w:val="24"/>
              </w:rPr>
              <w:t xml:space="preserve">with participation from the </w:t>
            </w:r>
            <w:r w:rsidRPr="00863378">
              <w:rPr>
                <w:sz w:val="24"/>
                <w:szCs w:val="24"/>
              </w:rPr>
              <w:t xml:space="preserve">Ministry of Foreign Affairs, National Climate Change Secretariat, Energy Market Authority, and other agencies as appropriate. </w:t>
            </w:r>
          </w:p>
          <w:p w14:paraId="21FE29EC" w14:textId="77777777" w:rsidR="005E5F2C" w:rsidRDefault="005E5F2C" w:rsidP="002F15BB">
            <w:pPr>
              <w:rPr>
                <w:sz w:val="24"/>
                <w:szCs w:val="24"/>
                <w:u w:val="single"/>
              </w:rPr>
            </w:pPr>
          </w:p>
          <w:p w14:paraId="3A38EDCE" w14:textId="0E244F2D" w:rsidR="00911F09" w:rsidRPr="00CB370C" w:rsidRDefault="00FD0974" w:rsidP="002F15BB">
            <w:pPr>
              <w:rPr>
                <w:sz w:val="24"/>
                <w:szCs w:val="24"/>
                <w:u w:val="single"/>
              </w:rPr>
            </w:pPr>
            <w:r w:rsidRPr="00CB370C">
              <w:rPr>
                <w:sz w:val="24"/>
                <w:szCs w:val="24"/>
                <w:u w:val="single"/>
              </w:rPr>
              <w:t>Australia</w:t>
            </w:r>
          </w:p>
          <w:p w14:paraId="6CBD4C0A" w14:textId="422D680D" w:rsidR="00CB370C" w:rsidRPr="00CB4482" w:rsidRDefault="00FD0974" w:rsidP="002F15BB">
            <w:pPr>
              <w:rPr>
                <w:sz w:val="24"/>
                <w:szCs w:val="24"/>
              </w:rPr>
            </w:pPr>
            <w:r w:rsidRPr="00CB4482">
              <w:rPr>
                <w:sz w:val="24"/>
                <w:szCs w:val="24"/>
              </w:rPr>
              <w:t>Department of Foreign Affairs and Trade, with participation from Department of Climate Change, Energy, the Environment and Water, and other agencies as appropriate.</w:t>
            </w:r>
          </w:p>
          <w:p w14:paraId="089CE4ED" w14:textId="2999AD4C" w:rsidR="00150C38" w:rsidRPr="00CB4482" w:rsidRDefault="00150C38" w:rsidP="005E5F2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69EC038" w14:textId="77777777" w:rsidR="00FD0974" w:rsidRDefault="00FD0974" w:rsidP="00FD0974"/>
    <w:p w14:paraId="33CB0701" w14:textId="77777777" w:rsidR="00A035DD" w:rsidRDefault="00A035DD" w:rsidP="006B7F4A"/>
    <w:sectPr w:rsidR="00A035DD" w:rsidSect="00A035DD">
      <w:head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0616" w14:textId="77777777" w:rsidR="00572464" w:rsidRDefault="00572464" w:rsidP="00D32C6B">
      <w:pPr>
        <w:spacing w:after="0" w:line="240" w:lineRule="auto"/>
      </w:pPr>
      <w:r>
        <w:separator/>
      </w:r>
    </w:p>
  </w:endnote>
  <w:endnote w:type="continuationSeparator" w:id="0">
    <w:p w14:paraId="72B94DCE" w14:textId="77777777" w:rsidR="00572464" w:rsidRDefault="00572464" w:rsidP="00D3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23D0F" w14:textId="77777777" w:rsidR="00572464" w:rsidRDefault="00572464" w:rsidP="00D32C6B">
      <w:pPr>
        <w:spacing w:after="0" w:line="240" w:lineRule="auto"/>
      </w:pPr>
      <w:r>
        <w:separator/>
      </w:r>
    </w:p>
  </w:footnote>
  <w:footnote w:type="continuationSeparator" w:id="0">
    <w:p w14:paraId="46BFC48D" w14:textId="77777777" w:rsidR="00572464" w:rsidRDefault="00572464" w:rsidP="00D3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157D" w14:textId="3AF443E4" w:rsidR="007C3934" w:rsidRDefault="00A811E9">
    <w:pPr>
      <w:pStyle w:val="Header"/>
    </w:pPr>
    <w:r>
      <w:t xml:space="preserve"> </w:t>
    </w:r>
  </w:p>
  <w:p w14:paraId="71FBD5CD" w14:textId="77777777" w:rsidR="00A811E9" w:rsidRDefault="00A81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DCC"/>
    <w:multiLevelType w:val="hybridMultilevel"/>
    <w:tmpl w:val="C6AAE8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C31AF"/>
    <w:multiLevelType w:val="hybridMultilevel"/>
    <w:tmpl w:val="344A8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44DC"/>
    <w:multiLevelType w:val="hybridMultilevel"/>
    <w:tmpl w:val="C0B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E3BCA"/>
    <w:multiLevelType w:val="hybridMultilevel"/>
    <w:tmpl w:val="CC5C988E"/>
    <w:lvl w:ilvl="0" w:tplc="EE5A9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82945"/>
    <w:multiLevelType w:val="hybridMultilevel"/>
    <w:tmpl w:val="A072D8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D7631"/>
    <w:multiLevelType w:val="hybridMultilevel"/>
    <w:tmpl w:val="19948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45B7D"/>
    <w:multiLevelType w:val="hybridMultilevel"/>
    <w:tmpl w:val="4AF2A6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110857"/>
    <w:multiLevelType w:val="hybridMultilevel"/>
    <w:tmpl w:val="655863C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886B0A"/>
    <w:multiLevelType w:val="hybridMultilevel"/>
    <w:tmpl w:val="57386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977BA"/>
    <w:multiLevelType w:val="hybridMultilevel"/>
    <w:tmpl w:val="D402C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C15BC"/>
    <w:multiLevelType w:val="hybridMultilevel"/>
    <w:tmpl w:val="18060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51408"/>
    <w:multiLevelType w:val="hybridMultilevel"/>
    <w:tmpl w:val="B2365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C3CD7"/>
    <w:multiLevelType w:val="hybridMultilevel"/>
    <w:tmpl w:val="50BA5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2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DD"/>
    <w:rsid w:val="00011AEE"/>
    <w:rsid w:val="0005219B"/>
    <w:rsid w:val="00064DAB"/>
    <w:rsid w:val="00095941"/>
    <w:rsid w:val="000A27BA"/>
    <w:rsid w:val="000A3618"/>
    <w:rsid w:val="000B20B1"/>
    <w:rsid w:val="000B6513"/>
    <w:rsid w:val="000D0529"/>
    <w:rsid w:val="000D613B"/>
    <w:rsid w:val="000D6B05"/>
    <w:rsid w:val="000D7642"/>
    <w:rsid w:val="000E218B"/>
    <w:rsid w:val="000E2BDA"/>
    <w:rsid w:val="00102544"/>
    <w:rsid w:val="00121F82"/>
    <w:rsid w:val="00124E84"/>
    <w:rsid w:val="00131C69"/>
    <w:rsid w:val="00141D9B"/>
    <w:rsid w:val="00150C38"/>
    <w:rsid w:val="001607C2"/>
    <w:rsid w:val="001611A2"/>
    <w:rsid w:val="00164ADA"/>
    <w:rsid w:val="0016744E"/>
    <w:rsid w:val="001935B1"/>
    <w:rsid w:val="001A4FBA"/>
    <w:rsid w:val="001A68EE"/>
    <w:rsid w:val="001B5D03"/>
    <w:rsid w:val="001C2A2E"/>
    <w:rsid w:val="001E3A2E"/>
    <w:rsid w:val="001F39F2"/>
    <w:rsid w:val="002204BD"/>
    <w:rsid w:val="002210E8"/>
    <w:rsid w:val="00227872"/>
    <w:rsid w:val="00250FD3"/>
    <w:rsid w:val="002613C7"/>
    <w:rsid w:val="00265F31"/>
    <w:rsid w:val="00283CB6"/>
    <w:rsid w:val="00285C0E"/>
    <w:rsid w:val="00287B54"/>
    <w:rsid w:val="0029166C"/>
    <w:rsid w:val="00295796"/>
    <w:rsid w:val="002A0B39"/>
    <w:rsid w:val="002C011E"/>
    <w:rsid w:val="002D235B"/>
    <w:rsid w:val="002D3239"/>
    <w:rsid w:val="002F0040"/>
    <w:rsid w:val="0031159E"/>
    <w:rsid w:val="003327CF"/>
    <w:rsid w:val="003379E0"/>
    <w:rsid w:val="00354D3D"/>
    <w:rsid w:val="0035540C"/>
    <w:rsid w:val="00381965"/>
    <w:rsid w:val="0039406E"/>
    <w:rsid w:val="003A1543"/>
    <w:rsid w:val="003A3A43"/>
    <w:rsid w:val="003B04CA"/>
    <w:rsid w:val="003B5BDC"/>
    <w:rsid w:val="003C164C"/>
    <w:rsid w:val="003C2071"/>
    <w:rsid w:val="003C2405"/>
    <w:rsid w:val="003D5CB9"/>
    <w:rsid w:val="003F35E6"/>
    <w:rsid w:val="00402EF2"/>
    <w:rsid w:val="004031FB"/>
    <w:rsid w:val="00415063"/>
    <w:rsid w:val="00425202"/>
    <w:rsid w:val="0044478A"/>
    <w:rsid w:val="00452936"/>
    <w:rsid w:val="00453ED3"/>
    <w:rsid w:val="00456789"/>
    <w:rsid w:val="00461EEA"/>
    <w:rsid w:val="004633A6"/>
    <w:rsid w:val="004805C7"/>
    <w:rsid w:val="004907D1"/>
    <w:rsid w:val="004C6629"/>
    <w:rsid w:val="004D0308"/>
    <w:rsid w:val="004D0A57"/>
    <w:rsid w:val="004D13F9"/>
    <w:rsid w:val="004F5CEF"/>
    <w:rsid w:val="00500590"/>
    <w:rsid w:val="00511CBF"/>
    <w:rsid w:val="005134D6"/>
    <w:rsid w:val="00514C5C"/>
    <w:rsid w:val="00543C5E"/>
    <w:rsid w:val="00572464"/>
    <w:rsid w:val="005742E7"/>
    <w:rsid w:val="0058224D"/>
    <w:rsid w:val="00587768"/>
    <w:rsid w:val="00593875"/>
    <w:rsid w:val="005A4497"/>
    <w:rsid w:val="005A5EF4"/>
    <w:rsid w:val="005C40A6"/>
    <w:rsid w:val="005C42BA"/>
    <w:rsid w:val="005D3616"/>
    <w:rsid w:val="005E2573"/>
    <w:rsid w:val="005E5F2C"/>
    <w:rsid w:val="005F5EF8"/>
    <w:rsid w:val="00605ABF"/>
    <w:rsid w:val="006061BE"/>
    <w:rsid w:val="00647E61"/>
    <w:rsid w:val="00670101"/>
    <w:rsid w:val="00676077"/>
    <w:rsid w:val="00676BA0"/>
    <w:rsid w:val="00682018"/>
    <w:rsid w:val="0068285D"/>
    <w:rsid w:val="00682CEB"/>
    <w:rsid w:val="00683292"/>
    <w:rsid w:val="00697746"/>
    <w:rsid w:val="006A32A2"/>
    <w:rsid w:val="006A475A"/>
    <w:rsid w:val="006B1D94"/>
    <w:rsid w:val="006B6B00"/>
    <w:rsid w:val="006B7F4A"/>
    <w:rsid w:val="006C52FF"/>
    <w:rsid w:val="006D1C61"/>
    <w:rsid w:val="006D6628"/>
    <w:rsid w:val="006E37F2"/>
    <w:rsid w:val="006F46CE"/>
    <w:rsid w:val="006F4B88"/>
    <w:rsid w:val="006F73AD"/>
    <w:rsid w:val="007045D1"/>
    <w:rsid w:val="00705CB3"/>
    <w:rsid w:val="0070699D"/>
    <w:rsid w:val="00732499"/>
    <w:rsid w:val="007479F6"/>
    <w:rsid w:val="00755528"/>
    <w:rsid w:val="00763E86"/>
    <w:rsid w:val="00775B57"/>
    <w:rsid w:val="00791DF1"/>
    <w:rsid w:val="007976C4"/>
    <w:rsid w:val="007C3934"/>
    <w:rsid w:val="007C70F8"/>
    <w:rsid w:val="007D2898"/>
    <w:rsid w:val="007D77D9"/>
    <w:rsid w:val="007D7DC4"/>
    <w:rsid w:val="007E3FC0"/>
    <w:rsid w:val="008011EF"/>
    <w:rsid w:val="008024D1"/>
    <w:rsid w:val="00812D42"/>
    <w:rsid w:val="00830AA9"/>
    <w:rsid w:val="00833EF4"/>
    <w:rsid w:val="008366E4"/>
    <w:rsid w:val="00856B16"/>
    <w:rsid w:val="00866C1D"/>
    <w:rsid w:val="00887FC4"/>
    <w:rsid w:val="0089142E"/>
    <w:rsid w:val="008914FB"/>
    <w:rsid w:val="008B129C"/>
    <w:rsid w:val="008B4539"/>
    <w:rsid w:val="008C5BE3"/>
    <w:rsid w:val="008E2364"/>
    <w:rsid w:val="008E52A1"/>
    <w:rsid w:val="008F654C"/>
    <w:rsid w:val="00904ABC"/>
    <w:rsid w:val="00911F09"/>
    <w:rsid w:val="00940A7B"/>
    <w:rsid w:val="009424AD"/>
    <w:rsid w:val="00952B38"/>
    <w:rsid w:val="009575A6"/>
    <w:rsid w:val="00980C25"/>
    <w:rsid w:val="009A53C8"/>
    <w:rsid w:val="009B3F7E"/>
    <w:rsid w:val="009B5D72"/>
    <w:rsid w:val="009C444E"/>
    <w:rsid w:val="009E1AD6"/>
    <w:rsid w:val="009F58D4"/>
    <w:rsid w:val="009F6333"/>
    <w:rsid w:val="009F7A0B"/>
    <w:rsid w:val="00A035DD"/>
    <w:rsid w:val="00A13650"/>
    <w:rsid w:val="00A17939"/>
    <w:rsid w:val="00A24FD5"/>
    <w:rsid w:val="00A2660B"/>
    <w:rsid w:val="00A31E37"/>
    <w:rsid w:val="00A50688"/>
    <w:rsid w:val="00A563F7"/>
    <w:rsid w:val="00A74041"/>
    <w:rsid w:val="00A811E9"/>
    <w:rsid w:val="00A90F2B"/>
    <w:rsid w:val="00AA1F75"/>
    <w:rsid w:val="00AA4915"/>
    <w:rsid w:val="00AA574F"/>
    <w:rsid w:val="00AB3A08"/>
    <w:rsid w:val="00B02A93"/>
    <w:rsid w:val="00B20D66"/>
    <w:rsid w:val="00B56635"/>
    <w:rsid w:val="00B861E8"/>
    <w:rsid w:val="00B870FC"/>
    <w:rsid w:val="00BA2881"/>
    <w:rsid w:val="00BA7749"/>
    <w:rsid w:val="00BA7B92"/>
    <w:rsid w:val="00BB0E28"/>
    <w:rsid w:val="00BB2224"/>
    <w:rsid w:val="00BC1219"/>
    <w:rsid w:val="00BC24D1"/>
    <w:rsid w:val="00BD1FFC"/>
    <w:rsid w:val="00BD2494"/>
    <w:rsid w:val="00BD6632"/>
    <w:rsid w:val="00BE0454"/>
    <w:rsid w:val="00BE6112"/>
    <w:rsid w:val="00BF53C2"/>
    <w:rsid w:val="00C017AA"/>
    <w:rsid w:val="00C120E3"/>
    <w:rsid w:val="00C14E9D"/>
    <w:rsid w:val="00C22145"/>
    <w:rsid w:val="00C23A57"/>
    <w:rsid w:val="00C23B3D"/>
    <w:rsid w:val="00C30DC0"/>
    <w:rsid w:val="00C348A4"/>
    <w:rsid w:val="00C3669B"/>
    <w:rsid w:val="00C4764B"/>
    <w:rsid w:val="00C6357E"/>
    <w:rsid w:val="00C81A90"/>
    <w:rsid w:val="00C84E88"/>
    <w:rsid w:val="00C97970"/>
    <w:rsid w:val="00CB370C"/>
    <w:rsid w:val="00CB4482"/>
    <w:rsid w:val="00CC1D3F"/>
    <w:rsid w:val="00CE35AA"/>
    <w:rsid w:val="00CE4F13"/>
    <w:rsid w:val="00CF0941"/>
    <w:rsid w:val="00D267D0"/>
    <w:rsid w:val="00D3068D"/>
    <w:rsid w:val="00D32C6B"/>
    <w:rsid w:val="00D36009"/>
    <w:rsid w:val="00D52B36"/>
    <w:rsid w:val="00D56A4E"/>
    <w:rsid w:val="00D57067"/>
    <w:rsid w:val="00D76C76"/>
    <w:rsid w:val="00D92002"/>
    <w:rsid w:val="00D95BA6"/>
    <w:rsid w:val="00DA0C37"/>
    <w:rsid w:val="00DA59C2"/>
    <w:rsid w:val="00DC0A8E"/>
    <w:rsid w:val="00DE676A"/>
    <w:rsid w:val="00DF109C"/>
    <w:rsid w:val="00DF3BA4"/>
    <w:rsid w:val="00DF4D29"/>
    <w:rsid w:val="00E02B9C"/>
    <w:rsid w:val="00E214E5"/>
    <w:rsid w:val="00E318B7"/>
    <w:rsid w:val="00E33049"/>
    <w:rsid w:val="00E45340"/>
    <w:rsid w:val="00E4677A"/>
    <w:rsid w:val="00E65C39"/>
    <w:rsid w:val="00E74328"/>
    <w:rsid w:val="00E7780C"/>
    <w:rsid w:val="00E83130"/>
    <w:rsid w:val="00E87EF9"/>
    <w:rsid w:val="00E945EC"/>
    <w:rsid w:val="00EA3A0B"/>
    <w:rsid w:val="00EB26F4"/>
    <w:rsid w:val="00EB7BE1"/>
    <w:rsid w:val="00EC009D"/>
    <w:rsid w:val="00EC52F4"/>
    <w:rsid w:val="00EE789A"/>
    <w:rsid w:val="00EF6A97"/>
    <w:rsid w:val="00EF75C9"/>
    <w:rsid w:val="00F104B4"/>
    <w:rsid w:val="00F129B7"/>
    <w:rsid w:val="00F5011D"/>
    <w:rsid w:val="00F518B0"/>
    <w:rsid w:val="00F53947"/>
    <w:rsid w:val="00F6228C"/>
    <w:rsid w:val="00F63AC6"/>
    <w:rsid w:val="00F85412"/>
    <w:rsid w:val="00F90928"/>
    <w:rsid w:val="00FA0FDB"/>
    <w:rsid w:val="00FA181C"/>
    <w:rsid w:val="00FA5C48"/>
    <w:rsid w:val="00FB01D4"/>
    <w:rsid w:val="00FC3A89"/>
    <w:rsid w:val="00FC50C2"/>
    <w:rsid w:val="00FD0974"/>
    <w:rsid w:val="00FD14D4"/>
    <w:rsid w:val="00FE36A1"/>
    <w:rsid w:val="00FF5376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60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D3F"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3A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934"/>
  </w:style>
  <w:style w:type="paragraph" w:styleId="Footer">
    <w:name w:val="footer"/>
    <w:basedOn w:val="Normal"/>
    <w:link w:val="FooterChar"/>
    <w:uiPriority w:val="99"/>
    <w:unhideWhenUsed/>
    <w:rsid w:val="007C3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934"/>
  </w:style>
  <w:style w:type="character" w:styleId="Hyperlink">
    <w:name w:val="Hyperlink"/>
    <w:basedOn w:val="DefaultParagraphFont"/>
    <w:uiPriority w:val="99"/>
    <w:semiHidden/>
    <w:unhideWhenUsed/>
    <w:rsid w:val="006A32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2A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1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8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8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8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29B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C1D3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6C0A-527C-43A1-A476-5670BC78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2227</Characters>
  <Application>Microsoft Office Word</Application>
  <DocSecurity>0</DocSecurity>
  <Lines>71</Lines>
  <Paragraphs>27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 4.1: Develop Architecture for Cross-Border Electricity Trade</dc:title>
  <dc:subject/>
  <dc:creator/>
  <cp:keywords>[SEC=OFFICIAL]</cp:keywords>
  <dc:description/>
  <cp:lastModifiedBy/>
  <cp:revision>1</cp:revision>
  <dcterms:created xsi:type="dcterms:W3CDTF">2022-10-14T06:09:00Z</dcterms:created>
  <dcterms:modified xsi:type="dcterms:W3CDTF">2022-10-16T21:53:00Z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ng_FileId">
    <vt:lpwstr>AC584ED015CF49E1919417FB98D1ACD7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2022-10-14T06:10:07Z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173651C813E48B3D307BABD13BDCEC96</vt:lpwstr>
  </property>
  <property fmtid="{D5CDD505-2E9C-101B-9397-08002B2CF9AE}" pid="20" name="MSIP_Label_4f288355-fb4c-44cd-b9ca-40cfc2aee5f8_Method">
    <vt:lpwstr>Standard</vt:lpwstr>
  </property>
  <property fmtid="{D5CDD505-2E9C-101B-9397-08002B2CF9AE}" pid="21" name="PM_Hash_Salt">
    <vt:lpwstr>43B1850C1A50ABDFD547F8532C052B46</vt:lpwstr>
  </property>
  <property fmtid="{D5CDD505-2E9C-101B-9397-08002B2CF9AE}" pid="22" name="PM_Hash_SHA1">
    <vt:lpwstr>C02AF1C36DEDFB4C0CC7F32483C30B21C2A8538D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MSIP_Label_4f288355-fb4c-44cd-b9ca-40cfc2aee5f8_Enabled">
    <vt:lpwstr>true</vt:lpwstr>
  </property>
  <property fmtid="{D5CDD505-2E9C-101B-9397-08002B2CF9AE}" pid="26" name="MSIP_Label_4f288355-fb4c-44cd-b9ca-40cfc2aee5f8_SetDate">
    <vt:lpwstr>2022-10-12T02:24:25Z</vt:lpwstr>
  </property>
  <property fmtid="{D5CDD505-2E9C-101B-9397-08002B2CF9AE}" pid="27" name="MSIP_Label_4f288355-fb4c-44cd-b9ca-40cfc2aee5f8_Name">
    <vt:lpwstr>Non Sensitive_1</vt:lpwstr>
  </property>
  <property fmtid="{D5CDD505-2E9C-101B-9397-08002B2CF9AE}" pid="28" name="MSIP_Label_4f288355-fb4c-44cd-b9ca-40cfc2aee5f8_SiteId">
    <vt:lpwstr>0b11c524-9a1c-4e1b-84cb-6336aefc2243</vt:lpwstr>
  </property>
  <property fmtid="{D5CDD505-2E9C-101B-9397-08002B2CF9AE}" pid="29" name="MSIP_Label_4f288355-fb4c-44cd-b9ca-40cfc2aee5f8_ActionId">
    <vt:lpwstr>753c845f-4bc5-458a-8b19-36582e2a7edb</vt:lpwstr>
  </property>
  <property fmtid="{D5CDD505-2E9C-101B-9397-08002B2CF9AE}" pid="30" name="MSIP_Label_4f288355-fb4c-44cd-b9ca-40cfc2aee5f8_ContentBits">
    <vt:lpwstr>0</vt:lpwstr>
  </property>
  <property fmtid="{D5CDD505-2E9C-101B-9397-08002B2CF9AE}" pid="31" name="PM_Display">
    <vt:lpwstr>OFFICIAL</vt:lpwstr>
  </property>
  <property fmtid="{D5CDD505-2E9C-101B-9397-08002B2CF9AE}" pid="32" name="PMUuid">
    <vt:lpwstr>ABBFF5E2-9674-55C9-B08D-C9980002FD58</vt:lpwstr>
  </property>
  <property fmtid="{D5CDD505-2E9C-101B-9397-08002B2CF9AE}" pid="33" name="PMUuidVer">
    <vt:lpwstr>2022.1</vt:lpwstr>
  </property>
  <property fmtid="{D5CDD505-2E9C-101B-9397-08002B2CF9AE}" pid="34" name="PM_OriginatorUserAccountName_SHA256">
    <vt:lpwstr>3E9DB5AB808CA91EB3E8EC398CDB7F67B110581D6BB28BC88565729DCE387350</vt:lpwstr>
  </property>
  <property fmtid="{D5CDD505-2E9C-101B-9397-08002B2CF9AE}" pid="35" name="PM_OriginatorDomainName_SHA256">
    <vt:lpwstr>6F3591835F3B2A8A025B00B5BA6418010DA3A17C9C26EA9C049FFD28039489A2</vt:lpwstr>
  </property>
</Properties>
</file>