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D131" w14:textId="45D91C66" w:rsidR="00BE3A96" w:rsidRPr="00FA70A9" w:rsidRDefault="00D1628E" w:rsidP="00D1628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A70A9">
        <w:rPr>
          <w:rFonts w:ascii="Calibri" w:hAnsi="Calibri" w:cs="Calibri"/>
          <w:b/>
          <w:bCs/>
          <w:sz w:val="24"/>
          <w:szCs w:val="24"/>
        </w:rPr>
        <w:t xml:space="preserve">Annex B </w:t>
      </w:r>
      <w:r w:rsidR="001F15C6">
        <w:rPr>
          <w:rFonts w:ascii="Calibri" w:hAnsi="Calibri" w:cs="Calibri"/>
          <w:b/>
          <w:bCs/>
          <w:sz w:val="24"/>
          <w:szCs w:val="24"/>
        </w:rPr>
        <w:t>3</w:t>
      </w:r>
      <w:r w:rsidRPr="00FA70A9">
        <w:rPr>
          <w:rFonts w:ascii="Calibri" w:hAnsi="Calibri" w:cs="Calibri"/>
          <w:b/>
          <w:bCs/>
          <w:sz w:val="24"/>
          <w:szCs w:val="24"/>
        </w:rPr>
        <w:t>.</w:t>
      </w:r>
      <w:r w:rsidR="001F15C6">
        <w:rPr>
          <w:rFonts w:ascii="Calibri" w:hAnsi="Calibri" w:cs="Calibri"/>
          <w:b/>
          <w:bCs/>
          <w:sz w:val="24"/>
          <w:szCs w:val="24"/>
        </w:rPr>
        <w:t>2</w:t>
      </w:r>
      <w:r w:rsidRPr="00FA70A9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4D1855">
        <w:rPr>
          <w:rFonts w:ascii="Calibri" w:hAnsi="Calibri" w:cs="Calibri"/>
          <w:b/>
          <w:bCs/>
          <w:sz w:val="24"/>
          <w:szCs w:val="24"/>
        </w:rPr>
        <w:t xml:space="preserve">Promote and facilitate green and transition finance </w:t>
      </w:r>
      <w:r w:rsidR="00884FA3">
        <w:rPr>
          <w:rFonts w:ascii="Calibri" w:hAnsi="Calibri" w:cs="Calibri"/>
          <w:b/>
          <w:bCs/>
          <w:sz w:val="24"/>
          <w:szCs w:val="24"/>
        </w:rPr>
        <w:t xml:space="preserve">flows </w:t>
      </w:r>
      <w:r w:rsidR="004D1855">
        <w:rPr>
          <w:rFonts w:ascii="Calibri" w:hAnsi="Calibri" w:cs="Calibri"/>
          <w:b/>
          <w:bCs/>
          <w:sz w:val="24"/>
          <w:szCs w:val="24"/>
        </w:rPr>
        <w:t>across the region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6319"/>
      </w:tblGrid>
      <w:tr w:rsidR="009C5AD8" w:rsidRPr="00FA70A9" w14:paraId="103740EC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71A9F14B" w14:textId="3FF355AC" w:rsidR="009C5AD8" w:rsidRPr="00FA70A9" w:rsidRDefault="009C5AD8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Area of Cooperation</w:t>
            </w:r>
          </w:p>
        </w:tc>
        <w:tc>
          <w:tcPr>
            <w:tcW w:w="6319" w:type="dxa"/>
          </w:tcPr>
          <w:p w14:paraId="1F9AC9AA" w14:textId="75A18369" w:rsidR="009C5AD8" w:rsidRPr="009C5AD8" w:rsidRDefault="009C5AD8" w:rsidP="002D5E4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9C5AD8">
              <w:rPr>
                <w:rFonts w:ascii="Calibri" w:hAnsi="Calibri" w:cs="Calibri"/>
                <w:sz w:val="24"/>
                <w:szCs w:val="24"/>
              </w:rPr>
              <w:t>Green and Transition Finance</w:t>
            </w:r>
          </w:p>
        </w:tc>
      </w:tr>
      <w:tr w:rsidR="00D1628E" w:rsidRPr="00FA70A9" w14:paraId="79A712F6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5C1F8888" w14:textId="1082189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319" w:type="dxa"/>
          </w:tcPr>
          <w:p w14:paraId="40C5A711" w14:textId="4532338E" w:rsidR="00D1628E" w:rsidRPr="00FA70A9" w:rsidRDefault="002D5E46" w:rsidP="002D5E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6A66D0">
              <w:rPr>
                <w:rFonts w:ascii="Calibri" w:hAnsi="Calibri" w:cs="Calibri"/>
                <w:sz w:val="24"/>
                <w:szCs w:val="24"/>
              </w:rPr>
              <w:t xml:space="preserve">foster a supportive ecosystem that </w:t>
            </w:r>
            <w:r w:rsidR="004D1855">
              <w:rPr>
                <w:rFonts w:ascii="Calibri" w:hAnsi="Calibri" w:cs="Calibri"/>
                <w:sz w:val="24"/>
                <w:szCs w:val="24"/>
              </w:rPr>
              <w:t>facilitate</w:t>
            </w:r>
            <w:r w:rsidR="006A66D0">
              <w:rPr>
                <w:rFonts w:ascii="Calibri" w:hAnsi="Calibri" w:cs="Calibri"/>
                <w:sz w:val="24"/>
                <w:szCs w:val="24"/>
              </w:rPr>
              <w:t>s</w:t>
            </w:r>
            <w:r w:rsidR="004D1855">
              <w:rPr>
                <w:rFonts w:ascii="Calibri" w:hAnsi="Calibri" w:cs="Calibri"/>
                <w:sz w:val="24"/>
                <w:szCs w:val="24"/>
              </w:rPr>
              <w:t xml:space="preserve"> and incentivise</w:t>
            </w:r>
            <w:r w:rsidR="006A66D0">
              <w:rPr>
                <w:rFonts w:ascii="Calibri" w:hAnsi="Calibri" w:cs="Calibri"/>
                <w:sz w:val="24"/>
                <w:szCs w:val="24"/>
              </w:rPr>
              <w:t>s</w:t>
            </w:r>
            <w:r w:rsidR="004D1855">
              <w:rPr>
                <w:rFonts w:ascii="Calibri" w:hAnsi="Calibri" w:cs="Calibri"/>
                <w:sz w:val="24"/>
                <w:szCs w:val="24"/>
              </w:rPr>
              <w:t xml:space="preserve"> private sector finance to flow into green and transition activities across the Indo-Pacific region. </w:t>
            </w:r>
          </w:p>
        </w:tc>
      </w:tr>
      <w:tr w:rsidR="00D1628E" w:rsidRPr="00FA70A9" w14:paraId="47C7D5F3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198F54C4" w14:textId="26F711D8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319" w:type="dxa"/>
          </w:tcPr>
          <w:p w14:paraId="167CC275" w14:textId="31F09744" w:rsidR="004D1855" w:rsidRDefault="004D1855" w:rsidP="005F62F1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Building on our Joint Statement of Intent on Green and Transition Finance, Singapore and Australia will work to increase interoperability between our respective </w:t>
            </w:r>
            <w:r w:rsidR="00AF1E58">
              <w:rPr>
                <w:rFonts w:ascii="Calibri" w:hAnsi="Calibri" w:cs="Calibri"/>
                <w:sz w:val="24"/>
                <w:szCs w:val="24"/>
              </w:rPr>
              <w:t>sustainable finance frameworks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green and transition finance taxonomies and those across the region. We will work to strengthen and build upon existing vehicles and mechanisms </w:t>
            </w:r>
            <w:r w:rsidR="00884FA3">
              <w:rPr>
                <w:rFonts w:ascii="Calibri" w:hAnsi="Calibri" w:cs="Calibri"/>
                <w:sz w:val="24"/>
                <w:szCs w:val="24"/>
              </w:rPr>
              <w:t>for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financing green and transition activities across the region.</w:t>
            </w:r>
          </w:p>
          <w:p w14:paraId="2AB39E2C" w14:textId="4FEE7B67" w:rsidR="00D1628E" w:rsidRPr="00FA70A9" w:rsidRDefault="004D1855" w:rsidP="005F62F1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will make it easier for private investors to identify and finance sustainable investments and fulfil their sustainability objectives, leading to greater cross-border flows of green and transition finance across the region.</w:t>
            </w:r>
          </w:p>
        </w:tc>
      </w:tr>
      <w:tr w:rsidR="00D1628E" w:rsidRPr="00FA70A9" w14:paraId="522675A7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5867AE8E" w14:textId="717C90B2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Specific Objectives</w:t>
            </w:r>
          </w:p>
        </w:tc>
        <w:tc>
          <w:tcPr>
            <w:tcW w:w="6319" w:type="dxa"/>
          </w:tcPr>
          <w:p w14:paraId="4DD3372F" w14:textId="75E7ECE2" w:rsidR="00D1628E" w:rsidRPr="005C623E" w:rsidRDefault="004D1855" w:rsidP="005C62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623E">
              <w:rPr>
                <w:rFonts w:ascii="Calibri" w:hAnsi="Calibri" w:cs="Calibri"/>
                <w:sz w:val="24"/>
                <w:szCs w:val="24"/>
              </w:rPr>
              <w:t xml:space="preserve">Australia to </w:t>
            </w:r>
            <w:r w:rsidR="00C1385F">
              <w:rPr>
                <w:rFonts w:ascii="Calibri" w:hAnsi="Calibri" w:cs="Calibri"/>
                <w:sz w:val="24"/>
                <w:szCs w:val="24"/>
              </w:rPr>
              <w:t>work towards joining the</w:t>
            </w:r>
            <w:r w:rsidRPr="005C623E">
              <w:rPr>
                <w:rFonts w:ascii="Calibri" w:hAnsi="Calibri" w:cs="Calibri"/>
                <w:sz w:val="24"/>
                <w:szCs w:val="24"/>
              </w:rPr>
              <w:t xml:space="preserve"> Multi</w:t>
            </w:r>
            <w:r w:rsidR="002860BC">
              <w:rPr>
                <w:rFonts w:ascii="Calibri" w:hAnsi="Calibri" w:cs="Calibri"/>
                <w:sz w:val="24"/>
                <w:szCs w:val="24"/>
              </w:rPr>
              <w:t>-J</w:t>
            </w:r>
            <w:r w:rsidRPr="005C623E">
              <w:rPr>
                <w:rFonts w:ascii="Calibri" w:hAnsi="Calibri" w:cs="Calibri"/>
                <w:sz w:val="24"/>
                <w:szCs w:val="24"/>
              </w:rPr>
              <w:t>urisdictional Common Ground Taxonomy (M-CGT)</w:t>
            </w:r>
            <w:r w:rsidR="00C1385F">
              <w:rPr>
                <w:rFonts w:ascii="Calibri" w:hAnsi="Calibri" w:cs="Calibri"/>
                <w:sz w:val="24"/>
                <w:szCs w:val="24"/>
              </w:rPr>
              <w:t>, improving interoperability between Australia, Singapore and</w:t>
            </w:r>
            <w:r w:rsidR="004866C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6CC5">
              <w:rPr>
                <w:rFonts w:ascii="Calibri" w:hAnsi="Calibri" w:cs="Calibri"/>
                <w:sz w:val="24"/>
                <w:szCs w:val="24"/>
              </w:rPr>
              <w:t>sustainable finance taxonomies</w:t>
            </w:r>
            <w:r w:rsidR="004866CB">
              <w:rPr>
                <w:rFonts w:ascii="Calibri" w:hAnsi="Calibri" w:cs="Calibri"/>
                <w:sz w:val="24"/>
                <w:szCs w:val="24"/>
              </w:rPr>
              <w:t xml:space="preserve"> of other major economies</w:t>
            </w:r>
            <w:r w:rsidRPr="005C623E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4643DA1" w14:textId="132250E0" w:rsidR="004D1855" w:rsidRDefault="00E53FEA" w:rsidP="005C62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Hlk209526890"/>
            <w:r>
              <w:rPr>
                <w:rFonts w:ascii="Calibri" w:hAnsi="Calibri" w:cs="Calibri"/>
                <w:sz w:val="24"/>
                <w:szCs w:val="24"/>
              </w:rPr>
              <w:t>Australia to work with Singapore’s Monetary Authority (MAS) through FAST-P to promote Australian investment into the region</w:t>
            </w:r>
            <w:r w:rsidR="00884FA3">
              <w:rPr>
                <w:rFonts w:ascii="Calibri" w:hAnsi="Calibri" w:cs="Calibri"/>
                <w:sz w:val="24"/>
                <w:szCs w:val="24"/>
              </w:rPr>
              <w:t xml:space="preserve">. Australia </w:t>
            </w:r>
            <w:r>
              <w:rPr>
                <w:rFonts w:ascii="Calibri" w:hAnsi="Calibri" w:cs="Calibri"/>
                <w:sz w:val="24"/>
                <w:szCs w:val="24"/>
              </w:rPr>
              <w:t>will work to identify opportunities for Australian businesses to participate in FAST-P projects as capital is deployed</w:t>
            </w:r>
            <w:r w:rsidR="0093121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CA07147" w14:textId="56D6FA5D" w:rsidR="004D1855" w:rsidRPr="00FA70A9" w:rsidRDefault="00931210" w:rsidP="009D47F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Identify opportunities to </w:t>
            </w:r>
            <w:r w:rsidR="00A17FF3">
              <w:rPr>
                <w:rFonts w:ascii="Calibri" w:hAnsi="Calibri" w:cs="Calibri"/>
                <w:sz w:val="24"/>
                <w:szCs w:val="24"/>
              </w:rPr>
              <w:t xml:space="preserve">crowd in commercial capital and promote green and transition finance flows across the region, including </w:t>
            </w:r>
            <w:r w:rsidR="00884FA3">
              <w:rPr>
                <w:rFonts w:ascii="Calibri" w:hAnsi="Calibri" w:cs="Calibri"/>
                <w:sz w:val="24"/>
                <w:szCs w:val="24"/>
              </w:rPr>
              <w:t xml:space="preserve">by </w:t>
            </w:r>
            <w:r w:rsidR="009D47F3">
              <w:rPr>
                <w:rFonts w:ascii="Calibri" w:hAnsi="Calibri" w:cs="Calibri"/>
                <w:sz w:val="24"/>
                <w:szCs w:val="24"/>
              </w:rPr>
              <w:t>leveraging existing government vehicles</w:t>
            </w:r>
            <w:r w:rsidR="00884FA3">
              <w:rPr>
                <w:rFonts w:ascii="Calibri" w:hAnsi="Calibri" w:cs="Calibri"/>
                <w:sz w:val="24"/>
                <w:szCs w:val="24"/>
              </w:rPr>
              <w:t xml:space="preserve">, like the Green Investments Partnership and Industrial Transformation </w:t>
            </w:r>
            <w:r w:rsidR="00143530">
              <w:rPr>
                <w:rFonts w:ascii="Calibri" w:hAnsi="Calibri" w:cs="Calibri"/>
                <w:sz w:val="24"/>
                <w:szCs w:val="24"/>
              </w:rPr>
              <w:t>programme</w:t>
            </w:r>
            <w:r w:rsidR="00884FA3">
              <w:rPr>
                <w:rFonts w:ascii="Calibri" w:hAnsi="Calibri" w:cs="Calibri"/>
                <w:sz w:val="24"/>
                <w:szCs w:val="24"/>
              </w:rPr>
              <w:t xml:space="preserve"> under FAST-P</w:t>
            </w:r>
            <w:r w:rsidR="009D47F3">
              <w:rPr>
                <w:rFonts w:ascii="Calibri" w:hAnsi="Calibri" w:cs="Calibri"/>
                <w:sz w:val="24"/>
                <w:szCs w:val="24"/>
              </w:rPr>
              <w:t>.</w:t>
            </w:r>
            <w:bookmarkEnd w:id="0"/>
          </w:p>
        </w:tc>
      </w:tr>
      <w:tr w:rsidR="00D1628E" w:rsidRPr="00FA70A9" w14:paraId="748230A0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6F6ACE5C" w14:textId="0080D66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Desired Outcomes</w:t>
            </w:r>
          </w:p>
        </w:tc>
        <w:tc>
          <w:tcPr>
            <w:tcW w:w="6319" w:type="dxa"/>
          </w:tcPr>
          <w:p w14:paraId="6F7B9EA6" w14:textId="43B0F747" w:rsidR="00D1628E" w:rsidRPr="00FA70A9" w:rsidRDefault="004D1855" w:rsidP="002D5E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AU"/>
              </w:rPr>
              <w:t xml:space="preserve">Greater </w:t>
            </w:r>
            <w:r w:rsidR="006A66D0">
              <w:rPr>
                <w:rFonts w:ascii="Calibri" w:hAnsi="Calibri" w:cs="Calibri"/>
                <w:sz w:val="24"/>
                <w:szCs w:val="24"/>
                <w:lang w:val="en-AU"/>
              </w:rPr>
              <w:t>interoperability</w:t>
            </w:r>
            <w:r>
              <w:rPr>
                <w:rFonts w:ascii="Calibri" w:hAnsi="Calibri" w:cs="Calibri"/>
                <w:sz w:val="24"/>
                <w:szCs w:val="24"/>
                <w:lang w:val="en-AU"/>
              </w:rPr>
              <w:t xml:space="preserve"> between sustainable finance </w:t>
            </w:r>
            <w:r w:rsidR="006A66D0">
              <w:rPr>
                <w:rFonts w:ascii="Calibri" w:hAnsi="Calibri" w:cs="Calibri"/>
                <w:sz w:val="24"/>
                <w:szCs w:val="24"/>
                <w:lang w:val="en-AU"/>
              </w:rPr>
              <w:t xml:space="preserve">frameworks </w:t>
            </w:r>
            <w:r>
              <w:rPr>
                <w:rFonts w:ascii="Calibri" w:hAnsi="Calibri" w:cs="Calibri"/>
                <w:sz w:val="24"/>
                <w:szCs w:val="24"/>
                <w:lang w:val="en-AU"/>
              </w:rPr>
              <w:t>across the region, which leads to a simpler ecosystem for investors to navigate. Coupled with more active support from Government and associated financing vehicles, this would support increased flows of green and transition finance across the region.</w:t>
            </w:r>
          </w:p>
        </w:tc>
      </w:tr>
      <w:tr w:rsidR="00D1628E" w:rsidRPr="00FA70A9" w14:paraId="49638A3F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4431FAB1" w14:textId="758851F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Project Leads</w:t>
            </w:r>
          </w:p>
        </w:tc>
        <w:tc>
          <w:tcPr>
            <w:tcW w:w="6319" w:type="dxa"/>
          </w:tcPr>
          <w:p w14:paraId="46592F5D" w14:textId="77777777" w:rsidR="00FA70A9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A70A9">
              <w:rPr>
                <w:rFonts w:ascii="Calibri" w:hAnsi="Calibri" w:cs="Calibri"/>
                <w:sz w:val="24"/>
                <w:szCs w:val="24"/>
                <w:u w:val="single"/>
              </w:rPr>
              <w:t>Singapore</w:t>
            </w:r>
          </w:p>
          <w:p w14:paraId="667AD62E" w14:textId="44CB93FB" w:rsid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>Ministry of Trade and Industry Singapore</w:t>
            </w:r>
          </w:p>
          <w:p w14:paraId="77C34E54" w14:textId="6DF8CFB1" w:rsidR="004D1855" w:rsidRDefault="004D1855" w:rsidP="005F62F1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Monetary Authority of Singapore</w:t>
            </w:r>
          </w:p>
          <w:p w14:paraId="117782EC" w14:textId="77777777" w:rsidR="00FA70A9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A70A9">
              <w:rPr>
                <w:rFonts w:ascii="Calibri" w:hAnsi="Calibri" w:cs="Calibri"/>
                <w:sz w:val="24"/>
                <w:szCs w:val="24"/>
                <w:u w:val="single"/>
              </w:rPr>
              <w:t>Australia</w:t>
            </w:r>
          </w:p>
          <w:p w14:paraId="7B22C7E4" w14:textId="4E0E56A0" w:rsidR="00B41B42" w:rsidRDefault="00B41B42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>Department of Foreign Affairs and Trade</w:t>
            </w:r>
          </w:p>
          <w:p w14:paraId="2DAACD5C" w14:textId="4A9DBB38" w:rsidR="00B41B42" w:rsidRDefault="004D1855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Australian Treasury </w:t>
            </w:r>
          </w:p>
          <w:p w14:paraId="0D3DC448" w14:textId="770B3F86" w:rsidR="00FA70A9" w:rsidRPr="00FA70A9" w:rsidRDefault="004D1855" w:rsidP="005F62F1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Export Finance Australia</w:t>
            </w:r>
          </w:p>
          <w:p w14:paraId="4C6B3F2D" w14:textId="177F6476" w:rsidR="00D1628E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>And the participation of other agencies as needed.</w:t>
            </w:r>
          </w:p>
        </w:tc>
      </w:tr>
    </w:tbl>
    <w:p w14:paraId="3BCA2E5B" w14:textId="77777777" w:rsidR="00D1628E" w:rsidRPr="00FA70A9" w:rsidRDefault="00D1628E" w:rsidP="00884F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D1628E" w:rsidRPr="00FA7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B42E" w14:textId="77777777" w:rsidR="00F26EC9" w:rsidRDefault="00F26EC9" w:rsidP="00D1628E">
      <w:pPr>
        <w:spacing w:after="0" w:line="240" w:lineRule="auto"/>
      </w:pPr>
      <w:r>
        <w:separator/>
      </w:r>
    </w:p>
  </w:endnote>
  <w:endnote w:type="continuationSeparator" w:id="0">
    <w:p w14:paraId="3873DAC0" w14:textId="77777777" w:rsidR="00F26EC9" w:rsidRDefault="00F26EC9" w:rsidP="00D1628E">
      <w:pPr>
        <w:spacing w:after="0" w:line="240" w:lineRule="auto"/>
      </w:pPr>
      <w:r>
        <w:continuationSeparator/>
      </w:r>
    </w:p>
  </w:endnote>
  <w:endnote w:type="continuationNotice" w:id="1">
    <w:p w14:paraId="293CEE96" w14:textId="77777777" w:rsidR="00F26EC9" w:rsidRDefault="00F26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3480" w14:textId="62B5E442" w:rsidR="00363CA4" w:rsidRDefault="00363C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02A226" wp14:editId="387C0B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6651613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4A8E2" w14:textId="31AFD7EB" w:rsidR="00363CA4" w:rsidRPr="00363CA4" w:rsidRDefault="00363CA4" w:rsidP="00363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3C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2A2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564A8E2" w14:textId="31AFD7EB" w:rsidR="00363CA4" w:rsidRPr="00363CA4" w:rsidRDefault="00363CA4" w:rsidP="00363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63C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BEB4" w14:textId="207DBF39" w:rsidR="00363CA4" w:rsidRDefault="00363C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31DA349" wp14:editId="30770D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427566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3DF45" w14:textId="06593D5A" w:rsidR="00363CA4" w:rsidRPr="00363CA4" w:rsidRDefault="00363CA4" w:rsidP="00363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3C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DA3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5C3DF45" w14:textId="06593D5A" w:rsidR="00363CA4" w:rsidRPr="00363CA4" w:rsidRDefault="00363CA4" w:rsidP="00363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63C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5EF7" w14:textId="78FC57D2" w:rsidR="00363CA4" w:rsidRDefault="00363C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3C21AD7" wp14:editId="6A11C2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623219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92AD3" w14:textId="533CACEE" w:rsidR="00363CA4" w:rsidRPr="00363CA4" w:rsidRDefault="00363CA4" w:rsidP="00363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3C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21A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2892AD3" w14:textId="533CACEE" w:rsidR="00363CA4" w:rsidRPr="00363CA4" w:rsidRDefault="00363CA4" w:rsidP="00363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63C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75EA" w14:textId="77777777" w:rsidR="00F26EC9" w:rsidRDefault="00F26EC9" w:rsidP="00D1628E">
      <w:pPr>
        <w:spacing w:after="0" w:line="240" w:lineRule="auto"/>
      </w:pPr>
      <w:r>
        <w:separator/>
      </w:r>
    </w:p>
  </w:footnote>
  <w:footnote w:type="continuationSeparator" w:id="0">
    <w:p w14:paraId="36F423EB" w14:textId="77777777" w:rsidR="00F26EC9" w:rsidRDefault="00F26EC9" w:rsidP="00D1628E">
      <w:pPr>
        <w:spacing w:after="0" w:line="240" w:lineRule="auto"/>
      </w:pPr>
      <w:r>
        <w:continuationSeparator/>
      </w:r>
    </w:p>
  </w:footnote>
  <w:footnote w:type="continuationNotice" w:id="1">
    <w:p w14:paraId="1B057A6B" w14:textId="77777777" w:rsidR="00F26EC9" w:rsidRDefault="00F26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D49" w14:textId="1048BC42" w:rsidR="00363CA4" w:rsidRDefault="00363C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6ADDFB" wp14:editId="70E3BA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466129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F6E10" w14:textId="3EBE4277" w:rsidR="00363CA4" w:rsidRPr="00363CA4" w:rsidRDefault="00363CA4" w:rsidP="00363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3C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AD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6CF6E10" w14:textId="3EBE4277" w:rsidR="00363CA4" w:rsidRPr="00363CA4" w:rsidRDefault="00363CA4" w:rsidP="00363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63C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E99B" w14:textId="6A39952E" w:rsidR="00D1628E" w:rsidRPr="00D1628E" w:rsidRDefault="00363CA4" w:rsidP="00D1628E">
    <w:pPr>
      <w:pStyle w:val="Header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1CE7A5" wp14:editId="1536AC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7514131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C9754" w14:textId="2FD6479C" w:rsidR="00363CA4" w:rsidRPr="00363CA4" w:rsidRDefault="00363CA4" w:rsidP="00363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3C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CE7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CCC9754" w14:textId="2FD6479C" w:rsidR="00363CA4" w:rsidRPr="00363CA4" w:rsidRDefault="00363CA4" w:rsidP="00363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63C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628E" w:rsidRPr="00D1628E">
      <w:rPr>
        <w:rFonts w:ascii="Calibri" w:hAnsi="Calibri" w:cs="Calibri"/>
        <w:b/>
        <w:bCs/>
      </w:rPr>
      <w:t>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AB49" w14:textId="7E0BFAE1" w:rsidR="00363CA4" w:rsidRDefault="00363C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A48EE3" wp14:editId="435520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172962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E4C96" w14:textId="4D8CBA15" w:rsidR="00363CA4" w:rsidRPr="00363CA4" w:rsidRDefault="00363CA4" w:rsidP="00363C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3C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48E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6BE4C96" w14:textId="4D8CBA15" w:rsidR="00363CA4" w:rsidRPr="00363CA4" w:rsidRDefault="00363CA4" w:rsidP="00363C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63C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100E8"/>
    <w:multiLevelType w:val="hybridMultilevel"/>
    <w:tmpl w:val="9992E906"/>
    <w:lvl w:ilvl="0" w:tplc="1B16781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70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25"/>
    <w:rsid w:val="00074DF4"/>
    <w:rsid w:val="00094676"/>
    <w:rsid w:val="00096599"/>
    <w:rsid w:val="000A05A2"/>
    <w:rsid w:val="001377C1"/>
    <w:rsid w:val="00143530"/>
    <w:rsid w:val="00193135"/>
    <w:rsid w:val="00195499"/>
    <w:rsid w:val="001A16B2"/>
    <w:rsid w:val="001D537E"/>
    <w:rsid w:val="001F15C6"/>
    <w:rsid w:val="002526C2"/>
    <w:rsid w:val="002860BC"/>
    <w:rsid w:val="00290332"/>
    <w:rsid w:val="002D5E46"/>
    <w:rsid w:val="00323232"/>
    <w:rsid w:val="00363CA4"/>
    <w:rsid w:val="003F2F25"/>
    <w:rsid w:val="004866CB"/>
    <w:rsid w:val="004C66EA"/>
    <w:rsid w:val="004D1855"/>
    <w:rsid w:val="00524DAB"/>
    <w:rsid w:val="00530E1C"/>
    <w:rsid w:val="005C1230"/>
    <w:rsid w:val="005C623E"/>
    <w:rsid w:val="005F62F1"/>
    <w:rsid w:val="00683C19"/>
    <w:rsid w:val="00684A77"/>
    <w:rsid w:val="006A66D0"/>
    <w:rsid w:val="00721044"/>
    <w:rsid w:val="0075541C"/>
    <w:rsid w:val="007724D8"/>
    <w:rsid w:val="00776036"/>
    <w:rsid w:val="00776464"/>
    <w:rsid w:val="00791950"/>
    <w:rsid w:val="00796785"/>
    <w:rsid w:val="007B6D00"/>
    <w:rsid w:val="008669B0"/>
    <w:rsid w:val="00884FA3"/>
    <w:rsid w:val="008B4822"/>
    <w:rsid w:val="008E1AB9"/>
    <w:rsid w:val="009139AB"/>
    <w:rsid w:val="00931210"/>
    <w:rsid w:val="0094532D"/>
    <w:rsid w:val="00970905"/>
    <w:rsid w:val="009C5AD8"/>
    <w:rsid w:val="009D47F3"/>
    <w:rsid w:val="00A17FF3"/>
    <w:rsid w:val="00A30E8D"/>
    <w:rsid w:val="00A34BE7"/>
    <w:rsid w:val="00A429F3"/>
    <w:rsid w:val="00A56D53"/>
    <w:rsid w:val="00A63246"/>
    <w:rsid w:val="00A94F8F"/>
    <w:rsid w:val="00AF1CD5"/>
    <w:rsid w:val="00AF1E58"/>
    <w:rsid w:val="00B16EC3"/>
    <w:rsid w:val="00B41B42"/>
    <w:rsid w:val="00B50C20"/>
    <w:rsid w:val="00B56982"/>
    <w:rsid w:val="00B85A90"/>
    <w:rsid w:val="00B87691"/>
    <w:rsid w:val="00B922D5"/>
    <w:rsid w:val="00BC46B4"/>
    <w:rsid w:val="00BE3A96"/>
    <w:rsid w:val="00C10793"/>
    <w:rsid w:val="00C1385F"/>
    <w:rsid w:val="00D1628E"/>
    <w:rsid w:val="00D65012"/>
    <w:rsid w:val="00DB145E"/>
    <w:rsid w:val="00DE1376"/>
    <w:rsid w:val="00E06BF4"/>
    <w:rsid w:val="00E53FEA"/>
    <w:rsid w:val="00ED072F"/>
    <w:rsid w:val="00F06CC5"/>
    <w:rsid w:val="00F1429D"/>
    <w:rsid w:val="00F26EC9"/>
    <w:rsid w:val="00F33515"/>
    <w:rsid w:val="00F45FF9"/>
    <w:rsid w:val="00FA70A9"/>
    <w:rsid w:val="00FB75EC"/>
    <w:rsid w:val="00FE1205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8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F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8E"/>
  </w:style>
  <w:style w:type="paragraph" w:styleId="Footer">
    <w:name w:val="footer"/>
    <w:basedOn w:val="Normal"/>
    <w:link w:val="FooterChar"/>
    <w:uiPriority w:val="99"/>
    <w:unhideWhenUsed/>
    <w:rsid w:val="00D1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8E"/>
  </w:style>
  <w:style w:type="character" w:styleId="CommentReference">
    <w:name w:val="annotation reference"/>
    <w:basedOn w:val="DefaultParagraphFont"/>
    <w:uiPriority w:val="99"/>
    <w:semiHidden/>
    <w:unhideWhenUsed/>
    <w:rsid w:val="004D1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8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8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1977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 3.2: Promote and facilitate green and transition finance flows across the region</dc:title>
  <dc:subject/>
  <dc:creator/>
  <cp:keywords>[SEC=OFFICIAL]</cp:keywords>
  <dc:description/>
  <cp:lastModifiedBy/>
  <cp:revision>1</cp:revision>
  <dcterms:created xsi:type="dcterms:W3CDTF">2025-10-09T06:54:00Z</dcterms:created>
  <dcterms:modified xsi:type="dcterms:W3CDTF">2025-10-09T06:55:00Z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2025-08-05T04:26:13Z</vt:lpwstr>
  </property>
  <property fmtid="{D5CDD505-2E9C-101B-9397-08002B2CF9AE}" pid="3" name="PM_ProtectiveMarkingValue_Header">
    <vt:lpwstr>OFFICIAL</vt:lpwstr>
  </property>
  <property fmtid="{D5CDD505-2E9C-101B-9397-08002B2CF9AE}" pid="4" name="PM_InsertionValue">
    <vt:lpwstr>OFFICIAL</vt:lpwstr>
  </property>
  <property fmtid="{D5CDD505-2E9C-101B-9397-08002B2CF9AE}" pid="5" name="PM_Originator_Hash_SHA1">
    <vt:lpwstr>D9F6E5C82DFAF7AB6E3D596D48DD43C72EDFDAB4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</vt:lpwstr>
  </property>
  <property fmtid="{D5CDD505-2E9C-101B-9397-08002B2CF9AE}" pid="8" name="PM_ProtectiveMarkingValue_Footer">
    <vt:lpwstr>OFFICIAL</vt:lpwstr>
  </property>
  <property fmtid="{D5CDD505-2E9C-101B-9397-08002B2CF9AE}" pid="9" name="PM_Originating_FileId">
    <vt:lpwstr>0AB217D8EDCE441898AED0F47B2E1686</vt:lpwstr>
  </property>
  <property fmtid="{D5CDD505-2E9C-101B-9397-08002B2CF9AE}" pid="10" name="PM_ProtectiveMarkingImage_Header">
    <vt:lpwstr>C:\Program Files\Common Files\janusNET Shared\janusSEAL\Images\DocumentSlashBlue.png</vt:lpwstr>
  </property>
  <property fmtid="{D5CDD505-2E9C-101B-9397-08002B2CF9AE}" pid="11" name="PM_ProtectiveMarkingImage_Footer">
    <vt:lpwstr>C:\Program Files\Common Files\janusNET Shared\janusSEAL\Images\DocumentSlashBlue.png</vt:lpwstr>
  </property>
  <property fmtid="{D5CDD505-2E9C-101B-9397-08002B2CF9AE}" pid="12" name="PM_Display">
    <vt:lpwstr>OFFICIAL</vt:lpwstr>
  </property>
  <property fmtid="{D5CDD505-2E9C-101B-9397-08002B2CF9AE}" pid="13" name="PM_OriginatorUserAccountName_SHA256">
    <vt:lpwstr>3E9DB5AB808CA91EB3E8EC398CDB7F67B110581D6BB28BC88565729DCE387350</vt:lpwstr>
  </property>
  <property fmtid="{D5CDD505-2E9C-101B-9397-08002B2CF9AE}" pid="14" name="PM_OriginatorDomainName_SHA256">
    <vt:lpwstr>6F3591835F3B2A8A025B00B5BA6418010DA3A17C9C26EA9C049FFD28039489A2</vt:lpwstr>
  </property>
  <property fmtid="{D5CDD505-2E9C-101B-9397-08002B2CF9AE}" pid="15" name="PMUuid">
    <vt:lpwstr>v=2022.2;d=gov.au;g=46DD6D7C-8107-577B-BC6E-F348953B2E44</vt:lpwstr>
  </property>
  <property fmtid="{D5CDD505-2E9C-101B-9397-08002B2CF9AE}" pid="16" name="PM_Hash_Version">
    <vt:lpwstr>2022.1</vt:lpwstr>
  </property>
  <property fmtid="{D5CDD505-2E9C-101B-9397-08002B2CF9AE}" pid="17" name="PM_Hash_Salt_Prev">
    <vt:lpwstr>8A18CA27DCC8E8A9840EB6B0CE3FFE4B</vt:lpwstr>
  </property>
  <property fmtid="{D5CDD505-2E9C-101B-9397-08002B2CF9AE}" pid="18" name="PM_Hash_Salt">
    <vt:lpwstr>E4674A805FF61012AD364C8172694926</vt:lpwstr>
  </property>
  <property fmtid="{D5CDD505-2E9C-101B-9397-08002B2CF9AE}" pid="19" name="PM_Hash_SHA1">
    <vt:lpwstr>E7B3716B718694661A7A7FA7C1644840A1D3F642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OFFICIAL</vt:lpwstr>
  </property>
  <property fmtid="{D5CDD505-2E9C-101B-9397-08002B2CF9AE}" pid="25" name="PMHMAC">
    <vt:lpwstr>v=2022.1;a=SHA256;h=7CDDE654CC615F13F3A2C85F691063E7E80C0530645A966E96AD60F689B6132C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