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DEDF" w14:textId="5B03F19A" w:rsidR="00DB7470" w:rsidRPr="006459DA" w:rsidRDefault="00797803" w:rsidP="006459DA">
      <w:pPr>
        <w:pStyle w:val="Heading1"/>
      </w:pPr>
      <w:r w:rsidRPr="006459DA">
        <w:t xml:space="preserve">Annex </w:t>
      </w:r>
      <w:r w:rsidR="00FA29AA" w:rsidRPr="006459DA">
        <w:t xml:space="preserve">B </w:t>
      </w:r>
      <w:r w:rsidRPr="006459DA">
        <w:t>2.1: Standards and Conformance Collaboration</w:t>
      </w:r>
    </w:p>
    <w:tbl>
      <w:tblPr>
        <w:tblStyle w:val="TableGrid"/>
        <w:tblW w:w="0" w:type="auto"/>
        <w:tblLook w:val="04A0" w:firstRow="1" w:lastRow="0" w:firstColumn="1" w:lastColumn="0" w:noHBand="0" w:noVBand="1"/>
      </w:tblPr>
      <w:tblGrid>
        <w:gridCol w:w="2263"/>
        <w:gridCol w:w="6753"/>
      </w:tblGrid>
      <w:tr w:rsidR="00D3766F" w:rsidRPr="006973A7" w14:paraId="7B9FBB03" w14:textId="77777777" w:rsidTr="00D3766F">
        <w:trPr>
          <w:trHeight w:val="348"/>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C79E50" w14:textId="77777777" w:rsidR="00D3766F" w:rsidRPr="006973A7" w:rsidRDefault="00D3766F">
            <w:pPr>
              <w:rPr>
                <w:rFonts w:cstheme="minorHAnsi"/>
                <w:b/>
                <w:bCs/>
              </w:rPr>
            </w:pPr>
            <w:r w:rsidRPr="006973A7">
              <w:rPr>
                <w:rFonts w:cstheme="minorHAnsi"/>
                <w:b/>
                <w:bCs/>
              </w:rPr>
              <w:t xml:space="preserve">Area of Cooperation </w:t>
            </w:r>
          </w:p>
        </w:tc>
        <w:tc>
          <w:tcPr>
            <w:tcW w:w="6753" w:type="dxa"/>
            <w:tcBorders>
              <w:top w:val="single" w:sz="4" w:space="0" w:color="auto"/>
              <w:left w:val="single" w:sz="4" w:space="0" w:color="auto"/>
              <w:bottom w:val="single" w:sz="4" w:space="0" w:color="auto"/>
              <w:right w:val="single" w:sz="4" w:space="0" w:color="auto"/>
            </w:tcBorders>
            <w:vAlign w:val="center"/>
            <w:hideMark/>
          </w:tcPr>
          <w:p w14:paraId="1B7489D3" w14:textId="77777777" w:rsidR="00D3766F" w:rsidRDefault="00D3766F">
            <w:pPr>
              <w:jc w:val="both"/>
              <w:rPr>
                <w:rFonts w:cstheme="minorHAnsi"/>
              </w:rPr>
            </w:pPr>
            <w:r w:rsidRPr="006973A7">
              <w:rPr>
                <w:rFonts w:cstheme="minorHAnsi"/>
              </w:rPr>
              <w:t>Standards and Conformance</w:t>
            </w:r>
          </w:p>
          <w:p w14:paraId="26112AB2" w14:textId="0A41DAD3" w:rsidR="006973A7" w:rsidRPr="006973A7" w:rsidRDefault="006973A7">
            <w:pPr>
              <w:jc w:val="both"/>
              <w:rPr>
                <w:rFonts w:cstheme="minorHAnsi"/>
              </w:rPr>
            </w:pPr>
          </w:p>
        </w:tc>
      </w:tr>
      <w:tr w:rsidR="00D3766F" w:rsidRPr="006973A7" w14:paraId="4EECA56B" w14:textId="77777777" w:rsidTr="00D3766F">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CC2FD" w14:textId="55B719B5" w:rsidR="00D3766F" w:rsidRPr="006973A7" w:rsidRDefault="00D3766F" w:rsidP="005D3798">
            <w:pPr>
              <w:rPr>
                <w:rFonts w:cstheme="minorHAnsi"/>
                <w:b/>
                <w:bCs/>
              </w:rPr>
            </w:pPr>
            <w:r w:rsidRPr="006973A7">
              <w:rPr>
                <w:rFonts w:cstheme="minorHAnsi"/>
                <w:b/>
                <w:bCs/>
              </w:rPr>
              <w:t>Purpose</w:t>
            </w:r>
          </w:p>
        </w:tc>
        <w:tc>
          <w:tcPr>
            <w:tcW w:w="6753" w:type="dxa"/>
            <w:tcBorders>
              <w:top w:val="single" w:sz="4" w:space="0" w:color="auto"/>
              <w:left w:val="single" w:sz="4" w:space="0" w:color="auto"/>
              <w:bottom w:val="single" w:sz="4" w:space="0" w:color="auto"/>
              <w:right w:val="single" w:sz="4" w:space="0" w:color="auto"/>
            </w:tcBorders>
            <w:vAlign w:val="center"/>
          </w:tcPr>
          <w:p w14:paraId="11A1495E" w14:textId="787EE0D9" w:rsidR="00D3766F" w:rsidRPr="006973A7" w:rsidRDefault="00D3766F">
            <w:pPr>
              <w:jc w:val="both"/>
              <w:rPr>
                <w:rFonts w:cstheme="minorHAnsi"/>
              </w:rPr>
            </w:pPr>
            <w:r w:rsidRPr="006973A7">
              <w:rPr>
                <w:rFonts w:cstheme="minorHAnsi"/>
              </w:rPr>
              <w:t xml:space="preserve">The alignment and cooperation on standards, technical regulations, metrology and conformity assessment procedures will help facilitate trade of environmental goods by increasing compatibility, reliability and interoperability. Promoting bilateral collaboration in areas of mutual interest at international fora that Singapore and Australia </w:t>
            </w:r>
            <w:r w:rsidR="007F2070">
              <w:rPr>
                <w:rFonts w:cstheme="minorHAnsi"/>
              </w:rPr>
              <w:t xml:space="preserve">participate in </w:t>
            </w:r>
            <w:r w:rsidRPr="006973A7">
              <w:rPr>
                <w:rFonts w:cstheme="minorHAnsi"/>
              </w:rPr>
              <w:t xml:space="preserve">will also help ensure the unique interests of Singapore </w:t>
            </w:r>
            <w:r w:rsidR="00B162B2">
              <w:rPr>
                <w:rFonts w:cstheme="minorHAnsi"/>
              </w:rPr>
              <w:t xml:space="preserve">and Australia </w:t>
            </w:r>
            <w:r w:rsidRPr="006973A7">
              <w:rPr>
                <w:rFonts w:cstheme="minorHAnsi"/>
              </w:rPr>
              <w:t>are adequately represented in the development of international standards related to the green economy.</w:t>
            </w:r>
          </w:p>
          <w:p w14:paraId="73884C86" w14:textId="77777777" w:rsidR="00D3766F" w:rsidRPr="006973A7" w:rsidRDefault="00D3766F">
            <w:pPr>
              <w:jc w:val="both"/>
              <w:rPr>
                <w:rFonts w:cstheme="minorHAnsi"/>
              </w:rPr>
            </w:pPr>
          </w:p>
        </w:tc>
      </w:tr>
      <w:tr w:rsidR="00D3766F" w:rsidRPr="006973A7" w14:paraId="429F99F5" w14:textId="77777777" w:rsidTr="00D3766F">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D0BECB" w14:textId="6A823D14" w:rsidR="00D3766F" w:rsidRPr="006973A7" w:rsidRDefault="00D3766F" w:rsidP="005D3798">
            <w:pPr>
              <w:rPr>
                <w:rFonts w:cstheme="minorHAnsi"/>
                <w:b/>
                <w:bCs/>
              </w:rPr>
            </w:pPr>
            <w:r w:rsidRPr="006973A7">
              <w:rPr>
                <w:rFonts w:cstheme="minorHAnsi"/>
                <w:b/>
                <w:bCs/>
              </w:rPr>
              <w:t xml:space="preserve">Description </w:t>
            </w:r>
          </w:p>
        </w:tc>
        <w:tc>
          <w:tcPr>
            <w:tcW w:w="6753" w:type="dxa"/>
            <w:tcBorders>
              <w:top w:val="single" w:sz="4" w:space="0" w:color="auto"/>
              <w:left w:val="single" w:sz="4" w:space="0" w:color="auto"/>
              <w:bottom w:val="single" w:sz="4" w:space="0" w:color="auto"/>
              <w:right w:val="single" w:sz="4" w:space="0" w:color="auto"/>
            </w:tcBorders>
            <w:vAlign w:val="center"/>
          </w:tcPr>
          <w:p w14:paraId="113424C7" w14:textId="3684E2B6" w:rsidR="00D3766F" w:rsidRPr="006973A7" w:rsidRDefault="00B162B2">
            <w:pPr>
              <w:jc w:val="both"/>
              <w:rPr>
                <w:rFonts w:cstheme="minorHAnsi"/>
              </w:rPr>
            </w:pPr>
            <w:bookmarkStart w:id="0" w:name="_Hlk113466011"/>
            <w:r w:rsidRPr="006973A7">
              <w:rPr>
                <w:rFonts w:cstheme="minorHAnsi"/>
              </w:rPr>
              <w:t xml:space="preserve">Singapore </w:t>
            </w:r>
            <w:r>
              <w:rPr>
                <w:rFonts w:cstheme="minorHAnsi"/>
              </w:rPr>
              <w:t xml:space="preserve">and Australia </w:t>
            </w:r>
            <w:r w:rsidR="00D3766F" w:rsidRPr="006973A7">
              <w:rPr>
                <w:rFonts w:cstheme="minorHAnsi"/>
              </w:rPr>
              <w:t>will explore opportunities for cooperation bilaterally and internationally on standards, technical regulations, metrology and conformity assessment procedures across a range of mutually determined priority sectors in the green economy.</w:t>
            </w:r>
            <w:bookmarkEnd w:id="0"/>
          </w:p>
          <w:p w14:paraId="18738E28" w14:textId="77777777" w:rsidR="00D3766F" w:rsidRPr="006973A7" w:rsidRDefault="00D3766F">
            <w:pPr>
              <w:jc w:val="both"/>
              <w:rPr>
                <w:rFonts w:cstheme="minorHAnsi"/>
              </w:rPr>
            </w:pPr>
          </w:p>
          <w:p w14:paraId="24216049" w14:textId="22FA3FF4" w:rsidR="00D3766F" w:rsidRPr="006973A7" w:rsidRDefault="00D3766F" w:rsidP="00D3766F">
            <w:pPr>
              <w:pStyle w:val="ListParagraph"/>
              <w:numPr>
                <w:ilvl w:val="0"/>
                <w:numId w:val="6"/>
              </w:numPr>
              <w:ind w:left="360"/>
              <w:jc w:val="both"/>
              <w:rPr>
                <w:rFonts w:cstheme="minorHAnsi"/>
              </w:rPr>
            </w:pPr>
            <w:bookmarkStart w:id="1" w:name="_Hlk113466087"/>
            <w:r w:rsidRPr="006973A7">
              <w:rPr>
                <w:rFonts w:cstheme="minorHAnsi"/>
              </w:rPr>
              <w:t xml:space="preserve">These priority sectors can include but are not limited to the List of Environmental Goods at Annex B 1.1. In addition, </w:t>
            </w:r>
            <w:r w:rsidR="00135DDE">
              <w:rPr>
                <w:rFonts w:cstheme="minorHAnsi"/>
              </w:rPr>
              <w:t>P</w:t>
            </w:r>
            <w:r w:rsidRPr="006973A7">
              <w:rPr>
                <w:rFonts w:cstheme="minorHAnsi"/>
              </w:rPr>
              <w:t>ara</w:t>
            </w:r>
            <w:r w:rsidR="00135DDE">
              <w:rPr>
                <w:rFonts w:cstheme="minorHAnsi"/>
              </w:rPr>
              <w:t>graph</w:t>
            </w:r>
            <w:r w:rsidRPr="006973A7">
              <w:rPr>
                <w:rFonts w:cstheme="minorHAnsi"/>
              </w:rPr>
              <w:t xml:space="preserve"> 7(d) in the GEA identifies early priority areas of green supply chains; sustainable agriculture and food systems; the built environment; renewable and clean energy trade; carbon offsets; carbon capture, storage and utilisation; green finance; and the circular economy.</w:t>
            </w:r>
            <w:bookmarkEnd w:id="1"/>
          </w:p>
          <w:p w14:paraId="2F779C80" w14:textId="77777777" w:rsidR="00D3766F" w:rsidRPr="006973A7" w:rsidRDefault="00D3766F">
            <w:pPr>
              <w:jc w:val="both"/>
              <w:rPr>
                <w:rFonts w:cstheme="minorHAnsi"/>
              </w:rPr>
            </w:pPr>
          </w:p>
          <w:p w14:paraId="1ABB9506" w14:textId="0AC67700" w:rsidR="00D3766F" w:rsidRPr="006973A7" w:rsidRDefault="00B162B2">
            <w:pPr>
              <w:jc w:val="both"/>
              <w:rPr>
                <w:rFonts w:cstheme="minorHAnsi"/>
              </w:rPr>
            </w:pPr>
            <w:r w:rsidRPr="006973A7">
              <w:rPr>
                <w:rFonts w:cstheme="minorHAnsi"/>
              </w:rPr>
              <w:t xml:space="preserve">Singapore </w:t>
            </w:r>
            <w:r>
              <w:rPr>
                <w:rFonts w:cstheme="minorHAnsi"/>
              </w:rPr>
              <w:t xml:space="preserve">and Australia </w:t>
            </w:r>
            <w:r w:rsidR="00D3766F" w:rsidRPr="006973A7">
              <w:rPr>
                <w:rFonts w:cstheme="minorHAnsi"/>
              </w:rPr>
              <w:t>will give positive consideration to each other’s proposals for cooperation on standards, technical regulations, metrology and conformity assessment procedures related to the green economy. The relevant government agencies will promote cooperation between government and industry stakeholders to develop a greater understanding on standards, technical regulations, metrology and conformity assessment procedures related to the green economy. This may be achieved through cross-border research, trialling or testing initiatives or joint public and private sector workshops, amongst other initiatives.</w:t>
            </w:r>
          </w:p>
          <w:p w14:paraId="2950B556" w14:textId="77777777" w:rsidR="00D3766F" w:rsidRPr="006973A7" w:rsidRDefault="00D3766F">
            <w:pPr>
              <w:jc w:val="both"/>
              <w:rPr>
                <w:rFonts w:cstheme="minorHAnsi"/>
              </w:rPr>
            </w:pPr>
          </w:p>
          <w:p w14:paraId="184979E3" w14:textId="7ACFF2D1" w:rsidR="00D3766F" w:rsidRPr="006973A7" w:rsidRDefault="00D3766F">
            <w:pPr>
              <w:jc w:val="both"/>
              <w:rPr>
                <w:rFonts w:cstheme="minorHAnsi"/>
              </w:rPr>
            </w:pPr>
            <w:r w:rsidRPr="006973A7">
              <w:rPr>
                <w:rFonts w:cstheme="minorHAnsi"/>
              </w:rPr>
              <w:t xml:space="preserve">The GEA will also provide a platform to facilitate ongoing dialogue between the standards and conformance bodies of </w:t>
            </w:r>
            <w:r w:rsidR="00B162B2" w:rsidRPr="006973A7">
              <w:rPr>
                <w:rFonts w:cstheme="minorHAnsi"/>
              </w:rPr>
              <w:t xml:space="preserve">Singapore </w:t>
            </w:r>
            <w:r w:rsidR="00B162B2">
              <w:rPr>
                <w:rFonts w:cstheme="minorHAnsi"/>
              </w:rPr>
              <w:t xml:space="preserve">and Australia </w:t>
            </w:r>
            <w:r w:rsidRPr="006973A7">
              <w:rPr>
                <w:rFonts w:cstheme="minorHAnsi"/>
              </w:rPr>
              <w:t xml:space="preserve"> on opportunities for collaboration, such as:</w:t>
            </w:r>
          </w:p>
          <w:p w14:paraId="55D5C48B" w14:textId="77777777" w:rsidR="00D3766F" w:rsidRPr="006973A7" w:rsidRDefault="00D3766F" w:rsidP="00D3766F">
            <w:pPr>
              <w:pStyle w:val="ListParagraph"/>
              <w:numPr>
                <w:ilvl w:val="0"/>
                <w:numId w:val="6"/>
              </w:numPr>
              <w:ind w:left="360"/>
              <w:jc w:val="both"/>
              <w:rPr>
                <w:rFonts w:cstheme="minorHAnsi"/>
              </w:rPr>
            </w:pPr>
            <w:r w:rsidRPr="006973A7">
              <w:rPr>
                <w:rFonts w:cstheme="minorHAnsi"/>
              </w:rPr>
              <w:t>Participation in the development of international standards through organisations such as the International Organization for Standardization (ISO) or the International Electrotechnical Commission (IEC).</w:t>
            </w:r>
          </w:p>
          <w:p w14:paraId="04E1E27D" w14:textId="16A3487E" w:rsidR="00D3766F" w:rsidRPr="006973A7" w:rsidRDefault="00D3766F" w:rsidP="00D3766F">
            <w:pPr>
              <w:pStyle w:val="ListParagraph"/>
              <w:numPr>
                <w:ilvl w:val="0"/>
                <w:numId w:val="6"/>
              </w:numPr>
              <w:ind w:left="360"/>
              <w:jc w:val="both"/>
              <w:rPr>
                <w:rFonts w:cstheme="minorHAnsi"/>
              </w:rPr>
            </w:pPr>
            <w:r w:rsidRPr="006973A7">
              <w:rPr>
                <w:rFonts w:cstheme="minorHAnsi"/>
              </w:rPr>
              <w:t xml:space="preserve">The adoption of international or internationally-recognised standards as national standards in </w:t>
            </w:r>
            <w:r w:rsidR="00B162B2" w:rsidRPr="006973A7">
              <w:rPr>
                <w:rFonts w:cstheme="minorHAnsi"/>
              </w:rPr>
              <w:t xml:space="preserve">Singapore </w:t>
            </w:r>
            <w:r w:rsidR="00B162B2">
              <w:rPr>
                <w:rFonts w:cstheme="minorHAnsi"/>
              </w:rPr>
              <w:t xml:space="preserve">and Australia </w:t>
            </w:r>
            <w:r w:rsidRPr="006973A7">
              <w:rPr>
                <w:rFonts w:cstheme="minorHAnsi"/>
              </w:rPr>
              <w:t>, where appropriate.</w:t>
            </w:r>
          </w:p>
          <w:p w14:paraId="68BA8EA7" w14:textId="77777777" w:rsidR="00D3766F" w:rsidRPr="006973A7" w:rsidRDefault="00D3766F" w:rsidP="00D3766F">
            <w:pPr>
              <w:pStyle w:val="ListParagraph"/>
              <w:numPr>
                <w:ilvl w:val="0"/>
                <w:numId w:val="6"/>
              </w:numPr>
              <w:ind w:left="360"/>
              <w:jc w:val="both"/>
              <w:rPr>
                <w:rFonts w:cstheme="minorHAnsi"/>
              </w:rPr>
            </w:pPr>
            <w:r w:rsidRPr="006973A7">
              <w:rPr>
                <w:rFonts w:cstheme="minorHAnsi"/>
              </w:rPr>
              <w:t>Mutual recognition of respective certification and conformity assessment procedures in relation to the green economy.</w:t>
            </w:r>
          </w:p>
          <w:p w14:paraId="57FF942D" w14:textId="1120DA53" w:rsidR="00D3766F" w:rsidRPr="006973A7" w:rsidRDefault="00D3766F" w:rsidP="00D3766F">
            <w:pPr>
              <w:pStyle w:val="ListParagraph"/>
              <w:numPr>
                <w:ilvl w:val="0"/>
                <w:numId w:val="6"/>
              </w:numPr>
              <w:ind w:left="360"/>
              <w:jc w:val="both"/>
              <w:rPr>
                <w:rFonts w:cstheme="minorHAnsi"/>
              </w:rPr>
            </w:pPr>
            <w:r w:rsidRPr="006973A7">
              <w:rPr>
                <w:rFonts w:cstheme="minorHAnsi"/>
              </w:rPr>
              <w:t xml:space="preserve">Cross-border recognition of conformity assessment results, including but not limited to the acceptance of conformity assessment results by regulators using international recognition agreements or arrangements that both </w:t>
            </w:r>
            <w:r w:rsidR="00B162B2" w:rsidRPr="006973A7">
              <w:rPr>
                <w:rFonts w:cstheme="minorHAnsi"/>
              </w:rPr>
              <w:t xml:space="preserve">Singapore </w:t>
            </w:r>
            <w:r w:rsidR="00B162B2">
              <w:rPr>
                <w:rFonts w:cstheme="minorHAnsi"/>
              </w:rPr>
              <w:t xml:space="preserve">and Australia </w:t>
            </w:r>
            <w:r w:rsidRPr="006973A7">
              <w:rPr>
                <w:rFonts w:cstheme="minorHAnsi"/>
              </w:rPr>
              <w:t>are party to.</w:t>
            </w:r>
          </w:p>
          <w:p w14:paraId="02E477B0" w14:textId="77777777" w:rsidR="00D3766F" w:rsidRPr="006973A7" w:rsidRDefault="00D3766F">
            <w:pPr>
              <w:jc w:val="both"/>
              <w:rPr>
                <w:rFonts w:cstheme="minorHAnsi"/>
              </w:rPr>
            </w:pPr>
          </w:p>
          <w:p w14:paraId="11D05FA6" w14:textId="055CBA34" w:rsidR="00D3766F" w:rsidRPr="006973A7" w:rsidRDefault="00D3766F">
            <w:pPr>
              <w:jc w:val="both"/>
              <w:rPr>
                <w:rFonts w:cstheme="minorHAnsi"/>
              </w:rPr>
            </w:pPr>
            <w:r w:rsidRPr="006973A7">
              <w:rPr>
                <w:rFonts w:cstheme="minorHAnsi"/>
              </w:rPr>
              <w:t xml:space="preserve">Upon request of either </w:t>
            </w:r>
            <w:r w:rsidR="0065209A">
              <w:rPr>
                <w:rFonts w:cstheme="minorHAnsi"/>
              </w:rPr>
              <w:t>country</w:t>
            </w:r>
            <w:r w:rsidRPr="006973A7">
              <w:rPr>
                <w:rFonts w:cstheme="minorHAnsi"/>
              </w:rPr>
              <w:t xml:space="preserve">, the other </w:t>
            </w:r>
            <w:r w:rsidR="0041786F">
              <w:rPr>
                <w:rFonts w:cstheme="minorHAnsi"/>
              </w:rPr>
              <w:t xml:space="preserve">country </w:t>
            </w:r>
            <w:r w:rsidRPr="006973A7">
              <w:rPr>
                <w:rFonts w:cstheme="minorHAnsi"/>
              </w:rPr>
              <w:t>will endeavour to provide information on standards, technical regulations, metrology and conformity assessment procedures in relation to the green economy, either in print or electronically, within 60 calendar days.</w:t>
            </w:r>
          </w:p>
          <w:p w14:paraId="01F22C71" w14:textId="77777777" w:rsidR="00D3766F" w:rsidRPr="006973A7" w:rsidRDefault="00D3766F">
            <w:pPr>
              <w:jc w:val="both"/>
              <w:rPr>
                <w:rFonts w:cstheme="minorHAnsi"/>
              </w:rPr>
            </w:pPr>
          </w:p>
        </w:tc>
      </w:tr>
      <w:tr w:rsidR="00D3766F" w:rsidRPr="006973A7" w14:paraId="6E41CA73" w14:textId="77777777" w:rsidTr="006973A7">
        <w:trPr>
          <w:trHeight w:val="3210"/>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AD283E" w14:textId="7FC65E5E" w:rsidR="00D3766F" w:rsidRPr="006973A7" w:rsidRDefault="00D3766F" w:rsidP="005D3798">
            <w:pPr>
              <w:rPr>
                <w:rFonts w:cstheme="minorHAnsi"/>
                <w:b/>
                <w:bCs/>
              </w:rPr>
            </w:pPr>
            <w:r w:rsidRPr="006973A7">
              <w:rPr>
                <w:rFonts w:cstheme="minorHAnsi"/>
                <w:b/>
                <w:bCs/>
              </w:rPr>
              <w:lastRenderedPageBreak/>
              <w:t xml:space="preserve">Specific Objectives </w:t>
            </w:r>
          </w:p>
        </w:tc>
        <w:tc>
          <w:tcPr>
            <w:tcW w:w="6753" w:type="dxa"/>
            <w:tcBorders>
              <w:top w:val="single" w:sz="4" w:space="0" w:color="auto"/>
              <w:left w:val="single" w:sz="4" w:space="0" w:color="auto"/>
              <w:bottom w:val="single" w:sz="4" w:space="0" w:color="auto"/>
              <w:right w:val="single" w:sz="4" w:space="0" w:color="auto"/>
            </w:tcBorders>
            <w:vAlign w:val="center"/>
          </w:tcPr>
          <w:p w14:paraId="23ED96B6" w14:textId="34645FBF" w:rsidR="00D3766F" w:rsidRPr="006973A7" w:rsidRDefault="00D3766F">
            <w:pPr>
              <w:jc w:val="both"/>
              <w:rPr>
                <w:rFonts w:cstheme="minorHAnsi"/>
              </w:rPr>
            </w:pPr>
            <w:r w:rsidRPr="006973A7">
              <w:rPr>
                <w:rFonts w:cstheme="minorHAnsi"/>
              </w:rPr>
              <w:t xml:space="preserve">To align and cooperate on standards, technical regulations, metrology and conformity assessment procedures between </w:t>
            </w:r>
            <w:r w:rsidR="00B162B2" w:rsidRPr="006973A7">
              <w:rPr>
                <w:rFonts w:cstheme="minorHAnsi"/>
              </w:rPr>
              <w:t xml:space="preserve">Singapore </w:t>
            </w:r>
            <w:r w:rsidR="00B162B2">
              <w:rPr>
                <w:rFonts w:cstheme="minorHAnsi"/>
              </w:rPr>
              <w:t xml:space="preserve">and Australia </w:t>
            </w:r>
            <w:r w:rsidRPr="006973A7">
              <w:rPr>
                <w:rFonts w:cstheme="minorHAnsi"/>
              </w:rPr>
              <w:t>to facilitate the free</w:t>
            </w:r>
            <w:r w:rsidR="00435632">
              <w:rPr>
                <w:rFonts w:cstheme="minorHAnsi"/>
              </w:rPr>
              <w:t xml:space="preserve"> </w:t>
            </w:r>
            <w:r w:rsidRPr="006973A7">
              <w:rPr>
                <w:rFonts w:cstheme="minorHAnsi"/>
              </w:rPr>
              <w:t>flow of trade in environmental goods.</w:t>
            </w:r>
          </w:p>
          <w:p w14:paraId="6CBB82D4" w14:textId="77777777" w:rsidR="00D3766F" w:rsidRPr="006973A7" w:rsidRDefault="00D3766F">
            <w:pPr>
              <w:jc w:val="both"/>
              <w:rPr>
                <w:rFonts w:cstheme="minorHAnsi"/>
              </w:rPr>
            </w:pPr>
          </w:p>
          <w:p w14:paraId="7097007D" w14:textId="75743354" w:rsidR="00D3766F" w:rsidRPr="006973A7" w:rsidRDefault="00D3766F">
            <w:pPr>
              <w:jc w:val="both"/>
              <w:rPr>
                <w:rFonts w:cstheme="minorHAnsi"/>
              </w:rPr>
            </w:pPr>
            <w:r w:rsidRPr="006973A7">
              <w:rPr>
                <w:rFonts w:cstheme="minorHAnsi"/>
              </w:rPr>
              <w:t xml:space="preserve">To promote coordination in </w:t>
            </w:r>
            <w:r w:rsidR="00B162B2" w:rsidRPr="006973A7">
              <w:rPr>
                <w:rFonts w:cstheme="minorHAnsi"/>
              </w:rPr>
              <w:t xml:space="preserve">Singapore </w:t>
            </w:r>
            <w:r w:rsidR="00B162B2">
              <w:rPr>
                <w:rFonts w:cstheme="minorHAnsi"/>
              </w:rPr>
              <w:t>and Australia</w:t>
            </w:r>
            <w:r w:rsidRPr="006973A7">
              <w:rPr>
                <w:rFonts w:cstheme="minorHAnsi"/>
              </w:rPr>
              <w:t>’s participation in international and regional standards and conformance bodies in areas of mutual interest</w:t>
            </w:r>
            <w:r w:rsidR="006B6576">
              <w:rPr>
                <w:rFonts w:cstheme="minorHAnsi"/>
              </w:rPr>
              <w:t xml:space="preserve"> and</w:t>
            </w:r>
            <w:r w:rsidRPr="006973A7">
              <w:rPr>
                <w:rFonts w:cstheme="minorHAnsi"/>
              </w:rPr>
              <w:t xml:space="preserve"> in relation to the green economy.</w:t>
            </w:r>
          </w:p>
          <w:p w14:paraId="6BFAB6D1" w14:textId="77777777" w:rsidR="00D3766F" w:rsidRPr="006973A7" w:rsidRDefault="00D3766F">
            <w:pPr>
              <w:jc w:val="both"/>
              <w:rPr>
                <w:rFonts w:cstheme="minorHAnsi"/>
              </w:rPr>
            </w:pPr>
          </w:p>
          <w:p w14:paraId="0C445010" w14:textId="77777777" w:rsidR="00D3766F" w:rsidRPr="006973A7" w:rsidRDefault="00D3766F">
            <w:pPr>
              <w:jc w:val="both"/>
              <w:rPr>
                <w:rFonts w:cstheme="minorHAnsi"/>
              </w:rPr>
            </w:pPr>
            <w:r w:rsidRPr="006973A7">
              <w:rPr>
                <w:rFonts w:cstheme="minorHAnsi"/>
              </w:rPr>
              <w:t>To facilitate the exchange of information and experiences around domestic or international green and environmental standards and conformance matters.</w:t>
            </w:r>
          </w:p>
          <w:p w14:paraId="33C02B16" w14:textId="77777777" w:rsidR="00D3766F" w:rsidRPr="006973A7" w:rsidRDefault="00D3766F">
            <w:pPr>
              <w:jc w:val="both"/>
              <w:rPr>
                <w:rFonts w:cstheme="minorHAnsi"/>
              </w:rPr>
            </w:pPr>
          </w:p>
        </w:tc>
      </w:tr>
      <w:tr w:rsidR="00D3766F" w:rsidRPr="006973A7" w14:paraId="76C01606" w14:textId="77777777" w:rsidTr="00D3766F">
        <w:trPr>
          <w:trHeight w:val="2123"/>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555EFD" w14:textId="5DE63085" w:rsidR="00D3766F" w:rsidRPr="006973A7" w:rsidRDefault="00D3766F" w:rsidP="005D3798">
            <w:pPr>
              <w:rPr>
                <w:rFonts w:cstheme="minorHAnsi"/>
                <w:b/>
                <w:bCs/>
              </w:rPr>
            </w:pPr>
            <w:r w:rsidRPr="006973A7">
              <w:rPr>
                <w:rFonts w:cstheme="minorHAnsi"/>
                <w:b/>
                <w:bCs/>
              </w:rPr>
              <w:t>Governance Process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0E29DAEB" w14:textId="602390F4" w:rsidR="00D3766F" w:rsidRPr="006973A7" w:rsidRDefault="00B162B2">
            <w:pPr>
              <w:jc w:val="both"/>
              <w:rPr>
                <w:rFonts w:cstheme="minorHAnsi"/>
              </w:rPr>
            </w:pPr>
            <w:r w:rsidRPr="006973A7">
              <w:rPr>
                <w:rFonts w:cstheme="minorHAnsi"/>
              </w:rPr>
              <w:t xml:space="preserve">Singapore </w:t>
            </w:r>
            <w:r>
              <w:rPr>
                <w:rFonts w:cstheme="minorHAnsi"/>
              </w:rPr>
              <w:t xml:space="preserve">and Australia </w:t>
            </w:r>
            <w:r w:rsidR="00D3766F" w:rsidRPr="006973A7">
              <w:rPr>
                <w:rFonts w:cstheme="minorHAnsi"/>
              </w:rPr>
              <w:t xml:space="preserve">will jointly report to the GEA Action Team </w:t>
            </w:r>
            <w:r w:rsidR="00135DDE">
              <w:rPr>
                <w:rFonts w:cstheme="minorHAnsi"/>
              </w:rPr>
              <w:t xml:space="preserve">established and </w:t>
            </w:r>
            <w:r w:rsidR="00D3766F" w:rsidRPr="006973A7">
              <w:rPr>
                <w:rFonts w:cstheme="minorHAnsi"/>
              </w:rPr>
              <w:t>identified in the Appendix: </w:t>
            </w:r>
            <w:r w:rsidR="00D3766F" w:rsidRPr="006973A7">
              <w:rPr>
                <w:rFonts w:cstheme="minorHAnsi"/>
                <w:i/>
                <w:iCs/>
              </w:rPr>
              <w:t>Governance, Implementation and Institutional Matters</w:t>
            </w:r>
            <w:r w:rsidR="00D3766F" w:rsidRPr="006973A7">
              <w:rPr>
                <w:rFonts w:cstheme="minorHAnsi"/>
              </w:rPr>
              <w:t xml:space="preserve">. </w:t>
            </w:r>
            <w:r w:rsidRPr="006973A7">
              <w:rPr>
                <w:rFonts w:cstheme="minorHAnsi"/>
              </w:rPr>
              <w:t xml:space="preserve">Singapore </w:t>
            </w:r>
            <w:r>
              <w:rPr>
                <w:rFonts w:cstheme="minorHAnsi"/>
              </w:rPr>
              <w:t xml:space="preserve">and Australia </w:t>
            </w:r>
            <w:r w:rsidR="00D3766F" w:rsidRPr="006973A7">
              <w:rPr>
                <w:rFonts w:cstheme="minorHAnsi"/>
              </w:rPr>
              <w:t xml:space="preserve">will report on progress in achieving the Specific Objectives outlined above in this Annex. This will feed into GAT reporting for the annual Senior Officials Meeting.  </w:t>
            </w:r>
          </w:p>
        </w:tc>
      </w:tr>
      <w:tr w:rsidR="00D3766F" w:rsidRPr="006973A7" w14:paraId="25B0082B" w14:textId="77777777" w:rsidTr="00D3766F">
        <w:trPr>
          <w:trHeight w:val="2395"/>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34B143" w14:textId="0B9BE2F5" w:rsidR="00D3766F" w:rsidRPr="006973A7" w:rsidRDefault="00D3766F" w:rsidP="005D3798">
            <w:pPr>
              <w:rPr>
                <w:rFonts w:cstheme="minorHAnsi"/>
                <w:b/>
                <w:bCs/>
              </w:rPr>
            </w:pPr>
            <w:r w:rsidRPr="006973A7">
              <w:rPr>
                <w:rFonts w:cstheme="minorHAnsi"/>
                <w:b/>
                <w:bCs/>
              </w:rPr>
              <w:t>Project Leads</w:t>
            </w:r>
          </w:p>
        </w:tc>
        <w:tc>
          <w:tcPr>
            <w:tcW w:w="6753" w:type="dxa"/>
            <w:tcBorders>
              <w:top w:val="single" w:sz="4" w:space="0" w:color="auto"/>
              <w:left w:val="single" w:sz="4" w:space="0" w:color="auto"/>
              <w:bottom w:val="single" w:sz="4" w:space="0" w:color="auto"/>
              <w:right w:val="single" w:sz="4" w:space="0" w:color="auto"/>
            </w:tcBorders>
            <w:vAlign w:val="center"/>
          </w:tcPr>
          <w:p w14:paraId="4F3D0141" w14:textId="77777777" w:rsidR="00B162B2" w:rsidRPr="006973A7" w:rsidRDefault="00B162B2" w:rsidP="00B162B2">
            <w:pPr>
              <w:jc w:val="both"/>
              <w:rPr>
                <w:rFonts w:cstheme="minorHAnsi"/>
              </w:rPr>
            </w:pPr>
            <w:r w:rsidRPr="002411C6">
              <w:rPr>
                <w:rFonts w:cstheme="minorHAnsi"/>
                <w:u w:val="single"/>
              </w:rPr>
              <w:t>Singapore</w:t>
            </w:r>
          </w:p>
          <w:p w14:paraId="72660456" w14:textId="77777777" w:rsidR="00B162B2" w:rsidRPr="006973A7" w:rsidRDefault="00B162B2" w:rsidP="00B162B2">
            <w:pPr>
              <w:jc w:val="both"/>
              <w:rPr>
                <w:rFonts w:cstheme="minorHAnsi"/>
              </w:rPr>
            </w:pPr>
            <w:r w:rsidRPr="006973A7">
              <w:rPr>
                <w:rFonts w:cstheme="minorHAnsi"/>
              </w:rPr>
              <w:t xml:space="preserve">Ministry of Trade and Industry </w:t>
            </w:r>
          </w:p>
          <w:p w14:paraId="27EFF73A" w14:textId="77777777" w:rsidR="00B162B2" w:rsidRDefault="00B162B2" w:rsidP="00B162B2">
            <w:pPr>
              <w:jc w:val="both"/>
              <w:rPr>
                <w:rFonts w:cstheme="minorHAnsi"/>
                <w:u w:val="single"/>
              </w:rPr>
            </w:pPr>
            <w:r w:rsidRPr="006973A7">
              <w:rPr>
                <w:rFonts w:cstheme="minorHAnsi"/>
              </w:rPr>
              <w:t>Enterprise Singapore</w:t>
            </w:r>
            <w:r w:rsidRPr="002411C6">
              <w:rPr>
                <w:rFonts w:cstheme="minorHAnsi"/>
                <w:u w:val="single"/>
              </w:rPr>
              <w:t xml:space="preserve"> </w:t>
            </w:r>
          </w:p>
          <w:p w14:paraId="42B148BC" w14:textId="77777777" w:rsidR="00B162B2" w:rsidRDefault="00B162B2" w:rsidP="00B162B2">
            <w:pPr>
              <w:jc w:val="both"/>
              <w:rPr>
                <w:rFonts w:cstheme="minorHAnsi"/>
                <w:u w:val="single"/>
              </w:rPr>
            </w:pPr>
          </w:p>
          <w:p w14:paraId="51810652" w14:textId="4CE6860C" w:rsidR="00D3766F" w:rsidRPr="002411C6" w:rsidRDefault="00D3766F" w:rsidP="00B162B2">
            <w:pPr>
              <w:jc w:val="both"/>
              <w:rPr>
                <w:rFonts w:cstheme="minorHAnsi"/>
                <w:u w:val="single"/>
              </w:rPr>
            </w:pPr>
            <w:r w:rsidRPr="002411C6">
              <w:rPr>
                <w:rFonts w:cstheme="minorHAnsi"/>
                <w:u w:val="single"/>
              </w:rPr>
              <w:t>Australia</w:t>
            </w:r>
          </w:p>
          <w:p w14:paraId="5DDC4D5B" w14:textId="22A81230" w:rsidR="00D3766F" w:rsidRPr="006973A7" w:rsidRDefault="00D3766F">
            <w:pPr>
              <w:jc w:val="both"/>
              <w:rPr>
                <w:rFonts w:cstheme="minorHAnsi"/>
              </w:rPr>
            </w:pPr>
            <w:r w:rsidRPr="006973A7">
              <w:rPr>
                <w:rFonts w:cstheme="minorHAnsi"/>
              </w:rPr>
              <w:t>Department of Foreign Affairs and Trade</w:t>
            </w:r>
          </w:p>
          <w:p w14:paraId="4BEEDD63" w14:textId="6B47CC62" w:rsidR="00D3766F" w:rsidRPr="006973A7" w:rsidRDefault="00D3766F" w:rsidP="005D3798">
            <w:pPr>
              <w:jc w:val="both"/>
              <w:rPr>
                <w:rFonts w:cstheme="minorHAnsi"/>
              </w:rPr>
            </w:pPr>
            <w:r w:rsidRPr="006973A7">
              <w:rPr>
                <w:rFonts w:cstheme="minorHAnsi"/>
              </w:rPr>
              <w:t>Department of Industry, Science, and Resources</w:t>
            </w:r>
          </w:p>
        </w:tc>
      </w:tr>
    </w:tbl>
    <w:p w14:paraId="4158910A" w14:textId="7DC0FC47" w:rsidR="00D3766F" w:rsidRPr="006973A7" w:rsidRDefault="00D3766F" w:rsidP="00797803">
      <w:pPr>
        <w:rPr>
          <w:rFonts w:cstheme="minorHAnsi"/>
          <w:b/>
          <w:bCs/>
        </w:rPr>
      </w:pPr>
    </w:p>
    <w:sectPr w:rsidR="00D3766F" w:rsidRPr="006973A7">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73D1" w14:textId="77777777" w:rsidR="00C473CC" w:rsidRDefault="00C473CC" w:rsidP="009A5F9C">
      <w:pPr>
        <w:spacing w:after="0" w:line="240" w:lineRule="auto"/>
      </w:pPr>
      <w:r>
        <w:separator/>
      </w:r>
    </w:p>
  </w:endnote>
  <w:endnote w:type="continuationSeparator" w:id="0">
    <w:p w14:paraId="5C944568" w14:textId="77777777" w:rsidR="00C473CC" w:rsidRDefault="00C473CC" w:rsidP="009A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FAD" w14:textId="65DB6C4D" w:rsidR="00BF5C90" w:rsidRPr="000E19AA" w:rsidRDefault="00BF5C90" w:rsidP="00BF5C90">
    <w:pPr>
      <w:pStyle w:val="Foote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5EE7" w14:textId="77777777" w:rsidR="00C473CC" w:rsidRDefault="00C473CC" w:rsidP="009A5F9C">
      <w:pPr>
        <w:spacing w:after="0" w:line="240" w:lineRule="auto"/>
      </w:pPr>
      <w:r>
        <w:separator/>
      </w:r>
    </w:p>
  </w:footnote>
  <w:footnote w:type="continuationSeparator" w:id="0">
    <w:p w14:paraId="2F72B52B" w14:textId="77777777" w:rsidR="00C473CC" w:rsidRDefault="00C473CC" w:rsidP="009A5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3106" w14:textId="77777777" w:rsidR="00BF5C90" w:rsidRDefault="005D3798">
    <w:pPr>
      <w:pStyle w:val="Header"/>
    </w:pPr>
    <w:r>
      <w:rPr>
        <w:noProof/>
      </w:rPr>
      <w:pict w14:anchorId="21001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79" o:spid="_x0000_s1026" type="#_x0000_t136" style="position:absolute;margin-left:0;margin-top:0;width:397.7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DD4F" w14:textId="72D78185" w:rsidR="00BF5C90" w:rsidRPr="00FC522A" w:rsidRDefault="00BF5C90" w:rsidP="00BF5C90">
    <w:pPr>
      <w:pStyle w:val="Heade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2183" w14:textId="77777777" w:rsidR="00BF5C90" w:rsidRDefault="005D3798">
    <w:pPr>
      <w:pStyle w:val="Header"/>
    </w:pPr>
    <w:r>
      <w:rPr>
        <w:noProof/>
      </w:rPr>
      <w:pict w14:anchorId="0B59C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78"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3898"/>
    <w:multiLevelType w:val="hybridMultilevel"/>
    <w:tmpl w:val="DA020AD4"/>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2102CDF"/>
    <w:multiLevelType w:val="hybridMultilevel"/>
    <w:tmpl w:val="DA020AD4"/>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DA15BFC"/>
    <w:multiLevelType w:val="hybridMultilevel"/>
    <w:tmpl w:val="5E02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632C0B"/>
    <w:multiLevelType w:val="hybridMultilevel"/>
    <w:tmpl w:val="237C8F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1003AB4"/>
    <w:multiLevelType w:val="hybridMultilevel"/>
    <w:tmpl w:val="A3325DB4"/>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70"/>
    <w:rsid w:val="00000106"/>
    <w:rsid w:val="00030246"/>
    <w:rsid w:val="00030571"/>
    <w:rsid w:val="00033801"/>
    <w:rsid w:val="00041114"/>
    <w:rsid w:val="0006208F"/>
    <w:rsid w:val="00071A7B"/>
    <w:rsid w:val="000837AB"/>
    <w:rsid w:val="00090AFA"/>
    <w:rsid w:val="000B0DAA"/>
    <w:rsid w:val="000C7E7B"/>
    <w:rsid w:val="000D4A09"/>
    <w:rsid w:val="000D522A"/>
    <w:rsid w:val="000E7D6A"/>
    <w:rsid w:val="000E7ED2"/>
    <w:rsid w:val="000F02F6"/>
    <w:rsid w:val="0010712E"/>
    <w:rsid w:val="00135DDE"/>
    <w:rsid w:val="00137895"/>
    <w:rsid w:val="0015220C"/>
    <w:rsid w:val="001778C0"/>
    <w:rsid w:val="001C3E81"/>
    <w:rsid w:val="001C65D7"/>
    <w:rsid w:val="001C6CD4"/>
    <w:rsid w:val="001D633F"/>
    <w:rsid w:val="002078AD"/>
    <w:rsid w:val="002212F3"/>
    <w:rsid w:val="00226FFC"/>
    <w:rsid w:val="0023139F"/>
    <w:rsid w:val="002411C6"/>
    <w:rsid w:val="00256477"/>
    <w:rsid w:val="00257374"/>
    <w:rsid w:val="00263BEE"/>
    <w:rsid w:val="0028412A"/>
    <w:rsid w:val="002951CE"/>
    <w:rsid w:val="002D3672"/>
    <w:rsid w:val="002D6524"/>
    <w:rsid w:val="002D73A7"/>
    <w:rsid w:val="002F073E"/>
    <w:rsid w:val="00307E33"/>
    <w:rsid w:val="003402AD"/>
    <w:rsid w:val="00346967"/>
    <w:rsid w:val="003515EF"/>
    <w:rsid w:val="0035426E"/>
    <w:rsid w:val="00361328"/>
    <w:rsid w:val="00394151"/>
    <w:rsid w:val="003C32CB"/>
    <w:rsid w:val="003F3825"/>
    <w:rsid w:val="003F581B"/>
    <w:rsid w:val="003F7ECD"/>
    <w:rsid w:val="00411D0B"/>
    <w:rsid w:val="0041786F"/>
    <w:rsid w:val="0043170A"/>
    <w:rsid w:val="00435632"/>
    <w:rsid w:val="00445CEB"/>
    <w:rsid w:val="0045066E"/>
    <w:rsid w:val="0049510E"/>
    <w:rsid w:val="004954A5"/>
    <w:rsid w:val="004A7095"/>
    <w:rsid w:val="004C35DC"/>
    <w:rsid w:val="004D67AC"/>
    <w:rsid w:val="004E35E1"/>
    <w:rsid w:val="00510996"/>
    <w:rsid w:val="00560145"/>
    <w:rsid w:val="00571D73"/>
    <w:rsid w:val="005756BF"/>
    <w:rsid w:val="00576BC5"/>
    <w:rsid w:val="0057708E"/>
    <w:rsid w:val="00595845"/>
    <w:rsid w:val="005A34BB"/>
    <w:rsid w:val="005A647D"/>
    <w:rsid w:val="005B3F22"/>
    <w:rsid w:val="005B4D87"/>
    <w:rsid w:val="005D1C4E"/>
    <w:rsid w:val="005D3798"/>
    <w:rsid w:val="005D3815"/>
    <w:rsid w:val="005E0D6D"/>
    <w:rsid w:val="006358E9"/>
    <w:rsid w:val="006459DA"/>
    <w:rsid w:val="0065209A"/>
    <w:rsid w:val="0065512B"/>
    <w:rsid w:val="006973A7"/>
    <w:rsid w:val="006A1C38"/>
    <w:rsid w:val="006B6576"/>
    <w:rsid w:val="006C5031"/>
    <w:rsid w:val="00700688"/>
    <w:rsid w:val="0072583B"/>
    <w:rsid w:val="007269A3"/>
    <w:rsid w:val="00730BF2"/>
    <w:rsid w:val="00755904"/>
    <w:rsid w:val="00757160"/>
    <w:rsid w:val="007705E6"/>
    <w:rsid w:val="0078598F"/>
    <w:rsid w:val="00797803"/>
    <w:rsid w:val="007A1F93"/>
    <w:rsid w:val="007B1BE1"/>
    <w:rsid w:val="007F2070"/>
    <w:rsid w:val="00827868"/>
    <w:rsid w:val="008B1FC4"/>
    <w:rsid w:val="008B6F76"/>
    <w:rsid w:val="008E686D"/>
    <w:rsid w:val="008F11E8"/>
    <w:rsid w:val="008F4A6D"/>
    <w:rsid w:val="00923AE9"/>
    <w:rsid w:val="0093480C"/>
    <w:rsid w:val="00936589"/>
    <w:rsid w:val="00947027"/>
    <w:rsid w:val="00985901"/>
    <w:rsid w:val="00993B83"/>
    <w:rsid w:val="00997BA2"/>
    <w:rsid w:val="009A355F"/>
    <w:rsid w:val="009A5F9C"/>
    <w:rsid w:val="009B2308"/>
    <w:rsid w:val="009B7DEB"/>
    <w:rsid w:val="009C22E0"/>
    <w:rsid w:val="009C6FD3"/>
    <w:rsid w:val="009D6D1F"/>
    <w:rsid w:val="009E18F7"/>
    <w:rsid w:val="00A15E37"/>
    <w:rsid w:val="00A340C3"/>
    <w:rsid w:val="00A639C1"/>
    <w:rsid w:val="00A65F9E"/>
    <w:rsid w:val="00A703ED"/>
    <w:rsid w:val="00A729A9"/>
    <w:rsid w:val="00A8125C"/>
    <w:rsid w:val="00A8451A"/>
    <w:rsid w:val="00A8691E"/>
    <w:rsid w:val="00AC403D"/>
    <w:rsid w:val="00AD4E5B"/>
    <w:rsid w:val="00AF5C6F"/>
    <w:rsid w:val="00B061D7"/>
    <w:rsid w:val="00B11D83"/>
    <w:rsid w:val="00B162B2"/>
    <w:rsid w:val="00B4718C"/>
    <w:rsid w:val="00B876FE"/>
    <w:rsid w:val="00B9705A"/>
    <w:rsid w:val="00BB7851"/>
    <w:rsid w:val="00BC3414"/>
    <w:rsid w:val="00BD055F"/>
    <w:rsid w:val="00BF15E4"/>
    <w:rsid w:val="00BF46B4"/>
    <w:rsid w:val="00BF5C90"/>
    <w:rsid w:val="00C04D57"/>
    <w:rsid w:val="00C17459"/>
    <w:rsid w:val="00C261FD"/>
    <w:rsid w:val="00C473CC"/>
    <w:rsid w:val="00C6425C"/>
    <w:rsid w:val="00C87737"/>
    <w:rsid w:val="00C92003"/>
    <w:rsid w:val="00C934E6"/>
    <w:rsid w:val="00CA5382"/>
    <w:rsid w:val="00CA6E7A"/>
    <w:rsid w:val="00CB1CFE"/>
    <w:rsid w:val="00CC275B"/>
    <w:rsid w:val="00CD28AB"/>
    <w:rsid w:val="00CF1813"/>
    <w:rsid w:val="00CF4CF5"/>
    <w:rsid w:val="00CF4DAC"/>
    <w:rsid w:val="00D02FCD"/>
    <w:rsid w:val="00D07EB8"/>
    <w:rsid w:val="00D13386"/>
    <w:rsid w:val="00D20560"/>
    <w:rsid w:val="00D31F02"/>
    <w:rsid w:val="00D3766F"/>
    <w:rsid w:val="00D43D75"/>
    <w:rsid w:val="00D472A2"/>
    <w:rsid w:val="00D53DBC"/>
    <w:rsid w:val="00D545E0"/>
    <w:rsid w:val="00D81C61"/>
    <w:rsid w:val="00D84111"/>
    <w:rsid w:val="00D9737B"/>
    <w:rsid w:val="00DA6C88"/>
    <w:rsid w:val="00DB174B"/>
    <w:rsid w:val="00DB7470"/>
    <w:rsid w:val="00DF11D0"/>
    <w:rsid w:val="00E00CBA"/>
    <w:rsid w:val="00E26AE0"/>
    <w:rsid w:val="00E33794"/>
    <w:rsid w:val="00E33EC5"/>
    <w:rsid w:val="00E42F86"/>
    <w:rsid w:val="00E45118"/>
    <w:rsid w:val="00E612FC"/>
    <w:rsid w:val="00E66F6E"/>
    <w:rsid w:val="00E7467B"/>
    <w:rsid w:val="00E80338"/>
    <w:rsid w:val="00E8229C"/>
    <w:rsid w:val="00E82362"/>
    <w:rsid w:val="00EA79FA"/>
    <w:rsid w:val="00EF583B"/>
    <w:rsid w:val="00F1052C"/>
    <w:rsid w:val="00F160A4"/>
    <w:rsid w:val="00F50310"/>
    <w:rsid w:val="00F579F2"/>
    <w:rsid w:val="00F61A76"/>
    <w:rsid w:val="00F732A2"/>
    <w:rsid w:val="00F84FDF"/>
    <w:rsid w:val="00F922C5"/>
    <w:rsid w:val="00FA29AA"/>
    <w:rsid w:val="00FA3200"/>
    <w:rsid w:val="00FC70B9"/>
    <w:rsid w:val="00FD3BB0"/>
    <w:rsid w:val="00FD63DC"/>
    <w:rsid w:val="00FE3F8E"/>
    <w:rsid w:val="00FF16C3"/>
    <w:rsid w:val="00FF5A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5FC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70"/>
  </w:style>
  <w:style w:type="paragraph" w:styleId="Heading1">
    <w:name w:val="heading 1"/>
    <w:basedOn w:val="Normal"/>
    <w:next w:val="Normal"/>
    <w:link w:val="Heading1Char"/>
    <w:uiPriority w:val="9"/>
    <w:qFormat/>
    <w:rsid w:val="006459DA"/>
    <w:pPr>
      <w:outlineLvl w:val="0"/>
    </w:pPr>
    <w:rPr>
      <w:rFonts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111,L,F5 List Paragraph,Dot pt,CV text,Table text,Medium Grid 1 - Accent 21,Numbered Paragraph,List Paragraph2,Bulleted Para,NFP GP Bulleted List,FooterText,numbered,列出段落,Text"/>
    <w:basedOn w:val="Normal"/>
    <w:link w:val="ListParagraphChar"/>
    <w:uiPriority w:val="34"/>
    <w:qFormat/>
    <w:rsid w:val="00DB7470"/>
    <w:pPr>
      <w:ind w:left="720"/>
      <w:contextualSpacing/>
    </w:pPr>
  </w:style>
  <w:style w:type="character" w:styleId="CommentReference">
    <w:name w:val="annotation reference"/>
    <w:basedOn w:val="DefaultParagraphFont"/>
    <w:uiPriority w:val="99"/>
    <w:semiHidden/>
    <w:unhideWhenUsed/>
    <w:rsid w:val="00DB7470"/>
    <w:rPr>
      <w:sz w:val="16"/>
      <w:szCs w:val="16"/>
    </w:rPr>
  </w:style>
  <w:style w:type="paragraph" w:styleId="CommentText">
    <w:name w:val="annotation text"/>
    <w:basedOn w:val="Normal"/>
    <w:link w:val="CommentTextChar"/>
    <w:uiPriority w:val="99"/>
    <w:unhideWhenUsed/>
    <w:rsid w:val="00DB7470"/>
    <w:pPr>
      <w:spacing w:line="240" w:lineRule="auto"/>
    </w:pPr>
    <w:rPr>
      <w:sz w:val="20"/>
      <w:szCs w:val="20"/>
    </w:rPr>
  </w:style>
  <w:style w:type="character" w:customStyle="1" w:styleId="CommentTextChar">
    <w:name w:val="Comment Text Char"/>
    <w:basedOn w:val="DefaultParagraphFont"/>
    <w:link w:val="CommentText"/>
    <w:uiPriority w:val="99"/>
    <w:rsid w:val="00DB7470"/>
    <w:rPr>
      <w:sz w:val="20"/>
      <w:szCs w:val="20"/>
    </w:rPr>
  </w:style>
  <w:style w:type="paragraph" w:styleId="Header">
    <w:name w:val="header"/>
    <w:basedOn w:val="Normal"/>
    <w:link w:val="HeaderChar"/>
    <w:uiPriority w:val="99"/>
    <w:unhideWhenUsed/>
    <w:rsid w:val="00DB7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470"/>
  </w:style>
  <w:style w:type="paragraph" w:styleId="Footer">
    <w:name w:val="footer"/>
    <w:basedOn w:val="Normal"/>
    <w:link w:val="FooterChar"/>
    <w:uiPriority w:val="99"/>
    <w:unhideWhenUsed/>
    <w:rsid w:val="00DB7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470"/>
  </w:style>
  <w:style w:type="table" w:styleId="TableGrid">
    <w:name w:val="Table Grid"/>
    <w:basedOn w:val="TableNormal"/>
    <w:uiPriority w:val="39"/>
    <w:rsid w:val="00DB7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3DBC"/>
    <w:rPr>
      <w:b/>
      <w:bCs/>
    </w:rPr>
  </w:style>
  <w:style w:type="character" w:customStyle="1" w:styleId="CommentSubjectChar">
    <w:name w:val="Comment Subject Char"/>
    <w:basedOn w:val="CommentTextChar"/>
    <w:link w:val="CommentSubject"/>
    <w:uiPriority w:val="99"/>
    <w:semiHidden/>
    <w:rsid w:val="00D53DBC"/>
    <w:rPr>
      <w:b/>
      <w:bCs/>
      <w:sz w:val="20"/>
      <w:szCs w:val="20"/>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1D633F"/>
  </w:style>
  <w:style w:type="paragraph" w:styleId="Revision">
    <w:name w:val="Revision"/>
    <w:hidden/>
    <w:uiPriority w:val="99"/>
    <w:semiHidden/>
    <w:rsid w:val="0015220C"/>
    <w:pPr>
      <w:spacing w:after="0" w:line="240" w:lineRule="auto"/>
    </w:pPr>
  </w:style>
  <w:style w:type="character" w:customStyle="1" w:styleId="Heading1Char">
    <w:name w:val="Heading 1 Char"/>
    <w:basedOn w:val="DefaultParagraphFont"/>
    <w:link w:val="Heading1"/>
    <w:uiPriority w:val="9"/>
    <w:rsid w:val="006459DA"/>
    <w:rPr>
      <w:rFonts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7064">
      <w:bodyDiv w:val="1"/>
      <w:marLeft w:val="0"/>
      <w:marRight w:val="0"/>
      <w:marTop w:val="0"/>
      <w:marBottom w:val="0"/>
      <w:divBdr>
        <w:top w:val="none" w:sz="0" w:space="0" w:color="auto"/>
        <w:left w:val="none" w:sz="0" w:space="0" w:color="auto"/>
        <w:bottom w:val="none" w:sz="0" w:space="0" w:color="auto"/>
        <w:right w:val="none" w:sz="0" w:space="0" w:color="auto"/>
      </w:divBdr>
    </w:div>
    <w:div w:id="21272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3657</Characters>
  <Application>Microsoft Office Word</Application>
  <DocSecurity>0</DocSecurity>
  <Lines>86</Lines>
  <Paragraphs>28</Paragraphs>
  <ScaleCrop>false</ScaleCrop>
  <HeadingPairs>
    <vt:vector size="2" baseType="variant">
      <vt:variant>
        <vt:lpstr>Title</vt:lpstr>
      </vt:variant>
      <vt:variant>
        <vt:i4>1</vt:i4>
      </vt:variant>
    </vt:vector>
  </HeadingPairs>
  <TitlesOfParts>
    <vt:vector size="1" baseType="lpstr">
      <vt:lpstr>Annex B 2.1: Standards and Conformance Collaboration</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2.1: Standards and Conformance Collaboration</dc:title>
  <dc:subject/>
  <dc:creator/>
  <cp:keywords>[SEC=OFFICIAL]</cp:keywords>
  <dc:description/>
  <cp:lastModifiedBy/>
  <cp:revision>1</cp:revision>
  <dcterms:created xsi:type="dcterms:W3CDTF">2022-10-14T05:47:00Z</dcterms:created>
  <dcterms:modified xsi:type="dcterms:W3CDTF">2022-10-16T21:49:00Z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MSIP_Label_c477f0d0-1a40-415d-b130-8b40a41c8c21_ActionId">
    <vt:lpwstr>e47f2e33-654c-401e-862b-fad9bef5fffc</vt:lpwstr>
  </property>
  <property fmtid="{D5CDD505-2E9C-101B-9397-08002B2CF9AE}" pid="4" name="PM_ProtectiveMarkingImage_Header">
    <vt:lpwstr>C:\Program Files (x86)\Common Files\janusNET Shared\janusSEAL\Images\DocumentSlashBlue.png</vt:lpwstr>
  </property>
  <property fmtid="{D5CDD505-2E9C-101B-9397-08002B2CF9AE}" pid="5" name="PM_SecurityClassification">
    <vt:lpwstr>OFFICIAL</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PM_InsertionValue">
    <vt:lpwstr>OFFICIAL</vt:lpwstr>
  </property>
  <property fmtid="{D5CDD505-2E9C-101B-9397-08002B2CF9AE}" pid="9" name="PM_Originator_Hash_SHA1">
    <vt:lpwstr>D9F6E5C82DFAF7AB6E3D596D48DD43C72EDFDAB4</vt:lpwstr>
  </property>
  <property fmtid="{D5CDD505-2E9C-101B-9397-08002B2CF9AE}" pid="10" name="PM_Originating_FileId">
    <vt:lpwstr>75CC219C8A874A7C833AF29710410443</vt:lpwstr>
  </property>
  <property fmtid="{D5CDD505-2E9C-101B-9397-08002B2CF9AE}" pid="11" name="PM_ProtectiveMarkingValue_Footer">
    <vt:lpwstr>OFFICIAL</vt:lpwstr>
  </property>
  <property fmtid="{D5CDD505-2E9C-101B-9397-08002B2CF9AE}" pid="12" name="PM_ProtectiveMarkingValue_Header">
    <vt:lpwstr>OFFICIAL</vt:lpwstr>
  </property>
  <property fmtid="{D5CDD505-2E9C-101B-9397-08002B2CF9AE}" pid="13" name="PM_OriginationTimeStamp">
    <vt:lpwstr>2022-10-16T21:49:48Z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4BD0692595222CB01B59F52EDD00D63D</vt:lpwstr>
  </property>
  <property fmtid="{D5CDD505-2E9C-101B-9397-08002B2CF9AE}" pid="21" name="MSIP_Label_c477f0d0-1a40-415d-b130-8b40a41c8c21_Name">
    <vt:lpwstr>Sensitive Normal_3</vt:lpwstr>
  </property>
  <property fmtid="{D5CDD505-2E9C-101B-9397-08002B2CF9AE}" pid="22" name="PM_Hash_Salt">
    <vt:lpwstr>CD47F6DC634894534CC5127D2E669DAA</vt:lpwstr>
  </property>
  <property fmtid="{D5CDD505-2E9C-101B-9397-08002B2CF9AE}" pid="23" name="MSIP_Label_c477f0d0-1a40-415d-b130-8b40a41c8c21_SetDate">
    <vt:lpwstr>2022-10-08T17:57:58Z</vt:lpwstr>
  </property>
  <property fmtid="{D5CDD505-2E9C-101B-9397-08002B2CF9AE}" pid="24" name="PM_Hash_SHA1">
    <vt:lpwstr>468EADA0D95547ACBC275B772BB6D7DCD3402FB3</vt:lpwstr>
  </property>
  <property fmtid="{D5CDD505-2E9C-101B-9397-08002B2CF9AE}" pid="25" name="MSIP_Label_c477f0d0-1a40-415d-b130-8b40a41c8c21_SiteId">
    <vt:lpwstr>0b11c524-9a1c-4e1b-84cb-6336aefc2243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MSIP_Label_c477f0d0-1a40-415d-b130-8b40a41c8c21_Enabled">
    <vt:lpwstr>true</vt:lpwstr>
  </property>
  <property fmtid="{D5CDD505-2E9C-101B-9397-08002B2CF9AE}" pid="29" name="MSIP_Label_c477f0d0-1a40-415d-b130-8b40a41c8c21_Method">
    <vt:lpwstr>Privileged</vt:lpwstr>
  </property>
  <property fmtid="{D5CDD505-2E9C-101B-9397-08002B2CF9AE}" pid="30" name="MSIP_Label_c477f0d0-1a40-415d-b130-8b40a41c8c21_ContentBits">
    <vt:lpwstr>0</vt:lpwstr>
  </property>
  <property fmtid="{D5CDD505-2E9C-101B-9397-08002B2CF9AE}" pid="31" name="PM_Display">
    <vt:lpwstr>OFFICIAL</vt:lpwstr>
  </property>
  <property fmtid="{D5CDD505-2E9C-101B-9397-08002B2CF9AE}" pid="32" name="PMUuid">
    <vt:lpwstr>ABBFF5E2-9674-55C9-B08D-C9980002FD58</vt:lpwstr>
  </property>
  <property fmtid="{D5CDD505-2E9C-101B-9397-08002B2CF9AE}" pid="33" name="PMUuidVer">
    <vt:lpwstr>2022.1</vt:lpwstr>
  </property>
  <property fmtid="{D5CDD505-2E9C-101B-9397-08002B2CF9AE}" pid="34" name="PM_OriginatorUserAccountName_SHA256">
    <vt:lpwstr>3E9DB5AB808CA91EB3E8EC398CDB7F67B110581D6BB28BC88565729DCE387350</vt:lpwstr>
  </property>
  <property fmtid="{D5CDD505-2E9C-101B-9397-08002B2CF9AE}" pid="35" name="PM_OriginatorDomainName_SHA256">
    <vt:lpwstr>6F3591835F3B2A8A025B00B5BA6418010DA3A17C9C26EA9C049FFD28039489A2</vt:lpwstr>
  </property>
</Properties>
</file>