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DA8B" w14:textId="74BC8E67" w:rsidR="00E50120" w:rsidRPr="00C23F5C" w:rsidRDefault="002811F7" w:rsidP="00C23F5C">
      <w:pPr>
        <w:pStyle w:val="Heading1"/>
      </w:pPr>
      <w:r w:rsidRPr="00C23F5C">
        <w:t>Annex B 1.6: Sustainable Agriculture and Food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07EBB" w:rsidRPr="0020325F" w14:paraId="3198B5D8" w14:textId="77777777" w:rsidTr="00002B20">
        <w:tc>
          <w:tcPr>
            <w:tcW w:w="2263" w:type="dxa"/>
            <w:shd w:val="clear" w:color="auto" w:fill="E2EFD9" w:themeFill="accent6" w:themeFillTint="33"/>
          </w:tcPr>
          <w:p w14:paraId="43530E9E" w14:textId="77777777" w:rsidR="00C07EBB" w:rsidRPr="0020325F" w:rsidRDefault="00C07EBB" w:rsidP="00002B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25F">
              <w:rPr>
                <w:rFonts w:cstheme="minorHAnsi"/>
                <w:b/>
                <w:bCs/>
                <w:sz w:val="24"/>
                <w:szCs w:val="24"/>
              </w:rPr>
              <w:t>Area of Cooperation</w:t>
            </w:r>
          </w:p>
        </w:tc>
        <w:tc>
          <w:tcPr>
            <w:tcW w:w="6753" w:type="dxa"/>
          </w:tcPr>
          <w:p w14:paraId="64649704" w14:textId="77777777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>Trade and Investment</w:t>
            </w:r>
          </w:p>
          <w:p w14:paraId="02026992" w14:textId="77777777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7EBB" w:rsidRPr="0020325F" w14:paraId="24A6040B" w14:textId="77777777" w:rsidTr="00002B20">
        <w:tc>
          <w:tcPr>
            <w:tcW w:w="2263" w:type="dxa"/>
            <w:shd w:val="clear" w:color="auto" w:fill="E2EFD9" w:themeFill="accent6" w:themeFillTint="33"/>
          </w:tcPr>
          <w:p w14:paraId="4A84F4F7" w14:textId="77777777" w:rsidR="00C07EBB" w:rsidRPr="0020325F" w:rsidRDefault="00C07EBB" w:rsidP="00002B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25F">
              <w:rPr>
                <w:rFonts w:cstheme="minorHAnsi"/>
                <w:b/>
                <w:bCs/>
                <w:sz w:val="24"/>
                <w:szCs w:val="24"/>
              </w:rPr>
              <w:t>Purpose and Outcomes</w:t>
            </w:r>
          </w:p>
          <w:p w14:paraId="69B67BDF" w14:textId="77777777" w:rsidR="00C07EBB" w:rsidRPr="0020325F" w:rsidRDefault="00C07EBB" w:rsidP="00002B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18BB198B" w14:textId="244A090A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 xml:space="preserve">Singapore </w:t>
            </w:r>
            <w:r w:rsidR="008E4A6A">
              <w:rPr>
                <w:rFonts w:cstheme="minorHAnsi"/>
                <w:sz w:val="24"/>
                <w:szCs w:val="24"/>
              </w:rPr>
              <w:t xml:space="preserve">and Australia </w:t>
            </w:r>
            <w:r w:rsidRPr="0020325F">
              <w:rPr>
                <w:rFonts w:cstheme="minorHAnsi"/>
                <w:sz w:val="24"/>
                <w:szCs w:val="24"/>
              </w:rPr>
              <w:t xml:space="preserve">will collaborate on ideas and initiatives that accelerate continued transition to best practice sustainable </w:t>
            </w:r>
            <w:r>
              <w:rPr>
                <w:rFonts w:cstheme="minorHAnsi"/>
                <w:sz w:val="24"/>
                <w:szCs w:val="24"/>
              </w:rPr>
              <w:t>agri-food systems</w:t>
            </w:r>
            <w:r w:rsidRPr="0020325F">
              <w:rPr>
                <w:rFonts w:cstheme="minorHAnsi"/>
                <w:sz w:val="24"/>
                <w:szCs w:val="24"/>
              </w:rPr>
              <w:t xml:space="preserve"> with the aim of addressing global food security concerns, limiting the effects of climate </w:t>
            </w:r>
            <w:proofErr w:type="gramStart"/>
            <w:r w:rsidRPr="0020325F">
              <w:rPr>
                <w:rFonts w:cstheme="minorHAnsi"/>
                <w:sz w:val="24"/>
                <w:szCs w:val="24"/>
              </w:rPr>
              <w:t>change</w:t>
            </w:r>
            <w:proofErr w:type="gramEnd"/>
            <w:r w:rsidRPr="0020325F">
              <w:rPr>
                <w:rFonts w:cstheme="minorHAnsi"/>
                <w:sz w:val="24"/>
                <w:szCs w:val="24"/>
              </w:rPr>
              <w:t xml:space="preserve"> and reducing the impact of </w:t>
            </w:r>
            <w:r>
              <w:rPr>
                <w:rFonts w:cstheme="minorHAnsi"/>
                <w:sz w:val="24"/>
                <w:szCs w:val="24"/>
              </w:rPr>
              <w:t>agri-food systems</w:t>
            </w:r>
            <w:r w:rsidRPr="0020325F">
              <w:rPr>
                <w:rFonts w:cstheme="minorHAnsi"/>
                <w:sz w:val="24"/>
                <w:szCs w:val="24"/>
              </w:rPr>
              <w:t xml:space="preserve"> on the environment. </w:t>
            </w:r>
          </w:p>
          <w:p w14:paraId="5CCFA2D1" w14:textId="77777777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7EBB" w:rsidRPr="0020325F" w14:paraId="6553389C" w14:textId="77777777" w:rsidTr="00002B20">
        <w:tc>
          <w:tcPr>
            <w:tcW w:w="2263" w:type="dxa"/>
            <w:shd w:val="clear" w:color="auto" w:fill="E2EFD9" w:themeFill="accent6" w:themeFillTint="33"/>
          </w:tcPr>
          <w:p w14:paraId="0FF5E4DA" w14:textId="77777777" w:rsidR="00C07EBB" w:rsidRPr="0020325F" w:rsidRDefault="00C07EBB" w:rsidP="00002B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25F">
              <w:rPr>
                <w:rFonts w:cstheme="minorHAnsi"/>
                <w:b/>
                <w:bCs/>
                <w:sz w:val="24"/>
                <w:szCs w:val="24"/>
              </w:rPr>
              <w:t xml:space="preserve">Description </w:t>
            </w:r>
          </w:p>
          <w:p w14:paraId="67594447" w14:textId="77777777" w:rsidR="00C07EBB" w:rsidRPr="0020325F" w:rsidRDefault="00C07EBB" w:rsidP="00002B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669D43C3" w14:textId="4E50B3FC" w:rsidR="00C07EBB" w:rsidRPr="0020325F" w:rsidRDefault="008E4A6A" w:rsidP="00C4187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 xml:space="preserve">Singapore </w:t>
            </w:r>
            <w:r>
              <w:rPr>
                <w:rFonts w:cstheme="minorHAnsi"/>
                <w:sz w:val="24"/>
                <w:szCs w:val="24"/>
              </w:rPr>
              <w:t xml:space="preserve">and Australia </w:t>
            </w:r>
            <w:r w:rsidR="00FB4B98">
              <w:rPr>
                <w:rFonts w:cstheme="minorHAnsi"/>
                <w:sz w:val="24"/>
                <w:szCs w:val="24"/>
              </w:rPr>
              <w:t xml:space="preserve">will </w:t>
            </w:r>
            <w:r w:rsidR="00C07EBB" w:rsidRPr="0020325F">
              <w:rPr>
                <w:rFonts w:cstheme="minorHAnsi"/>
                <w:sz w:val="24"/>
                <w:szCs w:val="24"/>
              </w:rPr>
              <w:t>engage in dialogue and cooperative activities that promote trade and investment as essential elements to building sustainable and resilient</w:t>
            </w:r>
            <w:r w:rsidR="00C07EBB">
              <w:rPr>
                <w:rFonts w:cstheme="minorHAnsi"/>
                <w:sz w:val="24"/>
                <w:szCs w:val="24"/>
              </w:rPr>
              <w:t xml:space="preserve"> agri-food</w:t>
            </w:r>
            <w:r w:rsidR="00C07EBB" w:rsidRPr="0020325F">
              <w:rPr>
                <w:rFonts w:cstheme="minorHAnsi"/>
                <w:sz w:val="24"/>
                <w:szCs w:val="24"/>
              </w:rPr>
              <w:t xml:space="preserve"> systems. We </w:t>
            </w:r>
            <w:r w:rsidR="009A3830">
              <w:rPr>
                <w:rFonts w:cstheme="minorHAnsi"/>
                <w:sz w:val="24"/>
                <w:szCs w:val="24"/>
              </w:rPr>
              <w:t xml:space="preserve">will </w:t>
            </w:r>
            <w:r w:rsidR="00C07EBB">
              <w:rPr>
                <w:rFonts w:cstheme="minorHAnsi"/>
                <w:sz w:val="24"/>
                <w:szCs w:val="24"/>
              </w:rPr>
              <w:t xml:space="preserve">cooperate </w:t>
            </w:r>
            <w:r w:rsidR="00C07EBB" w:rsidRPr="0020325F">
              <w:rPr>
                <w:rFonts w:cstheme="minorHAnsi"/>
                <w:sz w:val="24"/>
                <w:szCs w:val="24"/>
              </w:rPr>
              <w:t>in broader regional and global contexts in ways that</w:t>
            </w:r>
            <w:r w:rsidR="00C07EBB">
              <w:rPr>
                <w:rFonts w:cstheme="minorHAnsi"/>
                <w:sz w:val="24"/>
                <w:szCs w:val="24"/>
              </w:rPr>
              <w:t xml:space="preserve"> support and advance</w:t>
            </w:r>
            <w:r w:rsidR="00C07EBB" w:rsidDel="006A63C7">
              <w:rPr>
                <w:rFonts w:cstheme="minorHAnsi"/>
                <w:sz w:val="24"/>
                <w:szCs w:val="24"/>
              </w:rPr>
              <w:t xml:space="preserve"> </w:t>
            </w:r>
            <w:r w:rsidR="00C07EBB">
              <w:rPr>
                <w:rFonts w:cstheme="minorHAnsi"/>
                <w:sz w:val="24"/>
                <w:szCs w:val="24"/>
              </w:rPr>
              <w:t>the below principles.</w:t>
            </w:r>
            <w:r w:rsidR="00C07EBB" w:rsidRPr="0020325F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A3D863A" w14:textId="77777777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7EBB" w:rsidRPr="0020325F" w14:paraId="0C19D65D" w14:textId="77777777" w:rsidTr="00002B20">
        <w:tc>
          <w:tcPr>
            <w:tcW w:w="2263" w:type="dxa"/>
            <w:shd w:val="clear" w:color="auto" w:fill="E2EFD9" w:themeFill="accent6" w:themeFillTint="33"/>
          </w:tcPr>
          <w:p w14:paraId="44AF94D5" w14:textId="77777777" w:rsidR="00C07EBB" w:rsidRPr="0020325F" w:rsidRDefault="00C07EBB" w:rsidP="00002B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25F">
              <w:rPr>
                <w:rFonts w:cstheme="minorHAnsi"/>
                <w:b/>
                <w:bCs/>
                <w:sz w:val="24"/>
                <w:szCs w:val="24"/>
              </w:rPr>
              <w:t>Principles</w:t>
            </w:r>
          </w:p>
          <w:p w14:paraId="1EED9941" w14:textId="77777777" w:rsidR="00C07EBB" w:rsidRPr="0020325F" w:rsidRDefault="00C07EBB" w:rsidP="00002B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1D1F58" w14:textId="77777777" w:rsidR="00C07EBB" w:rsidRPr="0020325F" w:rsidRDefault="00C07EBB" w:rsidP="00002B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24482672" w14:textId="091596E7" w:rsidR="00C07EBB" w:rsidRPr="0020325F" w:rsidRDefault="008E4A6A" w:rsidP="00C4187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 xml:space="preserve">Singapore </w:t>
            </w:r>
            <w:r>
              <w:rPr>
                <w:rFonts w:cstheme="minorHAnsi"/>
                <w:sz w:val="24"/>
                <w:szCs w:val="24"/>
              </w:rPr>
              <w:t xml:space="preserve">and Australia </w:t>
            </w:r>
            <w:r w:rsidR="00FC202B">
              <w:rPr>
                <w:rFonts w:cstheme="minorHAnsi"/>
                <w:sz w:val="24"/>
                <w:szCs w:val="24"/>
              </w:rPr>
              <w:t xml:space="preserve">have adopted the </w:t>
            </w:r>
            <w:r w:rsidR="00C07EBB" w:rsidRPr="0020325F">
              <w:rPr>
                <w:rFonts w:cstheme="minorHAnsi"/>
                <w:sz w:val="24"/>
                <w:szCs w:val="24"/>
              </w:rPr>
              <w:t xml:space="preserve">following principles as a basis for cooperation on sustainable </w:t>
            </w:r>
            <w:r w:rsidR="00C07EBB">
              <w:rPr>
                <w:rFonts w:cstheme="minorHAnsi"/>
                <w:sz w:val="24"/>
                <w:szCs w:val="24"/>
              </w:rPr>
              <w:t>agri-</w:t>
            </w:r>
            <w:r w:rsidR="00C07EBB" w:rsidRPr="0020325F">
              <w:rPr>
                <w:rFonts w:cstheme="minorHAnsi"/>
                <w:sz w:val="24"/>
                <w:szCs w:val="24"/>
              </w:rPr>
              <w:t xml:space="preserve">food systems: </w:t>
            </w:r>
          </w:p>
          <w:p w14:paraId="7EF7B515" w14:textId="77777777" w:rsidR="00C07EBB" w:rsidRPr="00A448CB" w:rsidRDefault="00C07EBB" w:rsidP="00C4187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Formulating and promoting </w:t>
            </w:r>
            <w:r w:rsidRPr="00A448CB">
              <w:rPr>
                <w:rFonts w:cstheme="minorHAnsi"/>
                <w:sz w:val="24"/>
                <w:szCs w:val="24"/>
              </w:rPr>
              <w:t xml:space="preserve">policies that support food </w:t>
            </w:r>
            <w:proofErr w:type="gramStart"/>
            <w:r w:rsidRPr="00A448CB">
              <w:rPr>
                <w:rFonts w:cstheme="minorHAnsi"/>
                <w:sz w:val="24"/>
                <w:szCs w:val="24"/>
              </w:rPr>
              <w:t>security</w:t>
            </w:r>
            <w:r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Pr="00A448C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EAE661" w14:textId="77777777" w:rsidR="00C07EBB" w:rsidRPr="0020325F" w:rsidRDefault="00C07EBB" w:rsidP="00C4187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>Supporting investment in sustainable agricultural practices and food systems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0325F">
              <w:rPr>
                <w:rFonts w:cstheme="minorHAnsi"/>
                <w:sz w:val="24"/>
                <w:szCs w:val="24"/>
              </w:rPr>
              <w:t>that contribute to environmental stewardship, productivity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gramStart"/>
            <w:r w:rsidRPr="0020325F">
              <w:rPr>
                <w:rFonts w:cstheme="minorHAnsi"/>
                <w:sz w:val="24"/>
                <w:szCs w:val="24"/>
              </w:rPr>
              <w:t>resilience;</w:t>
            </w:r>
            <w:proofErr w:type="gramEnd"/>
            <w:r w:rsidRPr="002032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950BE6" w14:textId="77777777" w:rsidR="00C07EBB" w:rsidRPr="0020325F" w:rsidRDefault="00C07EBB" w:rsidP="00C4187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 xml:space="preserve">Strengthening </w:t>
            </w:r>
            <w:proofErr w:type="gramStart"/>
            <w:r w:rsidRPr="0020325F">
              <w:rPr>
                <w:rFonts w:cstheme="minorHAnsi"/>
                <w:sz w:val="24"/>
                <w:szCs w:val="24"/>
              </w:rPr>
              <w:t>internationally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20325F">
              <w:rPr>
                <w:rFonts w:cstheme="minorHAnsi"/>
                <w:sz w:val="24"/>
                <w:szCs w:val="24"/>
              </w:rPr>
              <w:t>recognised</w:t>
            </w:r>
            <w:proofErr w:type="gramEnd"/>
            <w:r w:rsidRPr="0020325F">
              <w:rPr>
                <w:rFonts w:cstheme="minorHAnsi"/>
                <w:sz w:val="24"/>
                <w:szCs w:val="24"/>
              </w:rPr>
              <w:t xml:space="preserve"> best practice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0325F">
              <w:rPr>
                <w:rFonts w:cstheme="minorHAnsi"/>
                <w:sz w:val="24"/>
                <w:szCs w:val="24"/>
              </w:rPr>
              <w:t xml:space="preserve"> for making transparent, evidence-based claims about the sustainability of agricultural </w:t>
            </w:r>
            <w:r>
              <w:rPr>
                <w:rFonts w:cstheme="minorHAnsi"/>
                <w:sz w:val="24"/>
                <w:szCs w:val="24"/>
              </w:rPr>
              <w:t xml:space="preserve">and food </w:t>
            </w:r>
            <w:r w:rsidRPr="0020325F">
              <w:rPr>
                <w:rFonts w:cstheme="minorHAnsi"/>
                <w:sz w:val="24"/>
                <w:szCs w:val="24"/>
              </w:rPr>
              <w:t>product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0325F">
              <w:rPr>
                <w:rFonts w:cstheme="minorHAnsi"/>
                <w:sz w:val="24"/>
                <w:szCs w:val="24"/>
              </w:rPr>
              <w:t xml:space="preserve">;  </w:t>
            </w:r>
          </w:p>
          <w:p w14:paraId="7DF66FB6" w14:textId="77777777" w:rsidR="00C07EBB" w:rsidRDefault="00C07EBB" w:rsidP="00C4187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 xml:space="preserve">Avoiding </w:t>
            </w:r>
            <w:r>
              <w:rPr>
                <w:rFonts w:cstheme="minorHAnsi"/>
                <w:sz w:val="24"/>
                <w:szCs w:val="24"/>
              </w:rPr>
              <w:t>unjustified restrictions</w:t>
            </w:r>
            <w:r w:rsidRPr="0020325F"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sz w:val="24"/>
                <w:szCs w:val="24"/>
              </w:rPr>
              <w:t xml:space="preserve">excessive </w:t>
            </w:r>
            <w:r w:rsidRPr="0020325F">
              <w:rPr>
                <w:rFonts w:cstheme="minorHAnsi"/>
                <w:sz w:val="24"/>
                <w:szCs w:val="24"/>
              </w:rPr>
              <w:t>compliance</w:t>
            </w:r>
            <w:r>
              <w:rPr>
                <w:rFonts w:cstheme="minorHAnsi"/>
                <w:sz w:val="24"/>
                <w:szCs w:val="24"/>
              </w:rPr>
              <w:t xml:space="preserve"> measures and</w:t>
            </w:r>
            <w:r w:rsidRPr="0020325F">
              <w:rPr>
                <w:rFonts w:cstheme="minorHAnsi"/>
                <w:sz w:val="24"/>
                <w:szCs w:val="24"/>
              </w:rPr>
              <w:t xml:space="preserve"> costs when implementing sustainability</w:t>
            </w:r>
            <w:r>
              <w:rPr>
                <w:rFonts w:cstheme="minorHAnsi"/>
                <w:sz w:val="24"/>
                <w:szCs w:val="24"/>
              </w:rPr>
              <w:t xml:space="preserve">-related agri-food </w:t>
            </w:r>
            <w:proofErr w:type="gramStart"/>
            <w:r>
              <w:rPr>
                <w:rFonts w:cstheme="minorHAnsi"/>
                <w:sz w:val="24"/>
                <w:szCs w:val="24"/>
              </w:rPr>
              <w:t>measures</w:t>
            </w:r>
            <w:r w:rsidRPr="0020325F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Pr="002032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288E61" w14:textId="77777777" w:rsidR="00C07EBB" w:rsidRPr="0020325F" w:rsidRDefault="00C07EBB" w:rsidP="00C4187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 xml:space="preserve">Implementing practices and policies that assist </w:t>
            </w:r>
            <w:r>
              <w:rPr>
                <w:rFonts w:cstheme="minorHAnsi"/>
                <w:sz w:val="24"/>
                <w:szCs w:val="24"/>
              </w:rPr>
              <w:t>our respective agri-</w:t>
            </w:r>
            <w:r w:rsidRPr="0020325F">
              <w:rPr>
                <w:rFonts w:cstheme="minorHAnsi"/>
                <w:sz w:val="24"/>
                <w:szCs w:val="24"/>
              </w:rPr>
              <w:t>food system</w:t>
            </w:r>
            <w:r>
              <w:rPr>
                <w:rFonts w:cstheme="minorHAnsi"/>
                <w:sz w:val="24"/>
                <w:szCs w:val="24"/>
              </w:rPr>
              <w:t xml:space="preserve">s to </w:t>
            </w:r>
            <w:r w:rsidRPr="0020325F">
              <w:rPr>
                <w:rFonts w:cstheme="minorHAnsi"/>
                <w:sz w:val="24"/>
                <w:szCs w:val="24"/>
              </w:rPr>
              <w:t xml:space="preserve">adapt to 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20325F">
              <w:rPr>
                <w:rFonts w:cstheme="minorHAnsi"/>
                <w:sz w:val="24"/>
                <w:szCs w:val="24"/>
              </w:rPr>
              <w:t>changing climate and contribute to greenhouse gas emissions reduction</w:t>
            </w:r>
            <w:r>
              <w:rPr>
                <w:rFonts w:cstheme="minorHAnsi"/>
                <w:sz w:val="24"/>
                <w:szCs w:val="24"/>
              </w:rPr>
              <w:t>; and</w:t>
            </w:r>
            <w:r w:rsidRPr="002032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8EB036C" w14:textId="77777777" w:rsidR="00C07EBB" w:rsidRPr="0020325F" w:rsidRDefault="00C07EBB" w:rsidP="00C4187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 xml:space="preserve">Commitment to the multilateral trading system </w:t>
            </w:r>
            <w:r>
              <w:rPr>
                <w:rFonts w:cstheme="minorHAnsi"/>
                <w:sz w:val="24"/>
                <w:szCs w:val="24"/>
              </w:rPr>
              <w:t>including</w:t>
            </w:r>
            <w:r w:rsidRPr="0020325F">
              <w:rPr>
                <w:rFonts w:cstheme="minorHAnsi"/>
                <w:sz w:val="24"/>
                <w:szCs w:val="24"/>
              </w:rPr>
              <w:t xml:space="preserve"> risk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20325F">
              <w:rPr>
                <w:rFonts w:cstheme="minorHAnsi"/>
                <w:sz w:val="24"/>
                <w:szCs w:val="24"/>
              </w:rPr>
              <w:t xml:space="preserve"> science</w:t>
            </w:r>
            <w:r>
              <w:rPr>
                <w:rFonts w:cstheme="minorHAnsi"/>
                <w:sz w:val="24"/>
                <w:szCs w:val="24"/>
              </w:rPr>
              <w:t>, and evidence</w:t>
            </w:r>
            <w:r w:rsidRPr="0020325F">
              <w:rPr>
                <w:rFonts w:cstheme="minorHAnsi"/>
                <w:sz w:val="24"/>
                <w:szCs w:val="24"/>
              </w:rPr>
              <w:t xml:space="preserve">-based </w:t>
            </w:r>
            <w:r>
              <w:rPr>
                <w:rFonts w:cstheme="minorHAnsi"/>
                <w:sz w:val="24"/>
                <w:szCs w:val="24"/>
              </w:rPr>
              <w:t xml:space="preserve">regulation and </w:t>
            </w:r>
            <w:r w:rsidRPr="0020325F">
              <w:rPr>
                <w:rFonts w:cstheme="minorHAnsi"/>
                <w:sz w:val="24"/>
                <w:szCs w:val="24"/>
              </w:rPr>
              <w:t xml:space="preserve">decision making in the continued transition towards sustainable </w:t>
            </w:r>
            <w:r>
              <w:rPr>
                <w:rFonts w:cstheme="minorHAnsi"/>
                <w:sz w:val="24"/>
                <w:szCs w:val="24"/>
              </w:rPr>
              <w:t>agri-</w:t>
            </w:r>
            <w:r w:rsidRPr="0020325F">
              <w:rPr>
                <w:rFonts w:cstheme="minorHAnsi"/>
                <w:sz w:val="24"/>
                <w:szCs w:val="24"/>
              </w:rPr>
              <w:t>food systems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AEEF42B" w14:textId="77777777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187A" w:rsidRPr="0020325F" w14:paraId="552415F7" w14:textId="77777777" w:rsidTr="00002B20">
        <w:tc>
          <w:tcPr>
            <w:tcW w:w="2263" w:type="dxa"/>
            <w:shd w:val="clear" w:color="auto" w:fill="E2EFD9" w:themeFill="accent6" w:themeFillTint="33"/>
          </w:tcPr>
          <w:p w14:paraId="46B9337A" w14:textId="77777777" w:rsidR="00C4187A" w:rsidRDefault="00C4187A" w:rsidP="00002B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  <w:p w14:paraId="76239D66" w14:textId="774FAD53" w:rsidR="00C4187A" w:rsidRPr="0020325F" w:rsidRDefault="00C4187A" w:rsidP="00002B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76D0B801" w14:textId="77777777" w:rsidR="00C4187A" w:rsidRDefault="0030455B" w:rsidP="00C418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096FBB">
              <w:rPr>
                <w:rFonts w:cstheme="minorHAnsi"/>
                <w:sz w:val="24"/>
                <w:szCs w:val="24"/>
              </w:rPr>
              <w:t>ommenced</w:t>
            </w:r>
            <w:r>
              <w:rPr>
                <w:rFonts w:cstheme="minorHAnsi"/>
                <w:sz w:val="24"/>
                <w:szCs w:val="24"/>
              </w:rPr>
              <w:t xml:space="preserve"> in August </w:t>
            </w:r>
            <w:r w:rsidR="00C159A7">
              <w:rPr>
                <w:rFonts w:cstheme="minorHAnsi"/>
                <w:sz w:val="24"/>
                <w:szCs w:val="24"/>
              </w:rPr>
              <w:t>2022</w:t>
            </w:r>
          </w:p>
          <w:p w14:paraId="4F5A455E" w14:textId="45736404" w:rsidR="004A723C" w:rsidRPr="0020325F" w:rsidRDefault="004A723C" w:rsidP="00C418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7EBB" w:rsidRPr="0020325F" w14:paraId="179BBF98" w14:textId="77777777" w:rsidTr="00002B20">
        <w:tc>
          <w:tcPr>
            <w:tcW w:w="2263" w:type="dxa"/>
            <w:shd w:val="clear" w:color="auto" w:fill="E2EFD9" w:themeFill="accent6" w:themeFillTint="33"/>
          </w:tcPr>
          <w:p w14:paraId="56415EDD" w14:textId="77777777" w:rsidR="00C07EBB" w:rsidRPr="0020325F" w:rsidRDefault="00C07EBB" w:rsidP="008F79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25F">
              <w:rPr>
                <w:rFonts w:cstheme="minorHAnsi"/>
                <w:b/>
                <w:bCs/>
                <w:sz w:val="24"/>
                <w:szCs w:val="24"/>
              </w:rPr>
              <w:t xml:space="preserve">Governance and Engagement Process </w:t>
            </w:r>
          </w:p>
          <w:p w14:paraId="24E11D27" w14:textId="77777777" w:rsidR="00C07EBB" w:rsidRPr="0020325F" w:rsidRDefault="00C07EBB" w:rsidP="00002B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6B2824FA" w14:textId="402FF44D" w:rsidR="00C07EBB" w:rsidRDefault="008E4A6A" w:rsidP="00C4187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 xml:space="preserve">Singapore </w:t>
            </w:r>
            <w:r>
              <w:rPr>
                <w:rFonts w:cstheme="minorHAnsi"/>
                <w:sz w:val="24"/>
                <w:szCs w:val="24"/>
              </w:rPr>
              <w:t xml:space="preserve">and Australia </w:t>
            </w:r>
            <w:r w:rsidR="00C07EBB" w:rsidRPr="0020325F">
              <w:rPr>
                <w:rFonts w:cstheme="minorHAnsi"/>
                <w:sz w:val="24"/>
                <w:szCs w:val="24"/>
              </w:rPr>
              <w:t xml:space="preserve">will </w:t>
            </w:r>
            <w:r w:rsidR="00C07EBB">
              <w:rPr>
                <w:rFonts w:cstheme="minorHAnsi"/>
                <w:sz w:val="24"/>
                <w:szCs w:val="24"/>
              </w:rPr>
              <w:t xml:space="preserve">pursue </w:t>
            </w:r>
            <w:r w:rsidR="007511C0">
              <w:rPr>
                <w:rFonts w:cstheme="minorHAnsi"/>
                <w:sz w:val="24"/>
                <w:szCs w:val="24"/>
              </w:rPr>
              <w:t xml:space="preserve">further </w:t>
            </w:r>
            <w:r w:rsidR="00C07EBB">
              <w:rPr>
                <w:rFonts w:cstheme="minorHAnsi"/>
                <w:sz w:val="24"/>
                <w:szCs w:val="24"/>
              </w:rPr>
              <w:t>cooperation</w:t>
            </w:r>
            <w:r w:rsidR="006C5CB7">
              <w:rPr>
                <w:rFonts w:cstheme="minorHAnsi"/>
                <w:sz w:val="24"/>
                <w:szCs w:val="24"/>
              </w:rPr>
              <w:t>, including by</w:t>
            </w:r>
            <w:r w:rsidR="00C07EBB">
              <w:rPr>
                <w:rFonts w:cstheme="minorHAnsi"/>
                <w:sz w:val="24"/>
                <w:szCs w:val="24"/>
              </w:rPr>
              <w:t xml:space="preserve"> elaborat</w:t>
            </w:r>
            <w:r w:rsidR="006C5CB7">
              <w:rPr>
                <w:rFonts w:cstheme="minorHAnsi"/>
                <w:sz w:val="24"/>
                <w:szCs w:val="24"/>
              </w:rPr>
              <w:t xml:space="preserve">ing </w:t>
            </w:r>
            <w:r w:rsidR="00C07EBB">
              <w:rPr>
                <w:rFonts w:cstheme="minorHAnsi"/>
                <w:sz w:val="24"/>
                <w:szCs w:val="24"/>
              </w:rPr>
              <w:t xml:space="preserve">on the principles outlined above. Where relevant, </w:t>
            </w:r>
            <w:r w:rsidR="004435E1">
              <w:rPr>
                <w:rFonts w:cstheme="minorHAnsi"/>
                <w:sz w:val="24"/>
                <w:szCs w:val="24"/>
              </w:rPr>
              <w:t xml:space="preserve">these </w:t>
            </w:r>
            <w:r w:rsidR="00C07EBB">
              <w:rPr>
                <w:rFonts w:cstheme="minorHAnsi"/>
                <w:sz w:val="24"/>
                <w:szCs w:val="24"/>
              </w:rPr>
              <w:t>engagement</w:t>
            </w:r>
            <w:r w:rsidR="004435E1">
              <w:rPr>
                <w:rFonts w:cstheme="minorHAnsi"/>
                <w:sz w:val="24"/>
                <w:szCs w:val="24"/>
              </w:rPr>
              <w:t>s</w:t>
            </w:r>
            <w:r w:rsidR="00C07EBB">
              <w:rPr>
                <w:rFonts w:cstheme="minorHAnsi"/>
                <w:sz w:val="24"/>
                <w:szCs w:val="24"/>
              </w:rPr>
              <w:t xml:space="preserve"> will be </w:t>
            </w:r>
            <w:r w:rsidR="004435E1">
              <w:rPr>
                <w:rFonts w:cstheme="minorHAnsi"/>
                <w:sz w:val="24"/>
                <w:szCs w:val="24"/>
              </w:rPr>
              <w:t xml:space="preserve">facilitated </w:t>
            </w:r>
            <w:r w:rsidR="00C07EBB">
              <w:rPr>
                <w:rFonts w:cstheme="minorHAnsi"/>
                <w:sz w:val="24"/>
                <w:szCs w:val="24"/>
              </w:rPr>
              <w:t xml:space="preserve">through the Supply Chain Working Group (SCWG) initiative agreed </w:t>
            </w:r>
            <w:r w:rsidR="004435E1">
              <w:rPr>
                <w:rFonts w:cstheme="minorHAnsi"/>
                <w:sz w:val="24"/>
                <w:szCs w:val="24"/>
              </w:rPr>
              <w:t xml:space="preserve">to </w:t>
            </w:r>
            <w:r w:rsidR="00C07EBB">
              <w:rPr>
                <w:rFonts w:cstheme="minorHAnsi"/>
                <w:sz w:val="24"/>
                <w:szCs w:val="24"/>
              </w:rPr>
              <w:t xml:space="preserve">by </w:t>
            </w:r>
            <w:r w:rsidR="00C07EBB" w:rsidRPr="0020325F">
              <w:rPr>
                <w:rFonts w:cstheme="minorHAnsi"/>
                <w:sz w:val="24"/>
                <w:szCs w:val="24"/>
              </w:rPr>
              <w:t xml:space="preserve">Singapore’s </w:t>
            </w:r>
            <w:r>
              <w:rPr>
                <w:rFonts w:cstheme="minorHAnsi"/>
                <w:sz w:val="24"/>
                <w:szCs w:val="24"/>
              </w:rPr>
              <w:t xml:space="preserve">and Australia’s </w:t>
            </w:r>
            <w:r w:rsidR="00C07EBB" w:rsidRPr="0020325F">
              <w:rPr>
                <w:rFonts w:cstheme="minorHAnsi"/>
                <w:sz w:val="24"/>
                <w:szCs w:val="24"/>
              </w:rPr>
              <w:t>Foreign Ministers on</w:t>
            </w:r>
            <w:r w:rsidR="00C07EBB">
              <w:rPr>
                <w:rFonts w:cstheme="minorHAnsi"/>
                <w:sz w:val="24"/>
                <w:szCs w:val="24"/>
              </w:rPr>
              <w:t xml:space="preserve"> 6 July</w:t>
            </w:r>
            <w:r w:rsidR="00C4187A">
              <w:rPr>
                <w:rFonts w:cstheme="minorHAnsi"/>
                <w:sz w:val="24"/>
                <w:szCs w:val="24"/>
              </w:rPr>
              <w:t xml:space="preserve"> </w:t>
            </w:r>
            <w:r w:rsidR="00C07EBB">
              <w:rPr>
                <w:rFonts w:cstheme="minorHAnsi"/>
                <w:sz w:val="24"/>
                <w:szCs w:val="24"/>
              </w:rPr>
              <w:t>2022</w:t>
            </w:r>
            <w:r w:rsidR="00C07EBB" w:rsidRPr="0020325F">
              <w:rPr>
                <w:rFonts w:cstheme="minorHAnsi"/>
                <w:sz w:val="24"/>
                <w:szCs w:val="24"/>
              </w:rPr>
              <w:t>.</w:t>
            </w:r>
            <w:r w:rsidR="00C07EBB">
              <w:rPr>
                <w:rFonts w:cstheme="minorHAnsi"/>
                <w:sz w:val="24"/>
                <w:szCs w:val="24"/>
              </w:rPr>
              <w:t xml:space="preserve"> For matters not covered by the SCWG,</w:t>
            </w:r>
            <w:r w:rsidR="00C07EBB" w:rsidRPr="0020325F">
              <w:rPr>
                <w:rFonts w:cstheme="minorHAnsi"/>
                <w:sz w:val="24"/>
                <w:szCs w:val="24"/>
              </w:rPr>
              <w:t xml:space="preserve"> </w:t>
            </w:r>
            <w:r w:rsidRPr="0020325F">
              <w:rPr>
                <w:rFonts w:cstheme="minorHAnsi"/>
                <w:sz w:val="24"/>
                <w:szCs w:val="24"/>
              </w:rPr>
              <w:t xml:space="preserve">Singapore </w:t>
            </w:r>
            <w:r>
              <w:rPr>
                <w:rFonts w:cstheme="minorHAnsi"/>
                <w:sz w:val="24"/>
                <w:szCs w:val="24"/>
              </w:rPr>
              <w:t xml:space="preserve">and Australia </w:t>
            </w:r>
            <w:r w:rsidR="00C07EBB">
              <w:rPr>
                <w:rFonts w:cstheme="minorHAnsi"/>
                <w:sz w:val="24"/>
                <w:szCs w:val="24"/>
              </w:rPr>
              <w:t xml:space="preserve">will </w:t>
            </w:r>
            <w:r w:rsidR="00396C34">
              <w:rPr>
                <w:rFonts w:cstheme="minorHAnsi"/>
                <w:sz w:val="24"/>
                <w:szCs w:val="24"/>
              </w:rPr>
              <w:t>determine</w:t>
            </w:r>
            <w:r w:rsidR="00EB5E17">
              <w:rPr>
                <w:rFonts w:cstheme="minorHAnsi"/>
                <w:sz w:val="24"/>
                <w:szCs w:val="24"/>
              </w:rPr>
              <w:t xml:space="preserve"> </w:t>
            </w:r>
            <w:r w:rsidR="00C07EBB">
              <w:rPr>
                <w:rFonts w:cstheme="minorHAnsi"/>
                <w:sz w:val="24"/>
                <w:szCs w:val="24"/>
              </w:rPr>
              <w:t>alternative governance mechanisms as necessary.</w:t>
            </w:r>
          </w:p>
          <w:p w14:paraId="0ABC0438" w14:textId="77777777" w:rsidR="004A723C" w:rsidRDefault="004A723C" w:rsidP="00C4187A">
            <w:pPr>
              <w:rPr>
                <w:rFonts w:cstheme="minorHAnsi"/>
                <w:sz w:val="24"/>
                <w:szCs w:val="24"/>
              </w:rPr>
            </w:pPr>
          </w:p>
          <w:p w14:paraId="7E1F736B" w14:textId="77777777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7EBB" w:rsidRPr="0020325F" w14:paraId="3B9F70E5" w14:textId="77777777" w:rsidTr="00002B20">
        <w:tc>
          <w:tcPr>
            <w:tcW w:w="2263" w:type="dxa"/>
            <w:shd w:val="clear" w:color="auto" w:fill="E2EFD9" w:themeFill="accent6" w:themeFillTint="33"/>
          </w:tcPr>
          <w:p w14:paraId="4D11D71A" w14:textId="2A95CFC4" w:rsidR="00C07EBB" w:rsidRPr="0020325F" w:rsidRDefault="00C07EBB" w:rsidP="00002B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0325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Project Leads</w:t>
            </w:r>
          </w:p>
          <w:p w14:paraId="4075D2B8" w14:textId="77777777" w:rsidR="00C07EBB" w:rsidRPr="0020325F" w:rsidRDefault="00C07EBB" w:rsidP="00002B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21A142" w14:textId="77777777" w:rsidR="00C07EBB" w:rsidRPr="0020325F" w:rsidRDefault="00C07EBB" w:rsidP="00002B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6C954DAF" w14:textId="77777777" w:rsidR="008E4A6A" w:rsidRPr="007D5601" w:rsidRDefault="008E4A6A" w:rsidP="008E4A6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D5601">
              <w:rPr>
                <w:rFonts w:cstheme="minorHAnsi"/>
                <w:sz w:val="24"/>
                <w:szCs w:val="24"/>
                <w:u w:val="single"/>
              </w:rPr>
              <w:t>Singapore</w:t>
            </w:r>
          </w:p>
          <w:p w14:paraId="36D22537" w14:textId="77777777" w:rsidR="008E4A6A" w:rsidRDefault="008E4A6A" w:rsidP="008E4A6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>Ministry of Sustainability and the Environment</w:t>
            </w:r>
          </w:p>
          <w:p w14:paraId="36EA8586" w14:textId="77777777" w:rsidR="008E4A6A" w:rsidRPr="0020325F" w:rsidRDefault="008E4A6A" w:rsidP="008E4A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Ministry of Trade and Industry</w:t>
            </w:r>
          </w:p>
          <w:p w14:paraId="2F9E2EC8" w14:textId="6D83AC89" w:rsidR="008E4A6A" w:rsidRPr="0020325F" w:rsidRDefault="008E4A6A" w:rsidP="008E4A6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>Singapore Food Agency</w:t>
            </w:r>
          </w:p>
          <w:p w14:paraId="75A99494" w14:textId="77777777" w:rsidR="008E4A6A" w:rsidRDefault="008E4A6A" w:rsidP="00C4187A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1A45AEB" w14:textId="68E00841" w:rsidR="00C07EBB" w:rsidRPr="00C07EBB" w:rsidRDefault="00C07EBB" w:rsidP="00C4187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C07EBB">
              <w:rPr>
                <w:rFonts w:cstheme="minorHAnsi"/>
                <w:sz w:val="24"/>
                <w:szCs w:val="24"/>
                <w:u w:val="single"/>
              </w:rPr>
              <w:t>Australia</w:t>
            </w:r>
          </w:p>
          <w:p w14:paraId="3C340E3C" w14:textId="54FCB559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>Department of Agriculture, Fisheries and Forestry</w:t>
            </w:r>
          </w:p>
          <w:p w14:paraId="3412E28D" w14:textId="08D67A1E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>Department of Climate Change, Energy, the Environment and Water</w:t>
            </w:r>
          </w:p>
          <w:p w14:paraId="538A0207" w14:textId="3B3E3D01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>Department of Industry, Science and Resources</w:t>
            </w:r>
          </w:p>
          <w:p w14:paraId="377BE0BD" w14:textId="5517E20F" w:rsidR="007D5601" w:rsidRPr="0020325F" w:rsidRDefault="007D5601" w:rsidP="00C4187A">
            <w:pPr>
              <w:rPr>
                <w:rFonts w:cstheme="minorHAnsi"/>
                <w:sz w:val="24"/>
                <w:szCs w:val="24"/>
              </w:rPr>
            </w:pPr>
          </w:p>
          <w:p w14:paraId="09B829D3" w14:textId="1C867077" w:rsidR="00C07EBB" w:rsidRPr="0020325F" w:rsidRDefault="00C07EBB" w:rsidP="00C4187A">
            <w:pPr>
              <w:rPr>
                <w:rFonts w:cstheme="minorHAnsi"/>
                <w:sz w:val="24"/>
                <w:szCs w:val="24"/>
              </w:rPr>
            </w:pPr>
            <w:r w:rsidRPr="0020325F">
              <w:rPr>
                <w:rFonts w:cstheme="minorHAnsi"/>
                <w:sz w:val="24"/>
                <w:szCs w:val="24"/>
              </w:rPr>
              <w:t>Consultation with other relevant government agencies.</w:t>
            </w:r>
          </w:p>
          <w:p w14:paraId="79292C8F" w14:textId="77777777" w:rsidR="00C07EBB" w:rsidRPr="0020325F" w:rsidRDefault="00C07EBB" w:rsidP="008E4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D43970" w14:textId="6D1CDE49" w:rsidR="00C07EBB" w:rsidRDefault="00C07EBB" w:rsidP="00DA1C24">
      <w:pPr>
        <w:rPr>
          <w:rFonts w:cstheme="minorHAnsi"/>
          <w:b/>
          <w:bCs/>
          <w:sz w:val="28"/>
          <w:szCs w:val="28"/>
        </w:rPr>
      </w:pPr>
    </w:p>
    <w:sectPr w:rsidR="00C07EB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9318" w14:textId="77777777" w:rsidR="00C75A63" w:rsidRDefault="00C75A63" w:rsidP="005F4E51">
      <w:pPr>
        <w:spacing w:after="0" w:line="240" w:lineRule="auto"/>
      </w:pPr>
      <w:r>
        <w:separator/>
      </w:r>
    </w:p>
  </w:endnote>
  <w:endnote w:type="continuationSeparator" w:id="0">
    <w:p w14:paraId="35D6FDDC" w14:textId="77777777" w:rsidR="00C75A63" w:rsidRDefault="00C75A63" w:rsidP="005F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D7FE" w14:textId="192B4F01" w:rsidR="00376365" w:rsidRPr="000E19AA" w:rsidRDefault="00376365" w:rsidP="00FC522A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C4D6" w14:textId="77777777" w:rsidR="00C75A63" w:rsidRDefault="00C75A63" w:rsidP="005F4E51">
      <w:pPr>
        <w:spacing w:after="0" w:line="240" w:lineRule="auto"/>
      </w:pPr>
      <w:r>
        <w:separator/>
      </w:r>
    </w:p>
  </w:footnote>
  <w:footnote w:type="continuationSeparator" w:id="0">
    <w:p w14:paraId="33165D6C" w14:textId="77777777" w:rsidR="00C75A63" w:rsidRDefault="00C75A63" w:rsidP="005F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FC0B" w14:textId="62245890" w:rsidR="00376365" w:rsidRDefault="004A723C">
    <w:pPr>
      <w:pStyle w:val="Header"/>
    </w:pPr>
    <w:r>
      <w:rPr>
        <w:noProof/>
      </w:rPr>
      <w:pict w14:anchorId="16B2BD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079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6500" w14:textId="0C7ABB49" w:rsidR="00376365" w:rsidRPr="00FC522A" w:rsidRDefault="00376365" w:rsidP="00FC522A">
    <w:pPr>
      <w:pStyle w:val="Header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AD80" w14:textId="1FD7EA8B" w:rsidR="00376365" w:rsidRDefault="004A723C">
    <w:pPr>
      <w:pStyle w:val="Header"/>
    </w:pPr>
    <w:r>
      <w:rPr>
        <w:noProof/>
      </w:rPr>
      <w:pict w14:anchorId="70DB1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078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321"/>
    <w:multiLevelType w:val="hybridMultilevel"/>
    <w:tmpl w:val="D80027B0"/>
    <w:lvl w:ilvl="0" w:tplc="F05C9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D6360"/>
    <w:multiLevelType w:val="hybridMultilevel"/>
    <w:tmpl w:val="A7AE6D98"/>
    <w:lvl w:ilvl="0" w:tplc="A7EC7E02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B97258"/>
    <w:multiLevelType w:val="hybridMultilevel"/>
    <w:tmpl w:val="8438C672"/>
    <w:lvl w:ilvl="0" w:tplc="97BCB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32C0B"/>
    <w:multiLevelType w:val="hybridMultilevel"/>
    <w:tmpl w:val="237C8F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37219"/>
    <w:multiLevelType w:val="hybridMultilevel"/>
    <w:tmpl w:val="BF6C3AD0"/>
    <w:lvl w:ilvl="0" w:tplc="C51EAA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C7C1A"/>
    <w:multiLevelType w:val="hybridMultilevel"/>
    <w:tmpl w:val="F70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D59F4"/>
    <w:multiLevelType w:val="hybridMultilevel"/>
    <w:tmpl w:val="0BD41364"/>
    <w:lvl w:ilvl="0" w:tplc="01847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A4869"/>
    <w:multiLevelType w:val="hybridMultilevel"/>
    <w:tmpl w:val="6FE8A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94C7C"/>
    <w:multiLevelType w:val="hybridMultilevel"/>
    <w:tmpl w:val="DA020AD4"/>
    <w:lvl w:ilvl="0" w:tplc="76F4D2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F1C6A"/>
    <w:multiLevelType w:val="hybridMultilevel"/>
    <w:tmpl w:val="25A8E5A4"/>
    <w:lvl w:ilvl="0" w:tplc="F7AC24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A302D3"/>
    <w:multiLevelType w:val="hybridMultilevel"/>
    <w:tmpl w:val="3270842A"/>
    <w:lvl w:ilvl="0" w:tplc="1190FFA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B3AB6"/>
    <w:multiLevelType w:val="hybridMultilevel"/>
    <w:tmpl w:val="546A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3352"/>
    <w:multiLevelType w:val="hybridMultilevel"/>
    <w:tmpl w:val="21F2B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513A4"/>
    <w:multiLevelType w:val="hybridMultilevel"/>
    <w:tmpl w:val="5A38A0B0"/>
    <w:lvl w:ilvl="0" w:tplc="E012CB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9D0D3D"/>
    <w:multiLevelType w:val="hybridMultilevel"/>
    <w:tmpl w:val="0A303B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562D5"/>
    <w:multiLevelType w:val="hybridMultilevel"/>
    <w:tmpl w:val="E918C8EA"/>
    <w:lvl w:ilvl="0" w:tplc="53F67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C4F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7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A6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A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E8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1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46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8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10"/>
  </w:num>
  <w:num w:numId="12">
    <w:abstractNumId w:val="14"/>
  </w:num>
  <w:num w:numId="13">
    <w:abstractNumId w:val="9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51"/>
    <w:rsid w:val="00004ED0"/>
    <w:rsid w:val="00022434"/>
    <w:rsid w:val="00030F2C"/>
    <w:rsid w:val="000335AF"/>
    <w:rsid w:val="000356AC"/>
    <w:rsid w:val="00035E80"/>
    <w:rsid w:val="00043A1C"/>
    <w:rsid w:val="0004468E"/>
    <w:rsid w:val="000562F2"/>
    <w:rsid w:val="00056E95"/>
    <w:rsid w:val="000660C6"/>
    <w:rsid w:val="00070A3D"/>
    <w:rsid w:val="0008012E"/>
    <w:rsid w:val="00080D32"/>
    <w:rsid w:val="000870C2"/>
    <w:rsid w:val="00090632"/>
    <w:rsid w:val="00090F58"/>
    <w:rsid w:val="00096FBB"/>
    <w:rsid w:val="00097647"/>
    <w:rsid w:val="000A0B6F"/>
    <w:rsid w:val="000A2E7F"/>
    <w:rsid w:val="000A3362"/>
    <w:rsid w:val="000A668D"/>
    <w:rsid w:val="000A674A"/>
    <w:rsid w:val="000A681D"/>
    <w:rsid w:val="000B0429"/>
    <w:rsid w:val="000B19BB"/>
    <w:rsid w:val="000C1EF4"/>
    <w:rsid w:val="000C6272"/>
    <w:rsid w:val="000D12F1"/>
    <w:rsid w:val="000D1CC8"/>
    <w:rsid w:val="000D2CE7"/>
    <w:rsid w:val="000D69EE"/>
    <w:rsid w:val="000E19AA"/>
    <w:rsid w:val="000E65BF"/>
    <w:rsid w:val="000E795F"/>
    <w:rsid w:val="000F7378"/>
    <w:rsid w:val="00102253"/>
    <w:rsid w:val="001062A5"/>
    <w:rsid w:val="00136B0C"/>
    <w:rsid w:val="00137F72"/>
    <w:rsid w:val="001443C9"/>
    <w:rsid w:val="001446FC"/>
    <w:rsid w:val="00146D3A"/>
    <w:rsid w:val="0015268D"/>
    <w:rsid w:val="001535AD"/>
    <w:rsid w:val="00157C30"/>
    <w:rsid w:val="00162231"/>
    <w:rsid w:val="00163006"/>
    <w:rsid w:val="00165570"/>
    <w:rsid w:val="00170115"/>
    <w:rsid w:val="0018313F"/>
    <w:rsid w:val="001872DA"/>
    <w:rsid w:val="001919FA"/>
    <w:rsid w:val="00192CE3"/>
    <w:rsid w:val="001972DB"/>
    <w:rsid w:val="001A2F33"/>
    <w:rsid w:val="001C7E01"/>
    <w:rsid w:val="001D2D12"/>
    <w:rsid w:val="001D5E11"/>
    <w:rsid w:val="001E4545"/>
    <w:rsid w:val="001F1231"/>
    <w:rsid w:val="001F23FD"/>
    <w:rsid w:val="001F336B"/>
    <w:rsid w:val="0020325F"/>
    <w:rsid w:val="00204376"/>
    <w:rsid w:val="00206433"/>
    <w:rsid w:val="00212A09"/>
    <w:rsid w:val="002165AA"/>
    <w:rsid w:val="00224CAD"/>
    <w:rsid w:val="0023604C"/>
    <w:rsid w:val="00242E0B"/>
    <w:rsid w:val="00251030"/>
    <w:rsid w:val="0025184A"/>
    <w:rsid w:val="00251FDC"/>
    <w:rsid w:val="0025394B"/>
    <w:rsid w:val="002544B7"/>
    <w:rsid w:val="002547DE"/>
    <w:rsid w:val="00262326"/>
    <w:rsid w:val="00263740"/>
    <w:rsid w:val="00263F8C"/>
    <w:rsid w:val="00264C63"/>
    <w:rsid w:val="0027077C"/>
    <w:rsid w:val="002716BB"/>
    <w:rsid w:val="0027655F"/>
    <w:rsid w:val="00277EC3"/>
    <w:rsid w:val="00280A0D"/>
    <w:rsid w:val="002811F7"/>
    <w:rsid w:val="002821BC"/>
    <w:rsid w:val="00286B0A"/>
    <w:rsid w:val="00287B73"/>
    <w:rsid w:val="002A0DF7"/>
    <w:rsid w:val="002A1732"/>
    <w:rsid w:val="002A255A"/>
    <w:rsid w:val="002A3CCE"/>
    <w:rsid w:val="002B1EAA"/>
    <w:rsid w:val="002B37BB"/>
    <w:rsid w:val="002B46A8"/>
    <w:rsid w:val="002B6292"/>
    <w:rsid w:val="002C1B23"/>
    <w:rsid w:val="002C32D2"/>
    <w:rsid w:val="002C6F7F"/>
    <w:rsid w:val="002C7D9A"/>
    <w:rsid w:val="002D0623"/>
    <w:rsid w:val="002D62F2"/>
    <w:rsid w:val="002E3658"/>
    <w:rsid w:val="002F23A7"/>
    <w:rsid w:val="002F321D"/>
    <w:rsid w:val="0030455B"/>
    <w:rsid w:val="003059A6"/>
    <w:rsid w:val="00307030"/>
    <w:rsid w:val="00307E7A"/>
    <w:rsid w:val="00311FD7"/>
    <w:rsid w:val="0031273D"/>
    <w:rsid w:val="00316FD0"/>
    <w:rsid w:val="0032393F"/>
    <w:rsid w:val="00332FF2"/>
    <w:rsid w:val="00335184"/>
    <w:rsid w:val="00336945"/>
    <w:rsid w:val="00345DD5"/>
    <w:rsid w:val="00347E6E"/>
    <w:rsid w:val="003508E0"/>
    <w:rsid w:val="003518B5"/>
    <w:rsid w:val="00365EFC"/>
    <w:rsid w:val="00376365"/>
    <w:rsid w:val="00381F59"/>
    <w:rsid w:val="0038311D"/>
    <w:rsid w:val="00387640"/>
    <w:rsid w:val="00395124"/>
    <w:rsid w:val="00396C34"/>
    <w:rsid w:val="00397473"/>
    <w:rsid w:val="003A2F5D"/>
    <w:rsid w:val="003A68A9"/>
    <w:rsid w:val="003B1A34"/>
    <w:rsid w:val="003D01CC"/>
    <w:rsid w:val="003D5FD8"/>
    <w:rsid w:val="003E3724"/>
    <w:rsid w:val="003E4212"/>
    <w:rsid w:val="003E68FA"/>
    <w:rsid w:val="003E71F1"/>
    <w:rsid w:val="003E7E2A"/>
    <w:rsid w:val="003F3C87"/>
    <w:rsid w:val="003F721D"/>
    <w:rsid w:val="003F7EBD"/>
    <w:rsid w:val="00404F5F"/>
    <w:rsid w:val="00411C61"/>
    <w:rsid w:val="00415DEF"/>
    <w:rsid w:val="00442A67"/>
    <w:rsid w:val="004435E1"/>
    <w:rsid w:val="00460359"/>
    <w:rsid w:val="00467F16"/>
    <w:rsid w:val="00467FC5"/>
    <w:rsid w:val="0047490C"/>
    <w:rsid w:val="004848A6"/>
    <w:rsid w:val="0049013E"/>
    <w:rsid w:val="00493BDE"/>
    <w:rsid w:val="004A723C"/>
    <w:rsid w:val="004B3C28"/>
    <w:rsid w:val="004B50CE"/>
    <w:rsid w:val="004C1896"/>
    <w:rsid w:val="004D7198"/>
    <w:rsid w:val="004E1114"/>
    <w:rsid w:val="004E1B37"/>
    <w:rsid w:val="004E26AE"/>
    <w:rsid w:val="004E2BE1"/>
    <w:rsid w:val="004E62AE"/>
    <w:rsid w:val="004E6800"/>
    <w:rsid w:val="004F3A32"/>
    <w:rsid w:val="00512DC7"/>
    <w:rsid w:val="00516110"/>
    <w:rsid w:val="0051725B"/>
    <w:rsid w:val="00517975"/>
    <w:rsid w:val="005230FB"/>
    <w:rsid w:val="005259D5"/>
    <w:rsid w:val="00530DD2"/>
    <w:rsid w:val="005349E8"/>
    <w:rsid w:val="005356F5"/>
    <w:rsid w:val="00535C37"/>
    <w:rsid w:val="0053721C"/>
    <w:rsid w:val="00541828"/>
    <w:rsid w:val="0055024F"/>
    <w:rsid w:val="005504A6"/>
    <w:rsid w:val="005513A3"/>
    <w:rsid w:val="005622F9"/>
    <w:rsid w:val="00563195"/>
    <w:rsid w:val="00565931"/>
    <w:rsid w:val="00566EE4"/>
    <w:rsid w:val="00567A46"/>
    <w:rsid w:val="00567C2E"/>
    <w:rsid w:val="00571ADF"/>
    <w:rsid w:val="00571C54"/>
    <w:rsid w:val="00572D49"/>
    <w:rsid w:val="0058004F"/>
    <w:rsid w:val="00580715"/>
    <w:rsid w:val="00586BC4"/>
    <w:rsid w:val="00590952"/>
    <w:rsid w:val="00591F03"/>
    <w:rsid w:val="00593286"/>
    <w:rsid w:val="00594273"/>
    <w:rsid w:val="005966FC"/>
    <w:rsid w:val="005A34D3"/>
    <w:rsid w:val="005A6D6C"/>
    <w:rsid w:val="005B48F9"/>
    <w:rsid w:val="005B6D10"/>
    <w:rsid w:val="005B7C51"/>
    <w:rsid w:val="005D02EA"/>
    <w:rsid w:val="005E2A88"/>
    <w:rsid w:val="005F229B"/>
    <w:rsid w:val="005F4E51"/>
    <w:rsid w:val="006032E7"/>
    <w:rsid w:val="006038EB"/>
    <w:rsid w:val="0061032A"/>
    <w:rsid w:val="00614163"/>
    <w:rsid w:val="0061533C"/>
    <w:rsid w:val="00620827"/>
    <w:rsid w:val="00621217"/>
    <w:rsid w:val="00622448"/>
    <w:rsid w:val="0062661D"/>
    <w:rsid w:val="00632936"/>
    <w:rsid w:val="00637AD9"/>
    <w:rsid w:val="00641598"/>
    <w:rsid w:val="00654F6A"/>
    <w:rsid w:val="00655A08"/>
    <w:rsid w:val="00657150"/>
    <w:rsid w:val="006710C9"/>
    <w:rsid w:val="00684BA4"/>
    <w:rsid w:val="00686C53"/>
    <w:rsid w:val="00690A9B"/>
    <w:rsid w:val="006A455B"/>
    <w:rsid w:val="006A5C2B"/>
    <w:rsid w:val="006A63C7"/>
    <w:rsid w:val="006B2C11"/>
    <w:rsid w:val="006C08DB"/>
    <w:rsid w:val="006C5CB7"/>
    <w:rsid w:val="006D2AFB"/>
    <w:rsid w:val="006D471F"/>
    <w:rsid w:val="006E0421"/>
    <w:rsid w:val="006F26E8"/>
    <w:rsid w:val="006F7D7A"/>
    <w:rsid w:val="00700D07"/>
    <w:rsid w:val="00710007"/>
    <w:rsid w:val="007152BB"/>
    <w:rsid w:val="00715FA3"/>
    <w:rsid w:val="0071738E"/>
    <w:rsid w:val="007214E6"/>
    <w:rsid w:val="00731D0D"/>
    <w:rsid w:val="00733F82"/>
    <w:rsid w:val="007354C9"/>
    <w:rsid w:val="00741789"/>
    <w:rsid w:val="00750B83"/>
    <w:rsid w:val="007511C0"/>
    <w:rsid w:val="00764944"/>
    <w:rsid w:val="0076527B"/>
    <w:rsid w:val="00766660"/>
    <w:rsid w:val="0076747D"/>
    <w:rsid w:val="00775209"/>
    <w:rsid w:val="0078088D"/>
    <w:rsid w:val="00783B83"/>
    <w:rsid w:val="00783BDB"/>
    <w:rsid w:val="00787807"/>
    <w:rsid w:val="00794D57"/>
    <w:rsid w:val="007A37C9"/>
    <w:rsid w:val="007A7B78"/>
    <w:rsid w:val="007B11C0"/>
    <w:rsid w:val="007B2AE2"/>
    <w:rsid w:val="007C27E4"/>
    <w:rsid w:val="007D2AAD"/>
    <w:rsid w:val="007D5601"/>
    <w:rsid w:val="007D7B99"/>
    <w:rsid w:val="007E6BA4"/>
    <w:rsid w:val="007F70FD"/>
    <w:rsid w:val="0080273D"/>
    <w:rsid w:val="008207D0"/>
    <w:rsid w:val="00823F07"/>
    <w:rsid w:val="008319A5"/>
    <w:rsid w:val="0083339E"/>
    <w:rsid w:val="0083517C"/>
    <w:rsid w:val="00845271"/>
    <w:rsid w:val="00846B43"/>
    <w:rsid w:val="00856578"/>
    <w:rsid w:val="0085657F"/>
    <w:rsid w:val="008607D0"/>
    <w:rsid w:val="00862BCA"/>
    <w:rsid w:val="00866210"/>
    <w:rsid w:val="008718DC"/>
    <w:rsid w:val="00874916"/>
    <w:rsid w:val="00876EE5"/>
    <w:rsid w:val="0088126F"/>
    <w:rsid w:val="00886F1C"/>
    <w:rsid w:val="00893FE0"/>
    <w:rsid w:val="008A1B6B"/>
    <w:rsid w:val="008A1DD0"/>
    <w:rsid w:val="008A6788"/>
    <w:rsid w:val="008B58B9"/>
    <w:rsid w:val="008C6003"/>
    <w:rsid w:val="008C71A0"/>
    <w:rsid w:val="008C778B"/>
    <w:rsid w:val="008D4C92"/>
    <w:rsid w:val="008D50B3"/>
    <w:rsid w:val="008E1DD8"/>
    <w:rsid w:val="008E24DE"/>
    <w:rsid w:val="008E4A6A"/>
    <w:rsid w:val="008E53A4"/>
    <w:rsid w:val="008E7899"/>
    <w:rsid w:val="008F07D4"/>
    <w:rsid w:val="008F2633"/>
    <w:rsid w:val="008F790F"/>
    <w:rsid w:val="00905D6B"/>
    <w:rsid w:val="009062DC"/>
    <w:rsid w:val="00917029"/>
    <w:rsid w:val="00917A09"/>
    <w:rsid w:val="00932EC2"/>
    <w:rsid w:val="009434D2"/>
    <w:rsid w:val="00944D76"/>
    <w:rsid w:val="00944E94"/>
    <w:rsid w:val="00945353"/>
    <w:rsid w:val="0095310F"/>
    <w:rsid w:val="00954110"/>
    <w:rsid w:val="00965F30"/>
    <w:rsid w:val="009773E8"/>
    <w:rsid w:val="00983A8C"/>
    <w:rsid w:val="00992557"/>
    <w:rsid w:val="00994DC3"/>
    <w:rsid w:val="009A1537"/>
    <w:rsid w:val="009A3830"/>
    <w:rsid w:val="009A47FC"/>
    <w:rsid w:val="009B308B"/>
    <w:rsid w:val="009D37A1"/>
    <w:rsid w:val="009E5F85"/>
    <w:rsid w:val="009E7D7E"/>
    <w:rsid w:val="00A024AD"/>
    <w:rsid w:val="00A0618F"/>
    <w:rsid w:val="00A21A36"/>
    <w:rsid w:val="00A2576A"/>
    <w:rsid w:val="00A3257B"/>
    <w:rsid w:val="00A34145"/>
    <w:rsid w:val="00A448CB"/>
    <w:rsid w:val="00A52732"/>
    <w:rsid w:val="00A540C3"/>
    <w:rsid w:val="00A62673"/>
    <w:rsid w:val="00A72B86"/>
    <w:rsid w:val="00A76D1F"/>
    <w:rsid w:val="00A82C5B"/>
    <w:rsid w:val="00A82F04"/>
    <w:rsid w:val="00A84917"/>
    <w:rsid w:val="00A91BD8"/>
    <w:rsid w:val="00A91C26"/>
    <w:rsid w:val="00A946AB"/>
    <w:rsid w:val="00AA0E5B"/>
    <w:rsid w:val="00AA1645"/>
    <w:rsid w:val="00AB6C6D"/>
    <w:rsid w:val="00AB72D5"/>
    <w:rsid w:val="00AC28E8"/>
    <w:rsid w:val="00AC39C2"/>
    <w:rsid w:val="00AC5080"/>
    <w:rsid w:val="00AC557D"/>
    <w:rsid w:val="00AC59D2"/>
    <w:rsid w:val="00AD3051"/>
    <w:rsid w:val="00AD3CBF"/>
    <w:rsid w:val="00AE5413"/>
    <w:rsid w:val="00AF0503"/>
    <w:rsid w:val="00AF0FD0"/>
    <w:rsid w:val="00AF7426"/>
    <w:rsid w:val="00B13851"/>
    <w:rsid w:val="00B1659E"/>
    <w:rsid w:val="00B17746"/>
    <w:rsid w:val="00B240E8"/>
    <w:rsid w:val="00B30DB6"/>
    <w:rsid w:val="00B348FE"/>
    <w:rsid w:val="00B35CF7"/>
    <w:rsid w:val="00B44FBE"/>
    <w:rsid w:val="00B501FA"/>
    <w:rsid w:val="00B523C6"/>
    <w:rsid w:val="00B63885"/>
    <w:rsid w:val="00B66AE1"/>
    <w:rsid w:val="00B8074F"/>
    <w:rsid w:val="00B83CA4"/>
    <w:rsid w:val="00B913A7"/>
    <w:rsid w:val="00B977EC"/>
    <w:rsid w:val="00BA0E78"/>
    <w:rsid w:val="00BA29E4"/>
    <w:rsid w:val="00BA5A20"/>
    <w:rsid w:val="00BA6C2F"/>
    <w:rsid w:val="00BB231D"/>
    <w:rsid w:val="00BD09ED"/>
    <w:rsid w:val="00BD6844"/>
    <w:rsid w:val="00BD6965"/>
    <w:rsid w:val="00BE0F01"/>
    <w:rsid w:val="00BE0F5C"/>
    <w:rsid w:val="00BE1F71"/>
    <w:rsid w:val="00BE2D76"/>
    <w:rsid w:val="00BF1EAA"/>
    <w:rsid w:val="00BF296B"/>
    <w:rsid w:val="00C046B9"/>
    <w:rsid w:val="00C0729A"/>
    <w:rsid w:val="00C07B9E"/>
    <w:rsid w:val="00C07C12"/>
    <w:rsid w:val="00C07EBB"/>
    <w:rsid w:val="00C14D85"/>
    <w:rsid w:val="00C159A7"/>
    <w:rsid w:val="00C15DE4"/>
    <w:rsid w:val="00C1790F"/>
    <w:rsid w:val="00C23F5C"/>
    <w:rsid w:val="00C37001"/>
    <w:rsid w:val="00C3704F"/>
    <w:rsid w:val="00C4003A"/>
    <w:rsid w:val="00C4187A"/>
    <w:rsid w:val="00C43BD1"/>
    <w:rsid w:val="00C66295"/>
    <w:rsid w:val="00C672FF"/>
    <w:rsid w:val="00C678B3"/>
    <w:rsid w:val="00C741A3"/>
    <w:rsid w:val="00C75A63"/>
    <w:rsid w:val="00C83354"/>
    <w:rsid w:val="00C902DA"/>
    <w:rsid w:val="00C90362"/>
    <w:rsid w:val="00C90B34"/>
    <w:rsid w:val="00C94F8E"/>
    <w:rsid w:val="00C95F11"/>
    <w:rsid w:val="00CA6928"/>
    <w:rsid w:val="00CA6D1C"/>
    <w:rsid w:val="00CB0E05"/>
    <w:rsid w:val="00CB0EF6"/>
    <w:rsid w:val="00CB101D"/>
    <w:rsid w:val="00CB1309"/>
    <w:rsid w:val="00CD294D"/>
    <w:rsid w:val="00CD3F23"/>
    <w:rsid w:val="00CE119B"/>
    <w:rsid w:val="00CE21D3"/>
    <w:rsid w:val="00CE4F52"/>
    <w:rsid w:val="00CE7F03"/>
    <w:rsid w:val="00D02456"/>
    <w:rsid w:val="00D14432"/>
    <w:rsid w:val="00D24E3D"/>
    <w:rsid w:val="00D33299"/>
    <w:rsid w:val="00D3577B"/>
    <w:rsid w:val="00D42CF0"/>
    <w:rsid w:val="00D43728"/>
    <w:rsid w:val="00D56E3F"/>
    <w:rsid w:val="00D600FF"/>
    <w:rsid w:val="00D61816"/>
    <w:rsid w:val="00D661FC"/>
    <w:rsid w:val="00D67EB6"/>
    <w:rsid w:val="00D8058B"/>
    <w:rsid w:val="00D811F2"/>
    <w:rsid w:val="00D81B1A"/>
    <w:rsid w:val="00D81C21"/>
    <w:rsid w:val="00D86168"/>
    <w:rsid w:val="00D938D6"/>
    <w:rsid w:val="00D95D4F"/>
    <w:rsid w:val="00D97863"/>
    <w:rsid w:val="00DA1C24"/>
    <w:rsid w:val="00DA3C4D"/>
    <w:rsid w:val="00DA3D9E"/>
    <w:rsid w:val="00DB4F44"/>
    <w:rsid w:val="00DB63E5"/>
    <w:rsid w:val="00DC109F"/>
    <w:rsid w:val="00DC7659"/>
    <w:rsid w:val="00DD084A"/>
    <w:rsid w:val="00DD19D9"/>
    <w:rsid w:val="00DD628E"/>
    <w:rsid w:val="00DE4FEB"/>
    <w:rsid w:val="00DF048A"/>
    <w:rsid w:val="00DF302A"/>
    <w:rsid w:val="00DF4F8D"/>
    <w:rsid w:val="00E003D6"/>
    <w:rsid w:val="00E0118C"/>
    <w:rsid w:val="00E050E8"/>
    <w:rsid w:val="00E05235"/>
    <w:rsid w:val="00E2486B"/>
    <w:rsid w:val="00E32073"/>
    <w:rsid w:val="00E32107"/>
    <w:rsid w:val="00E3659E"/>
    <w:rsid w:val="00E43F45"/>
    <w:rsid w:val="00E50120"/>
    <w:rsid w:val="00E529FC"/>
    <w:rsid w:val="00E52BF2"/>
    <w:rsid w:val="00E5315D"/>
    <w:rsid w:val="00E53450"/>
    <w:rsid w:val="00E557C8"/>
    <w:rsid w:val="00E5677A"/>
    <w:rsid w:val="00E647AF"/>
    <w:rsid w:val="00E67D04"/>
    <w:rsid w:val="00E7609A"/>
    <w:rsid w:val="00E83B5D"/>
    <w:rsid w:val="00E95970"/>
    <w:rsid w:val="00E97CAE"/>
    <w:rsid w:val="00EA0C17"/>
    <w:rsid w:val="00EA6262"/>
    <w:rsid w:val="00EB3E05"/>
    <w:rsid w:val="00EB5E17"/>
    <w:rsid w:val="00EC5F55"/>
    <w:rsid w:val="00ED6E28"/>
    <w:rsid w:val="00EE0136"/>
    <w:rsid w:val="00EE4872"/>
    <w:rsid w:val="00EF0C29"/>
    <w:rsid w:val="00EF2050"/>
    <w:rsid w:val="00EF643A"/>
    <w:rsid w:val="00F03CB8"/>
    <w:rsid w:val="00F058B6"/>
    <w:rsid w:val="00F110B7"/>
    <w:rsid w:val="00F15B69"/>
    <w:rsid w:val="00F227F4"/>
    <w:rsid w:val="00F34F9D"/>
    <w:rsid w:val="00F35702"/>
    <w:rsid w:val="00F365CE"/>
    <w:rsid w:val="00F41829"/>
    <w:rsid w:val="00F43417"/>
    <w:rsid w:val="00F60B4A"/>
    <w:rsid w:val="00F65DAD"/>
    <w:rsid w:val="00F727EE"/>
    <w:rsid w:val="00F72B89"/>
    <w:rsid w:val="00F73968"/>
    <w:rsid w:val="00F748C7"/>
    <w:rsid w:val="00F7718F"/>
    <w:rsid w:val="00F7729B"/>
    <w:rsid w:val="00F82F5D"/>
    <w:rsid w:val="00F848B0"/>
    <w:rsid w:val="00F86F91"/>
    <w:rsid w:val="00F9181F"/>
    <w:rsid w:val="00F9549C"/>
    <w:rsid w:val="00FA2322"/>
    <w:rsid w:val="00FA3126"/>
    <w:rsid w:val="00FA4BA8"/>
    <w:rsid w:val="00FA6962"/>
    <w:rsid w:val="00FB4B98"/>
    <w:rsid w:val="00FB6F6B"/>
    <w:rsid w:val="00FB74FD"/>
    <w:rsid w:val="00FB7907"/>
    <w:rsid w:val="00FC0CDA"/>
    <w:rsid w:val="00FC202B"/>
    <w:rsid w:val="00FC522A"/>
    <w:rsid w:val="00FC6EC9"/>
    <w:rsid w:val="00FD41EA"/>
    <w:rsid w:val="00FD59A7"/>
    <w:rsid w:val="00FE0A82"/>
    <w:rsid w:val="00FE2D40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D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51"/>
  </w:style>
  <w:style w:type="paragraph" w:styleId="Heading1">
    <w:name w:val="heading 1"/>
    <w:basedOn w:val="Normal"/>
    <w:next w:val="Normal"/>
    <w:link w:val="Heading1Char"/>
    <w:uiPriority w:val="9"/>
    <w:qFormat/>
    <w:rsid w:val="00C23F5C"/>
    <w:pPr>
      <w:outlineLvl w:val="0"/>
    </w:pPr>
    <w:rPr>
      <w:rFonts w:cstheme="minorHAns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E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E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5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65"/>
  </w:style>
  <w:style w:type="paragraph" w:styleId="Footer">
    <w:name w:val="footer"/>
    <w:basedOn w:val="Normal"/>
    <w:link w:val="FooterChar"/>
    <w:uiPriority w:val="99"/>
    <w:unhideWhenUsed/>
    <w:rsid w:val="0037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65"/>
  </w:style>
  <w:style w:type="table" w:styleId="TableGrid">
    <w:name w:val="Table Grid"/>
    <w:basedOn w:val="TableNormal"/>
    <w:uiPriority w:val="39"/>
    <w:rsid w:val="0079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A8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A0E78"/>
    <w:rPr>
      <w:rFonts w:asciiTheme="majorHAnsi" w:eastAsiaTheme="majorEastAsia" w:hAnsiTheme="majorHAnsi" w:cstheme="majorBidi"/>
      <w:i/>
      <w:iCs/>
      <w:color w:val="2F5496" w:themeColor="accent1" w:themeShade="BF"/>
      <w:lang w:val="en-NZ"/>
    </w:rPr>
  </w:style>
  <w:style w:type="paragraph" w:styleId="Revision">
    <w:name w:val="Revision"/>
    <w:hidden/>
    <w:uiPriority w:val="99"/>
    <w:semiHidden/>
    <w:rsid w:val="00A448C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23F5C"/>
    <w:rPr>
      <w:rFonts w:cs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D04-E480-4921-8EEE-B51BC3EC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2258</Characters>
  <Application>Microsoft Office Word</Application>
  <DocSecurity>0</DocSecurity>
  <Lines>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 1.6: Sustainable Agriculture and Food Systems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1.6: Sustainable Agriculture and Food Systems</dc:title>
  <dc:subject/>
  <dc:creator/>
  <cp:keywords>[SEC=OFFICIAL]</cp:keywords>
  <dc:description/>
  <cp:lastModifiedBy/>
  <cp:revision>1</cp:revision>
  <dcterms:created xsi:type="dcterms:W3CDTF">2022-10-14T05:41:00Z</dcterms:created>
  <dcterms:modified xsi:type="dcterms:W3CDTF">2022-10-16T21:48:00Z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CF0570168E3A434DACE88781A77F1AFC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2022-10-16T21:48:18Z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D4BFC2F67683BEF12EA29EEB72C0F725</vt:lpwstr>
  </property>
  <property fmtid="{D5CDD505-2E9C-101B-9397-08002B2CF9AE}" pid="20" name="MSIP_Label_4f288355-fb4c-44cd-b9ca-40cfc2aee5f8_Method">
    <vt:lpwstr>Standard</vt:lpwstr>
  </property>
  <property fmtid="{D5CDD505-2E9C-101B-9397-08002B2CF9AE}" pid="21" name="PM_Hash_Salt">
    <vt:lpwstr>1DDAB8D71FD708D59D03C42DA790CED9</vt:lpwstr>
  </property>
  <property fmtid="{D5CDD505-2E9C-101B-9397-08002B2CF9AE}" pid="22" name="PM_Hash_SHA1">
    <vt:lpwstr>C7FB89BE085DD546F12F458B2965046E21682BE5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MSIP_Label_4f288355-fb4c-44cd-b9ca-40cfc2aee5f8_Enabled">
    <vt:lpwstr>true</vt:lpwstr>
  </property>
  <property fmtid="{D5CDD505-2E9C-101B-9397-08002B2CF9AE}" pid="26" name="MSIP_Label_4f288355-fb4c-44cd-b9ca-40cfc2aee5f8_SetDate">
    <vt:lpwstr>2022-10-12T02:30:00Z</vt:lpwstr>
  </property>
  <property fmtid="{D5CDD505-2E9C-101B-9397-08002B2CF9AE}" pid="27" name="MSIP_Label_4f288355-fb4c-44cd-b9ca-40cfc2aee5f8_Name">
    <vt:lpwstr>Non Sensitive_1</vt:lpwstr>
  </property>
  <property fmtid="{D5CDD505-2E9C-101B-9397-08002B2CF9AE}" pid="28" name="MSIP_Label_4f288355-fb4c-44cd-b9ca-40cfc2aee5f8_SiteId">
    <vt:lpwstr>0b11c524-9a1c-4e1b-84cb-6336aefc2243</vt:lpwstr>
  </property>
  <property fmtid="{D5CDD505-2E9C-101B-9397-08002B2CF9AE}" pid="29" name="MSIP_Label_4f288355-fb4c-44cd-b9ca-40cfc2aee5f8_ActionId">
    <vt:lpwstr>051e87c0-5497-45a1-a3d1-30e8e36a4a66</vt:lpwstr>
  </property>
  <property fmtid="{D5CDD505-2E9C-101B-9397-08002B2CF9AE}" pid="30" name="MSIP_Label_4f288355-fb4c-44cd-b9ca-40cfc2aee5f8_ContentBits">
    <vt:lpwstr>0</vt:lpwstr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OriginatorUserAccountName_SHA256">
    <vt:lpwstr>3E9DB5AB808CA91EB3E8EC398CDB7F67B110581D6BB28BC88565729DCE387350</vt:lpwstr>
  </property>
  <property fmtid="{D5CDD505-2E9C-101B-9397-08002B2CF9AE}" pid="35" name="PM_OriginatorDomainName_SHA256">
    <vt:lpwstr>6F3591835F3B2A8A025B00B5BA6418010DA3A17C9C26EA9C049FFD28039489A2</vt:lpwstr>
  </property>
</Properties>
</file>