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7465" w14:textId="3ABDEDBA" w:rsidR="00A72B86" w:rsidRDefault="00484EE6" w:rsidP="00A72B86">
      <w:pPr>
        <w:rPr>
          <w:rFonts w:cstheme="minorHAnsi"/>
          <w:b/>
          <w:bCs/>
          <w:sz w:val="28"/>
          <w:szCs w:val="28"/>
        </w:rPr>
      </w:pPr>
      <w:r w:rsidRPr="00484EE6">
        <w:rPr>
          <w:rFonts w:cstheme="minorHAnsi"/>
          <w:b/>
          <w:bCs/>
          <w:sz w:val="28"/>
          <w:szCs w:val="28"/>
        </w:rPr>
        <w:t xml:space="preserve">Annex B 1.5: </w:t>
      </w:r>
      <w:r w:rsidRPr="00484EE6">
        <w:rPr>
          <w:b/>
          <w:bCs/>
          <w:sz w:val="28"/>
          <w:szCs w:val="28"/>
        </w:rPr>
        <w:t>Environmentally Sustainable Government Procurement</w:t>
      </w:r>
    </w:p>
    <w:tbl>
      <w:tblPr>
        <w:tblStyle w:val="TableGrid"/>
        <w:tblW w:w="9918" w:type="dxa"/>
        <w:tblLook w:val="04A0" w:firstRow="1" w:lastRow="0" w:firstColumn="1" w:lastColumn="0" w:noHBand="0" w:noVBand="1"/>
      </w:tblPr>
      <w:tblGrid>
        <w:gridCol w:w="2263"/>
        <w:gridCol w:w="7655"/>
      </w:tblGrid>
      <w:tr w:rsidR="00AF44BD" w14:paraId="3586B938" w14:textId="77777777" w:rsidTr="00D81D17">
        <w:tc>
          <w:tcPr>
            <w:tcW w:w="2263" w:type="dxa"/>
            <w:shd w:val="clear" w:color="auto" w:fill="E2EFD9" w:themeFill="accent6" w:themeFillTint="33"/>
          </w:tcPr>
          <w:p w14:paraId="6D61EE1F" w14:textId="77777777" w:rsidR="00AF44BD" w:rsidRPr="004F5CEF" w:rsidRDefault="00AF44BD" w:rsidP="00D81D17">
            <w:pPr>
              <w:rPr>
                <w:b/>
                <w:bCs/>
              </w:rPr>
            </w:pPr>
            <w:r>
              <w:rPr>
                <w:b/>
                <w:bCs/>
              </w:rPr>
              <w:t>Area of Cooperation</w:t>
            </w:r>
          </w:p>
        </w:tc>
        <w:tc>
          <w:tcPr>
            <w:tcW w:w="7655" w:type="dxa"/>
          </w:tcPr>
          <w:p w14:paraId="60F9194A" w14:textId="77777777" w:rsidR="00AF44BD" w:rsidRDefault="00AF44BD" w:rsidP="00D81D17">
            <w:r>
              <w:t>Trade and Investment</w:t>
            </w:r>
          </w:p>
          <w:p w14:paraId="4F4C19CD" w14:textId="77777777" w:rsidR="00AF44BD" w:rsidRDefault="00AF44BD" w:rsidP="00D81D17"/>
        </w:tc>
      </w:tr>
      <w:tr w:rsidR="00AF44BD" w14:paraId="6DBC10B4" w14:textId="77777777" w:rsidTr="00D81D17">
        <w:tc>
          <w:tcPr>
            <w:tcW w:w="2263" w:type="dxa"/>
            <w:shd w:val="clear" w:color="auto" w:fill="E2EFD9" w:themeFill="accent6" w:themeFillTint="33"/>
          </w:tcPr>
          <w:p w14:paraId="0C7C7AD4" w14:textId="77777777" w:rsidR="00AF44BD" w:rsidRPr="004F5CEF" w:rsidRDefault="00AF44BD" w:rsidP="00D81D17">
            <w:pPr>
              <w:rPr>
                <w:b/>
                <w:bCs/>
              </w:rPr>
            </w:pPr>
            <w:r w:rsidRPr="004F5CEF">
              <w:rPr>
                <w:b/>
                <w:bCs/>
              </w:rPr>
              <w:t>Purpose</w:t>
            </w:r>
            <w:r>
              <w:rPr>
                <w:b/>
                <w:bCs/>
              </w:rPr>
              <w:t xml:space="preserve"> and Outcomes</w:t>
            </w:r>
          </w:p>
          <w:p w14:paraId="1E80D68F" w14:textId="77777777" w:rsidR="00AF44BD" w:rsidRPr="004F5CEF" w:rsidRDefault="00AF44BD" w:rsidP="00D81D17">
            <w:pPr>
              <w:rPr>
                <w:b/>
                <w:bCs/>
              </w:rPr>
            </w:pPr>
          </w:p>
        </w:tc>
        <w:tc>
          <w:tcPr>
            <w:tcW w:w="7655" w:type="dxa"/>
          </w:tcPr>
          <w:p w14:paraId="4FB3E0A0" w14:textId="2151BFB2" w:rsidR="00AF44BD" w:rsidRDefault="00AF44BD" w:rsidP="00D81D17">
            <w:pPr>
              <w:autoSpaceDE w:val="0"/>
              <w:autoSpaceDN w:val="0"/>
              <w:adjustRightInd w:val="0"/>
              <w:jc w:val="both"/>
            </w:pPr>
            <w:r w:rsidRPr="00881169">
              <w:t xml:space="preserve">Recognising the role of </w:t>
            </w:r>
            <w:r>
              <w:t xml:space="preserve">government </w:t>
            </w:r>
            <w:r w:rsidRPr="00881169">
              <w:t>procurement in achieving environmental goals, and in catalysing green growth within economies, Singapore</w:t>
            </w:r>
            <w:r w:rsidR="00983D47">
              <w:t xml:space="preserve"> and Australia</w:t>
            </w:r>
            <w:r w:rsidRPr="00881169">
              <w:t xml:space="preserve"> have </w:t>
            </w:r>
            <w:r>
              <w:t>jointly determined</w:t>
            </w:r>
            <w:r w:rsidRPr="00881169">
              <w:t xml:space="preserve"> a set of non-binding principles and areas of cooperation.  </w:t>
            </w:r>
          </w:p>
          <w:p w14:paraId="42BD2833" w14:textId="77777777" w:rsidR="00AF44BD" w:rsidRPr="00287B73" w:rsidRDefault="00AF44BD" w:rsidP="00D81D17">
            <w:pPr>
              <w:autoSpaceDE w:val="0"/>
              <w:autoSpaceDN w:val="0"/>
              <w:adjustRightInd w:val="0"/>
              <w:jc w:val="both"/>
            </w:pPr>
          </w:p>
        </w:tc>
      </w:tr>
      <w:tr w:rsidR="00AF44BD" w14:paraId="35BB7A2F" w14:textId="77777777" w:rsidTr="00D81D17">
        <w:tc>
          <w:tcPr>
            <w:tcW w:w="2263" w:type="dxa"/>
            <w:shd w:val="clear" w:color="auto" w:fill="E2EFD9" w:themeFill="accent6" w:themeFillTint="33"/>
          </w:tcPr>
          <w:p w14:paraId="62D9C3F9" w14:textId="77777777" w:rsidR="00AF44BD" w:rsidRPr="004F5CEF" w:rsidRDefault="00AF44BD" w:rsidP="00D81D17">
            <w:pPr>
              <w:rPr>
                <w:b/>
                <w:bCs/>
              </w:rPr>
            </w:pPr>
            <w:r w:rsidRPr="004F5CEF">
              <w:rPr>
                <w:b/>
                <w:bCs/>
              </w:rPr>
              <w:t xml:space="preserve">Description </w:t>
            </w:r>
          </w:p>
          <w:p w14:paraId="57400797" w14:textId="77777777" w:rsidR="00AF44BD" w:rsidRPr="004F5CEF" w:rsidRDefault="00AF44BD" w:rsidP="00D81D17">
            <w:pPr>
              <w:rPr>
                <w:b/>
                <w:bCs/>
              </w:rPr>
            </w:pPr>
          </w:p>
        </w:tc>
        <w:tc>
          <w:tcPr>
            <w:tcW w:w="7655" w:type="dxa"/>
          </w:tcPr>
          <w:p w14:paraId="4E70076B" w14:textId="47D5FC6F" w:rsidR="00AF44BD" w:rsidRDefault="00AF44BD" w:rsidP="00D81D17">
            <w:r>
              <w:t xml:space="preserve">Singapore </w:t>
            </w:r>
            <w:r w:rsidR="00983D47">
              <w:t xml:space="preserve">and Australia </w:t>
            </w:r>
            <w:r w:rsidRPr="00EE70F3">
              <w:t xml:space="preserve">acknowledge that environmental sustainability principles, factors and practices can be considered when determining value for money over the entire life of a </w:t>
            </w:r>
            <w:r>
              <w:t xml:space="preserve">government </w:t>
            </w:r>
            <w:r w:rsidRPr="00EE70F3">
              <w:t xml:space="preserve">procurement. </w:t>
            </w:r>
            <w:r w:rsidR="00014944" w:rsidRPr="00EE70F3">
              <w:t>A non-exhaustive list of factors and</w:t>
            </w:r>
            <w:r w:rsidR="00014944">
              <w:t xml:space="preserve"> government</w:t>
            </w:r>
            <w:r w:rsidR="00014944" w:rsidRPr="00EE70F3">
              <w:t xml:space="preserve"> procurement practices</w:t>
            </w:r>
            <w:r w:rsidRPr="00EE70F3">
              <w:t xml:space="preserve"> recognised by </w:t>
            </w:r>
            <w:r w:rsidR="00863112">
              <w:t xml:space="preserve">both countries </w:t>
            </w:r>
            <w:r w:rsidRPr="00EE70F3">
              <w:t xml:space="preserve">is appended.  </w:t>
            </w:r>
          </w:p>
          <w:p w14:paraId="3AD96C5D" w14:textId="77777777" w:rsidR="00AF44BD" w:rsidRPr="00EE70F3" w:rsidRDefault="00AF44BD" w:rsidP="00D81D17">
            <w:pPr>
              <w:pStyle w:val="ListParagraph"/>
              <w:ind w:left="993"/>
            </w:pPr>
          </w:p>
          <w:p w14:paraId="421EF31E" w14:textId="7742108D" w:rsidR="00AF44BD" w:rsidRDefault="00AF44BD" w:rsidP="00D81D17">
            <w:r w:rsidRPr="00EE70F3">
              <w:t xml:space="preserve">Singapore </w:t>
            </w:r>
            <w:r w:rsidR="00983D47">
              <w:t xml:space="preserve">and Australia </w:t>
            </w:r>
            <w:r w:rsidRPr="00EE70F3">
              <w:t xml:space="preserve">also acknowledge the core principles of government procurement, including non-discrimination and transparency, which are equally relevant </w:t>
            </w:r>
            <w:proofErr w:type="gramStart"/>
            <w:r w:rsidRPr="00EE70F3">
              <w:t>in regard to</w:t>
            </w:r>
            <w:proofErr w:type="gramEnd"/>
            <w:r w:rsidRPr="00EE70F3">
              <w:t xml:space="preserve"> environmentally sustainable </w:t>
            </w:r>
            <w:r>
              <w:t xml:space="preserve">government </w:t>
            </w:r>
            <w:r w:rsidRPr="00EE70F3">
              <w:t xml:space="preserve">procurement. Accordingly, we note that our governments, including our government procuring entities, can </w:t>
            </w:r>
            <w:proofErr w:type="gramStart"/>
            <w:r w:rsidRPr="00EE70F3">
              <w:t>take into account</w:t>
            </w:r>
            <w:proofErr w:type="gramEnd"/>
            <w:r w:rsidRPr="00EE70F3">
              <w:t xml:space="preserve"> environmental considerations during procurement processes, based on objectively verifiable and non-discriminatory criteria, indicated in the notice of intended procurement or tender documentation, and accessible to all interested suppliers – to ensure transparency and accessibility. </w:t>
            </w:r>
          </w:p>
          <w:p w14:paraId="38619CBE" w14:textId="77777777" w:rsidR="00AF44BD" w:rsidRDefault="00AF44BD" w:rsidP="00D81D17"/>
          <w:p w14:paraId="13C6EC82" w14:textId="3C81F672" w:rsidR="00AF44BD" w:rsidRDefault="00AF44BD" w:rsidP="00D81D17">
            <w:r>
              <w:t>Singapore</w:t>
            </w:r>
            <w:r w:rsidR="00983D47">
              <w:t xml:space="preserve"> and Australia</w:t>
            </w:r>
            <w:r>
              <w:t xml:space="preserve"> further</w:t>
            </w:r>
            <w:r w:rsidRPr="00EE70F3">
              <w:t xml:space="preserve"> recognise that broader economic benefits can be realised through</w:t>
            </w:r>
            <w:r>
              <w:t xml:space="preserve"> government procurement, in</w:t>
            </w:r>
            <w:r w:rsidRPr="00EE70F3">
              <w:t xml:space="preserve"> normalising the consideration of environmental sustainability and climate change impacts,</w:t>
            </w:r>
            <w:r>
              <w:t xml:space="preserve"> and</w:t>
            </w:r>
            <w:r w:rsidRPr="00EE70F3">
              <w:t xml:space="preserve"> the use of recycled materials in public projects</w:t>
            </w:r>
            <w:r>
              <w:t>.</w:t>
            </w:r>
          </w:p>
          <w:p w14:paraId="516BF5A4" w14:textId="77777777" w:rsidR="00AF44BD" w:rsidRPr="00287B73" w:rsidRDefault="00AF44BD" w:rsidP="00D81D17"/>
        </w:tc>
      </w:tr>
      <w:tr w:rsidR="00AF44BD" w14:paraId="3825686F" w14:textId="77777777" w:rsidTr="00D81D17">
        <w:tc>
          <w:tcPr>
            <w:tcW w:w="2263" w:type="dxa"/>
            <w:shd w:val="clear" w:color="auto" w:fill="E2EFD9" w:themeFill="accent6" w:themeFillTint="33"/>
          </w:tcPr>
          <w:p w14:paraId="744B1C3C" w14:textId="77777777" w:rsidR="00AF44BD" w:rsidRPr="004F5CEF" w:rsidRDefault="00AF44BD" w:rsidP="00D81D17">
            <w:pPr>
              <w:rPr>
                <w:b/>
                <w:bCs/>
              </w:rPr>
            </w:pPr>
            <w:r w:rsidRPr="004F5CEF">
              <w:rPr>
                <w:b/>
                <w:bCs/>
              </w:rPr>
              <w:t xml:space="preserve">Specific </w:t>
            </w:r>
            <w:r>
              <w:rPr>
                <w:b/>
                <w:bCs/>
              </w:rPr>
              <w:t>Elements</w:t>
            </w:r>
            <w:r w:rsidRPr="004F5CEF">
              <w:rPr>
                <w:b/>
                <w:bCs/>
              </w:rPr>
              <w:t xml:space="preserve"> </w:t>
            </w:r>
          </w:p>
          <w:p w14:paraId="00872EB9" w14:textId="77777777" w:rsidR="00AF44BD" w:rsidRPr="004F5CEF" w:rsidRDefault="00AF44BD" w:rsidP="00D81D17">
            <w:pPr>
              <w:rPr>
                <w:b/>
                <w:bCs/>
              </w:rPr>
            </w:pPr>
          </w:p>
          <w:p w14:paraId="5D182BAC" w14:textId="77777777" w:rsidR="00AF44BD" w:rsidRPr="004F5CEF" w:rsidRDefault="00AF44BD" w:rsidP="00D81D17">
            <w:pPr>
              <w:rPr>
                <w:b/>
                <w:bCs/>
              </w:rPr>
            </w:pPr>
          </w:p>
        </w:tc>
        <w:tc>
          <w:tcPr>
            <w:tcW w:w="7655" w:type="dxa"/>
          </w:tcPr>
          <w:p w14:paraId="035055BB" w14:textId="77777777" w:rsidR="00AF44BD" w:rsidRPr="00A44535" w:rsidRDefault="00AF44BD" w:rsidP="00D81D17">
            <w:pPr>
              <w:spacing w:line="256" w:lineRule="auto"/>
              <w:rPr>
                <w:i/>
                <w:iCs/>
              </w:rPr>
            </w:pPr>
            <w:r w:rsidRPr="00A44535">
              <w:rPr>
                <w:i/>
                <w:iCs/>
              </w:rPr>
              <w:t>Overarching</w:t>
            </w:r>
          </w:p>
          <w:p w14:paraId="3BF5A99F" w14:textId="60D84BC1" w:rsidR="00AF44BD" w:rsidRDefault="00AF44BD" w:rsidP="00D81D17">
            <w:r>
              <w:t>Singapore</w:t>
            </w:r>
            <w:r w:rsidR="00983D47">
              <w:t xml:space="preserve"> and Australia</w:t>
            </w:r>
            <w:r>
              <w:t xml:space="preserve"> will</w:t>
            </w:r>
            <w:r w:rsidRPr="00EE70F3">
              <w:t xml:space="preserve"> conduct environmentally sustainable </w:t>
            </w:r>
            <w:r>
              <w:t xml:space="preserve">government </w:t>
            </w:r>
            <w:r w:rsidRPr="00EE70F3">
              <w:t xml:space="preserve">procurement </w:t>
            </w:r>
            <w:r>
              <w:t xml:space="preserve">consistent </w:t>
            </w:r>
            <w:r w:rsidRPr="00EE70F3">
              <w:t xml:space="preserve">with </w:t>
            </w:r>
            <w:r>
              <w:t>our</w:t>
            </w:r>
            <w:r w:rsidRPr="00EE70F3">
              <w:t xml:space="preserve"> international trade obligations, such as </w:t>
            </w:r>
            <w:r>
              <w:t xml:space="preserve">under </w:t>
            </w:r>
            <w:r w:rsidRPr="00EE70F3">
              <w:t>the</w:t>
            </w:r>
            <w:r>
              <w:t xml:space="preserve"> World Trade Organization Agreement on Government Procurement (WTO </w:t>
            </w:r>
            <w:r w:rsidRPr="00EE70F3">
              <w:t>GPA</w:t>
            </w:r>
            <w:r>
              <w:t>)</w:t>
            </w:r>
            <w:r w:rsidRPr="00EE70F3">
              <w:t xml:space="preserve"> and relevant</w:t>
            </w:r>
            <w:r>
              <w:t xml:space="preserve"> bilateral or</w:t>
            </w:r>
            <w:r w:rsidRPr="00EE70F3">
              <w:t xml:space="preserve"> regional trade agreements. </w:t>
            </w:r>
          </w:p>
          <w:p w14:paraId="5A790590" w14:textId="77777777" w:rsidR="00AF44BD" w:rsidRDefault="00AF44BD" w:rsidP="00D81D17"/>
          <w:p w14:paraId="6FD75D1F" w14:textId="64DF0ADF" w:rsidR="00AF44BD" w:rsidRDefault="00AF44BD" w:rsidP="00D81D17">
            <w:r>
              <w:t>Singapore</w:t>
            </w:r>
            <w:r w:rsidR="00983D47">
              <w:t xml:space="preserve"> and Australia</w:t>
            </w:r>
            <w:r>
              <w:t xml:space="preserve"> recognise that core elements of these</w:t>
            </w:r>
            <w:r w:rsidRPr="006C77CB">
              <w:t xml:space="preserve"> </w:t>
            </w:r>
            <w:r w:rsidRPr="00EE70F3">
              <w:t xml:space="preserve">international trade </w:t>
            </w:r>
            <w:r>
              <w:t xml:space="preserve">obligations include </w:t>
            </w:r>
            <w:r w:rsidRPr="00EE70F3">
              <w:t xml:space="preserve">the principle of </w:t>
            </w:r>
            <w:r>
              <w:t>achieving “</w:t>
            </w:r>
            <w:r w:rsidRPr="00EE70F3">
              <w:t>best value for money</w:t>
            </w:r>
            <w:r>
              <w:t xml:space="preserve">”, </w:t>
            </w:r>
            <w:r w:rsidRPr="00EE70F3">
              <w:t>open and fair competition</w:t>
            </w:r>
            <w:r>
              <w:t>, and not discriminating</w:t>
            </w:r>
            <w:r w:rsidRPr="00EE70F3">
              <w:t xml:space="preserve"> between products and services based on their origin.</w:t>
            </w:r>
            <w:r>
              <w:t xml:space="preserve"> </w:t>
            </w:r>
          </w:p>
          <w:p w14:paraId="341C591C" w14:textId="77777777" w:rsidR="00AF44BD" w:rsidRDefault="00AF44BD" w:rsidP="00D81D17"/>
          <w:p w14:paraId="3E9361E9" w14:textId="77777777" w:rsidR="00AF44BD" w:rsidRPr="00B73880" w:rsidRDefault="00AF44BD" w:rsidP="00D81D17">
            <w:pPr>
              <w:rPr>
                <w:i/>
                <w:iCs/>
              </w:rPr>
            </w:pPr>
            <w:r w:rsidRPr="00B73880">
              <w:rPr>
                <w:i/>
                <w:iCs/>
              </w:rPr>
              <w:t>Transparency of procurement information</w:t>
            </w:r>
          </w:p>
          <w:p w14:paraId="37200036" w14:textId="5BB0EC18" w:rsidR="00AF44BD" w:rsidRDefault="00AF44BD" w:rsidP="00D81D17">
            <w:r>
              <w:t>Singapore</w:t>
            </w:r>
            <w:r w:rsidR="00983D47">
              <w:t xml:space="preserve"> and Australia</w:t>
            </w:r>
            <w:r>
              <w:t xml:space="preserve"> note the importance of making their relevant laws, regulations and policies relating to environmentally sustainable government procurement publicly available, as well as information on where relevant tender opportunities are published online. </w:t>
            </w:r>
          </w:p>
          <w:p w14:paraId="61B4E5EA" w14:textId="77777777" w:rsidR="00AF44BD" w:rsidRDefault="00AF44BD" w:rsidP="00D81D17">
            <w:pPr>
              <w:rPr>
                <w:i/>
                <w:iCs/>
              </w:rPr>
            </w:pPr>
          </w:p>
          <w:p w14:paraId="73E53B17" w14:textId="77777777" w:rsidR="00AF44BD" w:rsidRPr="00A44535" w:rsidRDefault="00AF44BD" w:rsidP="00D81D17">
            <w:pPr>
              <w:rPr>
                <w:i/>
                <w:iCs/>
              </w:rPr>
            </w:pPr>
            <w:r w:rsidRPr="00A44535">
              <w:rPr>
                <w:i/>
                <w:iCs/>
              </w:rPr>
              <w:t>Technical specifications</w:t>
            </w:r>
          </w:p>
          <w:p w14:paraId="3C18CF93" w14:textId="2D5E41D1" w:rsidR="00AF44BD" w:rsidRDefault="00AF44BD" w:rsidP="00D81D17">
            <w:r>
              <w:t>Singapore</w:t>
            </w:r>
            <w:r w:rsidR="00983D47">
              <w:t xml:space="preserve"> and Australia</w:t>
            </w:r>
            <w:r w:rsidRPr="00EE70F3">
              <w:t xml:space="preserve"> </w:t>
            </w:r>
            <w:r>
              <w:t xml:space="preserve">also </w:t>
            </w:r>
            <w:r w:rsidRPr="00EE70F3">
              <w:t>note the relevance and importance of technical specifications, in line with our joint and individual relevant trade agreements. Accordingly, we acknowledge that technical specifications can be prepared, adopted, or applied to promote the conservation of natural resources or protect the environment</w:t>
            </w:r>
            <w:r>
              <w:t xml:space="preserve"> – provided they are non-discriminatory and transparent</w:t>
            </w:r>
            <w:r w:rsidRPr="00EE70F3">
              <w:t>.</w:t>
            </w:r>
          </w:p>
          <w:p w14:paraId="26C37E9B" w14:textId="77777777" w:rsidR="003227C0" w:rsidRDefault="003227C0" w:rsidP="00D81D17">
            <w:pPr>
              <w:autoSpaceDE w:val="0"/>
              <w:autoSpaceDN w:val="0"/>
              <w:adjustRightInd w:val="0"/>
              <w:jc w:val="both"/>
              <w:rPr>
                <w:i/>
                <w:iCs/>
              </w:rPr>
            </w:pPr>
          </w:p>
          <w:p w14:paraId="1EE01BBD" w14:textId="3FBF3E3D" w:rsidR="00AF44BD" w:rsidRPr="00A44535" w:rsidRDefault="00AF44BD" w:rsidP="00D81D17">
            <w:pPr>
              <w:autoSpaceDE w:val="0"/>
              <w:autoSpaceDN w:val="0"/>
              <w:adjustRightInd w:val="0"/>
              <w:jc w:val="both"/>
              <w:rPr>
                <w:i/>
                <w:iCs/>
              </w:rPr>
            </w:pPr>
            <w:r w:rsidRPr="00A44535">
              <w:rPr>
                <w:i/>
                <w:iCs/>
              </w:rPr>
              <w:lastRenderedPageBreak/>
              <w:t>Cooperation</w:t>
            </w:r>
          </w:p>
          <w:p w14:paraId="1694D344" w14:textId="3987FC0D" w:rsidR="00AF44BD" w:rsidRPr="00EE70F3" w:rsidRDefault="00BA0AB7" w:rsidP="00D81D17">
            <w:pPr>
              <w:autoSpaceDE w:val="0"/>
              <w:autoSpaceDN w:val="0"/>
              <w:adjustRightInd w:val="0"/>
              <w:jc w:val="both"/>
            </w:pPr>
            <w:r>
              <w:t xml:space="preserve">Singapore </w:t>
            </w:r>
            <w:r w:rsidR="00983D47">
              <w:t xml:space="preserve">and Australia </w:t>
            </w:r>
            <w:r w:rsidR="00AF44BD">
              <w:t>will</w:t>
            </w:r>
            <w:r w:rsidR="00AF44BD" w:rsidRPr="00EE70F3">
              <w:t xml:space="preserve"> endeavour to cooperate</w:t>
            </w:r>
            <w:r w:rsidR="00AF44BD">
              <w:t>,</w:t>
            </w:r>
            <w:r w:rsidR="00AF44BD" w:rsidRPr="00EE70F3">
              <w:t xml:space="preserve"> with a view to achieving a better understanding of </w:t>
            </w:r>
            <w:r w:rsidR="00AF44BD">
              <w:t>our</w:t>
            </w:r>
            <w:r w:rsidR="00AF44BD" w:rsidRPr="00EE70F3">
              <w:t xml:space="preserve"> respective environmentally sustainable </w:t>
            </w:r>
            <w:r w:rsidR="00AF44BD">
              <w:t xml:space="preserve">government </w:t>
            </w:r>
            <w:r w:rsidR="00AF44BD" w:rsidRPr="00EE70F3">
              <w:t>procurement regime</w:t>
            </w:r>
            <w:r w:rsidR="00AF44BD">
              <w:t>s</w:t>
            </w:r>
            <w:r w:rsidR="00AF44BD" w:rsidRPr="00EE70F3">
              <w:t>.</w:t>
            </w:r>
            <w:r w:rsidR="00AF44BD">
              <w:t xml:space="preserve"> This cooperation will build on the successful ‘mapping exercise’ undertaken by both </w:t>
            </w:r>
            <w:r w:rsidR="00983D47">
              <w:t>Singapore and Australia</w:t>
            </w:r>
            <w:r w:rsidR="00AF44BD">
              <w:t>, which helped underpin this Annex.</w:t>
            </w:r>
            <w:r w:rsidR="00AF44BD" w:rsidRPr="00EE70F3">
              <w:t xml:space="preserve"> Such cooperation may include:</w:t>
            </w:r>
          </w:p>
          <w:p w14:paraId="6679949E" w14:textId="77777777" w:rsidR="00AF44BD" w:rsidRPr="00EE70F3" w:rsidRDefault="00AF44BD" w:rsidP="00D81D17">
            <w:pPr>
              <w:autoSpaceDE w:val="0"/>
              <w:autoSpaceDN w:val="0"/>
              <w:adjustRightInd w:val="0"/>
              <w:jc w:val="both"/>
            </w:pPr>
          </w:p>
          <w:p w14:paraId="61476516" w14:textId="2A993E59" w:rsidR="00AF44BD" w:rsidRPr="00695EEA" w:rsidRDefault="00AF44BD" w:rsidP="00625198">
            <w:pPr>
              <w:pStyle w:val="Pa16"/>
              <w:numPr>
                <w:ilvl w:val="0"/>
                <w:numId w:val="28"/>
              </w:numPr>
              <w:ind w:left="892"/>
              <w:rPr>
                <w:rFonts w:asciiTheme="minorHAnsi" w:hAnsiTheme="minorHAnsi"/>
                <w:sz w:val="22"/>
                <w:szCs w:val="22"/>
                <w:lang w:val="en-AU"/>
              </w:rPr>
            </w:pPr>
            <w:r w:rsidRPr="00695EEA">
              <w:rPr>
                <w:rFonts w:asciiTheme="minorHAnsi" w:hAnsiTheme="minorHAnsi"/>
                <w:sz w:val="22"/>
                <w:szCs w:val="22"/>
                <w:lang w:val="en-AU"/>
              </w:rPr>
              <w:t xml:space="preserve">exchanging experiences and information on our relevant laws, regulatory frameworks, </w:t>
            </w:r>
            <w:proofErr w:type="gramStart"/>
            <w:r w:rsidRPr="00695EEA">
              <w:rPr>
                <w:rFonts w:asciiTheme="minorHAnsi" w:hAnsiTheme="minorHAnsi"/>
                <w:sz w:val="22"/>
                <w:szCs w:val="22"/>
                <w:lang w:val="en-AU"/>
              </w:rPr>
              <w:t>policies</w:t>
            </w:r>
            <w:proofErr w:type="gramEnd"/>
            <w:r w:rsidRPr="00695EEA">
              <w:rPr>
                <w:rFonts w:asciiTheme="minorHAnsi" w:hAnsiTheme="minorHAnsi"/>
                <w:sz w:val="22"/>
                <w:szCs w:val="22"/>
                <w:lang w:val="en-AU"/>
              </w:rPr>
              <w:t xml:space="preserve"> and procedures – including</w:t>
            </w:r>
            <w:r>
              <w:rPr>
                <w:rFonts w:asciiTheme="minorHAnsi" w:hAnsiTheme="minorHAnsi"/>
                <w:sz w:val="22"/>
                <w:szCs w:val="22"/>
                <w:lang w:val="en-AU"/>
              </w:rPr>
              <w:t xml:space="preserve"> </w:t>
            </w:r>
            <w:r w:rsidR="007B53F1">
              <w:rPr>
                <w:rFonts w:asciiTheme="minorHAnsi" w:hAnsiTheme="minorHAnsi"/>
                <w:sz w:val="22"/>
                <w:szCs w:val="22"/>
                <w:lang w:val="en-AU"/>
              </w:rPr>
              <w:t>on</w:t>
            </w:r>
            <w:r w:rsidR="007B53F1" w:rsidRPr="00695EEA">
              <w:rPr>
                <w:rFonts w:asciiTheme="minorHAnsi" w:hAnsiTheme="minorHAnsi"/>
                <w:sz w:val="22"/>
                <w:szCs w:val="22"/>
                <w:lang w:val="en-AU"/>
              </w:rPr>
              <w:t xml:space="preserve"> </w:t>
            </w:r>
            <w:r w:rsidRPr="00695EEA">
              <w:rPr>
                <w:rFonts w:asciiTheme="minorHAnsi" w:hAnsiTheme="minorHAnsi"/>
                <w:sz w:val="22"/>
                <w:szCs w:val="22"/>
                <w:lang w:val="en-AU"/>
              </w:rPr>
              <w:t>where these are publicly available</w:t>
            </w:r>
            <w:r w:rsidR="00C7239B">
              <w:rPr>
                <w:rFonts w:asciiTheme="minorHAnsi" w:hAnsiTheme="minorHAnsi"/>
                <w:sz w:val="22"/>
                <w:szCs w:val="22"/>
                <w:lang w:val="en-AU"/>
              </w:rPr>
              <w:t>; and</w:t>
            </w:r>
            <w:r w:rsidRPr="00695EEA">
              <w:rPr>
                <w:rFonts w:asciiTheme="minorHAnsi" w:hAnsiTheme="minorHAnsi"/>
                <w:sz w:val="22"/>
                <w:szCs w:val="22"/>
                <w:lang w:val="en-AU"/>
              </w:rPr>
              <w:t xml:space="preserve"> </w:t>
            </w:r>
            <w:r>
              <w:rPr>
                <w:rFonts w:asciiTheme="minorHAnsi" w:hAnsiTheme="minorHAnsi"/>
                <w:sz w:val="22"/>
                <w:szCs w:val="22"/>
                <w:lang w:val="en-AU"/>
              </w:rPr>
              <w:br/>
            </w:r>
          </w:p>
          <w:p w14:paraId="0AFDE838" w14:textId="77777777" w:rsidR="00AF44BD" w:rsidRPr="00695EEA" w:rsidRDefault="00AF44BD" w:rsidP="00625198">
            <w:pPr>
              <w:pStyle w:val="Pa16"/>
              <w:numPr>
                <w:ilvl w:val="0"/>
                <w:numId w:val="28"/>
              </w:numPr>
              <w:ind w:left="892"/>
              <w:rPr>
                <w:rFonts w:asciiTheme="minorHAnsi" w:hAnsiTheme="minorHAnsi"/>
                <w:sz w:val="22"/>
                <w:szCs w:val="22"/>
                <w:lang w:val="en-AU"/>
              </w:rPr>
            </w:pPr>
            <w:r w:rsidRPr="00695EEA">
              <w:rPr>
                <w:rFonts w:asciiTheme="minorHAnsi" w:hAnsiTheme="minorHAnsi"/>
                <w:sz w:val="22"/>
                <w:szCs w:val="22"/>
                <w:lang w:val="en-AU"/>
              </w:rPr>
              <w:t xml:space="preserve">sharing information on best practices, trends and lessons learned from implementation and administration of the laws, frameworks, </w:t>
            </w:r>
            <w:proofErr w:type="gramStart"/>
            <w:r w:rsidRPr="00695EEA">
              <w:rPr>
                <w:rFonts w:asciiTheme="minorHAnsi" w:hAnsiTheme="minorHAnsi"/>
                <w:sz w:val="22"/>
                <w:szCs w:val="22"/>
                <w:lang w:val="en-AU"/>
              </w:rPr>
              <w:t>policies</w:t>
            </w:r>
            <w:proofErr w:type="gramEnd"/>
            <w:r w:rsidRPr="00695EEA">
              <w:rPr>
                <w:rFonts w:asciiTheme="minorHAnsi" w:hAnsiTheme="minorHAnsi"/>
                <w:sz w:val="22"/>
                <w:szCs w:val="22"/>
                <w:lang w:val="en-AU"/>
              </w:rPr>
              <w:t xml:space="preserve"> and procedures. </w:t>
            </w:r>
          </w:p>
          <w:p w14:paraId="49C25D0C" w14:textId="77777777" w:rsidR="00AF44BD" w:rsidRDefault="00AF44BD" w:rsidP="00D81D17">
            <w:pPr>
              <w:autoSpaceDE w:val="0"/>
              <w:autoSpaceDN w:val="0"/>
              <w:adjustRightInd w:val="0"/>
              <w:jc w:val="both"/>
            </w:pPr>
          </w:p>
          <w:p w14:paraId="407871BF" w14:textId="53F9ABE8" w:rsidR="00AF44BD" w:rsidRPr="00EE70F3" w:rsidRDefault="00983D47" w:rsidP="00D81D17">
            <w:pPr>
              <w:autoSpaceDE w:val="0"/>
              <w:autoSpaceDN w:val="0"/>
              <w:adjustRightInd w:val="0"/>
              <w:jc w:val="both"/>
            </w:pPr>
            <w:r>
              <w:t xml:space="preserve">Singapore and Australia </w:t>
            </w:r>
            <w:r w:rsidR="00AF44BD">
              <w:t xml:space="preserve">also jointly decide to </w:t>
            </w:r>
            <w:r w:rsidR="00AF44BD" w:rsidRPr="00EE70F3">
              <w:t xml:space="preserve">undertake further work to advance and update </w:t>
            </w:r>
            <w:r w:rsidR="00AF44BD">
              <w:t>our</w:t>
            </w:r>
            <w:r w:rsidR="00AF44BD" w:rsidRPr="00EE70F3">
              <w:t xml:space="preserve"> understanding of</w:t>
            </w:r>
            <w:r w:rsidR="00AF44BD">
              <w:t>,</w:t>
            </w:r>
            <w:r w:rsidR="00AF44BD" w:rsidRPr="00EE70F3">
              <w:t xml:space="preserve"> and commitment to</w:t>
            </w:r>
            <w:r w:rsidR="00AF44BD">
              <w:t>,</w:t>
            </w:r>
            <w:r w:rsidR="00AF44BD" w:rsidRPr="00EE70F3">
              <w:t xml:space="preserve"> practicing environmentally sustainable</w:t>
            </w:r>
            <w:r w:rsidR="00AF44BD">
              <w:t xml:space="preserve"> government</w:t>
            </w:r>
            <w:r w:rsidR="00AF44BD" w:rsidRPr="00EE70F3">
              <w:t xml:space="preserve"> procurement. Topics for further discussions could include</w:t>
            </w:r>
            <w:r w:rsidR="00AF44BD">
              <w:t>, subject to mutual consent</w:t>
            </w:r>
            <w:r w:rsidR="00AF44BD" w:rsidRPr="00EE70F3">
              <w:t xml:space="preserve">: </w:t>
            </w:r>
          </w:p>
          <w:p w14:paraId="67B084CD" w14:textId="77777777" w:rsidR="00AF44BD" w:rsidRPr="00EE70F3" w:rsidRDefault="00AF44BD" w:rsidP="00D81D17">
            <w:pPr>
              <w:pStyle w:val="Default"/>
              <w:jc w:val="both"/>
              <w:rPr>
                <w:rFonts w:asciiTheme="minorHAnsi" w:hAnsiTheme="minorHAnsi" w:cstheme="minorBidi"/>
                <w:color w:val="auto"/>
                <w:sz w:val="22"/>
                <w:szCs w:val="22"/>
                <w:lang w:val="en-AU"/>
              </w:rPr>
            </w:pPr>
          </w:p>
          <w:p w14:paraId="79E39332" w14:textId="2C44B960" w:rsidR="00AF44BD" w:rsidRDefault="00AF44BD" w:rsidP="00625198">
            <w:pPr>
              <w:pStyle w:val="Pa16"/>
              <w:numPr>
                <w:ilvl w:val="0"/>
                <w:numId w:val="29"/>
              </w:numPr>
              <w:ind w:left="892"/>
              <w:rPr>
                <w:rFonts w:asciiTheme="minorHAnsi" w:hAnsiTheme="minorHAnsi"/>
                <w:sz w:val="22"/>
                <w:szCs w:val="22"/>
                <w:lang w:val="en-AU"/>
              </w:rPr>
            </w:pPr>
            <w:r>
              <w:rPr>
                <w:rFonts w:asciiTheme="minorHAnsi" w:hAnsiTheme="minorHAnsi"/>
                <w:sz w:val="22"/>
                <w:szCs w:val="22"/>
                <w:lang w:val="en-AU"/>
              </w:rPr>
              <w:t>engagement beyond the central level of government, for example with Australian state and territory governments</w:t>
            </w:r>
            <w:r w:rsidR="00B83703">
              <w:rPr>
                <w:rFonts w:asciiTheme="minorHAnsi" w:hAnsiTheme="minorHAnsi"/>
                <w:sz w:val="22"/>
                <w:szCs w:val="22"/>
                <w:lang w:val="en-AU"/>
              </w:rPr>
              <w:t>;</w:t>
            </w:r>
            <w:r>
              <w:rPr>
                <w:rFonts w:asciiTheme="minorHAnsi" w:hAnsiTheme="minorHAnsi"/>
                <w:sz w:val="22"/>
                <w:szCs w:val="22"/>
                <w:lang w:val="en-AU"/>
              </w:rPr>
              <w:br/>
            </w:r>
          </w:p>
          <w:p w14:paraId="2A92E67E" w14:textId="63886666" w:rsidR="00AF44BD" w:rsidRDefault="00AF44BD" w:rsidP="00625198">
            <w:pPr>
              <w:pStyle w:val="Pa16"/>
              <w:numPr>
                <w:ilvl w:val="0"/>
                <w:numId w:val="29"/>
              </w:numPr>
              <w:ind w:left="892"/>
              <w:rPr>
                <w:rFonts w:asciiTheme="minorHAnsi" w:hAnsiTheme="minorHAnsi"/>
                <w:sz w:val="22"/>
                <w:szCs w:val="22"/>
                <w:lang w:val="en-AU"/>
              </w:rPr>
            </w:pPr>
            <w:r w:rsidRPr="000A539A">
              <w:rPr>
                <w:rFonts w:asciiTheme="minorHAnsi" w:hAnsiTheme="minorHAnsi"/>
                <w:sz w:val="22"/>
                <w:szCs w:val="22"/>
                <w:lang w:val="en-AU"/>
              </w:rPr>
              <w:t>raising the awareness of stakeholders involved in the procurement process on environmentally sustainable government procurement</w:t>
            </w:r>
            <w:r w:rsidR="00B83703">
              <w:rPr>
                <w:rFonts w:asciiTheme="minorHAnsi" w:hAnsiTheme="minorHAnsi"/>
                <w:sz w:val="22"/>
                <w:szCs w:val="22"/>
                <w:lang w:val="en-AU"/>
              </w:rPr>
              <w:t>;</w:t>
            </w:r>
            <w:r>
              <w:rPr>
                <w:rFonts w:asciiTheme="minorHAnsi" w:hAnsiTheme="minorHAnsi"/>
                <w:sz w:val="22"/>
                <w:szCs w:val="22"/>
                <w:lang w:val="en-AU"/>
              </w:rPr>
              <w:br/>
            </w:r>
          </w:p>
          <w:p w14:paraId="60A13707" w14:textId="02CD3EAF" w:rsidR="00AF44BD" w:rsidRDefault="00AF44BD" w:rsidP="00625198">
            <w:pPr>
              <w:pStyle w:val="Pa16"/>
              <w:numPr>
                <w:ilvl w:val="0"/>
                <w:numId w:val="29"/>
              </w:numPr>
              <w:ind w:left="892"/>
              <w:rPr>
                <w:rFonts w:asciiTheme="minorHAnsi" w:hAnsiTheme="minorHAnsi"/>
                <w:sz w:val="22"/>
                <w:szCs w:val="22"/>
                <w:lang w:val="en-AU"/>
              </w:rPr>
            </w:pPr>
            <w:r w:rsidRPr="000A539A">
              <w:rPr>
                <w:rFonts w:asciiTheme="minorHAnsi" w:hAnsiTheme="minorHAnsi"/>
                <w:sz w:val="22"/>
                <w:szCs w:val="22"/>
                <w:lang w:val="en-AU"/>
              </w:rPr>
              <w:t>engaging with industry in sectors related to environmentally sustainable government procurement, including on relevant government initiatives</w:t>
            </w:r>
            <w:r w:rsidR="00B83703">
              <w:rPr>
                <w:rFonts w:asciiTheme="minorHAnsi" w:hAnsiTheme="minorHAnsi"/>
                <w:sz w:val="22"/>
                <w:szCs w:val="22"/>
                <w:lang w:val="en-AU"/>
              </w:rPr>
              <w:t>;</w:t>
            </w:r>
            <w:r>
              <w:rPr>
                <w:rFonts w:asciiTheme="minorHAnsi" w:hAnsiTheme="minorHAnsi"/>
                <w:sz w:val="22"/>
                <w:szCs w:val="22"/>
                <w:lang w:val="en-AU"/>
              </w:rPr>
              <w:br/>
            </w:r>
          </w:p>
          <w:p w14:paraId="23C8FDC8" w14:textId="16EA7B12" w:rsidR="00AF44BD" w:rsidRPr="00537DC6" w:rsidRDefault="00AF44BD" w:rsidP="00625198">
            <w:pPr>
              <w:pStyle w:val="Pa16"/>
              <w:numPr>
                <w:ilvl w:val="0"/>
                <w:numId w:val="29"/>
              </w:numPr>
              <w:ind w:left="892"/>
              <w:rPr>
                <w:rFonts w:asciiTheme="minorHAnsi" w:hAnsiTheme="minorHAnsi"/>
                <w:sz w:val="22"/>
                <w:szCs w:val="22"/>
                <w:lang w:val="en-AU"/>
              </w:rPr>
            </w:pPr>
            <w:r w:rsidRPr="00537DC6">
              <w:rPr>
                <w:rFonts w:asciiTheme="minorHAnsi" w:hAnsiTheme="minorHAnsi"/>
                <w:sz w:val="22"/>
                <w:szCs w:val="22"/>
                <w:lang w:val="en-AU"/>
              </w:rPr>
              <w:t>communicating the results of environmentally sustainable government procurement initiatives in terms of environmental and economic benefits, to help stimulate stakeholders to further implement related practices</w:t>
            </w:r>
            <w:r w:rsidR="00B83703">
              <w:rPr>
                <w:rFonts w:asciiTheme="minorHAnsi" w:hAnsiTheme="minorHAnsi"/>
                <w:sz w:val="22"/>
                <w:szCs w:val="22"/>
                <w:lang w:val="en-AU"/>
              </w:rPr>
              <w:t>; and</w:t>
            </w:r>
            <w:r w:rsidRPr="00537DC6">
              <w:rPr>
                <w:rFonts w:asciiTheme="minorHAnsi" w:hAnsiTheme="minorHAnsi"/>
                <w:sz w:val="22"/>
                <w:szCs w:val="22"/>
                <w:lang w:val="en-AU"/>
              </w:rPr>
              <w:br/>
            </w:r>
          </w:p>
          <w:p w14:paraId="70BCAD42" w14:textId="77777777" w:rsidR="00AF44BD" w:rsidRPr="00537DC6" w:rsidRDefault="00AF44BD" w:rsidP="00625198">
            <w:pPr>
              <w:pStyle w:val="Pa16"/>
              <w:numPr>
                <w:ilvl w:val="0"/>
                <w:numId w:val="29"/>
              </w:numPr>
              <w:ind w:left="892"/>
              <w:rPr>
                <w:sz w:val="22"/>
                <w:szCs w:val="22"/>
                <w:lang w:val="en-AU"/>
              </w:rPr>
            </w:pPr>
            <w:r w:rsidRPr="00537DC6">
              <w:rPr>
                <w:sz w:val="22"/>
                <w:szCs w:val="22"/>
                <w:lang w:val="en-AU"/>
              </w:rPr>
              <w:t xml:space="preserve">establishing an appropriate cooperation </w:t>
            </w:r>
            <w:r>
              <w:rPr>
                <w:sz w:val="22"/>
                <w:szCs w:val="22"/>
                <w:lang w:val="en-AU"/>
              </w:rPr>
              <w:t>arrangement</w:t>
            </w:r>
            <w:r w:rsidRPr="00537DC6">
              <w:rPr>
                <w:sz w:val="22"/>
                <w:szCs w:val="22"/>
                <w:lang w:val="en-AU"/>
              </w:rPr>
              <w:t xml:space="preserve"> on a topic</w:t>
            </w:r>
            <w:r>
              <w:rPr>
                <w:sz w:val="22"/>
                <w:szCs w:val="22"/>
                <w:lang w:val="en-AU"/>
              </w:rPr>
              <w:t xml:space="preserve"> or topics</w:t>
            </w:r>
            <w:r w:rsidRPr="00537DC6">
              <w:rPr>
                <w:sz w:val="22"/>
                <w:szCs w:val="22"/>
                <w:lang w:val="en-AU"/>
              </w:rPr>
              <w:t xml:space="preserve"> of mutual interest</w:t>
            </w:r>
            <w:r>
              <w:rPr>
                <w:sz w:val="22"/>
                <w:szCs w:val="22"/>
                <w:lang w:val="en-AU"/>
              </w:rPr>
              <w:t>,</w:t>
            </w:r>
            <w:r w:rsidRPr="00537DC6">
              <w:rPr>
                <w:sz w:val="22"/>
                <w:szCs w:val="22"/>
                <w:lang w:val="en-AU"/>
              </w:rPr>
              <w:t xml:space="preserve"> related to environmentally sustainable </w:t>
            </w:r>
            <w:r>
              <w:rPr>
                <w:sz w:val="22"/>
                <w:szCs w:val="22"/>
                <w:lang w:val="en-AU"/>
              </w:rPr>
              <w:t xml:space="preserve">government </w:t>
            </w:r>
            <w:r w:rsidRPr="00537DC6">
              <w:rPr>
                <w:sz w:val="22"/>
                <w:szCs w:val="22"/>
                <w:lang w:val="en-AU"/>
              </w:rPr>
              <w:t>procurement</w:t>
            </w:r>
            <w:r>
              <w:rPr>
                <w:sz w:val="22"/>
                <w:szCs w:val="22"/>
                <w:lang w:val="en-AU"/>
              </w:rPr>
              <w:t>.</w:t>
            </w:r>
          </w:p>
          <w:p w14:paraId="114FA162" w14:textId="77777777" w:rsidR="00AF44BD" w:rsidRDefault="00AF44BD" w:rsidP="00D81D17">
            <w:pPr>
              <w:pStyle w:val="Default"/>
              <w:rPr>
                <w:lang w:val="en-AU"/>
              </w:rPr>
            </w:pPr>
          </w:p>
          <w:p w14:paraId="36EEEF5D" w14:textId="3C801D8F" w:rsidR="00AF44BD" w:rsidRDefault="00983D47" w:rsidP="00D81D17">
            <w:r>
              <w:t xml:space="preserve">Singapore and Australia </w:t>
            </w:r>
            <w:r w:rsidR="00AF44BD">
              <w:t xml:space="preserve">will aim to engage on a regular basis, with a view to taking forward the </w:t>
            </w:r>
            <w:r w:rsidR="00EF6D3E">
              <w:t xml:space="preserve">mutually decided </w:t>
            </w:r>
            <w:r w:rsidR="00AF44BD">
              <w:t xml:space="preserve">areas of cooperation outlined in this Annex, as appropriate.  </w:t>
            </w:r>
          </w:p>
          <w:p w14:paraId="0761968F" w14:textId="77777777" w:rsidR="00AF44BD" w:rsidRDefault="00AF44BD" w:rsidP="00D81D17"/>
          <w:p w14:paraId="45D9A246" w14:textId="77777777" w:rsidR="00AF44BD" w:rsidRPr="007300F1" w:rsidRDefault="00AF44BD" w:rsidP="00D81D17">
            <w:pPr>
              <w:autoSpaceDE w:val="0"/>
              <w:autoSpaceDN w:val="0"/>
              <w:adjustRightInd w:val="0"/>
              <w:jc w:val="both"/>
              <w:rPr>
                <w:i/>
                <w:iCs/>
              </w:rPr>
            </w:pPr>
            <w:r w:rsidRPr="007300F1">
              <w:rPr>
                <w:i/>
                <w:iCs/>
              </w:rPr>
              <w:t>International fora</w:t>
            </w:r>
          </w:p>
          <w:p w14:paraId="4933255B" w14:textId="4DD1783A" w:rsidR="00AF44BD" w:rsidRDefault="00983D47" w:rsidP="00D81D17">
            <w:pPr>
              <w:autoSpaceDE w:val="0"/>
              <w:autoSpaceDN w:val="0"/>
              <w:adjustRightInd w:val="0"/>
            </w:pPr>
            <w:r>
              <w:t xml:space="preserve">Singapore and Australia </w:t>
            </w:r>
            <w:r w:rsidR="00AF44BD" w:rsidRPr="00EE70F3">
              <w:t xml:space="preserve">acknowledge the important work being undertaken on environmentally sustainable </w:t>
            </w:r>
            <w:r w:rsidR="00AF44BD">
              <w:t xml:space="preserve">government </w:t>
            </w:r>
            <w:r w:rsidR="00AF44BD" w:rsidRPr="00EE70F3">
              <w:t>procurement in various relevant international for</w:t>
            </w:r>
            <w:r w:rsidR="00AF44BD">
              <w:t>a</w:t>
            </w:r>
            <w:r w:rsidR="00AF44BD" w:rsidRPr="00EE70F3">
              <w:t>, including but not limited to: the W</w:t>
            </w:r>
            <w:r w:rsidR="00B67B78">
              <w:t>orld Trade Organi</w:t>
            </w:r>
            <w:r w:rsidR="00220A26">
              <w:t>z</w:t>
            </w:r>
            <w:r w:rsidR="00B67B78">
              <w:t>ation</w:t>
            </w:r>
            <w:r w:rsidR="00AF44BD" w:rsidRPr="00EE70F3">
              <w:t xml:space="preserve"> </w:t>
            </w:r>
            <w:r w:rsidR="004D0720">
              <w:t xml:space="preserve">Agreement on Government </w:t>
            </w:r>
            <w:r w:rsidR="00EC3034">
              <w:t xml:space="preserve">Procurement </w:t>
            </w:r>
            <w:r w:rsidR="00AF44BD">
              <w:t>W</w:t>
            </w:r>
            <w:r w:rsidR="00AF44BD" w:rsidRPr="00EE70F3">
              <w:t xml:space="preserve">ork </w:t>
            </w:r>
            <w:r w:rsidR="00AF44BD">
              <w:t>Programme</w:t>
            </w:r>
            <w:r w:rsidR="00AF44BD" w:rsidRPr="00EE70F3">
              <w:t xml:space="preserve"> on </w:t>
            </w:r>
            <w:r w:rsidR="00AF44BD">
              <w:t>S</w:t>
            </w:r>
            <w:r w:rsidR="00AF44BD" w:rsidRPr="00EE70F3">
              <w:t xml:space="preserve">ustainable </w:t>
            </w:r>
            <w:r w:rsidR="00AF44BD">
              <w:t>P</w:t>
            </w:r>
            <w:r w:rsidR="00AF44BD" w:rsidRPr="00EE70F3">
              <w:t xml:space="preserve">rocurement; the </w:t>
            </w:r>
            <w:r w:rsidR="003A4EF8">
              <w:t>Organisa</w:t>
            </w:r>
            <w:r w:rsidR="00256050">
              <w:t xml:space="preserve">tion for Economic Cooperation and Development </w:t>
            </w:r>
            <w:r w:rsidR="00AF44BD" w:rsidRPr="00EE70F3">
              <w:t>Working Party of the Leading Practitioners on Public Procurement; A</w:t>
            </w:r>
            <w:r w:rsidR="00256050">
              <w:t>sia Pacific Economic Cooperation</w:t>
            </w:r>
            <w:r w:rsidR="00AF44BD" w:rsidRPr="00EE70F3">
              <w:t>;</w:t>
            </w:r>
            <w:r w:rsidR="00AF44BD">
              <w:t xml:space="preserve"> and the </w:t>
            </w:r>
            <w:r w:rsidR="00AF44BD" w:rsidRPr="006E53F5">
              <w:t>Greening Government Initiative</w:t>
            </w:r>
            <w:r w:rsidR="00AF44BD" w:rsidRPr="00EE70F3">
              <w:t xml:space="preserve">. We </w:t>
            </w:r>
            <w:r w:rsidR="00AF44BD">
              <w:t>mutually decide</w:t>
            </w:r>
            <w:r w:rsidR="00AF44BD" w:rsidRPr="00EE70F3">
              <w:t xml:space="preserve"> to continue cooperating to promote and apply the principles </w:t>
            </w:r>
            <w:r w:rsidR="00AF44BD">
              <w:t>of</w:t>
            </w:r>
            <w:r w:rsidR="00AF44BD" w:rsidRPr="00EE70F3">
              <w:t xml:space="preserve"> </w:t>
            </w:r>
            <w:r w:rsidR="00AF44BD" w:rsidRPr="00EE70F3">
              <w:lastRenderedPageBreak/>
              <w:t xml:space="preserve">environmentally sustainable </w:t>
            </w:r>
            <w:r w:rsidR="00AF44BD">
              <w:t xml:space="preserve">government </w:t>
            </w:r>
            <w:r w:rsidR="00AF44BD" w:rsidRPr="00EE70F3">
              <w:t xml:space="preserve">procurement </w:t>
            </w:r>
            <w:r w:rsidR="00220A26">
              <w:t>at</w:t>
            </w:r>
            <w:r w:rsidR="00AF44BD">
              <w:t xml:space="preserve"> </w:t>
            </w:r>
            <w:r w:rsidR="00AF44BD" w:rsidRPr="00EE70F3">
              <w:t>these international for</w:t>
            </w:r>
            <w:r w:rsidR="00AF44BD">
              <w:t>a</w:t>
            </w:r>
            <w:r w:rsidR="00AF44BD" w:rsidRPr="00EE70F3">
              <w:t xml:space="preserve">, and </w:t>
            </w:r>
            <w:r w:rsidR="00AF44BD">
              <w:t xml:space="preserve">to </w:t>
            </w:r>
            <w:r w:rsidR="00AF44BD" w:rsidRPr="00EE70F3">
              <w:t>encourage their consideration and uptake by our international partners, where appropriate.</w:t>
            </w:r>
          </w:p>
          <w:p w14:paraId="4A2CEA4D" w14:textId="77777777" w:rsidR="00AF44BD" w:rsidRPr="00287B73" w:rsidRDefault="00AF44BD" w:rsidP="00D81D17">
            <w:pPr>
              <w:autoSpaceDE w:val="0"/>
              <w:autoSpaceDN w:val="0"/>
              <w:adjustRightInd w:val="0"/>
            </w:pPr>
          </w:p>
        </w:tc>
      </w:tr>
      <w:tr w:rsidR="00625198" w14:paraId="57809782" w14:textId="77777777" w:rsidTr="00D81D17">
        <w:tc>
          <w:tcPr>
            <w:tcW w:w="2263" w:type="dxa"/>
            <w:shd w:val="clear" w:color="auto" w:fill="E2EFD9" w:themeFill="accent6" w:themeFillTint="33"/>
          </w:tcPr>
          <w:p w14:paraId="3B9622E6" w14:textId="77777777" w:rsidR="00625198" w:rsidRDefault="00625198" w:rsidP="00D81D17">
            <w:pPr>
              <w:rPr>
                <w:b/>
                <w:bCs/>
              </w:rPr>
            </w:pPr>
            <w:r>
              <w:rPr>
                <w:b/>
                <w:bCs/>
              </w:rPr>
              <w:lastRenderedPageBreak/>
              <w:t>Duration</w:t>
            </w:r>
          </w:p>
          <w:p w14:paraId="69BBD9DA" w14:textId="6635DE18" w:rsidR="00625198" w:rsidRDefault="00625198" w:rsidP="00D81D17">
            <w:pPr>
              <w:rPr>
                <w:b/>
                <w:bCs/>
              </w:rPr>
            </w:pPr>
          </w:p>
        </w:tc>
        <w:tc>
          <w:tcPr>
            <w:tcW w:w="7655" w:type="dxa"/>
          </w:tcPr>
          <w:p w14:paraId="66A15D2E" w14:textId="28DD9698" w:rsidR="00625198" w:rsidRDefault="00193C08" w:rsidP="00D81D17">
            <w:r>
              <w:t>C</w:t>
            </w:r>
            <w:r w:rsidR="00625198">
              <w:t>ommenced</w:t>
            </w:r>
            <w:r>
              <w:t xml:space="preserve"> in </w:t>
            </w:r>
            <w:r w:rsidR="00653AF4">
              <w:t>August 2022.</w:t>
            </w:r>
          </w:p>
        </w:tc>
      </w:tr>
      <w:tr w:rsidR="00AF44BD" w14:paraId="03193EF8" w14:textId="77777777" w:rsidTr="00D81D17">
        <w:tc>
          <w:tcPr>
            <w:tcW w:w="2263" w:type="dxa"/>
            <w:shd w:val="clear" w:color="auto" w:fill="E2EFD9" w:themeFill="accent6" w:themeFillTint="33"/>
          </w:tcPr>
          <w:p w14:paraId="0E2449B6" w14:textId="77777777" w:rsidR="00AF44BD" w:rsidRPr="004F5CEF" w:rsidRDefault="00AF44BD" w:rsidP="00D81D17">
            <w:pPr>
              <w:rPr>
                <w:b/>
                <w:bCs/>
              </w:rPr>
            </w:pPr>
            <w:r>
              <w:rPr>
                <w:b/>
                <w:bCs/>
              </w:rPr>
              <w:t>Review Process</w:t>
            </w:r>
            <w:r w:rsidRPr="004F5CEF">
              <w:rPr>
                <w:b/>
                <w:bCs/>
              </w:rPr>
              <w:t xml:space="preserve"> </w:t>
            </w:r>
          </w:p>
          <w:p w14:paraId="212C875D" w14:textId="77777777" w:rsidR="00AF44BD" w:rsidRPr="004F5CEF" w:rsidRDefault="00AF44BD" w:rsidP="00D81D17">
            <w:pPr>
              <w:rPr>
                <w:b/>
                <w:bCs/>
              </w:rPr>
            </w:pPr>
          </w:p>
        </w:tc>
        <w:tc>
          <w:tcPr>
            <w:tcW w:w="7655" w:type="dxa"/>
          </w:tcPr>
          <w:p w14:paraId="4451AFC2" w14:textId="77FE2946" w:rsidR="00AF44BD" w:rsidRDefault="00983D47" w:rsidP="00D81D17">
            <w:r>
              <w:t xml:space="preserve">Singapore and Australia </w:t>
            </w:r>
            <w:r w:rsidR="00C458FF">
              <w:t xml:space="preserve">may </w:t>
            </w:r>
            <w:r w:rsidR="00AF44BD">
              <w:t>jointly review</w:t>
            </w:r>
            <w:r w:rsidR="00C458FF">
              <w:t xml:space="preserve"> </w:t>
            </w:r>
            <w:r w:rsidR="00AF44BD">
              <w:t>and updat</w:t>
            </w:r>
            <w:r w:rsidR="00C458FF">
              <w:t xml:space="preserve">e </w:t>
            </w:r>
            <w:r w:rsidR="00AF44BD">
              <w:t xml:space="preserve">the above non-binding principles and areas of cooperation for environmentally sustainable government procurement, on a mutually </w:t>
            </w:r>
            <w:r w:rsidR="00213C41">
              <w:t xml:space="preserve">determined </w:t>
            </w:r>
            <w:r w:rsidR="00AF44BD">
              <w:t xml:space="preserve">basis and at a mutually </w:t>
            </w:r>
            <w:r w:rsidR="00213C41">
              <w:t xml:space="preserve">determined </w:t>
            </w:r>
            <w:r w:rsidR="00AF44BD">
              <w:t xml:space="preserve">time, to ensure they remain fit for purpose following substantive developments in our domestic laws, regulations, policies or practices, or developments in the international government procurement trade and policy landscape. </w:t>
            </w:r>
            <w:r w:rsidR="00AF44BD">
              <w:br/>
            </w:r>
          </w:p>
          <w:p w14:paraId="0CD08F6E" w14:textId="6C826B52" w:rsidR="00AF44BD" w:rsidRDefault="00AF44BD" w:rsidP="00D81D17">
            <w:r>
              <w:t xml:space="preserve">Outcomes from the review process will </w:t>
            </w:r>
            <w:r w:rsidR="00010222">
              <w:t xml:space="preserve">be </w:t>
            </w:r>
            <w:r>
              <w:t>report</w:t>
            </w:r>
            <w:r w:rsidR="00010222">
              <w:t>ed</w:t>
            </w:r>
            <w:r>
              <w:t xml:space="preserve"> </w:t>
            </w:r>
            <w:r w:rsidR="00010222">
              <w:t xml:space="preserve">through </w:t>
            </w:r>
            <w:r>
              <w:t xml:space="preserve">the governance and implementation structure identified in the GEA. </w:t>
            </w:r>
          </w:p>
          <w:p w14:paraId="381B1C4B" w14:textId="77777777" w:rsidR="00AF44BD" w:rsidRPr="00287B73" w:rsidRDefault="00AF44BD" w:rsidP="00D81D17"/>
        </w:tc>
      </w:tr>
      <w:tr w:rsidR="00AF44BD" w14:paraId="16B63ED8" w14:textId="77777777" w:rsidTr="00D81D17">
        <w:tc>
          <w:tcPr>
            <w:tcW w:w="2263" w:type="dxa"/>
            <w:shd w:val="clear" w:color="auto" w:fill="E2EFD9" w:themeFill="accent6" w:themeFillTint="33"/>
          </w:tcPr>
          <w:p w14:paraId="7A915BC6" w14:textId="77777777" w:rsidR="00AF44BD" w:rsidRDefault="00AF44BD" w:rsidP="00D81D17">
            <w:pPr>
              <w:rPr>
                <w:b/>
                <w:bCs/>
              </w:rPr>
            </w:pPr>
            <w:r>
              <w:rPr>
                <w:b/>
                <w:bCs/>
              </w:rPr>
              <w:t>Specific Terms used in the Annex</w:t>
            </w:r>
          </w:p>
          <w:p w14:paraId="357AB72A" w14:textId="77777777" w:rsidR="00AF44BD" w:rsidRPr="004F5CEF" w:rsidRDefault="00AF44BD" w:rsidP="00D81D17">
            <w:pPr>
              <w:rPr>
                <w:b/>
                <w:bCs/>
              </w:rPr>
            </w:pPr>
          </w:p>
        </w:tc>
        <w:tc>
          <w:tcPr>
            <w:tcW w:w="7655" w:type="dxa"/>
          </w:tcPr>
          <w:p w14:paraId="3FD196F5" w14:textId="77777777" w:rsidR="00AF44BD" w:rsidRDefault="00AF44BD" w:rsidP="00D81D17">
            <w:pPr>
              <w:spacing w:line="254" w:lineRule="auto"/>
              <w:ind w:right="688"/>
            </w:pPr>
            <w:r w:rsidRPr="00777ECD">
              <w:rPr>
                <w:i/>
                <w:iCs/>
              </w:rPr>
              <w:t>Environmentally sustainable government procurement</w:t>
            </w:r>
            <w:r w:rsidRPr="00715C37">
              <w:t xml:space="preserve"> means the inclusion of environmental considerations in the </w:t>
            </w:r>
            <w:r>
              <w:t>government</w:t>
            </w:r>
            <w:r w:rsidRPr="00715C37">
              <w:t xml:space="preserve"> procurement process for goods and service</w:t>
            </w:r>
            <w:r>
              <w:t>s.</w:t>
            </w:r>
            <w:r w:rsidRPr="00715C37">
              <w:t xml:space="preserve"> </w:t>
            </w:r>
          </w:p>
          <w:p w14:paraId="66990088" w14:textId="77777777" w:rsidR="00AF44BD" w:rsidRDefault="00AF44BD" w:rsidP="00D81D17">
            <w:pPr>
              <w:spacing w:line="254" w:lineRule="auto"/>
              <w:ind w:right="688"/>
            </w:pPr>
          </w:p>
        </w:tc>
      </w:tr>
      <w:tr w:rsidR="00AF44BD" w14:paraId="37A714F9" w14:textId="77777777" w:rsidTr="00D81D17">
        <w:tc>
          <w:tcPr>
            <w:tcW w:w="2263" w:type="dxa"/>
            <w:shd w:val="clear" w:color="auto" w:fill="E2EFD9" w:themeFill="accent6" w:themeFillTint="33"/>
          </w:tcPr>
          <w:p w14:paraId="6895AB59" w14:textId="77777777" w:rsidR="00AF44BD" w:rsidRPr="004F5CEF" w:rsidRDefault="00AF44BD" w:rsidP="00D81D17">
            <w:pPr>
              <w:rPr>
                <w:b/>
                <w:bCs/>
              </w:rPr>
            </w:pPr>
            <w:r w:rsidRPr="004F5CEF">
              <w:rPr>
                <w:b/>
                <w:bCs/>
              </w:rPr>
              <w:t>Project Leads</w:t>
            </w:r>
          </w:p>
          <w:p w14:paraId="50DB6F17" w14:textId="77777777" w:rsidR="00AF44BD" w:rsidRPr="004F5CEF" w:rsidRDefault="00AF44BD" w:rsidP="00D81D17">
            <w:pPr>
              <w:rPr>
                <w:b/>
                <w:bCs/>
              </w:rPr>
            </w:pPr>
          </w:p>
          <w:p w14:paraId="0D41A591" w14:textId="77777777" w:rsidR="00AF44BD" w:rsidRPr="004F5CEF" w:rsidRDefault="00AF44BD" w:rsidP="00D81D17">
            <w:pPr>
              <w:rPr>
                <w:b/>
                <w:bCs/>
              </w:rPr>
            </w:pPr>
          </w:p>
        </w:tc>
        <w:tc>
          <w:tcPr>
            <w:tcW w:w="7655" w:type="dxa"/>
          </w:tcPr>
          <w:p w14:paraId="0C2F4314" w14:textId="77777777" w:rsidR="00983D47" w:rsidRPr="00AF44BD" w:rsidRDefault="00983D47" w:rsidP="00983D47">
            <w:pPr>
              <w:spacing w:line="254" w:lineRule="auto"/>
              <w:ind w:right="688"/>
              <w:rPr>
                <w:u w:val="single"/>
              </w:rPr>
            </w:pPr>
            <w:r w:rsidRPr="00AF44BD">
              <w:rPr>
                <w:u w:val="single"/>
              </w:rPr>
              <w:t>Singapore</w:t>
            </w:r>
          </w:p>
          <w:p w14:paraId="529D77C6" w14:textId="2B7D7481" w:rsidR="00983D47" w:rsidRDefault="00983D47" w:rsidP="00D81D17">
            <w:pPr>
              <w:spacing w:line="254" w:lineRule="auto"/>
              <w:ind w:right="688"/>
              <w:rPr>
                <w:u w:val="single"/>
              </w:rPr>
            </w:pPr>
            <w:r>
              <w:t>Ministry of Trade and Industry</w:t>
            </w:r>
          </w:p>
          <w:p w14:paraId="4B3A7C08" w14:textId="3F8B0076" w:rsidR="00AF44BD" w:rsidRPr="00AF44BD" w:rsidRDefault="00AF44BD" w:rsidP="00D81D17">
            <w:pPr>
              <w:spacing w:line="254" w:lineRule="auto"/>
              <w:ind w:right="688"/>
              <w:rPr>
                <w:u w:val="single"/>
              </w:rPr>
            </w:pPr>
            <w:r w:rsidRPr="00AF44BD">
              <w:rPr>
                <w:u w:val="single"/>
              </w:rPr>
              <w:t>Australia</w:t>
            </w:r>
          </w:p>
          <w:p w14:paraId="2A7967D8" w14:textId="49BF36BE" w:rsidR="00AF44BD" w:rsidRDefault="00AF44BD" w:rsidP="00D81D17">
            <w:pPr>
              <w:spacing w:line="254" w:lineRule="auto"/>
              <w:ind w:right="688"/>
            </w:pPr>
            <w:r>
              <w:t>Department of Foreign Affairs and Trade</w:t>
            </w:r>
            <w:r>
              <w:br/>
              <w:t>Department of Finance</w:t>
            </w:r>
          </w:p>
          <w:p w14:paraId="4793B05C" w14:textId="1F986A95" w:rsidR="00AF44BD" w:rsidRDefault="00AF44BD" w:rsidP="00D81D17">
            <w:pPr>
              <w:spacing w:line="254" w:lineRule="auto"/>
              <w:ind w:right="688"/>
            </w:pPr>
          </w:p>
          <w:p w14:paraId="43F54557" w14:textId="1530CCD8" w:rsidR="00AF44BD" w:rsidRDefault="00AF44BD" w:rsidP="00D81D17">
            <w:pPr>
              <w:spacing w:line="254" w:lineRule="auto"/>
              <w:ind w:right="688"/>
            </w:pPr>
            <w:r>
              <w:t>Consultation with other relevant government agencies</w:t>
            </w:r>
          </w:p>
          <w:p w14:paraId="33720142" w14:textId="77777777" w:rsidR="00AF44BD" w:rsidRPr="00287B73" w:rsidRDefault="00AF44BD" w:rsidP="00983D47">
            <w:pPr>
              <w:spacing w:line="254" w:lineRule="auto"/>
              <w:ind w:right="688"/>
            </w:pPr>
          </w:p>
        </w:tc>
      </w:tr>
    </w:tbl>
    <w:p w14:paraId="1FDC5FB0" w14:textId="77777777" w:rsidR="00AF44BD" w:rsidRDefault="00AF44BD" w:rsidP="00AF44BD"/>
    <w:p w14:paraId="644FA47F" w14:textId="76156F9D" w:rsidR="00AF44BD" w:rsidRPr="004A2AA6" w:rsidRDefault="00AF44BD" w:rsidP="00AF44BD">
      <w:pPr>
        <w:autoSpaceDE w:val="0"/>
        <w:autoSpaceDN w:val="0"/>
        <w:adjustRightInd w:val="0"/>
        <w:spacing w:after="0" w:line="240" w:lineRule="auto"/>
        <w:rPr>
          <w:rFonts w:cstheme="minorHAnsi"/>
          <w:b/>
          <w:bCs/>
        </w:rPr>
      </w:pPr>
      <w:r w:rsidRPr="004A2AA6">
        <w:rPr>
          <w:rFonts w:cstheme="minorHAnsi"/>
          <w:b/>
          <w:bCs/>
        </w:rPr>
        <w:t xml:space="preserve">Appendix </w:t>
      </w:r>
    </w:p>
    <w:p w14:paraId="5E6699DD" w14:textId="77777777" w:rsidR="00AF44BD" w:rsidRPr="004A2AA6" w:rsidRDefault="00AF44BD" w:rsidP="00AF44BD">
      <w:pPr>
        <w:rPr>
          <w:rFonts w:cstheme="minorHAnsi"/>
        </w:rPr>
      </w:pPr>
    </w:p>
    <w:p w14:paraId="2129AB8C" w14:textId="77309D7C" w:rsidR="00AF44BD" w:rsidRPr="004A2AA6" w:rsidRDefault="00AF44BD" w:rsidP="00AF44BD">
      <w:pPr>
        <w:pStyle w:val="ListParagraph"/>
        <w:numPr>
          <w:ilvl w:val="0"/>
          <w:numId w:val="22"/>
        </w:numPr>
        <w:spacing w:line="256" w:lineRule="auto"/>
        <w:ind w:left="851" w:hanging="851"/>
        <w:rPr>
          <w:rFonts w:cstheme="minorHAnsi"/>
        </w:rPr>
      </w:pPr>
      <w:r w:rsidRPr="004A2AA6">
        <w:rPr>
          <w:rFonts w:cstheme="minorHAnsi"/>
        </w:rPr>
        <w:t xml:space="preserve">Environmental sustainability factors in government procurement recognised by </w:t>
      </w:r>
      <w:r w:rsidR="00983D47">
        <w:t>Singapore and Australia</w:t>
      </w:r>
      <w:r w:rsidRPr="004A2AA6">
        <w:rPr>
          <w:rFonts w:cstheme="minorHAnsi"/>
        </w:rPr>
        <w:t xml:space="preserve"> include: </w:t>
      </w:r>
      <w:r>
        <w:rPr>
          <w:rFonts w:cstheme="minorHAnsi"/>
        </w:rPr>
        <w:t xml:space="preserve"> </w:t>
      </w:r>
      <w:r>
        <w:rPr>
          <w:rFonts w:cstheme="minorHAnsi"/>
        </w:rPr>
        <w:br/>
      </w:r>
    </w:p>
    <w:p w14:paraId="56A6E1CA" w14:textId="77777777" w:rsidR="00AF44BD" w:rsidRDefault="00AF44BD" w:rsidP="00AF44BD">
      <w:pPr>
        <w:pStyle w:val="ListParagraph"/>
        <w:numPr>
          <w:ilvl w:val="0"/>
          <w:numId w:val="23"/>
        </w:numPr>
        <w:spacing w:line="252" w:lineRule="auto"/>
        <w:ind w:left="1418" w:hanging="425"/>
        <w:rPr>
          <w:rFonts w:cstheme="minorHAnsi"/>
        </w:rPr>
      </w:pPr>
      <w:r w:rsidRPr="004A2AA6">
        <w:rPr>
          <w:rFonts w:cstheme="minorHAnsi"/>
        </w:rPr>
        <w:t xml:space="preserve">Energy </w:t>
      </w:r>
      <w:proofErr w:type="gramStart"/>
      <w:r w:rsidRPr="004A2AA6">
        <w:rPr>
          <w:rFonts w:cstheme="minorHAnsi"/>
        </w:rPr>
        <w:t>consumption</w:t>
      </w:r>
      <w:r>
        <w:rPr>
          <w:rFonts w:cstheme="minorHAnsi"/>
        </w:rPr>
        <w:t>;</w:t>
      </w:r>
      <w:proofErr w:type="gramEnd"/>
    </w:p>
    <w:p w14:paraId="5B30EA9B" w14:textId="77777777" w:rsidR="00AF44BD" w:rsidRPr="004A2AA6" w:rsidRDefault="00AF44BD" w:rsidP="00AF44BD">
      <w:pPr>
        <w:pStyle w:val="ListParagraph"/>
        <w:spacing w:line="252" w:lineRule="auto"/>
        <w:ind w:left="1418"/>
        <w:rPr>
          <w:rFonts w:cstheme="minorHAnsi"/>
        </w:rPr>
      </w:pPr>
    </w:p>
    <w:p w14:paraId="7EA52F8B" w14:textId="77777777" w:rsidR="00AF44BD" w:rsidRPr="004A2AA6" w:rsidRDefault="00AF44BD" w:rsidP="00AF44BD">
      <w:pPr>
        <w:pStyle w:val="ListParagraph"/>
        <w:numPr>
          <w:ilvl w:val="0"/>
          <w:numId w:val="23"/>
        </w:numPr>
        <w:spacing w:line="252" w:lineRule="auto"/>
        <w:ind w:left="1418" w:hanging="425"/>
        <w:rPr>
          <w:rFonts w:cstheme="minorHAnsi"/>
        </w:rPr>
      </w:pPr>
      <w:r w:rsidRPr="004A2AA6">
        <w:rPr>
          <w:rFonts w:cstheme="minorHAnsi"/>
        </w:rPr>
        <w:t xml:space="preserve">Greenhouse gas </w:t>
      </w:r>
      <w:proofErr w:type="gramStart"/>
      <w:r w:rsidRPr="004A2AA6">
        <w:rPr>
          <w:rFonts w:cstheme="minorHAnsi"/>
        </w:rPr>
        <w:t>emissions;</w:t>
      </w:r>
      <w:proofErr w:type="gramEnd"/>
    </w:p>
    <w:p w14:paraId="221DF5A3" w14:textId="77777777" w:rsidR="00AF44BD" w:rsidRPr="004A2AA6" w:rsidRDefault="00AF44BD" w:rsidP="00AF44BD">
      <w:pPr>
        <w:pStyle w:val="ListParagraph"/>
        <w:spacing w:line="252" w:lineRule="auto"/>
        <w:ind w:left="1418"/>
        <w:rPr>
          <w:rFonts w:cstheme="minorHAnsi"/>
        </w:rPr>
      </w:pPr>
    </w:p>
    <w:p w14:paraId="726537B7" w14:textId="77777777" w:rsidR="00AF44BD" w:rsidRPr="004A2AA6" w:rsidRDefault="00AF44BD" w:rsidP="00AF44BD">
      <w:pPr>
        <w:pStyle w:val="ListParagraph"/>
        <w:numPr>
          <w:ilvl w:val="0"/>
          <w:numId w:val="23"/>
        </w:numPr>
        <w:spacing w:line="252" w:lineRule="auto"/>
        <w:ind w:left="1418" w:hanging="425"/>
        <w:rPr>
          <w:rFonts w:cstheme="minorHAnsi"/>
        </w:rPr>
      </w:pPr>
      <w:r w:rsidRPr="004A2AA6">
        <w:rPr>
          <w:rFonts w:cstheme="minorHAnsi"/>
        </w:rPr>
        <w:t xml:space="preserve">Reduction of </w:t>
      </w:r>
      <w:proofErr w:type="gramStart"/>
      <w:r w:rsidRPr="004A2AA6">
        <w:rPr>
          <w:rFonts w:cstheme="minorHAnsi"/>
        </w:rPr>
        <w:t>waste;</w:t>
      </w:r>
      <w:proofErr w:type="gramEnd"/>
    </w:p>
    <w:p w14:paraId="30176EF4" w14:textId="77777777" w:rsidR="00AF44BD" w:rsidRPr="004A2AA6" w:rsidRDefault="00AF44BD" w:rsidP="00AF44BD">
      <w:pPr>
        <w:pStyle w:val="ListParagraph"/>
        <w:spacing w:line="252" w:lineRule="auto"/>
        <w:ind w:left="1418"/>
        <w:rPr>
          <w:rFonts w:cstheme="minorHAnsi"/>
        </w:rPr>
      </w:pPr>
    </w:p>
    <w:p w14:paraId="0E0849B4" w14:textId="77777777" w:rsidR="00AF44BD" w:rsidRPr="004A2AA6" w:rsidRDefault="00AF44BD" w:rsidP="00AF44BD">
      <w:pPr>
        <w:pStyle w:val="ListParagraph"/>
        <w:numPr>
          <w:ilvl w:val="0"/>
          <w:numId w:val="23"/>
        </w:numPr>
        <w:spacing w:line="252" w:lineRule="auto"/>
        <w:ind w:left="1418" w:hanging="425"/>
        <w:rPr>
          <w:rFonts w:cstheme="minorHAnsi"/>
        </w:rPr>
      </w:pPr>
      <w:r w:rsidRPr="004A2AA6">
        <w:rPr>
          <w:rFonts w:cstheme="minorHAnsi"/>
        </w:rPr>
        <w:t xml:space="preserve">Use of recycled </w:t>
      </w:r>
      <w:proofErr w:type="gramStart"/>
      <w:r w:rsidRPr="004A2AA6">
        <w:rPr>
          <w:rFonts w:cstheme="minorHAnsi"/>
        </w:rPr>
        <w:t>products;</w:t>
      </w:r>
      <w:proofErr w:type="gramEnd"/>
    </w:p>
    <w:p w14:paraId="6F0047AB" w14:textId="77777777" w:rsidR="00AF44BD" w:rsidRPr="004A2AA6" w:rsidRDefault="00AF44BD" w:rsidP="00AF44BD">
      <w:pPr>
        <w:pStyle w:val="ListParagraph"/>
        <w:spacing w:line="252" w:lineRule="auto"/>
        <w:ind w:left="1418"/>
        <w:rPr>
          <w:rFonts w:cstheme="minorHAnsi"/>
        </w:rPr>
      </w:pPr>
    </w:p>
    <w:p w14:paraId="78CA5DAF" w14:textId="77777777" w:rsidR="00AF44BD" w:rsidRPr="004A2AA6" w:rsidRDefault="00AF44BD" w:rsidP="00AF44BD">
      <w:pPr>
        <w:pStyle w:val="ListParagraph"/>
        <w:numPr>
          <w:ilvl w:val="0"/>
          <w:numId w:val="23"/>
        </w:numPr>
        <w:spacing w:line="252" w:lineRule="auto"/>
        <w:ind w:left="1418" w:hanging="425"/>
        <w:rPr>
          <w:rFonts w:cstheme="minorHAnsi"/>
        </w:rPr>
      </w:pPr>
      <w:r w:rsidRPr="004A2AA6">
        <w:rPr>
          <w:rFonts w:cstheme="minorHAnsi"/>
        </w:rPr>
        <w:t xml:space="preserve">Reduction in hazardous </w:t>
      </w:r>
      <w:proofErr w:type="gramStart"/>
      <w:r w:rsidRPr="004A2AA6">
        <w:rPr>
          <w:rFonts w:cstheme="minorHAnsi"/>
        </w:rPr>
        <w:t>substances;</w:t>
      </w:r>
      <w:proofErr w:type="gramEnd"/>
      <w:r w:rsidRPr="004A2AA6">
        <w:rPr>
          <w:rFonts w:cstheme="minorHAnsi"/>
        </w:rPr>
        <w:t xml:space="preserve"> </w:t>
      </w:r>
    </w:p>
    <w:p w14:paraId="0678F871" w14:textId="77777777" w:rsidR="00AF44BD" w:rsidRPr="004A2AA6" w:rsidRDefault="00AF44BD" w:rsidP="00AF44BD">
      <w:pPr>
        <w:pStyle w:val="ListParagraph"/>
        <w:spacing w:line="252" w:lineRule="auto"/>
        <w:ind w:left="1418"/>
        <w:rPr>
          <w:rFonts w:cstheme="minorHAnsi"/>
        </w:rPr>
      </w:pPr>
    </w:p>
    <w:p w14:paraId="69DFAFE2" w14:textId="77777777" w:rsidR="00AF44BD" w:rsidRPr="004A2AA6" w:rsidRDefault="00AF44BD" w:rsidP="00AF44BD">
      <w:pPr>
        <w:pStyle w:val="ListParagraph"/>
        <w:numPr>
          <w:ilvl w:val="0"/>
          <w:numId w:val="23"/>
        </w:numPr>
        <w:spacing w:line="252" w:lineRule="auto"/>
        <w:ind w:left="1418" w:hanging="425"/>
        <w:rPr>
          <w:rFonts w:cstheme="minorHAnsi"/>
        </w:rPr>
      </w:pPr>
      <w:proofErr w:type="gramStart"/>
      <w:r w:rsidRPr="004A2AA6">
        <w:rPr>
          <w:rFonts w:cstheme="minorHAnsi"/>
        </w:rPr>
        <w:t>Packaging;</w:t>
      </w:r>
      <w:proofErr w:type="gramEnd"/>
      <w:r w:rsidRPr="004A2AA6">
        <w:rPr>
          <w:rFonts w:cstheme="minorHAnsi"/>
        </w:rPr>
        <w:t xml:space="preserve"> </w:t>
      </w:r>
    </w:p>
    <w:p w14:paraId="456B7114" w14:textId="77777777" w:rsidR="00AF44BD" w:rsidRPr="004A2AA6" w:rsidRDefault="00AF44BD" w:rsidP="00AF44BD">
      <w:pPr>
        <w:pStyle w:val="ListParagraph"/>
        <w:spacing w:line="252" w:lineRule="auto"/>
        <w:ind w:left="1418"/>
        <w:rPr>
          <w:rFonts w:cstheme="minorHAnsi"/>
        </w:rPr>
      </w:pPr>
    </w:p>
    <w:p w14:paraId="45DDEF65" w14:textId="77777777" w:rsidR="00AF44BD" w:rsidRPr="004A2AA6" w:rsidRDefault="00AF44BD" w:rsidP="00AF44BD">
      <w:pPr>
        <w:pStyle w:val="ListParagraph"/>
        <w:numPr>
          <w:ilvl w:val="0"/>
          <w:numId w:val="23"/>
        </w:numPr>
        <w:spacing w:line="252" w:lineRule="auto"/>
        <w:ind w:left="1418" w:hanging="425"/>
        <w:rPr>
          <w:rFonts w:cstheme="minorHAnsi"/>
        </w:rPr>
      </w:pPr>
      <w:r w:rsidRPr="004A2AA6">
        <w:rPr>
          <w:rFonts w:cstheme="minorHAnsi"/>
        </w:rPr>
        <w:t>End of life recycling</w:t>
      </w:r>
      <w:r>
        <w:rPr>
          <w:rFonts w:cstheme="minorHAnsi"/>
        </w:rPr>
        <w:t xml:space="preserve">; </w:t>
      </w:r>
      <w:r w:rsidRPr="004A2AA6">
        <w:rPr>
          <w:rFonts w:cstheme="minorHAnsi"/>
        </w:rPr>
        <w:t>and</w:t>
      </w:r>
    </w:p>
    <w:p w14:paraId="6E35DB71" w14:textId="77777777" w:rsidR="00AF44BD" w:rsidRPr="004A2AA6" w:rsidRDefault="00AF44BD" w:rsidP="00AF44BD">
      <w:pPr>
        <w:pStyle w:val="ListParagraph"/>
        <w:spacing w:line="252" w:lineRule="auto"/>
        <w:ind w:left="1418"/>
        <w:rPr>
          <w:rFonts w:cstheme="minorHAnsi"/>
        </w:rPr>
      </w:pPr>
    </w:p>
    <w:p w14:paraId="23307184" w14:textId="77777777" w:rsidR="00AF44BD" w:rsidRPr="004A2AA6" w:rsidRDefault="00AF44BD" w:rsidP="00AF44BD">
      <w:pPr>
        <w:pStyle w:val="ListParagraph"/>
        <w:numPr>
          <w:ilvl w:val="0"/>
          <w:numId w:val="23"/>
        </w:numPr>
        <w:spacing w:line="252" w:lineRule="auto"/>
        <w:ind w:left="1418" w:hanging="425"/>
        <w:rPr>
          <w:rFonts w:cstheme="minorHAnsi"/>
        </w:rPr>
      </w:pPr>
      <w:r w:rsidRPr="004A2AA6">
        <w:rPr>
          <w:rFonts w:cstheme="minorHAnsi"/>
        </w:rPr>
        <w:lastRenderedPageBreak/>
        <w:t xml:space="preserve">Use of renewables.  </w:t>
      </w:r>
      <w:r>
        <w:rPr>
          <w:rFonts w:cstheme="minorHAnsi"/>
        </w:rPr>
        <w:br/>
      </w:r>
    </w:p>
    <w:p w14:paraId="147FAB59" w14:textId="1F1682AE" w:rsidR="00AF44BD" w:rsidRPr="004A2AA6" w:rsidRDefault="00AF44BD" w:rsidP="00AF44BD">
      <w:pPr>
        <w:pStyle w:val="ListParagraph"/>
        <w:numPr>
          <w:ilvl w:val="0"/>
          <w:numId w:val="22"/>
        </w:numPr>
        <w:spacing w:line="256" w:lineRule="auto"/>
        <w:ind w:left="851" w:hanging="851"/>
        <w:rPr>
          <w:rFonts w:cstheme="minorHAnsi"/>
        </w:rPr>
      </w:pPr>
      <w:r w:rsidRPr="004A2AA6">
        <w:rPr>
          <w:rFonts w:cstheme="minorHAnsi"/>
        </w:rPr>
        <w:t xml:space="preserve">Environmentally sustainable government procurement practices recognised by </w:t>
      </w:r>
      <w:r w:rsidR="00983D47">
        <w:t>Singapore and Australia</w:t>
      </w:r>
      <w:r w:rsidRPr="004A2AA6">
        <w:rPr>
          <w:rFonts w:cstheme="minorHAnsi"/>
        </w:rPr>
        <w:t xml:space="preserve"> include: </w:t>
      </w:r>
    </w:p>
    <w:p w14:paraId="00DD395F" w14:textId="77777777" w:rsidR="00AF44BD" w:rsidRPr="004A2AA6" w:rsidRDefault="00AF44BD" w:rsidP="00AF44BD">
      <w:pPr>
        <w:pStyle w:val="ListParagraph"/>
        <w:ind w:left="851"/>
        <w:rPr>
          <w:rFonts w:cstheme="minorHAnsi"/>
        </w:rPr>
      </w:pPr>
    </w:p>
    <w:p w14:paraId="41EEA24A" w14:textId="77777777" w:rsidR="00AF44BD" w:rsidRPr="004A2AA6" w:rsidRDefault="00AF44BD" w:rsidP="00AF44BD">
      <w:pPr>
        <w:pStyle w:val="ListParagraph"/>
        <w:numPr>
          <w:ilvl w:val="0"/>
          <w:numId w:val="26"/>
        </w:numPr>
        <w:spacing w:line="252" w:lineRule="auto"/>
        <w:ind w:left="1418" w:hanging="425"/>
        <w:rPr>
          <w:rFonts w:cstheme="minorHAnsi"/>
        </w:rPr>
      </w:pPr>
      <w:r w:rsidRPr="004A2AA6">
        <w:rPr>
          <w:rFonts w:cstheme="minorHAnsi"/>
        </w:rPr>
        <w:t xml:space="preserve">Devising strategies that reduce demand and extend the life of the </w:t>
      </w:r>
      <w:proofErr w:type="gramStart"/>
      <w:r w:rsidRPr="004A2AA6">
        <w:rPr>
          <w:rFonts w:cstheme="minorHAnsi"/>
        </w:rPr>
        <w:t>product;</w:t>
      </w:r>
      <w:proofErr w:type="gramEnd"/>
    </w:p>
    <w:p w14:paraId="7AD4D43C" w14:textId="77777777" w:rsidR="00AF44BD" w:rsidRPr="004A2AA6" w:rsidRDefault="00AF44BD" w:rsidP="00AF44BD">
      <w:pPr>
        <w:pStyle w:val="ListParagraph"/>
        <w:spacing w:line="252" w:lineRule="auto"/>
        <w:ind w:left="1418"/>
        <w:rPr>
          <w:rFonts w:cstheme="minorHAnsi"/>
        </w:rPr>
      </w:pPr>
    </w:p>
    <w:p w14:paraId="51DF07EB" w14:textId="77777777" w:rsidR="00AF44BD" w:rsidRPr="004A2AA6" w:rsidRDefault="00AF44BD" w:rsidP="00AF44BD">
      <w:pPr>
        <w:pStyle w:val="ListParagraph"/>
        <w:numPr>
          <w:ilvl w:val="0"/>
          <w:numId w:val="26"/>
        </w:numPr>
        <w:spacing w:line="252" w:lineRule="auto"/>
        <w:ind w:left="1418" w:hanging="425"/>
        <w:rPr>
          <w:rFonts w:cstheme="minorHAnsi"/>
        </w:rPr>
      </w:pPr>
      <w:r w:rsidRPr="004A2AA6">
        <w:rPr>
          <w:rFonts w:cstheme="minorHAnsi"/>
        </w:rPr>
        <w:t xml:space="preserve">Encouraging sustainability at the design stage of a </w:t>
      </w:r>
      <w:proofErr w:type="gramStart"/>
      <w:r w:rsidRPr="004A2AA6">
        <w:rPr>
          <w:rFonts w:cstheme="minorHAnsi"/>
        </w:rPr>
        <w:t>product;</w:t>
      </w:r>
      <w:proofErr w:type="gramEnd"/>
      <w:r w:rsidRPr="004A2AA6">
        <w:rPr>
          <w:rFonts w:cstheme="minorHAnsi"/>
        </w:rPr>
        <w:t xml:space="preserve"> </w:t>
      </w:r>
    </w:p>
    <w:p w14:paraId="743FA19A" w14:textId="77777777" w:rsidR="00AF44BD" w:rsidRPr="004A2AA6" w:rsidRDefault="00AF44BD" w:rsidP="00AF44BD">
      <w:pPr>
        <w:pStyle w:val="ListParagraph"/>
        <w:spacing w:line="252" w:lineRule="auto"/>
        <w:ind w:left="1418"/>
        <w:rPr>
          <w:rFonts w:cstheme="minorHAnsi"/>
        </w:rPr>
      </w:pPr>
    </w:p>
    <w:p w14:paraId="48278BFA" w14:textId="3D9FFE97" w:rsidR="00AF44BD" w:rsidRPr="004A2AA6" w:rsidRDefault="00AF44BD" w:rsidP="00AF44BD">
      <w:pPr>
        <w:pStyle w:val="ListParagraph"/>
        <w:numPr>
          <w:ilvl w:val="0"/>
          <w:numId w:val="26"/>
        </w:numPr>
        <w:spacing w:line="252" w:lineRule="auto"/>
        <w:ind w:left="1418" w:hanging="425"/>
        <w:rPr>
          <w:rFonts w:cstheme="minorHAnsi"/>
        </w:rPr>
      </w:pPr>
      <w:r w:rsidRPr="004A2AA6">
        <w:rPr>
          <w:rFonts w:cstheme="minorHAnsi"/>
        </w:rPr>
        <w:t xml:space="preserve">Planning what happens with a product at the end of the contract, how </w:t>
      </w:r>
      <w:r w:rsidR="00010222">
        <w:rPr>
          <w:rFonts w:cstheme="minorHAnsi"/>
        </w:rPr>
        <w:t xml:space="preserve">it </w:t>
      </w:r>
      <w:r w:rsidRPr="004A2AA6">
        <w:rPr>
          <w:rFonts w:cstheme="minorHAnsi"/>
        </w:rPr>
        <w:t xml:space="preserve">will be </w:t>
      </w:r>
      <w:r>
        <w:rPr>
          <w:rFonts w:cstheme="minorHAnsi"/>
        </w:rPr>
        <w:br/>
      </w:r>
      <w:r w:rsidRPr="004A2AA6">
        <w:rPr>
          <w:rFonts w:cstheme="minorHAnsi"/>
        </w:rPr>
        <w:t xml:space="preserve">re-used, recycled or disposed of, to encourage potential suppliers to address this from the </w:t>
      </w:r>
      <w:proofErr w:type="gramStart"/>
      <w:r w:rsidRPr="004A2AA6">
        <w:rPr>
          <w:rFonts w:cstheme="minorHAnsi"/>
        </w:rPr>
        <w:t>beginning;</w:t>
      </w:r>
      <w:proofErr w:type="gramEnd"/>
    </w:p>
    <w:p w14:paraId="3031D98D" w14:textId="77777777" w:rsidR="00AF44BD" w:rsidRPr="004A2AA6" w:rsidRDefault="00AF44BD" w:rsidP="00AF44BD">
      <w:pPr>
        <w:pStyle w:val="ListParagraph"/>
        <w:spacing w:line="252" w:lineRule="auto"/>
        <w:ind w:left="1418"/>
        <w:rPr>
          <w:rFonts w:cstheme="minorHAnsi"/>
        </w:rPr>
      </w:pPr>
    </w:p>
    <w:p w14:paraId="0373C700" w14:textId="77777777" w:rsidR="00AF44BD" w:rsidRDefault="00AF44BD" w:rsidP="00AF44BD">
      <w:pPr>
        <w:pStyle w:val="ListParagraph"/>
        <w:numPr>
          <w:ilvl w:val="0"/>
          <w:numId w:val="26"/>
        </w:numPr>
        <w:spacing w:line="252" w:lineRule="auto"/>
        <w:ind w:left="1418" w:hanging="425"/>
        <w:rPr>
          <w:rFonts w:cstheme="minorHAnsi"/>
        </w:rPr>
      </w:pPr>
      <w:r w:rsidRPr="004A2AA6">
        <w:rPr>
          <w:rFonts w:cstheme="minorHAnsi"/>
        </w:rPr>
        <w:t>Considering costs over the life of the good or service and policies in the planning process (such as potential increases in energy prices</w:t>
      </w:r>
      <w:proofErr w:type="gramStart"/>
      <w:r w:rsidRPr="004A2AA6">
        <w:rPr>
          <w:rFonts w:cstheme="minorHAnsi"/>
        </w:rPr>
        <w:t>);</w:t>
      </w:r>
      <w:proofErr w:type="gramEnd"/>
      <w:r w:rsidRPr="004A2AA6">
        <w:rPr>
          <w:rFonts w:cstheme="minorHAnsi"/>
        </w:rPr>
        <w:t xml:space="preserve"> </w:t>
      </w:r>
    </w:p>
    <w:p w14:paraId="0BA5F723" w14:textId="77777777" w:rsidR="00AF44BD" w:rsidRPr="00E35E22" w:rsidRDefault="00AF44BD" w:rsidP="00AF44BD">
      <w:pPr>
        <w:pStyle w:val="ListParagraph"/>
        <w:rPr>
          <w:rFonts w:cstheme="minorHAnsi"/>
        </w:rPr>
      </w:pPr>
    </w:p>
    <w:p w14:paraId="7906ACAA" w14:textId="43028EB0" w:rsidR="00AF44BD" w:rsidRPr="004A2AA6" w:rsidRDefault="00AF44BD" w:rsidP="00AF44BD">
      <w:pPr>
        <w:pStyle w:val="ListParagraph"/>
        <w:numPr>
          <w:ilvl w:val="0"/>
          <w:numId w:val="26"/>
        </w:numPr>
        <w:spacing w:line="252" w:lineRule="auto"/>
        <w:ind w:left="1418" w:hanging="425"/>
        <w:rPr>
          <w:rFonts w:cstheme="minorHAnsi"/>
        </w:rPr>
      </w:pPr>
      <w:r w:rsidRPr="004A2AA6">
        <w:rPr>
          <w:rFonts w:cstheme="minorHAnsi"/>
        </w:rPr>
        <w:t xml:space="preserve">Recognition of environmental considerations of </w:t>
      </w:r>
      <w:proofErr w:type="gramStart"/>
      <w:r w:rsidRPr="004A2AA6">
        <w:rPr>
          <w:rFonts w:cstheme="minorHAnsi"/>
        </w:rPr>
        <w:t>tenderers</w:t>
      </w:r>
      <w:r>
        <w:rPr>
          <w:rFonts w:cstheme="minorHAnsi"/>
        </w:rPr>
        <w:t>;</w:t>
      </w:r>
      <w:proofErr w:type="gramEnd"/>
    </w:p>
    <w:p w14:paraId="101AE362" w14:textId="77777777" w:rsidR="00AF44BD" w:rsidRPr="004A2AA6" w:rsidRDefault="00AF44BD" w:rsidP="00AF44BD">
      <w:pPr>
        <w:pStyle w:val="ListParagraph"/>
        <w:spacing w:line="252" w:lineRule="auto"/>
        <w:ind w:left="1418"/>
        <w:rPr>
          <w:rFonts w:cstheme="minorHAnsi"/>
        </w:rPr>
      </w:pPr>
    </w:p>
    <w:p w14:paraId="7291D02F" w14:textId="77777777" w:rsidR="00AF44BD" w:rsidRPr="004A2AA6" w:rsidRDefault="00AF44BD" w:rsidP="00AF44BD">
      <w:pPr>
        <w:pStyle w:val="ListParagraph"/>
        <w:numPr>
          <w:ilvl w:val="0"/>
          <w:numId w:val="26"/>
        </w:numPr>
        <w:spacing w:line="252" w:lineRule="auto"/>
        <w:ind w:left="1418" w:hanging="425"/>
        <w:rPr>
          <w:rFonts w:cstheme="minorHAnsi"/>
        </w:rPr>
      </w:pPr>
      <w:r w:rsidRPr="004A2AA6">
        <w:rPr>
          <w:rFonts w:cstheme="minorHAnsi"/>
        </w:rPr>
        <w:t>Encouraging sustainable solutions and innovation in tenders; and</w:t>
      </w:r>
    </w:p>
    <w:p w14:paraId="5EEC9402" w14:textId="77777777" w:rsidR="00AF44BD" w:rsidRPr="004A2AA6" w:rsidRDefault="00AF44BD" w:rsidP="00AF44BD">
      <w:pPr>
        <w:pStyle w:val="ListParagraph"/>
        <w:spacing w:line="252" w:lineRule="auto"/>
        <w:ind w:left="1418"/>
        <w:rPr>
          <w:rFonts w:cstheme="minorHAnsi"/>
        </w:rPr>
      </w:pPr>
    </w:p>
    <w:p w14:paraId="34F6F129" w14:textId="77777777" w:rsidR="00AF44BD" w:rsidRPr="004A2AA6" w:rsidRDefault="00AF44BD" w:rsidP="00AF44BD">
      <w:pPr>
        <w:pStyle w:val="ListParagraph"/>
        <w:numPr>
          <w:ilvl w:val="0"/>
          <w:numId w:val="26"/>
        </w:numPr>
        <w:spacing w:line="252" w:lineRule="auto"/>
        <w:ind w:left="1418" w:hanging="425"/>
        <w:rPr>
          <w:rFonts w:cstheme="minorHAnsi"/>
        </w:rPr>
      </w:pPr>
      <w:r w:rsidRPr="004A2AA6">
        <w:rPr>
          <w:rFonts w:cstheme="minorHAnsi"/>
        </w:rPr>
        <w:t>Measuring and improving sustainability throughout the life of the procurement.</w:t>
      </w:r>
    </w:p>
    <w:p w14:paraId="008E82F9" w14:textId="77777777" w:rsidR="00AF44BD" w:rsidRDefault="00AF44BD" w:rsidP="00AF44BD">
      <w:pPr>
        <w:rPr>
          <w:rFonts w:ascii="Times New Roman" w:hAnsi="Times New Roman" w:cs="Times New Roman"/>
          <w:sz w:val="24"/>
          <w:szCs w:val="24"/>
        </w:rPr>
      </w:pPr>
    </w:p>
    <w:sectPr w:rsidR="00AF44BD">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5DB6B" w14:textId="77777777" w:rsidR="004A7FCA" w:rsidRDefault="004A7FCA" w:rsidP="005F4E51">
      <w:pPr>
        <w:spacing w:after="0" w:line="240" w:lineRule="auto"/>
      </w:pPr>
      <w:r>
        <w:separator/>
      </w:r>
    </w:p>
  </w:endnote>
  <w:endnote w:type="continuationSeparator" w:id="0">
    <w:p w14:paraId="495A9CEB" w14:textId="77777777" w:rsidR="004A7FCA" w:rsidRDefault="004A7FCA" w:rsidP="005F4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kurat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17D3" w14:textId="4AE18CAC" w:rsidR="00376365" w:rsidRPr="000E19AA" w:rsidRDefault="00376365" w:rsidP="00FC522A">
    <w:pPr>
      <w:pStyle w:val="Footer"/>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0A3C" w14:textId="77777777" w:rsidR="004A7FCA" w:rsidRDefault="004A7FCA" w:rsidP="005F4E51">
      <w:pPr>
        <w:spacing w:after="0" w:line="240" w:lineRule="auto"/>
      </w:pPr>
      <w:r>
        <w:separator/>
      </w:r>
    </w:p>
  </w:footnote>
  <w:footnote w:type="continuationSeparator" w:id="0">
    <w:p w14:paraId="201517D7" w14:textId="77777777" w:rsidR="004A7FCA" w:rsidRDefault="004A7FCA" w:rsidP="005F4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7999" w14:textId="77777777" w:rsidR="00376365" w:rsidRDefault="00852A3D">
    <w:pPr>
      <w:pStyle w:val="Header"/>
    </w:pPr>
    <w:r>
      <w:rPr>
        <w:noProof/>
      </w:rPr>
      <w:pict w14:anchorId="2E4B3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79" o:spid="_x0000_s1026"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89F7" w14:textId="1074A8FB" w:rsidR="00376365" w:rsidRPr="00FC522A" w:rsidRDefault="00376365" w:rsidP="00FC522A">
    <w:pPr>
      <w:pStyle w:val="Header"/>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D6D3" w14:textId="77777777" w:rsidR="00376365" w:rsidRDefault="00852A3D">
    <w:pPr>
      <w:pStyle w:val="Header"/>
    </w:pPr>
    <w:r>
      <w:rPr>
        <w:noProof/>
      </w:rPr>
      <w:pict w14:anchorId="286EF3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78" o:spid="_x0000_s1025"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2D3"/>
    <w:multiLevelType w:val="hybridMultilevel"/>
    <w:tmpl w:val="A03E069E"/>
    <w:lvl w:ilvl="0" w:tplc="B9C09C54">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49F0018"/>
    <w:multiLevelType w:val="hybridMultilevel"/>
    <w:tmpl w:val="779E8CFC"/>
    <w:lvl w:ilvl="0" w:tplc="B0CE6B6E">
      <w:start w:val="2"/>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 w15:restartNumberingAfterBreak="0">
    <w:nsid w:val="0DF35321"/>
    <w:multiLevelType w:val="hybridMultilevel"/>
    <w:tmpl w:val="D80027B0"/>
    <w:lvl w:ilvl="0" w:tplc="F05C9FA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D769A3"/>
    <w:multiLevelType w:val="hybridMultilevel"/>
    <w:tmpl w:val="CA944148"/>
    <w:lvl w:ilvl="0" w:tplc="7BE21D32">
      <w:start w:val="1"/>
      <w:numFmt w:val="decimal"/>
      <w:lvlText w:val="%1."/>
      <w:lvlJc w:val="left"/>
      <w:pPr>
        <w:ind w:left="720" w:hanging="360"/>
      </w:pPr>
    </w:lvl>
    <w:lvl w:ilvl="1" w:tplc="4A6450F4">
      <w:start w:val="1"/>
      <w:numFmt w:val="lowerRoman"/>
      <w:lvlText w:val="%2."/>
      <w:lvlJc w:val="left"/>
      <w:pPr>
        <w:ind w:left="1800" w:hanging="72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1DB97258"/>
    <w:multiLevelType w:val="hybridMultilevel"/>
    <w:tmpl w:val="8438C672"/>
    <w:lvl w:ilvl="0" w:tplc="97BCB21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32C0B"/>
    <w:multiLevelType w:val="hybridMultilevel"/>
    <w:tmpl w:val="237C8F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1237219"/>
    <w:multiLevelType w:val="hybridMultilevel"/>
    <w:tmpl w:val="BF6C3AD0"/>
    <w:lvl w:ilvl="0" w:tplc="C51EAA9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8335FF3"/>
    <w:multiLevelType w:val="hybridMultilevel"/>
    <w:tmpl w:val="0CB02622"/>
    <w:lvl w:ilvl="0" w:tplc="B9C09C54">
      <w:start w:val="1"/>
      <w:numFmt w:val="lowerLetter"/>
      <w:lvlText w:val="(%1)"/>
      <w:lvlJc w:val="left"/>
      <w:pPr>
        <w:ind w:left="1423" w:hanging="430"/>
      </w:pPr>
    </w:lvl>
    <w:lvl w:ilvl="1" w:tplc="48090019">
      <w:start w:val="1"/>
      <w:numFmt w:val="lowerLetter"/>
      <w:lvlText w:val="%2."/>
      <w:lvlJc w:val="left"/>
      <w:pPr>
        <w:ind w:left="2073" w:hanging="360"/>
      </w:pPr>
    </w:lvl>
    <w:lvl w:ilvl="2" w:tplc="4809001B">
      <w:start w:val="1"/>
      <w:numFmt w:val="lowerRoman"/>
      <w:lvlText w:val="%3."/>
      <w:lvlJc w:val="right"/>
      <w:pPr>
        <w:ind w:left="2793" w:hanging="180"/>
      </w:pPr>
    </w:lvl>
    <w:lvl w:ilvl="3" w:tplc="4809000F">
      <w:start w:val="1"/>
      <w:numFmt w:val="decimal"/>
      <w:lvlText w:val="%4."/>
      <w:lvlJc w:val="left"/>
      <w:pPr>
        <w:ind w:left="3513" w:hanging="360"/>
      </w:pPr>
    </w:lvl>
    <w:lvl w:ilvl="4" w:tplc="48090019">
      <w:start w:val="1"/>
      <w:numFmt w:val="lowerLetter"/>
      <w:lvlText w:val="%5."/>
      <w:lvlJc w:val="left"/>
      <w:pPr>
        <w:ind w:left="4233" w:hanging="360"/>
      </w:pPr>
    </w:lvl>
    <w:lvl w:ilvl="5" w:tplc="4809001B">
      <w:start w:val="1"/>
      <w:numFmt w:val="lowerRoman"/>
      <w:lvlText w:val="%6."/>
      <w:lvlJc w:val="right"/>
      <w:pPr>
        <w:ind w:left="4953" w:hanging="180"/>
      </w:pPr>
    </w:lvl>
    <w:lvl w:ilvl="6" w:tplc="4809000F">
      <w:start w:val="1"/>
      <w:numFmt w:val="decimal"/>
      <w:lvlText w:val="%7."/>
      <w:lvlJc w:val="left"/>
      <w:pPr>
        <w:ind w:left="5673" w:hanging="360"/>
      </w:pPr>
    </w:lvl>
    <w:lvl w:ilvl="7" w:tplc="48090019">
      <w:start w:val="1"/>
      <w:numFmt w:val="lowerLetter"/>
      <w:lvlText w:val="%8."/>
      <w:lvlJc w:val="left"/>
      <w:pPr>
        <w:ind w:left="6393" w:hanging="360"/>
      </w:pPr>
    </w:lvl>
    <w:lvl w:ilvl="8" w:tplc="4809001B">
      <w:start w:val="1"/>
      <w:numFmt w:val="lowerRoman"/>
      <w:lvlText w:val="%9."/>
      <w:lvlJc w:val="right"/>
      <w:pPr>
        <w:ind w:left="7113" w:hanging="180"/>
      </w:pPr>
    </w:lvl>
  </w:abstractNum>
  <w:abstractNum w:abstractNumId="8" w15:restartNumberingAfterBreak="0">
    <w:nsid w:val="28AC7C1A"/>
    <w:multiLevelType w:val="hybridMultilevel"/>
    <w:tmpl w:val="F7003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391935"/>
    <w:multiLevelType w:val="hybridMultilevel"/>
    <w:tmpl w:val="EC4E0664"/>
    <w:lvl w:ilvl="0" w:tplc="AC525D74">
      <w:start w:val="1"/>
      <w:numFmt w:val="decimal"/>
      <w:lvlText w:val="%1."/>
      <w:lvlJc w:val="left"/>
      <w:pPr>
        <w:ind w:left="1215" w:hanging="855"/>
      </w:pPr>
      <w:rPr>
        <w:sz w:val="24"/>
        <w:szCs w:val="24"/>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0" w15:restartNumberingAfterBreak="0">
    <w:nsid w:val="2DBD59F4"/>
    <w:multiLevelType w:val="hybridMultilevel"/>
    <w:tmpl w:val="0BD41364"/>
    <w:lvl w:ilvl="0" w:tplc="018473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A94C7C"/>
    <w:multiLevelType w:val="hybridMultilevel"/>
    <w:tmpl w:val="DA020AD4"/>
    <w:lvl w:ilvl="0" w:tplc="76F4D25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2AF1C6A"/>
    <w:multiLevelType w:val="hybridMultilevel"/>
    <w:tmpl w:val="25A8E5A4"/>
    <w:lvl w:ilvl="0" w:tplc="F7AC24E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4ED2C74"/>
    <w:multiLevelType w:val="hybridMultilevel"/>
    <w:tmpl w:val="116EF176"/>
    <w:lvl w:ilvl="0" w:tplc="B9C09C54">
      <w:start w:val="1"/>
      <w:numFmt w:val="lowerLetter"/>
      <w:lvlText w:val="(%1)"/>
      <w:lvlJc w:val="lef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15:restartNumberingAfterBreak="0">
    <w:nsid w:val="3BE463E9"/>
    <w:multiLevelType w:val="hybridMultilevel"/>
    <w:tmpl w:val="7DF6EE72"/>
    <w:lvl w:ilvl="0" w:tplc="4148D016">
      <w:start w:val="1"/>
      <w:numFmt w:val="lowerLetter"/>
      <w:lvlText w:val="(%1)"/>
      <w:lvlJc w:val="left"/>
      <w:pPr>
        <w:ind w:left="-186" w:hanging="360"/>
      </w:pPr>
      <w:rPr>
        <w:rFonts w:hint="default"/>
      </w:rPr>
    </w:lvl>
    <w:lvl w:ilvl="1" w:tplc="0C090019" w:tentative="1">
      <w:start w:val="1"/>
      <w:numFmt w:val="lowerLetter"/>
      <w:lvlText w:val="%2."/>
      <w:lvlJc w:val="left"/>
      <w:pPr>
        <w:ind w:left="534" w:hanging="360"/>
      </w:pPr>
    </w:lvl>
    <w:lvl w:ilvl="2" w:tplc="0C09001B" w:tentative="1">
      <w:start w:val="1"/>
      <w:numFmt w:val="lowerRoman"/>
      <w:lvlText w:val="%3."/>
      <w:lvlJc w:val="right"/>
      <w:pPr>
        <w:ind w:left="1254" w:hanging="180"/>
      </w:pPr>
    </w:lvl>
    <w:lvl w:ilvl="3" w:tplc="0C09000F" w:tentative="1">
      <w:start w:val="1"/>
      <w:numFmt w:val="decimal"/>
      <w:lvlText w:val="%4."/>
      <w:lvlJc w:val="left"/>
      <w:pPr>
        <w:ind w:left="1974" w:hanging="360"/>
      </w:pPr>
    </w:lvl>
    <w:lvl w:ilvl="4" w:tplc="0C090019" w:tentative="1">
      <w:start w:val="1"/>
      <w:numFmt w:val="lowerLetter"/>
      <w:lvlText w:val="%5."/>
      <w:lvlJc w:val="left"/>
      <w:pPr>
        <w:ind w:left="2694" w:hanging="360"/>
      </w:pPr>
    </w:lvl>
    <w:lvl w:ilvl="5" w:tplc="0C09001B" w:tentative="1">
      <w:start w:val="1"/>
      <w:numFmt w:val="lowerRoman"/>
      <w:lvlText w:val="%6."/>
      <w:lvlJc w:val="right"/>
      <w:pPr>
        <w:ind w:left="3414" w:hanging="180"/>
      </w:pPr>
    </w:lvl>
    <w:lvl w:ilvl="6" w:tplc="0C09000F" w:tentative="1">
      <w:start w:val="1"/>
      <w:numFmt w:val="decimal"/>
      <w:lvlText w:val="%7."/>
      <w:lvlJc w:val="left"/>
      <w:pPr>
        <w:ind w:left="4134" w:hanging="360"/>
      </w:pPr>
    </w:lvl>
    <w:lvl w:ilvl="7" w:tplc="0C090019" w:tentative="1">
      <w:start w:val="1"/>
      <w:numFmt w:val="lowerLetter"/>
      <w:lvlText w:val="%8."/>
      <w:lvlJc w:val="left"/>
      <w:pPr>
        <w:ind w:left="4854" w:hanging="360"/>
      </w:pPr>
    </w:lvl>
    <w:lvl w:ilvl="8" w:tplc="0C09001B" w:tentative="1">
      <w:start w:val="1"/>
      <w:numFmt w:val="lowerRoman"/>
      <w:lvlText w:val="%9."/>
      <w:lvlJc w:val="right"/>
      <w:pPr>
        <w:ind w:left="5574" w:hanging="180"/>
      </w:pPr>
    </w:lvl>
  </w:abstractNum>
  <w:abstractNum w:abstractNumId="15" w15:restartNumberingAfterBreak="0">
    <w:nsid w:val="3D0E76FC"/>
    <w:multiLevelType w:val="hybridMultilevel"/>
    <w:tmpl w:val="170EBB46"/>
    <w:lvl w:ilvl="0" w:tplc="AAC0195A">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6" w15:restartNumberingAfterBreak="0">
    <w:nsid w:val="3EFA3FE5"/>
    <w:multiLevelType w:val="hybridMultilevel"/>
    <w:tmpl w:val="A9BAD436"/>
    <w:lvl w:ilvl="0" w:tplc="48090017">
      <w:start w:val="1"/>
      <w:numFmt w:val="lowerLetter"/>
      <w:lvlText w:val="%1)"/>
      <w:lvlJc w:val="left"/>
      <w:pPr>
        <w:ind w:left="1320" w:hanging="360"/>
      </w:pPr>
    </w:lvl>
    <w:lvl w:ilvl="1" w:tplc="3634B40C">
      <w:start w:val="1"/>
      <w:numFmt w:val="lowerLetter"/>
      <w:lvlText w:val="(%2)"/>
      <w:lvlJc w:val="left"/>
      <w:pPr>
        <w:ind w:left="1353" w:hanging="360"/>
      </w:pPr>
      <w:rPr>
        <w:rFonts w:hint="default"/>
      </w:rPr>
    </w:lvl>
    <w:lvl w:ilvl="2" w:tplc="4809001B">
      <w:start w:val="1"/>
      <w:numFmt w:val="lowerRoman"/>
      <w:lvlText w:val="%3."/>
      <w:lvlJc w:val="right"/>
      <w:pPr>
        <w:ind w:left="2760" w:hanging="180"/>
      </w:pPr>
    </w:lvl>
    <w:lvl w:ilvl="3" w:tplc="4809000F">
      <w:start w:val="1"/>
      <w:numFmt w:val="decimal"/>
      <w:lvlText w:val="%4."/>
      <w:lvlJc w:val="left"/>
      <w:pPr>
        <w:ind w:left="3480" w:hanging="360"/>
      </w:pPr>
    </w:lvl>
    <w:lvl w:ilvl="4" w:tplc="48090019">
      <w:start w:val="1"/>
      <w:numFmt w:val="lowerLetter"/>
      <w:lvlText w:val="%5."/>
      <w:lvlJc w:val="left"/>
      <w:pPr>
        <w:ind w:left="4200" w:hanging="360"/>
      </w:pPr>
    </w:lvl>
    <w:lvl w:ilvl="5" w:tplc="4809001B">
      <w:start w:val="1"/>
      <w:numFmt w:val="lowerRoman"/>
      <w:lvlText w:val="%6."/>
      <w:lvlJc w:val="right"/>
      <w:pPr>
        <w:ind w:left="4920" w:hanging="180"/>
      </w:pPr>
    </w:lvl>
    <w:lvl w:ilvl="6" w:tplc="4809000F">
      <w:start w:val="1"/>
      <w:numFmt w:val="decimal"/>
      <w:lvlText w:val="%7."/>
      <w:lvlJc w:val="left"/>
      <w:pPr>
        <w:ind w:left="5640" w:hanging="360"/>
      </w:pPr>
    </w:lvl>
    <w:lvl w:ilvl="7" w:tplc="48090019">
      <w:start w:val="1"/>
      <w:numFmt w:val="lowerLetter"/>
      <w:lvlText w:val="%8."/>
      <w:lvlJc w:val="left"/>
      <w:pPr>
        <w:ind w:left="6360" w:hanging="360"/>
      </w:pPr>
    </w:lvl>
    <w:lvl w:ilvl="8" w:tplc="4809001B">
      <w:start w:val="1"/>
      <w:numFmt w:val="lowerRoman"/>
      <w:lvlText w:val="%9."/>
      <w:lvlJc w:val="right"/>
      <w:pPr>
        <w:ind w:left="7080" w:hanging="180"/>
      </w:pPr>
    </w:lvl>
  </w:abstractNum>
  <w:abstractNum w:abstractNumId="17" w15:restartNumberingAfterBreak="0">
    <w:nsid w:val="3FA302D3"/>
    <w:multiLevelType w:val="hybridMultilevel"/>
    <w:tmpl w:val="3270842A"/>
    <w:lvl w:ilvl="0" w:tplc="1190FFA6">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7C292C"/>
    <w:multiLevelType w:val="hybridMultilevel"/>
    <w:tmpl w:val="7DF6EE7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B4B3AB6"/>
    <w:multiLevelType w:val="hybridMultilevel"/>
    <w:tmpl w:val="546AC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796C66"/>
    <w:multiLevelType w:val="hybridMultilevel"/>
    <w:tmpl w:val="A03E069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 w15:restartNumberingAfterBreak="0">
    <w:nsid w:val="608513A4"/>
    <w:multiLevelType w:val="hybridMultilevel"/>
    <w:tmpl w:val="5A38A0B0"/>
    <w:lvl w:ilvl="0" w:tplc="E012CB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19D0D3D"/>
    <w:multiLevelType w:val="hybridMultilevel"/>
    <w:tmpl w:val="0A303B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3B31BF2"/>
    <w:multiLevelType w:val="hybridMultilevel"/>
    <w:tmpl w:val="49FA7C34"/>
    <w:lvl w:ilvl="0" w:tplc="F4028380">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4" w15:restartNumberingAfterBreak="0">
    <w:nsid w:val="6A9562D5"/>
    <w:multiLevelType w:val="hybridMultilevel"/>
    <w:tmpl w:val="E918C8EA"/>
    <w:lvl w:ilvl="0" w:tplc="53F67CE8">
      <w:start w:val="1"/>
      <w:numFmt w:val="bullet"/>
      <w:lvlText w:val="·"/>
      <w:lvlJc w:val="left"/>
      <w:pPr>
        <w:ind w:left="720" w:hanging="360"/>
      </w:pPr>
      <w:rPr>
        <w:rFonts w:ascii="Symbol" w:hAnsi="Symbol" w:hint="default"/>
        <w:color w:val="auto"/>
      </w:rPr>
    </w:lvl>
    <w:lvl w:ilvl="1" w:tplc="48C4FA0C">
      <w:start w:val="1"/>
      <w:numFmt w:val="bullet"/>
      <w:lvlText w:val="o"/>
      <w:lvlJc w:val="left"/>
      <w:pPr>
        <w:ind w:left="1440" w:hanging="360"/>
      </w:pPr>
      <w:rPr>
        <w:rFonts w:ascii="Courier New" w:hAnsi="Courier New" w:hint="default"/>
      </w:rPr>
    </w:lvl>
    <w:lvl w:ilvl="2" w:tplc="64B270A8">
      <w:start w:val="1"/>
      <w:numFmt w:val="bullet"/>
      <w:lvlText w:val=""/>
      <w:lvlJc w:val="left"/>
      <w:pPr>
        <w:ind w:left="2160" w:hanging="360"/>
      </w:pPr>
      <w:rPr>
        <w:rFonts w:ascii="Wingdings" w:hAnsi="Wingdings" w:hint="default"/>
      </w:rPr>
    </w:lvl>
    <w:lvl w:ilvl="3" w:tplc="41FA6B32">
      <w:start w:val="1"/>
      <w:numFmt w:val="bullet"/>
      <w:lvlText w:val=""/>
      <w:lvlJc w:val="left"/>
      <w:pPr>
        <w:ind w:left="2880" w:hanging="360"/>
      </w:pPr>
      <w:rPr>
        <w:rFonts w:ascii="Symbol" w:hAnsi="Symbol" w:hint="default"/>
      </w:rPr>
    </w:lvl>
    <w:lvl w:ilvl="4" w:tplc="D9F2AF94">
      <w:start w:val="1"/>
      <w:numFmt w:val="bullet"/>
      <w:lvlText w:val="o"/>
      <w:lvlJc w:val="left"/>
      <w:pPr>
        <w:ind w:left="3600" w:hanging="360"/>
      </w:pPr>
      <w:rPr>
        <w:rFonts w:ascii="Courier New" w:hAnsi="Courier New" w:hint="default"/>
      </w:rPr>
    </w:lvl>
    <w:lvl w:ilvl="5" w:tplc="55AE84B0">
      <w:start w:val="1"/>
      <w:numFmt w:val="bullet"/>
      <w:lvlText w:val=""/>
      <w:lvlJc w:val="left"/>
      <w:pPr>
        <w:ind w:left="4320" w:hanging="360"/>
      </w:pPr>
      <w:rPr>
        <w:rFonts w:ascii="Wingdings" w:hAnsi="Wingdings" w:hint="default"/>
      </w:rPr>
    </w:lvl>
    <w:lvl w:ilvl="6" w:tplc="F57C1966">
      <w:start w:val="1"/>
      <w:numFmt w:val="bullet"/>
      <w:lvlText w:val=""/>
      <w:lvlJc w:val="left"/>
      <w:pPr>
        <w:ind w:left="5040" w:hanging="360"/>
      </w:pPr>
      <w:rPr>
        <w:rFonts w:ascii="Symbol" w:hAnsi="Symbol" w:hint="default"/>
      </w:rPr>
    </w:lvl>
    <w:lvl w:ilvl="7" w:tplc="BB646B58">
      <w:start w:val="1"/>
      <w:numFmt w:val="bullet"/>
      <w:lvlText w:val="o"/>
      <w:lvlJc w:val="left"/>
      <w:pPr>
        <w:ind w:left="5760" w:hanging="360"/>
      </w:pPr>
      <w:rPr>
        <w:rFonts w:ascii="Courier New" w:hAnsi="Courier New" w:hint="default"/>
      </w:rPr>
    </w:lvl>
    <w:lvl w:ilvl="8" w:tplc="91E8E9F0">
      <w:start w:val="1"/>
      <w:numFmt w:val="bullet"/>
      <w:lvlText w:val=""/>
      <w:lvlJc w:val="left"/>
      <w:pPr>
        <w:ind w:left="6480" w:hanging="360"/>
      </w:pPr>
      <w:rPr>
        <w:rFonts w:ascii="Wingdings" w:hAnsi="Wingdings" w:hint="default"/>
      </w:rPr>
    </w:lvl>
  </w:abstractNum>
  <w:abstractNum w:abstractNumId="25" w15:restartNumberingAfterBreak="0">
    <w:nsid w:val="707459A2"/>
    <w:multiLevelType w:val="hybridMultilevel"/>
    <w:tmpl w:val="61B00748"/>
    <w:lvl w:ilvl="0" w:tplc="B9C09C54">
      <w:start w:val="1"/>
      <w:numFmt w:val="lowerLetter"/>
      <w:lvlText w:val="(%1)"/>
      <w:lvlJc w:val="left"/>
      <w:pPr>
        <w:ind w:left="1320" w:hanging="360"/>
      </w:pPr>
    </w:lvl>
    <w:lvl w:ilvl="1" w:tplc="B9C09C54">
      <w:start w:val="1"/>
      <w:numFmt w:val="lowerLetter"/>
      <w:lvlText w:val="(%2)"/>
      <w:lvlJc w:val="left"/>
      <w:pPr>
        <w:ind w:left="1353" w:hanging="360"/>
      </w:pPr>
    </w:lvl>
    <w:lvl w:ilvl="2" w:tplc="4809001B">
      <w:start w:val="1"/>
      <w:numFmt w:val="lowerRoman"/>
      <w:lvlText w:val="%3."/>
      <w:lvlJc w:val="right"/>
      <w:pPr>
        <w:ind w:left="2760" w:hanging="180"/>
      </w:pPr>
    </w:lvl>
    <w:lvl w:ilvl="3" w:tplc="4809000F">
      <w:start w:val="1"/>
      <w:numFmt w:val="decimal"/>
      <w:lvlText w:val="%4."/>
      <w:lvlJc w:val="left"/>
      <w:pPr>
        <w:ind w:left="3480" w:hanging="360"/>
      </w:pPr>
    </w:lvl>
    <w:lvl w:ilvl="4" w:tplc="48090019">
      <w:start w:val="1"/>
      <w:numFmt w:val="lowerLetter"/>
      <w:lvlText w:val="%5."/>
      <w:lvlJc w:val="left"/>
      <w:pPr>
        <w:ind w:left="4200" w:hanging="360"/>
      </w:pPr>
    </w:lvl>
    <w:lvl w:ilvl="5" w:tplc="4809001B">
      <w:start w:val="1"/>
      <w:numFmt w:val="lowerRoman"/>
      <w:lvlText w:val="%6."/>
      <w:lvlJc w:val="right"/>
      <w:pPr>
        <w:ind w:left="4920" w:hanging="180"/>
      </w:pPr>
    </w:lvl>
    <w:lvl w:ilvl="6" w:tplc="4809000F">
      <w:start w:val="1"/>
      <w:numFmt w:val="decimal"/>
      <w:lvlText w:val="%7."/>
      <w:lvlJc w:val="left"/>
      <w:pPr>
        <w:ind w:left="5640" w:hanging="360"/>
      </w:pPr>
    </w:lvl>
    <w:lvl w:ilvl="7" w:tplc="48090019">
      <w:start w:val="1"/>
      <w:numFmt w:val="lowerLetter"/>
      <w:lvlText w:val="%8."/>
      <w:lvlJc w:val="left"/>
      <w:pPr>
        <w:ind w:left="6360" w:hanging="360"/>
      </w:pPr>
    </w:lvl>
    <w:lvl w:ilvl="8" w:tplc="4809001B">
      <w:start w:val="1"/>
      <w:numFmt w:val="lowerRoman"/>
      <w:lvlText w:val="%9."/>
      <w:lvlJc w:val="right"/>
      <w:pPr>
        <w:ind w:left="7080" w:hanging="180"/>
      </w:pPr>
    </w:lvl>
  </w:abstractNum>
  <w:abstractNum w:abstractNumId="26" w15:restartNumberingAfterBreak="0">
    <w:nsid w:val="767D7057"/>
    <w:multiLevelType w:val="hybridMultilevel"/>
    <w:tmpl w:val="0186C7C0"/>
    <w:lvl w:ilvl="0" w:tplc="ED88087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6225B2"/>
    <w:multiLevelType w:val="hybridMultilevel"/>
    <w:tmpl w:val="59FA56C8"/>
    <w:lvl w:ilvl="0" w:tplc="51A0F400">
      <w:start w:val="2"/>
      <w:numFmt w:val="lowerLetter"/>
      <w:lvlText w:val="(%1)"/>
      <w:lvlJc w:val="left"/>
      <w:pPr>
        <w:ind w:left="1211" w:hanging="360"/>
      </w:pPr>
    </w:lvl>
    <w:lvl w:ilvl="1" w:tplc="48090019">
      <w:start w:val="1"/>
      <w:numFmt w:val="lowerLetter"/>
      <w:lvlText w:val="%2."/>
      <w:lvlJc w:val="left"/>
      <w:pPr>
        <w:ind w:left="1931" w:hanging="360"/>
      </w:pPr>
    </w:lvl>
    <w:lvl w:ilvl="2" w:tplc="4809001B">
      <w:start w:val="1"/>
      <w:numFmt w:val="lowerRoman"/>
      <w:lvlText w:val="%3."/>
      <w:lvlJc w:val="right"/>
      <w:pPr>
        <w:ind w:left="2651" w:hanging="180"/>
      </w:pPr>
    </w:lvl>
    <w:lvl w:ilvl="3" w:tplc="4809000F">
      <w:start w:val="1"/>
      <w:numFmt w:val="decimal"/>
      <w:lvlText w:val="%4."/>
      <w:lvlJc w:val="left"/>
      <w:pPr>
        <w:ind w:left="3371" w:hanging="360"/>
      </w:pPr>
    </w:lvl>
    <w:lvl w:ilvl="4" w:tplc="48090019">
      <w:start w:val="1"/>
      <w:numFmt w:val="lowerLetter"/>
      <w:lvlText w:val="%5."/>
      <w:lvlJc w:val="left"/>
      <w:pPr>
        <w:ind w:left="4091" w:hanging="360"/>
      </w:pPr>
    </w:lvl>
    <w:lvl w:ilvl="5" w:tplc="4809001B">
      <w:start w:val="1"/>
      <w:numFmt w:val="lowerRoman"/>
      <w:lvlText w:val="%6."/>
      <w:lvlJc w:val="right"/>
      <w:pPr>
        <w:ind w:left="4811" w:hanging="180"/>
      </w:pPr>
    </w:lvl>
    <w:lvl w:ilvl="6" w:tplc="4809000F">
      <w:start w:val="1"/>
      <w:numFmt w:val="decimal"/>
      <w:lvlText w:val="%7."/>
      <w:lvlJc w:val="left"/>
      <w:pPr>
        <w:ind w:left="5531" w:hanging="360"/>
      </w:pPr>
    </w:lvl>
    <w:lvl w:ilvl="7" w:tplc="48090019">
      <w:start w:val="1"/>
      <w:numFmt w:val="lowerLetter"/>
      <w:lvlText w:val="%8."/>
      <w:lvlJc w:val="left"/>
      <w:pPr>
        <w:ind w:left="6251" w:hanging="360"/>
      </w:pPr>
    </w:lvl>
    <w:lvl w:ilvl="8" w:tplc="4809001B">
      <w:start w:val="1"/>
      <w:numFmt w:val="lowerRoman"/>
      <w:lvlText w:val="%9."/>
      <w:lvlJc w:val="right"/>
      <w:pPr>
        <w:ind w:left="6971" w:hanging="180"/>
      </w:pPr>
    </w:lvl>
  </w:abstractNum>
  <w:num w:numId="1">
    <w:abstractNumId w:val="2"/>
  </w:num>
  <w:num w:numId="2">
    <w:abstractNumId w:val="10"/>
  </w:num>
  <w:num w:numId="3">
    <w:abstractNumId w:val="4"/>
  </w:num>
  <w:num w:numId="4">
    <w:abstractNumId w:val="11"/>
  </w:num>
  <w:num w:numId="5">
    <w:abstractNumId w:val="6"/>
  </w:num>
  <w:num w:numId="6">
    <w:abstractNumId w:val="21"/>
  </w:num>
  <w:num w:numId="7">
    <w:abstractNumId w:val="5"/>
  </w:num>
  <w:num w:numId="8">
    <w:abstractNumId w:val="24"/>
  </w:num>
  <w:num w:numId="9">
    <w:abstractNumId w:val="19"/>
  </w:num>
  <w:num w:numId="10">
    <w:abstractNumId w:val="8"/>
  </w:num>
  <w:num w:numId="11">
    <w:abstractNumId w:val="17"/>
  </w:num>
  <w:num w:numId="12">
    <w:abstractNumId w:val="22"/>
  </w:num>
  <w:num w:numId="13">
    <w:abstractNumId w:val="1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0"/>
  </w:num>
  <w:num w:numId="26">
    <w:abstractNumId w:val="20"/>
  </w:num>
  <w:num w:numId="27">
    <w:abstractNumId w:val="13"/>
  </w:num>
  <w:num w:numId="28">
    <w:abstractNumId w:val="14"/>
  </w:num>
  <w:num w:numId="29">
    <w:abstractNumId w:val="18"/>
  </w:num>
  <w:num w:numId="30">
    <w:abstractNumId w:val="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E51"/>
    <w:rsid w:val="00003E58"/>
    <w:rsid w:val="00004ED0"/>
    <w:rsid w:val="00010222"/>
    <w:rsid w:val="00014944"/>
    <w:rsid w:val="00022002"/>
    <w:rsid w:val="00022434"/>
    <w:rsid w:val="000228E1"/>
    <w:rsid w:val="00027931"/>
    <w:rsid w:val="00027D77"/>
    <w:rsid w:val="00030677"/>
    <w:rsid w:val="00030F2C"/>
    <w:rsid w:val="00031211"/>
    <w:rsid w:val="00043A1C"/>
    <w:rsid w:val="0004468E"/>
    <w:rsid w:val="000459A3"/>
    <w:rsid w:val="00051B4C"/>
    <w:rsid w:val="000548A9"/>
    <w:rsid w:val="000556E3"/>
    <w:rsid w:val="00057928"/>
    <w:rsid w:val="000660C6"/>
    <w:rsid w:val="00066A3E"/>
    <w:rsid w:val="00070A3D"/>
    <w:rsid w:val="00080F4E"/>
    <w:rsid w:val="00083DCE"/>
    <w:rsid w:val="000848E8"/>
    <w:rsid w:val="00090F58"/>
    <w:rsid w:val="000910EE"/>
    <w:rsid w:val="00091A6B"/>
    <w:rsid w:val="00095850"/>
    <w:rsid w:val="00095E46"/>
    <w:rsid w:val="0009767C"/>
    <w:rsid w:val="000A539A"/>
    <w:rsid w:val="000A674A"/>
    <w:rsid w:val="000A681D"/>
    <w:rsid w:val="000B09F3"/>
    <w:rsid w:val="000B19BB"/>
    <w:rsid w:val="000B28CF"/>
    <w:rsid w:val="000B648B"/>
    <w:rsid w:val="000C6272"/>
    <w:rsid w:val="000C7DA4"/>
    <w:rsid w:val="000D0624"/>
    <w:rsid w:val="000D12F1"/>
    <w:rsid w:val="000D558D"/>
    <w:rsid w:val="000D69EE"/>
    <w:rsid w:val="000E129A"/>
    <w:rsid w:val="000E19AA"/>
    <w:rsid w:val="000E669F"/>
    <w:rsid w:val="000E795F"/>
    <w:rsid w:val="000F4A10"/>
    <w:rsid w:val="000F702B"/>
    <w:rsid w:val="000F7378"/>
    <w:rsid w:val="00100115"/>
    <w:rsid w:val="00102253"/>
    <w:rsid w:val="0010463B"/>
    <w:rsid w:val="00106BCE"/>
    <w:rsid w:val="001239A0"/>
    <w:rsid w:val="00130673"/>
    <w:rsid w:val="00130AE1"/>
    <w:rsid w:val="0013470E"/>
    <w:rsid w:val="00136B0C"/>
    <w:rsid w:val="00137F72"/>
    <w:rsid w:val="0014009C"/>
    <w:rsid w:val="00143DC5"/>
    <w:rsid w:val="00151987"/>
    <w:rsid w:val="00151CC5"/>
    <w:rsid w:val="001535AD"/>
    <w:rsid w:val="00163006"/>
    <w:rsid w:val="00170115"/>
    <w:rsid w:val="001776A1"/>
    <w:rsid w:val="0018313F"/>
    <w:rsid w:val="00191791"/>
    <w:rsid w:val="00193C08"/>
    <w:rsid w:val="00194239"/>
    <w:rsid w:val="00195A11"/>
    <w:rsid w:val="00196330"/>
    <w:rsid w:val="001B7540"/>
    <w:rsid w:val="001C56F0"/>
    <w:rsid w:val="001C7E01"/>
    <w:rsid w:val="001D28AF"/>
    <w:rsid w:val="001D28DB"/>
    <w:rsid w:val="001D2D12"/>
    <w:rsid w:val="001D4D2E"/>
    <w:rsid w:val="001D64A9"/>
    <w:rsid w:val="001D6712"/>
    <w:rsid w:val="001E792F"/>
    <w:rsid w:val="001F1231"/>
    <w:rsid w:val="001F3C5A"/>
    <w:rsid w:val="001F70EC"/>
    <w:rsid w:val="00204376"/>
    <w:rsid w:val="00205C8D"/>
    <w:rsid w:val="00212A09"/>
    <w:rsid w:val="00213C41"/>
    <w:rsid w:val="002165AA"/>
    <w:rsid w:val="00220A26"/>
    <w:rsid w:val="00231106"/>
    <w:rsid w:val="002366E1"/>
    <w:rsid w:val="0023721D"/>
    <w:rsid w:val="00242995"/>
    <w:rsid w:val="00246465"/>
    <w:rsid w:val="002470C0"/>
    <w:rsid w:val="00251030"/>
    <w:rsid w:val="00251FDC"/>
    <w:rsid w:val="0025394B"/>
    <w:rsid w:val="002547DE"/>
    <w:rsid w:val="00256050"/>
    <w:rsid w:val="00265407"/>
    <w:rsid w:val="00265A61"/>
    <w:rsid w:val="00267A24"/>
    <w:rsid w:val="002716BB"/>
    <w:rsid w:val="00282BF2"/>
    <w:rsid w:val="00286B0A"/>
    <w:rsid w:val="00287B73"/>
    <w:rsid w:val="002A255A"/>
    <w:rsid w:val="002A73DD"/>
    <w:rsid w:val="002B11E7"/>
    <w:rsid w:val="002B33A0"/>
    <w:rsid w:val="002B37BB"/>
    <w:rsid w:val="002B528D"/>
    <w:rsid w:val="002B7F5A"/>
    <w:rsid w:val="002C0B2A"/>
    <w:rsid w:val="002C4409"/>
    <w:rsid w:val="002C675C"/>
    <w:rsid w:val="002C798A"/>
    <w:rsid w:val="002D4A90"/>
    <w:rsid w:val="002E1A0A"/>
    <w:rsid w:val="002F62AE"/>
    <w:rsid w:val="003059A6"/>
    <w:rsid w:val="00307030"/>
    <w:rsid w:val="00315D88"/>
    <w:rsid w:val="00316FD0"/>
    <w:rsid w:val="003227C0"/>
    <w:rsid w:val="00343356"/>
    <w:rsid w:val="00345DD5"/>
    <w:rsid w:val="00347E6E"/>
    <w:rsid w:val="00350E91"/>
    <w:rsid w:val="003518B5"/>
    <w:rsid w:val="0035308B"/>
    <w:rsid w:val="003663D0"/>
    <w:rsid w:val="00376365"/>
    <w:rsid w:val="00381F59"/>
    <w:rsid w:val="00384401"/>
    <w:rsid w:val="003864C4"/>
    <w:rsid w:val="00393D45"/>
    <w:rsid w:val="0039476B"/>
    <w:rsid w:val="00395124"/>
    <w:rsid w:val="003A3DB4"/>
    <w:rsid w:val="003A4EF8"/>
    <w:rsid w:val="003A7EEE"/>
    <w:rsid w:val="003B35D7"/>
    <w:rsid w:val="003B4398"/>
    <w:rsid w:val="003C02A1"/>
    <w:rsid w:val="003C0F2E"/>
    <w:rsid w:val="003D5FD8"/>
    <w:rsid w:val="003E3365"/>
    <w:rsid w:val="003E3724"/>
    <w:rsid w:val="003E7E2A"/>
    <w:rsid w:val="003F721D"/>
    <w:rsid w:val="00405A45"/>
    <w:rsid w:val="00415DEF"/>
    <w:rsid w:val="00415EA5"/>
    <w:rsid w:val="00416EB0"/>
    <w:rsid w:val="00432D88"/>
    <w:rsid w:val="00437B08"/>
    <w:rsid w:val="00442A67"/>
    <w:rsid w:val="00444E23"/>
    <w:rsid w:val="00452BFC"/>
    <w:rsid w:val="0045779F"/>
    <w:rsid w:val="004638AD"/>
    <w:rsid w:val="00467FC5"/>
    <w:rsid w:val="00470BA6"/>
    <w:rsid w:val="0047268A"/>
    <w:rsid w:val="0047490C"/>
    <w:rsid w:val="00484EE6"/>
    <w:rsid w:val="0048596E"/>
    <w:rsid w:val="004A2AA6"/>
    <w:rsid w:val="004A520D"/>
    <w:rsid w:val="004A7FCA"/>
    <w:rsid w:val="004B3C28"/>
    <w:rsid w:val="004B50CE"/>
    <w:rsid w:val="004C2F41"/>
    <w:rsid w:val="004D0720"/>
    <w:rsid w:val="004D3A53"/>
    <w:rsid w:val="004E26AE"/>
    <w:rsid w:val="004E3FD8"/>
    <w:rsid w:val="004F3A32"/>
    <w:rsid w:val="005170F5"/>
    <w:rsid w:val="0051714C"/>
    <w:rsid w:val="0051725B"/>
    <w:rsid w:val="0052559C"/>
    <w:rsid w:val="00531432"/>
    <w:rsid w:val="00533133"/>
    <w:rsid w:val="00535C37"/>
    <w:rsid w:val="00536501"/>
    <w:rsid w:val="005367F0"/>
    <w:rsid w:val="0053721C"/>
    <w:rsid w:val="00537DC6"/>
    <w:rsid w:val="00541828"/>
    <w:rsid w:val="005451F0"/>
    <w:rsid w:val="00545617"/>
    <w:rsid w:val="005504A6"/>
    <w:rsid w:val="00552EAD"/>
    <w:rsid w:val="00557329"/>
    <w:rsid w:val="00564E1D"/>
    <w:rsid w:val="00566EE4"/>
    <w:rsid w:val="005673F5"/>
    <w:rsid w:val="00567A46"/>
    <w:rsid w:val="0057086C"/>
    <w:rsid w:val="005759D0"/>
    <w:rsid w:val="00580715"/>
    <w:rsid w:val="00587053"/>
    <w:rsid w:val="005A0D1E"/>
    <w:rsid w:val="005A34D3"/>
    <w:rsid w:val="005A6D6C"/>
    <w:rsid w:val="005B48F9"/>
    <w:rsid w:val="005B5B8D"/>
    <w:rsid w:val="005B691F"/>
    <w:rsid w:val="005B6D10"/>
    <w:rsid w:val="005B7C51"/>
    <w:rsid w:val="005D5878"/>
    <w:rsid w:val="005E1BF2"/>
    <w:rsid w:val="005E2A88"/>
    <w:rsid w:val="005E6D17"/>
    <w:rsid w:val="005F4E51"/>
    <w:rsid w:val="005F5EB3"/>
    <w:rsid w:val="005F6E6F"/>
    <w:rsid w:val="00604267"/>
    <w:rsid w:val="0061032A"/>
    <w:rsid w:val="00610A60"/>
    <w:rsid w:val="00611E15"/>
    <w:rsid w:val="0061786C"/>
    <w:rsid w:val="00617F2D"/>
    <w:rsid w:val="00620827"/>
    <w:rsid w:val="0062299B"/>
    <w:rsid w:val="00623E44"/>
    <w:rsid w:val="00625198"/>
    <w:rsid w:val="0062661D"/>
    <w:rsid w:val="00627716"/>
    <w:rsid w:val="006334A5"/>
    <w:rsid w:val="00636566"/>
    <w:rsid w:val="00637AD9"/>
    <w:rsid w:val="00653AF4"/>
    <w:rsid w:val="00654F6A"/>
    <w:rsid w:val="00655A08"/>
    <w:rsid w:val="00661DB5"/>
    <w:rsid w:val="00681D7D"/>
    <w:rsid w:val="006841DC"/>
    <w:rsid w:val="00695EEA"/>
    <w:rsid w:val="006A5C2B"/>
    <w:rsid w:val="006A72D6"/>
    <w:rsid w:val="006C08DB"/>
    <w:rsid w:val="006C44BC"/>
    <w:rsid w:val="006C6160"/>
    <w:rsid w:val="006C77CB"/>
    <w:rsid w:val="006D471F"/>
    <w:rsid w:val="006E0421"/>
    <w:rsid w:val="006E53F5"/>
    <w:rsid w:val="006E6E18"/>
    <w:rsid w:val="006F7D7A"/>
    <w:rsid w:val="00700AEC"/>
    <w:rsid w:val="00700D07"/>
    <w:rsid w:val="007012C9"/>
    <w:rsid w:val="0070350D"/>
    <w:rsid w:val="00710007"/>
    <w:rsid w:val="00711776"/>
    <w:rsid w:val="007152BB"/>
    <w:rsid w:val="00715C37"/>
    <w:rsid w:val="007214C6"/>
    <w:rsid w:val="007214E6"/>
    <w:rsid w:val="007300F1"/>
    <w:rsid w:val="00735E0E"/>
    <w:rsid w:val="00736C4C"/>
    <w:rsid w:val="00740280"/>
    <w:rsid w:val="00742158"/>
    <w:rsid w:val="00750B83"/>
    <w:rsid w:val="00766660"/>
    <w:rsid w:val="00775209"/>
    <w:rsid w:val="00777ECD"/>
    <w:rsid w:val="0078088D"/>
    <w:rsid w:val="00783BDB"/>
    <w:rsid w:val="00784584"/>
    <w:rsid w:val="00787807"/>
    <w:rsid w:val="00794D57"/>
    <w:rsid w:val="007A142B"/>
    <w:rsid w:val="007B53F1"/>
    <w:rsid w:val="007B60AD"/>
    <w:rsid w:val="007C27E4"/>
    <w:rsid w:val="007C3389"/>
    <w:rsid w:val="007D2AAD"/>
    <w:rsid w:val="007D3982"/>
    <w:rsid w:val="007E6BA4"/>
    <w:rsid w:val="007F70FD"/>
    <w:rsid w:val="00804EF1"/>
    <w:rsid w:val="00811A0A"/>
    <w:rsid w:val="00820091"/>
    <w:rsid w:val="008207D0"/>
    <w:rsid w:val="00823F07"/>
    <w:rsid w:val="008251DB"/>
    <w:rsid w:val="00831AC2"/>
    <w:rsid w:val="00845446"/>
    <w:rsid w:val="00846B43"/>
    <w:rsid w:val="0085114C"/>
    <w:rsid w:val="00852A3D"/>
    <w:rsid w:val="008560B3"/>
    <w:rsid w:val="00856578"/>
    <w:rsid w:val="0085657F"/>
    <w:rsid w:val="00860221"/>
    <w:rsid w:val="00862C0E"/>
    <w:rsid w:val="00863112"/>
    <w:rsid w:val="00866210"/>
    <w:rsid w:val="00874916"/>
    <w:rsid w:val="00881169"/>
    <w:rsid w:val="0088126F"/>
    <w:rsid w:val="008818EA"/>
    <w:rsid w:val="00886692"/>
    <w:rsid w:val="00893FE0"/>
    <w:rsid w:val="00896A93"/>
    <w:rsid w:val="0089796B"/>
    <w:rsid w:val="008A6788"/>
    <w:rsid w:val="008B3717"/>
    <w:rsid w:val="008B3F4B"/>
    <w:rsid w:val="008B48B8"/>
    <w:rsid w:val="008B58B9"/>
    <w:rsid w:val="008C08F6"/>
    <w:rsid w:val="008C14D1"/>
    <w:rsid w:val="008C4698"/>
    <w:rsid w:val="008C71A0"/>
    <w:rsid w:val="008D23EE"/>
    <w:rsid w:val="008D4C92"/>
    <w:rsid w:val="008D5147"/>
    <w:rsid w:val="008E1377"/>
    <w:rsid w:val="008E24DE"/>
    <w:rsid w:val="008E7899"/>
    <w:rsid w:val="008F07D4"/>
    <w:rsid w:val="008F29E5"/>
    <w:rsid w:val="008F7D79"/>
    <w:rsid w:val="00900B61"/>
    <w:rsid w:val="00902753"/>
    <w:rsid w:val="00905D6B"/>
    <w:rsid w:val="00907BD1"/>
    <w:rsid w:val="00916213"/>
    <w:rsid w:val="009168E0"/>
    <w:rsid w:val="00917029"/>
    <w:rsid w:val="009175A0"/>
    <w:rsid w:val="009177B3"/>
    <w:rsid w:val="00917A09"/>
    <w:rsid w:val="009239FD"/>
    <w:rsid w:val="00944C64"/>
    <w:rsid w:val="00947F51"/>
    <w:rsid w:val="00951847"/>
    <w:rsid w:val="00951FFB"/>
    <w:rsid w:val="00953091"/>
    <w:rsid w:val="00953C7B"/>
    <w:rsid w:val="00971783"/>
    <w:rsid w:val="00983A8C"/>
    <w:rsid w:val="00983D47"/>
    <w:rsid w:val="00983EB0"/>
    <w:rsid w:val="0098715D"/>
    <w:rsid w:val="00992557"/>
    <w:rsid w:val="00994ADB"/>
    <w:rsid w:val="009A542C"/>
    <w:rsid w:val="009A5BD2"/>
    <w:rsid w:val="009A6EDA"/>
    <w:rsid w:val="009B308B"/>
    <w:rsid w:val="009C4620"/>
    <w:rsid w:val="009D03BB"/>
    <w:rsid w:val="009E1A56"/>
    <w:rsid w:val="009E54DD"/>
    <w:rsid w:val="009E61A4"/>
    <w:rsid w:val="009E7D7E"/>
    <w:rsid w:val="009F564D"/>
    <w:rsid w:val="00A026D7"/>
    <w:rsid w:val="00A03C80"/>
    <w:rsid w:val="00A0535A"/>
    <w:rsid w:val="00A0618F"/>
    <w:rsid w:val="00A06663"/>
    <w:rsid w:val="00A16118"/>
    <w:rsid w:val="00A21A36"/>
    <w:rsid w:val="00A24044"/>
    <w:rsid w:val="00A317A2"/>
    <w:rsid w:val="00A34145"/>
    <w:rsid w:val="00A358DE"/>
    <w:rsid w:val="00A44535"/>
    <w:rsid w:val="00A540C3"/>
    <w:rsid w:val="00A563C8"/>
    <w:rsid w:val="00A615C9"/>
    <w:rsid w:val="00A72B86"/>
    <w:rsid w:val="00A76D1F"/>
    <w:rsid w:val="00A82C5B"/>
    <w:rsid w:val="00A82F04"/>
    <w:rsid w:val="00A84917"/>
    <w:rsid w:val="00A91BD8"/>
    <w:rsid w:val="00A91C26"/>
    <w:rsid w:val="00A92638"/>
    <w:rsid w:val="00AA0E5B"/>
    <w:rsid w:val="00AA1619"/>
    <w:rsid w:val="00AA438A"/>
    <w:rsid w:val="00AA4598"/>
    <w:rsid w:val="00AB104B"/>
    <w:rsid w:val="00AB6C6D"/>
    <w:rsid w:val="00AC0F40"/>
    <w:rsid w:val="00AC66C8"/>
    <w:rsid w:val="00AC6905"/>
    <w:rsid w:val="00AD48AB"/>
    <w:rsid w:val="00AE0144"/>
    <w:rsid w:val="00AE1755"/>
    <w:rsid w:val="00AE48AB"/>
    <w:rsid w:val="00AE74BE"/>
    <w:rsid w:val="00AF44BD"/>
    <w:rsid w:val="00AF7426"/>
    <w:rsid w:val="00B04647"/>
    <w:rsid w:val="00B07739"/>
    <w:rsid w:val="00B13851"/>
    <w:rsid w:val="00B204ED"/>
    <w:rsid w:val="00B21A42"/>
    <w:rsid w:val="00B22BB2"/>
    <w:rsid w:val="00B240E8"/>
    <w:rsid w:val="00B26DE1"/>
    <w:rsid w:val="00B44FBE"/>
    <w:rsid w:val="00B501FA"/>
    <w:rsid w:val="00B520AC"/>
    <w:rsid w:val="00B523C6"/>
    <w:rsid w:val="00B54DDF"/>
    <w:rsid w:val="00B67B78"/>
    <w:rsid w:val="00B73880"/>
    <w:rsid w:val="00B758A2"/>
    <w:rsid w:val="00B7706E"/>
    <w:rsid w:val="00B83703"/>
    <w:rsid w:val="00B84EE0"/>
    <w:rsid w:val="00B935DF"/>
    <w:rsid w:val="00B95F11"/>
    <w:rsid w:val="00B977EC"/>
    <w:rsid w:val="00BA0AB7"/>
    <w:rsid w:val="00BA5A20"/>
    <w:rsid w:val="00BA6C2F"/>
    <w:rsid w:val="00BB231D"/>
    <w:rsid w:val="00BC5410"/>
    <w:rsid w:val="00BD09ED"/>
    <w:rsid w:val="00BE0F5C"/>
    <w:rsid w:val="00BE292B"/>
    <w:rsid w:val="00BE2D76"/>
    <w:rsid w:val="00BF6C70"/>
    <w:rsid w:val="00C02D14"/>
    <w:rsid w:val="00C02F24"/>
    <w:rsid w:val="00C10028"/>
    <w:rsid w:val="00C12F95"/>
    <w:rsid w:val="00C13CA4"/>
    <w:rsid w:val="00C217C9"/>
    <w:rsid w:val="00C37001"/>
    <w:rsid w:val="00C3704F"/>
    <w:rsid w:val="00C416A6"/>
    <w:rsid w:val="00C43BD1"/>
    <w:rsid w:val="00C458FF"/>
    <w:rsid w:val="00C47021"/>
    <w:rsid w:val="00C516C8"/>
    <w:rsid w:val="00C6118C"/>
    <w:rsid w:val="00C678B3"/>
    <w:rsid w:val="00C7239B"/>
    <w:rsid w:val="00C82E8E"/>
    <w:rsid w:val="00C85FF9"/>
    <w:rsid w:val="00CB5C94"/>
    <w:rsid w:val="00CC2E03"/>
    <w:rsid w:val="00CC56F1"/>
    <w:rsid w:val="00CD294D"/>
    <w:rsid w:val="00CE119B"/>
    <w:rsid w:val="00CE21D3"/>
    <w:rsid w:val="00CF4B6F"/>
    <w:rsid w:val="00CF66FC"/>
    <w:rsid w:val="00D1735D"/>
    <w:rsid w:val="00D34C84"/>
    <w:rsid w:val="00D3577B"/>
    <w:rsid w:val="00D376FB"/>
    <w:rsid w:val="00D501FC"/>
    <w:rsid w:val="00D5113B"/>
    <w:rsid w:val="00D562C4"/>
    <w:rsid w:val="00D56E3F"/>
    <w:rsid w:val="00D6177D"/>
    <w:rsid w:val="00D655EF"/>
    <w:rsid w:val="00D661FC"/>
    <w:rsid w:val="00D674EB"/>
    <w:rsid w:val="00D759A9"/>
    <w:rsid w:val="00D81C21"/>
    <w:rsid w:val="00D828D1"/>
    <w:rsid w:val="00D86168"/>
    <w:rsid w:val="00D95D4F"/>
    <w:rsid w:val="00D97DFD"/>
    <w:rsid w:val="00D97F5A"/>
    <w:rsid w:val="00DA0CE3"/>
    <w:rsid w:val="00DC109F"/>
    <w:rsid w:val="00DC48D3"/>
    <w:rsid w:val="00DD1350"/>
    <w:rsid w:val="00DD19D9"/>
    <w:rsid w:val="00DD5B4F"/>
    <w:rsid w:val="00DE4FEB"/>
    <w:rsid w:val="00DF048A"/>
    <w:rsid w:val="00DF302A"/>
    <w:rsid w:val="00DF4F8D"/>
    <w:rsid w:val="00DF60EB"/>
    <w:rsid w:val="00E00E5D"/>
    <w:rsid w:val="00E145E8"/>
    <w:rsid w:val="00E32073"/>
    <w:rsid w:val="00E32107"/>
    <w:rsid w:val="00E3659E"/>
    <w:rsid w:val="00E371D8"/>
    <w:rsid w:val="00E41383"/>
    <w:rsid w:val="00E47A60"/>
    <w:rsid w:val="00E50120"/>
    <w:rsid w:val="00E529FC"/>
    <w:rsid w:val="00E54A42"/>
    <w:rsid w:val="00E636FF"/>
    <w:rsid w:val="00E7609A"/>
    <w:rsid w:val="00E95970"/>
    <w:rsid w:val="00E97CAE"/>
    <w:rsid w:val="00EA0C17"/>
    <w:rsid w:val="00EA6262"/>
    <w:rsid w:val="00EB5B17"/>
    <w:rsid w:val="00EC3034"/>
    <w:rsid w:val="00EC4230"/>
    <w:rsid w:val="00EC48AF"/>
    <w:rsid w:val="00ED6E28"/>
    <w:rsid w:val="00ED731C"/>
    <w:rsid w:val="00EE2104"/>
    <w:rsid w:val="00EE2B07"/>
    <w:rsid w:val="00EE70F3"/>
    <w:rsid w:val="00EF2050"/>
    <w:rsid w:val="00EF2B3E"/>
    <w:rsid w:val="00EF6D3E"/>
    <w:rsid w:val="00F100BC"/>
    <w:rsid w:val="00F34F9D"/>
    <w:rsid w:val="00F35702"/>
    <w:rsid w:val="00F365CE"/>
    <w:rsid w:val="00F3795C"/>
    <w:rsid w:val="00F6553D"/>
    <w:rsid w:val="00F83B47"/>
    <w:rsid w:val="00F9722E"/>
    <w:rsid w:val="00FA05E6"/>
    <w:rsid w:val="00FA3126"/>
    <w:rsid w:val="00FA5197"/>
    <w:rsid w:val="00FB0AB7"/>
    <w:rsid w:val="00FB57F4"/>
    <w:rsid w:val="00FB690F"/>
    <w:rsid w:val="00FB7907"/>
    <w:rsid w:val="00FC2704"/>
    <w:rsid w:val="00FC522A"/>
    <w:rsid w:val="00FD41EA"/>
    <w:rsid w:val="00FD6168"/>
    <w:rsid w:val="00FE1F6B"/>
    <w:rsid w:val="00FF053E"/>
    <w:rsid w:val="00FF14FE"/>
    <w:rsid w:val="00FF79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08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rsid w:val="005F4E51"/>
    <w:pPr>
      <w:ind w:left="720"/>
      <w:contextualSpacing/>
    </w:pPr>
  </w:style>
  <w:style w:type="character" w:styleId="CommentReference">
    <w:name w:val="annotation reference"/>
    <w:basedOn w:val="DefaultParagraphFont"/>
    <w:uiPriority w:val="99"/>
    <w:semiHidden/>
    <w:unhideWhenUsed/>
    <w:rsid w:val="005F4E51"/>
    <w:rPr>
      <w:sz w:val="16"/>
      <w:szCs w:val="16"/>
    </w:rPr>
  </w:style>
  <w:style w:type="paragraph" w:styleId="CommentText">
    <w:name w:val="annotation text"/>
    <w:basedOn w:val="Normal"/>
    <w:link w:val="CommentTextChar"/>
    <w:uiPriority w:val="99"/>
    <w:unhideWhenUsed/>
    <w:rsid w:val="005F4E51"/>
    <w:pPr>
      <w:spacing w:line="240" w:lineRule="auto"/>
    </w:pPr>
    <w:rPr>
      <w:sz w:val="20"/>
      <w:szCs w:val="20"/>
    </w:rPr>
  </w:style>
  <w:style w:type="character" w:customStyle="1" w:styleId="CommentTextChar">
    <w:name w:val="Comment Text Char"/>
    <w:basedOn w:val="DefaultParagraphFont"/>
    <w:link w:val="CommentText"/>
    <w:uiPriority w:val="99"/>
    <w:rsid w:val="005F4E51"/>
    <w:rPr>
      <w:sz w:val="20"/>
      <w:szCs w:val="20"/>
    </w:rPr>
  </w:style>
  <w:style w:type="paragraph" w:styleId="Header">
    <w:name w:val="header"/>
    <w:basedOn w:val="Normal"/>
    <w:link w:val="HeaderChar"/>
    <w:uiPriority w:val="99"/>
    <w:unhideWhenUsed/>
    <w:rsid w:val="00376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365"/>
  </w:style>
  <w:style w:type="paragraph" w:styleId="Footer">
    <w:name w:val="footer"/>
    <w:basedOn w:val="Normal"/>
    <w:link w:val="FooterChar"/>
    <w:uiPriority w:val="99"/>
    <w:unhideWhenUsed/>
    <w:rsid w:val="00376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365"/>
  </w:style>
  <w:style w:type="table" w:styleId="TableGrid">
    <w:name w:val="Table Grid"/>
    <w:basedOn w:val="TableNormal"/>
    <w:uiPriority w:val="39"/>
    <w:rsid w:val="00794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E2A88"/>
    <w:rPr>
      <w:b/>
      <w:bCs/>
    </w:rPr>
  </w:style>
  <w:style w:type="character" w:customStyle="1" w:styleId="CommentSubjectChar">
    <w:name w:val="Comment Subject Char"/>
    <w:basedOn w:val="CommentTextChar"/>
    <w:link w:val="CommentSubject"/>
    <w:uiPriority w:val="99"/>
    <w:semiHidden/>
    <w:rsid w:val="005E2A88"/>
    <w:rPr>
      <w:b/>
      <w:bCs/>
      <w:sz w:val="20"/>
      <w:szCs w:val="20"/>
    </w:rPr>
  </w:style>
  <w:style w:type="character" w:customStyle="1" w:styleId="ListParagraphChar">
    <w:name w:val="List Paragraph Char"/>
    <w:aliases w:val="Recommendation Char,List Paragraph1 Char,List Paragraph11 Char,L Char,F5 List Paragraph Char,Dot pt Char,CV text Char,Table text Char,List Paragraph111 Char,Medium Grid 1 - Accent 21 Char,Numbered Paragraph Char,List Paragraph2 Char"/>
    <w:basedOn w:val="DefaultParagraphFont"/>
    <w:link w:val="ListParagraph"/>
    <w:uiPriority w:val="34"/>
    <w:qFormat/>
    <w:locked/>
    <w:rsid w:val="00C85FF9"/>
  </w:style>
  <w:style w:type="paragraph" w:customStyle="1" w:styleId="Default">
    <w:name w:val="Default"/>
    <w:rsid w:val="001D64A9"/>
    <w:pPr>
      <w:autoSpaceDE w:val="0"/>
      <w:autoSpaceDN w:val="0"/>
      <w:adjustRightInd w:val="0"/>
      <w:spacing w:after="0" w:line="240" w:lineRule="auto"/>
    </w:pPr>
    <w:rPr>
      <w:rFonts w:ascii="Akkurat Pro Light" w:hAnsi="Akkurat Pro Light" w:cs="Akkurat Pro Light"/>
      <w:color w:val="000000"/>
      <w:sz w:val="24"/>
      <w:szCs w:val="24"/>
      <w:lang w:val="en-SG"/>
    </w:rPr>
  </w:style>
  <w:style w:type="paragraph" w:customStyle="1" w:styleId="Pa16">
    <w:name w:val="Pa16"/>
    <w:basedOn w:val="Default"/>
    <w:next w:val="Default"/>
    <w:uiPriority w:val="99"/>
    <w:rsid w:val="001D64A9"/>
    <w:pPr>
      <w:spacing w:line="181" w:lineRule="atLeast"/>
    </w:pPr>
    <w:rPr>
      <w:rFonts w:cstheme="minorBidi"/>
      <w:color w:val="auto"/>
    </w:rPr>
  </w:style>
  <w:style w:type="paragraph" w:customStyle="1" w:styleId="Pa15">
    <w:name w:val="Pa15"/>
    <w:basedOn w:val="Default"/>
    <w:next w:val="Default"/>
    <w:uiPriority w:val="99"/>
    <w:rsid w:val="001D64A9"/>
    <w:pPr>
      <w:spacing w:line="181" w:lineRule="atLeast"/>
    </w:pPr>
    <w:rPr>
      <w:rFonts w:cstheme="minorBidi"/>
      <w:color w:val="auto"/>
    </w:rPr>
  </w:style>
  <w:style w:type="paragraph" w:styleId="Revision">
    <w:name w:val="Revision"/>
    <w:hidden/>
    <w:uiPriority w:val="99"/>
    <w:semiHidden/>
    <w:rsid w:val="00623E44"/>
    <w:pPr>
      <w:spacing w:after="0" w:line="240" w:lineRule="auto"/>
    </w:pPr>
  </w:style>
  <w:style w:type="paragraph" w:styleId="BalloonText">
    <w:name w:val="Balloon Text"/>
    <w:basedOn w:val="Normal"/>
    <w:link w:val="BalloonTextChar"/>
    <w:uiPriority w:val="99"/>
    <w:semiHidden/>
    <w:unhideWhenUsed/>
    <w:rsid w:val="003A3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D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0774">
      <w:bodyDiv w:val="1"/>
      <w:marLeft w:val="0"/>
      <w:marRight w:val="0"/>
      <w:marTop w:val="0"/>
      <w:marBottom w:val="0"/>
      <w:divBdr>
        <w:top w:val="none" w:sz="0" w:space="0" w:color="auto"/>
        <w:left w:val="none" w:sz="0" w:space="0" w:color="auto"/>
        <w:bottom w:val="none" w:sz="0" w:space="0" w:color="auto"/>
        <w:right w:val="none" w:sz="0" w:space="0" w:color="auto"/>
      </w:divBdr>
    </w:div>
    <w:div w:id="261692583">
      <w:bodyDiv w:val="1"/>
      <w:marLeft w:val="0"/>
      <w:marRight w:val="0"/>
      <w:marTop w:val="0"/>
      <w:marBottom w:val="0"/>
      <w:divBdr>
        <w:top w:val="none" w:sz="0" w:space="0" w:color="auto"/>
        <w:left w:val="none" w:sz="0" w:space="0" w:color="auto"/>
        <w:bottom w:val="none" w:sz="0" w:space="0" w:color="auto"/>
        <w:right w:val="none" w:sz="0" w:space="0" w:color="auto"/>
      </w:divBdr>
    </w:div>
    <w:div w:id="265583231">
      <w:bodyDiv w:val="1"/>
      <w:marLeft w:val="0"/>
      <w:marRight w:val="0"/>
      <w:marTop w:val="0"/>
      <w:marBottom w:val="0"/>
      <w:divBdr>
        <w:top w:val="none" w:sz="0" w:space="0" w:color="auto"/>
        <w:left w:val="none" w:sz="0" w:space="0" w:color="auto"/>
        <w:bottom w:val="none" w:sz="0" w:space="0" w:color="auto"/>
        <w:right w:val="none" w:sz="0" w:space="0" w:color="auto"/>
      </w:divBdr>
    </w:div>
    <w:div w:id="354967619">
      <w:bodyDiv w:val="1"/>
      <w:marLeft w:val="0"/>
      <w:marRight w:val="0"/>
      <w:marTop w:val="0"/>
      <w:marBottom w:val="0"/>
      <w:divBdr>
        <w:top w:val="none" w:sz="0" w:space="0" w:color="auto"/>
        <w:left w:val="none" w:sz="0" w:space="0" w:color="auto"/>
        <w:bottom w:val="none" w:sz="0" w:space="0" w:color="auto"/>
        <w:right w:val="none" w:sz="0" w:space="0" w:color="auto"/>
      </w:divBdr>
    </w:div>
    <w:div w:id="482426605">
      <w:bodyDiv w:val="1"/>
      <w:marLeft w:val="0"/>
      <w:marRight w:val="0"/>
      <w:marTop w:val="0"/>
      <w:marBottom w:val="0"/>
      <w:divBdr>
        <w:top w:val="none" w:sz="0" w:space="0" w:color="auto"/>
        <w:left w:val="none" w:sz="0" w:space="0" w:color="auto"/>
        <w:bottom w:val="none" w:sz="0" w:space="0" w:color="auto"/>
        <w:right w:val="none" w:sz="0" w:space="0" w:color="auto"/>
      </w:divBdr>
    </w:div>
    <w:div w:id="872810052">
      <w:bodyDiv w:val="1"/>
      <w:marLeft w:val="0"/>
      <w:marRight w:val="0"/>
      <w:marTop w:val="0"/>
      <w:marBottom w:val="0"/>
      <w:divBdr>
        <w:top w:val="none" w:sz="0" w:space="0" w:color="auto"/>
        <w:left w:val="none" w:sz="0" w:space="0" w:color="auto"/>
        <w:bottom w:val="none" w:sz="0" w:space="0" w:color="auto"/>
        <w:right w:val="none" w:sz="0" w:space="0" w:color="auto"/>
      </w:divBdr>
    </w:div>
    <w:div w:id="929503209">
      <w:bodyDiv w:val="1"/>
      <w:marLeft w:val="0"/>
      <w:marRight w:val="0"/>
      <w:marTop w:val="0"/>
      <w:marBottom w:val="0"/>
      <w:divBdr>
        <w:top w:val="none" w:sz="0" w:space="0" w:color="auto"/>
        <w:left w:val="none" w:sz="0" w:space="0" w:color="auto"/>
        <w:bottom w:val="none" w:sz="0" w:space="0" w:color="auto"/>
        <w:right w:val="none" w:sz="0" w:space="0" w:color="auto"/>
      </w:divBdr>
    </w:div>
    <w:div w:id="1215897289">
      <w:bodyDiv w:val="1"/>
      <w:marLeft w:val="0"/>
      <w:marRight w:val="0"/>
      <w:marTop w:val="0"/>
      <w:marBottom w:val="0"/>
      <w:divBdr>
        <w:top w:val="none" w:sz="0" w:space="0" w:color="auto"/>
        <w:left w:val="none" w:sz="0" w:space="0" w:color="auto"/>
        <w:bottom w:val="none" w:sz="0" w:space="0" w:color="auto"/>
        <w:right w:val="none" w:sz="0" w:space="0" w:color="auto"/>
      </w:divBdr>
    </w:div>
    <w:div w:id="1430078981">
      <w:bodyDiv w:val="1"/>
      <w:marLeft w:val="0"/>
      <w:marRight w:val="0"/>
      <w:marTop w:val="0"/>
      <w:marBottom w:val="0"/>
      <w:divBdr>
        <w:top w:val="none" w:sz="0" w:space="0" w:color="auto"/>
        <w:left w:val="none" w:sz="0" w:space="0" w:color="auto"/>
        <w:bottom w:val="none" w:sz="0" w:space="0" w:color="auto"/>
        <w:right w:val="none" w:sz="0" w:space="0" w:color="auto"/>
      </w:divBdr>
    </w:div>
    <w:div w:id="1553928003">
      <w:bodyDiv w:val="1"/>
      <w:marLeft w:val="0"/>
      <w:marRight w:val="0"/>
      <w:marTop w:val="0"/>
      <w:marBottom w:val="0"/>
      <w:divBdr>
        <w:top w:val="none" w:sz="0" w:space="0" w:color="auto"/>
        <w:left w:val="none" w:sz="0" w:space="0" w:color="auto"/>
        <w:bottom w:val="none" w:sz="0" w:space="0" w:color="auto"/>
        <w:right w:val="none" w:sz="0" w:space="0" w:color="auto"/>
      </w:divBdr>
    </w:div>
    <w:div w:id="1826242853">
      <w:bodyDiv w:val="1"/>
      <w:marLeft w:val="0"/>
      <w:marRight w:val="0"/>
      <w:marTop w:val="0"/>
      <w:marBottom w:val="0"/>
      <w:divBdr>
        <w:top w:val="none" w:sz="0" w:space="0" w:color="auto"/>
        <w:left w:val="none" w:sz="0" w:space="0" w:color="auto"/>
        <w:bottom w:val="none" w:sz="0" w:space="0" w:color="auto"/>
        <w:right w:val="none" w:sz="0" w:space="0" w:color="auto"/>
      </w:divBdr>
    </w:div>
    <w:div w:id="2013873563">
      <w:bodyDiv w:val="1"/>
      <w:marLeft w:val="0"/>
      <w:marRight w:val="0"/>
      <w:marTop w:val="0"/>
      <w:marBottom w:val="0"/>
      <w:divBdr>
        <w:top w:val="none" w:sz="0" w:space="0" w:color="auto"/>
        <w:left w:val="none" w:sz="0" w:space="0" w:color="auto"/>
        <w:bottom w:val="none" w:sz="0" w:space="0" w:color="auto"/>
        <w:right w:val="none" w:sz="0" w:space="0" w:color="auto"/>
      </w:divBdr>
    </w:div>
    <w:div w:id="208688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1014</Words>
  <Characters>6684</Characters>
  <Application>Microsoft Office Word</Application>
  <DocSecurity>0</DocSecurity>
  <Lines>188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 1.5: Environmentally Sustainable Government Procurement</dc:title>
  <dc:subject/>
  <dc:creator/>
  <cp:keywords>[SEC=OFFICIAL]</cp:keywords>
  <dc:description/>
  <cp:lastModifiedBy/>
  <cp:revision>1</cp:revision>
  <dcterms:created xsi:type="dcterms:W3CDTF">2022-10-14T05:36:00Z</dcterms:created>
  <dcterms:modified xsi:type="dcterms:W3CDTF">2022-10-14T05:36:00Z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CF0570168E3A434DACE88781A77F1AFC</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2022-10-14T05:36:22Z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8402070111D05F1E732F2E5EB2756538</vt:lpwstr>
  </property>
  <property fmtid="{D5CDD505-2E9C-101B-9397-08002B2CF9AE}" pid="20" name="MSIP_Label_4f288355-fb4c-44cd-b9ca-40cfc2aee5f8_Method">
    <vt:lpwstr>Standard</vt:lpwstr>
  </property>
  <property fmtid="{D5CDD505-2E9C-101B-9397-08002B2CF9AE}" pid="21" name="PM_Hash_Salt">
    <vt:lpwstr>E7138A7FBB0B45C523DC33770F3E1881</vt:lpwstr>
  </property>
  <property fmtid="{D5CDD505-2E9C-101B-9397-08002B2CF9AE}" pid="22" name="PM_Hash_SHA1">
    <vt:lpwstr>59489DA22FB33965C8D3DCFB4D8B8297AA58846A</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MSIP_Label_4f288355-fb4c-44cd-b9ca-40cfc2aee5f8_Enabled">
    <vt:lpwstr>true</vt:lpwstr>
  </property>
  <property fmtid="{D5CDD505-2E9C-101B-9397-08002B2CF9AE}" pid="26" name="MSIP_Label_4f288355-fb4c-44cd-b9ca-40cfc2aee5f8_SetDate">
    <vt:lpwstr>2022-10-12T02:28:45Z</vt:lpwstr>
  </property>
  <property fmtid="{D5CDD505-2E9C-101B-9397-08002B2CF9AE}" pid="27" name="MSIP_Label_4f288355-fb4c-44cd-b9ca-40cfc2aee5f8_Name">
    <vt:lpwstr>Non Sensitive_1</vt:lpwstr>
  </property>
  <property fmtid="{D5CDD505-2E9C-101B-9397-08002B2CF9AE}" pid="28" name="MSIP_Label_4f288355-fb4c-44cd-b9ca-40cfc2aee5f8_SiteId">
    <vt:lpwstr>0b11c524-9a1c-4e1b-84cb-6336aefc2243</vt:lpwstr>
  </property>
  <property fmtid="{D5CDD505-2E9C-101B-9397-08002B2CF9AE}" pid="29" name="MSIP_Label_4f288355-fb4c-44cd-b9ca-40cfc2aee5f8_ActionId">
    <vt:lpwstr>595c0bfd-357e-4022-82f0-48244950bdf1</vt:lpwstr>
  </property>
  <property fmtid="{D5CDD505-2E9C-101B-9397-08002B2CF9AE}" pid="30" name="MSIP_Label_4f288355-fb4c-44cd-b9ca-40cfc2aee5f8_ContentBits">
    <vt:lpwstr>0</vt:lpwstr>
  </property>
  <property fmtid="{D5CDD505-2E9C-101B-9397-08002B2CF9AE}" pid="31" name="PM_Display">
    <vt:lpwstr>OFFICIAL</vt:lpwstr>
  </property>
  <property fmtid="{D5CDD505-2E9C-101B-9397-08002B2CF9AE}" pid="32" name="PMUuid">
    <vt:lpwstr>ABBFF5E2-9674-55C9-B08D-C9980002FD58</vt:lpwstr>
  </property>
  <property fmtid="{D5CDD505-2E9C-101B-9397-08002B2CF9AE}" pid="33" name="PMUuidVer">
    <vt:lpwstr>2022.1</vt:lpwstr>
  </property>
  <property fmtid="{D5CDD505-2E9C-101B-9397-08002B2CF9AE}" pid="34" name="PM_OriginatorUserAccountName_SHA256">
    <vt:lpwstr>3E9DB5AB808CA91EB3E8EC398CDB7F67B110581D6BB28BC88565729DCE387350</vt:lpwstr>
  </property>
  <property fmtid="{D5CDD505-2E9C-101B-9397-08002B2CF9AE}" pid="35" name="PM_OriginatorDomainName_SHA256">
    <vt:lpwstr>6F3591835F3B2A8A025B00B5BA6418010DA3A17C9C26EA9C049FFD28039489A2</vt:lpwstr>
  </property>
</Properties>
</file>