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C9E6" w14:textId="4156502D" w:rsidR="008441A9" w:rsidRDefault="0083553B" w:rsidP="00877334">
      <w:pPr>
        <w:pStyle w:val="Heading1"/>
        <w:rPr>
          <w:b w:val="0"/>
          <w:bCs w:val="0"/>
        </w:rPr>
      </w:pPr>
      <w:r w:rsidRPr="00EF2F9D">
        <w:t xml:space="preserve">Annex B 1.4: </w:t>
      </w:r>
      <w:r w:rsidR="00A501EB" w:rsidRPr="00EF2F9D">
        <w:t>Trade F</w:t>
      </w:r>
      <w:r w:rsidRPr="00EF2F9D">
        <w:t>acilitat</w:t>
      </w:r>
      <w:r w:rsidR="005E50CE" w:rsidRPr="00EF2F9D">
        <w:t>ion: Digital Verification Platform (</w:t>
      </w:r>
      <w:r w:rsidR="00987CAC" w:rsidRPr="00EF2F9D">
        <w:t>DVP</w:t>
      </w:r>
      <w:r w:rsidR="005E50CE" w:rsidRPr="00EF2F9D"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6745"/>
      </w:tblGrid>
      <w:tr w:rsidR="008441A9" w14:paraId="0778B65D" w14:textId="77777777" w:rsidTr="00FF2886"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EDD6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Area of Cooperation</w:t>
            </w:r>
          </w:p>
          <w:p w14:paraId="05B51B11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</w:p>
        </w:tc>
        <w:tc>
          <w:tcPr>
            <w:tcW w:w="6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0A02" w14:textId="77777777" w:rsidR="008441A9" w:rsidRDefault="008441A9" w:rsidP="00FF2886">
            <w:pPr>
              <w:spacing w:line="252" w:lineRule="auto"/>
            </w:pPr>
            <w:r>
              <w:t xml:space="preserve">Trade and Investment </w:t>
            </w:r>
          </w:p>
        </w:tc>
      </w:tr>
      <w:tr w:rsidR="008441A9" w14:paraId="7E5F1BDA" w14:textId="77777777" w:rsidTr="00FF2886"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B3C6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Purpose</w:t>
            </w:r>
          </w:p>
          <w:p w14:paraId="2C15904B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4D29" w14:textId="05D2A5A6" w:rsidR="008441A9" w:rsidRDefault="008441A9" w:rsidP="00FF2886">
            <w:pPr>
              <w:spacing w:line="252" w:lineRule="auto"/>
            </w:pPr>
            <w:r>
              <w:t>The aim of the DVP project is to work with Singapore to identify and implement use</w:t>
            </w:r>
            <w:r w:rsidR="00A05466">
              <w:t>-</w:t>
            </w:r>
            <w:r>
              <w:t>cases where there is value in sharing claims (including trade documents) that need to be verified. The DVP was developed by the Australian Border Force (ABF).</w:t>
            </w:r>
          </w:p>
          <w:p w14:paraId="7A95F568" w14:textId="77777777" w:rsidR="008441A9" w:rsidRDefault="008441A9" w:rsidP="00FF2886">
            <w:pPr>
              <w:spacing w:line="252" w:lineRule="auto"/>
            </w:pPr>
          </w:p>
          <w:p w14:paraId="65F49CFA" w14:textId="77777777" w:rsidR="008441A9" w:rsidRDefault="008441A9" w:rsidP="00FF2886">
            <w:pPr>
              <w:spacing w:line="252" w:lineRule="auto"/>
            </w:pPr>
            <w:r>
              <w:t xml:space="preserve">ABF, the </w:t>
            </w:r>
            <w:proofErr w:type="spellStart"/>
            <w:r>
              <w:t>Infocomm</w:t>
            </w:r>
            <w:proofErr w:type="spellEnd"/>
            <w:r>
              <w:t xml:space="preserve"> Media Development Authority of Singapore (IMDA), and Singapore Customs, along with industry participants, concluded a trial in 2020 to prove trade documents can be issued and verified digitally across two independent national systems. The trial successfully tested the interoperability of the DVP and IMDA's </w:t>
            </w:r>
            <w:proofErr w:type="spellStart"/>
            <w:r>
              <w:t>TradeTrust</w:t>
            </w:r>
            <w:proofErr w:type="spellEnd"/>
            <w:r>
              <w:t xml:space="preserve"> reference implementation, using Certificates of Origin as the pilot use-case.</w:t>
            </w:r>
          </w:p>
          <w:p w14:paraId="743708F2" w14:textId="77777777" w:rsidR="008441A9" w:rsidRDefault="008441A9" w:rsidP="00FF2886">
            <w:pPr>
              <w:spacing w:line="252" w:lineRule="auto"/>
            </w:pPr>
          </w:p>
        </w:tc>
      </w:tr>
      <w:tr w:rsidR="008441A9" w14:paraId="0C211D19" w14:textId="77777777" w:rsidTr="00FF2886"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88C9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Description </w:t>
            </w:r>
          </w:p>
          <w:p w14:paraId="58D853F8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3FD6" w14:textId="77777777" w:rsidR="008441A9" w:rsidRDefault="008441A9" w:rsidP="00FF2886">
            <w:pPr>
              <w:spacing w:line="252" w:lineRule="auto"/>
            </w:pPr>
            <w:r>
              <w:t>The DVP supports steps towards a paperless trade environment by enabling high-integrity verifiable digital documents to be shared between parties operating in international trade that may not have an existing trust relationship.</w:t>
            </w:r>
          </w:p>
          <w:p w14:paraId="500FE06A" w14:textId="77777777" w:rsidR="008441A9" w:rsidRDefault="008441A9" w:rsidP="00FF2886">
            <w:pPr>
              <w:spacing w:line="252" w:lineRule="auto"/>
            </w:pPr>
          </w:p>
        </w:tc>
      </w:tr>
      <w:tr w:rsidR="008441A9" w14:paraId="6361C4A6" w14:textId="77777777" w:rsidTr="00FF2886"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12B5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Specific Objectives </w:t>
            </w:r>
          </w:p>
          <w:p w14:paraId="7FE8A6A8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</w:p>
          <w:p w14:paraId="1B4E7372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8BFF" w14:textId="77777777" w:rsidR="008441A9" w:rsidRPr="00F50A41" w:rsidRDefault="008441A9" w:rsidP="00FF2886">
            <w:pPr>
              <w:numPr>
                <w:ilvl w:val="0"/>
                <w:numId w:val="1"/>
              </w:numPr>
              <w:spacing w:line="252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Demonstrate </w:t>
            </w:r>
            <w:r w:rsidRPr="00F50A41">
              <w:rPr>
                <w:rFonts w:eastAsia="Times New Roman"/>
              </w:rPr>
              <w:t xml:space="preserve">that the DVP’s </w:t>
            </w:r>
            <w:proofErr w:type="spellStart"/>
            <w:r w:rsidRPr="00F50A41">
              <w:rPr>
                <w:rFonts w:eastAsia="Times New Roman"/>
              </w:rPr>
              <w:t>TradeTrust</w:t>
            </w:r>
            <w:proofErr w:type="spellEnd"/>
            <w:r w:rsidRPr="00F50A41">
              <w:rPr>
                <w:rFonts w:eastAsia="Times New Roman"/>
              </w:rPr>
              <w:t>-enabled verifiable credentials framework can create trust in digital documents issued in/by another country.</w:t>
            </w:r>
          </w:p>
          <w:p w14:paraId="089A763B" w14:textId="14711A0B" w:rsidR="008441A9" w:rsidRDefault="008441A9" w:rsidP="00FF2886">
            <w:pPr>
              <w:numPr>
                <w:ilvl w:val="0"/>
                <w:numId w:val="1"/>
              </w:numPr>
              <w:spacing w:line="252" w:lineRule="auto"/>
              <w:contextualSpacing/>
              <w:rPr>
                <w:rFonts w:eastAsia="Times New Roman"/>
              </w:rPr>
            </w:pPr>
            <w:r w:rsidRPr="00F50A41">
              <w:rPr>
                <w:rFonts w:eastAsia="Times New Roman"/>
              </w:rPr>
              <w:t xml:space="preserve">Demonstrate that identity </w:t>
            </w:r>
            <w:r w:rsidR="00CA75C0">
              <w:rPr>
                <w:rFonts w:eastAsia="Times New Roman"/>
              </w:rPr>
              <w:t xml:space="preserve">authenticated </w:t>
            </w:r>
            <w:r w:rsidRPr="00F50A41">
              <w:rPr>
                <w:rFonts w:eastAsia="Times New Roman"/>
              </w:rPr>
              <w:t xml:space="preserve">through </w:t>
            </w:r>
            <w:proofErr w:type="spellStart"/>
            <w:r w:rsidRPr="00F50A41">
              <w:rPr>
                <w:rFonts w:eastAsia="Times New Roman"/>
              </w:rPr>
              <w:t>TradeTrust</w:t>
            </w:r>
            <w:proofErr w:type="spellEnd"/>
            <w:r w:rsidRPr="00F50A41">
              <w:rPr>
                <w:rFonts w:eastAsia="Times New Roman"/>
              </w:rPr>
              <w:t>-enabled verifiable credentials can create trust in that identity in other</w:t>
            </w:r>
            <w:r>
              <w:rPr>
                <w:rFonts w:eastAsia="Times New Roman"/>
              </w:rPr>
              <w:t xml:space="preserve"> countries.</w:t>
            </w:r>
          </w:p>
          <w:p w14:paraId="28B65894" w14:textId="287785AB" w:rsidR="008441A9" w:rsidRDefault="008441A9" w:rsidP="00FF2886">
            <w:pPr>
              <w:numPr>
                <w:ilvl w:val="0"/>
                <w:numId w:val="1"/>
              </w:numPr>
              <w:spacing w:line="252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Demonstrate that </w:t>
            </w:r>
            <w:r w:rsidR="00B702B2">
              <w:rPr>
                <w:rFonts w:eastAsia="Times New Roman"/>
              </w:rPr>
              <w:t xml:space="preserve">the </w:t>
            </w:r>
            <w:r>
              <w:rPr>
                <w:rFonts w:eastAsia="Times New Roman"/>
              </w:rPr>
              <w:t>DVP enables trusted data to be reliably shared between unrelated parties operating in the international supply chain.</w:t>
            </w:r>
          </w:p>
          <w:p w14:paraId="7670E082" w14:textId="77777777" w:rsidR="008441A9" w:rsidRDefault="008441A9" w:rsidP="00FF2886">
            <w:pPr>
              <w:spacing w:line="252" w:lineRule="auto"/>
            </w:pPr>
          </w:p>
        </w:tc>
      </w:tr>
      <w:tr w:rsidR="008441A9" w14:paraId="3B8E4588" w14:textId="77777777" w:rsidTr="00FF2886"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0406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Duration </w:t>
            </w:r>
          </w:p>
          <w:p w14:paraId="06212D5B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A100" w14:textId="77777777" w:rsidR="008441A9" w:rsidRDefault="008441A9" w:rsidP="00FF2886">
            <w:pPr>
              <w:numPr>
                <w:ilvl w:val="0"/>
                <w:numId w:val="1"/>
              </w:numPr>
              <w:spacing w:line="252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Ongoing</w:t>
            </w:r>
          </w:p>
        </w:tc>
      </w:tr>
      <w:tr w:rsidR="008441A9" w14:paraId="48C77CAD" w14:textId="77777777" w:rsidTr="00FF2886"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45A6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Expected outcomes</w:t>
            </w:r>
          </w:p>
          <w:p w14:paraId="2A92E9F1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</w:p>
          <w:p w14:paraId="612586F5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5EFC" w14:textId="3EF705E3" w:rsidR="008441A9" w:rsidRDefault="008441A9" w:rsidP="00FF2886">
            <w:pPr>
              <w:numPr>
                <w:ilvl w:val="0"/>
                <w:numId w:val="1"/>
              </w:numPr>
              <w:spacing w:line="252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Number of viable use</w:t>
            </w:r>
            <w:r w:rsidR="00A62807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cases implemented in DVP </w:t>
            </w:r>
          </w:p>
          <w:p w14:paraId="50C3DEA9" w14:textId="25A9A351" w:rsidR="008441A9" w:rsidRDefault="008441A9" w:rsidP="00FF2886">
            <w:pPr>
              <w:numPr>
                <w:ilvl w:val="0"/>
                <w:numId w:val="1"/>
              </w:numPr>
              <w:spacing w:line="252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Number of documents shared through use</w:t>
            </w:r>
            <w:r w:rsidR="00A62807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cases implemented in DVP</w:t>
            </w:r>
          </w:p>
          <w:p w14:paraId="0541CFA4" w14:textId="77777777" w:rsidR="008441A9" w:rsidRDefault="008441A9" w:rsidP="00FF2886">
            <w:pPr>
              <w:spacing w:line="252" w:lineRule="auto"/>
            </w:pPr>
          </w:p>
        </w:tc>
      </w:tr>
      <w:tr w:rsidR="008441A9" w14:paraId="691C26DC" w14:textId="77777777" w:rsidTr="00FF2886"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D83C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Project Leads</w:t>
            </w:r>
          </w:p>
          <w:p w14:paraId="29A2320A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</w:p>
          <w:p w14:paraId="4E6684F8" w14:textId="77777777" w:rsidR="008441A9" w:rsidRDefault="008441A9" w:rsidP="00FF2886">
            <w:pPr>
              <w:spacing w:line="252" w:lineRule="auto"/>
              <w:rPr>
                <w:b/>
                <w:bCs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99A0" w14:textId="77777777" w:rsidR="00386C5E" w:rsidRPr="00EF2F9D" w:rsidRDefault="00386C5E" w:rsidP="002012A1">
            <w:pPr>
              <w:spacing w:line="252" w:lineRule="auto"/>
              <w:rPr>
                <w:u w:val="single"/>
              </w:rPr>
            </w:pPr>
            <w:r w:rsidRPr="00EF2F9D">
              <w:rPr>
                <w:u w:val="single"/>
              </w:rPr>
              <w:t>Singapore</w:t>
            </w:r>
          </w:p>
          <w:p w14:paraId="7A2B1AE6" w14:textId="6BAB95FC" w:rsidR="002012A1" w:rsidRDefault="002012A1" w:rsidP="002012A1">
            <w:pPr>
              <w:spacing w:line="252" w:lineRule="auto"/>
            </w:pPr>
            <w:r>
              <w:t xml:space="preserve">Singapore </w:t>
            </w:r>
            <w:proofErr w:type="gramStart"/>
            <w:r>
              <w:t>lead</w:t>
            </w:r>
            <w:proofErr w:type="gramEnd"/>
            <w:r>
              <w:t>(s) determined by the use-case.</w:t>
            </w:r>
          </w:p>
          <w:p w14:paraId="30A5D2D8" w14:textId="1ED82533" w:rsidR="00386C5E" w:rsidRDefault="00386C5E" w:rsidP="002012A1">
            <w:pPr>
              <w:spacing w:line="252" w:lineRule="auto"/>
            </w:pPr>
          </w:p>
          <w:p w14:paraId="6517D60A" w14:textId="79C968A2" w:rsidR="00386C5E" w:rsidRPr="00EF2F9D" w:rsidRDefault="00386C5E" w:rsidP="002012A1">
            <w:pPr>
              <w:spacing w:line="252" w:lineRule="auto"/>
              <w:rPr>
                <w:u w:val="single"/>
              </w:rPr>
            </w:pPr>
            <w:r>
              <w:rPr>
                <w:u w:val="single"/>
              </w:rPr>
              <w:t>Australia</w:t>
            </w:r>
          </w:p>
          <w:p w14:paraId="4E08080B" w14:textId="77777777" w:rsidR="008441A9" w:rsidRDefault="008441A9" w:rsidP="00FF2886">
            <w:pPr>
              <w:spacing w:line="252" w:lineRule="auto"/>
            </w:pPr>
            <w:r>
              <w:t>Australian Border Force (with Department of Home Affairs).</w:t>
            </w:r>
          </w:p>
          <w:p w14:paraId="3F959905" w14:textId="77777777" w:rsidR="008441A9" w:rsidRDefault="008441A9" w:rsidP="002012A1">
            <w:pPr>
              <w:spacing w:line="252" w:lineRule="auto"/>
            </w:pPr>
          </w:p>
        </w:tc>
      </w:tr>
    </w:tbl>
    <w:p w14:paraId="6236DE20" w14:textId="77777777" w:rsidR="001A3CC1" w:rsidRPr="0083553B" w:rsidRDefault="001A3CC1" w:rsidP="009F6196">
      <w:pPr>
        <w:rPr>
          <w:rFonts w:asciiTheme="minorHAnsi" w:hAnsiTheme="minorHAnsi" w:cstheme="minorHAnsi"/>
        </w:rPr>
      </w:pPr>
    </w:p>
    <w:sectPr w:rsidR="001A3CC1" w:rsidRPr="0083553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E733" w14:textId="77777777" w:rsidR="004E606B" w:rsidRDefault="004E606B" w:rsidP="00A502B2">
      <w:r>
        <w:separator/>
      </w:r>
    </w:p>
  </w:endnote>
  <w:endnote w:type="continuationSeparator" w:id="0">
    <w:p w14:paraId="4F951B4E" w14:textId="77777777" w:rsidR="004E606B" w:rsidRDefault="004E606B" w:rsidP="00A5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7E24" w14:textId="059AAE06" w:rsidR="00A502B2" w:rsidRPr="00A502B2" w:rsidRDefault="00A502B2" w:rsidP="00A502B2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0709" w14:textId="77777777" w:rsidR="004E606B" w:rsidRDefault="004E606B" w:rsidP="00A502B2">
      <w:r>
        <w:separator/>
      </w:r>
    </w:p>
  </w:footnote>
  <w:footnote w:type="continuationSeparator" w:id="0">
    <w:p w14:paraId="774A79B1" w14:textId="77777777" w:rsidR="004E606B" w:rsidRDefault="004E606B" w:rsidP="00A5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8897" w14:textId="4F76A714" w:rsidR="007E20F6" w:rsidRPr="00A502B2" w:rsidRDefault="007E20F6" w:rsidP="007E20F6">
    <w:pPr>
      <w:pStyle w:val="Header"/>
      <w:jc w:val="center"/>
      <w:rPr>
        <w:i/>
        <w:iCs/>
      </w:rPr>
    </w:pPr>
  </w:p>
  <w:p w14:paraId="2602D656" w14:textId="64BBD653" w:rsidR="00A502B2" w:rsidRPr="00A502B2" w:rsidRDefault="00A502B2" w:rsidP="00A502B2">
    <w:pPr>
      <w:pStyle w:val="Header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B73"/>
    <w:multiLevelType w:val="hybridMultilevel"/>
    <w:tmpl w:val="CDBC29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32C0B"/>
    <w:multiLevelType w:val="hybridMultilevel"/>
    <w:tmpl w:val="237C8F6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AD"/>
    <w:rsid w:val="000F4761"/>
    <w:rsid w:val="0016713F"/>
    <w:rsid w:val="001A3CC1"/>
    <w:rsid w:val="002012A1"/>
    <w:rsid w:val="00386C5E"/>
    <w:rsid w:val="004C13F8"/>
    <w:rsid w:val="004E606B"/>
    <w:rsid w:val="00522A94"/>
    <w:rsid w:val="005B2E2E"/>
    <w:rsid w:val="005E50CE"/>
    <w:rsid w:val="0066798C"/>
    <w:rsid w:val="006A290C"/>
    <w:rsid w:val="006D44AD"/>
    <w:rsid w:val="00750DCB"/>
    <w:rsid w:val="00776B12"/>
    <w:rsid w:val="007803B0"/>
    <w:rsid w:val="007A0891"/>
    <w:rsid w:val="007E20F6"/>
    <w:rsid w:val="0083553B"/>
    <w:rsid w:val="008441A9"/>
    <w:rsid w:val="00871001"/>
    <w:rsid w:val="00877334"/>
    <w:rsid w:val="00987CAC"/>
    <w:rsid w:val="009F6196"/>
    <w:rsid w:val="00A05466"/>
    <w:rsid w:val="00A501EB"/>
    <w:rsid w:val="00A502B2"/>
    <w:rsid w:val="00A62807"/>
    <w:rsid w:val="00B702B2"/>
    <w:rsid w:val="00CA75C0"/>
    <w:rsid w:val="00CF3BF1"/>
    <w:rsid w:val="00DB30B7"/>
    <w:rsid w:val="00E50C3D"/>
    <w:rsid w:val="00EF2F9D"/>
    <w:rsid w:val="00F2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342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4A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F9D"/>
    <w:pPr>
      <w:outlineLvl w:val="0"/>
    </w:pPr>
    <w:rPr>
      <w:rFonts w:asciiTheme="minorHAnsi" w:hAnsiTheme="minorHAnsi" w:cs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4A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A502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2B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02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2B2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A05466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05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4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46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466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2F9D"/>
    <w:rPr>
      <w:rFonts w:cs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B 1.4: Trade Facilitation: Digital Verification Platform (DVP)</dc:title>
  <dc:subject/>
  <dc:creator/>
  <cp:keywords/>
  <dc:description/>
  <cp:lastModifiedBy/>
  <cp:revision>1</cp:revision>
  <dcterms:created xsi:type="dcterms:W3CDTF">2022-10-16T21:39:00Z</dcterms:created>
  <dcterms:modified xsi:type="dcterms:W3CDTF">2022-10-16T21:46:00Z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</Properties>
</file>