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7DEE" w14:textId="1F79E130" w:rsidR="00A72B86" w:rsidRDefault="00A72B86" w:rsidP="00992851">
      <w:pPr>
        <w:rPr>
          <w:rFonts w:cstheme="minorHAnsi"/>
          <w:b/>
          <w:bCs/>
          <w:sz w:val="28"/>
          <w:szCs w:val="28"/>
        </w:rPr>
      </w:pPr>
      <w:bookmarkStart w:id="0" w:name="_Hlk112155274"/>
      <w:r w:rsidRPr="00992851">
        <w:rPr>
          <w:rFonts w:cstheme="minorHAnsi"/>
          <w:b/>
          <w:bCs/>
          <w:sz w:val="28"/>
          <w:szCs w:val="28"/>
        </w:rPr>
        <w:t>A</w:t>
      </w:r>
      <w:bookmarkStart w:id="1" w:name="_Hlk113006035"/>
      <w:r w:rsidR="00B40864">
        <w:rPr>
          <w:rFonts w:cstheme="minorHAnsi"/>
          <w:b/>
          <w:bCs/>
          <w:sz w:val="28"/>
          <w:szCs w:val="28"/>
        </w:rPr>
        <w:t>nnex</w:t>
      </w:r>
      <w:r w:rsidR="00992851">
        <w:rPr>
          <w:rFonts w:cstheme="minorHAnsi"/>
          <w:b/>
          <w:bCs/>
          <w:sz w:val="28"/>
          <w:szCs w:val="28"/>
        </w:rPr>
        <w:t xml:space="preserve"> B 1.3</w:t>
      </w:r>
      <w:r w:rsidRPr="00992851">
        <w:rPr>
          <w:rFonts w:cstheme="minorHAnsi"/>
          <w:b/>
          <w:bCs/>
          <w:sz w:val="28"/>
          <w:szCs w:val="28"/>
        </w:rPr>
        <w:t xml:space="preserve">: </w:t>
      </w:r>
      <w:r w:rsidR="00992851">
        <w:rPr>
          <w:rFonts w:cstheme="minorHAnsi"/>
          <w:b/>
          <w:bCs/>
          <w:sz w:val="28"/>
          <w:szCs w:val="28"/>
        </w:rPr>
        <w:t>Mechanism to Identify and Address Non-Tariff Barriers</w:t>
      </w:r>
      <w:r w:rsidR="00CC38E8">
        <w:rPr>
          <w:rFonts w:cstheme="minorHAnsi"/>
          <w:b/>
          <w:bCs/>
          <w:sz w:val="28"/>
          <w:szCs w:val="28"/>
        </w:rPr>
        <w:t xml:space="preserve"> (NTBs)</w:t>
      </w:r>
    </w:p>
    <w:tbl>
      <w:tblPr>
        <w:tblStyle w:val="TableGrid"/>
        <w:tblW w:w="0" w:type="auto"/>
        <w:tblLook w:val="04A0" w:firstRow="1" w:lastRow="0" w:firstColumn="1" w:lastColumn="0" w:noHBand="0" w:noVBand="1"/>
      </w:tblPr>
      <w:tblGrid>
        <w:gridCol w:w="2263"/>
        <w:gridCol w:w="6753"/>
      </w:tblGrid>
      <w:tr w:rsidR="00434BB4" w:rsidRPr="00602C96" w14:paraId="2383ED3C" w14:textId="77777777" w:rsidTr="00FF2886">
        <w:trPr>
          <w:trHeight w:val="427"/>
        </w:trPr>
        <w:tc>
          <w:tcPr>
            <w:tcW w:w="2263" w:type="dxa"/>
            <w:shd w:val="clear" w:color="auto" w:fill="E2EFD9" w:themeFill="accent6" w:themeFillTint="33"/>
            <w:vAlign w:val="center"/>
          </w:tcPr>
          <w:p w14:paraId="72E88B66" w14:textId="77777777" w:rsidR="00434BB4" w:rsidRDefault="00434BB4" w:rsidP="00FF2886">
            <w:pPr>
              <w:rPr>
                <w:rFonts w:cstheme="minorHAnsi"/>
                <w:b/>
                <w:bCs/>
              </w:rPr>
            </w:pPr>
            <w:r w:rsidRPr="00633FB3">
              <w:rPr>
                <w:rFonts w:cstheme="minorHAnsi"/>
                <w:b/>
                <w:bCs/>
              </w:rPr>
              <w:t>Area of Cooperation</w:t>
            </w:r>
          </w:p>
          <w:p w14:paraId="5E38BAEC" w14:textId="77777777" w:rsidR="00434BB4" w:rsidRPr="00633FB3" w:rsidRDefault="00434BB4" w:rsidP="00FF2886">
            <w:pPr>
              <w:rPr>
                <w:rFonts w:cstheme="minorHAnsi"/>
                <w:b/>
                <w:bCs/>
              </w:rPr>
            </w:pPr>
          </w:p>
        </w:tc>
        <w:tc>
          <w:tcPr>
            <w:tcW w:w="6753" w:type="dxa"/>
            <w:vAlign w:val="center"/>
          </w:tcPr>
          <w:p w14:paraId="4167CBAC" w14:textId="77777777" w:rsidR="00434BB4" w:rsidRDefault="00434BB4" w:rsidP="00FF2886">
            <w:pPr>
              <w:rPr>
                <w:rFonts w:cstheme="minorHAnsi"/>
              </w:rPr>
            </w:pPr>
            <w:r w:rsidRPr="00633FB3">
              <w:rPr>
                <w:rFonts w:cstheme="minorHAnsi"/>
              </w:rPr>
              <w:t>Trade and Investment</w:t>
            </w:r>
          </w:p>
          <w:p w14:paraId="45FD5A74" w14:textId="77777777" w:rsidR="00434BB4" w:rsidRPr="00633FB3" w:rsidRDefault="00434BB4" w:rsidP="00FF2886">
            <w:pPr>
              <w:rPr>
                <w:rFonts w:cstheme="minorHAnsi"/>
              </w:rPr>
            </w:pPr>
          </w:p>
        </w:tc>
      </w:tr>
      <w:tr w:rsidR="00434BB4" w:rsidRPr="00602C96" w14:paraId="36612BED" w14:textId="77777777" w:rsidTr="00915902">
        <w:trPr>
          <w:trHeight w:val="2253"/>
        </w:trPr>
        <w:tc>
          <w:tcPr>
            <w:tcW w:w="2263" w:type="dxa"/>
            <w:shd w:val="clear" w:color="auto" w:fill="E2EFD9" w:themeFill="accent6" w:themeFillTint="33"/>
          </w:tcPr>
          <w:p w14:paraId="1730C927" w14:textId="77777777" w:rsidR="00434BB4" w:rsidRPr="00633FB3" w:rsidRDefault="00434BB4" w:rsidP="00FF2886">
            <w:pPr>
              <w:rPr>
                <w:rFonts w:cstheme="minorHAnsi"/>
                <w:b/>
                <w:bCs/>
              </w:rPr>
            </w:pPr>
            <w:r w:rsidRPr="00633FB3">
              <w:rPr>
                <w:rFonts w:cstheme="minorHAnsi"/>
                <w:b/>
                <w:bCs/>
              </w:rPr>
              <w:t>Purpose</w:t>
            </w:r>
          </w:p>
        </w:tc>
        <w:tc>
          <w:tcPr>
            <w:tcW w:w="6753" w:type="dxa"/>
            <w:vAlign w:val="center"/>
          </w:tcPr>
          <w:p w14:paraId="45A1930B" w14:textId="309B6748" w:rsidR="00434BB4" w:rsidRDefault="00434BB4" w:rsidP="00FF2886">
            <w:pPr>
              <w:jc w:val="both"/>
              <w:rPr>
                <w:rFonts w:eastAsia="Times New Roman" w:cstheme="minorHAnsi"/>
                <w:sz w:val="24"/>
                <w:szCs w:val="24"/>
              </w:rPr>
            </w:pPr>
            <w:r w:rsidRPr="00633FB3">
              <w:rPr>
                <w:rFonts w:eastAsia="Times New Roman" w:cstheme="minorHAnsi"/>
                <w:sz w:val="24"/>
                <w:szCs w:val="24"/>
              </w:rPr>
              <w:t xml:space="preserve">Singapore </w:t>
            </w:r>
            <w:r w:rsidR="00784407">
              <w:rPr>
                <w:rFonts w:eastAsia="Times New Roman" w:cstheme="minorHAnsi"/>
                <w:sz w:val="24"/>
                <w:szCs w:val="24"/>
              </w:rPr>
              <w:t xml:space="preserve">and Australia </w:t>
            </w:r>
            <w:r>
              <w:rPr>
                <w:rFonts w:eastAsia="Times New Roman" w:cstheme="minorHAnsi"/>
                <w:sz w:val="24"/>
                <w:szCs w:val="24"/>
              </w:rPr>
              <w:t>mutually decide</w:t>
            </w:r>
            <w:r w:rsidRPr="00633FB3">
              <w:rPr>
                <w:rFonts w:eastAsia="Times New Roman" w:cstheme="minorHAnsi"/>
                <w:sz w:val="24"/>
                <w:szCs w:val="24"/>
              </w:rPr>
              <w:t xml:space="preserve"> to cooperate on identifying and addressing </w:t>
            </w:r>
            <w:r w:rsidR="00CC38E8">
              <w:rPr>
                <w:rFonts w:eastAsia="Times New Roman" w:cstheme="minorHAnsi"/>
                <w:sz w:val="24"/>
                <w:szCs w:val="24"/>
              </w:rPr>
              <w:t xml:space="preserve">NTBs </w:t>
            </w:r>
            <w:r w:rsidRPr="00633FB3">
              <w:rPr>
                <w:rFonts w:eastAsia="Times New Roman" w:cstheme="minorHAnsi"/>
                <w:sz w:val="24"/>
                <w:szCs w:val="24"/>
              </w:rPr>
              <w:t xml:space="preserve">to trade in environmental goods and services, that will assist in reducing costs for exporters, increasing deployment of and access to green and low-emissions technology, and addressing the broader challenges of climate change. This will be achieved through government-to-government </w:t>
            </w:r>
            <w:r>
              <w:rPr>
                <w:rFonts w:eastAsia="Times New Roman" w:cstheme="minorHAnsi"/>
                <w:sz w:val="24"/>
                <w:szCs w:val="24"/>
              </w:rPr>
              <w:t xml:space="preserve">(G2G) </w:t>
            </w:r>
            <w:r w:rsidRPr="00633FB3">
              <w:rPr>
                <w:rFonts w:eastAsia="Times New Roman" w:cstheme="minorHAnsi"/>
                <w:sz w:val="24"/>
                <w:szCs w:val="24"/>
              </w:rPr>
              <w:t>cooperation, as well as engagement with business and industry.</w:t>
            </w:r>
          </w:p>
          <w:p w14:paraId="6292D779" w14:textId="77777777" w:rsidR="00434BB4" w:rsidRPr="00633FB3" w:rsidRDefault="00434BB4" w:rsidP="00FF2886">
            <w:pPr>
              <w:jc w:val="both"/>
              <w:rPr>
                <w:rFonts w:eastAsia="Times New Roman" w:cstheme="minorHAnsi"/>
                <w:sz w:val="24"/>
                <w:szCs w:val="24"/>
              </w:rPr>
            </w:pPr>
          </w:p>
        </w:tc>
      </w:tr>
      <w:tr w:rsidR="00434BB4" w:rsidRPr="00602C96" w14:paraId="60F2D459" w14:textId="77777777" w:rsidTr="00915902">
        <w:tc>
          <w:tcPr>
            <w:tcW w:w="2263" w:type="dxa"/>
            <w:shd w:val="clear" w:color="auto" w:fill="E2EFD9" w:themeFill="accent6" w:themeFillTint="33"/>
          </w:tcPr>
          <w:p w14:paraId="48DEFD50" w14:textId="77777777" w:rsidR="00434BB4" w:rsidRPr="00633FB3" w:rsidRDefault="00434BB4" w:rsidP="00FF2886">
            <w:pPr>
              <w:rPr>
                <w:rFonts w:cstheme="minorHAnsi"/>
                <w:b/>
                <w:bCs/>
              </w:rPr>
            </w:pPr>
            <w:r w:rsidRPr="00633FB3">
              <w:rPr>
                <w:rFonts w:cstheme="minorHAnsi"/>
                <w:b/>
                <w:bCs/>
              </w:rPr>
              <w:t>Description</w:t>
            </w:r>
          </w:p>
        </w:tc>
        <w:tc>
          <w:tcPr>
            <w:tcW w:w="6753" w:type="dxa"/>
            <w:vAlign w:val="center"/>
          </w:tcPr>
          <w:p w14:paraId="2DA8B437" w14:textId="54D60CE5" w:rsidR="00434BB4" w:rsidRPr="00633FB3" w:rsidRDefault="00434BB4" w:rsidP="00FF2886">
            <w:pPr>
              <w:jc w:val="both"/>
              <w:rPr>
                <w:rFonts w:cstheme="minorHAnsi"/>
                <w:sz w:val="24"/>
                <w:szCs w:val="24"/>
              </w:rPr>
            </w:pPr>
            <w:r w:rsidRPr="00633FB3">
              <w:rPr>
                <w:rFonts w:cstheme="minorHAnsi"/>
                <w:sz w:val="24"/>
                <w:szCs w:val="24"/>
              </w:rPr>
              <w:t>Th</w:t>
            </w:r>
            <w:r w:rsidR="00C53AB7">
              <w:rPr>
                <w:rFonts w:cstheme="minorHAnsi"/>
                <w:sz w:val="24"/>
                <w:szCs w:val="24"/>
              </w:rPr>
              <w:t>is</w:t>
            </w:r>
            <w:r w:rsidRPr="00633FB3">
              <w:rPr>
                <w:rFonts w:cstheme="minorHAnsi"/>
                <w:sz w:val="24"/>
                <w:szCs w:val="24"/>
              </w:rPr>
              <w:t xml:space="preserve"> Mechanism reinforces existing </w:t>
            </w:r>
            <w:r>
              <w:rPr>
                <w:rFonts w:cstheme="minorHAnsi"/>
                <w:sz w:val="24"/>
                <w:szCs w:val="24"/>
              </w:rPr>
              <w:t xml:space="preserve">G2G </w:t>
            </w:r>
            <w:r w:rsidRPr="00633FB3">
              <w:rPr>
                <w:rFonts w:cstheme="minorHAnsi"/>
                <w:sz w:val="24"/>
                <w:szCs w:val="24"/>
              </w:rPr>
              <w:t>bilateral and multilateral collaborative arrangements to identify and address NTBs</w:t>
            </w:r>
            <w:r>
              <w:rPr>
                <w:rFonts w:cstheme="minorHAnsi"/>
                <w:sz w:val="24"/>
                <w:szCs w:val="24"/>
              </w:rPr>
              <w:t xml:space="preserve">, including </w:t>
            </w:r>
            <w:r w:rsidRPr="00633FB3">
              <w:rPr>
                <w:rFonts w:cstheme="minorHAnsi"/>
                <w:sz w:val="24"/>
                <w:szCs w:val="24"/>
              </w:rPr>
              <w:t xml:space="preserve">as outlined in free trade agreements which Singapore </w:t>
            </w:r>
            <w:r w:rsidR="00784407">
              <w:rPr>
                <w:rFonts w:cstheme="minorHAnsi"/>
                <w:sz w:val="24"/>
                <w:szCs w:val="24"/>
              </w:rPr>
              <w:t xml:space="preserve">and Australia </w:t>
            </w:r>
            <w:r w:rsidRPr="00633FB3">
              <w:rPr>
                <w:rFonts w:cstheme="minorHAnsi"/>
                <w:sz w:val="24"/>
                <w:szCs w:val="24"/>
              </w:rPr>
              <w:t xml:space="preserve">are parties to. We will continue to utilise these arrangements where possible, </w:t>
            </w:r>
            <w:r>
              <w:rPr>
                <w:rFonts w:cstheme="minorHAnsi"/>
                <w:sz w:val="24"/>
                <w:szCs w:val="24"/>
              </w:rPr>
              <w:t>to address NTBs related to green economy.</w:t>
            </w:r>
          </w:p>
          <w:p w14:paraId="3C1666C4" w14:textId="77777777" w:rsidR="00434BB4" w:rsidRPr="00633FB3" w:rsidRDefault="00434BB4" w:rsidP="00FF2886">
            <w:pPr>
              <w:rPr>
                <w:rFonts w:cstheme="minorHAnsi"/>
                <w:sz w:val="24"/>
                <w:szCs w:val="24"/>
              </w:rPr>
            </w:pPr>
          </w:p>
          <w:p w14:paraId="42713D4D" w14:textId="32B9A1EE" w:rsidR="00434BB4" w:rsidRPr="00633FB3" w:rsidRDefault="00434BB4" w:rsidP="00FF2886">
            <w:pPr>
              <w:jc w:val="both"/>
              <w:rPr>
                <w:rFonts w:cstheme="minorHAnsi"/>
                <w:sz w:val="24"/>
                <w:szCs w:val="24"/>
              </w:rPr>
            </w:pPr>
            <w:r w:rsidRPr="00633FB3">
              <w:rPr>
                <w:rFonts w:cstheme="minorHAnsi"/>
                <w:sz w:val="24"/>
                <w:szCs w:val="24"/>
              </w:rPr>
              <w:t>Th</w:t>
            </w:r>
            <w:r w:rsidR="00C53AB7">
              <w:rPr>
                <w:rFonts w:cstheme="minorHAnsi"/>
                <w:sz w:val="24"/>
                <w:szCs w:val="24"/>
              </w:rPr>
              <w:t>is</w:t>
            </w:r>
            <w:r w:rsidRPr="00633FB3">
              <w:rPr>
                <w:rFonts w:cstheme="minorHAnsi"/>
                <w:sz w:val="24"/>
                <w:szCs w:val="24"/>
              </w:rPr>
              <w:t xml:space="preserve"> Mechanism reaffirms Singapore’s</w:t>
            </w:r>
            <w:r w:rsidR="00784407">
              <w:rPr>
                <w:rFonts w:cstheme="minorHAnsi"/>
                <w:sz w:val="24"/>
                <w:szCs w:val="24"/>
              </w:rPr>
              <w:t xml:space="preserve"> and Australia’s</w:t>
            </w:r>
            <w:r w:rsidRPr="00633FB3">
              <w:rPr>
                <w:rFonts w:cstheme="minorHAnsi"/>
                <w:sz w:val="24"/>
                <w:szCs w:val="24"/>
              </w:rPr>
              <w:t xml:space="preserve"> respective domestic processes and mechanisms to address NTBs.  </w:t>
            </w:r>
            <w:r w:rsidR="00784407" w:rsidRPr="00633FB3">
              <w:rPr>
                <w:rFonts w:cstheme="minorHAnsi"/>
                <w:sz w:val="24"/>
                <w:szCs w:val="24"/>
              </w:rPr>
              <w:t>Singapore will leverage its regular consultations with domestic stakeholders, such as businesses and trade associations</w:t>
            </w:r>
            <w:r w:rsidR="00784407">
              <w:rPr>
                <w:rFonts w:cstheme="minorHAnsi"/>
                <w:sz w:val="24"/>
                <w:szCs w:val="24"/>
              </w:rPr>
              <w:t xml:space="preserve"> and chambers</w:t>
            </w:r>
            <w:r w:rsidR="00784407" w:rsidRPr="00633FB3">
              <w:rPr>
                <w:rFonts w:cstheme="minorHAnsi"/>
                <w:sz w:val="24"/>
                <w:szCs w:val="24"/>
              </w:rPr>
              <w:t xml:space="preserve">, to understand and identify the needs and challenges including trade barriers faced by businesses, and possible ways to address them. </w:t>
            </w:r>
            <w:r w:rsidRPr="00633FB3">
              <w:rPr>
                <w:rFonts w:cstheme="minorHAnsi"/>
                <w:sz w:val="24"/>
                <w:szCs w:val="24"/>
              </w:rPr>
              <w:t>Australia will utilise its existing trade barrier reporting portal, which is used by interested Australian stakeholders (i.e.</w:t>
            </w:r>
            <w:r>
              <w:rPr>
                <w:rFonts w:cstheme="minorHAnsi"/>
                <w:sz w:val="24"/>
                <w:szCs w:val="24"/>
              </w:rPr>
              <w:t>,</w:t>
            </w:r>
            <w:r w:rsidRPr="00633FB3">
              <w:rPr>
                <w:rFonts w:cstheme="minorHAnsi"/>
                <w:sz w:val="24"/>
                <w:szCs w:val="24"/>
              </w:rPr>
              <w:t xml:space="preserve"> exporting businesses) to report potential NTBs, understand the Government’s approach to addressing them and utilise available resources. Australia’s trade barrier reporting portal can be found on the Department of Foreign Affairs and Trade website.</w:t>
            </w:r>
          </w:p>
          <w:p w14:paraId="0D49937C" w14:textId="77777777" w:rsidR="00434BB4" w:rsidRPr="00633FB3" w:rsidRDefault="00434BB4" w:rsidP="00FF2886">
            <w:pPr>
              <w:jc w:val="both"/>
              <w:rPr>
                <w:rFonts w:cstheme="minorHAnsi"/>
                <w:sz w:val="24"/>
                <w:szCs w:val="24"/>
              </w:rPr>
            </w:pPr>
          </w:p>
          <w:p w14:paraId="5AABADB9" w14:textId="7A79A200" w:rsidR="00434BB4" w:rsidRDefault="00434BB4" w:rsidP="00FF2886">
            <w:pPr>
              <w:jc w:val="both"/>
              <w:rPr>
                <w:rFonts w:cstheme="minorHAnsi"/>
                <w:sz w:val="24"/>
                <w:szCs w:val="24"/>
              </w:rPr>
            </w:pPr>
            <w:r w:rsidRPr="00633FB3">
              <w:rPr>
                <w:rFonts w:cstheme="minorHAnsi"/>
                <w:sz w:val="24"/>
                <w:szCs w:val="24"/>
              </w:rPr>
              <w:t>Th</w:t>
            </w:r>
            <w:r w:rsidR="00C53AB7">
              <w:rPr>
                <w:rFonts w:cstheme="minorHAnsi"/>
                <w:sz w:val="24"/>
                <w:szCs w:val="24"/>
              </w:rPr>
              <w:t>is</w:t>
            </w:r>
            <w:r w:rsidRPr="00633FB3">
              <w:rPr>
                <w:rFonts w:cstheme="minorHAnsi"/>
                <w:sz w:val="24"/>
                <w:szCs w:val="24"/>
              </w:rPr>
              <w:t xml:space="preserve"> Mechanism provides the opportunity for Singapore</w:t>
            </w:r>
            <w:r>
              <w:rPr>
                <w:rFonts w:cstheme="minorHAnsi"/>
                <w:sz w:val="24"/>
                <w:szCs w:val="24"/>
              </w:rPr>
              <w:t xml:space="preserve"> </w:t>
            </w:r>
            <w:r w:rsidR="00784407">
              <w:rPr>
                <w:rFonts w:cstheme="minorHAnsi"/>
                <w:sz w:val="24"/>
                <w:szCs w:val="24"/>
              </w:rPr>
              <w:t xml:space="preserve">and Australia </w:t>
            </w:r>
            <w:r w:rsidRPr="00633FB3">
              <w:rPr>
                <w:rFonts w:cstheme="minorHAnsi"/>
                <w:sz w:val="24"/>
                <w:szCs w:val="24"/>
              </w:rPr>
              <w:t xml:space="preserve">to </w:t>
            </w:r>
            <w:r>
              <w:rPr>
                <w:rFonts w:cstheme="minorHAnsi"/>
                <w:sz w:val="24"/>
                <w:szCs w:val="24"/>
              </w:rPr>
              <w:t>engage in dialogue on</w:t>
            </w:r>
            <w:r w:rsidRPr="00633FB3">
              <w:rPr>
                <w:rFonts w:cstheme="minorHAnsi"/>
                <w:sz w:val="24"/>
                <w:szCs w:val="24"/>
              </w:rPr>
              <w:t xml:space="preserve"> </w:t>
            </w:r>
            <w:r>
              <w:rPr>
                <w:rFonts w:cstheme="minorHAnsi"/>
                <w:sz w:val="24"/>
                <w:szCs w:val="24"/>
              </w:rPr>
              <w:t xml:space="preserve">identified </w:t>
            </w:r>
            <w:r w:rsidRPr="00633FB3">
              <w:rPr>
                <w:rFonts w:cstheme="minorHAnsi"/>
                <w:sz w:val="24"/>
                <w:szCs w:val="24"/>
              </w:rPr>
              <w:t>NTBs related to bilateral trade in environmental goods and services, with a view to work collaboratively to address these NTBs.</w:t>
            </w:r>
            <w:r>
              <w:rPr>
                <w:rFonts w:cstheme="minorHAnsi"/>
                <w:sz w:val="24"/>
                <w:szCs w:val="24"/>
              </w:rPr>
              <w:t xml:space="preserve"> This also includes </w:t>
            </w:r>
            <w:r w:rsidRPr="00633FB3">
              <w:rPr>
                <w:rFonts w:cstheme="minorHAnsi"/>
                <w:sz w:val="24"/>
                <w:szCs w:val="24"/>
              </w:rPr>
              <w:t xml:space="preserve">the opportunity for </w:t>
            </w:r>
            <w:r>
              <w:rPr>
                <w:rFonts w:cstheme="minorHAnsi"/>
                <w:sz w:val="24"/>
                <w:szCs w:val="24"/>
              </w:rPr>
              <w:t xml:space="preserve">relevant dialogues </w:t>
            </w:r>
            <w:r w:rsidRPr="00633FB3">
              <w:rPr>
                <w:rFonts w:cstheme="minorHAnsi"/>
                <w:sz w:val="24"/>
                <w:szCs w:val="24"/>
              </w:rPr>
              <w:t>between Singapore</w:t>
            </w:r>
            <w:r w:rsidR="00784407">
              <w:rPr>
                <w:rFonts w:cstheme="minorHAnsi"/>
                <w:sz w:val="24"/>
                <w:szCs w:val="24"/>
              </w:rPr>
              <w:t xml:space="preserve"> and Australia</w:t>
            </w:r>
            <w:r>
              <w:rPr>
                <w:rFonts w:cstheme="minorHAnsi"/>
                <w:sz w:val="24"/>
                <w:szCs w:val="24"/>
              </w:rPr>
              <w:t xml:space="preserve"> </w:t>
            </w:r>
            <w:r w:rsidRPr="00633FB3">
              <w:rPr>
                <w:rFonts w:cstheme="minorHAnsi"/>
                <w:sz w:val="24"/>
                <w:szCs w:val="24"/>
              </w:rPr>
              <w:t xml:space="preserve">on </w:t>
            </w:r>
            <w:r>
              <w:rPr>
                <w:rFonts w:cstheme="minorHAnsi"/>
                <w:sz w:val="24"/>
                <w:szCs w:val="24"/>
              </w:rPr>
              <w:t>NTBs</w:t>
            </w:r>
            <w:r w:rsidRPr="00633FB3">
              <w:rPr>
                <w:rFonts w:cstheme="minorHAnsi"/>
                <w:sz w:val="24"/>
                <w:szCs w:val="24"/>
              </w:rPr>
              <w:t xml:space="preserve"> </w:t>
            </w:r>
            <w:r>
              <w:rPr>
                <w:rFonts w:cstheme="minorHAnsi"/>
                <w:sz w:val="24"/>
                <w:szCs w:val="24"/>
              </w:rPr>
              <w:t xml:space="preserve">imposed by other trading partners affecting trade in environmental goods and services </w:t>
            </w:r>
            <w:r w:rsidRPr="00633FB3">
              <w:rPr>
                <w:rFonts w:cstheme="minorHAnsi"/>
                <w:sz w:val="24"/>
                <w:szCs w:val="24"/>
              </w:rPr>
              <w:t>under discussion in regional, plurilateral and multilateral platforms</w:t>
            </w:r>
            <w:bookmarkStart w:id="2" w:name="_Hlk113029190"/>
            <w:r>
              <w:rPr>
                <w:rFonts w:cstheme="minorHAnsi"/>
                <w:sz w:val="24"/>
                <w:szCs w:val="24"/>
              </w:rPr>
              <w:t xml:space="preserve"> </w:t>
            </w:r>
            <w:r w:rsidRPr="00633FB3">
              <w:rPr>
                <w:rFonts w:cstheme="minorHAnsi"/>
                <w:sz w:val="24"/>
                <w:szCs w:val="24"/>
              </w:rPr>
              <w:t xml:space="preserve">such as the WTO Technical Barriers to Trade (TBT) and Sanitary and Phytosanitary (SPS) Committees, and Regional Trade Agreement Committees (e.g. </w:t>
            </w:r>
            <w:r w:rsidR="002D0CDB">
              <w:rPr>
                <w:rFonts w:cstheme="minorHAnsi"/>
                <w:sz w:val="24"/>
                <w:szCs w:val="24"/>
              </w:rPr>
              <w:t xml:space="preserve">under the </w:t>
            </w:r>
            <w:r w:rsidR="009A1A30">
              <w:rPr>
                <w:rFonts w:cstheme="minorHAnsi"/>
                <w:sz w:val="24"/>
                <w:szCs w:val="24"/>
              </w:rPr>
              <w:t>Comprehensive and Progressive Agreement for Trans</w:t>
            </w:r>
            <w:r w:rsidR="00A573EA">
              <w:rPr>
                <w:rFonts w:cstheme="minorHAnsi"/>
                <w:sz w:val="24"/>
                <w:szCs w:val="24"/>
              </w:rPr>
              <w:t xml:space="preserve">-Pacific Partnership, the </w:t>
            </w:r>
            <w:r w:rsidR="003B6283">
              <w:rPr>
                <w:rFonts w:cstheme="minorHAnsi"/>
                <w:sz w:val="24"/>
                <w:szCs w:val="24"/>
              </w:rPr>
              <w:t>Regional Comprehensive Economic Partnership and the</w:t>
            </w:r>
            <w:r w:rsidR="005567A5">
              <w:rPr>
                <w:rFonts w:cstheme="minorHAnsi"/>
                <w:sz w:val="24"/>
                <w:szCs w:val="24"/>
              </w:rPr>
              <w:t xml:space="preserve"> Agreement Establishing the ASEAN-Australia-New Zealand Free Trade Area</w:t>
            </w:r>
            <w:r w:rsidRPr="00633FB3">
              <w:rPr>
                <w:rFonts w:cstheme="minorHAnsi"/>
                <w:sz w:val="24"/>
                <w:szCs w:val="24"/>
              </w:rPr>
              <w:t>).</w:t>
            </w:r>
          </w:p>
          <w:p w14:paraId="07347C76" w14:textId="77777777" w:rsidR="00434BB4" w:rsidRPr="00633FB3" w:rsidRDefault="00434BB4" w:rsidP="00FF2886">
            <w:pPr>
              <w:jc w:val="both"/>
              <w:rPr>
                <w:rFonts w:cstheme="minorHAnsi"/>
                <w:sz w:val="24"/>
                <w:szCs w:val="24"/>
              </w:rPr>
            </w:pPr>
            <w:r w:rsidRPr="00633FB3">
              <w:rPr>
                <w:rFonts w:cstheme="minorHAnsi"/>
                <w:sz w:val="24"/>
                <w:szCs w:val="24"/>
              </w:rPr>
              <w:t xml:space="preserve"> </w:t>
            </w:r>
            <w:bookmarkEnd w:id="2"/>
          </w:p>
          <w:p w14:paraId="10E7978D" w14:textId="77777777" w:rsidR="00434BB4" w:rsidRDefault="00434BB4" w:rsidP="00FF2886">
            <w:pPr>
              <w:jc w:val="both"/>
              <w:rPr>
                <w:rFonts w:cstheme="minorHAnsi"/>
                <w:sz w:val="24"/>
                <w:szCs w:val="24"/>
              </w:rPr>
            </w:pPr>
            <w:r w:rsidRPr="00633FB3">
              <w:rPr>
                <w:rFonts w:cstheme="minorHAnsi"/>
                <w:sz w:val="24"/>
                <w:szCs w:val="24"/>
              </w:rPr>
              <w:lastRenderedPageBreak/>
              <w:t xml:space="preserve">Singapore </w:t>
            </w:r>
            <w:r w:rsidR="00784407">
              <w:rPr>
                <w:rFonts w:cstheme="minorHAnsi"/>
                <w:sz w:val="24"/>
                <w:szCs w:val="24"/>
              </w:rPr>
              <w:t xml:space="preserve">and Australia </w:t>
            </w:r>
            <w:r w:rsidRPr="00633FB3">
              <w:rPr>
                <w:rFonts w:cstheme="minorHAnsi"/>
                <w:sz w:val="24"/>
                <w:szCs w:val="24"/>
              </w:rPr>
              <w:t>will seek to apply this Mechanism more broadly in future Green Economy Agreements with other interested trade partners.</w:t>
            </w:r>
          </w:p>
          <w:p w14:paraId="03975DB6" w14:textId="2DE6F8E8" w:rsidR="00A52880" w:rsidRPr="00633FB3" w:rsidRDefault="00A52880" w:rsidP="00FF2886">
            <w:pPr>
              <w:jc w:val="both"/>
              <w:rPr>
                <w:rFonts w:cstheme="minorHAnsi"/>
                <w:sz w:val="24"/>
                <w:szCs w:val="24"/>
              </w:rPr>
            </w:pPr>
          </w:p>
        </w:tc>
      </w:tr>
      <w:tr w:rsidR="00434BB4" w:rsidRPr="00602C96" w14:paraId="7B1AB787" w14:textId="77777777" w:rsidTr="00915902">
        <w:trPr>
          <w:trHeight w:val="2826"/>
        </w:trPr>
        <w:tc>
          <w:tcPr>
            <w:tcW w:w="2263" w:type="dxa"/>
            <w:shd w:val="clear" w:color="auto" w:fill="E2EFD9" w:themeFill="accent6" w:themeFillTint="33"/>
          </w:tcPr>
          <w:p w14:paraId="5EC9543D" w14:textId="77777777" w:rsidR="00434BB4" w:rsidRPr="00633FB3" w:rsidRDefault="00434BB4" w:rsidP="00FF2886">
            <w:pPr>
              <w:rPr>
                <w:rFonts w:cstheme="minorHAnsi"/>
                <w:b/>
                <w:bCs/>
              </w:rPr>
            </w:pPr>
            <w:r w:rsidRPr="00633FB3">
              <w:rPr>
                <w:rFonts w:cstheme="minorHAnsi"/>
                <w:b/>
                <w:bCs/>
              </w:rPr>
              <w:lastRenderedPageBreak/>
              <w:t>Specific Objectives</w:t>
            </w:r>
          </w:p>
        </w:tc>
        <w:tc>
          <w:tcPr>
            <w:tcW w:w="6753" w:type="dxa"/>
            <w:vAlign w:val="center"/>
          </w:tcPr>
          <w:p w14:paraId="6CB1964D" w14:textId="77777777" w:rsidR="00434BB4" w:rsidRPr="00633FB3" w:rsidRDefault="00434BB4" w:rsidP="00434BB4">
            <w:pPr>
              <w:pStyle w:val="ListParagraph"/>
              <w:numPr>
                <w:ilvl w:val="0"/>
                <w:numId w:val="13"/>
              </w:numPr>
              <w:ind w:left="720"/>
              <w:jc w:val="both"/>
              <w:rPr>
                <w:rFonts w:cstheme="minorHAnsi"/>
                <w:sz w:val="24"/>
                <w:szCs w:val="24"/>
              </w:rPr>
            </w:pPr>
            <w:r w:rsidRPr="00633FB3">
              <w:rPr>
                <w:rFonts w:cstheme="minorHAnsi"/>
                <w:sz w:val="24"/>
                <w:szCs w:val="24"/>
              </w:rPr>
              <w:t>To identify NTBs</w:t>
            </w:r>
            <w:r>
              <w:rPr>
                <w:rFonts w:cstheme="minorHAnsi"/>
                <w:sz w:val="24"/>
                <w:szCs w:val="24"/>
              </w:rPr>
              <w:t xml:space="preserve"> </w:t>
            </w:r>
            <w:r w:rsidRPr="00633FB3">
              <w:rPr>
                <w:rFonts w:cstheme="minorHAnsi"/>
                <w:sz w:val="24"/>
                <w:szCs w:val="24"/>
              </w:rPr>
              <w:t xml:space="preserve">in relation to bilateral trade in environmental goods and services, including those that are captured by the GEA environmental goods and services lists.  </w:t>
            </w:r>
          </w:p>
          <w:p w14:paraId="73E0089F" w14:textId="3185E79A" w:rsidR="00434BB4" w:rsidRPr="00633FB3" w:rsidRDefault="00434BB4" w:rsidP="00434BB4">
            <w:pPr>
              <w:pStyle w:val="ListParagraph"/>
              <w:numPr>
                <w:ilvl w:val="0"/>
                <w:numId w:val="13"/>
              </w:numPr>
              <w:ind w:left="720"/>
              <w:jc w:val="both"/>
              <w:rPr>
                <w:rFonts w:cstheme="minorHAnsi"/>
                <w:sz w:val="24"/>
                <w:szCs w:val="24"/>
              </w:rPr>
            </w:pPr>
            <w:r w:rsidRPr="00633FB3">
              <w:rPr>
                <w:rFonts w:cstheme="minorHAnsi"/>
                <w:sz w:val="24"/>
                <w:szCs w:val="24"/>
              </w:rPr>
              <w:t xml:space="preserve">To promote ongoing stakeholder engagement by Singapore </w:t>
            </w:r>
            <w:r w:rsidR="00784407">
              <w:rPr>
                <w:rFonts w:cstheme="minorHAnsi"/>
                <w:sz w:val="24"/>
                <w:szCs w:val="24"/>
              </w:rPr>
              <w:t xml:space="preserve">and Australia </w:t>
            </w:r>
            <w:r w:rsidRPr="00633FB3">
              <w:rPr>
                <w:rFonts w:cstheme="minorHAnsi"/>
                <w:sz w:val="24"/>
                <w:szCs w:val="24"/>
              </w:rPr>
              <w:t>to help identify and address NTBs.</w:t>
            </w:r>
          </w:p>
          <w:p w14:paraId="74B7B751" w14:textId="7912C36D" w:rsidR="00434BB4" w:rsidRDefault="00434BB4" w:rsidP="00434BB4">
            <w:pPr>
              <w:pStyle w:val="ListParagraph"/>
              <w:numPr>
                <w:ilvl w:val="0"/>
                <w:numId w:val="13"/>
              </w:numPr>
              <w:ind w:left="720"/>
              <w:jc w:val="both"/>
              <w:rPr>
                <w:rFonts w:cstheme="minorHAnsi"/>
                <w:sz w:val="24"/>
                <w:szCs w:val="24"/>
              </w:rPr>
            </w:pPr>
            <w:r w:rsidRPr="00633FB3">
              <w:rPr>
                <w:rFonts w:cstheme="minorHAnsi"/>
                <w:sz w:val="24"/>
                <w:szCs w:val="24"/>
              </w:rPr>
              <w:t xml:space="preserve">To </w:t>
            </w:r>
            <w:r>
              <w:rPr>
                <w:rFonts w:cstheme="minorHAnsi"/>
                <w:sz w:val="24"/>
                <w:szCs w:val="24"/>
              </w:rPr>
              <w:t>enhance dialogue</w:t>
            </w:r>
            <w:r w:rsidRPr="00633FB3">
              <w:rPr>
                <w:rFonts w:cstheme="minorHAnsi"/>
                <w:sz w:val="24"/>
                <w:szCs w:val="24"/>
              </w:rPr>
              <w:t xml:space="preserve"> between </w:t>
            </w:r>
            <w:r w:rsidR="00784407">
              <w:rPr>
                <w:rFonts w:cstheme="minorHAnsi"/>
                <w:sz w:val="24"/>
                <w:szCs w:val="24"/>
              </w:rPr>
              <w:t xml:space="preserve">Singapore and </w:t>
            </w:r>
            <w:r w:rsidRPr="00633FB3">
              <w:rPr>
                <w:rFonts w:cstheme="minorHAnsi"/>
                <w:sz w:val="24"/>
                <w:szCs w:val="24"/>
              </w:rPr>
              <w:t xml:space="preserve">Australia on </w:t>
            </w:r>
            <w:r>
              <w:rPr>
                <w:rFonts w:cstheme="minorHAnsi"/>
                <w:sz w:val="24"/>
                <w:szCs w:val="24"/>
              </w:rPr>
              <w:t>NTBs</w:t>
            </w:r>
            <w:r w:rsidRPr="00633FB3">
              <w:rPr>
                <w:rFonts w:cstheme="minorHAnsi"/>
                <w:sz w:val="24"/>
                <w:szCs w:val="24"/>
              </w:rPr>
              <w:t xml:space="preserve"> affecting trade in environmental goods and services</w:t>
            </w:r>
            <w:r>
              <w:rPr>
                <w:rFonts w:cstheme="minorHAnsi"/>
                <w:sz w:val="24"/>
                <w:szCs w:val="24"/>
              </w:rPr>
              <w:t xml:space="preserve"> or mutually </w:t>
            </w:r>
            <w:r w:rsidR="00E34A27">
              <w:rPr>
                <w:rFonts w:cstheme="minorHAnsi"/>
                <w:sz w:val="24"/>
                <w:szCs w:val="24"/>
              </w:rPr>
              <w:t xml:space="preserve">decided </w:t>
            </w:r>
            <w:r>
              <w:rPr>
                <w:rFonts w:cstheme="minorHAnsi"/>
                <w:sz w:val="24"/>
                <w:szCs w:val="24"/>
              </w:rPr>
              <w:t xml:space="preserve">environmental measures which may act as NTBs </w:t>
            </w:r>
            <w:r w:rsidRPr="00633FB3">
              <w:rPr>
                <w:rFonts w:cstheme="minorHAnsi"/>
                <w:sz w:val="24"/>
                <w:szCs w:val="24"/>
              </w:rPr>
              <w:t xml:space="preserve">in regional, plurilateral and multilateral platforms. </w:t>
            </w:r>
          </w:p>
          <w:p w14:paraId="47008C7F" w14:textId="77777777" w:rsidR="00434BB4" w:rsidRPr="00633FB3" w:rsidRDefault="00434BB4" w:rsidP="00FF2886">
            <w:pPr>
              <w:pStyle w:val="ListParagraph"/>
              <w:jc w:val="both"/>
              <w:rPr>
                <w:rFonts w:cstheme="minorHAnsi"/>
                <w:sz w:val="24"/>
                <w:szCs w:val="24"/>
              </w:rPr>
            </w:pPr>
          </w:p>
        </w:tc>
      </w:tr>
      <w:tr w:rsidR="00434BB4" w:rsidRPr="00602C96" w14:paraId="55D0A411" w14:textId="77777777" w:rsidTr="00915902">
        <w:trPr>
          <w:trHeight w:val="2123"/>
        </w:trPr>
        <w:tc>
          <w:tcPr>
            <w:tcW w:w="2263" w:type="dxa"/>
            <w:shd w:val="clear" w:color="auto" w:fill="E2EFD9" w:themeFill="accent6" w:themeFillTint="33"/>
          </w:tcPr>
          <w:p w14:paraId="4AFFBC9D" w14:textId="77777777" w:rsidR="00434BB4" w:rsidRPr="00633FB3" w:rsidRDefault="00434BB4" w:rsidP="00FF2886">
            <w:pPr>
              <w:rPr>
                <w:rFonts w:cstheme="minorHAnsi"/>
                <w:b/>
                <w:bCs/>
              </w:rPr>
            </w:pPr>
            <w:r w:rsidRPr="00633FB3">
              <w:rPr>
                <w:rFonts w:cstheme="minorHAnsi"/>
                <w:b/>
                <w:bCs/>
              </w:rPr>
              <w:t>Governance Process</w:t>
            </w:r>
          </w:p>
        </w:tc>
        <w:tc>
          <w:tcPr>
            <w:tcW w:w="6753" w:type="dxa"/>
            <w:vAlign w:val="center"/>
          </w:tcPr>
          <w:p w14:paraId="4FF3B591" w14:textId="5FE02D8C" w:rsidR="00434BB4" w:rsidRDefault="00434BB4" w:rsidP="00FF2886">
            <w:pPr>
              <w:jc w:val="both"/>
              <w:rPr>
                <w:rFonts w:cstheme="minorHAnsi"/>
                <w:sz w:val="24"/>
                <w:szCs w:val="24"/>
              </w:rPr>
            </w:pPr>
            <w:r w:rsidRPr="00633FB3">
              <w:rPr>
                <w:rFonts w:cstheme="minorHAnsi"/>
                <w:sz w:val="24"/>
                <w:szCs w:val="24"/>
              </w:rPr>
              <w:t xml:space="preserve">Singapore </w:t>
            </w:r>
            <w:r w:rsidR="00784407">
              <w:rPr>
                <w:rFonts w:cstheme="minorHAnsi"/>
                <w:sz w:val="24"/>
                <w:szCs w:val="24"/>
              </w:rPr>
              <w:t xml:space="preserve">and Australia </w:t>
            </w:r>
            <w:r w:rsidRPr="00633FB3">
              <w:rPr>
                <w:rFonts w:cstheme="minorHAnsi"/>
                <w:sz w:val="24"/>
                <w:szCs w:val="24"/>
              </w:rPr>
              <w:t xml:space="preserve">will jointly report to the GEA Action Team (GAT) identified in the GEA Appendix: </w:t>
            </w:r>
            <w:r w:rsidRPr="00633FB3">
              <w:rPr>
                <w:rFonts w:cstheme="minorHAnsi"/>
                <w:i/>
                <w:iCs/>
                <w:sz w:val="24"/>
                <w:szCs w:val="24"/>
              </w:rPr>
              <w:t xml:space="preserve">Governance, </w:t>
            </w:r>
            <w:proofErr w:type="gramStart"/>
            <w:r w:rsidRPr="00633FB3">
              <w:rPr>
                <w:rFonts w:cstheme="minorHAnsi"/>
                <w:i/>
                <w:iCs/>
                <w:sz w:val="24"/>
                <w:szCs w:val="24"/>
              </w:rPr>
              <w:t>Implementation</w:t>
            </w:r>
            <w:proofErr w:type="gramEnd"/>
            <w:r w:rsidRPr="00633FB3">
              <w:rPr>
                <w:rFonts w:cstheme="minorHAnsi"/>
                <w:i/>
                <w:iCs/>
                <w:sz w:val="24"/>
                <w:szCs w:val="24"/>
              </w:rPr>
              <w:t xml:space="preserve"> and Institutional Matters</w:t>
            </w:r>
            <w:r w:rsidRPr="00633FB3">
              <w:rPr>
                <w:rFonts w:cstheme="minorHAnsi"/>
                <w:sz w:val="24"/>
                <w:szCs w:val="24"/>
              </w:rPr>
              <w:t>. The Parties will report progress of the Mechanism in achieving the Specific Objectives outlined above in this Annex. This will feed into GAT reporting for the annual Senior Officials Meeting.</w:t>
            </w:r>
          </w:p>
          <w:p w14:paraId="5389500B" w14:textId="77777777" w:rsidR="00434BB4" w:rsidRPr="00633FB3" w:rsidRDefault="00434BB4" w:rsidP="00FF2886">
            <w:pPr>
              <w:jc w:val="both"/>
              <w:rPr>
                <w:rFonts w:cstheme="minorHAnsi"/>
                <w:sz w:val="24"/>
                <w:szCs w:val="24"/>
              </w:rPr>
            </w:pPr>
          </w:p>
        </w:tc>
      </w:tr>
      <w:tr w:rsidR="00434BB4" w:rsidRPr="00602C96" w14:paraId="70AC71A0" w14:textId="77777777" w:rsidTr="00915902">
        <w:trPr>
          <w:trHeight w:val="1261"/>
        </w:trPr>
        <w:tc>
          <w:tcPr>
            <w:tcW w:w="2263" w:type="dxa"/>
            <w:shd w:val="clear" w:color="auto" w:fill="E2EFD9" w:themeFill="accent6" w:themeFillTint="33"/>
          </w:tcPr>
          <w:p w14:paraId="4032F37F" w14:textId="77777777" w:rsidR="00434BB4" w:rsidRPr="00633FB3" w:rsidRDefault="00434BB4" w:rsidP="00FF2886">
            <w:pPr>
              <w:rPr>
                <w:rFonts w:cstheme="minorHAnsi"/>
                <w:b/>
                <w:bCs/>
              </w:rPr>
            </w:pPr>
            <w:r w:rsidRPr="00633FB3">
              <w:rPr>
                <w:rFonts w:cstheme="minorHAnsi"/>
                <w:b/>
                <w:bCs/>
              </w:rPr>
              <w:t>Project Leads</w:t>
            </w:r>
          </w:p>
        </w:tc>
        <w:tc>
          <w:tcPr>
            <w:tcW w:w="6753" w:type="dxa"/>
            <w:vAlign w:val="center"/>
          </w:tcPr>
          <w:p w14:paraId="63EBC645" w14:textId="77777777" w:rsidR="00784407" w:rsidRPr="00915902" w:rsidRDefault="00784407" w:rsidP="00784407">
            <w:pPr>
              <w:rPr>
                <w:rFonts w:cstheme="minorHAnsi"/>
                <w:sz w:val="24"/>
                <w:szCs w:val="24"/>
                <w:u w:val="single"/>
              </w:rPr>
            </w:pPr>
            <w:r w:rsidRPr="00915902">
              <w:rPr>
                <w:rFonts w:cstheme="minorHAnsi"/>
                <w:sz w:val="24"/>
                <w:szCs w:val="24"/>
                <w:u w:val="single"/>
              </w:rPr>
              <w:t>Singapore</w:t>
            </w:r>
          </w:p>
          <w:p w14:paraId="67224185" w14:textId="77777777" w:rsidR="00784407" w:rsidRDefault="00784407" w:rsidP="00784407">
            <w:pPr>
              <w:rPr>
                <w:rFonts w:cstheme="minorHAnsi"/>
                <w:sz w:val="24"/>
                <w:szCs w:val="24"/>
              </w:rPr>
            </w:pPr>
            <w:r w:rsidRPr="00633FB3">
              <w:rPr>
                <w:rFonts w:cstheme="minorHAnsi"/>
                <w:sz w:val="24"/>
                <w:szCs w:val="24"/>
              </w:rPr>
              <w:t>Ministry for Trade and Industry</w:t>
            </w:r>
          </w:p>
          <w:p w14:paraId="62E58ACC" w14:textId="77777777" w:rsidR="00784407" w:rsidRDefault="00784407" w:rsidP="00FF2886">
            <w:pPr>
              <w:rPr>
                <w:rFonts w:cstheme="minorHAnsi"/>
                <w:sz w:val="24"/>
                <w:szCs w:val="24"/>
                <w:u w:val="single"/>
              </w:rPr>
            </w:pPr>
          </w:p>
          <w:p w14:paraId="06610765" w14:textId="699060FC" w:rsidR="00915902" w:rsidRPr="00915902" w:rsidRDefault="00434BB4" w:rsidP="00FF2886">
            <w:pPr>
              <w:rPr>
                <w:rFonts w:cstheme="minorHAnsi"/>
                <w:sz w:val="24"/>
                <w:szCs w:val="24"/>
                <w:u w:val="single"/>
              </w:rPr>
            </w:pPr>
            <w:r w:rsidRPr="00915902">
              <w:rPr>
                <w:rFonts w:cstheme="minorHAnsi"/>
                <w:sz w:val="24"/>
                <w:szCs w:val="24"/>
                <w:u w:val="single"/>
              </w:rPr>
              <w:t>Australia</w:t>
            </w:r>
          </w:p>
          <w:p w14:paraId="7DB4285F" w14:textId="25B40643" w:rsidR="00434BB4" w:rsidRPr="00633FB3" w:rsidRDefault="00434BB4" w:rsidP="00FF2886">
            <w:pPr>
              <w:rPr>
                <w:rFonts w:cstheme="minorHAnsi"/>
                <w:sz w:val="24"/>
                <w:szCs w:val="24"/>
              </w:rPr>
            </w:pPr>
            <w:r w:rsidRPr="00633FB3">
              <w:rPr>
                <w:rFonts w:cstheme="minorHAnsi"/>
                <w:sz w:val="24"/>
                <w:szCs w:val="24"/>
              </w:rPr>
              <w:t>Department of Foreign Affairs and Trade</w:t>
            </w:r>
          </w:p>
          <w:p w14:paraId="6E66969A" w14:textId="77777777" w:rsidR="00434BB4" w:rsidRPr="00633FB3" w:rsidRDefault="00434BB4" w:rsidP="00784407">
            <w:pPr>
              <w:rPr>
                <w:rFonts w:cstheme="minorHAnsi"/>
                <w:sz w:val="24"/>
                <w:szCs w:val="24"/>
              </w:rPr>
            </w:pPr>
          </w:p>
        </w:tc>
      </w:tr>
      <w:bookmarkEnd w:id="0"/>
      <w:bookmarkEnd w:id="1"/>
    </w:tbl>
    <w:p w14:paraId="51F354F3" w14:textId="17341E11" w:rsidR="00434BB4" w:rsidRDefault="00434BB4" w:rsidP="00A52880">
      <w:pPr>
        <w:rPr>
          <w:rFonts w:cstheme="minorHAnsi"/>
          <w:b/>
          <w:bCs/>
          <w:sz w:val="28"/>
          <w:szCs w:val="28"/>
        </w:rPr>
      </w:pPr>
    </w:p>
    <w:sectPr w:rsidR="00434BB4">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BE2D" w14:textId="77777777" w:rsidR="00E93C74" w:rsidRDefault="00E93C74" w:rsidP="005F4E51">
      <w:pPr>
        <w:spacing w:after="0" w:line="240" w:lineRule="auto"/>
      </w:pPr>
      <w:r>
        <w:separator/>
      </w:r>
    </w:p>
  </w:endnote>
  <w:endnote w:type="continuationSeparator" w:id="0">
    <w:p w14:paraId="4B54344A" w14:textId="77777777" w:rsidR="00E93C74" w:rsidRDefault="00E93C74" w:rsidP="005F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FE" w14:textId="74B67D52" w:rsidR="00376365" w:rsidRPr="000E19AA" w:rsidRDefault="00376365" w:rsidP="00FC522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2E37" w14:textId="77777777" w:rsidR="00E93C74" w:rsidRDefault="00E93C74" w:rsidP="005F4E51">
      <w:pPr>
        <w:spacing w:after="0" w:line="240" w:lineRule="auto"/>
      </w:pPr>
      <w:r>
        <w:separator/>
      </w:r>
    </w:p>
  </w:footnote>
  <w:footnote w:type="continuationSeparator" w:id="0">
    <w:p w14:paraId="5872E757" w14:textId="77777777" w:rsidR="00E93C74" w:rsidRDefault="00E93C74" w:rsidP="005F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FC0B" w14:textId="62245890" w:rsidR="00376365" w:rsidRDefault="00E67E59">
    <w:pPr>
      <w:pStyle w:val="Header"/>
    </w:pPr>
    <w:r>
      <w:rPr>
        <w:noProof/>
      </w:rPr>
      <w:pict w14:anchorId="16B2B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9"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6500" w14:textId="6041C5CB" w:rsidR="00376365" w:rsidRPr="00FC522A" w:rsidRDefault="00376365" w:rsidP="00FC522A">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AD80" w14:textId="1FD7EA8B" w:rsidR="00376365" w:rsidRDefault="00E67E59">
    <w:pPr>
      <w:pStyle w:val="Header"/>
    </w:pPr>
    <w:r>
      <w:rPr>
        <w:noProof/>
      </w:rPr>
      <w:pict w14:anchorId="70DB1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8"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321"/>
    <w:multiLevelType w:val="hybridMultilevel"/>
    <w:tmpl w:val="D80027B0"/>
    <w:lvl w:ilvl="0" w:tplc="F05C9F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B97258"/>
    <w:multiLevelType w:val="hybridMultilevel"/>
    <w:tmpl w:val="8438C672"/>
    <w:lvl w:ilvl="0" w:tplc="97BCB21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32C0B"/>
    <w:multiLevelType w:val="hybridMultilevel"/>
    <w:tmpl w:val="237C8F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237219"/>
    <w:multiLevelType w:val="hybridMultilevel"/>
    <w:tmpl w:val="BF6C3AD0"/>
    <w:lvl w:ilvl="0" w:tplc="C51EAA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AC7C1A"/>
    <w:multiLevelType w:val="hybridMultilevel"/>
    <w:tmpl w:val="F7003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D59F4"/>
    <w:multiLevelType w:val="hybridMultilevel"/>
    <w:tmpl w:val="0BD41364"/>
    <w:lvl w:ilvl="0" w:tplc="018473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A94C7C"/>
    <w:multiLevelType w:val="hybridMultilevel"/>
    <w:tmpl w:val="DA020AD4"/>
    <w:lvl w:ilvl="0" w:tplc="76F4D25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4C41A1"/>
    <w:multiLevelType w:val="hybridMultilevel"/>
    <w:tmpl w:val="EC0AD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CF1D44"/>
    <w:multiLevelType w:val="hybridMultilevel"/>
    <w:tmpl w:val="FA264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4B3AB6"/>
    <w:multiLevelType w:val="hybridMultilevel"/>
    <w:tmpl w:val="546A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8513A4"/>
    <w:multiLevelType w:val="hybridMultilevel"/>
    <w:tmpl w:val="5A38A0B0"/>
    <w:lvl w:ilvl="0" w:tplc="E012CB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A9562D5"/>
    <w:multiLevelType w:val="hybridMultilevel"/>
    <w:tmpl w:val="E918C8EA"/>
    <w:lvl w:ilvl="0" w:tplc="53F67CE8">
      <w:start w:val="1"/>
      <w:numFmt w:val="bullet"/>
      <w:lvlText w:val="·"/>
      <w:lvlJc w:val="left"/>
      <w:pPr>
        <w:ind w:left="720" w:hanging="360"/>
      </w:pPr>
      <w:rPr>
        <w:rFonts w:ascii="Symbol" w:hAnsi="Symbol" w:hint="default"/>
        <w:color w:val="auto"/>
      </w:rPr>
    </w:lvl>
    <w:lvl w:ilvl="1" w:tplc="48C4FA0C">
      <w:start w:val="1"/>
      <w:numFmt w:val="bullet"/>
      <w:lvlText w:val="o"/>
      <w:lvlJc w:val="left"/>
      <w:pPr>
        <w:ind w:left="1440" w:hanging="360"/>
      </w:pPr>
      <w:rPr>
        <w:rFonts w:ascii="Courier New" w:hAnsi="Courier New" w:hint="default"/>
      </w:rPr>
    </w:lvl>
    <w:lvl w:ilvl="2" w:tplc="64B270A8">
      <w:start w:val="1"/>
      <w:numFmt w:val="bullet"/>
      <w:lvlText w:val=""/>
      <w:lvlJc w:val="left"/>
      <w:pPr>
        <w:ind w:left="2160" w:hanging="360"/>
      </w:pPr>
      <w:rPr>
        <w:rFonts w:ascii="Wingdings" w:hAnsi="Wingdings" w:hint="default"/>
      </w:rPr>
    </w:lvl>
    <w:lvl w:ilvl="3" w:tplc="41FA6B32">
      <w:start w:val="1"/>
      <w:numFmt w:val="bullet"/>
      <w:lvlText w:val=""/>
      <w:lvlJc w:val="left"/>
      <w:pPr>
        <w:ind w:left="2880" w:hanging="360"/>
      </w:pPr>
      <w:rPr>
        <w:rFonts w:ascii="Symbol" w:hAnsi="Symbol" w:hint="default"/>
      </w:rPr>
    </w:lvl>
    <w:lvl w:ilvl="4" w:tplc="D9F2AF94">
      <w:start w:val="1"/>
      <w:numFmt w:val="bullet"/>
      <w:lvlText w:val="o"/>
      <w:lvlJc w:val="left"/>
      <w:pPr>
        <w:ind w:left="3600" w:hanging="360"/>
      </w:pPr>
      <w:rPr>
        <w:rFonts w:ascii="Courier New" w:hAnsi="Courier New" w:hint="default"/>
      </w:rPr>
    </w:lvl>
    <w:lvl w:ilvl="5" w:tplc="55AE84B0">
      <w:start w:val="1"/>
      <w:numFmt w:val="bullet"/>
      <w:lvlText w:val=""/>
      <w:lvlJc w:val="left"/>
      <w:pPr>
        <w:ind w:left="4320" w:hanging="360"/>
      </w:pPr>
      <w:rPr>
        <w:rFonts w:ascii="Wingdings" w:hAnsi="Wingdings" w:hint="default"/>
      </w:rPr>
    </w:lvl>
    <w:lvl w:ilvl="6" w:tplc="F57C1966">
      <w:start w:val="1"/>
      <w:numFmt w:val="bullet"/>
      <w:lvlText w:val=""/>
      <w:lvlJc w:val="left"/>
      <w:pPr>
        <w:ind w:left="5040" w:hanging="360"/>
      </w:pPr>
      <w:rPr>
        <w:rFonts w:ascii="Symbol" w:hAnsi="Symbol" w:hint="default"/>
      </w:rPr>
    </w:lvl>
    <w:lvl w:ilvl="7" w:tplc="BB646B58">
      <w:start w:val="1"/>
      <w:numFmt w:val="bullet"/>
      <w:lvlText w:val="o"/>
      <w:lvlJc w:val="left"/>
      <w:pPr>
        <w:ind w:left="5760" w:hanging="360"/>
      </w:pPr>
      <w:rPr>
        <w:rFonts w:ascii="Courier New" w:hAnsi="Courier New" w:hint="default"/>
      </w:rPr>
    </w:lvl>
    <w:lvl w:ilvl="8" w:tplc="91E8E9F0">
      <w:start w:val="1"/>
      <w:numFmt w:val="bullet"/>
      <w:lvlText w:val=""/>
      <w:lvlJc w:val="left"/>
      <w:pPr>
        <w:ind w:left="6480" w:hanging="360"/>
      </w:pPr>
      <w:rPr>
        <w:rFonts w:ascii="Wingdings" w:hAnsi="Wingdings" w:hint="default"/>
      </w:rPr>
    </w:lvl>
  </w:abstractNum>
  <w:abstractNum w:abstractNumId="12" w15:restartNumberingAfterBreak="0">
    <w:nsid w:val="77E60B80"/>
    <w:multiLevelType w:val="multilevel"/>
    <w:tmpl w:val="C4F80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6"/>
  </w:num>
  <w:num w:numId="5">
    <w:abstractNumId w:val="3"/>
  </w:num>
  <w:num w:numId="6">
    <w:abstractNumId w:val="10"/>
  </w:num>
  <w:num w:numId="7">
    <w:abstractNumId w:val="2"/>
  </w:num>
  <w:num w:numId="8">
    <w:abstractNumId w:val="11"/>
  </w:num>
  <w:num w:numId="9">
    <w:abstractNumId w:val="9"/>
  </w:num>
  <w:num w:numId="10">
    <w:abstractNumId w:val="4"/>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51"/>
    <w:rsid w:val="000219C7"/>
    <w:rsid w:val="00035845"/>
    <w:rsid w:val="00036F92"/>
    <w:rsid w:val="000422FB"/>
    <w:rsid w:val="00043A1C"/>
    <w:rsid w:val="0004709B"/>
    <w:rsid w:val="0005596C"/>
    <w:rsid w:val="00066DAC"/>
    <w:rsid w:val="00070193"/>
    <w:rsid w:val="00070A3D"/>
    <w:rsid w:val="000716B6"/>
    <w:rsid w:val="0007189D"/>
    <w:rsid w:val="00073ACE"/>
    <w:rsid w:val="00084B79"/>
    <w:rsid w:val="00090F4E"/>
    <w:rsid w:val="00090F58"/>
    <w:rsid w:val="000931FF"/>
    <w:rsid w:val="00093A99"/>
    <w:rsid w:val="00096C1F"/>
    <w:rsid w:val="000A50A7"/>
    <w:rsid w:val="000A674A"/>
    <w:rsid w:val="000B010F"/>
    <w:rsid w:val="000B19BB"/>
    <w:rsid w:val="000D12F1"/>
    <w:rsid w:val="000D69EE"/>
    <w:rsid w:val="000E19AA"/>
    <w:rsid w:val="00153420"/>
    <w:rsid w:val="001535AD"/>
    <w:rsid w:val="00154465"/>
    <w:rsid w:val="00157435"/>
    <w:rsid w:val="00163DA0"/>
    <w:rsid w:val="00170115"/>
    <w:rsid w:val="00181728"/>
    <w:rsid w:val="001B2108"/>
    <w:rsid w:val="001C7E01"/>
    <w:rsid w:val="001D2CD5"/>
    <w:rsid w:val="001D2D12"/>
    <w:rsid w:val="001D4D88"/>
    <w:rsid w:val="00204376"/>
    <w:rsid w:val="002165AA"/>
    <w:rsid w:val="00234611"/>
    <w:rsid w:val="00242D2A"/>
    <w:rsid w:val="00251FDC"/>
    <w:rsid w:val="0025394B"/>
    <w:rsid w:val="002557AF"/>
    <w:rsid w:val="00267600"/>
    <w:rsid w:val="002716BB"/>
    <w:rsid w:val="00273B79"/>
    <w:rsid w:val="00275FB8"/>
    <w:rsid w:val="00297542"/>
    <w:rsid w:val="002A255A"/>
    <w:rsid w:val="002A3A8E"/>
    <w:rsid w:val="002A41EC"/>
    <w:rsid w:val="002B37BB"/>
    <w:rsid w:val="002B5EC0"/>
    <w:rsid w:val="002D0CDB"/>
    <w:rsid w:val="00302506"/>
    <w:rsid w:val="00341D42"/>
    <w:rsid w:val="00345DD5"/>
    <w:rsid w:val="0034700C"/>
    <w:rsid w:val="003501A8"/>
    <w:rsid w:val="00362121"/>
    <w:rsid w:val="00371A3B"/>
    <w:rsid w:val="00376365"/>
    <w:rsid w:val="00390C66"/>
    <w:rsid w:val="00395124"/>
    <w:rsid w:val="003A5981"/>
    <w:rsid w:val="003B1DB6"/>
    <w:rsid w:val="003B4F70"/>
    <w:rsid w:val="003B6283"/>
    <w:rsid w:val="003B705E"/>
    <w:rsid w:val="003D5FD8"/>
    <w:rsid w:val="003E7E2A"/>
    <w:rsid w:val="003F5B5E"/>
    <w:rsid w:val="004015C9"/>
    <w:rsid w:val="004100F4"/>
    <w:rsid w:val="004230AE"/>
    <w:rsid w:val="00424C1D"/>
    <w:rsid w:val="00434388"/>
    <w:rsid w:val="00434BB4"/>
    <w:rsid w:val="00442A67"/>
    <w:rsid w:val="0047490C"/>
    <w:rsid w:val="00490551"/>
    <w:rsid w:val="00490A96"/>
    <w:rsid w:val="004B52CA"/>
    <w:rsid w:val="004C492B"/>
    <w:rsid w:val="004F20F1"/>
    <w:rsid w:val="004F3A32"/>
    <w:rsid w:val="005120D9"/>
    <w:rsid w:val="0051725B"/>
    <w:rsid w:val="005218CD"/>
    <w:rsid w:val="00535C37"/>
    <w:rsid w:val="005432AA"/>
    <w:rsid w:val="005504A6"/>
    <w:rsid w:val="005567A5"/>
    <w:rsid w:val="00560D38"/>
    <w:rsid w:val="00566EE4"/>
    <w:rsid w:val="00567A46"/>
    <w:rsid w:val="0057454E"/>
    <w:rsid w:val="005952D3"/>
    <w:rsid w:val="005A6D6C"/>
    <w:rsid w:val="005C033A"/>
    <w:rsid w:val="005C46DB"/>
    <w:rsid w:val="005E2A88"/>
    <w:rsid w:val="005F4E51"/>
    <w:rsid w:val="00602C96"/>
    <w:rsid w:val="006C08DB"/>
    <w:rsid w:val="006C726B"/>
    <w:rsid w:val="006E0421"/>
    <w:rsid w:val="006E052F"/>
    <w:rsid w:val="006F7D7A"/>
    <w:rsid w:val="007214E6"/>
    <w:rsid w:val="007478E1"/>
    <w:rsid w:val="0076135C"/>
    <w:rsid w:val="00771464"/>
    <w:rsid w:val="0078088D"/>
    <w:rsid w:val="00783BDB"/>
    <w:rsid w:val="00784407"/>
    <w:rsid w:val="007942DC"/>
    <w:rsid w:val="00794D57"/>
    <w:rsid w:val="007D2AAD"/>
    <w:rsid w:val="007D6442"/>
    <w:rsid w:val="007D6881"/>
    <w:rsid w:val="00811DF0"/>
    <w:rsid w:val="008207D0"/>
    <w:rsid w:val="00846B43"/>
    <w:rsid w:val="00856578"/>
    <w:rsid w:val="00861CB2"/>
    <w:rsid w:val="00870463"/>
    <w:rsid w:val="008721DC"/>
    <w:rsid w:val="008A6788"/>
    <w:rsid w:val="008B7ED0"/>
    <w:rsid w:val="008C10E5"/>
    <w:rsid w:val="008C71A0"/>
    <w:rsid w:val="008D6485"/>
    <w:rsid w:val="008F07D4"/>
    <w:rsid w:val="00905D6B"/>
    <w:rsid w:val="00915902"/>
    <w:rsid w:val="0094335E"/>
    <w:rsid w:val="009442DB"/>
    <w:rsid w:val="0094521D"/>
    <w:rsid w:val="00946D5B"/>
    <w:rsid w:val="00970D1E"/>
    <w:rsid w:val="009819AC"/>
    <w:rsid w:val="00984D6C"/>
    <w:rsid w:val="00985250"/>
    <w:rsid w:val="00986881"/>
    <w:rsid w:val="009874E7"/>
    <w:rsid w:val="00992851"/>
    <w:rsid w:val="009A1A30"/>
    <w:rsid w:val="009C63E7"/>
    <w:rsid w:val="009D7AEA"/>
    <w:rsid w:val="009F36F1"/>
    <w:rsid w:val="00A000F0"/>
    <w:rsid w:val="00A106B7"/>
    <w:rsid w:val="00A13C8B"/>
    <w:rsid w:val="00A1437F"/>
    <w:rsid w:val="00A21199"/>
    <w:rsid w:val="00A21A36"/>
    <w:rsid w:val="00A329B5"/>
    <w:rsid w:val="00A34145"/>
    <w:rsid w:val="00A4677A"/>
    <w:rsid w:val="00A52880"/>
    <w:rsid w:val="00A573EA"/>
    <w:rsid w:val="00A72B86"/>
    <w:rsid w:val="00A91C26"/>
    <w:rsid w:val="00A94390"/>
    <w:rsid w:val="00AC0468"/>
    <w:rsid w:val="00AF7426"/>
    <w:rsid w:val="00B0384A"/>
    <w:rsid w:val="00B05EB5"/>
    <w:rsid w:val="00B066B2"/>
    <w:rsid w:val="00B12180"/>
    <w:rsid w:val="00B15116"/>
    <w:rsid w:val="00B30BAB"/>
    <w:rsid w:val="00B40864"/>
    <w:rsid w:val="00B43AF2"/>
    <w:rsid w:val="00B44FBE"/>
    <w:rsid w:val="00B461F1"/>
    <w:rsid w:val="00B523C6"/>
    <w:rsid w:val="00B977EC"/>
    <w:rsid w:val="00BA5A20"/>
    <w:rsid w:val="00BE0F5C"/>
    <w:rsid w:val="00BE2A55"/>
    <w:rsid w:val="00BE751C"/>
    <w:rsid w:val="00C14654"/>
    <w:rsid w:val="00C2681F"/>
    <w:rsid w:val="00C47B16"/>
    <w:rsid w:val="00C53AB7"/>
    <w:rsid w:val="00C71489"/>
    <w:rsid w:val="00C76348"/>
    <w:rsid w:val="00CC38E8"/>
    <w:rsid w:val="00D03C15"/>
    <w:rsid w:val="00D04180"/>
    <w:rsid w:val="00D04AAF"/>
    <w:rsid w:val="00D20F91"/>
    <w:rsid w:val="00D3577B"/>
    <w:rsid w:val="00D51036"/>
    <w:rsid w:val="00D72040"/>
    <w:rsid w:val="00D81C21"/>
    <w:rsid w:val="00D86168"/>
    <w:rsid w:val="00D93926"/>
    <w:rsid w:val="00DA2D89"/>
    <w:rsid w:val="00DB5126"/>
    <w:rsid w:val="00DC109F"/>
    <w:rsid w:val="00DD58C6"/>
    <w:rsid w:val="00DF048A"/>
    <w:rsid w:val="00DF302A"/>
    <w:rsid w:val="00DF4519"/>
    <w:rsid w:val="00DF4F8D"/>
    <w:rsid w:val="00DF6162"/>
    <w:rsid w:val="00E32107"/>
    <w:rsid w:val="00E34A27"/>
    <w:rsid w:val="00E3659E"/>
    <w:rsid w:val="00E36F55"/>
    <w:rsid w:val="00E53D97"/>
    <w:rsid w:val="00E7609A"/>
    <w:rsid w:val="00E81DE8"/>
    <w:rsid w:val="00E93C74"/>
    <w:rsid w:val="00E93D6E"/>
    <w:rsid w:val="00E95970"/>
    <w:rsid w:val="00EA4A73"/>
    <w:rsid w:val="00ED1728"/>
    <w:rsid w:val="00ED6E28"/>
    <w:rsid w:val="00EF2050"/>
    <w:rsid w:val="00F30E77"/>
    <w:rsid w:val="00F34F9D"/>
    <w:rsid w:val="00F351CA"/>
    <w:rsid w:val="00F41CBD"/>
    <w:rsid w:val="00F8669A"/>
    <w:rsid w:val="00FC522A"/>
    <w:rsid w:val="00FD0D93"/>
    <w:rsid w:val="00FF1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D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51"/>
    <w:pPr>
      <w:ind w:left="720"/>
      <w:contextualSpacing/>
    </w:pPr>
  </w:style>
  <w:style w:type="character" w:styleId="CommentReference">
    <w:name w:val="annotation reference"/>
    <w:basedOn w:val="DefaultParagraphFont"/>
    <w:uiPriority w:val="99"/>
    <w:semiHidden/>
    <w:unhideWhenUsed/>
    <w:rsid w:val="005F4E51"/>
    <w:rPr>
      <w:sz w:val="16"/>
      <w:szCs w:val="16"/>
    </w:rPr>
  </w:style>
  <w:style w:type="paragraph" w:styleId="CommentText">
    <w:name w:val="annotation text"/>
    <w:basedOn w:val="Normal"/>
    <w:link w:val="CommentTextChar"/>
    <w:uiPriority w:val="99"/>
    <w:unhideWhenUsed/>
    <w:rsid w:val="005F4E51"/>
    <w:pPr>
      <w:spacing w:line="240" w:lineRule="auto"/>
    </w:pPr>
    <w:rPr>
      <w:sz w:val="20"/>
      <w:szCs w:val="20"/>
    </w:rPr>
  </w:style>
  <w:style w:type="character" w:customStyle="1" w:styleId="CommentTextChar">
    <w:name w:val="Comment Text Char"/>
    <w:basedOn w:val="DefaultParagraphFont"/>
    <w:link w:val="CommentText"/>
    <w:uiPriority w:val="99"/>
    <w:rsid w:val="005F4E51"/>
    <w:rPr>
      <w:sz w:val="20"/>
      <w:szCs w:val="20"/>
    </w:rPr>
  </w:style>
  <w:style w:type="paragraph" w:styleId="Header">
    <w:name w:val="header"/>
    <w:basedOn w:val="Normal"/>
    <w:link w:val="HeaderChar"/>
    <w:uiPriority w:val="99"/>
    <w:unhideWhenUsed/>
    <w:rsid w:val="0037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365"/>
  </w:style>
  <w:style w:type="paragraph" w:styleId="Footer">
    <w:name w:val="footer"/>
    <w:basedOn w:val="Normal"/>
    <w:link w:val="FooterChar"/>
    <w:uiPriority w:val="99"/>
    <w:unhideWhenUsed/>
    <w:rsid w:val="0037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365"/>
  </w:style>
  <w:style w:type="table" w:styleId="TableGrid">
    <w:name w:val="Table Grid"/>
    <w:basedOn w:val="TableNormal"/>
    <w:uiPriority w:val="39"/>
    <w:rsid w:val="0079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E2A88"/>
    <w:rPr>
      <w:b/>
      <w:bCs/>
    </w:rPr>
  </w:style>
  <w:style w:type="character" w:customStyle="1" w:styleId="CommentSubjectChar">
    <w:name w:val="Comment Subject Char"/>
    <w:basedOn w:val="CommentTextChar"/>
    <w:link w:val="CommentSubject"/>
    <w:uiPriority w:val="99"/>
    <w:semiHidden/>
    <w:rsid w:val="005E2A88"/>
    <w:rPr>
      <w:b/>
      <w:bCs/>
      <w:sz w:val="20"/>
      <w:szCs w:val="20"/>
    </w:rPr>
  </w:style>
  <w:style w:type="character" w:styleId="Hyperlink">
    <w:name w:val="Hyperlink"/>
    <w:basedOn w:val="DefaultParagraphFont"/>
    <w:uiPriority w:val="99"/>
    <w:semiHidden/>
    <w:unhideWhenUsed/>
    <w:rsid w:val="007D6881"/>
    <w:rPr>
      <w:color w:val="0563C1"/>
      <w:u w:val="single"/>
    </w:rPr>
  </w:style>
  <w:style w:type="paragraph" w:styleId="Revision">
    <w:name w:val="Revision"/>
    <w:hidden/>
    <w:uiPriority w:val="99"/>
    <w:semiHidden/>
    <w:rsid w:val="00784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88364">
      <w:bodyDiv w:val="1"/>
      <w:marLeft w:val="0"/>
      <w:marRight w:val="0"/>
      <w:marTop w:val="0"/>
      <w:marBottom w:val="0"/>
      <w:divBdr>
        <w:top w:val="none" w:sz="0" w:space="0" w:color="auto"/>
        <w:left w:val="none" w:sz="0" w:space="0" w:color="auto"/>
        <w:bottom w:val="none" w:sz="0" w:space="0" w:color="auto"/>
        <w:right w:val="none" w:sz="0" w:space="0" w:color="auto"/>
      </w:divBdr>
    </w:div>
    <w:div w:id="17500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6096-E29B-4842-B8CC-04D4087F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3137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ANNEX B 1.3: Mechanism to Identify and Address Non-Tariff Barriers (NTBs)</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1.3: Mechanism to Identify and Address Non-Tariff Barriers (NTBs)</dc:title>
  <dc:subject/>
  <dc:creator/>
  <cp:keywords>[SEC=OFFICIAL]</cp:keywords>
  <dc:description/>
  <cp:lastModifiedBy/>
  <cp:revision>1</cp:revision>
  <dcterms:created xsi:type="dcterms:W3CDTF">2022-10-14T05:28:00Z</dcterms:created>
  <dcterms:modified xsi:type="dcterms:W3CDTF">2022-10-16T21:45:00Z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MSIP_Label_c477f0d0-1a40-415d-b130-8b40a41c8c21_ActionId">
    <vt:lpwstr>796d2694-d3fa-4643-b0d4-9c86e4ea6c86</vt:lpwstr>
  </property>
  <property fmtid="{D5CDD505-2E9C-101B-9397-08002B2CF9AE}" pid="4" name="PM_ProtectiveMarkingImage_Header">
    <vt:lpwstr>C:\Program Files (x86)\Common Files\janusNET Shared\janusSEAL\Images\DocumentSlashBlue.png</vt:lpwstr>
  </property>
  <property fmtid="{D5CDD505-2E9C-101B-9397-08002B2CF9AE}" pid="5" name="PM_SecurityClassification">
    <vt:lpwstr>OFFICIAL</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or_Hash_SHA1">
    <vt:lpwstr>D9F6E5C82DFAF7AB6E3D596D48DD43C72EDFDAB4</vt:lpwstr>
  </property>
  <property fmtid="{D5CDD505-2E9C-101B-9397-08002B2CF9AE}" pid="10" name="PM_Originating_FileId">
    <vt:lpwstr>CF0570168E3A434DACE88781A77F1AFC</vt:lpwstr>
  </property>
  <property fmtid="{D5CDD505-2E9C-101B-9397-08002B2CF9AE}" pid="11" name="PM_ProtectiveMarkingValue_Footer">
    <vt:lpwstr>OFFICIAL</vt:lpwstr>
  </property>
  <property fmtid="{D5CDD505-2E9C-101B-9397-08002B2CF9AE}" pid="12" name="PM_ProtectiveMarkingValue_Header">
    <vt:lpwstr>OFFICIAL</vt:lpwstr>
  </property>
  <property fmtid="{D5CDD505-2E9C-101B-9397-08002B2CF9AE}" pid="13" name="PM_OriginationTimeStamp">
    <vt:lpwstr>2022-10-16T21:45:12Z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887C05575AA1FF57BD6DE3CECF6E4A2C</vt:lpwstr>
  </property>
  <property fmtid="{D5CDD505-2E9C-101B-9397-08002B2CF9AE}" pid="21" name="MSIP_Label_c477f0d0-1a40-415d-b130-8b40a41c8c21_Name">
    <vt:lpwstr>Sensitive Normal_3</vt:lpwstr>
  </property>
  <property fmtid="{D5CDD505-2E9C-101B-9397-08002B2CF9AE}" pid="22" name="PM_Hash_Salt">
    <vt:lpwstr>EBD427EE627F92D716E5462B7A650CB3</vt:lpwstr>
  </property>
  <property fmtid="{D5CDD505-2E9C-101B-9397-08002B2CF9AE}" pid="23" name="MSIP_Label_c477f0d0-1a40-415d-b130-8b40a41c8c21_SetDate">
    <vt:lpwstr>2022-10-08T16:44:02Z</vt:lpwstr>
  </property>
  <property fmtid="{D5CDD505-2E9C-101B-9397-08002B2CF9AE}" pid="24" name="PM_Hash_SHA1">
    <vt:lpwstr>E640F1E799DC2DD620546496B1EF4BD03272EAC7</vt:lpwstr>
  </property>
  <property fmtid="{D5CDD505-2E9C-101B-9397-08002B2CF9AE}" pid="25" name="MSIP_Label_c477f0d0-1a40-415d-b130-8b40a41c8c21_SiteId">
    <vt:lpwstr>0b11c524-9a1c-4e1b-84cb-6336aefc2243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SIP_Label_c477f0d0-1a40-415d-b130-8b40a41c8c21_Enabled">
    <vt:lpwstr>true</vt:lpwstr>
  </property>
  <property fmtid="{D5CDD505-2E9C-101B-9397-08002B2CF9AE}" pid="29" name="MSIP_Label_c477f0d0-1a40-415d-b130-8b40a41c8c21_Method">
    <vt:lpwstr>Privileged</vt:lpwstr>
  </property>
  <property fmtid="{D5CDD505-2E9C-101B-9397-08002B2CF9AE}" pid="30" name="MSIP_Label_c477f0d0-1a40-415d-b130-8b40a41c8c21_ContentBits">
    <vt:lpwstr>0</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OriginatorUserAccountName_SHA256">
    <vt:lpwstr>3E9DB5AB808CA91EB3E8EC398CDB7F67B110581D6BB28BC88565729DCE387350</vt:lpwstr>
  </property>
  <property fmtid="{D5CDD505-2E9C-101B-9397-08002B2CF9AE}" pid="35" name="PM_OriginatorDomainName_SHA256">
    <vt:lpwstr>6F3591835F3B2A8A025B00B5BA6418010DA3A17C9C26EA9C049FFD28039489A2</vt:lpwstr>
  </property>
</Properties>
</file>