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72" w:rsidRPr="00C92429" w:rsidRDefault="007F1F9D" w:rsidP="009A7972">
      <w:pPr>
        <w:rPr>
          <w:rFonts w:cs="Arial"/>
          <w:b/>
          <w:sz w:val="20"/>
        </w:rPr>
      </w:pPr>
      <w:r w:rsidRPr="00C92429">
        <w:rPr>
          <w:rFonts w:cs="Arial"/>
          <w:b/>
          <w:sz w:val="20"/>
        </w:rPr>
        <w:t>Projects Financed by G</w:t>
      </w:r>
      <w:r w:rsidR="00EF64D2" w:rsidRPr="00C92429">
        <w:rPr>
          <w:rFonts w:cs="Arial"/>
          <w:b/>
          <w:sz w:val="20"/>
        </w:rPr>
        <w:t>ender and Development Cooperation Fund (GDCF) – AusAID Window</w:t>
      </w:r>
    </w:p>
    <w:p w:rsidR="007F1F9D" w:rsidRPr="00C92429" w:rsidRDefault="007F1F9D" w:rsidP="009A7972">
      <w:pPr>
        <w:rPr>
          <w:rFonts w:cs="Arial"/>
          <w:b/>
          <w:i/>
          <w:sz w:val="20"/>
        </w:rPr>
      </w:pPr>
      <w:r w:rsidRPr="00C92429">
        <w:rPr>
          <w:rFonts w:cs="Arial"/>
          <w:b/>
          <w:i/>
          <w:sz w:val="20"/>
        </w:rPr>
        <w:t xml:space="preserve">As of </w:t>
      </w:r>
      <w:r w:rsidR="00F75ECC" w:rsidRPr="00C92429">
        <w:rPr>
          <w:rFonts w:cs="Arial"/>
          <w:b/>
          <w:i/>
          <w:sz w:val="20"/>
        </w:rPr>
        <w:t>3</w:t>
      </w:r>
      <w:r w:rsidR="00DA46BA">
        <w:rPr>
          <w:rFonts w:cs="Arial"/>
          <w:b/>
          <w:i/>
          <w:sz w:val="20"/>
        </w:rPr>
        <w:t>0 November</w:t>
      </w:r>
      <w:r w:rsidR="00F75ECC" w:rsidRPr="00C92429">
        <w:rPr>
          <w:rFonts w:cs="Arial"/>
          <w:b/>
          <w:i/>
          <w:sz w:val="20"/>
        </w:rPr>
        <w:t xml:space="preserve"> </w:t>
      </w:r>
      <w:r w:rsidRPr="00C92429">
        <w:rPr>
          <w:rFonts w:cs="Arial"/>
          <w:b/>
          <w:i/>
          <w:sz w:val="20"/>
        </w:rPr>
        <w:t>201</w:t>
      </w:r>
      <w:r w:rsidR="00F75ECC" w:rsidRPr="00C92429">
        <w:rPr>
          <w:rFonts w:cs="Arial"/>
          <w:b/>
          <w:i/>
          <w:sz w:val="20"/>
        </w:rPr>
        <w:t>2</w:t>
      </w:r>
    </w:p>
    <w:p w:rsidR="007F1F9D" w:rsidRPr="00C92429" w:rsidRDefault="007F1F9D" w:rsidP="009A7972">
      <w:pPr>
        <w:rPr>
          <w:rFonts w:cs="Arial"/>
          <w:sz w:val="20"/>
        </w:rPr>
      </w:pPr>
    </w:p>
    <w:tbl>
      <w:tblPr>
        <w:tblStyle w:val="TableGrid"/>
        <w:tblW w:w="18288" w:type="dxa"/>
        <w:tblLayout w:type="fixed"/>
        <w:tblLook w:val="04A0" w:firstRow="1" w:lastRow="0" w:firstColumn="1" w:lastColumn="0" w:noHBand="0" w:noVBand="1"/>
      </w:tblPr>
      <w:tblGrid>
        <w:gridCol w:w="648"/>
        <w:gridCol w:w="720"/>
        <w:gridCol w:w="2610"/>
        <w:gridCol w:w="990"/>
        <w:gridCol w:w="1260"/>
        <w:gridCol w:w="1440"/>
        <w:gridCol w:w="2970"/>
        <w:gridCol w:w="3330"/>
        <w:gridCol w:w="4320"/>
      </w:tblGrid>
      <w:tr w:rsidR="00385F7E" w:rsidRPr="00C92429" w:rsidTr="00D0215E">
        <w:trPr>
          <w:tblHeader/>
        </w:trPr>
        <w:tc>
          <w:tcPr>
            <w:tcW w:w="648" w:type="dxa"/>
          </w:tcPr>
          <w:p w:rsidR="00385F7E" w:rsidRPr="00C92429" w:rsidRDefault="00385F7E" w:rsidP="00CA58B1">
            <w:pPr>
              <w:jc w:val="center"/>
              <w:rPr>
                <w:rFonts w:cs="Arial"/>
                <w:b/>
                <w:sz w:val="20"/>
              </w:rPr>
            </w:pPr>
            <w:r w:rsidRPr="00C92429">
              <w:rPr>
                <w:rFonts w:cs="Arial"/>
                <w:b/>
                <w:sz w:val="20"/>
              </w:rPr>
              <w:t>No.</w:t>
            </w:r>
          </w:p>
        </w:tc>
        <w:tc>
          <w:tcPr>
            <w:tcW w:w="720" w:type="dxa"/>
          </w:tcPr>
          <w:p w:rsidR="00385F7E" w:rsidRPr="00C92429" w:rsidRDefault="00385F7E" w:rsidP="00CA58B1">
            <w:pPr>
              <w:jc w:val="center"/>
              <w:rPr>
                <w:rFonts w:cs="Arial"/>
                <w:b/>
                <w:sz w:val="20"/>
              </w:rPr>
            </w:pPr>
            <w:r w:rsidRPr="00C92429">
              <w:rPr>
                <w:rFonts w:cs="Arial"/>
                <w:b/>
                <w:sz w:val="20"/>
              </w:rPr>
              <w:t>DMC</w:t>
            </w:r>
          </w:p>
        </w:tc>
        <w:tc>
          <w:tcPr>
            <w:tcW w:w="2610" w:type="dxa"/>
          </w:tcPr>
          <w:p w:rsidR="00385F7E" w:rsidRPr="00C92429" w:rsidRDefault="00385F7E" w:rsidP="00CA58B1">
            <w:pPr>
              <w:jc w:val="center"/>
              <w:rPr>
                <w:rFonts w:cs="Arial"/>
                <w:b/>
                <w:sz w:val="20"/>
              </w:rPr>
            </w:pPr>
            <w:r w:rsidRPr="00C92429">
              <w:rPr>
                <w:rFonts w:cs="Arial"/>
                <w:b/>
                <w:sz w:val="20"/>
              </w:rPr>
              <w:t>Project Title</w:t>
            </w:r>
          </w:p>
        </w:tc>
        <w:tc>
          <w:tcPr>
            <w:tcW w:w="990" w:type="dxa"/>
          </w:tcPr>
          <w:p w:rsidR="00385F7E" w:rsidRPr="00C92429" w:rsidRDefault="00385F7E" w:rsidP="00CA58B1">
            <w:pPr>
              <w:jc w:val="center"/>
              <w:rPr>
                <w:rFonts w:cs="Arial"/>
                <w:b/>
                <w:sz w:val="20"/>
              </w:rPr>
            </w:pPr>
            <w:r w:rsidRPr="00C92429">
              <w:rPr>
                <w:rFonts w:cs="Arial"/>
                <w:b/>
                <w:sz w:val="20"/>
              </w:rPr>
              <w:t>GDCF Amount</w:t>
            </w:r>
          </w:p>
        </w:tc>
        <w:tc>
          <w:tcPr>
            <w:tcW w:w="1260" w:type="dxa"/>
          </w:tcPr>
          <w:p w:rsidR="00385F7E" w:rsidRPr="00C92429" w:rsidRDefault="00385F7E" w:rsidP="00385F7E">
            <w:pPr>
              <w:jc w:val="center"/>
              <w:rPr>
                <w:rFonts w:cs="Arial"/>
                <w:b/>
                <w:sz w:val="20"/>
              </w:rPr>
            </w:pPr>
            <w:r w:rsidRPr="00C92429">
              <w:rPr>
                <w:rFonts w:cs="Arial"/>
                <w:b/>
                <w:sz w:val="20"/>
              </w:rPr>
              <w:t>Amount Disbursed</w:t>
            </w:r>
            <w:r w:rsidR="00AB00A1" w:rsidRPr="00C92429">
              <w:rPr>
                <w:rFonts w:cs="Arial"/>
                <w:b/>
                <w:sz w:val="20"/>
              </w:rPr>
              <w:t xml:space="preserve"> as of 30 Nov 2012</w:t>
            </w:r>
            <w:r w:rsidR="00FD0F04" w:rsidRPr="00FD0F04">
              <w:rPr>
                <w:rFonts w:cs="Arial"/>
                <w:b/>
                <w:sz w:val="20"/>
                <w:vertAlign w:val="superscript"/>
              </w:rPr>
              <w:t>1</w:t>
            </w:r>
          </w:p>
        </w:tc>
        <w:tc>
          <w:tcPr>
            <w:tcW w:w="1440" w:type="dxa"/>
          </w:tcPr>
          <w:p w:rsidR="00385F7E" w:rsidRPr="00C92429" w:rsidRDefault="00385F7E" w:rsidP="00385F7E">
            <w:pPr>
              <w:jc w:val="center"/>
              <w:rPr>
                <w:rFonts w:cs="Arial"/>
                <w:b/>
                <w:sz w:val="20"/>
              </w:rPr>
            </w:pPr>
            <w:r w:rsidRPr="00C92429">
              <w:rPr>
                <w:rFonts w:cs="Arial"/>
                <w:b/>
                <w:sz w:val="20"/>
              </w:rPr>
              <w:t>Projected Disbursement</w:t>
            </w:r>
            <w:r w:rsidR="00AB00A1" w:rsidRPr="00C92429">
              <w:rPr>
                <w:rFonts w:cs="Arial"/>
                <w:b/>
                <w:sz w:val="20"/>
              </w:rPr>
              <w:t>s</w:t>
            </w:r>
            <w:r w:rsidRPr="00C92429">
              <w:rPr>
                <w:rFonts w:cs="Arial"/>
                <w:b/>
                <w:sz w:val="20"/>
              </w:rPr>
              <w:t xml:space="preserve"> 2013</w:t>
            </w:r>
          </w:p>
        </w:tc>
        <w:tc>
          <w:tcPr>
            <w:tcW w:w="2970" w:type="dxa"/>
          </w:tcPr>
          <w:p w:rsidR="00385F7E" w:rsidRPr="00C92429" w:rsidRDefault="00385F7E" w:rsidP="00681278">
            <w:pPr>
              <w:jc w:val="center"/>
              <w:rPr>
                <w:rFonts w:cs="Arial"/>
                <w:b/>
                <w:sz w:val="20"/>
              </w:rPr>
            </w:pPr>
            <w:r w:rsidRPr="00C92429">
              <w:rPr>
                <w:rFonts w:cs="Arial"/>
                <w:b/>
                <w:sz w:val="20"/>
              </w:rPr>
              <w:t xml:space="preserve">Rationale </w:t>
            </w:r>
          </w:p>
        </w:tc>
        <w:tc>
          <w:tcPr>
            <w:tcW w:w="3330" w:type="dxa"/>
          </w:tcPr>
          <w:p w:rsidR="00385F7E" w:rsidRPr="00C92429" w:rsidRDefault="00385F7E" w:rsidP="001342B5">
            <w:pPr>
              <w:jc w:val="center"/>
              <w:rPr>
                <w:rFonts w:cs="Arial"/>
                <w:b/>
                <w:sz w:val="20"/>
              </w:rPr>
            </w:pPr>
            <w:r w:rsidRPr="00C92429">
              <w:rPr>
                <w:rFonts w:cs="Arial"/>
                <w:b/>
                <w:sz w:val="20"/>
              </w:rPr>
              <w:t>Outcome, Outputs and Duration</w:t>
            </w:r>
          </w:p>
        </w:tc>
        <w:tc>
          <w:tcPr>
            <w:tcW w:w="4320" w:type="dxa"/>
          </w:tcPr>
          <w:p w:rsidR="00385F7E" w:rsidRPr="00C92429" w:rsidRDefault="00385F7E" w:rsidP="00CA58B1">
            <w:pPr>
              <w:jc w:val="center"/>
              <w:rPr>
                <w:rFonts w:cs="Arial"/>
                <w:b/>
                <w:sz w:val="20"/>
              </w:rPr>
            </w:pPr>
            <w:r w:rsidRPr="00C92429">
              <w:rPr>
                <w:rFonts w:cs="Arial"/>
                <w:b/>
                <w:sz w:val="20"/>
              </w:rPr>
              <w:t>Project Status &amp; Result To Date</w:t>
            </w:r>
          </w:p>
        </w:tc>
      </w:tr>
      <w:tr w:rsidR="00385F7E" w:rsidRPr="00C92429" w:rsidTr="00D0215E">
        <w:trPr>
          <w:trHeight w:val="2276"/>
        </w:trPr>
        <w:tc>
          <w:tcPr>
            <w:tcW w:w="648" w:type="dxa"/>
          </w:tcPr>
          <w:p w:rsidR="00385F7E" w:rsidRPr="00C92429" w:rsidRDefault="00385F7E" w:rsidP="007F1F9D">
            <w:pPr>
              <w:jc w:val="center"/>
              <w:rPr>
                <w:rFonts w:cs="Arial"/>
                <w:sz w:val="20"/>
              </w:rPr>
            </w:pPr>
            <w:r w:rsidRPr="00C92429">
              <w:rPr>
                <w:rFonts w:cs="Arial"/>
                <w:sz w:val="20"/>
              </w:rPr>
              <w:t>1</w:t>
            </w:r>
          </w:p>
        </w:tc>
        <w:tc>
          <w:tcPr>
            <w:tcW w:w="720" w:type="dxa"/>
          </w:tcPr>
          <w:p w:rsidR="00385F7E" w:rsidRPr="00C92429" w:rsidRDefault="00385F7E" w:rsidP="009A7972">
            <w:pPr>
              <w:rPr>
                <w:rFonts w:cs="Arial"/>
                <w:sz w:val="20"/>
              </w:rPr>
            </w:pPr>
            <w:r w:rsidRPr="00C92429">
              <w:rPr>
                <w:rFonts w:cs="Arial"/>
                <w:sz w:val="20"/>
              </w:rPr>
              <w:t>CAM</w:t>
            </w:r>
          </w:p>
        </w:tc>
        <w:tc>
          <w:tcPr>
            <w:tcW w:w="2610" w:type="dxa"/>
          </w:tcPr>
          <w:p w:rsidR="00385F7E" w:rsidRPr="00C92429" w:rsidRDefault="00385F7E" w:rsidP="00292583">
            <w:pPr>
              <w:jc w:val="left"/>
              <w:rPr>
                <w:rFonts w:cs="Arial"/>
                <w:sz w:val="20"/>
              </w:rPr>
            </w:pPr>
            <w:r w:rsidRPr="00C92429">
              <w:rPr>
                <w:rFonts w:cs="Arial"/>
                <w:sz w:val="20"/>
              </w:rPr>
              <w:t>HIV Peer Educators and Youth Volunteers Along Road 56</w:t>
            </w:r>
          </w:p>
          <w:p w:rsidR="00385F7E" w:rsidRPr="00C92429" w:rsidRDefault="00385F7E" w:rsidP="00292583">
            <w:pPr>
              <w:jc w:val="left"/>
              <w:rPr>
                <w:rFonts w:cs="Arial"/>
                <w:sz w:val="20"/>
              </w:rPr>
            </w:pPr>
          </w:p>
          <w:p w:rsidR="00385F7E" w:rsidRPr="00C92429" w:rsidRDefault="00385F7E" w:rsidP="00292583">
            <w:pPr>
              <w:jc w:val="left"/>
              <w:rPr>
                <w:rFonts w:cs="Arial"/>
                <w:sz w:val="20"/>
              </w:rPr>
            </w:pPr>
            <w:r w:rsidRPr="00C92429">
              <w:rPr>
                <w:rFonts w:cs="Arial"/>
                <w:sz w:val="20"/>
              </w:rPr>
              <w:t>Project Officer: E. Masaki</w:t>
            </w:r>
          </w:p>
          <w:p w:rsidR="00385F7E" w:rsidRDefault="00385F7E" w:rsidP="00292583">
            <w:pPr>
              <w:jc w:val="left"/>
              <w:rPr>
                <w:rFonts w:cs="Arial"/>
                <w:sz w:val="20"/>
              </w:rPr>
            </w:pPr>
            <w:r w:rsidRPr="00C92429">
              <w:rPr>
                <w:rFonts w:cs="Arial"/>
                <w:sz w:val="20"/>
              </w:rPr>
              <w:t>Dept: SERD (Southeast Asia Department)</w:t>
            </w:r>
          </w:p>
          <w:p w:rsidR="00D0215E" w:rsidRDefault="00D0215E" w:rsidP="00292583">
            <w:pPr>
              <w:jc w:val="left"/>
              <w:rPr>
                <w:rFonts w:cs="Arial"/>
                <w:sz w:val="20"/>
              </w:rPr>
            </w:pPr>
          </w:p>
          <w:p w:rsidR="00D0215E" w:rsidRDefault="00D0215E" w:rsidP="00D0215E">
            <w:pPr>
              <w:jc w:val="left"/>
              <w:rPr>
                <w:rFonts w:cs="Arial"/>
                <w:sz w:val="20"/>
              </w:rPr>
            </w:pPr>
            <w:r>
              <w:rPr>
                <w:rFonts w:cs="Arial"/>
                <w:sz w:val="20"/>
              </w:rPr>
              <w:t xml:space="preserve">Approval: </w:t>
            </w:r>
            <w:r w:rsidR="001203B5">
              <w:rPr>
                <w:rFonts w:cs="Arial"/>
                <w:sz w:val="20"/>
              </w:rPr>
              <w:t>30 Nov 2011</w:t>
            </w:r>
          </w:p>
          <w:p w:rsidR="001203B5" w:rsidRPr="00C92429" w:rsidRDefault="00D0215E" w:rsidP="00023661">
            <w:pPr>
              <w:jc w:val="left"/>
              <w:rPr>
                <w:rFonts w:cs="Arial"/>
                <w:sz w:val="20"/>
              </w:rPr>
            </w:pPr>
            <w:r>
              <w:rPr>
                <w:rFonts w:cs="Arial"/>
                <w:sz w:val="20"/>
              </w:rPr>
              <w:t>C</w:t>
            </w:r>
            <w:r w:rsidR="00023661">
              <w:rPr>
                <w:rFonts w:cs="Arial"/>
                <w:sz w:val="20"/>
              </w:rPr>
              <w:t>ompletion</w:t>
            </w:r>
            <w:r>
              <w:rPr>
                <w:rFonts w:cs="Arial"/>
                <w:sz w:val="20"/>
              </w:rPr>
              <w:t xml:space="preserve">: </w:t>
            </w:r>
            <w:r w:rsidR="001203B5">
              <w:rPr>
                <w:rFonts w:cs="Arial"/>
                <w:sz w:val="20"/>
              </w:rPr>
              <w:t xml:space="preserve"> </w:t>
            </w:r>
            <w:r>
              <w:rPr>
                <w:rFonts w:cs="Arial"/>
                <w:sz w:val="20"/>
              </w:rPr>
              <w:t xml:space="preserve">31 January </w:t>
            </w:r>
            <w:r w:rsidR="001203B5">
              <w:rPr>
                <w:rFonts w:cs="Arial"/>
                <w:sz w:val="20"/>
              </w:rPr>
              <w:t>2013</w:t>
            </w:r>
          </w:p>
        </w:tc>
        <w:tc>
          <w:tcPr>
            <w:tcW w:w="990" w:type="dxa"/>
          </w:tcPr>
          <w:p w:rsidR="00385F7E" w:rsidRPr="00C92429" w:rsidRDefault="00385F7E" w:rsidP="00D62ADD">
            <w:pPr>
              <w:jc w:val="center"/>
              <w:rPr>
                <w:rFonts w:cs="Arial"/>
                <w:sz w:val="20"/>
              </w:rPr>
            </w:pPr>
            <w:r w:rsidRPr="00C92429">
              <w:rPr>
                <w:rFonts w:cs="Arial"/>
                <w:sz w:val="20"/>
              </w:rPr>
              <w:t>40,000</w:t>
            </w:r>
          </w:p>
        </w:tc>
        <w:tc>
          <w:tcPr>
            <w:tcW w:w="1260" w:type="dxa"/>
          </w:tcPr>
          <w:p w:rsidR="00385F7E" w:rsidRPr="00C92429" w:rsidRDefault="00385F7E" w:rsidP="00385F7E">
            <w:pPr>
              <w:jc w:val="right"/>
              <w:rPr>
                <w:rFonts w:cs="Arial"/>
                <w:bCs/>
                <w:color w:val="000000"/>
                <w:sz w:val="20"/>
              </w:rPr>
            </w:pPr>
            <w:r w:rsidRPr="00C92429">
              <w:rPr>
                <w:rFonts w:cs="Arial"/>
                <w:bCs/>
                <w:color w:val="000000"/>
                <w:sz w:val="20"/>
              </w:rPr>
              <w:t>34,970</w:t>
            </w:r>
          </w:p>
          <w:p w:rsidR="00385F7E" w:rsidRPr="00C92429" w:rsidRDefault="00385F7E" w:rsidP="00B32C57">
            <w:pPr>
              <w:jc w:val="center"/>
              <w:rPr>
                <w:rFonts w:cs="Arial"/>
                <w:bCs/>
                <w:color w:val="000000"/>
                <w:sz w:val="20"/>
              </w:rPr>
            </w:pPr>
          </w:p>
        </w:tc>
        <w:tc>
          <w:tcPr>
            <w:tcW w:w="1440" w:type="dxa"/>
          </w:tcPr>
          <w:p w:rsidR="00BD63D5" w:rsidRDefault="00385F7E" w:rsidP="00385F7E">
            <w:pPr>
              <w:jc w:val="right"/>
              <w:rPr>
                <w:rFonts w:cs="Arial"/>
                <w:sz w:val="20"/>
              </w:rPr>
            </w:pPr>
            <w:r w:rsidRPr="00C92429">
              <w:rPr>
                <w:rFonts w:cs="Arial"/>
                <w:sz w:val="20"/>
              </w:rPr>
              <w:t>5,030</w:t>
            </w:r>
            <w:r w:rsidR="00BD63D5">
              <w:rPr>
                <w:rFonts w:cs="Arial"/>
                <w:sz w:val="20"/>
              </w:rPr>
              <w:t xml:space="preserve"> </w:t>
            </w:r>
          </w:p>
          <w:p w:rsidR="00385F7E" w:rsidRPr="00C92429" w:rsidRDefault="00BD63D5" w:rsidP="00BD63D5">
            <w:pPr>
              <w:jc w:val="right"/>
              <w:rPr>
                <w:rFonts w:cs="Arial"/>
                <w:sz w:val="20"/>
              </w:rPr>
            </w:pPr>
            <w:r>
              <w:rPr>
                <w:rFonts w:cs="Arial"/>
                <w:sz w:val="20"/>
              </w:rPr>
              <w:t>(by end Q1)</w:t>
            </w:r>
          </w:p>
        </w:tc>
        <w:tc>
          <w:tcPr>
            <w:tcW w:w="2970" w:type="dxa"/>
          </w:tcPr>
          <w:p w:rsidR="00385F7E" w:rsidRPr="00C92429" w:rsidRDefault="00385F7E" w:rsidP="00922AC6">
            <w:pPr>
              <w:autoSpaceDE w:val="0"/>
              <w:autoSpaceDN w:val="0"/>
              <w:adjustRightInd w:val="0"/>
              <w:spacing w:line="241" w:lineRule="atLeast"/>
              <w:jc w:val="left"/>
              <w:rPr>
                <w:rFonts w:cs="Arial"/>
                <w:sz w:val="20"/>
              </w:rPr>
            </w:pPr>
            <w:r w:rsidRPr="00C92429">
              <w:rPr>
                <w:rFonts w:cs="Arial"/>
                <w:sz w:val="20"/>
              </w:rPr>
              <w:t xml:space="preserve">Under </w:t>
            </w:r>
            <w:r w:rsidR="00922AC6">
              <w:rPr>
                <w:rFonts w:cs="Arial"/>
                <w:sz w:val="20"/>
              </w:rPr>
              <w:t>RE</w:t>
            </w:r>
            <w:r w:rsidRPr="00C92429">
              <w:rPr>
                <w:rFonts w:cs="Arial"/>
                <w:sz w:val="20"/>
              </w:rPr>
              <w:t>TA 6467, a local NGO</w:t>
            </w:r>
            <w:r w:rsidR="00922AC6">
              <w:rPr>
                <w:rFonts w:cs="Arial"/>
                <w:sz w:val="20"/>
              </w:rPr>
              <w:t xml:space="preserve"> - WOMEN</w:t>
            </w:r>
            <w:r w:rsidRPr="00C92429">
              <w:rPr>
                <w:rFonts w:cs="Arial"/>
                <w:sz w:val="20"/>
              </w:rPr>
              <w:t xml:space="preserve"> demonstrated effective delivery of HIV awareness programs using peer education and volunteers, targeting</w:t>
            </w:r>
            <w:r w:rsidRPr="00C92429">
              <w:rPr>
                <w:rFonts w:cs="Arial"/>
                <w:bCs/>
                <w:iCs/>
                <w:sz w:val="20"/>
              </w:rPr>
              <w:t xml:space="preserve"> female entertainment workers (EWs), male clients; and community members in 10 priority villages in Samraong City along NR 65. </w:t>
            </w:r>
            <w:r w:rsidRPr="00C92429">
              <w:rPr>
                <w:rFonts w:cs="Arial"/>
                <w:sz w:val="20"/>
              </w:rPr>
              <w:t xml:space="preserve">This subproject </w:t>
            </w:r>
            <w:r w:rsidR="00922AC6">
              <w:rPr>
                <w:rFonts w:cs="Arial"/>
                <w:sz w:val="20"/>
              </w:rPr>
              <w:t xml:space="preserve">continues and </w:t>
            </w:r>
            <w:r w:rsidRPr="00C92429">
              <w:rPr>
                <w:rFonts w:cs="Arial"/>
                <w:sz w:val="20"/>
              </w:rPr>
              <w:t>scale</w:t>
            </w:r>
            <w:r w:rsidR="00922AC6">
              <w:rPr>
                <w:rFonts w:cs="Arial"/>
                <w:sz w:val="20"/>
              </w:rPr>
              <w:t>s</w:t>
            </w:r>
            <w:r w:rsidRPr="00C92429">
              <w:rPr>
                <w:rFonts w:cs="Arial"/>
                <w:sz w:val="20"/>
              </w:rPr>
              <w:t xml:space="preserve"> up </w:t>
            </w:r>
            <w:r w:rsidR="00FE756C">
              <w:rPr>
                <w:rFonts w:cs="Arial"/>
                <w:sz w:val="20"/>
              </w:rPr>
              <w:t xml:space="preserve">the </w:t>
            </w:r>
            <w:r w:rsidRPr="00C92429">
              <w:rPr>
                <w:rFonts w:cs="Arial"/>
                <w:sz w:val="20"/>
              </w:rPr>
              <w:t xml:space="preserve">outreach activities </w:t>
            </w:r>
            <w:r w:rsidR="00922AC6">
              <w:rPr>
                <w:rFonts w:cs="Arial"/>
                <w:sz w:val="20"/>
              </w:rPr>
              <w:t xml:space="preserve"> t</w:t>
            </w:r>
            <w:r w:rsidRPr="00C92429">
              <w:rPr>
                <w:rFonts w:cs="Arial"/>
                <w:sz w:val="20"/>
              </w:rPr>
              <w:t xml:space="preserve">o </w:t>
            </w:r>
            <w:r w:rsidRPr="00C92429">
              <w:rPr>
                <w:rFonts w:cs="Arial"/>
                <w:bCs/>
                <w:sz w:val="20"/>
              </w:rPr>
              <w:t xml:space="preserve">during construction and post-construction phases </w:t>
            </w:r>
            <w:r w:rsidR="00922AC6">
              <w:rPr>
                <w:rFonts w:cs="Arial"/>
                <w:bCs/>
                <w:sz w:val="20"/>
              </w:rPr>
              <w:t xml:space="preserve">of National Road 65 </w:t>
            </w:r>
            <w:r w:rsidRPr="00C92429">
              <w:rPr>
                <w:rFonts w:cs="Arial"/>
                <w:bCs/>
                <w:sz w:val="20"/>
              </w:rPr>
              <w:t xml:space="preserve">when the risks factors are expected to become </w:t>
            </w:r>
            <w:r w:rsidR="00922AC6">
              <w:rPr>
                <w:rFonts w:cs="Arial"/>
                <w:bCs/>
                <w:sz w:val="20"/>
              </w:rPr>
              <w:t xml:space="preserve">more </w:t>
            </w:r>
            <w:r w:rsidRPr="00C92429">
              <w:rPr>
                <w:rFonts w:cs="Arial"/>
                <w:bCs/>
                <w:sz w:val="20"/>
              </w:rPr>
              <w:t>pronounced.</w:t>
            </w:r>
          </w:p>
        </w:tc>
        <w:tc>
          <w:tcPr>
            <w:tcW w:w="3330" w:type="dxa"/>
          </w:tcPr>
          <w:p w:rsidR="00385F7E" w:rsidRPr="00C92429" w:rsidRDefault="00385F7E" w:rsidP="00681278">
            <w:pPr>
              <w:jc w:val="left"/>
              <w:rPr>
                <w:rFonts w:cs="Arial"/>
                <w:sz w:val="20"/>
              </w:rPr>
            </w:pPr>
            <w:r w:rsidRPr="0024727A">
              <w:rPr>
                <w:rFonts w:cs="Arial"/>
                <w:b/>
                <w:sz w:val="20"/>
              </w:rPr>
              <w:t xml:space="preserve">Outcome: </w:t>
            </w:r>
            <w:r w:rsidR="00FE756C" w:rsidRPr="0024727A">
              <w:rPr>
                <w:rFonts w:cs="Arial"/>
                <w:sz w:val="20"/>
              </w:rPr>
              <w:t>S</w:t>
            </w:r>
            <w:r w:rsidRPr="0024727A">
              <w:rPr>
                <w:rFonts w:cs="Arial"/>
                <w:sz w:val="20"/>
              </w:rPr>
              <w:t>trengthened</w:t>
            </w:r>
            <w:r w:rsidRPr="00C92429">
              <w:rPr>
                <w:rFonts w:cs="Arial"/>
                <w:sz w:val="20"/>
              </w:rPr>
              <w:t xml:space="preserve"> community resilience to HIV and human trafficking vulnerabilities among communities along NR 56 and NR 68 in Oddar Meanchey.</w:t>
            </w:r>
          </w:p>
          <w:p w:rsidR="0024727A" w:rsidRDefault="0024727A" w:rsidP="000F7D7C">
            <w:pPr>
              <w:rPr>
                <w:b/>
                <w:sz w:val="20"/>
              </w:rPr>
            </w:pPr>
          </w:p>
          <w:p w:rsidR="000F7D7C" w:rsidRDefault="000F7D7C" w:rsidP="000F7D7C">
            <w:pPr>
              <w:rPr>
                <w:sz w:val="20"/>
              </w:rPr>
            </w:pPr>
            <w:r w:rsidRPr="00C92429">
              <w:rPr>
                <w:b/>
                <w:sz w:val="20"/>
              </w:rPr>
              <w:t>Output 1.</w:t>
            </w:r>
            <w:r w:rsidRPr="00C92429">
              <w:rPr>
                <w:sz w:val="20"/>
              </w:rPr>
              <w:t xml:space="preserve"> HIV and trafficking vulnerabilities among most at risk population (i.e. </w:t>
            </w:r>
            <w:r w:rsidR="00922AC6">
              <w:rPr>
                <w:sz w:val="20"/>
              </w:rPr>
              <w:t xml:space="preserve">Female </w:t>
            </w:r>
            <w:r w:rsidRPr="00C92429">
              <w:rPr>
                <w:sz w:val="20"/>
              </w:rPr>
              <w:t>E</w:t>
            </w:r>
            <w:r>
              <w:rPr>
                <w:sz w:val="20"/>
              </w:rPr>
              <w:t xml:space="preserve">ntertainment </w:t>
            </w:r>
            <w:r w:rsidRPr="00C92429">
              <w:rPr>
                <w:sz w:val="20"/>
              </w:rPr>
              <w:t>W</w:t>
            </w:r>
            <w:r>
              <w:rPr>
                <w:sz w:val="20"/>
              </w:rPr>
              <w:t>orkers [EW]</w:t>
            </w:r>
            <w:r w:rsidRPr="00C92429">
              <w:rPr>
                <w:sz w:val="20"/>
              </w:rPr>
              <w:t xml:space="preserve">s and </w:t>
            </w:r>
            <w:r>
              <w:rPr>
                <w:sz w:val="20"/>
              </w:rPr>
              <w:t>migrants and mobile populations [</w:t>
            </w:r>
            <w:r w:rsidRPr="00C92429">
              <w:rPr>
                <w:sz w:val="20"/>
              </w:rPr>
              <w:t>MMPs</w:t>
            </w:r>
            <w:r>
              <w:rPr>
                <w:sz w:val="20"/>
              </w:rPr>
              <w:t>]</w:t>
            </w:r>
            <w:r w:rsidRPr="00C92429">
              <w:rPr>
                <w:sz w:val="20"/>
              </w:rPr>
              <w:t>) in target communities are addressed</w:t>
            </w:r>
            <w:r>
              <w:rPr>
                <w:sz w:val="20"/>
              </w:rPr>
              <w:t xml:space="preserve"> </w:t>
            </w:r>
          </w:p>
          <w:p w:rsidR="000F7D7C" w:rsidRPr="003A4CE8" w:rsidRDefault="000F7D7C" w:rsidP="000F7D7C">
            <w:pPr>
              <w:rPr>
                <w:sz w:val="20"/>
              </w:rPr>
            </w:pPr>
            <w:r w:rsidRPr="003A4CE8">
              <w:rPr>
                <w:b/>
                <w:sz w:val="20"/>
              </w:rPr>
              <w:t>Output 2.</w:t>
            </w:r>
            <w:r w:rsidRPr="003A4CE8">
              <w:rPr>
                <w:sz w:val="20"/>
              </w:rPr>
              <w:t xml:space="preserve"> Increased quality of services provided for risk reduction behavior</w:t>
            </w:r>
            <w:r>
              <w:rPr>
                <w:sz w:val="20"/>
              </w:rPr>
              <w:t xml:space="preserve">. </w:t>
            </w:r>
          </w:p>
          <w:p w:rsidR="000F7D7C" w:rsidRPr="00C92429" w:rsidRDefault="000F7D7C" w:rsidP="000F7D7C">
            <w:pPr>
              <w:rPr>
                <w:rFonts w:cs="Arial"/>
                <w:sz w:val="20"/>
              </w:rPr>
            </w:pPr>
            <w:r>
              <w:rPr>
                <w:rFonts w:cs="Arial"/>
                <w:sz w:val="20"/>
              </w:rPr>
              <w:t>The following activities</w:t>
            </w:r>
            <w:r w:rsidR="001F7338">
              <w:rPr>
                <w:rFonts w:cs="Arial"/>
                <w:sz w:val="20"/>
              </w:rPr>
              <w:t xml:space="preserve"> will be conducted</w:t>
            </w:r>
            <w:r>
              <w:rPr>
                <w:rFonts w:cs="Arial"/>
                <w:sz w:val="20"/>
              </w:rPr>
              <w:t xml:space="preserve">: </w:t>
            </w:r>
          </w:p>
          <w:p w:rsidR="00922AC6" w:rsidRDefault="00FE756C" w:rsidP="000F7D7C">
            <w:pPr>
              <w:rPr>
                <w:rFonts w:cs="Arial"/>
                <w:bCs/>
                <w:iCs/>
                <w:sz w:val="20"/>
              </w:rPr>
            </w:pPr>
            <w:r>
              <w:rPr>
                <w:rFonts w:cs="Arial"/>
                <w:sz w:val="20"/>
              </w:rPr>
              <w:t>(</w:t>
            </w:r>
            <w:r w:rsidR="00922AC6">
              <w:rPr>
                <w:rFonts w:cs="Arial"/>
                <w:sz w:val="20"/>
              </w:rPr>
              <w:t>i</w:t>
            </w:r>
            <w:r>
              <w:rPr>
                <w:rFonts w:cs="Arial"/>
                <w:sz w:val="20"/>
              </w:rPr>
              <w:t>) S</w:t>
            </w:r>
            <w:r w:rsidR="00385F7E" w:rsidRPr="00C92429">
              <w:rPr>
                <w:rFonts w:cs="Arial"/>
                <w:sz w:val="20"/>
              </w:rPr>
              <w:t>election, recruitment and training of community youth volunteers</w:t>
            </w:r>
            <w:r w:rsidR="000F7D7C">
              <w:rPr>
                <w:rFonts w:cs="Arial"/>
                <w:sz w:val="20"/>
              </w:rPr>
              <w:t>;</w:t>
            </w:r>
            <w:r w:rsidR="000F7D7C">
              <w:rPr>
                <w:rFonts w:cs="Arial"/>
                <w:bCs/>
                <w:iCs/>
                <w:sz w:val="20"/>
              </w:rPr>
              <w:t xml:space="preserve"> </w:t>
            </w:r>
          </w:p>
          <w:p w:rsidR="00922AC6" w:rsidRDefault="00922AC6" w:rsidP="000F7D7C">
            <w:pPr>
              <w:rPr>
                <w:rFonts w:cs="Arial"/>
                <w:bCs/>
                <w:iCs/>
                <w:sz w:val="20"/>
              </w:rPr>
            </w:pPr>
            <w:r>
              <w:rPr>
                <w:rFonts w:cs="Arial"/>
                <w:bCs/>
                <w:iCs/>
                <w:sz w:val="20"/>
              </w:rPr>
              <w:t>(ii)</w:t>
            </w:r>
            <w:r w:rsidR="00FE756C">
              <w:rPr>
                <w:rFonts w:cs="Arial"/>
                <w:bCs/>
                <w:iCs/>
                <w:sz w:val="20"/>
              </w:rPr>
              <w:t xml:space="preserve"> C</w:t>
            </w:r>
            <w:r w:rsidR="00385F7E" w:rsidRPr="00C92429">
              <w:rPr>
                <w:rFonts w:cs="Arial"/>
                <w:bCs/>
                <w:iCs/>
                <w:sz w:val="20"/>
              </w:rPr>
              <w:t>ommunity advocacy;</w:t>
            </w:r>
            <w:r w:rsidR="000F7D7C">
              <w:rPr>
                <w:rFonts w:cs="Arial"/>
                <w:bCs/>
                <w:iCs/>
                <w:sz w:val="20"/>
              </w:rPr>
              <w:t xml:space="preserve"> </w:t>
            </w:r>
          </w:p>
          <w:p w:rsidR="00922AC6" w:rsidRDefault="00922AC6" w:rsidP="000F7D7C">
            <w:pPr>
              <w:rPr>
                <w:rFonts w:cs="Arial"/>
                <w:bCs/>
                <w:iCs/>
                <w:sz w:val="20"/>
              </w:rPr>
            </w:pPr>
            <w:r>
              <w:rPr>
                <w:rFonts w:cs="Arial"/>
                <w:bCs/>
                <w:iCs/>
                <w:sz w:val="20"/>
              </w:rPr>
              <w:t xml:space="preserve">(iii) </w:t>
            </w:r>
            <w:r w:rsidR="00385F7E" w:rsidRPr="00C92429">
              <w:rPr>
                <w:rFonts w:cs="Arial"/>
                <w:bCs/>
                <w:iCs/>
                <w:sz w:val="20"/>
              </w:rPr>
              <w:t xml:space="preserve">Use of branded BCC materials (“My Way” risk mitigation package); </w:t>
            </w:r>
          </w:p>
          <w:p w:rsidR="00922AC6" w:rsidRDefault="00922AC6" w:rsidP="000F7D7C">
            <w:pPr>
              <w:rPr>
                <w:rFonts w:cs="Arial"/>
                <w:sz w:val="20"/>
              </w:rPr>
            </w:pPr>
            <w:r>
              <w:rPr>
                <w:rFonts w:cs="Arial"/>
                <w:bCs/>
                <w:iCs/>
                <w:sz w:val="20"/>
              </w:rPr>
              <w:t>(iv)</w:t>
            </w:r>
            <w:r w:rsidR="00385F7E" w:rsidRPr="00C92429">
              <w:rPr>
                <w:rFonts w:cs="Arial"/>
                <w:bCs/>
                <w:iCs/>
                <w:sz w:val="20"/>
              </w:rPr>
              <w:t xml:space="preserve"> </w:t>
            </w:r>
            <w:r w:rsidR="00FE756C">
              <w:rPr>
                <w:rFonts w:cs="Arial"/>
                <w:sz w:val="20"/>
              </w:rPr>
              <w:t>P</w:t>
            </w:r>
            <w:r w:rsidR="00385F7E" w:rsidRPr="00C92429">
              <w:rPr>
                <w:rFonts w:cs="Arial"/>
                <w:sz w:val="20"/>
              </w:rPr>
              <w:t>romot</w:t>
            </w:r>
            <w:r w:rsidR="000F7D7C">
              <w:rPr>
                <w:rFonts w:cs="Arial"/>
                <w:sz w:val="20"/>
              </w:rPr>
              <w:t xml:space="preserve">ion of </w:t>
            </w:r>
            <w:r w:rsidR="00385F7E" w:rsidRPr="00C92429">
              <w:rPr>
                <w:rFonts w:cs="Arial"/>
                <w:sz w:val="20"/>
              </w:rPr>
              <w:t xml:space="preserve">positive gender norms and male responsibility for  sexual health through </w:t>
            </w:r>
            <w:r>
              <w:rPr>
                <w:rFonts w:cs="Arial"/>
                <w:sz w:val="20"/>
              </w:rPr>
              <w:t>BCC</w:t>
            </w:r>
            <w:r w:rsidR="00385F7E" w:rsidRPr="00C92429">
              <w:rPr>
                <w:rFonts w:cs="Arial"/>
                <w:sz w:val="20"/>
              </w:rPr>
              <w:t>;</w:t>
            </w:r>
          </w:p>
          <w:p w:rsidR="00922AC6" w:rsidRDefault="00922AC6" w:rsidP="000F7D7C">
            <w:pPr>
              <w:rPr>
                <w:rFonts w:cs="Arial"/>
                <w:sz w:val="20"/>
              </w:rPr>
            </w:pPr>
            <w:r>
              <w:rPr>
                <w:rFonts w:cs="Arial"/>
                <w:sz w:val="20"/>
              </w:rPr>
              <w:t xml:space="preserve">(v) </w:t>
            </w:r>
            <w:r w:rsidR="00FE756C">
              <w:rPr>
                <w:rFonts w:cs="Arial"/>
                <w:sz w:val="20"/>
              </w:rPr>
              <w:t>C</w:t>
            </w:r>
            <w:r w:rsidR="00385F7E" w:rsidRPr="00C92429">
              <w:rPr>
                <w:rFonts w:cs="Arial"/>
                <w:sz w:val="20"/>
              </w:rPr>
              <w:t>ondom distribution;</w:t>
            </w:r>
          </w:p>
          <w:p w:rsidR="00922AC6" w:rsidRDefault="00922AC6" w:rsidP="000F7D7C">
            <w:pPr>
              <w:rPr>
                <w:rFonts w:cs="Arial"/>
                <w:bCs/>
                <w:sz w:val="20"/>
              </w:rPr>
            </w:pPr>
            <w:r>
              <w:rPr>
                <w:rFonts w:cs="Arial"/>
                <w:sz w:val="20"/>
              </w:rPr>
              <w:t>(vi)</w:t>
            </w:r>
            <w:r w:rsidR="00385F7E" w:rsidRPr="00C92429">
              <w:rPr>
                <w:rFonts w:cs="Arial"/>
                <w:bCs/>
                <w:iCs/>
                <w:sz w:val="20"/>
              </w:rPr>
              <w:t xml:space="preserve">) </w:t>
            </w:r>
            <w:r w:rsidR="00FE756C">
              <w:rPr>
                <w:rFonts w:cs="Arial"/>
                <w:bCs/>
                <w:sz w:val="20"/>
              </w:rPr>
              <w:t>R</w:t>
            </w:r>
            <w:r w:rsidR="00385F7E" w:rsidRPr="00C92429">
              <w:rPr>
                <w:rFonts w:cs="Arial"/>
                <w:bCs/>
                <w:sz w:val="20"/>
              </w:rPr>
              <w:t xml:space="preserve">eferral of target populations to social services; </w:t>
            </w:r>
          </w:p>
          <w:p w:rsidR="00385F7E" w:rsidRPr="00C92429" w:rsidRDefault="00922AC6" w:rsidP="000F7D7C">
            <w:pPr>
              <w:rPr>
                <w:rFonts w:cs="Arial"/>
                <w:sz w:val="20"/>
              </w:rPr>
            </w:pPr>
            <w:r>
              <w:rPr>
                <w:rFonts w:cs="Arial"/>
                <w:bCs/>
                <w:sz w:val="20"/>
              </w:rPr>
              <w:t>(</w:t>
            </w:r>
            <w:r w:rsidR="00173AF2">
              <w:rPr>
                <w:rFonts w:cs="Arial"/>
                <w:bCs/>
                <w:sz w:val="20"/>
              </w:rPr>
              <w:t>vii)</w:t>
            </w:r>
            <w:r w:rsidR="00FE756C">
              <w:rPr>
                <w:rFonts w:cs="Arial"/>
                <w:bCs/>
                <w:sz w:val="20"/>
              </w:rPr>
              <w:t xml:space="preserve">) </w:t>
            </w:r>
            <w:r w:rsidR="000F7D7C">
              <w:rPr>
                <w:rFonts w:cs="Arial"/>
                <w:bCs/>
                <w:sz w:val="20"/>
              </w:rPr>
              <w:t xml:space="preserve">involvement of </w:t>
            </w:r>
            <w:r w:rsidR="00385F7E" w:rsidRPr="00C92429">
              <w:rPr>
                <w:rFonts w:cs="Arial"/>
                <w:bCs/>
                <w:sz w:val="20"/>
              </w:rPr>
              <w:t xml:space="preserve"> </w:t>
            </w:r>
            <w:r w:rsidR="00385F7E" w:rsidRPr="00C92429">
              <w:rPr>
                <w:rFonts w:cs="Arial"/>
                <w:sz w:val="20"/>
              </w:rPr>
              <w:t xml:space="preserve">National AIDS Authority (NAA) and partners. </w:t>
            </w:r>
          </w:p>
          <w:p w:rsidR="00385F7E" w:rsidRPr="00C92429" w:rsidRDefault="00023661" w:rsidP="00F243A0">
            <w:pPr>
              <w:jc w:val="left"/>
              <w:rPr>
                <w:rFonts w:cs="Arial"/>
                <w:sz w:val="20"/>
              </w:rPr>
            </w:pPr>
            <w:r>
              <w:rPr>
                <w:rFonts w:cs="Arial"/>
                <w:b/>
                <w:sz w:val="20"/>
                <w:u w:val="single"/>
              </w:rPr>
              <w:t xml:space="preserve">Contract </w:t>
            </w:r>
            <w:r w:rsidR="00931377" w:rsidRPr="00C92429">
              <w:rPr>
                <w:rFonts w:cs="Arial"/>
                <w:b/>
                <w:sz w:val="20"/>
                <w:u w:val="single"/>
              </w:rPr>
              <w:t>Duration</w:t>
            </w:r>
            <w:r w:rsidR="00931377" w:rsidRPr="00C92429">
              <w:rPr>
                <w:rFonts w:cs="Arial"/>
                <w:sz w:val="20"/>
              </w:rPr>
              <w:t>: 12 months (Feb 2012 - Jan 2013)</w:t>
            </w:r>
          </w:p>
        </w:tc>
        <w:tc>
          <w:tcPr>
            <w:tcW w:w="4320" w:type="dxa"/>
          </w:tcPr>
          <w:p w:rsidR="00385F7E" w:rsidRPr="00C92429" w:rsidRDefault="00385F7E" w:rsidP="00527FD3">
            <w:pPr>
              <w:rPr>
                <w:rFonts w:cs="Arial"/>
                <w:b/>
                <w:i/>
                <w:sz w:val="20"/>
              </w:rPr>
            </w:pPr>
            <w:r w:rsidRPr="00C92429">
              <w:rPr>
                <w:rFonts w:cs="Arial"/>
                <w:b/>
                <w:i/>
                <w:sz w:val="20"/>
              </w:rPr>
              <w:t xml:space="preserve">On Track </w:t>
            </w:r>
          </w:p>
          <w:p w:rsidR="00385F7E" w:rsidRPr="00C92429" w:rsidRDefault="00023661" w:rsidP="00676ABE">
            <w:pPr>
              <w:rPr>
                <w:rFonts w:cs="Arial"/>
                <w:sz w:val="20"/>
              </w:rPr>
            </w:pPr>
            <w:r>
              <w:rPr>
                <w:rFonts w:cs="Arial"/>
                <w:sz w:val="20"/>
              </w:rPr>
              <w:t>Implemented by a l</w:t>
            </w:r>
            <w:r w:rsidR="00BD63D5">
              <w:rPr>
                <w:rFonts w:cs="Arial"/>
                <w:sz w:val="20"/>
              </w:rPr>
              <w:t xml:space="preserve">ocal </w:t>
            </w:r>
            <w:r w:rsidR="00385F7E" w:rsidRPr="00C92429">
              <w:rPr>
                <w:rFonts w:cs="Arial"/>
                <w:sz w:val="20"/>
              </w:rPr>
              <w:t xml:space="preserve">NGO </w:t>
            </w:r>
            <w:r>
              <w:rPr>
                <w:rFonts w:cs="Arial"/>
                <w:sz w:val="20"/>
              </w:rPr>
              <w:t xml:space="preserve">called </w:t>
            </w:r>
            <w:r w:rsidR="000D2AC5">
              <w:rPr>
                <w:rFonts w:cs="Arial"/>
                <w:sz w:val="20"/>
              </w:rPr>
              <w:t>WOMEN</w:t>
            </w:r>
            <w:r>
              <w:rPr>
                <w:rFonts w:cs="Arial"/>
                <w:sz w:val="20"/>
              </w:rPr>
              <w:t>.</w:t>
            </w:r>
          </w:p>
          <w:p w:rsidR="00385F7E" w:rsidRPr="00C92429" w:rsidRDefault="00385F7E" w:rsidP="00C92429">
            <w:pPr>
              <w:rPr>
                <w:rFonts w:cs="Arial"/>
                <w:sz w:val="20"/>
              </w:rPr>
            </w:pPr>
            <w:r w:rsidRPr="00C92429">
              <w:rPr>
                <w:rFonts w:cs="Arial"/>
                <w:sz w:val="20"/>
              </w:rPr>
              <w:t xml:space="preserve">Project commenced on 1 Feb 2012. </w:t>
            </w:r>
          </w:p>
          <w:p w:rsidR="00385F7E" w:rsidRDefault="00385F7E" w:rsidP="005D2B99">
            <w:pPr>
              <w:jc w:val="left"/>
              <w:rPr>
                <w:rFonts w:cs="Arial"/>
                <w:sz w:val="20"/>
              </w:rPr>
            </w:pPr>
          </w:p>
          <w:p w:rsidR="00173AF2" w:rsidRDefault="001F7338" w:rsidP="00C92429">
            <w:pPr>
              <w:rPr>
                <w:sz w:val="20"/>
                <w:u w:val="single"/>
              </w:rPr>
            </w:pPr>
            <w:r w:rsidRPr="0024727A">
              <w:rPr>
                <w:b/>
                <w:sz w:val="20"/>
              </w:rPr>
              <w:t>Progress in Output 1</w:t>
            </w:r>
            <w:r>
              <w:rPr>
                <w:sz w:val="20"/>
              </w:rPr>
              <w:t xml:space="preserve">: </w:t>
            </w:r>
            <w:r w:rsidR="00C92429" w:rsidRPr="00C92429">
              <w:rPr>
                <w:sz w:val="20"/>
              </w:rPr>
              <w:t xml:space="preserve">Mapping exercise  conducted in 5 communes in the project areas to identify the number of high risk </w:t>
            </w:r>
            <w:r w:rsidR="00173AF2">
              <w:rPr>
                <w:sz w:val="20"/>
              </w:rPr>
              <w:t xml:space="preserve">settings </w:t>
            </w:r>
            <w:r w:rsidR="00C92429" w:rsidRPr="00C92429">
              <w:rPr>
                <w:sz w:val="20"/>
              </w:rPr>
              <w:t xml:space="preserve">and number of EWs including migrants and mobile populations. </w:t>
            </w:r>
            <w:r w:rsidR="0024727A" w:rsidRPr="0024727A">
              <w:rPr>
                <w:sz w:val="20"/>
                <w:u w:val="single"/>
              </w:rPr>
              <w:t>Identified approximately</w:t>
            </w:r>
            <w:r w:rsidR="00173AF2" w:rsidRPr="0024727A">
              <w:rPr>
                <w:sz w:val="20"/>
                <w:u w:val="single"/>
              </w:rPr>
              <w:t xml:space="preserve"> </w:t>
            </w:r>
          </w:p>
          <w:p w:rsidR="0024727A" w:rsidRPr="0024727A" w:rsidRDefault="0024727A" w:rsidP="00C92429">
            <w:pPr>
              <w:rPr>
                <w:sz w:val="20"/>
                <w:u w:val="single"/>
              </w:rPr>
            </w:pPr>
          </w:p>
          <w:p w:rsidR="00173AF2" w:rsidRDefault="00C92429" w:rsidP="00173AF2">
            <w:pPr>
              <w:pStyle w:val="ListParagraph"/>
              <w:numPr>
                <w:ilvl w:val="0"/>
                <w:numId w:val="16"/>
              </w:numPr>
              <w:ind w:left="252" w:hanging="252"/>
              <w:rPr>
                <w:sz w:val="20"/>
              </w:rPr>
            </w:pPr>
            <w:r w:rsidRPr="00173AF2">
              <w:rPr>
                <w:sz w:val="20"/>
              </w:rPr>
              <w:t xml:space="preserve">54 high risk </w:t>
            </w:r>
            <w:r w:rsidR="00173AF2" w:rsidRPr="00173AF2">
              <w:rPr>
                <w:sz w:val="20"/>
              </w:rPr>
              <w:t>settings/locations</w:t>
            </w:r>
            <w:r w:rsidRPr="00173AF2">
              <w:rPr>
                <w:sz w:val="20"/>
              </w:rPr>
              <w:t xml:space="preserve">, </w:t>
            </w:r>
          </w:p>
          <w:p w:rsidR="00173AF2" w:rsidRDefault="00C92429" w:rsidP="00173AF2">
            <w:pPr>
              <w:pStyle w:val="ListParagraph"/>
              <w:numPr>
                <w:ilvl w:val="0"/>
                <w:numId w:val="16"/>
              </w:numPr>
              <w:ind w:left="252" w:hanging="252"/>
              <w:rPr>
                <w:sz w:val="20"/>
              </w:rPr>
            </w:pPr>
            <w:r w:rsidRPr="00173AF2">
              <w:rPr>
                <w:sz w:val="20"/>
              </w:rPr>
              <w:t xml:space="preserve">252 EWs, and </w:t>
            </w:r>
          </w:p>
          <w:p w:rsidR="00C92429" w:rsidRPr="00173AF2" w:rsidRDefault="00C92429" w:rsidP="00173AF2">
            <w:pPr>
              <w:pStyle w:val="ListParagraph"/>
              <w:numPr>
                <w:ilvl w:val="0"/>
                <w:numId w:val="16"/>
              </w:numPr>
              <w:ind w:left="252" w:hanging="252"/>
              <w:rPr>
                <w:sz w:val="20"/>
              </w:rPr>
            </w:pPr>
            <w:r w:rsidRPr="00173AF2">
              <w:rPr>
                <w:sz w:val="20"/>
              </w:rPr>
              <w:t xml:space="preserve">91,270 high risk males (male clients) were identified in the target areas. </w:t>
            </w:r>
          </w:p>
          <w:p w:rsidR="003A4CE8" w:rsidRDefault="003A4CE8" w:rsidP="00C92429">
            <w:pPr>
              <w:rPr>
                <w:sz w:val="20"/>
              </w:rPr>
            </w:pPr>
          </w:p>
          <w:p w:rsidR="005137BB" w:rsidRDefault="003A4CE8" w:rsidP="00C92429">
            <w:pPr>
              <w:rPr>
                <w:sz w:val="20"/>
              </w:rPr>
            </w:pPr>
            <w:r w:rsidRPr="0024727A">
              <w:rPr>
                <w:b/>
                <w:sz w:val="20"/>
              </w:rPr>
              <w:t>Progress</w:t>
            </w:r>
            <w:r w:rsidR="001F7338" w:rsidRPr="0024727A">
              <w:rPr>
                <w:b/>
                <w:sz w:val="20"/>
              </w:rPr>
              <w:t xml:space="preserve"> in Output </w:t>
            </w:r>
            <w:r w:rsidR="00173AF2" w:rsidRPr="0024727A">
              <w:rPr>
                <w:b/>
                <w:sz w:val="20"/>
              </w:rPr>
              <w:t>2</w:t>
            </w:r>
            <w:r w:rsidRPr="001F7338">
              <w:rPr>
                <w:sz w:val="20"/>
                <w:u w:val="single"/>
              </w:rPr>
              <w:t xml:space="preserve">: </w:t>
            </w:r>
            <w:r w:rsidR="00C92429" w:rsidRPr="00C92429">
              <w:rPr>
                <w:sz w:val="20"/>
              </w:rPr>
              <w:t>As of 1 September 2012</w:t>
            </w:r>
            <w:r w:rsidR="0035464D">
              <w:rPr>
                <w:sz w:val="20"/>
              </w:rPr>
              <w:t xml:space="preserve"> </w:t>
            </w:r>
            <w:r w:rsidR="00C92429" w:rsidRPr="00C92429">
              <w:rPr>
                <w:sz w:val="20"/>
              </w:rPr>
              <w:t xml:space="preserve"> </w:t>
            </w:r>
            <w:r w:rsidR="005137BB">
              <w:rPr>
                <w:sz w:val="20"/>
              </w:rPr>
              <w:t>the following high risk locations/groups reached:</w:t>
            </w:r>
          </w:p>
          <w:p w:rsidR="005137BB" w:rsidRDefault="005137BB" w:rsidP="00C92429">
            <w:pPr>
              <w:rPr>
                <w:sz w:val="20"/>
              </w:rPr>
            </w:pPr>
          </w:p>
          <w:p w:rsidR="005137BB" w:rsidRDefault="005137BB" w:rsidP="005137BB">
            <w:pPr>
              <w:pStyle w:val="ListParagraph"/>
              <w:numPr>
                <w:ilvl w:val="0"/>
                <w:numId w:val="17"/>
              </w:numPr>
              <w:ind w:left="252" w:hanging="252"/>
              <w:rPr>
                <w:sz w:val="20"/>
              </w:rPr>
            </w:pPr>
            <w:r>
              <w:rPr>
                <w:sz w:val="20"/>
              </w:rPr>
              <w:t xml:space="preserve">33 </w:t>
            </w:r>
            <w:r w:rsidR="00C92429" w:rsidRPr="005137BB">
              <w:rPr>
                <w:sz w:val="20"/>
              </w:rPr>
              <w:t xml:space="preserve">out of 54 high risk settings, </w:t>
            </w:r>
          </w:p>
          <w:p w:rsidR="005137BB" w:rsidRDefault="005137BB" w:rsidP="005137BB">
            <w:pPr>
              <w:pStyle w:val="ListParagraph"/>
              <w:numPr>
                <w:ilvl w:val="0"/>
                <w:numId w:val="17"/>
              </w:numPr>
              <w:ind w:left="252" w:hanging="252"/>
              <w:rPr>
                <w:sz w:val="20"/>
              </w:rPr>
            </w:pPr>
            <w:r>
              <w:rPr>
                <w:sz w:val="20"/>
              </w:rPr>
              <w:t>252 (</w:t>
            </w:r>
            <w:r w:rsidR="00C92429" w:rsidRPr="005137BB">
              <w:rPr>
                <w:sz w:val="20"/>
              </w:rPr>
              <w:t>100%</w:t>
            </w:r>
            <w:r>
              <w:rPr>
                <w:sz w:val="20"/>
              </w:rPr>
              <w:t>)</w:t>
            </w:r>
            <w:r w:rsidR="00C92429" w:rsidRPr="005137BB">
              <w:rPr>
                <w:sz w:val="20"/>
              </w:rPr>
              <w:t xml:space="preserve"> of target EWs and </w:t>
            </w:r>
          </w:p>
          <w:p w:rsidR="00C92429" w:rsidRPr="005137BB" w:rsidRDefault="00C92429" w:rsidP="005137BB">
            <w:pPr>
              <w:pStyle w:val="ListParagraph"/>
              <w:numPr>
                <w:ilvl w:val="0"/>
                <w:numId w:val="17"/>
              </w:numPr>
              <w:ind w:left="252" w:hanging="252"/>
              <w:rPr>
                <w:sz w:val="20"/>
              </w:rPr>
            </w:pPr>
            <w:r w:rsidRPr="005137BB">
              <w:rPr>
                <w:sz w:val="20"/>
              </w:rPr>
              <w:t>1,533 male clients reached through individual or small group intervention.</w:t>
            </w:r>
          </w:p>
          <w:p w:rsidR="00C92429" w:rsidRPr="00C92429" w:rsidRDefault="00C92429" w:rsidP="00C92429">
            <w:pPr>
              <w:rPr>
                <w:sz w:val="20"/>
              </w:rPr>
            </w:pPr>
          </w:p>
          <w:p w:rsidR="00F46034" w:rsidRDefault="00C92429" w:rsidP="00F46034">
            <w:pPr>
              <w:rPr>
                <w:sz w:val="20"/>
              </w:rPr>
            </w:pPr>
            <w:r w:rsidRPr="00C92429">
              <w:rPr>
                <w:sz w:val="20"/>
              </w:rPr>
              <w:t xml:space="preserve">The project </w:t>
            </w:r>
            <w:r w:rsidR="005137BB">
              <w:rPr>
                <w:sz w:val="20"/>
              </w:rPr>
              <w:t xml:space="preserve">also </w:t>
            </w:r>
            <w:r w:rsidRPr="00C92429">
              <w:rPr>
                <w:sz w:val="20"/>
              </w:rPr>
              <w:t xml:space="preserve">delivered </w:t>
            </w:r>
          </w:p>
          <w:p w:rsidR="00F46034" w:rsidRPr="00F46034" w:rsidRDefault="00C92429" w:rsidP="00F46034">
            <w:pPr>
              <w:pStyle w:val="ListParagraph"/>
              <w:numPr>
                <w:ilvl w:val="0"/>
                <w:numId w:val="19"/>
              </w:numPr>
              <w:ind w:left="252" w:hanging="180"/>
              <w:rPr>
                <w:sz w:val="20"/>
              </w:rPr>
            </w:pPr>
            <w:r w:rsidRPr="00F46034">
              <w:rPr>
                <w:sz w:val="20"/>
              </w:rPr>
              <w:t>307 referral slips for STI, Voluntary Confidential Counseling and Testing (VCCT), and Reproductive Health/Family Planning services for the target population</w:t>
            </w:r>
            <w:r w:rsidR="005137BB" w:rsidRPr="00F46034">
              <w:rPr>
                <w:sz w:val="20"/>
              </w:rPr>
              <w:t xml:space="preserve"> </w:t>
            </w:r>
          </w:p>
          <w:p w:rsidR="00F46034" w:rsidRDefault="005137BB" w:rsidP="00F46034">
            <w:pPr>
              <w:pStyle w:val="ListParagraph"/>
              <w:numPr>
                <w:ilvl w:val="0"/>
                <w:numId w:val="19"/>
              </w:numPr>
              <w:ind w:left="252" w:hanging="180"/>
              <w:rPr>
                <w:sz w:val="20"/>
              </w:rPr>
            </w:pPr>
            <w:r w:rsidRPr="00F46034">
              <w:rPr>
                <w:sz w:val="20"/>
              </w:rPr>
              <w:t>146</w:t>
            </w:r>
            <w:r w:rsidR="00C92429" w:rsidRPr="00F46034">
              <w:rPr>
                <w:sz w:val="20"/>
              </w:rPr>
              <w:t xml:space="preserve"> (48%) of the referral slips were co</w:t>
            </w:r>
            <w:r w:rsidR="009A1199" w:rsidRPr="00F46034">
              <w:rPr>
                <w:sz w:val="20"/>
              </w:rPr>
              <w:t>ll</w:t>
            </w:r>
            <w:r w:rsidR="00C92429" w:rsidRPr="00F46034">
              <w:rPr>
                <w:sz w:val="20"/>
              </w:rPr>
              <w:t>ected from the health c</w:t>
            </w:r>
            <w:r w:rsidR="009A1199" w:rsidRPr="00F46034">
              <w:rPr>
                <w:sz w:val="20"/>
              </w:rPr>
              <w:t>e</w:t>
            </w:r>
            <w:r w:rsidR="00C92429" w:rsidRPr="00F46034">
              <w:rPr>
                <w:sz w:val="20"/>
              </w:rPr>
              <w:t>nters/providers</w:t>
            </w:r>
          </w:p>
          <w:p w:rsidR="00F46034" w:rsidRPr="0024727A" w:rsidRDefault="0024727A" w:rsidP="00F46034">
            <w:pPr>
              <w:pStyle w:val="ListParagraph"/>
              <w:numPr>
                <w:ilvl w:val="0"/>
                <w:numId w:val="19"/>
              </w:numPr>
              <w:ind w:left="252" w:hanging="180"/>
              <w:rPr>
                <w:rFonts w:cs="Arial"/>
                <w:sz w:val="20"/>
              </w:rPr>
            </w:pPr>
            <w:r>
              <w:rPr>
                <w:sz w:val="20"/>
              </w:rPr>
              <w:t xml:space="preserve"> </w:t>
            </w:r>
            <w:r w:rsidR="00C92429" w:rsidRPr="0024727A">
              <w:rPr>
                <w:sz w:val="20"/>
              </w:rPr>
              <w:t>27</w:t>
            </w:r>
            <w:r w:rsidR="00F46034" w:rsidRPr="0024727A">
              <w:rPr>
                <w:sz w:val="20"/>
              </w:rPr>
              <w:t xml:space="preserve"> </w:t>
            </w:r>
            <w:r w:rsidR="00C92429" w:rsidRPr="0024727A">
              <w:rPr>
                <w:sz w:val="20"/>
              </w:rPr>
              <w:t xml:space="preserve">community facilitators and peer educators for EWs and </w:t>
            </w:r>
            <w:r w:rsidR="00F46034" w:rsidRPr="0024727A">
              <w:rPr>
                <w:sz w:val="20"/>
              </w:rPr>
              <w:t>m</w:t>
            </w:r>
            <w:r w:rsidR="00C92429" w:rsidRPr="0024727A">
              <w:rPr>
                <w:sz w:val="20"/>
              </w:rPr>
              <w:t xml:space="preserve">ale </w:t>
            </w:r>
            <w:r w:rsidR="00F46034" w:rsidRPr="0024727A">
              <w:rPr>
                <w:sz w:val="20"/>
              </w:rPr>
              <w:t>c</w:t>
            </w:r>
            <w:r w:rsidR="00C92429" w:rsidRPr="0024727A">
              <w:rPr>
                <w:sz w:val="20"/>
              </w:rPr>
              <w:t xml:space="preserve">lients trained </w:t>
            </w:r>
            <w:r w:rsidR="00F46034" w:rsidRPr="0024727A">
              <w:rPr>
                <w:sz w:val="20"/>
              </w:rPr>
              <w:t>for</w:t>
            </w:r>
            <w:r w:rsidR="00C92429" w:rsidRPr="0024727A">
              <w:rPr>
                <w:sz w:val="20"/>
              </w:rPr>
              <w:t xml:space="preserve"> quality service </w:t>
            </w:r>
            <w:r w:rsidR="00F46034" w:rsidRPr="0024727A">
              <w:rPr>
                <w:sz w:val="20"/>
              </w:rPr>
              <w:t xml:space="preserve">delivery </w:t>
            </w:r>
            <w:r w:rsidR="00C92429" w:rsidRPr="0024727A">
              <w:rPr>
                <w:sz w:val="20"/>
              </w:rPr>
              <w:t>to the target population</w:t>
            </w:r>
            <w:r w:rsidR="00914E23" w:rsidRPr="0024727A">
              <w:rPr>
                <w:sz w:val="20"/>
              </w:rPr>
              <w:t xml:space="preserve"> </w:t>
            </w:r>
            <w:r w:rsidR="00385F7E" w:rsidRPr="0024727A">
              <w:rPr>
                <w:rFonts w:cs="Arial"/>
                <w:sz w:val="20"/>
              </w:rPr>
              <w:t>of 1</w:t>
            </w:r>
            <w:r w:rsidR="006E2731" w:rsidRPr="0024727A">
              <w:rPr>
                <w:rFonts w:cs="Arial"/>
                <w:sz w:val="20"/>
              </w:rPr>
              <w:t>9</w:t>
            </w:r>
            <w:r w:rsidR="00385F7E" w:rsidRPr="0024727A">
              <w:rPr>
                <w:rFonts w:cs="Arial"/>
                <w:sz w:val="20"/>
              </w:rPr>
              <w:t>4.</w:t>
            </w:r>
          </w:p>
          <w:p w:rsidR="00E70A4F" w:rsidRPr="0024727A" w:rsidRDefault="00E70A4F" w:rsidP="00F46034">
            <w:pPr>
              <w:pStyle w:val="ListParagraph"/>
              <w:ind w:left="252" w:hanging="180"/>
              <w:rPr>
                <w:rFonts w:cs="Arial"/>
                <w:sz w:val="20"/>
              </w:rPr>
            </w:pPr>
          </w:p>
          <w:p w:rsidR="00385F7E" w:rsidRPr="00C92429" w:rsidRDefault="00385F7E" w:rsidP="00914E23">
            <w:pPr>
              <w:rPr>
                <w:rFonts w:cs="Arial"/>
                <w:sz w:val="20"/>
              </w:rPr>
            </w:pPr>
          </w:p>
        </w:tc>
      </w:tr>
      <w:tr w:rsidR="00385F7E" w:rsidRPr="00C92429" w:rsidTr="00D0215E">
        <w:tc>
          <w:tcPr>
            <w:tcW w:w="648" w:type="dxa"/>
          </w:tcPr>
          <w:p w:rsidR="00385F7E" w:rsidRPr="00C92429" w:rsidRDefault="00385F7E" w:rsidP="007F1F9D">
            <w:pPr>
              <w:jc w:val="center"/>
              <w:rPr>
                <w:rFonts w:cs="Arial"/>
                <w:sz w:val="20"/>
              </w:rPr>
            </w:pPr>
            <w:r w:rsidRPr="00C92429">
              <w:rPr>
                <w:rFonts w:cs="Arial"/>
                <w:sz w:val="20"/>
              </w:rPr>
              <w:lastRenderedPageBreak/>
              <w:t>2</w:t>
            </w:r>
          </w:p>
        </w:tc>
        <w:tc>
          <w:tcPr>
            <w:tcW w:w="720" w:type="dxa"/>
          </w:tcPr>
          <w:p w:rsidR="00385F7E" w:rsidRPr="00C92429" w:rsidRDefault="00385F7E" w:rsidP="009A7972">
            <w:pPr>
              <w:rPr>
                <w:rFonts w:cs="Arial"/>
                <w:sz w:val="20"/>
              </w:rPr>
            </w:pPr>
            <w:r w:rsidRPr="00C92429">
              <w:rPr>
                <w:rFonts w:cs="Arial"/>
                <w:sz w:val="20"/>
              </w:rPr>
              <w:t>CAM</w:t>
            </w:r>
          </w:p>
        </w:tc>
        <w:tc>
          <w:tcPr>
            <w:tcW w:w="2610" w:type="dxa"/>
          </w:tcPr>
          <w:p w:rsidR="00385F7E" w:rsidRPr="00C92429" w:rsidRDefault="00385F7E" w:rsidP="005D2B99">
            <w:pPr>
              <w:jc w:val="left"/>
              <w:rPr>
                <w:rFonts w:cs="Arial"/>
                <w:sz w:val="20"/>
              </w:rPr>
            </w:pPr>
            <w:r w:rsidRPr="00C92429">
              <w:rPr>
                <w:rFonts w:cs="Arial"/>
                <w:sz w:val="20"/>
              </w:rPr>
              <w:t>Promoting Women’s Access to Jobs in Rural Road Construction and Maintenance</w:t>
            </w:r>
          </w:p>
          <w:p w:rsidR="00385F7E" w:rsidRPr="00C92429" w:rsidRDefault="00385F7E" w:rsidP="005D2B99">
            <w:pPr>
              <w:jc w:val="left"/>
              <w:rPr>
                <w:rFonts w:cs="Arial"/>
                <w:sz w:val="20"/>
              </w:rPr>
            </w:pPr>
          </w:p>
          <w:p w:rsidR="00385F7E" w:rsidRPr="00C92429" w:rsidRDefault="00385F7E" w:rsidP="005D2B99">
            <w:pPr>
              <w:jc w:val="left"/>
              <w:rPr>
                <w:rFonts w:cs="Arial"/>
                <w:sz w:val="20"/>
              </w:rPr>
            </w:pPr>
            <w:r w:rsidRPr="00C92429">
              <w:rPr>
                <w:rFonts w:cs="Arial"/>
                <w:sz w:val="20"/>
              </w:rPr>
              <w:t>Project Officer: K. Schelzig</w:t>
            </w:r>
          </w:p>
          <w:p w:rsidR="00385F7E" w:rsidRDefault="00385F7E" w:rsidP="005D2B99">
            <w:pPr>
              <w:jc w:val="left"/>
              <w:rPr>
                <w:rFonts w:cs="Arial"/>
                <w:sz w:val="20"/>
              </w:rPr>
            </w:pPr>
            <w:r w:rsidRPr="00C92429">
              <w:rPr>
                <w:rFonts w:cs="Arial"/>
                <w:sz w:val="20"/>
              </w:rPr>
              <w:t>Dept: CARM/SERD (Cambodia Resident Mission in Southeast Asia Department)</w:t>
            </w:r>
          </w:p>
          <w:p w:rsidR="00D0215E" w:rsidRDefault="00D0215E" w:rsidP="005D2B99">
            <w:pPr>
              <w:jc w:val="left"/>
              <w:rPr>
                <w:rFonts w:cs="Arial"/>
                <w:sz w:val="20"/>
              </w:rPr>
            </w:pPr>
          </w:p>
          <w:p w:rsidR="00D0215E" w:rsidRDefault="00D0215E" w:rsidP="00D0215E">
            <w:pPr>
              <w:jc w:val="left"/>
              <w:rPr>
                <w:rFonts w:cs="Arial"/>
                <w:sz w:val="20"/>
              </w:rPr>
            </w:pPr>
            <w:r>
              <w:rPr>
                <w:rFonts w:cs="Arial"/>
                <w:sz w:val="20"/>
              </w:rPr>
              <w:t xml:space="preserve">Approval: </w:t>
            </w:r>
            <w:r w:rsidR="001203B5" w:rsidRPr="00D0215E">
              <w:rPr>
                <w:rFonts w:cs="Arial"/>
                <w:sz w:val="20"/>
              </w:rPr>
              <w:t>19 Jun 2012</w:t>
            </w:r>
          </w:p>
          <w:p w:rsidR="001203B5" w:rsidRPr="00C92429" w:rsidRDefault="00D0215E" w:rsidP="00023661">
            <w:pPr>
              <w:jc w:val="left"/>
              <w:rPr>
                <w:rFonts w:cs="Arial"/>
                <w:sz w:val="20"/>
              </w:rPr>
            </w:pPr>
            <w:r>
              <w:rPr>
                <w:rFonts w:cs="Arial"/>
                <w:sz w:val="20"/>
              </w:rPr>
              <w:t>C</w:t>
            </w:r>
            <w:r w:rsidR="00023661">
              <w:rPr>
                <w:rFonts w:cs="Arial"/>
                <w:sz w:val="20"/>
              </w:rPr>
              <w:t>ompletion</w:t>
            </w:r>
            <w:r>
              <w:rPr>
                <w:rFonts w:cs="Arial"/>
                <w:sz w:val="20"/>
              </w:rPr>
              <w:t xml:space="preserve">: </w:t>
            </w:r>
            <w:r w:rsidR="001203B5" w:rsidRPr="00D0215E">
              <w:rPr>
                <w:rFonts w:cs="Arial"/>
                <w:sz w:val="20"/>
              </w:rPr>
              <w:t>31 Aug 2013</w:t>
            </w:r>
            <w:r>
              <w:rPr>
                <w:rFonts w:cs="Arial"/>
                <w:sz w:val="20"/>
              </w:rPr>
              <w:t xml:space="preserve"> (extension being requested)</w:t>
            </w:r>
          </w:p>
        </w:tc>
        <w:tc>
          <w:tcPr>
            <w:tcW w:w="990" w:type="dxa"/>
          </w:tcPr>
          <w:p w:rsidR="00385F7E" w:rsidRPr="00C92429" w:rsidRDefault="00385F7E" w:rsidP="005414AA">
            <w:pPr>
              <w:jc w:val="center"/>
              <w:rPr>
                <w:rFonts w:cs="Arial"/>
                <w:sz w:val="20"/>
              </w:rPr>
            </w:pPr>
            <w:r w:rsidRPr="00C92429">
              <w:rPr>
                <w:rFonts w:cs="Arial"/>
                <w:sz w:val="20"/>
              </w:rPr>
              <w:t>150,000</w:t>
            </w:r>
          </w:p>
        </w:tc>
        <w:tc>
          <w:tcPr>
            <w:tcW w:w="1260" w:type="dxa"/>
          </w:tcPr>
          <w:p w:rsidR="00385F7E" w:rsidRPr="00C92429" w:rsidRDefault="00385F7E" w:rsidP="00385F7E">
            <w:pPr>
              <w:jc w:val="right"/>
              <w:rPr>
                <w:rFonts w:cs="Arial"/>
                <w:bCs/>
                <w:color w:val="000000"/>
                <w:sz w:val="20"/>
              </w:rPr>
            </w:pPr>
            <w:r w:rsidRPr="00C92429">
              <w:rPr>
                <w:rFonts w:cs="Arial"/>
                <w:bCs/>
                <w:color w:val="000000"/>
                <w:sz w:val="20"/>
              </w:rPr>
              <w:t>0.00</w:t>
            </w:r>
          </w:p>
        </w:tc>
        <w:tc>
          <w:tcPr>
            <w:tcW w:w="1440" w:type="dxa"/>
          </w:tcPr>
          <w:p w:rsidR="00385F7E" w:rsidRDefault="00385F7E" w:rsidP="00385F7E">
            <w:pPr>
              <w:jc w:val="right"/>
              <w:rPr>
                <w:rFonts w:cs="Arial"/>
                <w:bCs/>
                <w:color w:val="000000"/>
                <w:sz w:val="20"/>
              </w:rPr>
            </w:pPr>
            <w:r w:rsidRPr="00C92429">
              <w:rPr>
                <w:rFonts w:cs="Arial"/>
                <w:bCs/>
                <w:color w:val="000000"/>
                <w:sz w:val="20"/>
              </w:rPr>
              <w:t>150,000</w:t>
            </w:r>
          </w:p>
          <w:p w:rsidR="00BD63D5" w:rsidRPr="00C92429" w:rsidRDefault="00BD63D5" w:rsidP="00385F7E">
            <w:pPr>
              <w:jc w:val="right"/>
              <w:rPr>
                <w:rFonts w:cs="Arial"/>
                <w:bCs/>
                <w:color w:val="000000"/>
                <w:sz w:val="20"/>
              </w:rPr>
            </w:pPr>
            <w:r>
              <w:rPr>
                <w:rFonts w:cs="Arial"/>
                <w:bCs/>
                <w:color w:val="000000"/>
                <w:sz w:val="20"/>
              </w:rPr>
              <w:t xml:space="preserve">(by end Q3) </w:t>
            </w:r>
          </w:p>
        </w:tc>
        <w:tc>
          <w:tcPr>
            <w:tcW w:w="2970" w:type="dxa"/>
          </w:tcPr>
          <w:p w:rsidR="00385F7E" w:rsidRPr="00C92429" w:rsidRDefault="00385F7E" w:rsidP="00F46034">
            <w:pPr>
              <w:autoSpaceDE w:val="0"/>
              <w:autoSpaceDN w:val="0"/>
              <w:adjustRightInd w:val="0"/>
              <w:spacing w:line="241" w:lineRule="atLeast"/>
              <w:jc w:val="left"/>
              <w:rPr>
                <w:rFonts w:cs="Arial"/>
                <w:sz w:val="20"/>
              </w:rPr>
            </w:pPr>
            <w:r w:rsidRPr="00C92429">
              <w:rPr>
                <w:rFonts w:cs="Arial"/>
                <w:sz w:val="20"/>
              </w:rPr>
              <w:t>The Cambodia Rural Roads Improvement Project (ADB financed) include</w:t>
            </w:r>
            <w:r w:rsidR="00F46034">
              <w:rPr>
                <w:rFonts w:cs="Arial"/>
                <w:sz w:val="20"/>
              </w:rPr>
              <w:t>s</w:t>
            </w:r>
            <w:r w:rsidRPr="00C92429">
              <w:rPr>
                <w:rFonts w:cs="Arial"/>
                <w:sz w:val="20"/>
              </w:rPr>
              <w:t xml:space="preserve"> a comprehensive project gender action plan (GAP). The project was approved in 2010 and implementation </w:t>
            </w:r>
            <w:r w:rsidR="00F46034">
              <w:rPr>
                <w:rFonts w:cs="Arial"/>
                <w:sz w:val="20"/>
              </w:rPr>
              <w:t>commenced</w:t>
            </w:r>
            <w:r w:rsidRPr="00C92429">
              <w:rPr>
                <w:rFonts w:cs="Arial"/>
                <w:sz w:val="20"/>
              </w:rPr>
              <w:t xml:space="preserve"> in 2012. The GDCF subproject will support skills training of women on </w:t>
            </w:r>
            <w:r w:rsidR="00F46034">
              <w:rPr>
                <w:rFonts w:cs="Arial"/>
                <w:sz w:val="20"/>
              </w:rPr>
              <w:t xml:space="preserve">road side </w:t>
            </w:r>
            <w:r w:rsidRPr="00C92429">
              <w:rPr>
                <w:rFonts w:cs="Arial"/>
                <w:sz w:val="20"/>
              </w:rPr>
              <w:t xml:space="preserve">maintenance and </w:t>
            </w:r>
            <w:r w:rsidR="00F46034">
              <w:rPr>
                <w:rFonts w:cs="Arial"/>
                <w:sz w:val="20"/>
              </w:rPr>
              <w:t xml:space="preserve">undertake </w:t>
            </w:r>
            <w:r w:rsidRPr="00C92429">
              <w:rPr>
                <w:rFonts w:cs="Arial"/>
                <w:sz w:val="20"/>
              </w:rPr>
              <w:t xml:space="preserve">other preparatory activities </w:t>
            </w:r>
            <w:r w:rsidR="00D01D20">
              <w:rPr>
                <w:rFonts w:cs="Arial"/>
                <w:sz w:val="20"/>
              </w:rPr>
              <w:t xml:space="preserve">for </w:t>
            </w:r>
            <w:r w:rsidR="00F46034">
              <w:rPr>
                <w:rFonts w:cs="Arial"/>
                <w:sz w:val="20"/>
              </w:rPr>
              <w:t xml:space="preserve">successful </w:t>
            </w:r>
            <w:r w:rsidRPr="00C92429">
              <w:rPr>
                <w:rFonts w:cs="Arial"/>
                <w:sz w:val="20"/>
              </w:rPr>
              <w:t>GAP implementation.</w:t>
            </w:r>
          </w:p>
        </w:tc>
        <w:tc>
          <w:tcPr>
            <w:tcW w:w="3330" w:type="dxa"/>
          </w:tcPr>
          <w:p w:rsidR="00385F7E" w:rsidRPr="00C92429" w:rsidRDefault="00385F7E" w:rsidP="00527FD3">
            <w:pPr>
              <w:jc w:val="left"/>
              <w:rPr>
                <w:rFonts w:cs="Arial"/>
                <w:sz w:val="20"/>
              </w:rPr>
            </w:pPr>
            <w:r w:rsidRPr="00C92429">
              <w:rPr>
                <w:rFonts w:cs="Arial"/>
                <w:b/>
                <w:sz w:val="20"/>
                <w:u w:val="single"/>
              </w:rPr>
              <w:t>Outcome:</w:t>
            </w:r>
            <w:r w:rsidR="00931377">
              <w:rPr>
                <w:rFonts w:cs="Arial"/>
                <w:sz w:val="20"/>
              </w:rPr>
              <w:t xml:space="preserve"> G</w:t>
            </w:r>
            <w:r w:rsidRPr="00C92429">
              <w:rPr>
                <w:rFonts w:cs="Arial"/>
                <w:sz w:val="20"/>
              </w:rPr>
              <w:t>reater access for women to rural road construction and maintenance jobs.</w:t>
            </w:r>
          </w:p>
          <w:p w:rsidR="00914E23" w:rsidRDefault="00385F7E" w:rsidP="00914E23">
            <w:pPr>
              <w:jc w:val="left"/>
              <w:rPr>
                <w:rFonts w:cs="Arial"/>
                <w:sz w:val="20"/>
              </w:rPr>
            </w:pPr>
            <w:r w:rsidRPr="00C92429">
              <w:rPr>
                <w:rFonts w:cs="Arial"/>
                <w:b/>
                <w:sz w:val="20"/>
                <w:u w:val="single"/>
              </w:rPr>
              <w:t>Outputs:</w:t>
            </w:r>
            <w:r w:rsidR="00931377">
              <w:rPr>
                <w:rFonts w:cs="Arial"/>
                <w:sz w:val="20"/>
              </w:rPr>
              <w:t xml:space="preserve"> i) R</w:t>
            </w:r>
            <w:r w:rsidRPr="00C92429">
              <w:rPr>
                <w:rFonts w:cs="Arial"/>
                <w:sz w:val="20"/>
              </w:rPr>
              <w:t xml:space="preserve">ural women demonstrate increased demand for rural road construction and maintenance jobs; (ii) rural road contractors hire more women, monitor and report sex-disaggregated employment data; (iii) MRDs Social and Environmental Office Gender Working Group and provincial departments (PDRDs) have increased capacity for gender mainstreaming in rural road projects; and (iv) advocacy and communication materials for women’s </w:t>
            </w:r>
            <w:r w:rsidR="00F46034">
              <w:rPr>
                <w:rFonts w:cs="Arial"/>
                <w:sz w:val="20"/>
              </w:rPr>
              <w:t>involvement</w:t>
            </w:r>
            <w:r w:rsidRPr="00C92429">
              <w:rPr>
                <w:rFonts w:cs="Arial"/>
                <w:sz w:val="20"/>
              </w:rPr>
              <w:t xml:space="preserve"> in rural road construction and maintenance are developed and disseminated.  </w:t>
            </w:r>
          </w:p>
          <w:p w:rsidR="00931377" w:rsidRDefault="00023661" w:rsidP="00914E23">
            <w:pPr>
              <w:jc w:val="left"/>
              <w:rPr>
                <w:rFonts w:cs="Arial"/>
                <w:sz w:val="20"/>
              </w:rPr>
            </w:pPr>
            <w:r w:rsidRPr="00023661">
              <w:rPr>
                <w:rFonts w:cs="Arial"/>
                <w:b/>
                <w:sz w:val="20"/>
                <w:u w:val="single"/>
              </w:rPr>
              <w:t xml:space="preserve">Contract </w:t>
            </w:r>
            <w:r w:rsidR="00931377" w:rsidRPr="00023661">
              <w:rPr>
                <w:rFonts w:cs="Arial"/>
                <w:b/>
                <w:sz w:val="20"/>
                <w:u w:val="single"/>
              </w:rPr>
              <w:t>D</w:t>
            </w:r>
            <w:r w:rsidR="00931377" w:rsidRPr="00C92429">
              <w:rPr>
                <w:rFonts w:cs="Arial"/>
                <w:b/>
                <w:sz w:val="20"/>
                <w:u w:val="single"/>
              </w:rPr>
              <w:t>uration</w:t>
            </w:r>
            <w:r w:rsidR="00931377" w:rsidRPr="00C92429">
              <w:rPr>
                <w:rFonts w:cs="Arial"/>
                <w:sz w:val="20"/>
              </w:rPr>
              <w:t>: 12 months (Sep1 2012 - Aug 2013)</w:t>
            </w:r>
          </w:p>
          <w:p w:rsidR="00385F7E" w:rsidRPr="00C92429" w:rsidRDefault="00385F7E" w:rsidP="00914E23">
            <w:pPr>
              <w:jc w:val="left"/>
              <w:rPr>
                <w:rFonts w:cs="Arial"/>
                <w:sz w:val="20"/>
              </w:rPr>
            </w:pPr>
          </w:p>
        </w:tc>
        <w:tc>
          <w:tcPr>
            <w:tcW w:w="4320" w:type="dxa"/>
          </w:tcPr>
          <w:p w:rsidR="00385F7E" w:rsidRPr="00C92429" w:rsidRDefault="00CF49A5" w:rsidP="00701A00">
            <w:pPr>
              <w:rPr>
                <w:rFonts w:cs="Arial"/>
                <w:sz w:val="20"/>
              </w:rPr>
            </w:pPr>
            <w:r w:rsidRPr="00C92429">
              <w:rPr>
                <w:rFonts w:cs="Arial"/>
                <w:b/>
                <w:i/>
                <w:sz w:val="20"/>
              </w:rPr>
              <w:t>Consultant recruitment ongoing</w:t>
            </w:r>
          </w:p>
          <w:p w:rsidR="00CF49A5" w:rsidRPr="00C92429" w:rsidRDefault="00CF49A5" w:rsidP="006B6582">
            <w:pPr>
              <w:jc w:val="left"/>
              <w:rPr>
                <w:rFonts w:cs="Arial"/>
                <w:sz w:val="20"/>
                <w:u w:val="single"/>
              </w:rPr>
            </w:pPr>
          </w:p>
          <w:p w:rsidR="001820D1" w:rsidRPr="00C92429" w:rsidRDefault="0018362F" w:rsidP="00CF49A5">
            <w:pPr>
              <w:rPr>
                <w:rFonts w:cs="Arial"/>
                <w:sz w:val="20"/>
              </w:rPr>
            </w:pPr>
            <w:r>
              <w:rPr>
                <w:rFonts w:cs="Arial"/>
                <w:sz w:val="20"/>
              </w:rPr>
              <w:t>R</w:t>
            </w:r>
            <w:r w:rsidR="00CF49A5" w:rsidRPr="00C92429">
              <w:rPr>
                <w:rFonts w:cs="Arial"/>
                <w:sz w:val="20"/>
              </w:rPr>
              <w:t xml:space="preserve">ecruitment of two consulting </w:t>
            </w:r>
            <w:r w:rsidR="00457A59" w:rsidRPr="00C92429">
              <w:rPr>
                <w:rFonts w:cs="Arial"/>
                <w:sz w:val="20"/>
              </w:rPr>
              <w:t>firms</w:t>
            </w:r>
            <w:r w:rsidR="00CF49A5" w:rsidRPr="00C92429">
              <w:rPr>
                <w:rFonts w:cs="Arial"/>
                <w:sz w:val="20"/>
              </w:rPr>
              <w:t xml:space="preserve"> is </w:t>
            </w:r>
            <w:r w:rsidR="00457A59" w:rsidRPr="00C92429">
              <w:rPr>
                <w:rFonts w:cs="Arial"/>
                <w:sz w:val="20"/>
              </w:rPr>
              <w:t>in progress</w:t>
            </w:r>
            <w:r w:rsidR="00CF49A5" w:rsidRPr="00C92429">
              <w:rPr>
                <w:rFonts w:cs="Arial"/>
                <w:sz w:val="20"/>
              </w:rPr>
              <w:t xml:space="preserve">. </w:t>
            </w:r>
            <w:r w:rsidR="00457A59" w:rsidRPr="00C92429">
              <w:rPr>
                <w:rFonts w:cs="Arial"/>
                <w:sz w:val="20"/>
              </w:rPr>
              <w:t xml:space="preserve">Contract with CARE, the NGO </w:t>
            </w:r>
            <w:r>
              <w:rPr>
                <w:rFonts w:cs="Arial"/>
                <w:sz w:val="20"/>
              </w:rPr>
              <w:t>wh</w:t>
            </w:r>
            <w:r w:rsidR="00931377">
              <w:rPr>
                <w:rFonts w:cs="Arial"/>
                <w:sz w:val="20"/>
              </w:rPr>
              <w:t xml:space="preserve">ich </w:t>
            </w:r>
            <w:r>
              <w:rPr>
                <w:rFonts w:cs="Arial"/>
                <w:sz w:val="20"/>
              </w:rPr>
              <w:t xml:space="preserve">will </w:t>
            </w:r>
            <w:r w:rsidR="00457A59" w:rsidRPr="00C92429">
              <w:rPr>
                <w:rFonts w:cs="Arial"/>
                <w:sz w:val="20"/>
              </w:rPr>
              <w:t>implement the gender capacity development component of the project, is under negotiation</w:t>
            </w:r>
            <w:r w:rsidR="001820D1" w:rsidRPr="00C92429">
              <w:rPr>
                <w:rFonts w:cs="Arial"/>
                <w:sz w:val="20"/>
              </w:rPr>
              <w:t>.</w:t>
            </w:r>
            <w:r w:rsidR="00457A59" w:rsidRPr="00C92429">
              <w:rPr>
                <w:rFonts w:cs="Arial"/>
                <w:sz w:val="20"/>
              </w:rPr>
              <w:t xml:space="preserve"> </w:t>
            </w:r>
            <w:r>
              <w:rPr>
                <w:rFonts w:cs="Arial"/>
                <w:sz w:val="20"/>
              </w:rPr>
              <w:t>Contract</w:t>
            </w:r>
            <w:r w:rsidR="00457A59" w:rsidRPr="00C92429">
              <w:rPr>
                <w:rFonts w:cs="Arial"/>
                <w:sz w:val="20"/>
              </w:rPr>
              <w:t xml:space="preserve"> with the firm</w:t>
            </w:r>
            <w:r w:rsidR="00F46034">
              <w:rPr>
                <w:rFonts w:cs="Arial"/>
                <w:sz w:val="20"/>
              </w:rPr>
              <w:t xml:space="preserve"> that</w:t>
            </w:r>
            <w:r w:rsidR="00457A59" w:rsidRPr="00C92429">
              <w:rPr>
                <w:rFonts w:cs="Arial"/>
                <w:sz w:val="20"/>
              </w:rPr>
              <w:t xml:space="preserve"> will develop and test communications tools for social marketing, advocacy and behavior change purposes, is expected to be concluded in January 2013</w:t>
            </w:r>
            <w:r w:rsidR="001820D1" w:rsidRPr="00C92429">
              <w:rPr>
                <w:rFonts w:cs="Arial"/>
                <w:sz w:val="20"/>
              </w:rPr>
              <w:t xml:space="preserve">.  </w:t>
            </w:r>
          </w:p>
          <w:p w:rsidR="00CF49A5" w:rsidRPr="00C92429" w:rsidRDefault="00457A59" w:rsidP="00CF49A5">
            <w:pPr>
              <w:rPr>
                <w:rFonts w:cs="Arial"/>
                <w:sz w:val="20"/>
              </w:rPr>
            </w:pPr>
            <w:r w:rsidRPr="00C92429">
              <w:rPr>
                <w:rFonts w:cs="Arial"/>
                <w:sz w:val="20"/>
              </w:rPr>
              <w:t>.</w:t>
            </w:r>
          </w:p>
          <w:p w:rsidR="00385F7E" w:rsidRPr="00C92429" w:rsidRDefault="00CF49A5" w:rsidP="00CF49A5">
            <w:pPr>
              <w:rPr>
                <w:rFonts w:cs="Arial"/>
                <w:sz w:val="20"/>
              </w:rPr>
            </w:pPr>
            <w:r w:rsidRPr="00C92429">
              <w:rPr>
                <w:rFonts w:cs="Arial"/>
                <w:sz w:val="20"/>
              </w:rPr>
              <w:t>Synchronized implementation is expected to commence in January 2013.</w:t>
            </w:r>
          </w:p>
        </w:tc>
      </w:tr>
      <w:tr w:rsidR="00385F7E" w:rsidRPr="00C92429" w:rsidTr="00D0215E">
        <w:tc>
          <w:tcPr>
            <w:tcW w:w="648" w:type="dxa"/>
          </w:tcPr>
          <w:p w:rsidR="00385F7E" w:rsidRPr="00C92429" w:rsidRDefault="00385F7E" w:rsidP="00CD2532">
            <w:pPr>
              <w:jc w:val="center"/>
              <w:rPr>
                <w:rFonts w:cs="Arial"/>
                <w:sz w:val="20"/>
              </w:rPr>
            </w:pPr>
            <w:r w:rsidRPr="00C92429">
              <w:rPr>
                <w:rFonts w:cs="Arial"/>
                <w:sz w:val="20"/>
              </w:rPr>
              <w:t>3</w:t>
            </w:r>
          </w:p>
        </w:tc>
        <w:tc>
          <w:tcPr>
            <w:tcW w:w="720" w:type="dxa"/>
          </w:tcPr>
          <w:p w:rsidR="00385F7E" w:rsidRPr="00C92429" w:rsidRDefault="00385F7E" w:rsidP="009A7972">
            <w:pPr>
              <w:rPr>
                <w:rFonts w:cs="Arial"/>
                <w:sz w:val="20"/>
              </w:rPr>
            </w:pPr>
            <w:r w:rsidRPr="00C92429">
              <w:rPr>
                <w:rFonts w:cs="Arial"/>
                <w:sz w:val="20"/>
              </w:rPr>
              <w:t>TIM</w:t>
            </w:r>
          </w:p>
        </w:tc>
        <w:tc>
          <w:tcPr>
            <w:tcW w:w="2610" w:type="dxa"/>
          </w:tcPr>
          <w:p w:rsidR="00385F7E" w:rsidRPr="00C92429" w:rsidRDefault="00385F7E" w:rsidP="00292583">
            <w:pPr>
              <w:jc w:val="left"/>
              <w:rPr>
                <w:rFonts w:cs="Arial"/>
                <w:bCs/>
                <w:color w:val="000000"/>
                <w:sz w:val="20"/>
                <w:lang w:eastAsia="ja-JP"/>
              </w:rPr>
            </w:pPr>
            <w:r w:rsidRPr="00C92429">
              <w:rPr>
                <w:rFonts w:cs="Arial"/>
                <w:bCs/>
                <w:color w:val="000000"/>
                <w:sz w:val="20"/>
                <w:lang w:eastAsia="ja-JP"/>
              </w:rPr>
              <w:t>Preparing Gender-Inclusive Community Participation for Oecusse and Ermera Water Rehabilitation</w:t>
            </w:r>
          </w:p>
          <w:p w:rsidR="00385F7E" w:rsidRPr="00C92429" w:rsidRDefault="00385F7E" w:rsidP="00292583">
            <w:pPr>
              <w:jc w:val="left"/>
              <w:rPr>
                <w:rFonts w:cs="Arial"/>
                <w:bCs/>
                <w:color w:val="000000"/>
                <w:sz w:val="20"/>
                <w:lang w:eastAsia="ja-JP"/>
              </w:rPr>
            </w:pPr>
          </w:p>
          <w:p w:rsidR="00385F7E" w:rsidRPr="00C92429" w:rsidRDefault="00385F7E" w:rsidP="00292583">
            <w:pPr>
              <w:jc w:val="left"/>
              <w:rPr>
                <w:rFonts w:cs="Arial"/>
                <w:bCs/>
                <w:color w:val="000000"/>
                <w:sz w:val="20"/>
                <w:lang w:eastAsia="ja-JP"/>
              </w:rPr>
            </w:pPr>
            <w:r w:rsidRPr="00C92429">
              <w:rPr>
                <w:rFonts w:cs="Arial"/>
                <w:bCs/>
                <w:color w:val="000000"/>
                <w:sz w:val="20"/>
                <w:lang w:eastAsia="ja-JP"/>
              </w:rPr>
              <w:t>Project Officer: M. Paniagua</w:t>
            </w:r>
          </w:p>
          <w:p w:rsidR="00385F7E" w:rsidRDefault="00385F7E" w:rsidP="00292583">
            <w:pPr>
              <w:jc w:val="left"/>
              <w:rPr>
                <w:rFonts w:cs="Arial"/>
                <w:bCs/>
                <w:color w:val="000000"/>
                <w:sz w:val="20"/>
                <w:lang w:eastAsia="ja-JP"/>
              </w:rPr>
            </w:pPr>
            <w:r w:rsidRPr="00C92429">
              <w:rPr>
                <w:rFonts w:cs="Arial"/>
                <w:bCs/>
                <w:color w:val="000000"/>
                <w:sz w:val="20"/>
                <w:lang w:eastAsia="ja-JP"/>
              </w:rPr>
              <w:t>Dept: PARD (Pacific Department)</w:t>
            </w:r>
          </w:p>
          <w:p w:rsidR="00D0215E" w:rsidRDefault="00D0215E" w:rsidP="00292583">
            <w:pPr>
              <w:jc w:val="left"/>
              <w:rPr>
                <w:rFonts w:cs="Arial"/>
                <w:bCs/>
                <w:color w:val="000000"/>
                <w:sz w:val="20"/>
                <w:lang w:eastAsia="ja-JP"/>
              </w:rPr>
            </w:pPr>
          </w:p>
          <w:p w:rsidR="00D0215E" w:rsidRDefault="00D0215E" w:rsidP="00292583">
            <w:pPr>
              <w:jc w:val="left"/>
              <w:rPr>
                <w:rFonts w:cs="Arial"/>
                <w:bCs/>
                <w:color w:val="000000"/>
                <w:sz w:val="20"/>
                <w:lang w:eastAsia="ja-JP"/>
              </w:rPr>
            </w:pPr>
            <w:r>
              <w:rPr>
                <w:rFonts w:cs="Arial"/>
                <w:bCs/>
                <w:color w:val="000000"/>
                <w:sz w:val="20"/>
                <w:lang w:eastAsia="ja-JP"/>
              </w:rPr>
              <w:t xml:space="preserve">Approval: </w:t>
            </w:r>
            <w:r w:rsidR="001203B5">
              <w:rPr>
                <w:rFonts w:cs="Arial"/>
                <w:bCs/>
                <w:color w:val="000000"/>
                <w:sz w:val="20"/>
                <w:lang w:eastAsia="ja-JP"/>
              </w:rPr>
              <w:t>24 Nov 2010</w:t>
            </w:r>
          </w:p>
          <w:p w:rsidR="001203B5" w:rsidRDefault="00D0215E" w:rsidP="00292583">
            <w:pPr>
              <w:jc w:val="left"/>
              <w:rPr>
                <w:rFonts w:cs="Arial"/>
                <w:bCs/>
                <w:color w:val="000000"/>
                <w:sz w:val="20"/>
                <w:lang w:eastAsia="ja-JP"/>
              </w:rPr>
            </w:pPr>
            <w:r>
              <w:rPr>
                <w:rFonts w:cs="Arial"/>
                <w:bCs/>
                <w:color w:val="000000"/>
                <w:sz w:val="20"/>
                <w:lang w:eastAsia="ja-JP"/>
              </w:rPr>
              <w:t>C</w:t>
            </w:r>
            <w:r w:rsidR="00023661">
              <w:rPr>
                <w:rFonts w:cs="Arial"/>
                <w:bCs/>
                <w:color w:val="000000"/>
                <w:sz w:val="20"/>
                <w:lang w:eastAsia="ja-JP"/>
              </w:rPr>
              <w:t>ompletion</w:t>
            </w:r>
            <w:r>
              <w:rPr>
                <w:rFonts w:cs="Arial"/>
                <w:bCs/>
                <w:color w:val="000000"/>
                <w:sz w:val="20"/>
                <w:lang w:eastAsia="ja-JP"/>
              </w:rPr>
              <w:t xml:space="preserve">:  </w:t>
            </w:r>
            <w:r w:rsidR="001203B5">
              <w:rPr>
                <w:rFonts w:cs="Arial"/>
                <w:bCs/>
                <w:color w:val="000000"/>
                <w:sz w:val="20"/>
                <w:lang w:eastAsia="ja-JP"/>
              </w:rPr>
              <w:t>31 Jul 2011</w:t>
            </w:r>
            <w:r w:rsidR="00733327">
              <w:rPr>
                <w:rFonts w:cs="Arial"/>
                <w:bCs/>
                <w:color w:val="000000"/>
                <w:sz w:val="20"/>
                <w:lang w:eastAsia="ja-JP"/>
              </w:rPr>
              <w:t xml:space="preserve"> </w:t>
            </w:r>
            <w:r w:rsidR="00023661">
              <w:rPr>
                <w:rFonts w:cs="Arial"/>
                <w:bCs/>
                <w:color w:val="000000"/>
                <w:sz w:val="20"/>
                <w:lang w:eastAsia="ja-JP"/>
              </w:rPr>
              <w:t>(</w:t>
            </w:r>
            <w:r w:rsidR="00733327">
              <w:rPr>
                <w:rFonts w:cs="Arial"/>
                <w:bCs/>
                <w:color w:val="000000"/>
                <w:sz w:val="20"/>
                <w:lang w:eastAsia="ja-JP"/>
              </w:rPr>
              <w:t>Completed</w:t>
            </w:r>
            <w:r w:rsidR="00023661">
              <w:rPr>
                <w:rFonts w:cs="Arial"/>
                <w:bCs/>
                <w:color w:val="000000"/>
                <w:sz w:val="20"/>
                <w:lang w:eastAsia="ja-JP"/>
              </w:rPr>
              <w:t>)</w:t>
            </w:r>
          </w:p>
          <w:p w:rsidR="001203B5" w:rsidRPr="00C92429" w:rsidRDefault="001203B5" w:rsidP="00292583">
            <w:pPr>
              <w:jc w:val="left"/>
              <w:rPr>
                <w:rFonts w:cs="Arial"/>
                <w:sz w:val="20"/>
              </w:rPr>
            </w:pPr>
          </w:p>
        </w:tc>
        <w:tc>
          <w:tcPr>
            <w:tcW w:w="990" w:type="dxa"/>
          </w:tcPr>
          <w:p w:rsidR="00385F7E" w:rsidRPr="00C92429" w:rsidRDefault="00385F7E" w:rsidP="00385F7E">
            <w:pPr>
              <w:jc w:val="right"/>
              <w:rPr>
                <w:rFonts w:cs="Arial"/>
                <w:sz w:val="20"/>
              </w:rPr>
            </w:pPr>
            <w:r w:rsidRPr="00C92429">
              <w:rPr>
                <w:rFonts w:cs="Arial"/>
                <w:sz w:val="20"/>
              </w:rPr>
              <w:t>35,463</w:t>
            </w:r>
          </w:p>
        </w:tc>
        <w:tc>
          <w:tcPr>
            <w:tcW w:w="1260" w:type="dxa"/>
          </w:tcPr>
          <w:p w:rsidR="00385F7E" w:rsidRPr="00C92429" w:rsidRDefault="00385F7E" w:rsidP="00385F7E">
            <w:pPr>
              <w:jc w:val="right"/>
              <w:rPr>
                <w:rFonts w:cs="Arial"/>
                <w:sz w:val="20"/>
              </w:rPr>
            </w:pPr>
            <w:r w:rsidRPr="00C92429">
              <w:rPr>
                <w:rFonts w:cs="Arial"/>
                <w:sz w:val="20"/>
              </w:rPr>
              <w:t>35,463</w:t>
            </w:r>
          </w:p>
        </w:tc>
        <w:tc>
          <w:tcPr>
            <w:tcW w:w="1440" w:type="dxa"/>
          </w:tcPr>
          <w:p w:rsidR="00385F7E" w:rsidRPr="00C92429" w:rsidRDefault="00385F7E" w:rsidP="00023661">
            <w:pPr>
              <w:jc w:val="right"/>
              <w:rPr>
                <w:rFonts w:cs="Arial"/>
                <w:sz w:val="20"/>
              </w:rPr>
            </w:pPr>
            <w:r w:rsidRPr="00C92429">
              <w:rPr>
                <w:rFonts w:cs="Arial"/>
                <w:sz w:val="20"/>
              </w:rPr>
              <w:t>0</w:t>
            </w:r>
          </w:p>
        </w:tc>
        <w:tc>
          <w:tcPr>
            <w:tcW w:w="2970" w:type="dxa"/>
          </w:tcPr>
          <w:p w:rsidR="00385F7E" w:rsidRPr="00C92429" w:rsidRDefault="00C257C4" w:rsidP="00C257C4">
            <w:pPr>
              <w:jc w:val="left"/>
              <w:rPr>
                <w:rFonts w:cs="Arial"/>
                <w:sz w:val="20"/>
              </w:rPr>
            </w:pPr>
            <w:r>
              <w:rPr>
                <w:rFonts w:cs="Arial"/>
                <w:sz w:val="20"/>
              </w:rPr>
              <w:t xml:space="preserve">Sub-project allocated funds to complement project preparatory work to </w:t>
            </w:r>
            <w:r w:rsidR="00385F7E" w:rsidRPr="00C92429">
              <w:rPr>
                <w:rFonts w:cs="Arial"/>
                <w:sz w:val="20"/>
              </w:rPr>
              <w:t xml:space="preserve">(i) support women’s participation </w:t>
            </w:r>
            <w:r>
              <w:rPr>
                <w:rFonts w:cs="Arial"/>
                <w:sz w:val="20"/>
              </w:rPr>
              <w:t xml:space="preserve">and involvement in </w:t>
            </w:r>
            <w:r w:rsidR="00385F7E" w:rsidRPr="00C92429">
              <w:rPr>
                <w:rFonts w:cs="Arial"/>
                <w:sz w:val="20"/>
              </w:rPr>
              <w:t>community consultation</w:t>
            </w:r>
            <w:r>
              <w:rPr>
                <w:rFonts w:cs="Arial"/>
                <w:sz w:val="20"/>
              </w:rPr>
              <w:t>s</w:t>
            </w:r>
            <w:r w:rsidR="00385F7E" w:rsidRPr="00C92429">
              <w:rPr>
                <w:rFonts w:cs="Arial"/>
                <w:sz w:val="20"/>
              </w:rPr>
              <w:t>; (ii)</w:t>
            </w:r>
            <w:r>
              <w:rPr>
                <w:rFonts w:cs="Arial"/>
                <w:sz w:val="20"/>
              </w:rPr>
              <w:t xml:space="preserve"> testing of a pilot initiative for gender-inclusive construction; (iii) develop a detailed gender action plan for ensuing loan project and (iv) </w:t>
            </w:r>
            <w:r w:rsidR="00385F7E" w:rsidRPr="00C92429">
              <w:rPr>
                <w:rFonts w:cs="Arial"/>
                <w:sz w:val="20"/>
              </w:rPr>
              <w:t>develop a sex-disaggregated database for monitoring and evaluation during project implementation</w:t>
            </w:r>
            <w:r>
              <w:rPr>
                <w:rFonts w:cs="Arial"/>
                <w:sz w:val="20"/>
              </w:rPr>
              <w:t>.</w:t>
            </w:r>
          </w:p>
        </w:tc>
        <w:tc>
          <w:tcPr>
            <w:tcW w:w="3330" w:type="dxa"/>
          </w:tcPr>
          <w:p w:rsidR="00385F7E" w:rsidRPr="00C92429" w:rsidRDefault="00385F7E" w:rsidP="00B32C57">
            <w:pPr>
              <w:jc w:val="left"/>
              <w:rPr>
                <w:rFonts w:cs="Arial"/>
                <w:sz w:val="20"/>
              </w:rPr>
            </w:pPr>
            <w:r w:rsidRPr="00C92429">
              <w:rPr>
                <w:rFonts w:cs="Arial"/>
                <w:b/>
                <w:sz w:val="20"/>
                <w:u w:val="single"/>
              </w:rPr>
              <w:t>Outcome:</w:t>
            </w:r>
            <w:r w:rsidR="00931377">
              <w:rPr>
                <w:rFonts w:cs="Arial"/>
                <w:sz w:val="20"/>
              </w:rPr>
              <w:t xml:space="preserve"> G</w:t>
            </w:r>
            <w:r w:rsidRPr="00C92429">
              <w:rPr>
                <w:rFonts w:cs="Arial"/>
                <w:sz w:val="20"/>
              </w:rPr>
              <w:t>ender-inclusive project design</w:t>
            </w:r>
            <w:r w:rsidR="00C257C4">
              <w:rPr>
                <w:rFonts w:cs="Arial"/>
                <w:sz w:val="20"/>
              </w:rPr>
              <w:t xml:space="preserve">. </w:t>
            </w:r>
            <w:r w:rsidRPr="00C92429">
              <w:rPr>
                <w:rFonts w:cs="Arial"/>
                <w:sz w:val="20"/>
              </w:rPr>
              <w:t xml:space="preserve"> About 600 </w:t>
            </w:r>
            <w:r w:rsidR="00C257C4">
              <w:rPr>
                <w:rFonts w:cs="Arial"/>
                <w:sz w:val="20"/>
              </w:rPr>
              <w:t>-</w:t>
            </w:r>
            <w:r w:rsidRPr="00C92429">
              <w:rPr>
                <w:rFonts w:cs="Arial"/>
                <w:sz w:val="20"/>
              </w:rPr>
              <w:t xml:space="preserve"> 800 women in the project communities are expected to be mobilized during </w:t>
            </w:r>
            <w:r w:rsidR="00C257C4">
              <w:rPr>
                <w:rFonts w:cs="Arial"/>
                <w:sz w:val="20"/>
              </w:rPr>
              <w:t>p</w:t>
            </w:r>
            <w:r w:rsidR="00BA7D7B">
              <w:rPr>
                <w:rFonts w:cs="Arial"/>
                <w:sz w:val="20"/>
              </w:rPr>
              <w:t>roject preparation</w:t>
            </w:r>
            <w:r w:rsidRPr="00C92429">
              <w:rPr>
                <w:rFonts w:cs="Arial"/>
                <w:sz w:val="20"/>
              </w:rPr>
              <w:t xml:space="preserve">. </w:t>
            </w:r>
          </w:p>
          <w:p w:rsidR="00385F7E" w:rsidRPr="00C92429" w:rsidRDefault="00385F7E" w:rsidP="00B32C57">
            <w:pPr>
              <w:jc w:val="left"/>
              <w:rPr>
                <w:rFonts w:cs="Arial"/>
                <w:sz w:val="20"/>
              </w:rPr>
            </w:pPr>
            <w:r w:rsidRPr="00C92429">
              <w:rPr>
                <w:rFonts w:cs="Arial"/>
                <w:b/>
                <w:sz w:val="20"/>
                <w:u w:val="single"/>
              </w:rPr>
              <w:t>Outputs:</w:t>
            </w:r>
            <w:r w:rsidR="00931377">
              <w:rPr>
                <w:rFonts w:cs="Arial"/>
                <w:sz w:val="20"/>
              </w:rPr>
              <w:t xml:space="preserve"> i) A</w:t>
            </w:r>
            <w:r w:rsidRPr="00C92429">
              <w:rPr>
                <w:rFonts w:cs="Arial"/>
                <w:sz w:val="20"/>
              </w:rPr>
              <w:t xml:space="preserve">ctive and effective participation of women in </w:t>
            </w:r>
            <w:r w:rsidR="00BA7D7B">
              <w:rPr>
                <w:rFonts w:cs="Arial"/>
                <w:sz w:val="20"/>
              </w:rPr>
              <w:t>project preparation</w:t>
            </w:r>
            <w:r w:rsidRPr="00C92429">
              <w:rPr>
                <w:rFonts w:cs="Arial"/>
                <w:sz w:val="20"/>
              </w:rPr>
              <w:t xml:space="preserve"> consultations and activities; ii) a report on key lessons from the field </w:t>
            </w:r>
            <w:r w:rsidR="00BA7D7B">
              <w:rPr>
                <w:rFonts w:cs="Arial"/>
                <w:sz w:val="20"/>
              </w:rPr>
              <w:t>on</w:t>
            </w:r>
            <w:r w:rsidRPr="00C92429">
              <w:rPr>
                <w:rFonts w:cs="Arial"/>
                <w:sz w:val="20"/>
              </w:rPr>
              <w:t xml:space="preserve"> women’s participation in infrastructure projects; and (iii) establishment of  sex-disaggregated baseline data to monitor gender-equality results during the project implementation.</w:t>
            </w:r>
          </w:p>
          <w:p w:rsidR="00385F7E" w:rsidRPr="00C92429" w:rsidRDefault="00023661" w:rsidP="00304184">
            <w:pPr>
              <w:jc w:val="left"/>
              <w:rPr>
                <w:rFonts w:cs="Arial"/>
                <w:sz w:val="20"/>
              </w:rPr>
            </w:pPr>
            <w:r>
              <w:rPr>
                <w:rFonts w:cs="Arial"/>
                <w:b/>
                <w:sz w:val="20"/>
                <w:u w:val="single"/>
              </w:rPr>
              <w:t xml:space="preserve">Contract </w:t>
            </w:r>
            <w:r w:rsidR="00385F7E" w:rsidRPr="00C92429">
              <w:rPr>
                <w:rFonts w:cs="Arial"/>
                <w:b/>
                <w:sz w:val="20"/>
                <w:u w:val="single"/>
              </w:rPr>
              <w:t>Duration</w:t>
            </w:r>
            <w:r w:rsidR="00385F7E" w:rsidRPr="00C92429">
              <w:rPr>
                <w:rFonts w:cs="Arial"/>
                <w:sz w:val="20"/>
              </w:rPr>
              <w:t>: 8 months intermittent (Dec 2010-Jul 2011)</w:t>
            </w:r>
          </w:p>
        </w:tc>
        <w:tc>
          <w:tcPr>
            <w:tcW w:w="4320" w:type="dxa"/>
          </w:tcPr>
          <w:p w:rsidR="00385F7E" w:rsidRPr="00C257C4" w:rsidRDefault="00385F7E" w:rsidP="00C428C7">
            <w:pPr>
              <w:rPr>
                <w:rFonts w:cs="Arial"/>
                <w:color w:val="000000"/>
                <w:sz w:val="20"/>
              </w:rPr>
            </w:pPr>
            <w:r w:rsidRPr="00C92429">
              <w:rPr>
                <w:rFonts w:cs="Arial"/>
                <w:b/>
                <w:i/>
                <w:sz w:val="20"/>
              </w:rPr>
              <w:t>Completed in 2011</w:t>
            </w:r>
            <w:r w:rsidRPr="00C92429">
              <w:rPr>
                <w:rFonts w:cs="Arial"/>
                <w:sz w:val="20"/>
              </w:rPr>
              <w:t>. Final Report</w:t>
            </w:r>
            <w:r w:rsidR="00023661">
              <w:rPr>
                <w:rFonts w:cs="Arial"/>
                <w:sz w:val="20"/>
              </w:rPr>
              <w:t xml:space="preserve"> available upon request</w:t>
            </w:r>
            <w:r w:rsidRPr="00C92429">
              <w:rPr>
                <w:rFonts w:cs="Arial"/>
                <w:sz w:val="20"/>
              </w:rPr>
              <w:t xml:space="preserve">. </w:t>
            </w:r>
            <w:r w:rsidR="00BA7D7B">
              <w:rPr>
                <w:rFonts w:cs="Arial"/>
                <w:sz w:val="20"/>
              </w:rPr>
              <w:t>Case study provided separately to</w:t>
            </w:r>
            <w:r w:rsidR="00D66189">
              <w:rPr>
                <w:rFonts w:cs="Arial"/>
                <w:sz w:val="20"/>
              </w:rPr>
              <w:t xml:space="preserve"> AusAID.</w:t>
            </w:r>
            <w:r w:rsidRPr="00C92429">
              <w:rPr>
                <w:rFonts w:cs="Arial"/>
                <w:sz w:val="20"/>
              </w:rPr>
              <w:t xml:space="preserve"> The funding made possible </w:t>
            </w:r>
            <w:r w:rsidR="00C257C4">
              <w:rPr>
                <w:rFonts w:cs="Arial"/>
                <w:sz w:val="20"/>
              </w:rPr>
              <w:t xml:space="preserve">the testing of a </w:t>
            </w:r>
            <w:r w:rsidRPr="00C92429">
              <w:rPr>
                <w:rFonts w:cs="Arial"/>
                <w:color w:val="000000"/>
                <w:sz w:val="20"/>
              </w:rPr>
              <w:t>pilot initiative to use community labor for small works with active participation of women in developing erosion control measures (use of local materials and gabions)</w:t>
            </w:r>
            <w:r w:rsidR="00456C69">
              <w:rPr>
                <w:rFonts w:cs="Arial"/>
                <w:color w:val="000000"/>
                <w:sz w:val="20"/>
              </w:rPr>
              <w:t>.</w:t>
            </w:r>
            <w:r w:rsidRPr="00C92429">
              <w:rPr>
                <w:rFonts w:cs="Arial"/>
                <w:color w:val="000000"/>
                <w:sz w:val="20"/>
              </w:rPr>
              <w:t xml:space="preserve"> </w:t>
            </w:r>
            <w:r w:rsidR="00C257C4">
              <w:rPr>
                <w:rFonts w:cs="Arial"/>
                <w:color w:val="000000"/>
                <w:sz w:val="20"/>
              </w:rPr>
              <w:t>Wo</w:t>
            </w:r>
            <w:r w:rsidRPr="00C92429">
              <w:rPr>
                <w:rFonts w:cs="Arial"/>
                <w:color w:val="000000"/>
                <w:sz w:val="20"/>
              </w:rPr>
              <w:t xml:space="preserve">rkshops and consultations </w:t>
            </w:r>
            <w:r w:rsidR="00C257C4">
              <w:rPr>
                <w:rFonts w:cs="Arial"/>
                <w:color w:val="000000"/>
                <w:sz w:val="20"/>
              </w:rPr>
              <w:t xml:space="preserve">held </w:t>
            </w:r>
            <w:r w:rsidRPr="00C92429">
              <w:rPr>
                <w:rFonts w:cs="Arial"/>
                <w:color w:val="000000"/>
                <w:sz w:val="20"/>
              </w:rPr>
              <w:t xml:space="preserve">with suco chiefs </w:t>
            </w:r>
            <w:r w:rsidR="00C257C4">
              <w:rPr>
                <w:rFonts w:cs="Arial"/>
                <w:color w:val="000000"/>
                <w:sz w:val="20"/>
              </w:rPr>
              <w:t>to facilitate</w:t>
            </w:r>
            <w:r w:rsidRPr="00C92429">
              <w:rPr>
                <w:rFonts w:cs="Arial"/>
                <w:color w:val="000000"/>
                <w:sz w:val="20"/>
              </w:rPr>
              <w:t xml:space="preserve"> involve</w:t>
            </w:r>
            <w:r w:rsidR="00C257C4">
              <w:rPr>
                <w:rFonts w:cs="Arial"/>
                <w:color w:val="000000"/>
                <w:sz w:val="20"/>
              </w:rPr>
              <w:t>ment of</w:t>
            </w:r>
            <w:r w:rsidRPr="00C92429">
              <w:rPr>
                <w:rFonts w:cs="Arial"/>
                <w:color w:val="000000"/>
                <w:sz w:val="20"/>
              </w:rPr>
              <w:t xml:space="preserve"> women in the </w:t>
            </w:r>
            <w:r w:rsidR="00456C69">
              <w:rPr>
                <w:rFonts w:cs="Arial"/>
                <w:color w:val="000000"/>
                <w:sz w:val="20"/>
              </w:rPr>
              <w:t xml:space="preserve">pilot resulting in </w:t>
            </w:r>
            <w:r w:rsidRPr="00C92429">
              <w:rPr>
                <w:rFonts w:cs="Arial"/>
                <w:color w:val="000000"/>
                <w:sz w:val="20"/>
              </w:rPr>
              <w:t>women selecti</w:t>
            </w:r>
            <w:r w:rsidR="00456C69">
              <w:rPr>
                <w:rFonts w:cs="Arial"/>
                <w:color w:val="000000"/>
                <w:sz w:val="20"/>
              </w:rPr>
              <w:t xml:space="preserve">ng </w:t>
            </w:r>
            <w:r w:rsidRPr="00C92429">
              <w:rPr>
                <w:rFonts w:cs="Arial"/>
                <w:color w:val="000000"/>
                <w:sz w:val="20"/>
              </w:rPr>
              <w:t xml:space="preserve">households to benefit from employment, </w:t>
            </w:r>
            <w:r w:rsidR="00456C69">
              <w:rPr>
                <w:rFonts w:cs="Arial"/>
                <w:color w:val="000000"/>
                <w:sz w:val="20"/>
              </w:rPr>
              <w:t xml:space="preserve">work </w:t>
            </w:r>
            <w:r w:rsidRPr="00C92429">
              <w:rPr>
                <w:rFonts w:cs="Arial"/>
                <w:color w:val="000000"/>
                <w:sz w:val="20"/>
              </w:rPr>
              <w:t>schedules, meal logistics for workers, and having one of the community women responsible for coordinating and supervising management of community laborers)</w:t>
            </w:r>
            <w:r w:rsidR="00456C69">
              <w:rPr>
                <w:rFonts w:cs="Arial"/>
                <w:color w:val="000000"/>
                <w:sz w:val="20"/>
              </w:rPr>
              <w:t>. It also resulted in</w:t>
            </w:r>
            <w:r w:rsidRPr="00C92429">
              <w:rPr>
                <w:rFonts w:cs="Arial"/>
                <w:color w:val="000000"/>
                <w:sz w:val="20"/>
              </w:rPr>
              <w:t xml:space="preserve"> women benefit</w:t>
            </w:r>
            <w:r w:rsidR="00456C69">
              <w:rPr>
                <w:rFonts w:cs="Arial"/>
                <w:color w:val="000000"/>
                <w:sz w:val="20"/>
              </w:rPr>
              <w:t>ing</w:t>
            </w:r>
            <w:r w:rsidRPr="00C92429">
              <w:rPr>
                <w:rFonts w:cs="Arial"/>
                <w:color w:val="000000"/>
                <w:sz w:val="20"/>
              </w:rPr>
              <w:t xml:space="preserve"> from the work opportunities and training (with </w:t>
            </w:r>
            <w:r w:rsidRPr="00C92429">
              <w:rPr>
                <w:rFonts w:cs="Arial"/>
                <w:color w:val="000000"/>
                <w:sz w:val="20"/>
              </w:rPr>
              <w:lastRenderedPageBreak/>
              <w:t xml:space="preserve">more than 40% </w:t>
            </w:r>
            <w:r w:rsidR="00456C69">
              <w:rPr>
                <w:rFonts w:cs="Arial"/>
                <w:color w:val="000000"/>
                <w:sz w:val="20"/>
              </w:rPr>
              <w:t>female</w:t>
            </w:r>
            <w:r w:rsidRPr="00C92429">
              <w:rPr>
                <w:rFonts w:cs="Arial"/>
                <w:color w:val="000000"/>
                <w:sz w:val="20"/>
              </w:rPr>
              <w:t xml:space="preserve"> laborers).  The pilot demonstrated that women</w:t>
            </w:r>
            <w:r w:rsidR="00931377">
              <w:rPr>
                <w:rFonts w:cs="Arial"/>
                <w:color w:val="000000"/>
                <w:sz w:val="20"/>
              </w:rPr>
              <w:t>’s</w:t>
            </w:r>
            <w:r w:rsidRPr="00C92429">
              <w:rPr>
                <w:rFonts w:cs="Arial"/>
                <w:color w:val="000000"/>
                <w:sz w:val="20"/>
              </w:rPr>
              <w:t xml:space="preserve"> participation w</w:t>
            </w:r>
            <w:r w:rsidR="00931377">
              <w:rPr>
                <w:rFonts w:cs="Arial"/>
                <w:color w:val="000000"/>
                <w:sz w:val="20"/>
              </w:rPr>
              <w:t xml:space="preserve">as </w:t>
            </w:r>
            <w:r w:rsidRPr="00C92429">
              <w:rPr>
                <w:rFonts w:cs="Arial"/>
                <w:color w:val="000000"/>
                <w:sz w:val="20"/>
              </w:rPr>
              <w:t xml:space="preserve">realistic and achievable and resulted in the </w:t>
            </w:r>
            <w:r w:rsidR="00456C69">
              <w:rPr>
                <w:rFonts w:cs="Arial"/>
                <w:color w:val="000000"/>
                <w:sz w:val="20"/>
              </w:rPr>
              <w:t xml:space="preserve">ensuing project being designed with a strong GAP that includes </w:t>
            </w:r>
            <w:r w:rsidR="00C257C4" w:rsidRPr="00C257C4">
              <w:rPr>
                <w:rFonts w:cs="Arial"/>
                <w:iCs/>
                <w:color w:val="000000"/>
                <w:sz w:val="20"/>
              </w:rPr>
              <w:t>(i) 40% target for women’s employment in civil works during construction; (ii) a minimum 30% of maintenance trainees to be women to ensure ongoing maintenance employment opportunities; (iii) at least 50% female membership of community-based groups, and; (iv) at least 30% females in the Coordinating Committees in each district l.</w:t>
            </w:r>
          </w:p>
          <w:p w:rsidR="00385F7E" w:rsidRPr="00C92429" w:rsidRDefault="00385F7E" w:rsidP="00FF2649">
            <w:pPr>
              <w:autoSpaceDE w:val="0"/>
              <w:autoSpaceDN w:val="0"/>
              <w:adjustRightInd w:val="0"/>
              <w:jc w:val="left"/>
              <w:rPr>
                <w:rFonts w:cs="Arial"/>
                <w:sz w:val="20"/>
              </w:rPr>
            </w:pPr>
          </w:p>
        </w:tc>
      </w:tr>
      <w:tr w:rsidR="00385F7E" w:rsidRPr="00C92429" w:rsidTr="00D0215E">
        <w:trPr>
          <w:trHeight w:val="1340"/>
        </w:trPr>
        <w:tc>
          <w:tcPr>
            <w:tcW w:w="648" w:type="dxa"/>
          </w:tcPr>
          <w:p w:rsidR="00385F7E" w:rsidRPr="00C92429" w:rsidRDefault="00385F7E" w:rsidP="00CD2532">
            <w:pPr>
              <w:jc w:val="center"/>
              <w:rPr>
                <w:rFonts w:cs="Arial"/>
                <w:sz w:val="20"/>
              </w:rPr>
            </w:pPr>
            <w:r w:rsidRPr="00C92429">
              <w:rPr>
                <w:rFonts w:cs="Arial"/>
                <w:sz w:val="20"/>
              </w:rPr>
              <w:lastRenderedPageBreak/>
              <w:t>4</w:t>
            </w:r>
          </w:p>
        </w:tc>
        <w:tc>
          <w:tcPr>
            <w:tcW w:w="720" w:type="dxa"/>
          </w:tcPr>
          <w:p w:rsidR="00385F7E" w:rsidRPr="00C92429" w:rsidRDefault="00385F7E" w:rsidP="009A7972">
            <w:pPr>
              <w:rPr>
                <w:rFonts w:cs="Arial"/>
                <w:sz w:val="20"/>
              </w:rPr>
            </w:pPr>
            <w:r w:rsidRPr="00C92429">
              <w:rPr>
                <w:rFonts w:cs="Arial"/>
                <w:sz w:val="20"/>
              </w:rPr>
              <w:t>VIE</w:t>
            </w:r>
          </w:p>
        </w:tc>
        <w:tc>
          <w:tcPr>
            <w:tcW w:w="2610" w:type="dxa"/>
          </w:tcPr>
          <w:p w:rsidR="00385F7E" w:rsidRPr="00C92429" w:rsidRDefault="00385F7E" w:rsidP="00292583">
            <w:pPr>
              <w:jc w:val="left"/>
              <w:rPr>
                <w:rFonts w:cs="Arial"/>
                <w:color w:val="000000"/>
                <w:sz w:val="20"/>
                <w:lang w:eastAsia="ja-JP"/>
              </w:rPr>
            </w:pPr>
            <w:r w:rsidRPr="00C92429">
              <w:rPr>
                <w:rFonts w:cs="Arial"/>
                <w:color w:val="000000"/>
                <w:sz w:val="20"/>
                <w:lang w:eastAsia="ja-JP"/>
              </w:rPr>
              <w:t>Mainstreaming Gender in Biogas &amp; Livestock Value Chain Management</w:t>
            </w:r>
          </w:p>
          <w:p w:rsidR="00385F7E" w:rsidRPr="00C92429" w:rsidRDefault="00385F7E" w:rsidP="00292583">
            <w:pPr>
              <w:jc w:val="left"/>
              <w:rPr>
                <w:rFonts w:cs="Arial"/>
                <w:color w:val="000000"/>
                <w:sz w:val="20"/>
                <w:lang w:eastAsia="ja-JP"/>
              </w:rPr>
            </w:pPr>
          </w:p>
          <w:p w:rsidR="00385F7E" w:rsidRPr="00C92429" w:rsidRDefault="00385F7E" w:rsidP="00292583">
            <w:pPr>
              <w:jc w:val="left"/>
              <w:rPr>
                <w:rFonts w:cs="Arial"/>
                <w:color w:val="000000"/>
                <w:sz w:val="20"/>
                <w:lang w:eastAsia="ja-JP"/>
              </w:rPr>
            </w:pPr>
            <w:r w:rsidRPr="00C92429">
              <w:rPr>
                <w:rFonts w:cs="Arial"/>
                <w:color w:val="000000"/>
                <w:sz w:val="20"/>
                <w:lang w:eastAsia="ja-JP"/>
              </w:rPr>
              <w:t>Project Officer: A. Musa</w:t>
            </w:r>
          </w:p>
          <w:p w:rsidR="00385F7E" w:rsidRDefault="00385F7E" w:rsidP="00292583">
            <w:pPr>
              <w:jc w:val="left"/>
              <w:rPr>
                <w:rFonts w:cs="Arial"/>
                <w:color w:val="000000"/>
                <w:sz w:val="20"/>
                <w:lang w:eastAsia="ja-JP"/>
              </w:rPr>
            </w:pPr>
            <w:r w:rsidRPr="00C92429">
              <w:rPr>
                <w:rFonts w:cs="Arial"/>
                <w:color w:val="000000"/>
                <w:sz w:val="20"/>
                <w:lang w:eastAsia="ja-JP"/>
              </w:rPr>
              <w:t>Dept: SERD</w:t>
            </w:r>
          </w:p>
          <w:p w:rsidR="00023661" w:rsidRDefault="00023661" w:rsidP="00292583">
            <w:pPr>
              <w:jc w:val="left"/>
              <w:rPr>
                <w:rFonts w:cs="Arial"/>
                <w:color w:val="000000"/>
                <w:sz w:val="20"/>
                <w:lang w:eastAsia="ja-JP"/>
              </w:rPr>
            </w:pPr>
          </w:p>
          <w:p w:rsidR="00023661" w:rsidRDefault="00023661" w:rsidP="00023661">
            <w:pPr>
              <w:jc w:val="left"/>
              <w:rPr>
                <w:rFonts w:cs="Arial"/>
                <w:color w:val="000000"/>
                <w:sz w:val="20"/>
                <w:lang w:eastAsia="ja-JP"/>
              </w:rPr>
            </w:pPr>
            <w:r>
              <w:rPr>
                <w:rFonts w:cs="Arial"/>
                <w:color w:val="000000"/>
                <w:sz w:val="20"/>
                <w:lang w:eastAsia="ja-JP"/>
              </w:rPr>
              <w:t xml:space="preserve">Approval: </w:t>
            </w:r>
            <w:r w:rsidR="001203B5">
              <w:rPr>
                <w:rFonts w:cs="Arial"/>
                <w:color w:val="000000"/>
                <w:sz w:val="20"/>
                <w:lang w:eastAsia="ja-JP"/>
              </w:rPr>
              <w:t xml:space="preserve">23 Aug 2011 </w:t>
            </w:r>
          </w:p>
          <w:p w:rsidR="001203B5" w:rsidRPr="00C92429" w:rsidRDefault="00023661" w:rsidP="00023661">
            <w:pPr>
              <w:jc w:val="left"/>
              <w:rPr>
                <w:rFonts w:cs="Arial"/>
                <w:sz w:val="20"/>
              </w:rPr>
            </w:pPr>
            <w:r>
              <w:rPr>
                <w:rFonts w:cs="Arial"/>
                <w:color w:val="000000"/>
                <w:sz w:val="20"/>
                <w:lang w:eastAsia="ja-JP"/>
              </w:rPr>
              <w:t xml:space="preserve">Completion: </w:t>
            </w:r>
            <w:r w:rsidR="001203B5">
              <w:rPr>
                <w:rFonts w:cs="Arial"/>
                <w:color w:val="000000"/>
                <w:sz w:val="20"/>
                <w:lang w:eastAsia="ja-JP"/>
              </w:rPr>
              <w:t>28 Feb 2013</w:t>
            </w:r>
          </w:p>
        </w:tc>
        <w:tc>
          <w:tcPr>
            <w:tcW w:w="990" w:type="dxa"/>
          </w:tcPr>
          <w:p w:rsidR="00385F7E" w:rsidRPr="00C92429" w:rsidRDefault="00385F7E" w:rsidP="00CA58B1">
            <w:pPr>
              <w:jc w:val="center"/>
              <w:rPr>
                <w:rFonts w:cs="Arial"/>
                <w:sz w:val="20"/>
              </w:rPr>
            </w:pPr>
            <w:r w:rsidRPr="00C92429">
              <w:rPr>
                <w:rFonts w:cs="Arial"/>
                <w:sz w:val="20"/>
              </w:rPr>
              <w:t>100,000</w:t>
            </w:r>
          </w:p>
        </w:tc>
        <w:tc>
          <w:tcPr>
            <w:tcW w:w="1260" w:type="dxa"/>
          </w:tcPr>
          <w:p w:rsidR="00385F7E" w:rsidRPr="00C92429" w:rsidRDefault="00385F7E" w:rsidP="00385F7E">
            <w:pPr>
              <w:jc w:val="right"/>
              <w:rPr>
                <w:rFonts w:cs="Arial"/>
                <w:sz w:val="20"/>
              </w:rPr>
            </w:pPr>
            <w:r w:rsidRPr="00C92429">
              <w:rPr>
                <w:rFonts w:cs="Arial"/>
                <w:sz w:val="20"/>
              </w:rPr>
              <w:t>37,109</w:t>
            </w:r>
          </w:p>
        </w:tc>
        <w:tc>
          <w:tcPr>
            <w:tcW w:w="1440" w:type="dxa"/>
          </w:tcPr>
          <w:p w:rsidR="00385F7E" w:rsidRDefault="008236E9" w:rsidP="000704AC">
            <w:pPr>
              <w:jc w:val="right"/>
              <w:rPr>
                <w:rFonts w:cs="Arial"/>
                <w:sz w:val="20"/>
              </w:rPr>
            </w:pPr>
            <w:r>
              <w:rPr>
                <w:rFonts w:cs="Arial"/>
                <w:sz w:val="20"/>
              </w:rPr>
              <w:t>62</w:t>
            </w:r>
            <w:r w:rsidR="000704AC" w:rsidRPr="00C92429">
              <w:rPr>
                <w:rFonts w:cs="Arial"/>
                <w:sz w:val="20"/>
              </w:rPr>
              <w:t>,891</w:t>
            </w:r>
          </w:p>
          <w:p w:rsidR="001148D2" w:rsidRPr="00C92429" w:rsidRDefault="001148D2" w:rsidP="000704AC">
            <w:pPr>
              <w:jc w:val="right"/>
              <w:rPr>
                <w:rFonts w:cs="Arial"/>
                <w:sz w:val="20"/>
              </w:rPr>
            </w:pPr>
            <w:r>
              <w:rPr>
                <w:rFonts w:cs="Arial"/>
                <w:sz w:val="20"/>
              </w:rPr>
              <w:t>(by end Q1)</w:t>
            </w:r>
          </w:p>
        </w:tc>
        <w:tc>
          <w:tcPr>
            <w:tcW w:w="2970" w:type="dxa"/>
          </w:tcPr>
          <w:p w:rsidR="00456C69" w:rsidRDefault="00456C69" w:rsidP="00456C69">
            <w:pPr>
              <w:jc w:val="left"/>
              <w:rPr>
                <w:rFonts w:cs="Arial"/>
                <w:sz w:val="20"/>
              </w:rPr>
            </w:pPr>
            <w:r>
              <w:rPr>
                <w:rFonts w:cs="Arial"/>
                <w:sz w:val="20"/>
              </w:rPr>
              <w:t xml:space="preserve">This subproject aimed to </w:t>
            </w:r>
          </w:p>
          <w:p w:rsidR="00385F7E" w:rsidRPr="00C92429" w:rsidRDefault="00456C69" w:rsidP="00456C69">
            <w:pPr>
              <w:jc w:val="left"/>
              <w:rPr>
                <w:rFonts w:cs="Arial"/>
                <w:sz w:val="20"/>
              </w:rPr>
            </w:pPr>
            <w:r>
              <w:rPr>
                <w:rFonts w:cs="Arial"/>
                <w:sz w:val="20"/>
              </w:rPr>
              <w:t>(i) conduct</w:t>
            </w:r>
            <w:r w:rsidRPr="00C92429">
              <w:rPr>
                <w:rFonts w:cs="Arial"/>
                <w:sz w:val="20"/>
              </w:rPr>
              <w:t xml:space="preserve"> a detailed gender analysis t</w:t>
            </w:r>
            <w:r>
              <w:rPr>
                <w:rFonts w:cs="Arial"/>
                <w:sz w:val="20"/>
              </w:rPr>
              <w:t>o</w:t>
            </w:r>
            <w:r w:rsidRPr="00C92429">
              <w:rPr>
                <w:rFonts w:cs="Arial"/>
                <w:sz w:val="20"/>
              </w:rPr>
              <w:t xml:space="preserve"> feed into </w:t>
            </w:r>
            <w:r>
              <w:rPr>
                <w:rFonts w:cs="Arial"/>
                <w:sz w:val="20"/>
              </w:rPr>
              <w:t xml:space="preserve">developing </w:t>
            </w:r>
            <w:r w:rsidRPr="00C92429">
              <w:rPr>
                <w:rFonts w:cs="Arial"/>
                <w:sz w:val="20"/>
              </w:rPr>
              <w:t xml:space="preserve">the </w:t>
            </w:r>
            <w:r>
              <w:rPr>
                <w:rFonts w:cs="Arial"/>
                <w:sz w:val="20"/>
              </w:rPr>
              <w:t xml:space="preserve">project </w:t>
            </w:r>
            <w:r w:rsidRPr="00C92429">
              <w:rPr>
                <w:rFonts w:cs="Arial"/>
                <w:sz w:val="20"/>
              </w:rPr>
              <w:t xml:space="preserve">GAP  </w:t>
            </w:r>
            <w:r>
              <w:rPr>
                <w:rFonts w:cs="Arial"/>
                <w:sz w:val="20"/>
              </w:rPr>
              <w:t xml:space="preserve">for the </w:t>
            </w:r>
            <w:r w:rsidRPr="00456C69">
              <w:rPr>
                <w:rFonts w:cs="Arial"/>
                <w:i/>
                <w:sz w:val="20"/>
              </w:rPr>
              <w:t>Low Carbon Agriculture Support Project (LCASP</w:t>
            </w:r>
            <w:r w:rsidRPr="00C92429">
              <w:rPr>
                <w:rFonts w:cs="Arial"/>
                <w:sz w:val="20"/>
              </w:rPr>
              <w:t xml:space="preserve">) </w:t>
            </w:r>
            <w:r>
              <w:rPr>
                <w:rFonts w:cs="Arial"/>
                <w:sz w:val="20"/>
              </w:rPr>
              <w:t xml:space="preserve">and (ii) build gender capacity of implementing agencies at provincial and district levels of </w:t>
            </w:r>
            <w:r w:rsidR="00385F7E" w:rsidRPr="00C92429">
              <w:rPr>
                <w:rFonts w:cs="Arial"/>
                <w:sz w:val="20"/>
              </w:rPr>
              <w:t xml:space="preserve">Loan 2513: </w:t>
            </w:r>
            <w:r w:rsidR="00385F7E" w:rsidRPr="00456C69">
              <w:rPr>
                <w:rFonts w:cs="Arial"/>
                <w:i/>
                <w:sz w:val="20"/>
              </w:rPr>
              <w:t>Quality and Safety Enhancement of Agriculture Products and Biogas Development Project</w:t>
            </w:r>
            <w:r w:rsidR="00385F7E" w:rsidRPr="00C92429">
              <w:rPr>
                <w:rFonts w:cs="Arial"/>
                <w:sz w:val="20"/>
              </w:rPr>
              <w:t xml:space="preserve"> (2009) </w:t>
            </w:r>
            <w:r>
              <w:rPr>
                <w:rFonts w:cs="Arial"/>
                <w:sz w:val="20"/>
              </w:rPr>
              <w:t xml:space="preserve">which includes </w:t>
            </w:r>
            <w:r w:rsidR="00931377">
              <w:rPr>
                <w:rFonts w:cs="Arial"/>
                <w:sz w:val="20"/>
              </w:rPr>
              <w:t xml:space="preserve"> </w:t>
            </w:r>
            <w:r w:rsidR="00385F7E" w:rsidRPr="00C92429">
              <w:rPr>
                <w:rFonts w:cs="Arial"/>
                <w:sz w:val="20"/>
              </w:rPr>
              <w:t xml:space="preserve">a biogas component </w:t>
            </w:r>
            <w:r>
              <w:rPr>
                <w:rFonts w:cs="Arial"/>
                <w:sz w:val="20"/>
              </w:rPr>
              <w:t xml:space="preserve">to </w:t>
            </w:r>
            <w:r w:rsidR="00385F7E" w:rsidRPr="00C92429">
              <w:rPr>
                <w:rFonts w:cs="Arial"/>
                <w:sz w:val="20"/>
              </w:rPr>
              <w:t xml:space="preserve">support constructing household biogas digesters for 40,000 households (50% women). </w:t>
            </w:r>
          </w:p>
        </w:tc>
        <w:tc>
          <w:tcPr>
            <w:tcW w:w="3330" w:type="dxa"/>
          </w:tcPr>
          <w:p w:rsidR="00385F7E" w:rsidRPr="00C92429" w:rsidRDefault="00385F7E" w:rsidP="00437A87">
            <w:pPr>
              <w:jc w:val="left"/>
              <w:rPr>
                <w:rFonts w:cs="Arial"/>
                <w:sz w:val="20"/>
              </w:rPr>
            </w:pPr>
            <w:r w:rsidRPr="00C92429">
              <w:rPr>
                <w:rFonts w:cs="Arial"/>
                <w:sz w:val="20"/>
              </w:rPr>
              <w:t xml:space="preserve"> </w:t>
            </w:r>
            <w:r w:rsidRPr="00C92429">
              <w:rPr>
                <w:rFonts w:cs="Arial"/>
                <w:b/>
                <w:sz w:val="20"/>
                <w:u w:val="single"/>
              </w:rPr>
              <w:t>Outcome:</w:t>
            </w:r>
            <w:r w:rsidRPr="00C92429">
              <w:rPr>
                <w:rFonts w:cs="Arial"/>
                <w:sz w:val="20"/>
              </w:rPr>
              <w:t xml:space="preserve"> Capacity is enhanced for gender mainstreaming in biogas development projects in Viet Nam through the following target indicators: i) Government staff and consultants working for biogas component of Loan 2513 have started implementing GAP with clear understanding; and ii) well formulated GAP with budget allocation supported by EA in the proposed LCASP. </w:t>
            </w:r>
          </w:p>
          <w:p w:rsidR="00385F7E" w:rsidRPr="00C92429" w:rsidRDefault="00385F7E" w:rsidP="00437A87">
            <w:pPr>
              <w:jc w:val="left"/>
              <w:rPr>
                <w:rFonts w:cs="Arial"/>
                <w:sz w:val="20"/>
              </w:rPr>
            </w:pPr>
            <w:r w:rsidRPr="00C92429">
              <w:rPr>
                <w:rFonts w:cs="Arial"/>
                <w:b/>
                <w:sz w:val="20"/>
                <w:u w:val="single"/>
              </w:rPr>
              <w:t>Output</w:t>
            </w:r>
            <w:r w:rsidRPr="00C92429">
              <w:rPr>
                <w:rFonts w:cs="Arial"/>
                <w:sz w:val="20"/>
                <w:u w:val="single"/>
              </w:rPr>
              <w:t>:</w:t>
            </w:r>
            <w:r w:rsidRPr="00C92429">
              <w:rPr>
                <w:rFonts w:cs="Arial"/>
                <w:sz w:val="20"/>
              </w:rPr>
              <w:t xml:space="preserve"> i) GAP implementation training and consultations for Loan 2513; and ii) detailed gender analysis for GAP for LCASP.</w:t>
            </w:r>
          </w:p>
          <w:p w:rsidR="00385F7E" w:rsidRPr="00C92429" w:rsidRDefault="00385F7E" w:rsidP="00437A87">
            <w:pPr>
              <w:jc w:val="left"/>
              <w:rPr>
                <w:rFonts w:cs="Arial"/>
                <w:sz w:val="20"/>
              </w:rPr>
            </w:pPr>
          </w:p>
          <w:p w:rsidR="00385F7E" w:rsidRPr="00C92429" w:rsidRDefault="00023661" w:rsidP="001622D8">
            <w:pPr>
              <w:jc w:val="left"/>
              <w:rPr>
                <w:rFonts w:cs="Arial"/>
                <w:sz w:val="20"/>
              </w:rPr>
            </w:pPr>
            <w:r>
              <w:rPr>
                <w:rFonts w:cs="Arial"/>
                <w:b/>
                <w:sz w:val="20"/>
                <w:u w:val="single"/>
              </w:rPr>
              <w:t xml:space="preserve">Contract </w:t>
            </w:r>
            <w:r w:rsidR="00385F7E" w:rsidRPr="00C92429">
              <w:rPr>
                <w:rFonts w:cs="Arial"/>
                <w:b/>
                <w:sz w:val="20"/>
                <w:u w:val="single"/>
              </w:rPr>
              <w:t>Duration</w:t>
            </w:r>
            <w:r w:rsidR="00385F7E" w:rsidRPr="00C92429">
              <w:rPr>
                <w:rFonts w:cs="Arial"/>
                <w:sz w:val="20"/>
              </w:rPr>
              <w:t>: 12 months (Feb 2012 - Feb 2013)</w:t>
            </w:r>
          </w:p>
        </w:tc>
        <w:tc>
          <w:tcPr>
            <w:tcW w:w="4320" w:type="dxa"/>
          </w:tcPr>
          <w:p w:rsidR="00023661" w:rsidRDefault="00023661" w:rsidP="00734506">
            <w:pPr>
              <w:rPr>
                <w:rFonts w:cs="Arial"/>
                <w:b/>
                <w:i/>
                <w:sz w:val="20"/>
              </w:rPr>
            </w:pPr>
            <w:r>
              <w:rPr>
                <w:rFonts w:cs="Arial"/>
                <w:b/>
                <w:i/>
                <w:sz w:val="20"/>
              </w:rPr>
              <w:t xml:space="preserve">On Track. </w:t>
            </w:r>
          </w:p>
          <w:p w:rsidR="000F7D7C" w:rsidRPr="00BE69A0" w:rsidRDefault="00BE69A0" w:rsidP="00BE69A0">
            <w:pPr>
              <w:pStyle w:val="ListParagraph"/>
              <w:numPr>
                <w:ilvl w:val="0"/>
                <w:numId w:val="21"/>
              </w:numPr>
              <w:ind w:left="72" w:hanging="90"/>
              <w:rPr>
                <w:sz w:val="20"/>
              </w:rPr>
            </w:pPr>
            <w:r>
              <w:rPr>
                <w:rFonts w:cs="Arial"/>
                <w:sz w:val="20"/>
              </w:rPr>
              <w:t xml:space="preserve"> </w:t>
            </w:r>
            <w:r w:rsidRPr="00BE69A0">
              <w:rPr>
                <w:sz w:val="20"/>
              </w:rPr>
              <w:t>During the preparatory work for  the LCASP loan project, t</w:t>
            </w:r>
            <w:r w:rsidR="003C4992" w:rsidRPr="00BE69A0">
              <w:rPr>
                <w:sz w:val="20"/>
              </w:rPr>
              <w:t>he consultant</w:t>
            </w:r>
            <w:r w:rsidRPr="00BE69A0">
              <w:rPr>
                <w:sz w:val="20"/>
              </w:rPr>
              <w:t xml:space="preserve"> team</w:t>
            </w:r>
            <w:r w:rsidR="003C4992" w:rsidRPr="00BE69A0">
              <w:rPr>
                <w:sz w:val="20"/>
              </w:rPr>
              <w:t xml:space="preserve"> </w:t>
            </w:r>
            <w:r w:rsidR="00D66189" w:rsidRPr="00BE69A0">
              <w:rPr>
                <w:sz w:val="20"/>
              </w:rPr>
              <w:t>conducted an in-depth gender analysis of the biogas sector value chain</w:t>
            </w:r>
            <w:r w:rsidRPr="00BE69A0">
              <w:rPr>
                <w:sz w:val="20"/>
              </w:rPr>
              <w:t xml:space="preserve"> resulting in the design of the</w:t>
            </w:r>
            <w:r w:rsidR="0018362F" w:rsidRPr="00BE69A0">
              <w:rPr>
                <w:sz w:val="20"/>
              </w:rPr>
              <w:t xml:space="preserve"> Gender Action Plan </w:t>
            </w:r>
            <w:r w:rsidR="00D66189" w:rsidRPr="00BE69A0">
              <w:rPr>
                <w:sz w:val="20"/>
              </w:rPr>
              <w:t>(GAP)</w:t>
            </w:r>
            <w:r w:rsidR="00734506" w:rsidRPr="00BE69A0">
              <w:rPr>
                <w:sz w:val="20"/>
              </w:rPr>
              <w:t>.</w:t>
            </w:r>
            <w:r w:rsidRPr="00BE69A0">
              <w:rPr>
                <w:sz w:val="20"/>
              </w:rPr>
              <w:t>with following key features</w:t>
            </w:r>
            <w:r w:rsidR="00734506" w:rsidRPr="00BE69A0">
              <w:rPr>
                <w:sz w:val="20"/>
              </w:rPr>
              <w:t xml:space="preserve"> </w:t>
            </w:r>
            <w:r w:rsidR="00D66189" w:rsidRPr="00BE69A0">
              <w:rPr>
                <w:sz w:val="20"/>
              </w:rPr>
              <w:t>(i) 50% of credit recipients for biogas plant construction; (ii) 20% of those trained on biogas management and technical issues and certified as masons</w:t>
            </w:r>
            <w:r w:rsidR="000F7D7C" w:rsidRPr="00BE69A0">
              <w:rPr>
                <w:sz w:val="20"/>
              </w:rPr>
              <w:t>;</w:t>
            </w:r>
            <w:r w:rsidR="00D66189" w:rsidRPr="00BE69A0">
              <w:rPr>
                <w:sz w:val="20"/>
              </w:rPr>
              <w:t xml:space="preserve"> (iii) 50% of those trained on biogas technology utilization</w:t>
            </w:r>
            <w:r w:rsidR="000F7D7C" w:rsidRPr="00BE69A0">
              <w:rPr>
                <w:sz w:val="20"/>
              </w:rPr>
              <w:t>;</w:t>
            </w:r>
            <w:r w:rsidR="00D66189" w:rsidRPr="00BE69A0">
              <w:rPr>
                <w:sz w:val="20"/>
              </w:rPr>
              <w:t xml:space="preserve"> (iv) 40% of those selected as champions in research and dissemination of CSAWMP technology</w:t>
            </w:r>
            <w:r w:rsidR="000F7D7C" w:rsidRPr="00BE69A0">
              <w:rPr>
                <w:sz w:val="20"/>
              </w:rPr>
              <w:t>;</w:t>
            </w:r>
            <w:r w:rsidR="00D66189" w:rsidRPr="00BE69A0">
              <w:rPr>
                <w:sz w:val="20"/>
              </w:rPr>
              <w:t xml:space="preserve"> (v) </w:t>
            </w:r>
            <w:r w:rsidR="000F7D7C" w:rsidRPr="00BE69A0">
              <w:rPr>
                <w:sz w:val="20"/>
              </w:rPr>
              <w:t>3</w:t>
            </w:r>
            <w:r w:rsidR="00D66189" w:rsidRPr="00BE69A0">
              <w:rPr>
                <w:sz w:val="20"/>
              </w:rPr>
              <w:t>0% of CPMU and PPMU staff</w:t>
            </w:r>
            <w:r w:rsidR="000F7D7C" w:rsidRPr="00BE69A0">
              <w:rPr>
                <w:sz w:val="20"/>
              </w:rPr>
              <w:t xml:space="preserve">; and (vi) </w:t>
            </w:r>
            <w:r w:rsidR="00D66189" w:rsidRPr="00BE69A0">
              <w:rPr>
                <w:sz w:val="20"/>
              </w:rPr>
              <w:t>30% of research projects will cover gender-related</w:t>
            </w:r>
            <w:r w:rsidRPr="00BE69A0">
              <w:rPr>
                <w:sz w:val="20"/>
              </w:rPr>
              <w:t xml:space="preserve"> </w:t>
            </w:r>
            <w:r w:rsidR="000F7D7C" w:rsidRPr="00BE69A0">
              <w:rPr>
                <w:sz w:val="20"/>
              </w:rPr>
              <w:t>I</w:t>
            </w:r>
            <w:r w:rsidR="00D66189" w:rsidRPr="00BE69A0">
              <w:rPr>
                <w:sz w:val="20"/>
              </w:rPr>
              <w:t>ssues</w:t>
            </w:r>
            <w:r w:rsidR="000F7D7C" w:rsidRPr="00BE69A0">
              <w:rPr>
                <w:sz w:val="20"/>
              </w:rPr>
              <w:t xml:space="preserve">. GAP is available from: </w:t>
            </w:r>
            <w:hyperlink r:id="rId9" w:history="1">
              <w:r w:rsidR="000F7D7C" w:rsidRPr="00BE69A0">
                <w:rPr>
                  <w:rStyle w:val="Hyperlink"/>
                  <w:rFonts w:cs="Arial"/>
                  <w:sz w:val="20"/>
                </w:rPr>
                <w:t>http://www.adb.org/projects/documents/low-carbon-agricultural-support-project-gap</w:t>
              </w:r>
            </w:hyperlink>
            <w:r w:rsidR="000F7D7C" w:rsidRPr="00BE69A0">
              <w:rPr>
                <w:sz w:val="20"/>
              </w:rPr>
              <w:t>. Gender analysis report is available upon request.</w:t>
            </w:r>
            <w:r w:rsidRPr="00BE69A0">
              <w:rPr>
                <w:sz w:val="20"/>
              </w:rPr>
              <w:t xml:space="preserve"> Loan project is due for approval </w:t>
            </w:r>
            <w:r>
              <w:rPr>
                <w:sz w:val="20"/>
              </w:rPr>
              <w:t xml:space="preserve">12 </w:t>
            </w:r>
            <w:r w:rsidRPr="00BE69A0">
              <w:rPr>
                <w:sz w:val="20"/>
              </w:rPr>
              <w:t>December 2012.</w:t>
            </w:r>
          </w:p>
          <w:p w:rsidR="00BE69A0" w:rsidRDefault="00BE69A0" w:rsidP="00BE69A0">
            <w:pPr>
              <w:ind w:left="72" w:hanging="90"/>
              <w:rPr>
                <w:rFonts w:cs="Arial"/>
                <w:sz w:val="20"/>
              </w:rPr>
            </w:pPr>
          </w:p>
          <w:p w:rsidR="00385F7E" w:rsidRDefault="00BE69A0" w:rsidP="00BE69A0">
            <w:pPr>
              <w:pStyle w:val="ListParagraph"/>
              <w:numPr>
                <w:ilvl w:val="0"/>
                <w:numId w:val="21"/>
              </w:numPr>
              <w:ind w:left="72" w:hanging="90"/>
              <w:rPr>
                <w:rFonts w:cs="Arial"/>
                <w:sz w:val="20"/>
              </w:rPr>
            </w:pPr>
            <w:r>
              <w:rPr>
                <w:rFonts w:cs="Arial"/>
                <w:sz w:val="20"/>
              </w:rPr>
              <w:t xml:space="preserve">Gender capacity building activities under the Loan 2513 is on-going. </w:t>
            </w:r>
          </w:p>
          <w:p w:rsidR="00BE69A0" w:rsidRDefault="00BE69A0" w:rsidP="00BE69A0">
            <w:pPr>
              <w:pStyle w:val="ListParagraph"/>
              <w:ind w:left="72" w:hanging="90"/>
              <w:rPr>
                <w:rFonts w:cs="Arial"/>
                <w:sz w:val="20"/>
              </w:rPr>
            </w:pPr>
          </w:p>
          <w:p w:rsidR="00E70A4F" w:rsidRPr="00BE69A0" w:rsidRDefault="00E70A4F" w:rsidP="00BE69A0">
            <w:pPr>
              <w:pStyle w:val="ListParagraph"/>
              <w:ind w:left="72" w:hanging="90"/>
              <w:rPr>
                <w:rFonts w:cs="Arial"/>
                <w:sz w:val="20"/>
              </w:rPr>
            </w:pPr>
          </w:p>
          <w:p w:rsidR="00BE69A0" w:rsidRPr="00BE69A0" w:rsidRDefault="00BE69A0" w:rsidP="00BE69A0">
            <w:pPr>
              <w:rPr>
                <w:rFonts w:cs="Arial"/>
                <w:sz w:val="20"/>
              </w:rPr>
            </w:pPr>
          </w:p>
        </w:tc>
      </w:tr>
      <w:tr w:rsidR="00385F7E" w:rsidRPr="00C92429" w:rsidTr="00D0215E">
        <w:tc>
          <w:tcPr>
            <w:tcW w:w="648" w:type="dxa"/>
          </w:tcPr>
          <w:p w:rsidR="00385F7E" w:rsidRPr="00C92429" w:rsidRDefault="000704AC" w:rsidP="001820D1">
            <w:pPr>
              <w:jc w:val="center"/>
              <w:rPr>
                <w:rFonts w:cs="Arial"/>
                <w:sz w:val="20"/>
              </w:rPr>
            </w:pPr>
            <w:r w:rsidRPr="00C92429">
              <w:rPr>
                <w:rFonts w:cs="Arial"/>
                <w:sz w:val="20"/>
              </w:rPr>
              <w:lastRenderedPageBreak/>
              <w:t>5</w:t>
            </w:r>
          </w:p>
        </w:tc>
        <w:tc>
          <w:tcPr>
            <w:tcW w:w="720" w:type="dxa"/>
          </w:tcPr>
          <w:p w:rsidR="00385F7E" w:rsidRPr="00C92429" w:rsidRDefault="00385F7E" w:rsidP="009A7972">
            <w:pPr>
              <w:rPr>
                <w:rFonts w:cs="Arial"/>
                <w:sz w:val="20"/>
              </w:rPr>
            </w:pPr>
            <w:r w:rsidRPr="00C92429">
              <w:rPr>
                <w:rFonts w:cs="Arial"/>
                <w:sz w:val="20"/>
              </w:rPr>
              <w:t>VIE</w:t>
            </w:r>
          </w:p>
        </w:tc>
        <w:tc>
          <w:tcPr>
            <w:tcW w:w="2610" w:type="dxa"/>
          </w:tcPr>
          <w:p w:rsidR="00385F7E" w:rsidRPr="00C92429" w:rsidRDefault="00385F7E" w:rsidP="00292583">
            <w:pPr>
              <w:jc w:val="left"/>
              <w:rPr>
                <w:rFonts w:cs="Arial"/>
                <w:color w:val="000000"/>
                <w:sz w:val="20"/>
              </w:rPr>
            </w:pPr>
            <w:r w:rsidRPr="00C92429">
              <w:rPr>
                <w:rFonts w:cs="Arial"/>
                <w:color w:val="000000"/>
                <w:sz w:val="20"/>
              </w:rPr>
              <w:t>Strengthening Capacity of Women Along the Central Mekong Delta Connectivity Project Phase II (My An to Cao Lanh)</w:t>
            </w:r>
          </w:p>
          <w:p w:rsidR="00385F7E" w:rsidRPr="00C92429" w:rsidRDefault="00385F7E" w:rsidP="00292583">
            <w:pPr>
              <w:jc w:val="left"/>
              <w:rPr>
                <w:rFonts w:cs="Arial"/>
                <w:color w:val="000000"/>
                <w:sz w:val="20"/>
              </w:rPr>
            </w:pPr>
          </w:p>
          <w:p w:rsidR="00385F7E" w:rsidRPr="00C92429" w:rsidRDefault="00385F7E" w:rsidP="00292583">
            <w:pPr>
              <w:jc w:val="left"/>
              <w:rPr>
                <w:rFonts w:cs="Arial"/>
                <w:color w:val="000000"/>
                <w:sz w:val="20"/>
              </w:rPr>
            </w:pPr>
            <w:r w:rsidRPr="00C92429">
              <w:rPr>
                <w:rFonts w:cs="Arial"/>
                <w:color w:val="000000"/>
                <w:sz w:val="20"/>
              </w:rPr>
              <w:t>Project Officers:</w:t>
            </w:r>
          </w:p>
          <w:p w:rsidR="00385F7E" w:rsidRPr="00C92429" w:rsidRDefault="00385F7E" w:rsidP="002F2303">
            <w:pPr>
              <w:jc w:val="left"/>
              <w:rPr>
                <w:rFonts w:cs="Arial"/>
                <w:sz w:val="20"/>
              </w:rPr>
            </w:pPr>
            <w:r w:rsidRPr="00C92429">
              <w:rPr>
                <w:rFonts w:cs="Arial"/>
                <w:sz w:val="20"/>
              </w:rPr>
              <w:t>R. Ishenaliev &amp; U. Hoque</w:t>
            </w:r>
          </w:p>
          <w:p w:rsidR="00385F7E" w:rsidRDefault="00385F7E" w:rsidP="002F2303">
            <w:pPr>
              <w:jc w:val="left"/>
              <w:rPr>
                <w:rFonts w:cs="Arial"/>
                <w:sz w:val="20"/>
              </w:rPr>
            </w:pPr>
            <w:r w:rsidRPr="00C92429">
              <w:rPr>
                <w:rFonts w:cs="Arial"/>
                <w:sz w:val="20"/>
              </w:rPr>
              <w:t>Dept: SERD</w:t>
            </w:r>
          </w:p>
          <w:p w:rsidR="00023661" w:rsidRDefault="00023661" w:rsidP="002F2303">
            <w:pPr>
              <w:jc w:val="left"/>
              <w:rPr>
                <w:rFonts w:cs="Arial"/>
                <w:sz w:val="20"/>
              </w:rPr>
            </w:pPr>
          </w:p>
          <w:p w:rsidR="00023661" w:rsidRDefault="00023661" w:rsidP="002F2303">
            <w:pPr>
              <w:jc w:val="left"/>
              <w:rPr>
                <w:rFonts w:cs="Arial"/>
                <w:sz w:val="20"/>
              </w:rPr>
            </w:pPr>
            <w:r>
              <w:rPr>
                <w:rFonts w:cs="Arial"/>
                <w:sz w:val="20"/>
              </w:rPr>
              <w:t xml:space="preserve">Approval: </w:t>
            </w:r>
            <w:r w:rsidR="001203B5">
              <w:rPr>
                <w:rFonts w:cs="Arial"/>
                <w:sz w:val="20"/>
              </w:rPr>
              <w:t>8 Sep 2011</w:t>
            </w:r>
          </w:p>
          <w:p w:rsidR="001203B5" w:rsidRPr="00C92429" w:rsidRDefault="00023661" w:rsidP="002F2303">
            <w:pPr>
              <w:jc w:val="left"/>
              <w:rPr>
                <w:rFonts w:cs="Arial"/>
                <w:sz w:val="20"/>
              </w:rPr>
            </w:pPr>
            <w:r>
              <w:rPr>
                <w:rFonts w:cs="Arial"/>
                <w:sz w:val="20"/>
              </w:rPr>
              <w:t>Completion: 31 Dec 2012 (</w:t>
            </w:r>
            <w:r w:rsidR="001203B5">
              <w:rPr>
                <w:rFonts w:cs="Arial"/>
                <w:sz w:val="20"/>
              </w:rPr>
              <w:t>extension</w:t>
            </w:r>
            <w:r>
              <w:rPr>
                <w:rFonts w:cs="Arial"/>
                <w:sz w:val="20"/>
              </w:rPr>
              <w:t xml:space="preserve"> being requested</w:t>
            </w:r>
            <w:r w:rsidR="001203B5">
              <w:rPr>
                <w:rFonts w:cs="Arial"/>
                <w:sz w:val="20"/>
              </w:rPr>
              <w:t>)</w:t>
            </w:r>
          </w:p>
          <w:p w:rsidR="00385F7E" w:rsidRPr="00C92429" w:rsidRDefault="00385F7E" w:rsidP="00292583">
            <w:pPr>
              <w:jc w:val="left"/>
              <w:rPr>
                <w:rFonts w:cs="Arial"/>
                <w:sz w:val="20"/>
              </w:rPr>
            </w:pPr>
          </w:p>
        </w:tc>
        <w:tc>
          <w:tcPr>
            <w:tcW w:w="990" w:type="dxa"/>
          </w:tcPr>
          <w:p w:rsidR="00385F7E" w:rsidRPr="00C92429" w:rsidRDefault="00385F7E" w:rsidP="000704AC">
            <w:pPr>
              <w:jc w:val="right"/>
              <w:rPr>
                <w:rFonts w:cs="Arial"/>
                <w:sz w:val="20"/>
              </w:rPr>
            </w:pPr>
            <w:r w:rsidRPr="00C92429">
              <w:rPr>
                <w:rFonts w:cs="Arial"/>
                <w:sz w:val="20"/>
              </w:rPr>
              <w:t>400,000</w:t>
            </w:r>
          </w:p>
        </w:tc>
        <w:tc>
          <w:tcPr>
            <w:tcW w:w="1260" w:type="dxa"/>
          </w:tcPr>
          <w:p w:rsidR="00385F7E" w:rsidRPr="00C92429" w:rsidRDefault="000704AC" w:rsidP="000704AC">
            <w:pPr>
              <w:jc w:val="right"/>
              <w:rPr>
                <w:rFonts w:cs="Arial"/>
                <w:sz w:val="20"/>
              </w:rPr>
            </w:pPr>
            <w:r w:rsidRPr="00C92429">
              <w:rPr>
                <w:rFonts w:cs="Arial"/>
                <w:sz w:val="20"/>
              </w:rPr>
              <w:t>131,536</w:t>
            </w:r>
          </w:p>
        </w:tc>
        <w:tc>
          <w:tcPr>
            <w:tcW w:w="1440" w:type="dxa"/>
          </w:tcPr>
          <w:p w:rsidR="00385F7E" w:rsidRDefault="000704AC" w:rsidP="000704AC">
            <w:pPr>
              <w:jc w:val="right"/>
              <w:rPr>
                <w:rFonts w:cs="Arial"/>
                <w:sz w:val="20"/>
              </w:rPr>
            </w:pPr>
            <w:r w:rsidRPr="00C92429">
              <w:rPr>
                <w:rFonts w:cs="Arial"/>
                <w:sz w:val="20"/>
              </w:rPr>
              <w:t>268,464</w:t>
            </w:r>
          </w:p>
          <w:p w:rsidR="001148D2" w:rsidRPr="00C92429" w:rsidRDefault="001148D2" w:rsidP="001148D2">
            <w:pPr>
              <w:jc w:val="right"/>
              <w:rPr>
                <w:rFonts w:cs="Arial"/>
                <w:sz w:val="20"/>
              </w:rPr>
            </w:pPr>
            <w:r>
              <w:rPr>
                <w:rFonts w:cs="Arial"/>
                <w:sz w:val="20"/>
              </w:rPr>
              <w:t>(by end Q3)</w:t>
            </w:r>
          </w:p>
        </w:tc>
        <w:tc>
          <w:tcPr>
            <w:tcW w:w="2970" w:type="dxa"/>
          </w:tcPr>
          <w:p w:rsidR="00385F7E" w:rsidRPr="00C92429" w:rsidRDefault="00385F7E" w:rsidP="0024727A">
            <w:pPr>
              <w:jc w:val="left"/>
              <w:rPr>
                <w:rFonts w:cs="Arial"/>
                <w:sz w:val="20"/>
              </w:rPr>
            </w:pPr>
            <w:r w:rsidRPr="00C92429">
              <w:rPr>
                <w:rFonts w:cs="Arial"/>
                <w:sz w:val="20"/>
              </w:rPr>
              <w:t xml:space="preserve">Phase 2 of the </w:t>
            </w:r>
            <w:r w:rsidRPr="00BE69A0">
              <w:rPr>
                <w:rFonts w:cs="Arial"/>
                <w:i/>
                <w:sz w:val="20"/>
              </w:rPr>
              <w:t xml:space="preserve">Central Mekong Delta Connectivity </w:t>
            </w:r>
            <w:r w:rsidRPr="00C92429">
              <w:rPr>
                <w:rFonts w:cs="Arial"/>
                <w:sz w:val="20"/>
              </w:rPr>
              <w:t>project aims to promote equitable economic development through the construction of high class road infrastructure linking My An to Cao. The purpose of th</w:t>
            </w:r>
            <w:r w:rsidR="00494337">
              <w:rPr>
                <w:rFonts w:cs="Arial"/>
                <w:sz w:val="20"/>
              </w:rPr>
              <w:t>e</w:t>
            </w:r>
            <w:r w:rsidRPr="00C92429">
              <w:rPr>
                <w:rFonts w:cs="Arial"/>
                <w:sz w:val="20"/>
              </w:rPr>
              <w:t xml:space="preserve"> GDCF proposal is to conduct pre-construction activities to address both potential social risks and opportunities that will emerge as a result of the Central Mekong Delta Connectivity Project. The proposal is related to supporting the economic empowerment of women surrounding the infrastructure construction areas, as well as, reducing their vulnerability and exposure to risks as a result of increased physical connectivity.</w:t>
            </w:r>
          </w:p>
        </w:tc>
        <w:tc>
          <w:tcPr>
            <w:tcW w:w="3330" w:type="dxa"/>
          </w:tcPr>
          <w:p w:rsidR="00385F7E" w:rsidRPr="00C92429" w:rsidRDefault="00385F7E" w:rsidP="00357BDC">
            <w:pPr>
              <w:jc w:val="left"/>
              <w:rPr>
                <w:rFonts w:cs="Arial"/>
                <w:sz w:val="20"/>
              </w:rPr>
            </w:pPr>
            <w:r w:rsidRPr="00C92429">
              <w:rPr>
                <w:rFonts w:cs="Arial"/>
                <w:b/>
                <w:sz w:val="20"/>
                <w:u w:val="single"/>
              </w:rPr>
              <w:t>Outcome:</w:t>
            </w:r>
            <w:r w:rsidRPr="00C92429">
              <w:rPr>
                <w:rFonts w:cs="Arial"/>
                <w:sz w:val="20"/>
              </w:rPr>
              <w:t xml:space="preserve"> Increased capacity of women to engage in local economic activities as well as increase awareness on HIV/AIDS and human trafficking risks in the project areas. </w:t>
            </w:r>
          </w:p>
          <w:p w:rsidR="00385F7E" w:rsidRPr="00C92429" w:rsidRDefault="00385F7E" w:rsidP="00357BDC">
            <w:pPr>
              <w:jc w:val="left"/>
              <w:rPr>
                <w:rFonts w:cs="Arial"/>
                <w:sz w:val="20"/>
              </w:rPr>
            </w:pPr>
            <w:r w:rsidRPr="00C92429">
              <w:rPr>
                <w:rFonts w:cs="Arial"/>
                <w:b/>
                <w:sz w:val="20"/>
                <w:u w:val="single"/>
              </w:rPr>
              <w:t>Output:</w:t>
            </w:r>
            <w:r w:rsidRPr="00C92429">
              <w:rPr>
                <w:rFonts w:cs="Arial"/>
                <w:sz w:val="20"/>
              </w:rPr>
              <w:t xml:space="preserve"> i) Strategy for enhancing income earning opportunities for w</w:t>
            </w:r>
            <w:r w:rsidR="00931377">
              <w:rPr>
                <w:rFonts w:cs="Arial"/>
                <w:sz w:val="20"/>
              </w:rPr>
              <w:t>omen in the project areas; ii) i</w:t>
            </w:r>
            <w:r w:rsidRPr="00C92429">
              <w:rPr>
                <w:rFonts w:cs="Arial"/>
                <w:sz w:val="20"/>
              </w:rPr>
              <w:t>mproved skills to access employment for income generation, in areas directly affected by the My An and Cao Lanh route as well as a f</w:t>
            </w:r>
            <w:r w:rsidR="00931377">
              <w:rPr>
                <w:rFonts w:cs="Arial"/>
                <w:sz w:val="20"/>
              </w:rPr>
              <w:t>ew surrounding areas; and iii) i</w:t>
            </w:r>
            <w:r w:rsidRPr="00C92429">
              <w:rPr>
                <w:rFonts w:cs="Arial"/>
                <w:sz w:val="20"/>
              </w:rPr>
              <w:t>ncreased knowledge amongst women on issues related to gender, HIV/AIDS and trafficking.</w:t>
            </w:r>
          </w:p>
          <w:p w:rsidR="00385F7E" w:rsidRPr="00C92429" w:rsidRDefault="00385F7E" w:rsidP="00357BDC">
            <w:pPr>
              <w:jc w:val="left"/>
              <w:rPr>
                <w:rFonts w:cs="Arial"/>
                <w:sz w:val="20"/>
              </w:rPr>
            </w:pPr>
          </w:p>
          <w:p w:rsidR="00385F7E" w:rsidRPr="00C92429" w:rsidRDefault="00023661" w:rsidP="000B13B6">
            <w:pPr>
              <w:jc w:val="left"/>
              <w:rPr>
                <w:rFonts w:cs="Arial"/>
                <w:sz w:val="20"/>
              </w:rPr>
            </w:pPr>
            <w:r>
              <w:rPr>
                <w:rFonts w:cs="Arial"/>
                <w:b/>
                <w:sz w:val="20"/>
                <w:u w:val="single"/>
              </w:rPr>
              <w:t xml:space="preserve">Contract </w:t>
            </w:r>
            <w:r w:rsidR="00385F7E" w:rsidRPr="00C92429">
              <w:rPr>
                <w:rFonts w:cs="Arial"/>
                <w:b/>
                <w:sz w:val="20"/>
                <w:u w:val="single"/>
              </w:rPr>
              <w:t>Duration:</w:t>
            </w:r>
            <w:r w:rsidR="00385F7E" w:rsidRPr="00C92429">
              <w:rPr>
                <w:rFonts w:cs="Arial"/>
                <w:sz w:val="20"/>
              </w:rPr>
              <w:t xml:space="preserve"> 15 months (Jun 2012- Apr 2013)</w:t>
            </w:r>
          </w:p>
        </w:tc>
        <w:tc>
          <w:tcPr>
            <w:tcW w:w="4320" w:type="dxa"/>
          </w:tcPr>
          <w:p w:rsidR="00385F7E" w:rsidRPr="00C92429" w:rsidRDefault="00385F7E" w:rsidP="00527FD3">
            <w:pPr>
              <w:rPr>
                <w:rFonts w:cs="Arial"/>
                <w:b/>
                <w:i/>
                <w:sz w:val="20"/>
              </w:rPr>
            </w:pPr>
            <w:r w:rsidRPr="00C92429">
              <w:rPr>
                <w:rFonts w:cs="Arial"/>
                <w:b/>
                <w:i/>
                <w:sz w:val="20"/>
              </w:rPr>
              <w:t>Ongoing.</w:t>
            </w:r>
          </w:p>
          <w:p w:rsidR="00385F7E" w:rsidRPr="00C92429" w:rsidRDefault="00385F7E" w:rsidP="000B13B6">
            <w:pPr>
              <w:rPr>
                <w:rFonts w:cs="Arial"/>
                <w:sz w:val="20"/>
              </w:rPr>
            </w:pPr>
            <w:r w:rsidRPr="00C92429">
              <w:rPr>
                <w:rFonts w:cs="Arial"/>
                <w:sz w:val="20"/>
              </w:rPr>
              <w:t>I</w:t>
            </w:r>
            <w:r w:rsidR="003369C5" w:rsidRPr="00C92429">
              <w:rPr>
                <w:rFonts w:cs="Arial"/>
                <w:sz w:val="20"/>
              </w:rPr>
              <w:t xml:space="preserve">nternational </w:t>
            </w:r>
            <w:r w:rsidRPr="00C92429">
              <w:rPr>
                <w:rFonts w:cs="Arial"/>
                <w:sz w:val="20"/>
              </w:rPr>
              <w:t>O</w:t>
            </w:r>
            <w:r w:rsidR="003369C5" w:rsidRPr="00C92429">
              <w:rPr>
                <w:rFonts w:cs="Arial"/>
                <w:sz w:val="20"/>
              </w:rPr>
              <w:t xml:space="preserve">rganization for </w:t>
            </w:r>
            <w:r w:rsidRPr="00C92429">
              <w:rPr>
                <w:rFonts w:cs="Arial"/>
                <w:sz w:val="20"/>
              </w:rPr>
              <w:t>M</w:t>
            </w:r>
            <w:r w:rsidR="003369C5" w:rsidRPr="00C92429">
              <w:rPr>
                <w:rFonts w:cs="Arial"/>
                <w:sz w:val="20"/>
              </w:rPr>
              <w:t>igration (IOM)</w:t>
            </w:r>
            <w:r w:rsidRPr="00C92429">
              <w:rPr>
                <w:rFonts w:cs="Arial"/>
                <w:sz w:val="20"/>
              </w:rPr>
              <w:t xml:space="preserve"> </w:t>
            </w:r>
            <w:r w:rsidR="00494337">
              <w:rPr>
                <w:rFonts w:cs="Arial"/>
                <w:sz w:val="20"/>
              </w:rPr>
              <w:t>was</w:t>
            </w:r>
            <w:r w:rsidR="003C4992">
              <w:rPr>
                <w:rFonts w:cs="Arial"/>
                <w:sz w:val="20"/>
              </w:rPr>
              <w:t xml:space="preserve"> recruited </w:t>
            </w:r>
            <w:r w:rsidR="00494337">
              <w:rPr>
                <w:rFonts w:cs="Arial"/>
                <w:sz w:val="20"/>
              </w:rPr>
              <w:t xml:space="preserve">and fielded on 1 June 2012. </w:t>
            </w:r>
            <w:r w:rsidR="003C4992">
              <w:rPr>
                <w:rFonts w:cs="Arial"/>
                <w:sz w:val="20"/>
              </w:rPr>
              <w:t>.</w:t>
            </w:r>
          </w:p>
          <w:p w:rsidR="00385F7E" w:rsidRPr="00C92429" w:rsidRDefault="00385F7E" w:rsidP="001622D8">
            <w:pPr>
              <w:rPr>
                <w:rFonts w:cs="Arial"/>
                <w:sz w:val="20"/>
              </w:rPr>
            </w:pPr>
          </w:p>
          <w:p w:rsidR="00494337" w:rsidRPr="0024727A" w:rsidRDefault="009A0CB9" w:rsidP="003C4992">
            <w:pPr>
              <w:autoSpaceDE w:val="0"/>
              <w:autoSpaceDN w:val="0"/>
              <w:adjustRightInd w:val="0"/>
              <w:contextualSpacing/>
              <w:rPr>
                <w:rFonts w:cs="Arial"/>
                <w:b/>
                <w:sz w:val="20"/>
              </w:rPr>
            </w:pPr>
            <w:r w:rsidRPr="0024727A">
              <w:rPr>
                <w:rFonts w:cs="Arial"/>
                <w:b/>
                <w:sz w:val="20"/>
              </w:rPr>
              <w:t xml:space="preserve">Activities accomplished:  </w:t>
            </w:r>
          </w:p>
          <w:p w:rsidR="00494337" w:rsidRDefault="00494337" w:rsidP="00494337">
            <w:pPr>
              <w:pStyle w:val="ListParagraph"/>
              <w:numPr>
                <w:ilvl w:val="0"/>
                <w:numId w:val="23"/>
              </w:numPr>
              <w:autoSpaceDE w:val="0"/>
              <w:autoSpaceDN w:val="0"/>
              <w:adjustRightInd w:val="0"/>
              <w:ind w:left="252" w:hanging="270"/>
              <w:contextualSpacing/>
              <w:rPr>
                <w:rFonts w:cs="Arial"/>
                <w:sz w:val="20"/>
              </w:rPr>
            </w:pPr>
            <w:r w:rsidRPr="00494337">
              <w:rPr>
                <w:rFonts w:cs="Arial"/>
                <w:sz w:val="20"/>
              </w:rPr>
              <w:t>initial consultations with relevant government agencies, provincial stakeholders (VWU, DOLISA, DARD, Vocational Schools, Social Policy Bank, etc) and communities completed</w:t>
            </w:r>
            <w:r>
              <w:rPr>
                <w:rFonts w:cs="Arial"/>
                <w:sz w:val="20"/>
              </w:rPr>
              <w:t>.</w:t>
            </w:r>
          </w:p>
          <w:p w:rsidR="00494337" w:rsidRDefault="009A0CB9" w:rsidP="00494337">
            <w:pPr>
              <w:pStyle w:val="ListParagraph"/>
              <w:numPr>
                <w:ilvl w:val="0"/>
                <w:numId w:val="23"/>
              </w:numPr>
              <w:autoSpaceDE w:val="0"/>
              <w:autoSpaceDN w:val="0"/>
              <w:adjustRightInd w:val="0"/>
              <w:ind w:left="252" w:hanging="270"/>
              <w:contextualSpacing/>
              <w:rPr>
                <w:rFonts w:cs="Arial"/>
                <w:sz w:val="20"/>
              </w:rPr>
            </w:pPr>
            <w:r w:rsidRPr="00494337">
              <w:rPr>
                <w:rFonts w:cs="Arial"/>
                <w:sz w:val="20"/>
              </w:rPr>
              <w:t>rapid assessment, mapping of service providers and validat</w:t>
            </w:r>
            <w:r w:rsidR="00931377" w:rsidRPr="00494337">
              <w:rPr>
                <w:rFonts w:cs="Arial"/>
                <w:sz w:val="20"/>
              </w:rPr>
              <w:t xml:space="preserve">ing </w:t>
            </w:r>
            <w:r w:rsidRPr="00494337">
              <w:rPr>
                <w:rFonts w:cs="Arial"/>
                <w:sz w:val="20"/>
              </w:rPr>
              <w:t xml:space="preserve"> the project framework; </w:t>
            </w:r>
          </w:p>
          <w:p w:rsidR="00494337" w:rsidRPr="00494337" w:rsidRDefault="009A0CB9" w:rsidP="00494337">
            <w:pPr>
              <w:pStyle w:val="ListParagraph"/>
              <w:numPr>
                <w:ilvl w:val="0"/>
                <w:numId w:val="23"/>
              </w:numPr>
              <w:autoSpaceDE w:val="0"/>
              <w:autoSpaceDN w:val="0"/>
              <w:adjustRightInd w:val="0"/>
              <w:ind w:left="252" w:hanging="270"/>
              <w:contextualSpacing/>
              <w:rPr>
                <w:rFonts w:cs="Arial"/>
                <w:sz w:val="20"/>
              </w:rPr>
            </w:pPr>
            <w:r w:rsidRPr="00494337">
              <w:rPr>
                <w:rFonts w:cs="Arial"/>
                <w:sz w:val="20"/>
              </w:rPr>
              <w:t xml:space="preserve">finalized Inception Report and Strategy (Output 1); </w:t>
            </w:r>
          </w:p>
          <w:p w:rsidR="009A0CB9" w:rsidRPr="00494337" w:rsidRDefault="00494337" w:rsidP="00494337">
            <w:pPr>
              <w:pStyle w:val="ListParagraph"/>
              <w:numPr>
                <w:ilvl w:val="0"/>
                <w:numId w:val="23"/>
              </w:numPr>
              <w:autoSpaceDE w:val="0"/>
              <w:autoSpaceDN w:val="0"/>
              <w:adjustRightInd w:val="0"/>
              <w:ind w:left="252" w:hanging="270"/>
              <w:contextualSpacing/>
              <w:rPr>
                <w:rFonts w:cs="Arial"/>
                <w:sz w:val="20"/>
              </w:rPr>
            </w:pPr>
            <w:r>
              <w:rPr>
                <w:rFonts w:cs="Arial"/>
                <w:sz w:val="20"/>
              </w:rPr>
              <w:t>c</w:t>
            </w:r>
            <w:r w:rsidR="009A0CB9" w:rsidRPr="00494337">
              <w:rPr>
                <w:rFonts w:cs="Arial"/>
                <w:sz w:val="20"/>
              </w:rPr>
              <w:t xml:space="preserve">riteria </w:t>
            </w:r>
            <w:r w:rsidRPr="00494337">
              <w:rPr>
                <w:rFonts w:cs="Arial"/>
                <w:sz w:val="20"/>
              </w:rPr>
              <w:t xml:space="preserve">developed </w:t>
            </w:r>
            <w:r w:rsidR="009A0CB9" w:rsidRPr="00494337">
              <w:rPr>
                <w:rFonts w:cs="Arial"/>
                <w:sz w:val="20"/>
              </w:rPr>
              <w:t xml:space="preserve">for beneficiaries selection, in collaboration with the </w:t>
            </w:r>
            <w:r w:rsidRPr="00494337">
              <w:rPr>
                <w:rFonts w:cs="Arial"/>
                <w:sz w:val="20"/>
              </w:rPr>
              <w:t>V</w:t>
            </w:r>
            <w:r w:rsidR="009A0CB9" w:rsidRPr="00494337">
              <w:rPr>
                <w:rFonts w:cs="Arial"/>
                <w:sz w:val="20"/>
              </w:rPr>
              <w:t xml:space="preserve">WU;  finalized the service agreements with the Dong Thap Women’s Union. </w:t>
            </w:r>
          </w:p>
          <w:p w:rsidR="009A0CB9" w:rsidRPr="00C92429" w:rsidRDefault="009A0CB9" w:rsidP="00494337">
            <w:pPr>
              <w:pStyle w:val="ListParagraph"/>
              <w:ind w:left="252" w:hanging="270"/>
              <w:rPr>
                <w:rFonts w:cs="Arial"/>
                <w:sz w:val="20"/>
              </w:rPr>
            </w:pPr>
          </w:p>
          <w:p w:rsidR="009A0CB9" w:rsidRPr="003C4992" w:rsidRDefault="009A0CB9" w:rsidP="003C4992">
            <w:pPr>
              <w:autoSpaceDE w:val="0"/>
              <w:autoSpaceDN w:val="0"/>
              <w:adjustRightInd w:val="0"/>
              <w:contextualSpacing/>
              <w:rPr>
                <w:rFonts w:cs="Arial"/>
                <w:sz w:val="20"/>
              </w:rPr>
            </w:pPr>
            <w:r w:rsidRPr="0024727A">
              <w:rPr>
                <w:rFonts w:cs="Arial"/>
                <w:b/>
                <w:sz w:val="20"/>
              </w:rPr>
              <w:t>Ongoing activity:</w:t>
            </w:r>
            <w:r w:rsidRPr="003C4992">
              <w:rPr>
                <w:rFonts w:cs="Arial"/>
                <w:sz w:val="20"/>
              </w:rPr>
              <w:t xml:space="preserve">  preparation of training materials. </w:t>
            </w:r>
          </w:p>
          <w:p w:rsidR="009A0CB9" w:rsidRPr="00C92429" w:rsidRDefault="009A0CB9" w:rsidP="00C428C7">
            <w:pPr>
              <w:rPr>
                <w:rFonts w:cs="Arial"/>
                <w:sz w:val="20"/>
              </w:rPr>
            </w:pPr>
          </w:p>
          <w:p w:rsidR="00385F7E" w:rsidRPr="003C4992" w:rsidRDefault="00494337" w:rsidP="00494337">
            <w:pPr>
              <w:autoSpaceDE w:val="0"/>
              <w:autoSpaceDN w:val="0"/>
              <w:adjustRightInd w:val="0"/>
              <w:contextualSpacing/>
              <w:rPr>
                <w:rFonts w:cs="Arial"/>
                <w:sz w:val="20"/>
              </w:rPr>
            </w:pPr>
            <w:r w:rsidRPr="0024727A">
              <w:rPr>
                <w:rFonts w:cs="Arial"/>
                <w:b/>
                <w:sz w:val="20"/>
              </w:rPr>
              <w:t xml:space="preserve">Planned </w:t>
            </w:r>
            <w:r w:rsidR="009A0CB9" w:rsidRPr="0024727A">
              <w:rPr>
                <w:rFonts w:cs="Arial"/>
                <w:b/>
                <w:sz w:val="20"/>
              </w:rPr>
              <w:t xml:space="preserve">Activities </w:t>
            </w:r>
            <w:r w:rsidRPr="0024727A">
              <w:rPr>
                <w:rFonts w:cs="Arial"/>
                <w:b/>
                <w:sz w:val="20"/>
              </w:rPr>
              <w:t xml:space="preserve">for </w:t>
            </w:r>
            <w:r w:rsidR="009A0CB9" w:rsidRPr="0024727A">
              <w:rPr>
                <w:rFonts w:cs="Arial"/>
                <w:b/>
                <w:sz w:val="20"/>
              </w:rPr>
              <w:t>the next 3 months</w:t>
            </w:r>
            <w:r w:rsidR="009A0CB9" w:rsidRPr="003C4992">
              <w:rPr>
                <w:rFonts w:cs="Arial"/>
                <w:sz w:val="20"/>
              </w:rPr>
              <w:t>: carry out a situational analysis for the component on Behavioral Change and Communication (BCC) on Gender Equality, HIV/AIDS and Trafficking; and supp</w:t>
            </w:r>
            <w:r w:rsidR="00914E23" w:rsidRPr="003C4992">
              <w:rPr>
                <w:rFonts w:cs="Arial"/>
                <w:sz w:val="20"/>
              </w:rPr>
              <w:t>ort the Dong Thap Women’s Union</w:t>
            </w:r>
            <w:r w:rsidR="009A0CB9" w:rsidRPr="003C4992">
              <w:rPr>
                <w:rFonts w:cs="Arial"/>
                <w:sz w:val="20"/>
              </w:rPr>
              <w:t xml:space="preserve"> to start implementation of project activities</w:t>
            </w:r>
            <w:r w:rsidR="003369C5" w:rsidRPr="003C4992">
              <w:rPr>
                <w:rFonts w:cs="Arial"/>
                <w:sz w:val="20"/>
              </w:rPr>
              <w:t>.</w:t>
            </w:r>
          </w:p>
        </w:tc>
      </w:tr>
      <w:tr w:rsidR="00385F7E" w:rsidRPr="00C92429" w:rsidTr="00D0215E">
        <w:trPr>
          <w:trHeight w:val="2321"/>
        </w:trPr>
        <w:tc>
          <w:tcPr>
            <w:tcW w:w="648" w:type="dxa"/>
          </w:tcPr>
          <w:p w:rsidR="00385F7E" w:rsidRPr="00C92429" w:rsidRDefault="008C1A9F" w:rsidP="00CD2532">
            <w:pPr>
              <w:jc w:val="center"/>
              <w:rPr>
                <w:rFonts w:cs="Arial"/>
                <w:sz w:val="20"/>
              </w:rPr>
            </w:pPr>
            <w:r>
              <w:rPr>
                <w:rFonts w:cs="Arial"/>
                <w:sz w:val="20"/>
              </w:rPr>
              <w:t>6</w:t>
            </w:r>
          </w:p>
        </w:tc>
        <w:tc>
          <w:tcPr>
            <w:tcW w:w="720" w:type="dxa"/>
          </w:tcPr>
          <w:p w:rsidR="00385F7E" w:rsidRPr="00C92429" w:rsidRDefault="00385F7E" w:rsidP="009A7972">
            <w:pPr>
              <w:rPr>
                <w:rFonts w:cs="Arial"/>
                <w:sz w:val="20"/>
              </w:rPr>
            </w:pPr>
            <w:r w:rsidRPr="00C92429">
              <w:rPr>
                <w:rFonts w:cs="Arial"/>
                <w:sz w:val="20"/>
              </w:rPr>
              <w:t>REG</w:t>
            </w:r>
          </w:p>
        </w:tc>
        <w:tc>
          <w:tcPr>
            <w:tcW w:w="2610" w:type="dxa"/>
          </w:tcPr>
          <w:p w:rsidR="00385F7E" w:rsidRPr="00C92429" w:rsidRDefault="00385F7E" w:rsidP="004E64AF">
            <w:pPr>
              <w:jc w:val="left"/>
              <w:rPr>
                <w:rFonts w:cs="Arial"/>
                <w:color w:val="000000"/>
                <w:sz w:val="20"/>
              </w:rPr>
            </w:pPr>
            <w:r w:rsidRPr="00C92429">
              <w:rPr>
                <w:rFonts w:cs="Arial"/>
                <w:color w:val="000000"/>
                <w:sz w:val="20"/>
              </w:rPr>
              <w:t>Joint ADB-AusAID Mekong Gender and Transport Workshop</w:t>
            </w:r>
          </w:p>
          <w:p w:rsidR="00385F7E" w:rsidRPr="00C92429" w:rsidRDefault="00385F7E" w:rsidP="004E64AF">
            <w:pPr>
              <w:jc w:val="left"/>
              <w:rPr>
                <w:rFonts w:cs="Arial"/>
                <w:color w:val="000000"/>
                <w:sz w:val="20"/>
              </w:rPr>
            </w:pPr>
          </w:p>
          <w:p w:rsidR="00385F7E" w:rsidRPr="00C92429" w:rsidRDefault="00385F7E" w:rsidP="004E64AF">
            <w:pPr>
              <w:jc w:val="left"/>
              <w:rPr>
                <w:rFonts w:cs="Arial"/>
                <w:color w:val="000000"/>
                <w:sz w:val="20"/>
              </w:rPr>
            </w:pPr>
            <w:r w:rsidRPr="00C92429">
              <w:rPr>
                <w:rFonts w:cs="Arial"/>
                <w:color w:val="000000"/>
                <w:sz w:val="20"/>
              </w:rPr>
              <w:t>Project Officers:</w:t>
            </w:r>
          </w:p>
          <w:p w:rsidR="00385F7E" w:rsidRPr="00C92429" w:rsidRDefault="00385F7E" w:rsidP="004E64AF">
            <w:pPr>
              <w:jc w:val="left"/>
              <w:rPr>
                <w:rFonts w:cs="Arial"/>
                <w:color w:val="000000"/>
                <w:sz w:val="20"/>
              </w:rPr>
            </w:pPr>
            <w:r w:rsidRPr="00C92429">
              <w:rPr>
                <w:rFonts w:cs="Arial"/>
                <w:color w:val="000000"/>
                <w:sz w:val="20"/>
              </w:rPr>
              <w:t>S. Hung &amp; U. Hoque</w:t>
            </w:r>
          </w:p>
          <w:p w:rsidR="00385F7E" w:rsidRDefault="00385F7E" w:rsidP="00820ADE">
            <w:pPr>
              <w:jc w:val="left"/>
              <w:rPr>
                <w:rFonts w:cs="Arial"/>
                <w:color w:val="000000"/>
                <w:sz w:val="20"/>
              </w:rPr>
            </w:pPr>
            <w:r w:rsidRPr="00C92429">
              <w:rPr>
                <w:rFonts w:cs="Arial"/>
                <w:color w:val="000000"/>
                <w:sz w:val="20"/>
              </w:rPr>
              <w:t>Dept: RSDD &amp; SERD</w:t>
            </w:r>
          </w:p>
          <w:p w:rsidR="003C4992" w:rsidRDefault="003C4992" w:rsidP="00820ADE">
            <w:pPr>
              <w:jc w:val="left"/>
              <w:rPr>
                <w:rFonts w:cs="Arial"/>
                <w:color w:val="000000"/>
                <w:sz w:val="20"/>
              </w:rPr>
            </w:pPr>
          </w:p>
          <w:p w:rsidR="003C4992" w:rsidRDefault="003C4992" w:rsidP="003C4992">
            <w:pPr>
              <w:jc w:val="left"/>
              <w:rPr>
                <w:rFonts w:cs="Arial"/>
                <w:color w:val="000000"/>
                <w:sz w:val="20"/>
              </w:rPr>
            </w:pPr>
            <w:r>
              <w:rPr>
                <w:rFonts w:cs="Arial"/>
                <w:color w:val="000000"/>
                <w:sz w:val="20"/>
              </w:rPr>
              <w:t xml:space="preserve">Approval: </w:t>
            </w:r>
            <w:r w:rsidR="001203B5">
              <w:rPr>
                <w:rFonts w:cs="Arial"/>
                <w:color w:val="000000"/>
                <w:sz w:val="20"/>
              </w:rPr>
              <w:t>19 Jun 2012</w:t>
            </w:r>
          </w:p>
          <w:p w:rsidR="001203B5" w:rsidRPr="00C92429" w:rsidRDefault="003C4992" w:rsidP="003C4992">
            <w:pPr>
              <w:jc w:val="left"/>
              <w:rPr>
                <w:rFonts w:cs="Arial"/>
                <w:sz w:val="20"/>
              </w:rPr>
            </w:pPr>
            <w:r>
              <w:rPr>
                <w:rFonts w:cs="Arial"/>
                <w:color w:val="000000"/>
                <w:sz w:val="20"/>
              </w:rPr>
              <w:t xml:space="preserve">Completion: </w:t>
            </w:r>
            <w:r w:rsidR="001203B5">
              <w:rPr>
                <w:rFonts w:cs="Arial"/>
                <w:color w:val="000000"/>
                <w:sz w:val="20"/>
              </w:rPr>
              <w:t xml:space="preserve"> 26 Jul 2012</w:t>
            </w:r>
            <w:r w:rsidR="00733327">
              <w:rPr>
                <w:rFonts w:cs="Arial"/>
                <w:color w:val="000000"/>
                <w:sz w:val="20"/>
              </w:rPr>
              <w:t xml:space="preserve"> </w:t>
            </w:r>
            <w:r>
              <w:rPr>
                <w:rFonts w:cs="Arial"/>
                <w:color w:val="000000"/>
                <w:sz w:val="20"/>
              </w:rPr>
              <w:t>(</w:t>
            </w:r>
            <w:r w:rsidR="00733327">
              <w:rPr>
                <w:rFonts w:cs="Arial"/>
                <w:color w:val="000000"/>
                <w:sz w:val="20"/>
              </w:rPr>
              <w:t>Completed</w:t>
            </w:r>
            <w:r>
              <w:rPr>
                <w:rFonts w:cs="Arial"/>
                <w:color w:val="000000"/>
                <w:sz w:val="20"/>
              </w:rPr>
              <w:t>)</w:t>
            </w:r>
          </w:p>
        </w:tc>
        <w:tc>
          <w:tcPr>
            <w:tcW w:w="990" w:type="dxa"/>
          </w:tcPr>
          <w:p w:rsidR="00385F7E" w:rsidRPr="00C92429" w:rsidRDefault="00940980" w:rsidP="000704AC">
            <w:pPr>
              <w:jc w:val="right"/>
              <w:rPr>
                <w:rFonts w:cs="Arial"/>
                <w:sz w:val="20"/>
              </w:rPr>
            </w:pPr>
            <w:r>
              <w:rPr>
                <w:rFonts w:cs="Arial"/>
                <w:sz w:val="20"/>
              </w:rPr>
              <w:t>44,513</w:t>
            </w:r>
          </w:p>
        </w:tc>
        <w:tc>
          <w:tcPr>
            <w:tcW w:w="1260" w:type="dxa"/>
          </w:tcPr>
          <w:p w:rsidR="00385F7E" w:rsidRPr="00C92429" w:rsidRDefault="000704AC" w:rsidP="000704AC">
            <w:pPr>
              <w:jc w:val="right"/>
              <w:rPr>
                <w:rFonts w:cs="Arial"/>
                <w:sz w:val="20"/>
              </w:rPr>
            </w:pPr>
            <w:r w:rsidRPr="00C92429">
              <w:rPr>
                <w:rFonts w:cs="Arial"/>
                <w:sz w:val="20"/>
              </w:rPr>
              <w:t>44,513</w:t>
            </w:r>
          </w:p>
        </w:tc>
        <w:tc>
          <w:tcPr>
            <w:tcW w:w="1440" w:type="dxa"/>
            <w:tcBorders>
              <w:bottom w:val="single" w:sz="4" w:space="0" w:color="000000" w:themeColor="text1"/>
            </w:tcBorders>
          </w:tcPr>
          <w:p w:rsidR="00385F7E" w:rsidRPr="00C92429" w:rsidRDefault="00454FC3" w:rsidP="00023661">
            <w:pPr>
              <w:jc w:val="right"/>
              <w:rPr>
                <w:rFonts w:cs="Arial"/>
                <w:sz w:val="20"/>
              </w:rPr>
            </w:pPr>
            <w:r w:rsidRPr="00C92429">
              <w:rPr>
                <w:rFonts w:cs="Arial"/>
                <w:sz w:val="20"/>
              </w:rPr>
              <w:t>0</w:t>
            </w:r>
          </w:p>
        </w:tc>
        <w:tc>
          <w:tcPr>
            <w:tcW w:w="2970" w:type="dxa"/>
            <w:tcBorders>
              <w:bottom w:val="single" w:sz="4" w:space="0" w:color="000000" w:themeColor="text1"/>
            </w:tcBorders>
          </w:tcPr>
          <w:p w:rsidR="00385F7E" w:rsidRPr="00C92429" w:rsidRDefault="003337D9" w:rsidP="003337D9">
            <w:pPr>
              <w:pStyle w:val="ListParagraph"/>
              <w:tabs>
                <w:tab w:val="left" w:pos="0"/>
              </w:tabs>
              <w:ind w:left="0"/>
              <w:contextualSpacing/>
              <w:jc w:val="left"/>
              <w:rPr>
                <w:rFonts w:cs="Arial"/>
                <w:sz w:val="20"/>
              </w:rPr>
            </w:pPr>
            <w:r>
              <w:rPr>
                <w:rFonts w:cs="Arial"/>
                <w:sz w:val="20"/>
              </w:rPr>
              <w:t xml:space="preserve">Gender Capacity Building and knowledge sharing workshop </w:t>
            </w:r>
            <w:r w:rsidRPr="003337D9">
              <w:rPr>
                <w:sz w:val="20"/>
              </w:rPr>
              <w:t>to raise awareness, build capacity, share experiences and showcase good practices on mainstreaming gender in transport sector operations</w:t>
            </w:r>
            <w:r>
              <w:t xml:space="preserve"> </w:t>
            </w:r>
          </w:p>
        </w:tc>
        <w:tc>
          <w:tcPr>
            <w:tcW w:w="3330" w:type="dxa"/>
            <w:tcBorders>
              <w:bottom w:val="single" w:sz="4" w:space="0" w:color="000000" w:themeColor="text1"/>
            </w:tcBorders>
          </w:tcPr>
          <w:p w:rsidR="00385F7E" w:rsidRPr="00C92429" w:rsidRDefault="00385F7E" w:rsidP="00357BDC">
            <w:pPr>
              <w:jc w:val="left"/>
              <w:rPr>
                <w:rFonts w:cs="Arial"/>
                <w:sz w:val="20"/>
              </w:rPr>
            </w:pPr>
            <w:r w:rsidRPr="00C92429">
              <w:rPr>
                <w:rFonts w:cs="Arial"/>
                <w:b/>
                <w:sz w:val="20"/>
                <w:u w:val="single"/>
              </w:rPr>
              <w:t xml:space="preserve">Outcome: </w:t>
            </w:r>
            <w:r w:rsidRPr="00C92429">
              <w:rPr>
                <w:rFonts w:cs="Arial"/>
                <w:sz w:val="20"/>
              </w:rPr>
              <w:t>Better understanding of good practice of achieving gender equality and women’s empowerment through infrastructure policies and projects.</w:t>
            </w:r>
          </w:p>
          <w:p w:rsidR="00385F7E" w:rsidRPr="00C92429" w:rsidRDefault="00385F7E" w:rsidP="00357BDC">
            <w:pPr>
              <w:jc w:val="left"/>
              <w:rPr>
                <w:rFonts w:cs="Arial"/>
                <w:sz w:val="20"/>
              </w:rPr>
            </w:pPr>
            <w:r w:rsidRPr="00C92429">
              <w:rPr>
                <w:rFonts w:cs="Arial"/>
                <w:b/>
                <w:sz w:val="20"/>
                <w:u w:val="single"/>
              </w:rPr>
              <w:t>Outputs</w:t>
            </w:r>
            <w:r w:rsidRPr="00C92429">
              <w:rPr>
                <w:rFonts w:cs="Arial"/>
                <w:sz w:val="20"/>
                <w:u w:val="single"/>
              </w:rPr>
              <w:t>:</w:t>
            </w:r>
            <w:r w:rsidRPr="00C92429">
              <w:rPr>
                <w:rFonts w:cs="Arial"/>
                <w:sz w:val="20"/>
              </w:rPr>
              <w:t xml:space="preserve"> An ADB-AusAID joint workshop on gender and transport. Targeted at t</w:t>
            </w:r>
            <w:r w:rsidR="00C236D5">
              <w:rPr>
                <w:rFonts w:cs="Arial"/>
                <w:sz w:val="20"/>
              </w:rPr>
              <w:t>ransport</w:t>
            </w:r>
            <w:r w:rsidRPr="00C92429">
              <w:rPr>
                <w:rFonts w:cs="Arial"/>
                <w:sz w:val="20"/>
              </w:rPr>
              <w:t xml:space="preserve"> ministry project directors, staff in ADB and AusAID.</w:t>
            </w:r>
          </w:p>
          <w:p w:rsidR="00385F7E" w:rsidRPr="00C92429" w:rsidRDefault="00385F7E" w:rsidP="00357BDC">
            <w:pPr>
              <w:jc w:val="left"/>
              <w:rPr>
                <w:rFonts w:cs="Arial"/>
                <w:sz w:val="20"/>
              </w:rPr>
            </w:pPr>
          </w:p>
        </w:tc>
        <w:tc>
          <w:tcPr>
            <w:tcW w:w="4320" w:type="dxa"/>
            <w:tcBorders>
              <w:bottom w:val="single" w:sz="4" w:space="0" w:color="000000" w:themeColor="text1"/>
            </w:tcBorders>
          </w:tcPr>
          <w:p w:rsidR="00385F7E" w:rsidRPr="00C92429" w:rsidRDefault="00385F7E" w:rsidP="006F6E05">
            <w:pPr>
              <w:rPr>
                <w:rFonts w:cs="Arial"/>
                <w:b/>
                <w:i/>
                <w:sz w:val="20"/>
              </w:rPr>
            </w:pPr>
            <w:r w:rsidRPr="00C92429">
              <w:rPr>
                <w:rFonts w:cs="Arial"/>
                <w:b/>
                <w:i/>
                <w:sz w:val="20"/>
              </w:rPr>
              <w:t>Completed in July 2012.</w:t>
            </w:r>
          </w:p>
          <w:p w:rsidR="00385F7E" w:rsidRPr="00C92429" w:rsidRDefault="00385F7E" w:rsidP="006F6E05">
            <w:pPr>
              <w:rPr>
                <w:rFonts w:cs="Arial"/>
                <w:sz w:val="20"/>
              </w:rPr>
            </w:pPr>
          </w:p>
          <w:p w:rsidR="00385F7E" w:rsidRPr="00C92429" w:rsidRDefault="00385F7E" w:rsidP="00D34CB6">
            <w:pPr>
              <w:rPr>
                <w:rFonts w:cs="Arial"/>
                <w:sz w:val="20"/>
              </w:rPr>
            </w:pPr>
            <w:r w:rsidRPr="00C92429">
              <w:rPr>
                <w:rFonts w:cs="Arial"/>
                <w:sz w:val="20"/>
              </w:rPr>
              <w:t xml:space="preserve">The workshop was successfully conducted  24-26 July 2012 in Hanoi. </w:t>
            </w:r>
            <w:r w:rsidR="00C236D5">
              <w:rPr>
                <w:rFonts w:cs="Arial"/>
                <w:sz w:val="20"/>
              </w:rPr>
              <w:t xml:space="preserve">See separate case study attached. </w:t>
            </w:r>
            <w:r w:rsidRPr="00C92429">
              <w:rPr>
                <w:rFonts w:cs="Arial"/>
                <w:sz w:val="20"/>
              </w:rPr>
              <w:t xml:space="preserve">Over 60 participants from  transport ministries </w:t>
            </w:r>
            <w:r w:rsidR="00C236D5">
              <w:rPr>
                <w:rFonts w:cs="Arial"/>
                <w:sz w:val="20"/>
              </w:rPr>
              <w:t>of</w:t>
            </w:r>
            <w:r w:rsidRPr="00C92429">
              <w:rPr>
                <w:rFonts w:cs="Arial"/>
                <w:sz w:val="20"/>
              </w:rPr>
              <w:t xml:space="preserve"> Mekong countries </w:t>
            </w:r>
            <w:r w:rsidR="00C236D5">
              <w:rPr>
                <w:rFonts w:cs="Arial"/>
                <w:sz w:val="20"/>
              </w:rPr>
              <w:t xml:space="preserve">and selected </w:t>
            </w:r>
            <w:r w:rsidRPr="00C92429">
              <w:rPr>
                <w:rFonts w:cs="Arial"/>
                <w:sz w:val="20"/>
              </w:rPr>
              <w:t>development partners participated.</w:t>
            </w:r>
            <w:r w:rsidR="003C4992">
              <w:rPr>
                <w:rFonts w:cs="Arial"/>
                <w:sz w:val="20"/>
              </w:rPr>
              <w:t xml:space="preserve"> </w:t>
            </w:r>
            <w:r w:rsidR="00D66189">
              <w:rPr>
                <w:rFonts w:cs="Arial"/>
                <w:sz w:val="20"/>
              </w:rPr>
              <w:t>S</w:t>
            </w:r>
            <w:r w:rsidR="003C4992">
              <w:rPr>
                <w:rFonts w:cs="Arial"/>
                <w:sz w:val="20"/>
              </w:rPr>
              <w:t xml:space="preserve">ee </w:t>
            </w:r>
            <w:bookmarkStart w:id="0" w:name="_GoBack"/>
            <w:r w:rsidR="00FA59B7">
              <w:fldChar w:fldCharType="begin"/>
            </w:r>
            <w:r w:rsidR="00FA59B7">
              <w:instrText xml:space="preserve"> HYPERLINK "http://www.adb.org/th</w:instrText>
            </w:r>
            <w:r w:rsidR="00FA59B7">
              <w:instrText xml:space="preserve">emes/gender/activities/why-gender-matters-transport" </w:instrText>
            </w:r>
            <w:r w:rsidR="00FA59B7">
              <w:fldChar w:fldCharType="separate"/>
            </w:r>
            <w:r w:rsidR="00D66189" w:rsidRPr="008809B5">
              <w:rPr>
                <w:rStyle w:val="Hyperlink"/>
                <w:rFonts w:cs="Arial"/>
                <w:sz w:val="20"/>
              </w:rPr>
              <w:t>http://www.adb.org/themes/gender/activities/why-gender-matters-transport</w:t>
            </w:r>
            <w:r w:rsidR="00FA59B7">
              <w:rPr>
                <w:rStyle w:val="Hyperlink"/>
                <w:rFonts w:cs="Arial"/>
                <w:sz w:val="20"/>
              </w:rPr>
              <w:fldChar w:fldCharType="end"/>
            </w:r>
            <w:bookmarkEnd w:id="0"/>
            <w:r w:rsidR="00D66189">
              <w:rPr>
                <w:rFonts w:cs="Arial"/>
                <w:sz w:val="20"/>
              </w:rPr>
              <w:t xml:space="preserve"> for agenda and presentations.</w:t>
            </w:r>
          </w:p>
        </w:tc>
      </w:tr>
      <w:tr w:rsidR="00385F7E" w:rsidRPr="00C92429" w:rsidTr="00D0215E">
        <w:tc>
          <w:tcPr>
            <w:tcW w:w="3978" w:type="dxa"/>
            <w:gridSpan w:val="3"/>
          </w:tcPr>
          <w:p w:rsidR="00385F7E" w:rsidRPr="00C92429" w:rsidRDefault="00385F7E" w:rsidP="001949D5">
            <w:pPr>
              <w:jc w:val="left"/>
              <w:rPr>
                <w:rFonts w:cs="Arial"/>
                <w:b/>
                <w:color w:val="000000"/>
                <w:sz w:val="20"/>
              </w:rPr>
            </w:pPr>
            <w:r w:rsidRPr="00C92429">
              <w:rPr>
                <w:rFonts w:cs="Arial"/>
                <w:b/>
                <w:color w:val="000000"/>
                <w:sz w:val="20"/>
              </w:rPr>
              <w:lastRenderedPageBreak/>
              <w:t>TOTAL COMMITTED:</w:t>
            </w:r>
          </w:p>
        </w:tc>
        <w:tc>
          <w:tcPr>
            <w:tcW w:w="990" w:type="dxa"/>
          </w:tcPr>
          <w:p w:rsidR="00385F7E" w:rsidRPr="00C92429" w:rsidRDefault="00940980" w:rsidP="00123ACC">
            <w:pPr>
              <w:jc w:val="center"/>
              <w:rPr>
                <w:rFonts w:cs="Arial"/>
                <w:b/>
                <w:sz w:val="20"/>
              </w:rPr>
            </w:pPr>
            <w:r>
              <w:rPr>
                <w:rFonts w:cs="Arial"/>
                <w:b/>
                <w:sz w:val="20"/>
              </w:rPr>
              <w:t>769,976</w:t>
            </w:r>
          </w:p>
        </w:tc>
        <w:tc>
          <w:tcPr>
            <w:tcW w:w="1260" w:type="dxa"/>
          </w:tcPr>
          <w:p w:rsidR="00385F7E" w:rsidRPr="00C92429" w:rsidRDefault="00385F7E" w:rsidP="000704AC">
            <w:pPr>
              <w:jc w:val="right"/>
              <w:rPr>
                <w:rFonts w:cs="Arial"/>
                <w:sz w:val="20"/>
              </w:rPr>
            </w:pPr>
          </w:p>
        </w:tc>
        <w:tc>
          <w:tcPr>
            <w:tcW w:w="1440" w:type="dxa"/>
            <w:tcBorders>
              <w:bottom w:val="nil"/>
            </w:tcBorders>
          </w:tcPr>
          <w:p w:rsidR="00385F7E" w:rsidRPr="00C92429" w:rsidRDefault="00385F7E" w:rsidP="00B32C57">
            <w:pPr>
              <w:jc w:val="center"/>
              <w:rPr>
                <w:rFonts w:cs="Arial"/>
                <w:sz w:val="20"/>
              </w:rPr>
            </w:pPr>
          </w:p>
        </w:tc>
        <w:tc>
          <w:tcPr>
            <w:tcW w:w="2970" w:type="dxa"/>
            <w:tcBorders>
              <w:bottom w:val="nil"/>
              <w:right w:val="nil"/>
            </w:tcBorders>
          </w:tcPr>
          <w:p w:rsidR="00385F7E" w:rsidRPr="00C92429" w:rsidRDefault="00385F7E" w:rsidP="00134A11">
            <w:pPr>
              <w:pStyle w:val="ListParagraph"/>
              <w:tabs>
                <w:tab w:val="left" w:pos="0"/>
              </w:tabs>
              <w:ind w:left="0"/>
              <w:contextualSpacing/>
              <w:jc w:val="left"/>
              <w:rPr>
                <w:rFonts w:cs="Arial"/>
                <w:sz w:val="20"/>
              </w:rPr>
            </w:pPr>
          </w:p>
        </w:tc>
        <w:tc>
          <w:tcPr>
            <w:tcW w:w="3330" w:type="dxa"/>
            <w:tcBorders>
              <w:left w:val="nil"/>
              <w:bottom w:val="nil"/>
              <w:right w:val="nil"/>
            </w:tcBorders>
          </w:tcPr>
          <w:p w:rsidR="00385F7E" w:rsidRPr="00C92429" w:rsidRDefault="00385F7E" w:rsidP="00357BDC">
            <w:pPr>
              <w:jc w:val="left"/>
              <w:rPr>
                <w:rFonts w:cs="Arial"/>
                <w:b/>
                <w:sz w:val="20"/>
                <w:u w:val="single"/>
              </w:rPr>
            </w:pPr>
          </w:p>
        </w:tc>
        <w:tc>
          <w:tcPr>
            <w:tcW w:w="4320" w:type="dxa"/>
            <w:tcBorders>
              <w:left w:val="nil"/>
              <w:bottom w:val="nil"/>
              <w:right w:val="nil"/>
            </w:tcBorders>
          </w:tcPr>
          <w:p w:rsidR="00385F7E" w:rsidRPr="00C92429" w:rsidRDefault="00385F7E" w:rsidP="003F7CCB">
            <w:pPr>
              <w:rPr>
                <w:rFonts w:cs="Arial"/>
                <w:b/>
                <w:sz w:val="20"/>
              </w:rPr>
            </w:pPr>
          </w:p>
        </w:tc>
      </w:tr>
      <w:tr w:rsidR="00385F7E" w:rsidRPr="00C92429" w:rsidTr="00D0215E">
        <w:tc>
          <w:tcPr>
            <w:tcW w:w="4968" w:type="dxa"/>
            <w:gridSpan w:val="4"/>
            <w:shd w:val="clear" w:color="auto" w:fill="D9D9D9" w:themeFill="background1" w:themeFillShade="D9"/>
          </w:tcPr>
          <w:p w:rsidR="00385F7E" w:rsidRPr="00C92429" w:rsidRDefault="00385F7E" w:rsidP="00123ACC">
            <w:pPr>
              <w:jc w:val="left"/>
              <w:rPr>
                <w:rFonts w:cs="Arial"/>
                <w:b/>
                <w:sz w:val="20"/>
              </w:rPr>
            </w:pPr>
            <w:r w:rsidRPr="00C92429">
              <w:rPr>
                <w:rFonts w:cs="Arial"/>
                <w:b/>
                <w:sz w:val="20"/>
              </w:rPr>
              <w:t>TOTAL DISBURSED:</w:t>
            </w:r>
          </w:p>
        </w:tc>
        <w:tc>
          <w:tcPr>
            <w:tcW w:w="1260" w:type="dxa"/>
            <w:shd w:val="clear" w:color="auto" w:fill="D9D9D9" w:themeFill="background1" w:themeFillShade="D9"/>
          </w:tcPr>
          <w:p w:rsidR="00385F7E" w:rsidRPr="00C92429" w:rsidRDefault="000704AC" w:rsidP="000704AC">
            <w:pPr>
              <w:jc w:val="right"/>
              <w:rPr>
                <w:rFonts w:cs="Arial"/>
                <w:b/>
                <w:sz w:val="20"/>
              </w:rPr>
            </w:pPr>
            <w:r w:rsidRPr="00C92429">
              <w:rPr>
                <w:rFonts w:cs="Arial"/>
                <w:b/>
                <w:sz w:val="20"/>
              </w:rPr>
              <w:t>283,591</w:t>
            </w:r>
          </w:p>
        </w:tc>
        <w:tc>
          <w:tcPr>
            <w:tcW w:w="1440" w:type="dxa"/>
            <w:shd w:val="clear" w:color="auto" w:fill="D9D9D9" w:themeFill="background1" w:themeFillShade="D9"/>
          </w:tcPr>
          <w:p w:rsidR="00385F7E" w:rsidRPr="00C92429" w:rsidRDefault="00385F7E" w:rsidP="00B32C57">
            <w:pPr>
              <w:jc w:val="center"/>
              <w:rPr>
                <w:rFonts w:cs="Arial"/>
                <w:b/>
                <w:sz w:val="20"/>
              </w:rPr>
            </w:pPr>
          </w:p>
        </w:tc>
        <w:tc>
          <w:tcPr>
            <w:tcW w:w="2970" w:type="dxa"/>
            <w:tcBorders>
              <w:top w:val="nil"/>
              <w:bottom w:val="nil"/>
              <w:right w:val="nil"/>
            </w:tcBorders>
          </w:tcPr>
          <w:p w:rsidR="00385F7E" w:rsidRPr="00C92429" w:rsidRDefault="00385F7E" w:rsidP="00134A11">
            <w:pPr>
              <w:pStyle w:val="ListParagraph"/>
              <w:tabs>
                <w:tab w:val="left" w:pos="0"/>
              </w:tabs>
              <w:ind w:left="0"/>
              <w:contextualSpacing/>
              <w:jc w:val="left"/>
              <w:rPr>
                <w:rFonts w:cs="Arial"/>
                <w:sz w:val="20"/>
              </w:rPr>
            </w:pPr>
          </w:p>
        </w:tc>
        <w:tc>
          <w:tcPr>
            <w:tcW w:w="3330" w:type="dxa"/>
            <w:tcBorders>
              <w:top w:val="nil"/>
              <w:left w:val="nil"/>
              <w:bottom w:val="nil"/>
              <w:right w:val="nil"/>
            </w:tcBorders>
          </w:tcPr>
          <w:p w:rsidR="00385F7E" w:rsidRPr="00C92429" w:rsidRDefault="00385F7E" w:rsidP="00357BDC">
            <w:pPr>
              <w:jc w:val="left"/>
              <w:rPr>
                <w:rFonts w:cs="Arial"/>
                <w:b/>
                <w:sz w:val="20"/>
                <w:u w:val="single"/>
              </w:rPr>
            </w:pPr>
          </w:p>
        </w:tc>
        <w:tc>
          <w:tcPr>
            <w:tcW w:w="4320" w:type="dxa"/>
            <w:tcBorders>
              <w:top w:val="nil"/>
              <w:left w:val="nil"/>
              <w:bottom w:val="nil"/>
              <w:right w:val="nil"/>
            </w:tcBorders>
          </w:tcPr>
          <w:p w:rsidR="00385F7E" w:rsidRPr="00C92429" w:rsidRDefault="00385F7E" w:rsidP="003F7CCB">
            <w:pPr>
              <w:rPr>
                <w:rFonts w:cs="Arial"/>
                <w:b/>
                <w:sz w:val="20"/>
              </w:rPr>
            </w:pPr>
          </w:p>
        </w:tc>
      </w:tr>
      <w:tr w:rsidR="00940980" w:rsidRPr="00C92429" w:rsidTr="00D0215E">
        <w:tc>
          <w:tcPr>
            <w:tcW w:w="4968" w:type="dxa"/>
            <w:gridSpan w:val="4"/>
            <w:shd w:val="clear" w:color="auto" w:fill="D9D9D9" w:themeFill="background1" w:themeFillShade="D9"/>
          </w:tcPr>
          <w:p w:rsidR="00940980" w:rsidRPr="00C92429" w:rsidRDefault="00940980" w:rsidP="00123ACC">
            <w:pPr>
              <w:jc w:val="left"/>
              <w:rPr>
                <w:rFonts w:cs="Arial"/>
                <w:b/>
                <w:sz w:val="20"/>
              </w:rPr>
            </w:pPr>
            <w:r>
              <w:rPr>
                <w:rFonts w:cs="Arial"/>
                <w:b/>
                <w:sz w:val="20"/>
              </w:rPr>
              <w:t>TOTAL PROJECTED DISBURSEMENTS FOR 2013</w:t>
            </w:r>
          </w:p>
        </w:tc>
        <w:tc>
          <w:tcPr>
            <w:tcW w:w="1260" w:type="dxa"/>
            <w:shd w:val="clear" w:color="auto" w:fill="D9D9D9" w:themeFill="background1" w:themeFillShade="D9"/>
          </w:tcPr>
          <w:p w:rsidR="00940980" w:rsidRPr="00C92429" w:rsidRDefault="00940980" w:rsidP="000704AC">
            <w:pPr>
              <w:jc w:val="right"/>
              <w:rPr>
                <w:rFonts w:cs="Arial"/>
                <w:b/>
                <w:sz w:val="20"/>
              </w:rPr>
            </w:pPr>
          </w:p>
        </w:tc>
        <w:tc>
          <w:tcPr>
            <w:tcW w:w="1440" w:type="dxa"/>
            <w:shd w:val="clear" w:color="auto" w:fill="D9D9D9" w:themeFill="background1" w:themeFillShade="D9"/>
          </w:tcPr>
          <w:p w:rsidR="00940980" w:rsidRPr="00C92429" w:rsidRDefault="008C1A9F" w:rsidP="00B32C57">
            <w:pPr>
              <w:jc w:val="center"/>
              <w:rPr>
                <w:rFonts w:cs="Arial"/>
                <w:b/>
                <w:sz w:val="20"/>
              </w:rPr>
            </w:pPr>
            <w:r>
              <w:rPr>
                <w:rFonts w:cs="Arial"/>
                <w:b/>
                <w:sz w:val="20"/>
              </w:rPr>
              <w:t>486,385</w:t>
            </w:r>
          </w:p>
        </w:tc>
        <w:tc>
          <w:tcPr>
            <w:tcW w:w="2970" w:type="dxa"/>
            <w:tcBorders>
              <w:top w:val="nil"/>
              <w:bottom w:val="nil"/>
              <w:right w:val="nil"/>
            </w:tcBorders>
          </w:tcPr>
          <w:p w:rsidR="00940980" w:rsidRPr="00C92429" w:rsidRDefault="00940980" w:rsidP="00134A11">
            <w:pPr>
              <w:pStyle w:val="ListParagraph"/>
              <w:tabs>
                <w:tab w:val="left" w:pos="0"/>
              </w:tabs>
              <w:ind w:left="0"/>
              <w:contextualSpacing/>
              <w:jc w:val="left"/>
              <w:rPr>
                <w:rFonts w:cs="Arial"/>
                <w:sz w:val="20"/>
              </w:rPr>
            </w:pPr>
          </w:p>
        </w:tc>
        <w:tc>
          <w:tcPr>
            <w:tcW w:w="3330" w:type="dxa"/>
            <w:tcBorders>
              <w:top w:val="nil"/>
              <w:left w:val="nil"/>
              <w:bottom w:val="nil"/>
              <w:right w:val="nil"/>
            </w:tcBorders>
          </w:tcPr>
          <w:p w:rsidR="00940980" w:rsidRPr="00C92429" w:rsidRDefault="00940980" w:rsidP="00357BDC">
            <w:pPr>
              <w:jc w:val="left"/>
              <w:rPr>
                <w:rFonts w:cs="Arial"/>
                <w:b/>
                <w:sz w:val="20"/>
                <w:u w:val="single"/>
              </w:rPr>
            </w:pPr>
          </w:p>
        </w:tc>
        <w:tc>
          <w:tcPr>
            <w:tcW w:w="4320" w:type="dxa"/>
            <w:tcBorders>
              <w:top w:val="nil"/>
              <w:left w:val="nil"/>
              <w:bottom w:val="nil"/>
              <w:right w:val="nil"/>
            </w:tcBorders>
          </w:tcPr>
          <w:p w:rsidR="00940980" w:rsidRPr="00C92429" w:rsidRDefault="00940980" w:rsidP="003F7CCB">
            <w:pPr>
              <w:rPr>
                <w:rFonts w:cs="Arial"/>
                <w:b/>
                <w:sz w:val="20"/>
              </w:rPr>
            </w:pPr>
          </w:p>
        </w:tc>
      </w:tr>
    </w:tbl>
    <w:p w:rsidR="00CD10C9" w:rsidRDefault="00FD0F04" w:rsidP="009A7972">
      <w:pPr>
        <w:rPr>
          <w:rFonts w:cs="Arial"/>
          <w:sz w:val="20"/>
        </w:rPr>
      </w:pPr>
      <w:r w:rsidRPr="00F07D82">
        <w:rPr>
          <w:rFonts w:cs="Arial"/>
          <w:sz w:val="20"/>
        </w:rPr>
        <w:t>1</w:t>
      </w:r>
      <w:r w:rsidR="00F07D82">
        <w:rPr>
          <w:rFonts w:cs="Arial"/>
          <w:sz w:val="20"/>
        </w:rPr>
        <w:t>In US$; i</w:t>
      </w:r>
      <w:r w:rsidR="008C1A9F" w:rsidRPr="00F07D82">
        <w:rPr>
          <w:rFonts w:cs="Arial"/>
          <w:sz w:val="20"/>
        </w:rPr>
        <w:t>ncludes</w:t>
      </w:r>
      <w:r w:rsidR="008C1A9F">
        <w:rPr>
          <w:rFonts w:cs="Arial"/>
          <w:sz w:val="20"/>
        </w:rPr>
        <w:t xml:space="preserve"> advances in TAIS</w:t>
      </w:r>
    </w:p>
    <w:p w:rsidR="008C1A9F" w:rsidRPr="00FD0F04" w:rsidRDefault="008C1A9F" w:rsidP="009A7972">
      <w:pPr>
        <w:rPr>
          <w:rFonts w:cs="Arial"/>
          <w:sz w:val="20"/>
        </w:rPr>
      </w:pPr>
    </w:p>
    <w:tbl>
      <w:tblPr>
        <w:tblW w:w="7960" w:type="dxa"/>
        <w:tblInd w:w="93" w:type="dxa"/>
        <w:tblLook w:val="04A0" w:firstRow="1" w:lastRow="0" w:firstColumn="1" w:lastColumn="0" w:noHBand="0" w:noVBand="1"/>
      </w:tblPr>
      <w:tblGrid>
        <w:gridCol w:w="3580"/>
        <w:gridCol w:w="1240"/>
        <w:gridCol w:w="960"/>
        <w:gridCol w:w="960"/>
        <w:gridCol w:w="1220"/>
      </w:tblGrid>
      <w:tr w:rsidR="008C1A9F" w:rsidRPr="008C1A9F" w:rsidTr="008C1A9F">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1A9F" w:rsidRPr="008C1A9F" w:rsidRDefault="008C1A9F" w:rsidP="008C1A9F">
            <w:pPr>
              <w:jc w:val="left"/>
              <w:rPr>
                <w:rFonts w:cs="Arial"/>
                <w:color w:val="000000"/>
                <w:sz w:val="20"/>
              </w:rPr>
            </w:pPr>
            <w:r w:rsidRPr="008C1A9F">
              <w:rPr>
                <w:rFonts w:cs="Arial"/>
                <w:color w:val="000000"/>
                <w:sz w:val="20"/>
              </w:rPr>
              <w:t>Total Fund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8C1A9F" w:rsidRPr="008C1A9F" w:rsidRDefault="008C1A9F" w:rsidP="008C1A9F">
            <w:pPr>
              <w:jc w:val="left"/>
              <w:rPr>
                <w:rFonts w:cs="Arial"/>
                <w:color w:val="000000"/>
                <w:sz w:val="20"/>
              </w:rPr>
            </w:pPr>
            <w:r w:rsidRPr="008C1A9F">
              <w:rPr>
                <w:rFonts w:cs="Arial"/>
                <w:color w:val="000000"/>
                <w:sz w:val="20"/>
              </w:rPr>
              <w:t>835,000</w:t>
            </w:r>
          </w:p>
        </w:tc>
        <w:tc>
          <w:tcPr>
            <w:tcW w:w="960" w:type="dxa"/>
            <w:tcBorders>
              <w:top w:val="single" w:sz="4" w:space="0" w:color="auto"/>
              <w:left w:val="nil"/>
              <w:bottom w:val="nil"/>
              <w:right w:val="nil"/>
            </w:tcBorders>
            <w:shd w:val="clear" w:color="auto" w:fill="auto"/>
            <w:noWrap/>
            <w:vAlign w:val="bottom"/>
            <w:hideMark/>
          </w:tcPr>
          <w:p w:rsidR="008C1A9F" w:rsidRPr="008C1A9F" w:rsidRDefault="008C1A9F" w:rsidP="008C1A9F">
            <w:pPr>
              <w:jc w:val="left"/>
              <w:rPr>
                <w:rFonts w:cs="Arial"/>
                <w:color w:val="000000"/>
                <w:sz w:val="20"/>
              </w:rPr>
            </w:pPr>
            <w:r w:rsidRPr="008C1A9F">
              <w:rPr>
                <w:rFonts w:cs="Arial"/>
                <w:color w:val="000000"/>
                <w:sz w:val="20"/>
              </w:rPr>
              <w:t> </w:t>
            </w:r>
          </w:p>
        </w:tc>
        <w:tc>
          <w:tcPr>
            <w:tcW w:w="960" w:type="dxa"/>
            <w:tcBorders>
              <w:top w:val="single" w:sz="4" w:space="0" w:color="auto"/>
              <w:left w:val="nil"/>
              <w:bottom w:val="nil"/>
              <w:right w:val="nil"/>
            </w:tcBorders>
            <w:shd w:val="clear" w:color="auto" w:fill="auto"/>
            <w:noWrap/>
            <w:vAlign w:val="bottom"/>
            <w:hideMark/>
          </w:tcPr>
          <w:p w:rsidR="008C1A9F" w:rsidRPr="008C1A9F" w:rsidRDefault="008C1A9F" w:rsidP="008C1A9F">
            <w:pPr>
              <w:jc w:val="left"/>
              <w:rPr>
                <w:rFonts w:cs="Arial"/>
                <w:color w:val="000000"/>
                <w:sz w:val="20"/>
              </w:rPr>
            </w:pPr>
            <w:r w:rsidRPr="008C1A9F">
              <w:rPr>
                <w:rFonts w:cs="Arial"/>
                <w:color w:val="000000"/>
                <w:sz w:val="20"/>
              </w:rPr>
              <w:t> </w:t>
            </w:r>
          </w:p>
        </w:tc>
        <w:tc>
          <w:tcPr>
            <w:tcW w:w="1220" w:type="dxa"/>
            <w:tcBorders>
              <w:top w:val="single" w:sz="4" w:space="0" w:color="auto"/>
              <w:left w:val="nil"/>
              <w:bottom w:val="nil"/>
              <w:right w:val="single" w:sz="4" w:space="0" w:color="auto"/>
            </w:tcBorders>
            <w:shd w:val="clear" w:color="auto" w:fill="auto"/>
            <w:noWrap/>
            <w:vAlign w:val="bottom"/>
            <w:hideMark/>
          </w:tcPr>
          <w:p w:rsidR="008C1A9F" w:rsidRPr="008C1A9F" w:rsidRDefault="008C1A9F" w:rsidP="008C1A9F">
            <w:pPr>
              <w:jc w:val="left"/>
              <w:rPr>
                <w:rFonts w:cs="Arial"/>
                <w:color w:val="000000"/>
                <w:sz w:val="20"/>
              </w:rPr>
            </w:pPr>
            <w:r w:rsidRPr="008C1A9F">
              <w:rPr>
                <w:rFonts w:cs="Arial"/>
                <w:color w:val="000000"/>
                <w:sz w:val="20"/>
              </w:rPr>
              <w:t> </w:t>
            </w:r>
          </w:p>
        </w:tc>
      </w:tr>
      <w:tr w:rsidR="008C1A9F" w:rsidRPr="008C1A9F" w:rsidTr="008C1A9F">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8C1A9F" w:rsidRPr="008C1A9F" w:rsidRDefault="008C1A9F" w:rsidP="008C1A9F">
            <w:pPr>
              <w:jc w:val="left"/>
              <w:rPr>
                <w:rFonts w:cs="Arial"/>
                <w:color w:val="000000"/>
                <w:sz w:val="20"/>
              </w:rPr>
            </w:pPr>
            <w:r w:rsidRPr="008C1A9F">
              <w:rPr>
                <w:rFonts w:cs="Arial"/>
                <w:color w:val="000000"/>
                <w:sz w:val="20"/>
              </w:rPr>
              <w:t>Total Commitments</w:t>
            </w:r>
          </w:p>
        </w:tc>
        <w:tc>
          <w:tcPr>
            <w:tcW w:w="1240" w:type="dxa"/>
            <w:tcBorders>
              <w:top w:val="nil"/>
              <w:left w:val="nil"/>
              <w:bottom w:val="single" w:sz="4" w:space="0" w:color="auto"/>
              <w:right w:val="single" w:sz="4" w:space="0" w:color="auto"/>
            </w:tcBorders>
            <w:shd w:val="clear" w:color="auto" w:fill="auto"/>
            <w:noWrap/>
            <w:vAlign w:val="bottom"/>
            <w:hideMark/>
          </w:tcPr>
          <w:p w:rsidR="008C1A9F" w:rsidRPr="008C1A9F" w:rsidRDefault="008C1A9F" w:rsidP="008C1A9F">
            <w:pPr>
              <w:jc w:val="left"/>
              <w:rPr>
                <w:rFonts w:cs="Arial"/>
                <w:color w:val="000000"/>
                <w:sz w:val="20"/>
              </w:rPr>
            </w:pPr>
            <w:r w:rsidRPr="008C1A9F">
              <w:rPr>
                <w:rFonts w:cs="Arial"/>
                <w:color w:val="000000"/>
                <w:sz w:val="20"/>
              </w:rPr>
              <w:t>769,976</w:t>
            </w:r>
          </w:p>
        </w:tc>
        <w:tc>
          <w:tcPr>
            <w:tcW w:w="31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C1A9F" w:rsidRPr="008C1A9F" w:rsidRDefault="008C1A9F" w:rsidP="008C1A9F">
            <w:pPr>
              <w:jc w:val="left"/>
              <w:rPr>
                <w:rFonts w:cs="Arial"/>
                <w:color w:val="000000"/>
                <w:sz w:val="20"/>
              </w:rPr>
            </w:pPr>
            <w:r w:rsidRPr="008C1A9F">
              <w:rPr>
                <w:rFonts w:cs="Arial"/>
                <w:color w:val="000000"/>
                <w:sz w:val="20"/>
              </w:rPr>
              <w:t>92% of Total Fund</w:t>
            </w:r>
          </w:p>
        </w:tc>
      </w:tr>
      <w:tr w:rsidR="008C1A9F" w:rsidRPr="008C1A9F" w:rsidTr="008C1A9F">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8C1A9F" w:rsidRPr="008C1A9F" w:rsidRDefault="008C1A9F" w:rsidP="008C1A9F">
            <w:pPr>
              <w:jc w:val="left"/>
              <w:rPr>
                <w:rFonts w:cs="Arial"/>
                <w:color w:val="000000"/>
                <w:sz w:val="20"/>
              </w:rPr>
            </w:pPr>
            <w:r w:rsidRPr="008C1A9F">
              <w:rPr>
                <w:rFonts w:cs="Arial"/>
                <w:color w:val="000000"/>
                <w:sz w:val="20"/>
              </w:rPr>
              <w:t>Total Disbursements</w:t>
            </w:r>
          </w:p>
        </w:tc>
        <w:tc>
          <w:tcPr>
            <w:tcW w:w="1240" w:type="dxa"/>
            <w:tcBorders>
              <w:top w:val="nil"/>
              <w:left w:val="nil"/>
              <w:bottom w:val="single" w:sz="4" w:space="0" w:color="auto"/>
              <w:right w:val="single" w:sz="4" w:space="0" w:color="auto"/>
            </w:tcBorders>
            <w:shd w:val="clear" w:color="auto" w:fill="auto"/>
            <w:noWrap/>
            <w:vAlign w:val="bottom"/>
            <w:hideMark/>
          </w:tcPr>
          <w:p w:rsidR="008C1A9F" w:rsidRPr="008C1A9F" w:rsidRDefault="008C1A9F" w:rsidP="008C1A9F">
            <w:pPr>
              <w:jc w:val="left"/>
              <w:rPr>
                <w:rFonts w:cs="Arial"/>
                <w:color w:val="000000"/>
                <w:sz w:val="20"/>
              </w:rPr>
            </w:pPr>
            <w:r w:rsidRPr="008C1A9F">
              <w:rPr>
                <w:rFonts w:cs="Arial"/>
                <w:color w:val="000000"/>
                <w:sz w:val="20"/>
              </w:rPr>
              <w:t>283,591</w:t>
            </w:r>
          </w:p>
        </w:tc>
        <w:tc>
          <w:tcPr>
            <w:tcW w:w="3140" w:type="dxa"/>
            <w:gridSpan w:val="3"/>
            <w:tcBorders>
              <w:top w:val="nil"/>
              <w:left w:val="nil"/>
              <w:bottom w:val="nil"/>
              <w:right w:val="single" w:sz="4" w:space="0" w:color="000000"/>
            </w:tcBorders>
            <w:shd w:val="clear" w:color="auto" w:fill="auto"/>
            <w:noWrap/>
            <w:vAlign w:val="bottom"/>
            <w:hideMark/>
          </w:tcPr>
          <w:p w:rsidR="008C1A9F" w:rsidRPr="008C1A9F" w:rsidRDefault="008C1A9F" w:rsidP="008C1A9F">
            <w:pPr>
              <w:jc w:val="left"/>
              <w:rPr>
                <w:rFonts w:cs="Arial"/>
                <w:color w:val="000000"/>
                <w:sz w:val="20"/>
              </w:rPr>
            </w:pPr>
            <w:r w:rsidRPr="008C1A9F">
              <w:rPr>
                <w:rFonts w:cs="Arial"/>
                <w:color w:val="000000"/>
                <w:sz w:val="20"/>
              </w:rPr>
              <w:t>37% of Total Commitments</w:t>
            </w:r>
          </w:p>
        </w:tc>
      </w:tr>
      <w:tr w:rsidR="008C1A9F" w:rsidRPr="008C1A9F" w:rsidTr="008C1A9F">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8C1A9F" w:rsidRPr="008C1A9F" w:rsidRDefault="008C1A9F" w:rsidP="008C1A9F">
            <w:pPr>
              <w:jc w:val="left"/>
              <w:rPr>
                <w:rFonts w:cs="Arial"/>
                <w:color w:val="000000"/>
                <w:sz w:val="20"/>
              </w:rPr>
            </w:pPr>
            <w:r w:rsidRPr="008C1A9F">
              <w:rPr>
                <w:rFonts w:cs="Arial"/>
                <w:color w:val="000000"/>
                <w:sz w:val="20"/>
              </w:rPr>
              <w:t>Total Projected Disbursements, 2013</w:t>
            </w:r>
          </w:p>
        </w:tc>
        <w:tc>
          <w:tcPr>
            <w:tcW w:w="1240" w:type="dxa"/>
            <w:tcBorders>
              <w:top w:val="nil"/>
              <w:left w:val="nil"/>
              <w:bottom w:val="single" w:sz="4" w:space="0" w:color="auto"/>
              <w:right w:val="single" w:sz="4" w:space="0" w:color="auto"/>
            </w:tcBorders>
            <w:shd w:val="clear" w:color="auto" w:fill="auto"/>
            <w:noWrap/>
            <w:vAlign w:val="bottom"/>
            <w:hideMark/>
          </w:tcPr>
          <w:p w:rsidR="008C1A9F" w:rsidRPr="008C1A9F" w:rsidRDefault="008C1A9F" w:rsidP="008C1A9F">
            <w:pPr>
              <w:jc w:val="left"/>
              <w:rPr>
                <w:rFonts w:ascii="Calibri" w:hAnsi="Calibri"/>
                <w:color w:val="000000"/>
                <w:szCs w:val="22"/>
              </w:rPr>
            </w:pPr>
            <w:r w:rsidRPr="008C1A9F">
              <w:rPr>
                <w:rFonts w:ascii="Calibri" w:hAnsi="Calibri"/>
                <w:color w:val="000000"/>
                <w:szCs w:val="22"/>
              </w:rPr>
              <w:t>486,385</w:t>
            </w:r>
          </w:p>
        </w:tc>
        <w:tc>
          <w:tcPr>
            <w:tcW w:w="31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C1A9F" w:rsidRPr="008C1A9F" w:rsidRDefault="008C1A9F" w:rsidP="008C1A9F">
            <w:pPr>
              <w:jc w:val="left"/>
              <w:rPr>
                <w:rFonts w:ascii="Calibri" w:hAnsi="Calibri"/>
                <w:color w:val="000000"/>
                <w:szCs w:val="22"/>
              </w:rPr>
            </w:pPr>
            <w:r w:rsidRPr="008C1A9F">
              <w:rPr>
                <w:rFonts w:ascii="Calibri" w:hAnsi="Calibri"/>
                <w:color w:val="000000"/>
                <w:szCs w:val="22"/>
              </w:rPr>
              <w:t>63 % of Total Commitments</w:t>
            </w:r>
          </w:p>
        </w:tc>
      </w:tr>
    </w:tbl>
    <w:p w:rsidR="00734506" w:rsidRPr="00C92429" w:rsidRDefault="00734506" w:rsidP="00DE21E8">
      <w:pPr>
        <w:rPr>
          <w:rFonts w:cs="Arial"/>
          <w:sz w:val="20"/>
        </w:rPr>
      </w:pPr>
    </w:p>
    <w:sectPr w:rsidR="00734506" w:rsidRPr="00C92429" w:rsidSect="00093546">
      <w:headerReference w:type="default" r:id="rId10"/>
      <w:footnotePr>
        <w:numFmt w:val="lowerLetter"/>
      </w:footnotePr>
      <w:endnotePr>
        <w:numRestart w:val="eachSect"/>
      </w:endnotePr>
      <w:pgSz w:w="20160" w:h="12240" w:orient="landscape" w:code="5"/>
      <w:pgMar w:top="576"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1A" w:rsidRDefault="0095181A">
      <w:r>
        <w:separator/>
      </w:r>
    </w:p>
  </w:endnote>
  <w:endnote w:type="continuationSeparator" w:id="0">
    <w:p w:rsidR="0095181A" w:rsidRDefault="0095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wiss 721 Roman">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1A" w:rsidRDefault="0095181A">
      <w:r>
        <w:separator/>
      </w:r>
    </w:p>
  </w:footnote>
  <w:footnote w:type="continuationSeparator" w:id="0">
    <w:p w:rsidR="0095181A" w:rsidRDefault="00951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7407"/>
      <w:docPartObj>
        <w:docPartGallery w:val="Page Numbers (Top of Page)"/>
        <w:docPartUnique/>
      </w:docPartObj>
    </w:sdtPr>
    <w:sdtEndPr/>
    <w:sdtContent>
      <w:p w:rsidR="00C257C4" w:rsidRDefault="00FA59B7">
        <w:pPr>
          <w:pStyle w:val="Header"/>
        </w:pPr>
        <w:r>
          <w:fldChar w:fldCharType="begin"/>
        </w:r>
        <w:r>
          <w:instrText xml:space="preserve"> PAGE   \* MERGEFORMAT </w:instrText>
        </w:r>
        <w:r>
          <w:fldChar w:fldCharType="separate"/>
        </w:r>
        <w:r>
          <w:rPr>
            <w:noProof/>
          </w:rPr>
          <w:t>5</w:t>
        </w:r>
        <w:r>
          <w:rPr>
            <w:noProof/>
          </w:rPr>
          <w:fldChar w:fldCharType="end"/>
        </w:r>
      </w:p>
    </w:sdtContent>
  </w:sdt>
  <w:p w:rsidR="00C257C4" w:rsidRDefault="00C257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1">
    <w:nsid w:val="11AA68BA"/>
    <w:multiLevelType w:val="hybridMultilevel"/>
    <w:tmpl w:val="D20A69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DE6E15"/>
    <w:multiLevelType w:val="hybridMultilevel"/>
    <w:tmpl w:val="D090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37E9B"/>
    <w:multiLevelType w:val="hybridMultilevel"/>
    <w:tmpl w:val="B2B2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173F59"/>
    <w:multiLevelType w:val="hybridMultilevel"/>
    <w:tmpl w:val="016E2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B5446"/>
    <w:multiLevelType w:val="hybridMultilevel"/>
    <w:tmpl w:val="58007768"/>
    <w:lvl w:ilvl="0" w:tplc="AAE23E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3F39DA"/>
    <w:multiLevelType w:val="hybridMultilevel"/>
    <w:tmpl w:val="5258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1B6B29"/>
    <w:multiLevelType w:val="hybridMultilevel"/>
    <w:tmpl w:val="C9E0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B7536"/>
    <w:multiLevelType w:val="hybridMultilevel"/>
    <w:tmpl w:val="1360B626"/>
    <w:lvl w:ilvl="0" w:tplc="B88EAD9E">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43D6390E"/>
    <w:multiLevelType w:val="hybridMultilevel"/>
    <w:tmpl w:val="515CC002"/>
    <w:lvl w:ilvl="0" w:tplc="9E0A69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310FEE"/>
    <w:multiLevelType w:val="hybridMultilevel"/>
    <w:tmpl w:val="A77E16DC"/>
    <w:lvl w:ilvl="0" w:tplc="C5D4FDF8">
      <w:numFmt w:val="bullet"/>
      <w:lvlText w:val="-"/>
      <w:lvlJc w:val="left"/>
      <w:pPr>
        <w:ind w:left="1080" w:hanging="360"/>
      </w:pPr>
      <w:rPr>
        <w:rFonts w:ascii="Helv" w:eastAsia="Times New Roman" w:hAnsi="Helv" w:cs="Helv"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2E63E72"/>
    <w:multiLevelType w:val="hybridMultilevel"/>
    <w:tmpl w:val="2494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565D29"/>
    <w:multiLevelType w:val="hybridMultilevel"/>
    <w:tmpl w:val="2CD2D86A"/>
    <w:lvl w:ilvl="0" w:tplc="59988F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4"/>
  </w:num>
  <w:num w:numId="11">
    <w:abstractNumId w:val="11"/>
  </w:num>
  <w:num w:numId="12">
    <w:abstractNumId w:val="5"/>
  </w:num>
  <w:num w:numId="13">
    <w:abstractNumId w:val="1"/>
  </w:num>
  <w:num w:numId="14">
    <w:abstractNumId w:val="10"/>
  </w:num>
  <w:num w:numId="15">
    <w:abstractNumId w:val="4"/>
  </w:num>
  <w:num w:numId="16">
    <w:abstractNumId w:val="2"/>
  </w:num>
  <w:num w:numId="17">
    <w:abstractNumId w:val="7"/>
  </w:num>
  <w:num w:numId="18">
    <w:abstractNumId w:val="6"/>
  </w:num>
  <w:num w:numId="19">
    <w:abstractNumId w:val="12"/>
  </w:num>
  <w:num w:numId="20">
    <w:abstractNumId w:val="3"/>
  </w:num>
  <w:num w:numId="21">
    <w:abstractNumId w:val="13"/>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footnotePr>
    <w:numFmt w:val="lowerLetter"/>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2FA"/>
    <w:rsid w:val="0002315F"/>
    <w:rsid w:val="00023661"/>
    <w:rsid w:val="000704AC"/>
    <w:rsid w:val="000748D9"/>
    <w:rsid w:val="00093546"/>
    <w:rsid w:val="000B13B6"/>
    <w:rsid w:val="000B543E"/>
    <w:rsid w:val="000B5C10"/>
    <w:rsid w:val="000C0F01"/>
    <w:rsid w:val="000D18E5"/>
    <w:rsid w:val="000D2AC5"/>
    <w:rsid w:val="000F7D7C"/>
    <w:rsid w:val="001148D2"/>
    <w:rsid w:val="00116576"/>
    <w:rsid w:val="001203B5"/>
    <w:rsid w:val="00120F26"/>
    <w:rsid w:val="00123ACC"/>
    <w:rsid w:val="0013357F"/>
    <w:rsid w:val="001342B5"/>
    <w:rsid w:val="00134A11"/>
    <w:rsid w:val="00147500"/>
    <w:rsid w:val="001622D8"/>
    <w:rsid w:val="00173AF2"/>
    <w:rsid w:val="001820D1"/>
    <w:rsid w:val="0018362F"/>
    <w:rsid w:val="001949D5"/>
    <w:rsid w:val="001A70BD"/>
    <w:rsid w:val="001C3A61"/>
    <w:rsid w:val="001C6080"/>
    <w:rsid w:val="001C6908"/>
    <w:rsid w:val="001F7338"/>
    <w:rsid w:val="00240D7C"/>
    <w:rsid w:val="002428AA"/>
    <w:rsid w:val="0024727A"/>
    <w:rsid w:val="00292583"/>
    <w:rsid w:val="00292BE6"/>
    <w:rsid w:val="00294BF0"/>
    <w:rsid w:val="002A325F"/>
    <w:rsid w:val="002C38F3"/>
    <w:rsid w:val="002C7747"/>
    <w:rsid w:val="002C7F79"/>
    <w:rsid w:val="002D00C9"/>
    <w:rsid w:val="002E37B6"/>
    <w:rsid w:val="002F2303"/>
    <w:rsid w:val="002F3B68"/>
    <w:rsid w:val="00303A36"/>
    <w:rsid w:val="00304184"/>
    <w:rsid w:val="00307DE1"/>
    <w:rsid w:val="00314ACC"/>
    <w:rsid w:val="00326497"/>
    <w:rsid w:val="00333358"/>
    <w:rsid w:val="003337D9"/>
    <w:rsid w:val="003369C5"/>
    <w:rsid w:val="0035464D"/>
    <w:rsid w:val="00357BDC"/>
    <w:rsid w:val="00370E7A"/>
    <w:rsid w:val="00385F7E"/>
    <w:rsid w:val="003A4CE8"/>
    <w:rsid w:val="003C4992"/>
    <w:rsid w:val="003C6EC2"/>
    <w:rsid w:val="003E13A2"/>
    <w:rsid w:val="003F7CCB"/>
    <w:rsid w:val="004002C1"/>
    <w:rsid w:val="0043150F"/>
    <w:rsid w:val="00437A87"/>
    <w:rsid w:val="00454FC3"/>
    <w:rsid w:val="00456C69"/>
    <w:rsid w:val="00457A59"/>
    <w:rsid w:val="00464143"/>
    <w:rsid w:val="00494337"/>
    <w:rsid w:val="004D4176"/>
    <w:rsid w:val="004D538C"/>
    <w:rsid w:val="004E36B5"/>
    <w:rsid w:val="004E5A02"/>
    <w:rsid w:val="004E64AF"/>
    <w:rsid w:val="004F5B1F"/>
    <w:rsid w:val="004F77B4"/>
    <w:rsid w:val="004F7D35"/>
    <w:rsid w:val="005137BB"/>
    <w:rsid w:val="00527FD3"/>
    <w:rsid w:val="005414AA"/>
    <w:rsid w:val="00556EF4"/>
    <w:rsid w:val="00564BE8"/>
    <w:rsid w:val="005D1CFC"/>
    <w:rsid w:val="005D2B99"/>
    <w:rsid w:val="005F2A18"/>
    <w:rsid w:val="006308E2"/>
    <w:rsid w:val="00660603"/>
    <w:rsid w:val="006608D1"/>
    <w:rsid w:val="00674928"/>
    <w:rsid w:val="00676ABE"/>
    <w:rsid w:val="00681278"/>
    <w:rsid w:val="00694BAC"/>
    <w:rsid w:val="006A751E"/>
    <w:rsid w:val="006B6582"/>
    <w:rsid w:val="006C3861"/>
    <w:rsid w:val="006D5CDD"/>
    <w:rsid w:val="006E2731"/>
    <w:rsid w:val="006E3292"/>
    <w:rsid w:val="006F6E05"/>
    <w:rsid w:val="00701A00"/>
    <w:rsid w:val="00733327"/>
    <w:rsid w:val="00734506"/>
    <w:rsid w:val="00757722"/>
    <w:rsid w:val="00770F62"/>
    <w:rsid w:val="007C7F4A"/>
    <w:rsid w:val="007E4ECC"/>
    <w:rsid w:val="007E5766"/>
    <w:rsid w:val="007F1F9D"/>
    <w:rsid w:val="007F2749"/>
    <w:rsid w:val="00820ADE"/>
    <w:rsid w:val="008236E9"/>
    <w:rsid w:val="00824237"/>
    <w:rsid w:val="0082452C"/>
    <w:rsid w:val="00825787"/>
    <w:rsid w:val="00886607"/>
    <w:rsid w:val="0089765B"/>
    <w:rsid w:val="008C1A9F"/>
    <w:rsid w:val="008C6EC9"/>
    <w:rsid w:val="008D3380"/>
    <w:rsid w:val="008D6C39"/>
    <w:rsid w:val="008E0A3C"/>
    <w:rsid w:val="008E1436"/>
    <w:rsid w:val="008F4A71"/>
    <w:rsid w:val="00901694"/>
    <w:rsid w:val="00914E23"/>
    <w:rsid w:val="00922AC6"/>
    <w:rsid w:val="00931377"/>
    <w:rsid w:val="00940980"/>
    <w:rsid w:val="00947EB6"/>
    <w:rsid w:val="0095181A"/>
    <w:rsid w:val="00961F7D"/>
    <w:rsid w:val="00984765"/>
    <w:rsid w:val="009A0CB9"/>
    <w:rsid w:val="009A1199"/>
    <w:rsid w:val="009A2641"/>
    <w:rsid w:val="009A7972"/>
    <w:rsid w:val="009B2F86"/>
    <w:rsid w:val="009D1EC3"/>
    <w:rsid w:val="009E6916"/>
    <w:rsid w:val="009F0C7E"/>
    <w:rsid w:val="00A31235"/>
    <w:rsid w:val="00A36546"/>
    <w:rsid w:val="00A506E4"/>
    <w:rsid w:val="00A87592"/>
    <w:rsid w:val="00AA7101"/>
    <w:rsid w:val="00AB00A1"/>
    <w:rsid w:val="00AE0B6E"/>
    <w:rsid w:val="00AF4B3F"/>
    <w:rsid w:val="00B00AE9"/>
    <w:rsid w:val="00B32C57"/>
    <w:rsid w:val="00B47807"/>
    <w:rsid w:val="00B725D1"/>
    <w:rsid w:val="00B82DEF"/>
    <w:rsid w:val="00B84777"/>
    <w:rsid w:val="00BA7D7B"/>
    <w:rsid w:val="00BB299A"/>
    <w:rsid w:val="00BD63D5"/>
    <w:rsid w:val="00BE69A0"/>
    <w:rsid w:val="00BF00FF"/>
    <w:rsid w:val="00C0218E"/>
    <w:rsid w:val="00C15D9B"/>
    <w:rsid w:val="00C17670"/>
    <w:rsid w:val="00C236D5"/>
    <w:rsid w:val="00C257C4"/>
    <w:rsid w:val="00C36815"/>
    <w:rsid w:val="00C40300"/>
    <w:rsid w:val="00C428C7"/>
    <w:rsid w:val="00C51FA1"/>
    <w:rsid w:val="00C55ECE"/>
    <w:rsid w:val="00C92429"/>
    <w:rsid w:val="00CA58B1"/>
    <w:rsid w:val="00CB28EE"/>
    <w:rsid w:val="00CC16F9"/>
    <w:rsid w:val="00CC7E63"/>
    <w:rsid w:val="00CD10C9"/>
    <w:rsid w:val="00CD2532"/>
    <w:rsid w:val="00CD42FA"/>
    <w:rsid w:val="00CE17EF"/>
    <w:rsid w:val="00CE2F97"/>
    <w:rsid w:val="00CF49A5"/>
    <w:rsid w:val="00D01D20"/>
    <w:rsid w:val="00D0215E"/>
    <w:rsid w:val="00D27CAE"/>
    <w:rsid w:val="00D31565"/>
    <w:rsid w:val="00D34CB6"/>
    <w:rsid w:val="00D37F03"/>
    <w:rsid w:val="00D60ADB"/>
    <w:rsid w:val="00D62ADD"/>
    <w:rsid w:val="00D66189"/>
    <w:rsid w:val="00DA46BA"/>
    <w:rsid w:val="00DA596D"/>
    <w:rsid w:val="00DA6769"/>
    <w:rsid w:val="00DD57E8"/>
    <w:rsid w:val="00DD609F"/>
    <w:rsid w:val="00DE21E8"/>
    <w:rsid w:val="00E70A4F"/>
    <w:rsid w:val="00EB26BE"/>
    <w:rsid w:val="00EB2733"/>
    <w:rsid w:val="00EB4CEC"/>
    <w:rsid w:val="00EC2F19"/>
    <w:rsid w:val="00EE330E"/>
    <w:rsid w:val="00EF414A"/>
    <w:rsid w:val="00EF64D2"/>
    <w:rsid w:val="00F05548"/>
    <w:rsid w:val="00F07D82"/>
    <w:rsid w:val="00F243A0"/>
    <w:rsid w:val="00F46034"/>
    <w:rsid w:val="00F75ECC"/>
    <w:rsid w:val="00F81917"/>
    <w:rsid w:val="00F9469C"/>
    <w:rsid w:val="00FA29AF"/>
    <w:rsid w:val="00FA59B7"/>
    <w:rsid w:val="00FC1357"/>
    <w:rsid w:val="00FD0F04"/>
    <w:rsid w:val="00FD1915"/>
    <w:rsid w:val="00FE756C"/>
    <w:rsid w:val="00FF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E7A"/>
    <w:pPr>
      <w:jc w:val="both"/>
    </w:pPr>
    <w:rPr>
      <w:rFonts w:ascii="Arial" w:hAnsi="Arial"/>
      <w:sz w:val="22"/>
    </w:rPr>
  </w:style>
  <w:style w:type="paragraph" w:styleId="Heading1">
    <w:name w:val="heading 1"/>
    <w:basedOn w:val="Normal"/>
    <w:next w:val="Normal"/>
    <w:qFormat/>
    <w:rsid w:val="00901694"/>
    <w:pPr>
      <w:keepNext/>
      <w:numPr>
        <w:numId w:val="9"/>
      </w:numPr>
      <w:spacing w:after="240"/>
      <w:jc w:val="center"/>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qFormat/>
    <w:rsid w:val="00901694"/>
    <w:pPr>
      <w:keepNext/>
      <w:numPr>
        <w:ilvl w:val="2"/>
        <w:numId w:val="9"/>
      </w:numPr>
      <w:spacing w:after="240"/>
      <w:outlineLvl w:val="2"/>
    </w:pPr>
    <w:rPr>
      <w:b/>
    </w:rPr>
  </w:style>
  <w:style w:type="paragraph" w:styleId="Heading4">
    <w:name w:val="heading 4"/>
    <w:basedOn w:val="Normal"/>
    <w:next w:val="Normal"/>
    <w:qFormat/>
    <w:rsid w:val="00901694"/>
    <w:pPr>
      <w:keepNext/>
      <w:numPr>
        <w:ilvl w:val="3"/>
        <w:numId w:val="9"/>
      </w:numPr>
      <w:spacing w:after="24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rPr>
      <w:sz w:val="20"/>
    </w:rPr>
  </w:style>
  <w:style w:type="paragraph" w:styleId="Heading8">
    <w:name w:val="heading 8"/>
    <w:basedOn w:val="Normal"/>
    <w:next w:val="Normal"/>
    <w:qFormat/>
    <w:rsid w:val="00901694"/>
    <w:pPr>
      <w:numPr>
        <w:ilvl w:val="7"/>
        <w:numId w:val="9"/>
      </w:numPr>
      <w:spacing w:before="240" w:after="60"/>
      <w:outlineLvl w:val="7"/>
    </w:pPr>
    <w:rPr>
      <w:i/>
      <w:sz w:val="20"/>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A7972"/>
    <w:rPr>
      <w:b/>
    </w:rPr>
  </w:style>
  <w:style w:type="paragraph" w:styleId="BodyText2">
    <w:name w:val="Body Text 2"/>
    <w:basedOn w:val="Normal"/>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basedOn w:val="DefaultParagraphFont"/>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rPr>
      <w:sz w:val="20"/>
    </w:rPr>
  </w:style>
  <w:style w:type="paragraph" w:styleId="Footer">
    <w:name w:val="footer"/>
    <w:basedOn w:val="Normal"/>
    <w:rsid w:val="009A7972"/>
    <w:pPr>
      <w:tabs>
        <w:tab w:val="center" w:pos="4320"/>
        <w:tab w:val="right" w:pos="8640"/>
      </w:tabs>
    </w:pPr>
  </w:style>
  <w:style w:type="character" w:styleId="FootnoteReference">
    <w:name w:val="footnote reference"/>
    <w:basedOn w:val="DefaultParagraphFont"/>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sz w:val="20"/>
    </w:rPr>
  </w:style>
  <w:style w:type="paragraph" w:styleId="TOC4">
    <w:name w:val="toc 4"/>
    <w:basedOn w:val="Normal"/>
    <w:next w:val="Normal"/>
    <w:semiHidden/>
    <w:rsid w:val="009A7972"/>
    <w:pPr>
      <w:tabs>
        <w:tab w:val="right" w:pos="9360"/>
      </w:tabs>
      <w:ind w:left="660"/>
      <w:jc w:val="left"/>
    </w:pPr>
    <w:rPr>
      <w:rFonts w:ascii="Times New Roman" w:hAnsi="Times New Roman"/>
      <w:sz w:val="20"/>
    </w:rPr>
  </w:style>
  <w:style w:type="paragraph" w:styleId="TOC5">
    <w:name w:val="toc 5"/>
    <w:basedOn w:val="Normal"/>
    <w:next w:val="Normal"/>
    <w:semiHidden/>
    <w:rsid w:val="009A7972"/>
    <w:pPr>
      <w:tabs>
        <w:tab w:val="right" w:pos="9360"/>
      </w:tabs>
      <w:ind w:left="880"/>
      <w:jc w:val="left"/>
    </w:pPr>
    <w:rPr>
      <w:rFonts w:ascii="Times New Roman" w:hAnsi="Times New Roman"/>
      <w:sz w:val="20"/>
    </w:rPr>
  </w:style>
  <w:style w:type="paragraph" w:styleId="TOC6">
    <w:name w:val="toc 6"/>
    <w:basedOn w:val="Normal"/>
    <w:next w:val="Normal"/>
    <w:semiHidden/>
    <w:rsid w:val="009A7972"/>
    <w:pPr>
      <w:tabs>
        <w:tab w:val="right" w:pos="9360"/>
      </w:tabs>
      <w:ind w:left="1100"/>
      <w:jc w:val="left"/>
    </w:pPr>
    <w:rPr>
      <w:rFonts w:ascii="Times New Roman" w:hAnsi="Times New Roman"/>
      <w:sz w:val="20"/>
    </w:rPr>
  </w:style>
  <w:style w:type="paragraph" w:styleId="TOC7">
    <w:name w:val="toc 7"/>
    <w:basedOn w:val="Normal"/>
    <w:next w:val="Normal"/>
    <w:semiHidden/>
    <w:rsid w:val="009A7972"/>
    <w:pPr>
      <w:tabs>
        <w:tab w:val="right" w:pos="9360"/>
      </w:tabs>
      <w:ind w:left="1320"/>
      <w:jc w:val="left"/>
    </w:pPr>
    <w:rPr>
      <w:rFonts w:ascii="Times New Roman" w:hAnsi="Times New Roman"/>
      <w:sz w:val="20"/>
    </w:rPr>
  </w:style>
  <w:style w:type="paragraph" w:styleId="TOC8">
    <w:name w:val="toc 8"/>
    <w:basedOn w:val="Normal"/>
    <w:next w:val="Normal"/>
    <w:semiHidden/>
    <w:rsid w:val="009A7972"/>
    <w:pPr>
      <w:tabs>
        <w:tab w:val="right" w:pos="9360"/>
      </w:tabs>
      <w:ind w:left="1540"/>
      <w:jc w:val="left"/>
    </w:pPr>
    <w:rPr>
      <w:rFonts w:ascii="Times New Roman" w:hAnsi="Times New Roman"/>
      <w:sz w:val="20"/>
    </w:rPr>
  </w:style>
  <w:style w:type="paragraph" w:styleId="TOC9">
    <w:name w:val="toc 9"/>
    <w:basedOn w:val="Normal"/>
    <w:next w:val="Normal"/>
    <w:semiHidden/>
    <w:rsid w:val="009A7972"/>
    <w:pPr>
      <w:tabs>
        <w:tab w:val="right" w:pos="9360"/>
      </w:tabs>
      <w:ind w:left="1760"/>
      <w:jc w:val="left"/>
    </w:pPr>
    <w:rPr>
      <w:rFonts w:ascii="Times New Roman" w:hAnsi="Times New Roman"/>
      <w:sz w:val="20"/>
    </w:rPr>
  </w:style>
  <w:style w:type="paragraph" w:customStyle="1" w:styleId="TOC91">
    <w:name w:val="TOC 91"/>
    <w:basedOn w:val="Normal"/>
    <w:next w:val="Normal"/>
    <w:rsid w:val="009A7972"/>
    <w:pPr>
      <w:tabs>
        <w:tab w:val="right" w:leader="dot" w:pos="9360"/>
      </w:tabs>
      <w:ind w:left="720" w:hanging="720"/>
      <w:jc w:val="left"/>
    </w:pPr>
  </w:style>
  <w:style w:type="table" w:styleId="TableGrid">
    <w:name w:val="Table Grid"/>
    <w:basedOn w:val="TableNormal"/>
    <w:rsid w:val="007F1F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7BDC"/>
    <w:pPr>
      <w:ind w:left="720"/>
    </w:pPr>
    <w:rPr>
      <w:rFonts w:eastAsia="Batang"/>
    </w:rPr>
  </w:style>
  <w:style w:type="paragraph" w:styleId="BalloonText">
    <w:name w:val="Balloon Text"/>
    <w:basedOn w:val="Normal"/>
    <w:link w:val="BalloonTextChar"/>
    <w:rsid w:val="00326497"/>
    <w:rPr>
      <w:rFonts w:ascii="Tahoma" w:hAnsi="Tahoma" w:cs="Tahoma"/>
      <w:sz w:val="16"/>
      <w:szCs w:val="16"/>
    </w:rPr>
  </w:style>
  <w:style w:type="character" w:customStyle="1" w:styleId="BalloonTextChar">
    <w:name w:val="Balloon Text Char"/>
    <w:basedOn w:val="DefaultParagraphFont"/>
    <w:link w:val="BalloonText"/>
    <w:rsid w:val="00326497"/>
    <w:rPr>
      <w:rFonts w:ascii="Tahoma" w:hAnsi="Tahoma" w:cs="Tahoma"/>
      <w:sz w:val="16"/>
      <w:szCs w:val="16"/>
    </w:rPr>
  </w:style>
  <w:style w:type="paragraph" w:customStyle="1" w:styleId="Default">
    <w:name w:val="Default"/>
    <w:rsid w:val="008D338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35464D"/>
    <w:rPr>
      <w:rFonts w:ascii="Arial" w:hAnsi="Arial"/>
      <w:sz w:val="22"/>
    </w:rPr>
  </w:style>
  <w:style w:type="character" w:styleId="CommentReference">
    <w:name w:val="annotation reference"/>
    <w:basedOn w:val="DefaultParagraphFont"/>
    <w:rsid w:val="00D37F03"/>
    <w:rPr>
      <w:sz w:val="16"/>
      <w:szCs w:val="16"/>
    </w:rPr>
  </w:style>
  <w:style w:type="paragraph" w:styleId="CommentText">
    <w:name w:val="annotation text"/>
    <w:basedOn w:val="Normal"/>
    <w:link w:val="CommentTextChar"/>
    <w:rsid w:val="00D37F03"/>
    <w:rPr>
      <w:sz w:val="20"/>
    </w:rPr>
  </w:style>
  <w:style w:type="character" w:customStyle="1" w:styleId="CommentTextChar">
    <w:name w:val="Comment Text Char"/>
    <w:basedOn w:val="DefaultParagraphFont"/>
    <w:link w:val="CommentText"/>
    <w:rsid w:val="00D37F03"/>
    <w:rPr>
      <w:rFonts w:ascii="Arial" w:hAnsi="Arial"/>
    </w:rPr>
  </w:style>
  <w:style w:type="paragraph" w:styleId="CommentSubject">
    <w:name w:val="annotation subject"/>
    <w:basedOn w:val="CommentText"/>
    <w:next w:val="CommentText"/>
    <w:link w:val="CommentSubjectChar"/>
    <w:rsid w:val="00D37F03"/>
    <w:rPr>
      <w:b/>
      <w:bCs/>
    </w:rPr>
  </w:style>
  <w:style w:type="character" w:customStyle="1" w:styleId="CommentSubjectChar">
    <w:name w:val="Comment Subject Char"/>
    <w:basedOn w:val="CommentTextChar"/>
    <w:link w:val="CommentSubject"/>
    <w:rsid w:val="00D37F03"/>
    <w:rPr>
      <w:rFonts w:ascii="Arial" w:hAnsi="Arial"/>
      <w:b/>
      <w:bCs/>
    </w:rPr>
  </w:style>
  <w:style w:type="character" w:styleId="Hyperlink">
    <w:name w:val="Hyperlink"/>
    <w:basedOn w:val="DefaultParagraphFont"/>
    <w:rsid w:val="003C49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E7A"/>
    <w:pPr>
      <w:jc w:val="both"/>
    </w:pPr>
    <w:rPr>
      <w:rFonts w:ascii="Arial" w:hAnsi="Arial"/>
      <w:sz w:val="22"/>
    </w:rPr>
  </w:style>
  <w:style w:type="paragraph" w:styleId="Heading1">
    <w:name w:val="heading 1"/>
    <w:basedOn w:val="Normal"/>
    <w:next w:val="Normal"/>
    <w:qFormat/>
    <w:rsid w:val="00901694"/>
    <w:pPr>
      <w:keepNext/>
      <w:numPr>
        <w:numId w:val="9"/>
      </w:numPr>
      <w:spacing w:after="240"/>
      <w:jc w:val="center"/>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qFormat/>
    <w:rsid w:val="00901694"/>
    <w:pPr>
      <w:keepNext/>
      <w:numPr>
        <w:ilvl w:val="2"/>
        <w:numId w:val="9"/>
      </w:numPr>
      <w:spacing w:after="240"/>
      <w:outlineLvl w:val="2"/>
    </w:pPr>
    <w:rPr>
      <w:b/>
    </w:rPr>
  </w:style>
  <w:style w:type="paragraph" w:styleId="Heading4">
    <w:name w:val="heading 4"/>
    <w:basedOn w:val="Normal"/>
    <w:next w:val="Normal"/>
    <w:qFormat/>
    <w:rsid w:val="00901694"/>
    <w:pPr>
      <w:keepNext/>
      <w:numPr>
        <w:ilvl w:val="3"/>
        <w:numId w:val="9"/>
      </w:numPr>
      <w:spacing w:after="24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rPr>
      <w:sz w:val="20"/>
    </w:rPr>
  </w:style>
  <w:style w:type="paragraph" w:styleId="Heading8">
    <w:name w:val="heading 8"/>
    <w:basedOn w:val="Normal"/>
    <w:next w:val="Normal"/>
    <w:qFormat/>
    <w:rsid w:val="00901694"/>
    <w:pPr>
      <w:numPr>
        <w:ilvl w:val="7"/>
        <w:numId w:val="9"/>
      </w:numPr>
      <w:spacing w:before="240" w:after="60"/>
      <w:outlineLvl w:val="7"/>
    </w:pPr>
    <w:rPr>
      <w:i/>
      <w:sz w:val="20"/>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A7972"/>
    <w:rPr>
      <w:b/>
    </w:rPr>
  </w:style>
  <w:style w:type="paragraph" w:styleId="BodyText2">
    <w:name w:val="Body Text 2"/>
    <w:basedOn w:val="Normal"/>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basedOn w:val="DefaultParagraphFont"/>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rPr>
      <w:sz w:val="20"/>
    </w:rPr>
  </w:style>
  <w:style w:type="paragraph" w:styleId="Footer">
    <w:name w:val="footer"/>
    <w:basedOn w:val="Normal"/>
    <w:rsid w:val="009A7972"/>
    <w:pPr>
      <w:tabs>
        <w:tab w:val="center" w:pos="4320"/>
        <w:tab w:val="right" w:pos="8640"/>
      </w:tabs>
    </w:pPr>
  </w:style>
  <w:style w:type="character" w:styleId="FootnoteReference">
    <w:name w:val="footnote reference"/>
    <w:basedOn w:val="DefaultParagraphFont"/>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sz w:val="20"/>
    </w:rPr>
  </w:style>
  <w:style w:type="paragraph" w:styleId="TOC4">
    <w:name w:val="toc 4"/>
    <w:basedOn w:val="Normal"/>
    <w:next w:val="Normal"/>
    <w:semiHidden/>
    <w:rsid w:val="009A7972"/>
    <w:pPr>
      <w:tabs>
        <w:tab w:val="right" w:pos="9360"/>
      </w:tabs>
      <w:ind w:left="660"/>
      <w:jc w:val="left"/>
    </w:pPr>
    <w:rPr>
      <w:rFonts w:ascii="Times New Roman" w:hAnsi="Times New Roman"/>
      <w:sz w:val="20"/>
    </w:rPr>
  </w:style>
  <w:style w:type="paragraph" w:styleId="TOC5">
    <w:name w:val="toc 5"/>
    <w:basedOn w:val="Normal"/>
    <w:next w:val="Normal"/>
    <w:semiHidden/>
    <w:rsid w:val="009A7972"/>
    <w:pPr>
      <w:tabs>
        <w:tab w:val="right" w:pos="9360"/>
      </w:tabs>
      <w:ind w:left="880"/>
      <w:jc w:val="left"/>
    </w:pPr>
    <w:rPr>
      <w:rFonts w:ascii="Times New Roman" w:hAnsi="Times New Roman"/>
      <w:sz w:val="20"/>
    </w:rPr>
  </w:style>
  <w:style w:type="paragraph" w:styleId="TOC6">
    <w:name w:val="toc 6"/>
    <w:basedOn w:val="Normal"/>
    <w:next w:val="Normal"/>
    <w:semiHidden/>
    <w:rsid w:val="009A7972"/>
    <w:pPr>
      <w:tabs>
        <w:tab w:val="right" w:pos="9360"/>
      </w:tabs>
      <w:ind w:left="1100"/>
      <w:jc w:val="left"/>
    </w:pPr>
    <w:rPr>
      <w:rFonts w:ascii="Times New Roman" w:hAnsi="Times New Roman"/>
      <w:sz w:val="20"/>
    </w:rPr>
  </w:style>
  <w:style w:type="paragraph" w:styleId="TOC7">
    <w:name w:val="toc 7"/>
    <w:basedOn w:val="Normal"/>
    <w:next w:val="Normal"/>
    <w:semiHidden/>
    <w:rsid w:val="009A7972"/>
    <w:pPr>
      <w:tabs>
        <w:tab w:val="right" w:pos="9360"/>
      </w:tabs>
      <w:ind w:left="1320"/>
      <w:jc w:val="left"/>
    </w:pPr>
    <w:rPr>
      <w:rFonts w:ascii="Times New Roman" w:hAnsi="Times New Roman"/>
      <w:sz w:val="20"/>
    </w:rPr>
  </w:style>
  <w:style w:type="paragraph" w:styleId="TOC8">
    <w:name w:val="toc 8"/>
    <w:basedOn w:val="Normal"/>
    <w:next w:val="Normal"/>
    <w:semiHidden/>
    <w:rsid w:val="009A7972"/>
    <w:pPr>
      <w:tabs>
        <w:tab w:val="right" w:pos="9360"/>
      </w:tabs>
      <w:ind w:left="1540"/>
      <w:jc w:val="left"/>
    </w:pPr>
    <w:rPr>
      <w:rFonts w:ascii="Times New Roman" w:hAnsi="Times New Roman"/>
      <w:sz w:val="20"/>
    </w:rPr>
  </w:style>
  <w:style w:type="paragraph" w:styleId="TOC9">
    <w:name w:val="toc 9"/>
    <w:basedOn w:val="Normal"/>
    <w:next w:val="Normal"/>
    <w:semiHidden/>
    <w:rsid w:val="009A7972"/>
    <w:pPr>
      <w:tabs>
        <w:tab w:val="right" w:pos="9360"/>
      </w:tabs>
      <w:ind w:left="1760"/>
      <w:jc w:val="left"/>
    </w:pPr>
    <w:rPr>
      <w:rFonts w:ascii="Times New Roman" w:hAnsi="Times New Roman"/>
      <w:sz w:val="20"/>
    </w:rPr>
  </w:style>
  <w:style w:type="paragraph" w:customStyle="1" w:styleId="TOC91">
    <w:name w:val="TOC 91"/>
    <w:basedOn w:val="Normal"/>
    <w:next w:val="Normal"/>
    <w:rsid w:val="009A7972"/>
    <w:pPr>
      <w:tabs>
        <w:tab w:val="right" w:leader="dot" w:pos="9360"/>
      </w:tabs>
      <w:ind w:left="720" w:hanging="720"/>
      <w:jc w:val="left"/>
    </w:pPr>
  </w:style>
  <w:style w:type="table" w:styleId="TableGrid">
    <w:name w:val="Table Grid"/>
    <w:basedOn w:val="TableNormal"/>
    <w:rsid w:val="007F1F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7BDC"/>
    <w:pPr>
      <w:ind w:left="720"/>
    </w:pPr>
    <w:rPr>
      <w:rFonts w:eastAsia="Batang"/>
    </w:rPr>
  </w:style>
  <w:style w:type="paragraph" w:styleId="BalloonText">
    <w:name w:val="Balloon Text"/>
    <w:basedOn w:val="Normal"/>
    <w:link w:val="BalloonTextChar"/>
    <w:rsid w:val="00326497"/>
    <w:rPr>
      <w:rFonts w:ascii="Tahoma" w:hAnsi="Tahoma" w:cs="Tahoma"/>
      <w:sz w:val="16"/>
      <w:szCs w:val="16"/>
    </w:rPr>
  </w:style>
  <w:style w:type="character" w:customStyle="1" w:styleId="BalloonTextChar">
    <w:name w:val="Balloon Text Char"/>
    <w:basedOn w:val="DefaultParagraphFont"/>
    <w:link w:val="BalloonText"/>
    <w:rsid w:val="00326497"/>
    <w:rPr>
      <w:rFonts w:ascii="Tahoma" w:hAnsi="Tahoma" w:cs="Tahoma"/>
      <w:sz w:val="16"/>
      <w:szCs w:val="16"/>
    </w:rPr>
  </w:style>
  <w:style w:type="paragraph" w:customStyle="1" w:styleId="Default">
    <w:name w:val="Default"/>
    <w:rsid w:val="008D338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35464D"/>
    <w:rPr>
      <w:rFonts w:ascii="Arial" w:hAnsi="Arial"/>
      <w:sz w:val="22"/>
    </w:rPr>
  </w:style>
  <w:style w:type="character" w:styleId="CommentReference">
    <w:name w:val="annotation reference"/>
    <w:basedOn w:val="DefaultParagraphFont"/>
    <w:rsid w:val="00D37F03"/>
    <w:rPr>
      <w:sz w:val="16"/>
      <w:szCs w:val="16"/>
    </w:rPr>
  </w:style>
  <w:style w:type="paragraph" w:styleId="CommentText">
    <w:name w:val="annotation text"/>
    <w:basedOn w:val="Normal"/>
    <w:link w:val="CommentTextChar"/>
    <w:rsid w:val="00D37F03"/>
    <w:rPr>
      <w:sz w:val="20"/>
    </w:rPr>
  </w:style>
  <w:style w:type="character" w:customStyle="1" w:styleId="CommentTextChar">
    <w:name w:val="Comment Text Char"/>
    <w:basedOn w:val="DefaultParagraphFont"/>
    <w:link w:val="CommentText"/>
    <w:rsid w:val="00D37F03"/>
    <w:rPr>
      <w:rFonts w:ascii="Arial" w:hAnsi="Arial"/>
    </w:rPr>
  </w:style>
  <w:style w:type="paragraph" w:styleId="CommentSubject">
    <w:name w:val="annotation subject"/>
    <w:basedOn w:val="CommentText"/>
    <w:next w:val="CommentText"/>
    <w:link w:val="CommentSubjectChar"/>
    <w:rsid w:val="00D37F03"/>
    <w:rPr>
      <w:b/>
      <w:bCs/>
    </w:rPr>
  </w:style>
  <w:style w:type="character" w:customStyle="1" w:styleId="CommentSubjectChar">
    <w:name w:val="Comment Subject Char"/>
    <w:basedOn w:val="CommentTextChar"/>
    <w:link w:val="CommentSubject"/>
    <w:rsid w:val="00D37F03"/>
    <w:rPr>
      <w:rFonts w:ascii="Arial" w:hAnsi="Arial"/>
      <w:b/>
      <w:bCs/>
    </w:rPr>
  </w:style>
  <w:style w:type="character" w:styleId="Hyperlink">
    <w:name w:val="Hyperlink"/>
    <w:basedOn w:val="DefaultParagraphFont"/>
    <w:rsid w:val="003C49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34092">
      <w:bodyDiv w:val="1"/>
      <w:marLeft w:val="0"/>
      <w:marRight w:val="0"/>
      <w:marTop w:val="0"/>
      <w:marBottom w:val="0"/>
      <w:divBdr>
        <w:top w:val="none" w:sz="0" w:space="0" w:color="auto"/>
        <w:left w:val="none" w:sz="0" w:space="0" w:color="auto"/>
        <w:bottom w:val="none" w:sz="0" w:space="0" w:color="auto"/>
        <w:right w:val="none" w:sz="0" w:space="0" w:color="auto"/>
      </w:divBdr>
    </w:div>
    <w:div w:id="885992381">
      <w:bodyDiv w:val="1"/>
      <w:marLeft w:val="0"/>
      <w:marRight w:val="0"/>
      <w:marTop w:val="0"/>
      <w:marBottom w:val="0"/>
      <w:divBdr>
        <w:top w:val="none" w:sz="0" w:space="0" w:color="auto"/>
        <w:left w:val="none" w:sz="0" w:space="0" w:color="auto"/>
        <w:bottom w:val="none" w:sz="0" w:space="0" w:color="auto"/>
        <w:right w:val="none" w:sz="0" w:space="0" w:color="auto"/>
      </w:divBdr>
    </w:div>
    <w:div w:id="978723316">
      <w:bodyDiv w:val="1"/>
      <w:marLeft w:val="0"/>
      <w:marRight w:val="0"/>
      <w:marTop w:val="0"/>
      <w:marBottom w:val="0"/>
      <w:divBdr>
        <w:top w:val="none" w:sz="0" w:space="0" w:color="auto"/>
        <w:left w:val="none" w:sz="0" w:space="0" w:color="auto"/>
        <w:bottom w:val="none" w:sz="0" w:space="0" w:color="auto"/>
        <w:right w:val="none" w:sz="0" w:space="0" w:color="auto"/>
      </w:divBdr>
    </w:div>
    <w:div w:id="147568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b.org/projects/documents/low-carbon-agricultural-support-project-gap"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3275C-8EB3-409B-9F44-234DA740C60E}"/>
</file>

<file path=customXml/itemProps2.xml><?xml version="1.0" encoding="utf-8"?>
<ds:datastoreItem xmlns:ds="http://schemas.openxmlformats.org/officeDocument/2006/customXml" ds:itemID="{A2264C8F-F7C3-41C6-AB8C-F2B169FF1D5D}"/>
</file>

<file path=customXml/itemProps3.xml><?xml version="1.0" encoding="utf-8"?>
<ds:datastoreItem xmlns:ds="http://schemas.openxmlformats.org/officeDocument/2006/customXml" ds:itemID="{E695803D-D934-4189-81D1-F28DAAB9E4CB}"/>
</file>

<file path=customXml/itemProps4.xml><?xml version="1.0" encoding="utf-8"?>
<ds:datastoreItem xmlns:ds="http://schemas.openxmlformats.org/officeDocument/2006/customXml" ds:itemID="{57AD0DC2-B82B-4CDB-863F-CC3AFECF724B}"/>
</file>

<file path=docProps/app.xml><?xml version="1.0" encoding="utf-8"?>
<Properties xmlns="http://schemas.openxmlformats.org/officeDocument/2006/extended-properties" xmlns:vt="http://schemas.openxmlformats.org/officeDocument/2006/docPropsVTypes">
  <Template>Normal.dotm</Template>
  <TotalTime>1</TotalTime>
  <Pages>5</Pages>
  <Words>1879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Asian Development Bank</Company>
  <LinksUpToDate>false</LinksUpToDate>
  <CharactersWithSpaces>13251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ar5</dc:creator>
  <cp:lastModifiedBy>Jacqui Thomson</cp:lastModifiedBy>
  <cp:revision>2</cp:revision>
  <cp:lastPrinted>2012-12-12T05:38:00Z</cp:lastPrinted>
  <dcterms:created xsi:type="dcterms:W3CDTF">2012-12-12T05:41:00Z</dcterms:created>
  <dcterms:modified xsi:type="dcterms:W3CDTF">2012-12-12T05:41:00Z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