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C2" w:rsidRPr="00B1463A" w:rsidRDefault="00944BC2" w:rsidP="00944BC2">
      <w:pPr>
        <w:tabs>
          <w:tab w:val="left" w:pos="170"/>
        </w:tabs>
        <w:rPr>
          <w:rFonts w:cs="Arial"/>
          <w:color w:val="666699"/>
          <w:sz w:val="22"/>
          <w:szCs w:val="22"/>
        </w:rPr>
      </w:pPr>
      <w:bookmarkStart w:id="0" w:name="_GoBack"/>
      <w:bookmarkEnd w:id="0"/>
    </w:p>
    <w:p w:rsidR="00C657FB" w:rsidRPr="00B1463A" w:rsidRDefault="0032045D" w:rsidP="00CC57BF">
      <w:pPr>
        <w:pStyle w:val="DocName"/>
        <w:pBdr>
          <w:top w:val="single" w:sz="4" w:space="12" w:color="FF9900"/>
          <w:bottom w:val="single" w:sz="4" w:space="5" w:color="FF9900"/>
        </w:pBdr>
        <w:shd w:val="clear" w:color="auto" w:fill="FFFFCC"/>
        <w:spacing w:line="360" w:lineRule="auto"/>
        <w:rPr>
          <w:rFonts w:cs="Arial"/>
          <w:sz w:val="22"/>
          <w:szCs w:val="22"/>
          <w:lang w:eastAsia="en-AU"/>
        </w:rPr>
      </w:pPr>
      <w:r w:rsidRPr="00B1463A">
        <w:rPr>
          <w:rFonts w:cs="Arial"/>
          <w:sz w:val="22"/>
          <w:szCs w:val="22"/>
          <w:lang w:eastAsia="en-AU"/>
        </w:rPr>
        <w:t>Joint DFAT-MFAT Independent Evaluation of the Fiji Women’s Crisis Centre 2015</w:t>
      </w:r>
    </w:p>
    <w:p w:rsidR="00C657FB" w:rsidRPr="00B1463A" w:rsidRDefault="00F37B61" w:rsidP="00C657FB">
      <w:pPr>
        <w:pStyle w:val="DocName"/>
        <w:pBdr>
          <w:top w:val="single" w:sz="4" w:space="12" w:color="FF9900"/>
          <w:bottom w:val="single" w:sz="4" w:space="5" w:color="FF9900"/>
        </w:pBdr>
        <w:shd w:val="clear" w:color="auto" w:fill="FFFFCC"/>
        <w:spacing w:line="360" w:lineRule="auto"/>
        <w:rPr>
          <w:rFonts w:cs="Arial"/>
          <w:sz w:val="22"/>
          <w:szCs w:val="22"/>
          <w:lang w:eastAsia="en-AU"/>
        </w:rPr>
      </w:pPr>
      <w:r w:rsidRPr="00B1463A">
        <w:rPr>
          <w:rFonts w:cs="Arial"/>
          <w:sz w:val="22"/>
          <w:szCs w:val="22"/>
          <w:lang w:eastAsia="en-AU"/>
        </w:rPr>
        <w:t>MANAGEMENT RESPONSE</w:t>
      </w:r>
    </w:p>
    <w:p w:rsidR="00C657FB" w:rsidRPr="00B1463A" w:rsidRDefault="006F625A" w:rsidP="00683EB4">
      <w:pPr>
        <w:pStyle w:val="Heading2"/>
        <w:rPr>
          <w:sz w:val="22"/>
        </w:rPr>
      </w:pPr>
      <w:r w:rsidRPr="00B1463A">
        <w:rPr>
          <w:sz w:val="22"/>
        </w:rPr>
        <w:t>Investment</w:t>
      </w:r>
      <w:r w:rsidR="000B520A" w:rsidRPr="00B1463A">
        <w:rPr>
          <w:sz w:val="22"/>
        </w:rPr>
        <w:t xml:space="preserve"> </w:t>
      </w:r>
      <w:r w:rsidR="00C657FB" w:rsidRPr="00B1463A">
        <w:rPr>
          <w:sz w:val="22"/>
        </w:rPr>
        <w:t>Summary</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693"/>
      </w:tblGrid>
      <w:tr w:rsidR="00C657FB" w:rsidRPr="00B1463A" w:rsidTr="00175FFC">
        <w:trPr>
          <w:cantSplit/>
          <w:tblHeader/>
        </w:trPr>
        <w:tc>
          <w:tcPr>
            <w:tcW w:w="2660" w:type="dxa"/>
            <w:shd w:val="clear" w:color="auto" w:fill="E0E0E0"/>
            <w:vAlign w:val="center"/>
          </w:tcPr>
          <w:p w:rsidR="00C657FB" w:rsidRPr="00B1463A" w:rsidRDefault="006F625A" w:rsidP="00175FFC">
            <w:pPr>
              <w:pStyle w:val="Table-normal-text"/>
              <w:spacing w:before="120" w:after="120"/>
              <w:rPr>
                <w:rFonts w:cs="Arial"/>
                <w:b/>
                <w:sz w:val="22"/>
                <w:szCs w:val="22"/>
              </w:rPr>
            </w:pPr>
            <w:r w:rsidRPr="00B1463A">
              <w:rPr>
                <w:rFonts w:cs="Arial"/>
                <w:b/>
                <w:sz w:val="22"/>
                <w:szCs w:val="22"/>
              </w:rPr>
              <w:t xml:space="preserve">Investment </w:t>
            </w:r>
            <w:r w:rsidR="00C657FB" w:rsidRPr="00B1463A">
              <w:rPr>
                <w:rFonts w:cs="Arial"/>
                <w:b/>
                <w:sz w:val="22"/>
                <w:szCs w:val="22"/>
              </w:rPr>
              <w:t xml:space="preserve"> Name</w:t>
            </w:r>
          </w:p>
        </w:tc>
        <w:tc>
          <w:tcPr>
            <w:tcW w:w="7229" w:type="dxa"/>
            <w:gridSpan w:val="3"/>
            <w:shd w:val="clear" w:color="auto" w:fill="E0E0E0"/>
            <w:vAlign w:val="center"/>
          </w:tcPr>
          <w:p w:rsidR="00C657FB" w:rsidRPr="00B1463A" w:rsidRDefault="0032045D" w:rsidP="00175FFC">
            <w:pPr>
              <w:pStyle w:val="Table-normal-text"/>
              <w:spacing w:before="120" w:after="120"/>
              <w:rPr>
                <w:rFonts w:cs="Arial"/>
                <w:b/>
                <w:sz w:val="22"/>
                <w:szCs w:val="22"/>
              </w:rPr>
            </w:pPr>
            <w:r w:rsidRPr="00B1463A">
              <w:rPr>
                <w:rFonts w:cs="Arial"/>
                <w:b/>
                <w:sz w:val="22"/>
                <w:szCs w:val="22"/>
              </w:rPr>
              <w:t>Fiji Women’s Crisis Centre Phase 5</w:t>
            </w:r>
          </w:p>
        </w:tc>
      </w:tr>
      <w:tr w:rsidR="00C657FB" w:rsidRPr="00B1463A" w:rsidTr="00175FFC">
        <w:trPr>
          <w:cantSplit/>
        </w:trPr>
        <w:tc>
          <w:tcPr>
            <w:tcW w:w="2660"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AidWorks initiative number</w:t>
            </w:r>
          </w:p>
        </w:tc>
        <w:tc>
          <w:tcPr>
            <w:tcW w:w="7229" w:type="dxa"/>
            <w:gridSpan w:val="3"/>
            <w:shd w:val="clear" w:color="auto" w:fill="auto"/>
          </w:tcPr>
          <w:p w:rsidR="00C657FB" w:rsidRPr="00B1463A" w:rsidRDefault="0032045D" w:rsidP="00EF5DB4">
            <w:pPr>
              <w:pStyle w:val="Table-normal-text"/>
              <w:rPr>
                <w:rFonts w:cs="Arial"/>
                <w:sz w:val="22"/>
                <w:szCs w:val="22"/>
              </w:rPr>
            </w:pPr>
            <w:r w:rsidRPr="00B1463A">
              <w:rPr>
                <w:rFonts w:cs="Arial"/>
                <w:sz w:val="22"/>
                <w:szCs w:val="22"/>
              </w:rPr>
              <w:t>INI598</w:t>
            </w:r>
          </w:p>
        </w:tc>
      </w:tr>
      <w:tr w:rsidR="00C657FB" w:rsidRPr="00B1463A" w:rsidTr="00175FFC">
        <w:trPr>
          <w:cantSplit/>
        </w:trPr>
        <w:tc>
          <w:tcPr>
            <w:tcW w:w="2660"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Commencement date</w:t>
            </w:r>
          </w:p>
        </w:tc>
        <w:tc>
          <w:tcPr>
            <w:tcW w:w="2693" w:type="dxa"/>
            <w:shd w:val="clear" w:color="auto" w:fill="auto"/>
          </w:tcPr>
          <w:p w:rsidR="00C657FB" w:rsidRPr="00B1463A" w:rsidRDefault="0032045D" w:rsidP="006F625A">
            <w:pPr>
              <w:pStyle w:val="Table-normal-text"/>
              <w:rPr>
                <w:rFonts w:cs="Arial"/>
                <w:sz w:val="22"/>
                <w:szCs w:val="22"/>
              </w:rPr>
            </w:pPr>
            <w:r w:rsidRPr="00B1463A">
              <w:rPr>
                <w:rFonts w:cs="Arial"/>
                <w:sz w:val="22"/>
                <w:szCs w:val="22"/>
              </w:rPr>
              <w:t>30 May 2009</w:t>
            </w:r>
          </w:p>
        </w:tc>
        <w:tc>
          <w:tcPr>
            <w:tcW w:w="1843"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Completion date</w:t>
            </w:r>
          </w:p>
        </w:tc>
        <w:tc>
          <w:tcPr>
            <w:tcW w:w="2693" w:type="dxa"/>
            <w:shd w:val="clear" w:color="auto" w:fill="auto"/>
          </w:tcPr>
          <w:p w:rsidR="00C657FB" w:rsidRPr="00B1463A" w:rsidRDefault="006F625A" w:rsidP="0032045D">
            <w:pPr>
              <w:pStyle w:val="Table-normal-text"/>
              <w:rPr>
                <w:rFonts w:cs="Arial"/>
                <w:sz w:val="22"/>
                <w:szCs w:val="22"/>
              </w:rPr>
            </w:pPr>
            <w:r w:rsidRPr="00B1463A">
              <w:rPr>
                <w:rFonts w:cs="Arial"/>
                <w:sz w:val="22"/>
                <w:szCs w:val="22"/>
              </w:rPr>
              <w:t>30 Ju</w:t>
            </w:r>
            <w:r w:rsidR="0032045D" w:rsidRPr="00B1463A">
              <w:rPr>
                <w:rFonts w:cs="Arial"/>
                <w:sz w:val="22"/>
                <w:szCs w:val="22"/>
              </w:rPr>
              <w:t>ne 2016</w:t>
            </w:r>
          </w:p>
        </w:tc>
      </w:tr>
      <w:tr w:rsidR="00C657FB" w:rsidRPr="00B1463A" w:rsidTr="00175FFC">
        <w:trPr>
          <w:cantSplit/>
        </w:trPr>
        <w:tc>
          <w:tcPr>
            <w:tcW w:w="2660"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Total Australian $</w:t>
            </w:r>
          </w:p>
        </w:tc>
        <w:tc>
          <w:tcPr>
            <w:tcW w:w="7229" w:type="dxa"/>
            <w:gridSpan w:val="3"/>
            <w:shd w:val="clear" w:color="auto" w:fill="auto"/>
          </w:tcPr>
          <w:p w:rsidR="00C657FB" w:rsidRPr="00B1463A" w:rsidRDefault="00DB56CF" w:rsidP="0032045D">
            <w:pPr>
              <w:pStyle w:val="Table-normal-text"/>
              <w:rPr>
                <w:rFonts w:cs="Arial"/>
                <w:sz w:val="22"/>
                <w:szCs w:val="22"/>
              </w:rPr>
            </w:pPr>
            <w:r>
              <w:rPr>
                <w:rFonts w:cs="Arial"/>
                <w:sz w:val="22"/>
                <w:szCs w:val="22"/>
              </w:rPr>
              <w:t>AUD8,749,310.92  [AUD</w:t>
            </w:r>
            <w:r w:rsidR="0032045D" w:rsidRPr="00B1463A">
              <w:rPr>
                <w:rFonts w:cs="Arial"/>
                <w:sz w:val="22"/>
                <w:szCs w:val="22"/>
              </w:rPr>
              <w:t>6,503,310.92  expense to date]</w:t>
            </w:r>
          </w:p>
        </w:tc>
      </w:tr>
      <w:tr w:rsidR="00C657FB" w:rsidRPr="00B1463A" w:rsidTr="00175FFC">
        <w:trPr>
          <w:cantSplit/>
        </w:trPr>
        <w:tc>
          <w:tcPr>
            <w:tcW w:w="2660"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Total other $</w:t>
            </w:r>
          </w:p>
        </w:tc>
        <w:tc>
          <w:tcPr>
            <w:tcW w:w="7229" w:type="dxa"/>
            <w:gridSpan w:val="3"/>
            <w:shd w:val="clear" w:color="auto" w:fill="auto"/>
          </w:tcPr>
          <w:p w:rsidR="00C657FB" w:rsidRPr="00B1463A" w:rsidRDefault="0032045D" w:rsidP="00DB56CF">
            <w:pPr>
              <w:pStyle w:val="Table-normal-text"/>
              <w:rPr>
                <w:rFonts w:cs="Arial"/>
                <w:sz w:val="22"/>
                <w:szCs w:val="22"/>
              </w:rPr>
            </w:pPr>
            <w:r w:rsidRPr="00B1463A">
              <w:rPr>
                <w:rFonts w:cs="Arial"/>
                <w:sz w:val="22"/>
                <w:szCs w:val="22"/>
              </w:rPr>
              <w:t>FJ</w:t>
            </w:r>
            <w:r w:rsidR="00DB56CF">
              <w:rPr>
                <w:rFonts w:cs="Arial"/>
                <w:sz w:val="22"/>
                <w:szCs w:val="22"/>
              </w:rPr>
              <w:t>D</w:t>
            </w:r>
            <w:r w:rsidRPr="00B1463A">
              <w:rPr>
                <w:rFonts w:cs="Arial"/>
                <w:sz w:val="22"/>
                <w:szCs w:val="22"/>
              </w:rPr>
              <w:t>3.8 million (approximately AUD2.4million) by MFAT</w:t>
            </w:r>
          </w:p>
        </w:tc>
      </w:tr>
      <w:tr w:rsidR="00C657FB" w:rsidRPr="00B1463A" w:rsidTr="00175FFC">
        <w:trPr>
          <w:cantSplit/>
        </w:trPr>
        <w:tc>
          <w:tcPr>
            <w:tcW w:w="2660"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Delivery organisation(s)</w:t>
            </w:r>
          </w:p>
        </w:tc>
        <w:tc>
          <w:tcPr>
            <w:tcW w:w="7229" w:type="dxa"/>
            <w:gridSpan w:val="3"/>
            <w:shd w:val="clear" w:color="auto" w:fill="auto"/>
          </w:tcPr>
          <w:p w:rsidR="00C657FB" w:rsidRPr="00B1463A" w:rsidRDefault="0032045D" w:rsidP="00175FFC">
            <w:pPr>
              <w:pStyle w:val="Table-normal-text"/>
              <w:rPr>
                <w:rFonts w:cs="Arial"/>
                <w:sz w:val="22"/>
                <w:szCs w:val="22"/>
              </w:rPr>
            </w:pPr>
            <w:r w:rsidRPr="00B1463A">
              <w:rPr>
                <w:rFonts w:cs="Arial"/>
                <w:sz w:val="22"/>
                <w:szCs w:val="22"/>
              </w:rPr>
              <w:t>Fiji Women’s Crisis Centre</w:t>
            </w:r>
          </w:p>
        </w:tc>
      </w:tr>
      <w:tr w:rsidR="00C657FB" w:rsidRPr="00B1463A" w:rsidTr="00175FFC">
        <w:trPr>
          <w:cantSplit/>
        </w:trPr>
        <w:tc>
          <w:tcPr>
            <w:tcW w:w="2660" w:type="dxa"/>
            <w:shd w:val="clear" w:color="auto" w:fill="auto"/>
          </w:tcPr>
          <w:p w:rsidR="00C657FB" w:rsidRPr="00B1463A" w:rsidRDefault="00C657FB" w:rsidP="00845B17">
            <w:pPr>
              <w:pStyle w:val="Table-normal-text"/>
              <w:rPr>
                <w:rFonts w:cs="Arial"/>
                <w:sz w:val="22"/>
                <w:szCs w:val="22"/>
              </w:rPr>
            </w:pPr>
            <w:r w:rsidRPr="00B1463A">
              <w:rPr>
                <w:rFonts w:cs="Arial"/>
                <w:sz w:val="22"/>
                <w:szCs w:val="22"/>
              </w:rPr>
              <w:t xml:space="preserve">Implementing </w:t>
            </w:r>
            <w:r w:rsidR="00845B17" w:rsidRPr="00B1463A">
              <w:rPr>
                <w:rFonts w:cs="Arial"/>
                <w:sz w:val="22"/>
                <w:szCs w:val="22"/>
              </w:rPr>
              <w:t>partner</w:t>
            </w:r>
            <w:r w:rsidRPr="00B1463A">
              <w:rPr>
                <w:rFonts w:cs="Arial"/>
                <w:sz w:val="22"/>
                <w:szCs w:val="22"/>
              </w:rPr>
              <w:t>(s)</w:t>
            </w:r>
          </w:p>
        </w:tc>
        <w:tc>
          <w:tcPr>
            <w:tcW w:w="7229" w:type="dxa"/>
            <w:gridSpan w:val="3"/>
            <w:shd w:val="clear" w:color="auto" w:fill="auto"/>
          </w:tcPr>
          <w:p w:rsidR="00C657FB" w:rsidRPr="00B1463A" w:rsidRDefault="0032045D" w:rsidP="004452AC">
            <w:pPr>
              <w:pStyle w:val="Table-normal-text"/>
              <w:rPr>
                <w:rFonts w:cs="Arial"/>
                <w:sz w:val="22"/>
                <w:szCs w:val="22"/>
              </w:rPr>
            </w:pPr>
            <w:r w:rsidRPr="00B1463A">
              <w:rPr>
                <w:rFonts w:cs="Arial"/>
                <w:sz w:val="22"/>
                <w:szCs w:val="22"/>
              </w:rPr>
              <w:t>Fiji Women’s Crisis Centre</w:t>
            </w:r>
          </w:p>
        </w:tc>
      </w:tr>
      <w:tr w:rsidR="00C657FB" w:rsidRPr="00B1463A" w:rsidTr="00175FFC">
        <w:trPr>
          <w:cantSplit/>
        </w:trPr>
        <w:tc>
          <w:tcPr>
            <w:tcW w:w="2660" w:type="dxa"/>
            <w:shd w:val="clear" w:color="auto" w:fill="auto"/>
          </w:tcPr>
          <w:p w:rsidR="00C657FB" w:rsidRPr="00B1463A" w:rsidRDefault="00C657FB" w:rsidP="00175FFC">
            <w:pPr>
              <w:pStyle w:val="Table-normal-text"/>
              <w:rPr>
                <w:rFonts w:cs="Arial"/>
                <w:sz w:val="22"/>
                <w:szCs w:val="22"/>
              </w:rPr>
            </w:pPr>
            <w:r w:rsidRPr="00B1463A">
              <w:rPr>
                <w:rFonts w:cs="Arial"/>
                <w:sz w:val="22"/>
                <w:szCs w:val="22"/>
              </w:rPr>
              <w:t>Country/Region</w:t>
            </w:r>
          </w:p>
        </w:tc>
        <w:tc>
          <w:tcPr>
            <w:tcW w:w="7229" w:type="dxa"/>
            <w:gridSpan w:val="3"/>
            <w:shd w:val="clear" w:color="auto" w:fill="auto"/>
          </w:tcPr>
          <w:p w:rsidR="00C657FB" w:rsidRPr="00B1463A" w:rsidRDefault="0032045D" w:rsidP="0032045D">
            <w:pPr>
              <w:pStyle w:val="Table-normal-text"/>
              <w:rPr>
                <w:rFonts w:cs="Arial"/>
                <w:sz w:val="22"/>
                <w:szCs w:val="22"/>
              </w:rPr>
            </w:pPr>
            <w:r w:rsidRPr="00B1463A">
              <w:rPr>
                <w:rFonts w:cs="Arial"/>
                <w:sz w:val="22"/>
                <w:szCs w:val="22"/>
              </w:rPr>
              <w:t xml:space="preserve">Fiji  and </w:t>
            </w:r>
            <w:r w:rsidR="00CC57BF" w:rsidRPr="00B1463A">
              <w:rPr>
                <w:rFonts w:cs="Arial"/>
                <w:sz w:val="22"/>
                <w:szCs w:val="22"/>
              </w:rPr>
              <w:t>Pacific</w:t>
            </w:r>
            <w:r w:rsidR="00997956" w:rsidRPr="00B1463A">
              <w:rPr>
                <w:rFonts w:cs="Arial"/>
                <w:sz w:val="22"/>
                <w:szCs w:val="22"/>
              </w:rPr>
              <w:t xml:space="preserve"> </w:t>
            </w:r>
            <w:r w:rsidRPr="00B1463A">
              <w:rPr>
                <w:rFonts w:cs="Arial"/>
                <w:sz w:val="22"/>
                <w:szCs w:val="22"/>
              </w:rPr>
              <w:t xml:space="preserve">Regional </w:t>
            </w:r>
          </w:p>
        </w:tc>
      </w:tr>
      <w:tr w:rsidR="00C657FB" w:rsidRPr="00B1463A" w:rsidTr="00175FFC">
        <w:trPr>
          <w:cantSplit/>
        </w:trPr>
        <w:tc>
          <w:tcPr>
            <w:tcW w:w="2660" w:type="dxa"/>
            <w:shd w:val="clear" w:color="auto" w:fill="auto"/>
          </w:tcPr>
          <w:p w:rsidR="00C657FB" w:rsidRPr="00B1463A" w:rsidRDefault="00C657FB" w:rsidP="00845B17">
            <w:pPr>
              <w:pStyle w:val="Table-normal-text"/>
              <w:rPr>
                <w:rFonts w:cs="Arial"/>
                <w:sz w:val="22"/>
                <w:szCs w:val="22"/>
              </w:rPr>
            </w:pPr>
            <w:r w:rsidRPr="00B1463A">
              <w:rPr>
                <w:rFonts w:cs="Arial"/>
                <w:sz w:val="22"/>
                <w:szCs w:val="22"/>
              </w:rPr>
              <w:t xml:space="preserve">Primary </w:t>
            </w:r>
            <w:r w:rsidR="00845B17" w:rsidRPr="00B1463A">
              <w:rPr>
                <w:rFonts w:cs="Arial"/>
                <w:sz w:val="22"/>
                <w:szCs w:val="22"/>
              </w:rPr>
              <w:t>sector</w:t>
            </w:r>
          </w:p>
        </w:tc>
        <w:tc>
          <w:tcPr>
            <w:tcW w:w="7229" w:type="dxa"/>
            <w:gridSpan w:val="3"/>
            <w:shd w:val="clear" w:color="auto" w:fill="auto"/>
          </w:tcPr>
          <w:p w:rsidR="00C657FB" w:rsidRPr="00B1463A" w:rsidRDefault="0032045D" w:rsidP="00175FFC">
            <w:pPr>
              <w:pStyle w:val="Table-normal-text"/>
              <w:rPr>
                <w:rFonts w:cs="Arial"/>
                <w:sz w:val="22"/>
                <w:szCs w:val="22"/>
              </w:rPr>
            </w:pPr>
            <w:r w:rsidRPr="00B1463A">
              <w:rPr>
                <w:rFonts w:cs="Arial"/>
                <w:sz w:val="22"/>
                <w:szCs w:val="22"/>
              </w:rPr>
              <w:t>Health</w:t>
            </w:r>
          </w:p>
        </w:tc>
      </w:tr>
      <w:tr w:rsidR="00C657FB" w:rsidRPr="00B1463A" w:rsidTr="00175FFC">
        <w:trPr>
          <w:cantSplit/>
        </w:trPr>
        <w:tc>
          <w:tcPr>
            <w:tcW w:w="2660" w:type="dxa"/>
            <w:shd w:val="clear" w:color="auto" w:fill="auto"/>
          </w:tcPr>
          <w:p w:rsidR="00C657FB" w:rsidRPr="00B1463A" w:rsidRDefault="00390A59" w:rsidP="00175FFC">
            <w:pPr>
              <w:pStyle w:val="Table-normal-text"/>
              <w:rPr>
                <w:rFonts w:cs="Arial"/>
                <w:sz w:val="22"/>
                <w:szCs w:val="22"/>
              </w:rPr>
            </w:pPr>
            <w:r w:rsidRPr="00B1463A">
              <w:rPr>
                <w:rFonts w:cs="Arial"/>
                <w:sz w:val="22"/>
                <w:szCs w:val="22"/>
              </w:rPr>
              <w:lastRenderedPageBreak/>
              <w:t>Initiative</w:t>
            </w:r>
            <w:r w:rsidR="00C657FB" w:rsidRPr="00B1463A">
              <w:rPr>
                <w:rFonts w:cs="Arial"/>
                <w:sz w:val="22"/>
                <w:szCs w:val="22"/>
              </w:rPr>
              <w:t xml:space="preserve"> objective</w:t>
            </w:r>
            <w:r w:rsidR="00614E79" w:rsidRPr="00B1463A">
              <w:rPr>
                <w:rFonts w:cs="Arial"/>
                <w:sz w:val="22"/>
                <w:szCs w:val="22"/>
              </w:rPr>
              <w:t>/s</w:t>
            </w:r>
          </w:p>
        </w:tc>
        <w:tc>
          <w:tcPr>
            <w:tcW w:w="7229" w:type="dxa"/>
            <w:gridSpan w:val="3"/>
            <w:shd w:val="clear" w:color="auto" w:fill="auto"/>
          </w:tcPr>
          <w:p w:rsidR="0032045D" w:rsidRPr="00B1463A" w:rsidRDefault="0032045D" w:rsidP="0032045D">
            <w:pPr>
              <w:rPr>
                <w:rFonts w:cs="Arial"/>
                <w:sz w:val="22"/>
                <w:szCs w:val="22"/>
              </w:rPr>
            </w:pPr>
            <w:r w:rsidRPr="00B1463A">
              <w:rPr>
                <w:rFonts w:cs="Arial"/>
                <w:sz w:val="22"/>
                <w:szCs w:val="22"/>
              </w:rPr>
              <w:t xml:space="preserve">FWCC’s overall </w:t>
            </w:r>
            <w:r w:rsidRPr="00B1463A">
              <w:rPr>
                <w:rFonts w:cs="Arial"/>
                <w:i/>
                <w:sz w:val="22"/>
                <w:szCs w:val="22"/>
              </w:rPr>
              <w:t xml:space="preserve">goal </w:t>
            </w:r>
            <w:r w:rsidRPr="00B1463A">
              <w:rPr>
                <w:rFonts w:cs="Arial"/>
                <w:sz w:val="22"/>
                <w:szCs w:val="22"/>
              </w:rPr>
              <w:t>is to:</w:t>
            </w:r>
          </w:p>
          <w:p w:rsidR="0032045D" w:rsidRPr="00B1463A" w:rsidRDefault="0032045D" w:rsidP="0032045D">
            <w:pPr>
              <w:ind w:left="709"/>
              <w:rPr>
                <w:rFonts w:cs="Arial"/>
                <w:i/>
                <w:sz w:val="22"/>
                <w:szCs w:val="22"/>
              </w:rPr>
            </w:pPr>
            <w:r w:rsidRPr="00B1463A">
              <w:rPr>
                <w:rFonts w:cs="Arial"/>
                <w:i/>
                <w:sz w:val="22"/>
                <w:szCs w:val="22"/>
              </w:rPr>
              <w:t xml:space="preserve">Eliminate all forms of VAW in Fiji and the Pacific region using a human rights and development framework. </w:t>
            </w:r>
          </w:p>
          <w:p w:rsidR="0032045D" w:rsidRPr="00B1463A" w:rsidRDefault="0032045D" w:rsidP="0032045D">
            <w:pPr>
              <w:rPr>
                <w:rFonts w:cs="Arial"/>
                <w:sz w:val="22"/>
                <w:szCs w:val="22"/>
              </w:rPr>
            </w:pPr>
            <w:r w:rsidRPr="00B1463A">
              <w:rPr>
                <w:rFonts w:cs="Arial"/>
                <w:sz w:val="22"/>
                <w:szCs w:val="22"/>
              </w:rPr>
              <w:t xml:space="preserve">FWCC has two high level objectives: </w:t>
            </w:r>
          </w:p>
          <w:p w:rsidR="0032045D" w:rsidRPr="00B1463A" w:rsidRDefault="0032045D" w:rsidP="0032045D">
            <w:pPr>
              <w:pStyle w:val="ListParagraph"/>
              <w:numPr>
                <w:ilvl w:val="0"/>
                <w:numId w:val="15"/>
              </w:numPr>
              <w:spacing w:before="0" w:after="120"/>
              <w:ind w:left="714" w:hanging="357"/>
              <w:contextualSpacing w:val="0"/>
              <w:jc w:val="both"/>
              <w:rPr>
                <w:rFonts w:cs="Arial"/>
                <w:sz w:val="22"/>
                <w:szCs w:val="22"/>
              </w:rPr>
            </w:pPr>
            <w:r w:rsidRPr="00B1463A">
              <w:rPr>
                <w:rFonts w:cs="Arial"/>
                <w:sz w:val="22"/>
                <w:szCs w:val="22"/>
              </w:rPr>
              <w:t>Reduce individual and institutional tolerance of violence against women.</w:t>
            </w:r>
          </w:p>
          <w:p w:rsidR="0032045D" w:rsidRPr="00B1463A" w:rsidRDefault="0032045D" w:rsidP="0032045D">
            <w:pPr>
              <w:pStyle w:val="ListParagraph"/>
              <w:numPr>
                <w:ilvl w:val="0"/>
                <w:numId w:val="15"/>
              </w:numPr>
              <w:spacing w:before="0" w:after="120"/>
              <w:ind w:left="714" w:hanging="357"/>
              <w:contextualSpacing w:val="0"/>
              <w:jc w:val="both"/>
              <w:rPr>
                <w:rFonts w:cs="Arial"/>
                <w:sz w:val="22"/>
                <w:szCs w:val="22"/>
              </w:rPr>
            </w:pPr>
            <w:r w:rsidRPr="00B1463A">
              <w:rPr>
                <w:rFonts w:cs="Arial"/>
                <w:sz w:val="22"/>
                <w:szCs w:val="22"/>
              </w:rPr>
              <w:t>Increase the availability of appropriate services.</w:t>
            </w:r>
          </w:p>
          <w:p w:rsidR="0032045D" w:rsidRPr="00B1463A" w:rsidRDefault="0032045D" w:rsidP="0032045D">
            <w:pPr>
              <w:spacing w:before="0" w:after="120"/>
              <w:jc w:val="both"/>
              <w:rPr>
                <w:rFonts w:cs="Arial"/>
                <w:sz w:val="22"/>
                <w:szCs w:val="22"/>
              </w:rPr>
            </w:pPr>
          </w:p>
          <w:p w:rsidR="0032045D" w:rsidRPr="00B1463A" w:rsidRDefault="0032045D" w:rsidP="0032045D">
            <w:pPr>
              <w:rPr>
                <w:rFonts w:cs="Arial"/>
                <w:i/>
                <w:sz w:val="22"/>
                <w:szCs w:val="22"/>
              </w:rPr>
            </w:pPr>
            <w:r w:rsidRPr="00B1463A">
              <w:rPr>
                <w:rFonts w:cs="Arial"/>
                <w:sz w:val="22"/>
                <w:szCs w:val="22"/>
              </w:rPr>
              <w:t xml:space="preserve">The program is organised around five inter-related, mutually supporting components/result areas. The intended </w:t>
            </w:r>
            <w:r w:rsidRPr="00B1463A">
              <w:rPr>
                <w:rFonts w:cs="Arial"/>
                <w:i/>
                <w:sz w:val="22"/>
                <w:szCs w:val="22"/>
              </w:rPr>
              <w:t>outcomes</w:t>
            </w:r>
            <w:r w:rsidRPr="00B1463A">
              <w:rPr>
                <w:rFonts w:cs="Arial"/>
                <w:sz w:val="22"/>
                <w:szCs w:val="22"/>
              </w:rPr>
              <w:t xml:space="preserve"> of work in these areas are</w:t>
            </w:r>
            <w:r w:rsidRPr="00B1463A">
              <w:rPr>
                <w:rFonts w:cs="Arial"/>
                <w:i/>
                <w:sz w:val="22"/>
                <w:szCs w:val="22"/>
              </w:rPr>
              <w:t>:</w:t>
            </w:r>
          </w:p>
          <w:p w:rsidR="0032045D" w:rsidRPr="00B1463A" w:rsidRDefault="0032045D" w:rsidP="0032045D">
            <w:pPr>
              <w:pStyle w:val="ListParagraph"/>
              <w:numPr>
                <w:ilvl w:val="0"/>
                <w:numId w:val="16"/>
              </w:numPr>
              <w:spacing w:before="0" w:after="120"/>
              <w:ind w:left="714" w:hanging="357"/>
              <w:contextualSpacing w:val="0"/>
              <w:jc w:val="both"/>
              <w:rPr>
                <w:rFonts w:cs="Arial"/>
                <w:sz w:val="22"/>
                <w:szCs w:val="22"/>
              </w:rPr>
            </w:pPr>
            <w:r w:rsidRPr="00B1463A">
              <w:rPr>
                <w:rFonts w:cs="Arial"/>
                <w:sz w:val="22"/>
                <w:szCs w:val="22"/>
              </w:rPr>
              <w:t>Women are more aware of their rights and are empowered to make changes in their lives.</w:t>
            </w:r>
          </w:p>
          <w:p w:rsidR="0032045D" w:rsidRPr="00B1463A" w:rsidRDefault="0032045D" w:rsidP="0032045D">
            <w:pPr>
              <w:pStyle w:val="ListParagraph"/>
              <w:numPr>
                <w:ilvl w:val="0"/>
                <w:numId w:val="16"/>
              </w:numPr>
              <w:spacing w:before="0" w:after="120"/>
              <w:ind w:left="714" w:hanging="357"/>
              <w:contextualSpacing w:val="0"/>
              <w:jc w:val="both"/>
              <w:rPr>
                <w:rFonts w:cs="Arial"/>
                <w:sz w:val="22"/>
                <w:szCs w:val="22"/>
              </w:rPr>
            </w:pPr>
            <w:r w:rsidRPr="00B1463A">
              <w:rPr>
                <w:rFonts w:cs="Arial"/>
                <w:sz w:val="22"/>
                <w:szCs w:val="22"/>
              </w:rPr>
              <w:t>Increased awareness, understanding and skills to prevent and respond to violence against women by male advocates for women’s rights, community leaders and members and other service providers.</w:t>
            </w:r>
          </w:p>
          <w:p w:rsidR="0032045D" w:rsidRPr="00B1463A" w:rsidRDefault="0032045D" w:rsidP="0032045D">
            <w:pPr>
              <w:pStyle w:val="ListParagraph"/>
              <w:numPr>
                <w:ilvl w:val="0"/>
                <w:numId w:val="16"/>
              </w:numPr>
              <w:spacing w:before="0" w:after="120"/>
              <w:ind w:left="714" w:hanging="357"/>
              <w:contextualSpacing w:val="0"/>
              <w:jc w:val="both"/>
              <w:rPr>
                <w:rFonts w:cs="Arial"/>
                <w:sz w:val="22"/>
                <w:szCs w:val="22"/>
              </w:rPr>
            </w:pPr>
            <w:r w:rsidRPr="00B1463A">
              <w:rPr>
                <w:rFonts w:cs="Arial"/>
                <w:sz w:val="22"/>
                <w:szCs w:val="22"/>
              </w:rPr>
              <w:t>Increased awareness, understanding and skills to prevent and respond to violence against women by regional network members and other stakeholders across the Pacific region.</w:t>
            </w:r>
          </w:p>
          <w:p w:rsidR="0032045D" w:rsidRPr="00B1463A" w:rsidRDefault="0032045D" w:rsidP="0032045D">
            <w:pPr>
              <w:pStyle w:val="ListParagraph"/>
              <w:numPr>
                <w:ilvl w:val="0"/>
                <w:numId w:val="16"/>
              </w:numPr>
              <w:spacing w:before="0" w:after="120"/>
              <w:ind w:left="714" w:hanging="357"/>
              <w:contextualSpacing w:val="0"/>
              <w:jc w:val="both"/>
              <w:rPr>
                <w:rFonts w:cs="Arial"/>
                <w:sz w:val="22"/>
                <w:szCs w:val="22"/>
              </w:rPr>
            </w:pPr>
            <w:r w:rsidRPr="00B1463A">
              <w:rPr>
                <w:rFonts w:cs="Arial"/>
                <w:sz w:val="22"/>
                <w:szCs w:val="22"/>
              </w:rPr>
              <w:t>Key agencies influenced to improve policy, legislation and services.</w:t>
            </w:r>
          </w:p>
          <w:p w:rsidR="0032045D" w:rsidRPr="00B1463A" w:rsidRDefault="0032045D" w:rsidP="0032045D">
            <w:pPr>
              <w:pStyle w:val="ListParagraph"/>
              <w:numPr>
                <w:ilvl w:val="0"/>
                <w:numId w:val="16"/>
              </w:numPr>
              <w:spacing w:before="0" w:after="120"/>
              <w:ind w:left="714" w:hanging="357"/>
              <w:jc w:val="both"/>
              <w:rPr>
                <w:rFonts w:cs="Arial"/>
                <w:sz w:val="22"/>
                <w:szCs w:val="22"/>
              </w:rPr>
            </w:pPr>
            <w:r w:rsidRPr="00B1463A">
              <w:rPr>
                <w:rFonts w:cs="Arial"/>
                <w:sz w:val="22"/>
                <w:szCs w:val="22"/>
              </w:rPr>
              <w:t>Accessible services to prevent and respond to violence against women.</w:t>
            </w:r>
          </w:p>
          <w:p w:rsidR="006C68ED" w:rsidRPr="00B1463A" w:rsidRDefault="006C68ED" w:rsidP="006C68ED">
            <w:pPr>
              <w:pStyle w:val="ListParagraph"/>
              <w:spacing w:before="0" w:after="120"/>
              <w:ind w:left="714"/>
              <w:jc w:val="both"/>
              <w:rPr>
                <w:rFonts w:cs="Arial"/>
                <w:sz w:val="22"/>
                <w:szCs w:val="22"/>
              </w:rPr>
            </w:pPr>
          </w:p>
          <w:p w:rsidR="0032045D" w:rsidRPr="00B1463A" w:rsidRDefault="0032045D" w:rsidP="0032045D">
            <w:pPr>
              <w:contextualSpacing/>
              <w:rPr>
                <w:rFonts w:cs="Arial"/>
                <w:sz w:val="22"/>
                <w:szCs w:val="22"/>
              </w:rPr>
            </w:pPr>
            <w:r w:rsidRPr="00B1463A">
              <w:rPr>
                <w:rFonts w:cs="Arial"/>
                <w:sz w:val="22"/>
                <w:szCs w:val="22"/>
              </w:rPr>
              <w:t>Programming to achieve the above results is focused on:</w:t>
            </w:r>
          </w:p>
          <w:p w:rsidR="0032045D" w:rsidRPr="00B1463A" w:rsidRDefault="0032045D" w:rsidP="0032045D">
            <w:pPr>
              <w:pStyle w:val="ListParagraph"/>
              <w:numPr>
                <w:ilvl w:val="0"/>
                <w:numId w:val="17"/>
              </w:numPr>
              <w:spacing w:before="0" w:after="120"/>
              <w:ind w:left="714" w:hanging="357"/>
              <w:contextualSpacing w:val="0"/>
              <w:jc w:val="both"/>
              <w:rPr>
                <w:rFonts w:cs="Arial"/>
                <w:sz w:val="22"/>
                <w:szCs w:val="22"/>
              </w:rPr>
            </w:pPr>
            <w:r w:rsidRPr="00B1463A">
              <w:rPr>
                <w:rFonts w:cs="Arial"/>
                <w:sz w:val="22"/>
                <w:szCs w:val="22"/>
              </w:rPr>
              <w:t>Coordination, counselling, advocacy and support services to women.</w:t>
            </w:r>
          </w:p>
          <w:p w:rsidR="0032045D" w:rsidRPr="00B1463A" w:rsidRDefault="0032045D" w:rsidP="0032045D">
            <w:pPr>
              <w:pStyle w:val="ListParagraph"/>
              <w:numPr>
                <w:ilvl w:val="0"/>
                <w:numId w:val="17"/>
              </w:numPr>
              <w:spacing w:before="0" w:after="120"/>
              <w:ind w:left="714" w:hanging="357"/>
              <w:contextualSpacing w:val="0"/>
              <w:jc w:val="both"/>
              <w:rPr>
                <w:rFonts w:cs="Arial"/>
                <w:sz w:val="22"/>
                <w:szCs w:val="22"/>
              </w:rPr>
            </w:pPr>
            <w:r w:rsidRPr="00B1463A">
              <w:rPr>
                <w:rFonts w:cs="Arial"/>
                <w:sz w:val="22"/>
                <w:szCs w:val="22"/>
              </w:rPr>
              <w:t>Community education, male advocacy and training of other agencies.</w:t>
            </w:r>
          </w:p>
          <w:p w:rsidR="0032045D" w:rsidRPr="00B1463A" w:rsidRDefault="0032045D" w:rsidP="0032045D">
            <w:pPr>
              <w:pStyle w:val="ListParagraph"/>
              <w:numPr>
                <w:ilvl w:val="0"/>
                <w:numId w:val="17"/>
              </w:numPr>
              <w:spacing w:before="0" w:after="120"/>
              <w:ind w:left="714" w:hanging="357"/>
              <w:contextualSpacing w:val="0"/>
              <w:jc w:val="both"/>
              <w:rPr>
                <w:rFonts w:cs="Arial"/>
                <w:sz w:val="22"/>
                <w:szCs w:val="22"/>
              </w:rPr>
            </w:pPr>
            <w:r w:rsidRPr="00B1463A">
              <w:rPr>
                <w:rFonts w:cs="Arial"/>
                <w:sz w:val="22"/>
                <w:szCs w:val="22"/>
              </w:rPr>
              <w:t>Regional training, advisory, networking and institutional services to strengthen efforts to address VAW in the region.</w:t>
            </w:r>
          </w:p>
          <w:p w:rsidR="0032045D" w:rsidRPr="00B1463A" w:rsidRDefault="0032045D" w:rsidP="0032045D">
            <w:pPr>
              <w:pStyle w:val="ListParagraph"/>
              <w:numPr>
                <w:ilvl w:val="0"/>
                <w:numId w:val="17"/>
              </w:numPr>
              <w:spacing w:before="0" w:after="120"/>
              <w:ind w:left="714" w:hanging="357"/>
              <w:contextualSpacing w:val="0"/>
              <w:jc w:val="both"/>
              <w:rPr>
                <w:rFonts w:cs="Arial"/>
                <w:sz w:val="22"/>
                <w:szCs w:val="22"/>
              </w:rPr>
            </w:pPr>
            <w:r w:rsidRPr="00B1463A">
              <w:rPr>
                <w:rFonts w:cs="Arial"/>
                <w:sz w:val="22"/>
                <w:szCs w:val="22"/>
              </w:rPr>
              <w:t>Advocacy, research, campaigning and community education for policy and legislative change.</w:t>
            </w:r>
          </w:p>
          <w:p w:rsidR="00C657FB" w:rsidRPr="00B1463A" w:rsidRDefault="0032045D" w:rsidP="00B418E7">
            <w:pPr>
              <w:pStyle w:val="ListParagraph"/>
              <w:numPr>
                <w:ilvl w:val="0"/>
                <w:numId w:val="17"/>
              </w:numPr>
              <w:spacing w:before="0" w:after="120"/>
              <w:ind w:left="714" w:hanging="357"/>
              <w:jc w:val="both"/>
              <w:rPr>
                <w:rFonts w:cs="Arial"/>
                <w:sz w:val="22"/>
                <w:szCs w:val="22"/>
              </w:rPr>
            </w:pPr>
            <w:r w:rsidRPr="00B1463A">
              <w:rPr>
                <w:rFonts w:cs="Arial"/>
                <w:sz w:val="22"/>
                <w:szCs w:val="22"/>
              </w:rPr>
              <w:t>Management and capacity development of all FWCC branches.</w:t>
            </w:r>
          </w:p>
        </w:tc>
      </w:tr>
    </w:tbl>
    <w:p w:rsidR="00DF28FF" w:rsidRPr="00B1463A" w:rsidRDefault="00DF28FF" w:rsidP="00C657FB">
      <w:pPr>
        <w:pStyle w:val="Heading2"/>
        <w:rPr>
          <w:sz w:val="22"/>
        </w:rPr>
      </w:pPr>
    </w:p>
    <w:p w:rsidR="00C657FB" w:rsidRPr="00B1463A" w:rsidRDefault="00DF28FF" w:rsidP="006C68ED">
      <w:pPr>
        <w:spacing w:before="0"/>
        <w:rPr>
          <w:rFonts w:cs="Arial"/>
          <w:b/>
          <w:sz w:val="22"/>
          <w:szCs w:val="22"/>
        </w:rPr>
      </w:pPr>
      <w:r w:rsidRPr="00B1463A">
        <w:rPr>
          <w:rFonts w:cs="Arial"/>
          <w:sz w:val="22"/>
          <w:szCs w:val="22"/>
        </w:rPr>
        <w:br w:type="page"/>
      </w:r>
      <w:r w:rsidR="00C657FB" w:rsidRPr="00B1463A">
        <w:rPr>
          <w:rFonts w:cs="Arial"/>
          <w:b/>
          <w:sz w:val="22"/>
          <w:szCs w:val="22"/>
        </w:rPr>
        <w:lastRenderedPageBreak/>
        <w:t>Evaluation Summary</w:t>
      </w:r>
    </w:p>
    <w:p w:rsidR="00D618D5" w:rsidRPr="00B1463A" w:rsidRDefault="00D618D5" w:rsidP="00D618D5">
      <w:pPr>
        <w:rPr>
          <w:rFonts w:cs="Arial"/>
          <w:sz w:val="22"/>
          <w:szCs w:val="22"/>
          <w:lang w:eastAsia="en-AU"/>
        </w:rPr>
      </w:pPr>
    </w:p>
    <w:p w:rsidR="00D618D5" w:rsidRPr="00B1463A" w:rsidRDefault="00D618D5" w:rsidP="00D618D5">
      <w:pPr>
        <w:rPr>
          <w:rFonts w:cs="Arial"/>
          <w:b/>
          <w:sz w:val="22"/>
          <w:szCs w:val="22"/>
        </w:rPr>
      </w:pPr>
      <w:r w:rsidRPr="00B1463A">
        <w:rPr>
          <w:rFonts w:cs="Arial"/>
          <w:b/>
          <w:sz w:val="22"/>
          <w:szCs w:val="22"/>
        </w:rPr>
        <w:t>Program effectiveness</w:t>
      </w:r>
    </w:p>
    <w:p w:rsidR="00D618D5" w:rsidRPr="00B1463A" w:rsidRDefault="00D618D5" w:rsidP="00E87A4F">
      <w:pPr>
        <w:jc w:val="both"/>
        <w:rPr>
          <w:rFonts w:cs="Arial"/>
          <w:sz w:val="22"/>
          <w:szCs w:val="22"/>
        </w:rPr>
      </w:pPr>
      <w:r w:rsidRPr="00B1463A">
        <w:rPr>
          <w:rFonts w:cs="Arial"/>
          <w:sz w:val="22"/>
          <w:szCs w:val="22"/>
        </w:rPr>
        <w:t>Overall, FWCC has effectively delivered the outputs within the scope of the evaluation (Components 3 &amp; 5) and ha</w:t>
      </w:r>
      <w:r w:rsidR="00D53B16">
        <w:rPr>
          <w:rFonts w:cs="Arial"/>
          <w:sz w:val="22"/>
          <w:szCs w:val="22"/>
        </w:rPr>
        <w:t>s</w:t>
      </w:r>
      <w:r w:rsidRPr="00B1463A">
        <w:rPr>
          <w:rFonts w:cs="Arial"/>
          <w:sz w:val="22"/>
          <w:szCs w:val="22"/>
        </w:rPr>
        <w:t xml:space="preserve"> made solid progress towards achieving intended short-term outcomes</w:t>
      </w:r>
      <w:r w:rsidR="00D53B16">
        <w:rPr>
          <w:rFonts w:cs="Arial"/>
          <w:sz w:val="22"/>
          <w:szCs w:val="22"/>
        </w:rPr>
        <w:t xml:space="preserve"> in these component areas</w:t>
      </w:r>
      <w:r w:rsidRPr="00B1463A">
        <w:rPr>
          <w:rFonts w:cs="Arial"/>
          <w:sz w:val="22"/>
          <w:szCs w:val="22"/>
        </w:rPr>
        <w:t xml:space="preserve">. </w:t>
      </w:r>
    </w:p>
    <w:p w:rsidR="00D618D5" w:rsidRPr="00B1463A" w:rsidRDefault="00D618D5" w:rsidP="00E87A4F">
      <w:pPr>
        <w:jc w:val="both"/>
        <w:rPr>
          <w:rFonts w:cs="Arial"/>
          <w:sz w:val="22"/>
          <w:szCs w:val="22"/>
        </w:rPr>
      </w:pPr>
      <w:r w:rsidRPr="00B1463A">
        <w:rPr>
          <w:rFonts w:cs="Arial"/>
          <w:sz w:val="22"/>
          <w:szCs w:val="22"/>
        </w:rPr>
        <w:t xml:space="preserve">FWCC plays an essential role in building the capacities of Pacific Elimination of Violence </w:t>
      </w:r>
      <w:proofErr w:type="gramStart"/>
      <w:r w:rsidRPr="00B1463A">
        <w:rPr>
          <w:rFonts w:cs="Arial"/>
          <w:sz w:val="22"/>
          <w:szCs w:val="22"/>
        </w:rPr>
        <w:t>Against</w:t>
      </w:r>
      <w:proofErr w:type="gramEnd"/>
      <w:r w:rsidRPr="00B1463A">
        <w:rPr>
          <w:rFonts w:cs="Arial"/>
          <w:sz w:val="22"/>
          <w:szCs w:val="22"/>
        </w:rPr>
        <w:t xml:space="preserve"> Women (EVAW) advocates and organisations to deliver rights-based services. Stakeholders considered the Regional Training Program (RTP) effective in raising awareness, transforming attitudes, and increasing knowledge and skills to prevent and respond to violence against women. Through its role as Managing Agent, FWCC has effectively provided institutional support for the Vanuatu Women’s Centre (VWC) and the Women and Children’s Crisis Centre (WCCC) in Tonga, which has enabled transfers of good practices and the development of robust organisational systems, leading to improved services and reduced tolerance of violence against women in those countries.</w:t>
      </w:r>
      <w:r w:rsidRPr="00B1463A">
        <w:rPr>
          <w:rStyle w:val="FootnoteReference"/>
          <w:rFonts w:cs="Arial"/>
          <w:szCs w:val="22"/>
        </w:rPr>
        <w:footnoteReference w:id="1"/>
      </w:r>
      <w:r w:rsidRPr="00B1463A">
        <w:rPr>
          <w:rFonts w:cs="Arial"/>
          <w:sz w:val="22"/>
          <w:szCs w:val="22"/>
        </w:rPr>
        <w:t xml:space="preserve"> There is also evidence that the capacity support provided to individuals and organisations throughout the region, through training, attachments and mentoring, has contributed to strengthening VAW prevention and responses.</w:t>
      </w:r>
    </w:p>
    <w:p w:rsidR="00D618D5" w:rsidRPr="00B1463A" w:rsidRDefault="00D618D5" w:rsidP="00E87A4F">
      <w:pPr>
        <w:jc w:val="both"/>
        <w:rPr>
          <w:rFonts w:cs="Arial"/>
          <w:sz w:val="22"/>
          <w:szCs w:val="22"/>
        </w:rPr>
      </w:pPr>
      <w:r w:rsidRPr="00B1463A">
        <w:rPr>
          <w:rFonts w:cs="Arial"/>
          <w:sz w:val="22"/>
          <w:szCs w:val="22"/>
        </w:rPr>
        <w:t>There is evidence that FWCC’s Branches are providing accessible services to prevent and respond to violence against women in Fiji, and that Branch management and support systems have effectively contributed to the development of quality, integrated services, including strong, rights-based crisis counselling and advocacy, and community education.</w:t>
      </w:r>
    </w:p>
    <w:p w:rsidR="00D618D5" w:rsidRPr="00B1463A" w:rsidRDefault="00D618D5" w:rsidP="00E87A4F">
      <w:pPr>
        <w:jc w:val="both"/>
        <w:rPr>
          <w:rFonts w:cs="Arial"/>
          <w:sz w:val="22"/>
          <w:szCs w:val="22"/>
        </w:rPr>
      </w:pPr>
      <w:r w:rsidRPr="00B1463A">
        <w:rPr>
          <w:rFonts w:cs="Arial"/>
          <w:sz w:val="22"/>
          <w:szCs w:val="22"/>
        </w:rPr>
        <w:t>There is some evidence that a more explicitly planned approach, including continuing to strengthen partnerships with key actors, would complement the existing demand-driven approaches at all levels, and would strengthen FWCC’s leadership role in aligning rights-based prevention and response efforts with Pacific goals on EVAW, including national plans on EVAW. The full benefits of the Pacific Women’s Network against Violence against Women would be more effective with explicit terms of reference and strategy that clarifies the Network’s governance, management and operations, membership benefits and contributions, and resource requirements to reach shared goals.</w:t>
      </w:r>
    </w:p>
    <w:p w:rsidR="00D618D5" w:rsidRPr="00B1463A" w:rsidRDefault="00D618D5" w:rsidP="00E87A4F">
      <w:pPr>
        <w:jc w:val="both"/>
        <w:rPr>
          <w:rFonts w:cs="Arial"/>
          <w:b/>
          <w:sz w:val="22"/>
          <w:szCs w:val="22"/>
        </w:rPr>
      </w:pPr>
      <w:r w:rsidRPr="00B1463A">
        <w:rPr>
          <w:rFonts w:cs="Arial"/>
          <w:b/>
          <w:sz w:val="22"/>
          <w:szCs w:val="22"/>
        </w:rPr>
        <w:t>Program impacts</w:t>
      </w:r>
    </w:p>
    <w:p w:rsidR="00D618D5" w:rsidRPr="00B1463A" w:rsidRDefault="00D618D5" w:rsidP="00E87A4F">
      <w:pPr>
        <w:jc w:val="both"/>
        <w:rPr>
          <w:rFonts w:cs="Arial"/>
          <w:sz w:val="22"/>
          <w:szCs w:val="22"/>
        </w:rPr>
      </w:pPr>
      <w:r w:rsidRPr="00B1463A">
        <w:rPr>
          <w:rFonts w:cs="Arial"/>
          <w:sz w:val="22"/>
          <w:szCs w:val="22"/>
        </w:rPr>
        <w:t xml:space="preserve">FWCC has made a significant contribution toward building the human resource capacity for eliminating violence against women and has been instrumental in the development of rights-based, gender transformative services that are accessed by increasing numbers of people. EVAW actors in the region – including community members and those working with survivors in institutional contexts – articulated an understanding of gender inequality as the foundation of violence against women, and indicated they have increased confidence in confronting violence-supportive norms. </w:t>
      </w:r>
    </w:p>
    <w:p w:rsidR="00D618D5" w:rsidRPr="00B1463A" w:rsidRDefault="00D618D5" w:rsidP="00E87A4F">
      <w:pPr>
        <w:jc w:val="both"/>
        <w:rPr>
          <w:rFonts w:cs="Arial"/>
          <w:sz w:val="22"/>
          <w:szCs w:val="22"/>
        </w:rPr>
      </w:pPr>
      <w:r w:rsidRPr="00B1463A">
        <w:rPr>
          <w:rFonts w:cs="Arial"/>
          <w:sz w:val="22"/>
          <w:szCs w:val="22"/>
        </w:rPr>
        <w:t xml:space="preserve">FWCC’s focus and approaches to strengthening duty-bearing institutions, including by developing skills, knowledge and attitudes of police and prosecutors, has had a strong impact on individual officers, and there is evidence of institutional shifts. FWCC’s Branch and regional capacity support, including through its Managing Agent role, has enabled partners and Branches to strengthen prevention and response efforts, which has promoted movement toward greater social awareness of VAW. FWCC’s partners are recognised advocates calling for legislation aimed at better safeguarding women and protecting their rights. </w:t>
      </w:r>
    </w:p>
    <w:p w:rsidR="00D618D5" w:rsidRPr="00B1463A" w:rsidRDefault="00D618D5" w:rsidP="00E87A4F">
      <w:pPr>
        <w:jc w:val="both"/>
        <w:rPr>
          <w:rFonts w:cs="Arial"/>
          <w:sz w:val="22"/>
          <w:szCs w:val="22"/>
        </w:rPr>
      </w:pPr>
      <w:r w:rsidRPr="00B1463A">
        <w:rPr>
          <w:rFonts w:cs="Arial"/>
          <w:sz w:val="22"/>
          <w:szCs w:val="22"/>
        </w:rPr>
        <w:t xml:space="preserve">There is evidence that </w:t>
      </w:r>
      <w:proofErr w:type="gramStart"/>
      <w:r w:rsidRPr="00B1463A">
        <w:rPr>
          <w:rFonts w:cs="Arial"/>
          <w:sz w:val="22"/>
          <w:szCs w:val="22"/>
        </w:rPr>
        <w:t>strategies</w:t>
      </w:r>
      <w:proofErr w:type="gramEnd"/>
      <w:r w:rsidRPr="00B1463A">
        <w:rPr>
          <w:rFonts w:cs="Arial"/>
          <w:sz w:val="22"/>
          <w:szCs w:val="22"/>
        </w:rPr>
        <w:t xml:space="preserve"> to refine and build on the gains of some programs, such as the RTP and community education, through more structured follow-up and support, would enhance impact. Strengthening institutional collaboration in Fiji and the region between Branch level </w:t>
      </w:r>
      <w:r w:rsidRPr="00B1463A">
        <w:rPr>
          <w:rFonts w:cs="Arial"/>
          <w:sz w:val="22"/>
          <w:szCs w:val="22"/>
        </w:rPr>
        <w:lastRenderedPageBreak/>
        <w:t xml:space="preserve">stakeholder mechanisms and other mechanisms (such as the Pacific Islands Forum Reference Group to Address Sexual And Gender Based Violence, and the </w:t>
      </w:r>
      <w:r w:rsidRPr="00B1463A">
        <w:rPr>
          <w:rFonts w:eastAsia="MS Mincho" w:cs="Arial"/>
          <w:sz w:val="22"/>
          <w:szCs w:val="22"/>
          <w:lang w:eastAsia="ja-JP"/>
        </w:rPr>
        <w:t>Fiji Inter-Agency Taskforce on the Elimination of Violence Against Women and Children)</w:t>
      </w:r>
      <w:r w:rsidRPr="00B1463A">
        <w:rPr>
          <w:rFonts w:cs="Arial"/>
          <w:sz w:val="22"/>
          <w:szCs w:val="22"/>
        </w:rPr>
        <w:t xml:space="preserve">, would provide further opportunities to leverage the Centre’s work for positive change. </w:t>
      </w:r>
    </w:p>
    <w:p w:rsidR="00D618D5" w:rsidRPr="00B1463A" w:rsidRDefault="00D618D5" w:rsidP="00E87A4F">
      <w:pPr>
        <w:jc w:val="both"/>
        <w:rPr>
          <w:rFonts w:cs="Arial"/>
          <w:b/>
          <w:sz w:val="22"/>
          <w:szCs w:val="22"/>
        </w:rPr>
      </w:pPr>
      <w:r w:rsidRPr="00B1463A">
        <w:rPr>
          <w:rFonts w:cs="Arial"/>
          <w:b/>
          <w:sz w:val="22"/>
          <w:szCs w:val="22"/>
        </w:rPr>
        <w:t>Program efficiency</w:t>
      </w:r>
    </w:p>
    <w:p w:rsidR="00D618D5" w:rsidRPr="00B1463A" w:rsidRDefault="00D618D5" w:rsidP="00E87A4F">
      <w:pPr>
        <w:jc w:val="both"/>
        <w:rPr>
          <w:rFonts w:cs="Arial"/>
          <w:sz w:val="22"/>
          <w:szCs w:val="22"/>
        </w:rPr>
      </w:pPr>
      <w:r w:rsidRPr="00B1463A">
        <w:rPr>
          <w:rFonts w:cs="Arial"/>
          <w:sz w:val="22"/>
          <w:szCs w:val="22"/>
        </w:rPr>
        <w:t>FWCC’s management and delivery of Branch development activities and regional training, networking and institutional support has been mostly efficient. Steady donor partnership and harmonised reporting processes have contributed to FWCC’s ability to deliver its programs, including through sharing and replicating tested approaches and systems, and it has increased the coherence among organisations in the regional Network and among the Fiji Branches.</w:t>
      </w:r>
    </w:p>
    <w:p w:rsidR="00D618D5" w:rsidRPr="00B1463A" w:rsidRDefault="00D618D5" w:rsidP="00E87A4F">
      <w:pPr>
        <w:jc w:val="both"/>
        <w:rPr>
          <w:rFonts w:cs="Arial"/>
          <w:b/>
          <w:i/>
          <w:sz w:val="22"/>
          <w:szCs w:val="22"/>
        </w:rPr>
      </w:pPr>
      <w:r w:rsidRPr="00B1463A">
        <w:rPr>
          <w:rFonts w:cs="Arial"/>
          <w:sz w:val="22"/>
          <w:szCs w:val="22"/>
        </w:rPr>
        <w:t xml:space="preserve">A greater focus on strengthening strategic and collaborative approaches of resource pooling and coordination, concentrating on training more trainers, and intensifying the development and dissemination of adaptable tools would potentially increase efficiency and further expand FWCC’s strategic importance. A more managed approach to the provision of support, versus the current approach mainly responding to demand may help reduce program costs. </w:t>
      </w:r>
    </w:p>
    <w:p w:rsidR="00D618D5" w:rsidRPr="00B1463A" w:rsidRDefault="00D618D5" w:rsidP="00E87A4F">
      <w:pPr>
        <w:jc w:val="both"/>
        <w:rPr>
          <w:rFonts w:cs="Arial"/>
          <w:b/>
          <w:sz w:val="22"/>
          <w:szCs w:val="22"/>
        </w:rPr>
      </w:pPr>
      <w:r w:rsidRPr="00B1463A">
        <w:rPr>
          <w:rFonts w:cs="Arial"/>
          <w:b/>
          <w:sz w:val="22"/>
          <w:szCs w:val="22"/>
        </w:rPr>
        <w:t>Program sustainability</w:t>
      </w:r>
    </w:p>
    <w:p w:rsidR="00D618D5" w:rsidRPr="00B1463A" w:rsidRDefault="00D618D5" w:rsidP="00E87A4F">
      <w:pPr>
        <w:jc w:val="both"/>
        <w:rPr>
          <w:rFonts w:cs="Arial"/>
          <w:sz w:val="22"/>
          <w:szCs w:val="22"/>
        </w:rPr>
      </w:pPr>
      <w:r w:rsidRPr="00B1463A">
        <w:rPr>
          <w:rFonts w:cs="Arial"/>
          <w:sz w:val="22"/>
          <w:szCs w:val="22"/>
        </w:rPr>
        <w:t>FWCC’s contributions to the development of policies, plans, and rights-based services for its network partners, especially V</w:t>
      </w:r>
      <w:r w:rsidR="00B739CA">
        <w:rPr>
          <w:rFonts w:cs="Arial"/>
          <w:sz w:val="22"/>
          <w:szCs w:val="22"/>
        </w:rPr>
        <w:t xml:space="preserve">anuatu Women’s Centre (VWC) </w:t>
      </w:r>
      <w:r w:rsidRPr="00B1463A">
        <w:rPr>
          <w:rFonts w:cs="Arial"/>
          <w:sz w:val="22"/>
          <w:szCs w:val="22"/>
        </w:rPr>
        <w:t xml:space="preserve">and </w:t>
      </w:r>
      <w:r w:rsidR="00B739CA">
        <w:rPr>
          <w:rFonts w:cs="Arial"/>
          <w:sz w:val="22"/>
          <w:szCs w:val="22"/>
        </w:rPr>
        <w:t>Women and Children’s Crisis Centre (</w:t>
      </w:r>
      <w:r w:rsidRPr="00B1463A">
        <w:rPr>
          <w:rFonts w:cs="Arial"/>
          <w:sz w:val="22"/>
          <w:szCs w:val="22"/>
        </w:rPr>
        <w:t>WCCC</w:t>
      </w:r>
      <w:r w:rsidR="00B739CA">
        <w:rPr>
          <w:rFonts w:cs="Arial"/>
          <w:sz w:val="22"/>
          <w:szCs w:val="22"/>
        </w:rPr>
        <w:t>) of Tonga</w:t>
      </w:r>
      <w:r w:rsidRPr="00B1463A">
        <w:rPr>
          <w:rFonts w:cs="Arial"/>
          <w:sz w:val="22"/>
          <w:szCs w:val="22"/>
        </w:rPr>
        <w:t>, is an important ingredient in safeguarding longer-term EVAW outcomes and achievements in the region. There is evidence that these strong partnerships are contributing to changes and that the solidarity in the region is important for sustaining the impacts.</w:t>
      </w:r>
    </w:p>
    <w:p w:rsidR="00D618D5" w:rsidRPr="00B1463A" w:rsidRDefault="00D618D5" w:rsidP="00E87A4F">
      <w:pPr>
        <w:jc w:val="both"/>
        <w:rPr>
          <w:rFonts w:cs="Arial"/>
          <w:sz w:val="22"/>
          <w:szCs w:val="22"/>
        </w:rPr>
      </w:pPr>
      <w:r w:rsidRPr="00B1463A">
        <w:rPr>
          <w:rFonts w:cs="Arial"/>
          <w:sz w:val="22"/>
          <w:szCs w:val="22"/>
        </w:rPr>
        <w:t>FWCC’s organisational sustainability strategies include a focus on mentoring and building the capacity of its senior HQ and Branch staff through training in counselling, advocacy and rights-based approaches, and providing opportunities for local, regional and international exposure. Continuing to expand leadership development and management capabilities among Branch Project Officers and other senior staff, and ensuring organisational processes and approaches are well documented, would support ongoing sustainability of the program’s outcomes.</w:t>
      </w:r>
    </w:p>
    <w:p w:rsidR="00D618D5" w:rsidRPr="00B1463A" w:rsidRDefault="00D618D5" w:rsidP="00E87A4F">
      <w:pPr>
        <w:jc w:val="both"/>
        <w:rPr>
          <w:rFonts w:cs="Arial"/>
          <w:sz w:val="22"/>
          <w:szCs w:val="22"/>
        </w:rPr>
      </w:pPr>
      <w:r w:rsidRPr="00B1463A">
        <w:rPr>
          <w:rFonts w:cs="Arial"/>
          <w:sz w:val="22"/>
          <w:szCs w:val="22"/>
        </w:rPr>
        <w:t xml:space="preserve">The framework and processes of the Pacific Network could be strengthened to enhance sustainability and ensure it is operating to its full potential. A documented plan outlining shared goals, outcomes, approaches and resources would contribute to sustaining the investments in regional support to EVAW. </w:t>
      </w:r>
    </w:p>
    <w:p w:rsidR="00D618D5" w:rsidRPr="00B1463A" w:rsidRDefault="00D618D5" w:rsidP="00D618D5">
      <w:pPr>
        <w:rPr>
          <w:rFonts w:cs="Arial"/>
          <w:sz w:val="22"/>
          <w:szCs w:val="22"/>
          <w:lang w:eastAsia="en-AU"/>
        </w:rPr>
      </w:pPr>
    </w:p>
    <w:p w:rsidR="00B1463A" w:rsidRDefault="00C657FB" w:rsidP="005073E7">
      <w:pPr>
        <w:rPr>
          <w:rFonts w:cs="Arial"/>
          <w:b/>
          <w:sz w:val="22"/>
          <w:szCs w:val="22"/>
        </w:rPr>
      </w:pPr>
      <w:r w:rsidRPr="00B1463A">
        <w:rPr>
          <w:rFonts w:cs="Arial"/>
          <w:b/>
          <w:sz w:val="22"/>
          <w:szCs w:val="22"/>
        </w:rPr>
        <w:t xml:space="preserve">Evaluation Objective: </w:t>
      </w:r>
    </w:p>
    <w:p w:rsidR="005073E7" w:rsidRPr="00B1463A" w:rsidRDefault="00CC57BF" w:rsidP="005073E7">
      <w:pPr>
        <w:rPr>
          <w:rFonts w:cs="Arial"/>
          <w:sz w:val="22"/>
          <w:szCs w:val="22"/>
          <w:lang w:val="en-GB"/>
        </w:rPr>
      </w:pPr>
      <w:r w:rsidRPr="00B1463A">
        <w:rPr>
          <w:rFonts w:cs="Arial"/>
          <w:sz w:val="22"/>
          <w:szCs w:val="22"/>
        </w:rPr>
        <w:t xml:space="preserve">The </w:t>
      </w:r>
      <w:r w:rsidR="005073E7" w:rsidRPr="00B1463A">
        <w:rPr>
          <w:rFonts w:cs="Arial"/>
          <w:sz w:val="22"/>
          <w:szCs w:val="22"/>
        </w:rPr>
        <w:t xml:space="preserve">independent </w:t>
      </w:r>
      <w:r w:rsidR="00D618D5" w:rsidRPr="00B1463A">
        <w:rPr>
          <w:rFonts w:cs="Arial"/>
          <w:sz w:val="22"/>
          <w:szCs w:val="22"/>
        </w:rPr>
        <w:t xml:space="preserve">evaluation </w:t>
      </w:r>
      <w:r w:rsidR="005073E7" w:rsidRPr="00B1463A">
        <w:rPr>
          <w:rFonts w:cs="Arial"/>
          <w:sz w:val="22"/>
          <w:szCs w:val="22"/>
        </w:rPr>
        <w:t xml:space="preserve">of </w:t>
      </w:r>
      <w:r w:rsidR="00091B4B" w:rsidRPr="00B1463A">
        <w:rPr>
          <w:rFonts w:cs="Arial"/>
          <w:sz w:val="22"/>
          <w:szCs w:val="22"/>
          <w:lang w:val="en-GB"/>
        </w:rPr>
        <w:t>the</w:t>
      </w:r>
      <w:r w:rsidR="005073E7" w:rsidRPr="00B1463A">
        <w:rPr>
          <w:rFonts w:cs="Arial"/>
          <w:sz w:val="22"/>
          <w:szCs w:val="22"/>
          <w:lang w:val="en-GB"/>
        </w:rPr>
        <w:t xml:space="preserve"> </w:t>
      </w:r>
      <w:r w:rsidR="00D618D5" w:rsidRPr="00B1463A">
        <w:rPr>
          <w:rFonts w:cs="Arial"/>
          <w:sz w:val="22"/>
          <w:szCs w:val="22"/>
          <w:lang w:val="en-GB"/>
        </w:rPr>
        <w:t xml:space="preserve">FWCC program </w:t>
      </w:r>
      <w:r w:rsidR="005073E7" w:rsidRPr="00B1463A">
        <w:rPr>
          <w:rFonts w:cs="Arial"/>
          <w:sz w:val="22"/>
          <w:szCs w:val="22"/>
          <w:lang w:val="en-GB"/>
        </w:rPr>
        <w:t>w</w:t>
      </w:r>
      <w:r w:rsidR="00091B4B" w:rsidRPr="00B1463A">
        <w:rPr>
          <w:rFonts w:cs="Arial"/>
          <w:sz w:val="22"/>
          <w:szCs w:val="22"/>
          <w:lang w:val="en-GB"/>
        </w:rPr>
        <w:t>as conducted</w:t>
      </w:r>
      <w:r w:rsidR="005073E7" w:rsidRPr="00B1463A">
        <w:rPr>
          <w:rFonts w:cs="Arial"/>
          <w:sz w:val="22"/>
          <w:szCs w:val="22"/>
          <w:lang w:val="en-GB"/>
        </w:rPr>
        <w:t xml:space="preserve"> to:  </w:t>
      </w:r>
    </w:p>
    <w:p w:rsidR="00D618D5" w:rsidRPr="00B1463A" w:rsidRDefault="00D618D5" w:rsidP="00D618D5">
      <w:pPr>
        <w:numPr>
          <w:ilvl w:val="0"/>
          <w:numId w:val="18"/>
        </w:numPr>
        <w:spacing w:before="0"/>
        <w:jc w:val="both"/>
        <w:rPr>
          <w:rFonts w:cs="Arial"/>
          <w:sz w:val="22"/>
          <w:szCs w:val="22"/>
        </w:rPr>
      </w:pPr>
      <w:proofErr w:type="gramStart"/>
      <w:r w:rsidRPr="00B1463A">
        <w:rPr>
          <w:rFonts w:cs="Arial"/>
          <w:sz w:val="22"/>
          <w:szCs w:val="22"/>
        </w:rPr>
        <w:t>assess</w:t>
      </w:r>
      <w:proofErr w:type="gramEnd"/>
      <w:r w:rsidRPr="00B1463A">
        <w:rPr>
          <w:rFonts w:cs="Arial"/>
          <w:sz w:val="22"/>
          <w:szCs w:val="22"/>
        </w:rPr>
        <w:t xml:space="preserve"> the efficiency, effectiveness, and sustainability of FWCC’s regional and branch activities and approaches in responding to VAW.</w:t>
      </w:r>
    </w:p>
    <w:p w:rsidR="00D618D5" w:rsidRPr="00B1463A" w:rsidRDefault="00D618D5" w:rsidP="00D618D5">
      <w:pPr>
        <w:numPr>
          <w:ilvl w:val="0"/>
          <w:numId w:val="18"/>
        </w:numPr>
        <w:spacing w:before="0"/>
        <w:jc w:val="both"/>
        <w:rPr>
          <w:rFonts w:cs="Arial"/>
          <w:sz w:val="22"/>
          <w:szCs w:val="22"/>
        </w:rPr>
      </w:pPr>
      <w:proofErr w:type="gramStart"/>
      <w:r w:rsidRPr="00B1463A">
        <w:rPr>
          <w:rFonts w:cs="Arial"/>
          <w:sz w:val="22"/>
          <w:szCs w:val="22"/>
        </w:rPr>
        <w:t>assess</w:t>
      </w:r>
      <w:proofErr w:type="gramEnd"/>
      <w:r w:rsidRPr="00B1463A">
        <w:rPr>
          <w:rFonts w:cs="Arial"/>
          <w:sz w:val="22"/>
          <w:szCs w:val="22"/>
        </w:rPr>
        <w:t xml:space="preserve"> the efficiency, effectiveness and sustainability of FWCC’s regional and branch management and governance approaches and processes, given its expanding role nationally and in the region.  </w:t>
      </w:r>
    </w:p>
    <w:p w:rsidR="00D618D5" w:rsidRPr="00B1463A" w:rsidRDefault="00D618D5" w:rsidP="00D618D5">
      <w:pPr>
        <w:numPr>
          <w:ilvl w:val="0"/>
          <w:numId w:val="18"/>
        </w:numPr>
        <w:spacing w:before="100" w:beforeAutospacing="1" w:after="100" w:afterAutospacing="1"/>
        <w:jc w:val="both"/>
        <w:rPr>
          <w:rFonts w:cs="Arial"/>
          <w:sz w:val="22"/>
          <w:szCs w:val="22"/>
        </w:rPr>
      </w:pPr>
      <w:r w:rsidRPr="00B1463A">
        <w:rPr>
          <w:rFonts w:cs="Arial"/>
          <w:sz w:val="22"/>
          <w:szCs w:val="22"/>
        </w:rPr>
        <w:t>assess changes in the Pacific region and at the Branch level resulting from FWCC’s work, and</w:t>
      </w:r>
    </w:p>
    <w:p w:rsidR="00D618D5" w:rsidRPr="00B1463A" w:rsidRDefault="00D618D5" w:rsidP="00D618D5">
      <w:pPr>
        <w:numPr>
          <w:ilvl w:val="0"/>
          <w:numId w:val="18"/>
        </w:numPr>
        <w:spacing w:before="0"/>
        <w:jc w:val="both"/>
        <w:rPr>
          <w:rFonts w:cs="Arial"/>
          <w:sz w:val="22"/>
          <w:szCs w:val="22"/>
        </w:rPr>
      </w:pPr>
      <w:proofErr w:type="gramStart"/>
      <w:r w:rsidRPr="00B1463A">
        <w:rPr>
          <w:rFonts w:cs="Arial"/>
          <w:sz w:val="22"/>
          <w:szCs w:val="22"/>
        </w:rPr>
        <w:t>add</w:t>
      </w:r>
      <w:proofErr w:type="gramEnd"/>
      <w:r w:rsidRPr="00B1463A">
        <w:rPr>
          <w:rFonts w:cs="Arial"/>
          <w:sz w:val="22"/>
          <w:szCs w:val="22"/>
        </w:rPr>
        <w:t xml:space="preserve"> to the existing evidence base and provide recommendations and lessons that will inform and shape Australia (DFAT) and New Zealand’s (MFAT’s) future engagement with FWCC.</w:t>
      </w:r>
    </w:p>
    <w:p w:rsidR="00D618D5" w:rsidRPr="00B1463A" w:rsidRDefault="00D618D5" w:rsidP="005073E7">
      <w:pPr>
        <w:rPr>
          <w:rFonts w:cs="Arial"/>
          <w:sz w:val="22"/>
          <w:szCs w:val="22"/>
          <w:lang w:val="en-GB"/>
        </w:rPr>
      </w:pPr>
    </w:p>
    <w:p w:rsidR="00C657FB" w:rsidRPr="00B1463A" w:rsidRDefault="00C657FB" w:rsidP="00C657FB">
      <w:pPr>
        <w:rPr>
          <w:rFonts w:cs="Arial"/>
          <w:sz w:val="22"/>
          <w:szCs w:val="22"/>
        </w:rPr>
      </w:pPr>
      <w:r w:rsidRPr="00B1463A">
        <w:rPr>
          <w:rFonts w:cs="Arial"/>
          <w:b/>
          <w:sz w:val="22"/>
          <w:szCs w:val="22"/>
        </w:rPr>
        <w:t xml:space="preserve">Evaluation Completion Date: </w:t>
      </w:r>
      <w:r w:rsidR="00D618D5" w:rsidRPr="00B1463A">
        <w:rPr>
          <w:rFonts w:cs="Arial"/>
          <w:sz w:val="22"/>
          <w:szCs w:val="22"/>
        </w:rPr>
        <w:t>1 June 2015</w:t>
      </w:r>
    </w:p>
    <w:p w:rsidR="00B1463A" w:rsidRDefault="00B1463A" w:rsidP="00C657FB">
      <w:pPr>
        <w:rPr>
          <w:rFonts w:cs="Arial"/>
          <w:b/>
          <w:sz w:val="22"/>
          <w:szCs w:val="22"/>
        </w:rPr>
      </w:pPr>
    </w:p>
    <w:p w:rsidR="00C657FB" w:rsidRDefault="00C657FB" w:rsidP="00C657FB">
      <w:pPr>
        <w:rPr>
          <w:rFonts w:cs="Arial"/>
          <w:sz w:val="22"/>
          <w:szCs w:val="22"/>
        </w:rPr>
      </w:pPr>
      <w:r w:rsidRPr="00B1463A">
        <w:rPr>
          <w:rFonts w:cs="Arial"/>
          <w:b/>
          <w:sz w:val="22"/>
          <w:szCs w:val="22"/>
        </w:rPr>
        <w:lastRenderedPageBreak/>
        <w:t xml:space="preserve">Evaluation Team: </w:t>
      </w:r>
      <w:r w:rsidR="00D618D5" w:rsidRPr="00B1463A">
        <w:rPr>
          <w:rFonts w:cs="Arial"/>
          <w:b/>
          <w:sz w:val="22"/>
          <w:szCs w:val="22"/>
        </w:rPr>
        <w:t xml:space="preserve"> </w:t>
      </w:r>
      <w:r w:rsidR="00D618D5" w:rsidRPr="00B1463A">
        <w:rPr>
          <w:rFonts w:cs="Arial"/>
          <w:sz w:val="22"/>
          <w:szCs w:val="22"/>
        </w:rPr>
        <w:t>Margot Szamier</w:t>
      </w:r>
      <w:r w:rsidR="00D618D5" w:rsidRPr="00B1463A">
        <w:rPr>
          <w:rFonts w:cs="Arial"/>
          <w:b/>
          <w:sz w:val="22"/>
          <w:szCs w:val="22"/>
        </w:rPr>
        <w:t xml:space="preserve"> </w:t>
      </w:r>
      <w:r w:rsidRPr="00B1463A">
        <w:rPr>
          <w:rFonts w:cs="Arial"/>
          <w:sz w:val="22"/>
          <w:szCs w:val="22"/>
        </w:rPr>
        <w:t xml:space="preserve">(Team Leader), </w:t>
      </w:r>
      <w:r w:rsidR="00D618D5" w:rsidRPr="00B1463A">
        <w:rPr>
          <w:rFonts w:cs="Arial"/>
          <w:sz w:val="22"/>
          <w:szCs w:val="22"/>
        </w:rPr>
        <w:t>Sue Finucane</w:t>
      </w:r>
      <w:r w:rsidR="00C03530">
        <w:rPr>
          <w:rStyle w:val="FootnoteReference"/>
          <w:rFonts w:cs="Arial"/>
        </w:rPr>
        <w:footnoteReference w:id="2"/>
      </w:r>
      <w:r w:rsidR="00D618D5" w:rsidRPr="00B1463A">
        <w:rPr>
          <w:rFonts w:cs="Arial"/>
          <w:sz w:val="22"/>
          <w:szCs w:val="22"/>
        </w:rPr>
        <w:t xml:space="preserve"> </w:t>
      </w:r>
      <w:r w:rsidRPr="00B1463A">
        <w:rPr>
          <w:rFonts w:cs="Arial"/>
          <w:sz w:val="22"/>
          <w:szCs w:val="22"/>
        </w:rPr>
        <w:t>(</w:t>
      </w:r>
      <w:r w:rsidR="00D618D5" w:rsidRPr="00B1463A">
        <w:rPr>
          <w:rFonts w:cs="Arial"/>
          <w:sz w:val="22"/>
          <w:szCs w:val="22"/>
        </w:rPr>
        <w:t>Gender-based Violence Specialist)</w:t>
      </w:r>
      <w:r w:rsidR="00B1463A" w:rsidRPr="00B1463A">
        <w:rPr>
          <w:rFonts w:cs="Arial"/>
          <w:sz w:val="22"/>
          <w:szCs w:val="22"/>
        </w:rPr>
        <w:t xml:space="preserve">, </w:t>
      </w:r>
      <w:proofErr w:type="spellStart"/>
      <w:r w:rsidR="00B1463A" w:rsidRPr="00B1463A">
        <w:rPr>
          <w:rFonts w:cs="Arial"/>
          <w:sz w:val="22"/>
          <w:szCs w:val="22"/>
        </w:rPr>
        <w:t>Daiana</w:t>
      </w:r>
      <w:proofErr w:type="spellEnd"/>
      <w:r w:rsidR="00D618D5" w:rsidRPr="00B1463A">
        <w:rPr>
          <w:rFonts w:cs="Arial"/>
          <w:sz w:val="22"/>
          <w:szCs w:val="22"/>
        </w:rPr>
        <w:t xml:space="preserve"> </w:t>
      </w:r>
      <w:proofErr w:type="spellStart"/>
      <w:r w:rsidR="00D618D5" w:rsidRPr="00B1463A">
        <w:rPr>
          <w:rFonts w:cs="Arial"/>
          <w:sz w:val="22"/>
          <w:szCs w:val="22"/>
        </w:rPr>
        <w:t>Taoba</w:t>
      </w:r>
      <w:proofErr w:type="spellEnd"/>
      <w:r w:rsidR="00D618D5" w:rsidRPr="00B1463A">
        <w:rPr>
          <w:rFonts w:cs="Arial"/>
          <w:sz w:val="22"/>
          <w:szCs w:val="22"/>
        </w:rPr>
        <w:t xml:space="preserve"> </w:t>
      </w:r>
      <w:r w:rsidR="00674BA0" w:rsidRPr="00B1463A">
        <w:rPr>
          <w:rFonts w:cs="Arial"/>
          <w:sz w:val="22"/>
          <w:szCs w:val="22"/>
        </w:rPr>
        <w:t>(</w:t>
      </w:r>
      <w:r w:rsidR="00D618D5" w:rsidRPr="00B1463A">
        <w:rPr>
          <w:rFonts w:cs="Arial"/>
          <w:sz w:val="22"/>
          <w:szCs w:val="22"/>
        </w:rPr>
        <w:t>Research Assistant</w:t>
      </w:r>
      <w:proofErr w:type="gramStart"/>
      <w:r w:rsidR="00674BA0" w:rsidRPr="00B1463A">
        <w:rPr>
          <w:rFonts w:cs="Arial"/>
          <w:sz w:val="22"/>
          <w:szCs w:val="22"/>
        </w:rPr>
        <w:t xml:space="preserve">) </w:t>
      </w:r>
      <w:r w:rsidRPr="00B1463A">
        <w:rPr>
          <w:rFonts w:cs="Arial"/>
          <w:sz w:val="22"/>
          <w:szCs w:val="22"/>
        </w:rPr>
        <w:t xml:space="preserve"> and</w:t>
      </w:r>
      <w:proofErr w:type="gramEnd"/>
      <w:r w:rsidRPr="00B1463A">
        <w:rPr>
          <w:rFonts w:cs="Arial"/>
          <w:sz w:val="22"/>
          <w:szCs w:val="22"/>
        </w:rPr>
        <w:t xml:space="preserve"> </w:t>
      </w:r>
      <w:r w:rsidR="00D618D5" w:rsidRPr="00B1463A">
        <w:rPr>
          <w:rFonts w:cs="Arial"/>
          <w:sz w:val="22"/>
          <w:szCs w:val="22"/>
        </w:rPr>
        <w:t>Nilesh Goundar</w:t>
      </w:r>
      <w:r w:rsidRPr="00B1463A">
        <w:rPr>
          <w:rFonts w:cs="Arial"/>
          <w:sz w:val="22"/>
          <w:szCs w:val="22"/>
        </w:rPr>
        <w:t xml:space="preserve"> (</w:t>
      </w:r>
      <w:r w:rsidR="00674BA0" w:rsidRPr="00B1463A">
        <w:rPr>
          <w:rFonts w:cs="Arial"/>
          <w:sz w:val="22"/>
          <w:szCs w:val="22"/>
        </w:rPr>
        <w:t>DFAT</w:t>
      </w:r>
      <w:r w:rsidRPr="00B1463A">
        <w:rPr>
          <w:rFonts w:cs="Arial"/>
          <w:sz w:val="22"/>
          <w:szCs w:val="22"/>
        </w:rPr>
        <w:t xml:space="preserve"> Evaluation Manager)</w:t>
      </w:r>
      <w:r w:rsidR="00D226EF">
        <w:rPr>
          <w:rFonts w:cs="Arial"/>
          <w:sz w:val="22"/>
          <w:szCs w:val="22"/>
        </w:rPr>
        <w:t xml:space="preserve">. </w:t>
      </w:r>
    </w:p>
    <w:p w:rsidR="00D618D5" w:rsidRPr="00B1463A" w:rsidRDefault="00D618D5" w:rsidP="00C657FB">
      <w:pPr>
        <w:rPr>
          <w:rFonts w:cs="Arial"/>
          <w:sz w:val="22"/>
          <w:szCs w:val="22"/>
        </w:rPr>
      </w:pPr>
    </w:p>
    <w:p w:rsidR="00D618D5" w:rsidRPr="00B1463A" w:rsidRDefault="00D618D5" w:rsidP="00D618D5">
      <w:pPr>
        <w:autoSpaceDE w:val="0"/>
        <w:autoSpaceDN w:val="0"/>
        <w:adjustRightInd w:val="0"/>
        <w:spacing w:before="0"/>
        <w:rPr>
          <w:rFonts w:cs="Arial"/>
          <w:color w:val="000000"/>
          <w:sz w:val="22"/>
          <w:szCs w:val="22"/>
          <w:lang w:val="en-US"/>
        </w:rPr>
      </w:pPr>
      <w:r w:rsidRPr="00B1463A">
        <w:rPr>
          <w:rFonts w:cs="Arial"/>
          <w:color w:val="000000"/>
          <w:sz w:val="22"/>
          <w:szCs w:val="22"/>
          <w:lang w:val="en-US"/>
        </w:rPr>
        <w:t xml:space="preserve">An Evaluation Reference group (ERG) guided and enhanced the quality of the evaluation by peer reviewing and providing impartial and constructive feedback on the products of the evaluation, endorsing the reports and increasing participation and ownership.  Specific roles and responsibilities </w:t>
      </w:r>
      <w:r w:rsidR="008A0F78" w:rsidRPr="00B1463A">
        <w:rPr>
          <w:rFonts w:cs="Arial"/>
          <w:color w:val="000000"/>
          <w:sz w:val="22"/>
          <w:szCs w:val="22"/>
          <w:lang w:val="en-US"/>
        </w:rPr>
        <w:t xml:space="preserve">of the ERG </w:t>
      </w:r>
      <w:r w:rsidRPr="00B1463A">
        <w:rPr>
          <w:rFonts w:cs="Arial"/>
          <w:color w:val="000000"/>
          <w:sz w:val="22"/>
          <w:szCs w:val="22"/>
          <w:lang w:val="en-US"/>
        </w:rPr>
        <w:t>include</w:t>
      </w:r>
      <w:r w:rsidR="008A0F78" w:rsidRPr="00B1463A">
        <w:rPr>
          <w:rFonts w:cs="Arial"/>
          <w:color w:val="000000"/>
          <w:sz w:val="22"/>
          <w:szCs w:val="22"/>
          <w:lang w:val="en-US"/>
        </w:rPr>
        <w:t>d</w:t>
      </w:r>
      <w:r w:rsidRPr="00B1463A">
        <w:rPr>
          <w:rFonts w:cs="Arial"/>
          <w:color w:val="000000"/>
          <w:sz w:val="22"/>
          <w:szCs w:val="22"/>
          <w:lang w:val="en-US"/>
        </w:rPr>
        <w:t xml:space="preserve">: </w:t>
      </w:r>
    </w:p>
    <w:p w:rsidR="00D618D5" w:rsidRPr="00B1463A" w:rsidRDefault="00D618D5" w:rsidP="00D618D5">
      <w:pPr>
        <w:numPr>
          <w:ilvl w:val="0"/>
          <w:numId w:val="19"/>
        </w:numPr>
        <w:autoSpaceDE w:val="0"/>
        <w:autoSpaceDN w:val="0"/>
        <w:adjustRightInd w:val="0"/>
        <w:spacing w:before="0" w:after="10"/>
        <w:ind w:left="0" w:firstLine="0"/>
        <w:rPr>
          <w:rFonts w:cs="Arial"/>
          <w:color w:val="000000"/>
          <w:sz w:val="22"/>
          <w:szCs w:val="22"/>
          <w:lang w:val="en-US"/>
        </w:rPr>
      </w:pPr>
      <w:r w:rsidRPr="00B1463A">
        <w:rPr>
          <w:rFonts w:cs="Arial"/>
          <w:color w:val="000000"/>
          <w:sz w:val="22"/>
          <w:szCs w:val="22"/>
          <w:lang w:val="en-US"/>
        </w:rPr>
        <w:t xml:space="preserve">-Providing input to the Evaluation TOR </w:t>
      </w:r>
    </w:p>
    <w:p w:rsidR="00D618D5" w:rsidRPr="00B1463A" w:rsidRDefault="00D618D5" w:rsidP="00D618D5">
      <w:pPr>
        <w:numPr>
          <w:ilvl w:val="0"/>
          <w:numId w:val="19"/>
        </w:numPr>
        <w:autoSpaceDE w:val="0"/>
        <w:autoSpaceDN w:val="0"/>
        <w:adjustRightInd w:val="0"/>
        <w:spacing w:before="0" w:after="10"/>
        <w:ind w:left="0" w:firstLine="0"/>
        <w:rPr>
          <w:rFonts w:cs="Arial"/>
          <w:color w:val="000000"/>
          <w:sz w:val="22"/>
          <w:szCs w:val="22"/>
          <w:lang w:val="en-US"/>
        </w:rPr>
      </w:pPr>
      <w:r w:rsidRPr="00B1463A">
        <w:rPr>
          <w:rFonts w:cs="Arial"/>
          <w:color w:val="000000"/>
          <w:sz w:val="22"/>
          <w:szCs w:val="22"/>
          <w:lang w:val="en-US"/>
        </w:rPr>
        <w:t xml:space="preserve">-Contributing to the selection of evaluation questions </w:t>
      </w:r>
    </w:p>
    <w:p w:rsidR="00D618D5" w:rsidRPr="00B1463A" w:rsidRDefault="00D618D5" w:rsidP="00D618D5">
      <w:pPr>
        <w:numPr>
          <w:ilvl w:val="0"/>
          <w:numId w:val="19"/>
        </w:numPr>
        <w:autoSpaceDE w:val="0"/>
        <w:autoSpaceDN w:val="0"/>
        <w:adjustRightInd w:val="0"/>
        <w:spacing w:before="0" w:after="10"/>
        <w:ind w:left="0" w:firstLine="0"/>
        <w:rPr>
          <w:rFonts w:cs="Arial"/>
          <w:color w:val="000000"/>
          <w:sz w:val="22"/>
          <w:szCs w:val="22"/>
          <w:lang w:val="en-US"/>
        </w:rPr>
      </w:pPr>
      <w:r w:rsidRPr="00B1463A">
        <w:rPr>
          <w:rFonts w:cs="Arial"/>
          <w:color w:val="000000"/>
          <w:sz w:val="22"/>
          <w:szCs w:val="22"/>
          <w:lang w:val="en-US"/>
        </w:rPr>
        <w:t xml:space="preserve">-Providing comments on the evaluation plan, aid memoire and draft reports; and </w:t>
      </w:r>
    </w:p>
    <w:p w:rsidR="00D618D5" w:rsidRPr="00B1463A" w:rsidRDefault="00D618D5" w:rsidP="00D618D5">
      <w:pPr>
        <w:numPr>
          <w:ilvl w:val="0"/>
          <w:numId w:val="19"/>
        </w:numPr>
        <w:autoSpaceDE w:val="0"/>
        <w:autoSpaceDN w:val="0"/>
        <w:adjustRightInd w:val="0"/>
        <w:spacing w:before="0"/>
        <w:ind w:left="0" w:firstLine="0"/>
        <w:rPr>
          <w:rFonts w:cs="Arial"/>
          <w:color w:val="000000"/>
          <w:sz w:val="22"/>
          <w:szCs w:val="22"/>
          <w:lang w:val="en-US"/>
        </w:rPr>
      </w:pPr>
      <w:r w:rsidRPr="00B1463A">
        <w:rPr>
          <w:rFonts w:cs="Arial"/>
          <w:color w:val="000000"/>
          <w:sz w:val="22"/>
          <w:szCs w:val="22"/>
          <w:lang w:val="en-US"/>
        </w:rPr>
        <w:t xml:space="preserve">-Ensuring the final draft meets the DFAT and MFAT quality standards </w:t>
      </w:r>
    </w:p>
    <w:p w:rsidR="00D618D5" w:rsidRPr="00B1463A" w:rsidRDefault="00D618D5" w:rsidP="00D618D5">
      <w:pPr>
        <w:rPr>
          <w:rFonts w:cs="Arial"/>
          <w:sz w:val="22"/>
          <w:szCs w:val="22"/>
          <w:lang w:eastAsia="en-AU"/>
        </w:rPr>
      </w:pPr>
    </w:p>
    <w:p w:rsidR="00D618D5" w:rsidRPr="00B1463A" w:rsidRDefault="00D618D5" w:rsidP="008A0F78">
      <w:pPr>
        <w:tabs>
          <w:tab w:val="num" w:pos="1080"/>
        </w:tabs>
        <w:rPr>
          <w:rFonts w:cs="Arial"/>
          <w:sz w:val="22"/>
          <w:szCs w:val="22"/>
          <w:lang w:eastAsia="en-AU"/>
        </w:rPr>
      </w:pPr>
      <w:r w:rsidRPr="00B1463A">
        <w:rPr>
          <w:rFonts w:cs="Arial"/>
          <w:sz w:val="22"/>
          <w:szCs w:val="22"/>
          <w:lang w:eastAsia="en-AU"/>
        </w:rPr>
        <w:t xml:space="preserve">The composition of the ERG </w:t>
      </w:r>
      <w:r w:rsidR="008A0F78" w:rsidRPr="00B1463A">
        <w:rPr>
          <w:rFonts w:cs="Arial"/>
          <w:sz w:val="22"/>
          <w:szCs w:val="22"/>
          <w:lang w:eastAsia="en-AU"/>
        </w:rPr>
        <w:t xml:space="preserve">was </w:t>
      </w:r>
      <w:r w:rsidRPr="00B1463A">
        <w:rPr>
          <w:rFonts w:cs="Arial"/>
          <w:sz w:val="22"/>
          <w:szCs w:val="22"/>
          <w:lang w:eastAsia="en-AU"/>
        </w:rPr>
        <w:t xml:space="preserve">as follows and </w:t>
      </w:r>
      <w:r w:rsidR="008A0F78" w:rsidRPr="00B1463A">
        <w:rPr>
          <w:rFonts w:cs="Arial"/>
          <w:sz w:val="22"/>
          <w:szCs w:val="22"/>
          <w:lang w:eastAsia="en-AU"/>
        </w:rPr>
        <w:t xml:space="preserve">was </w:t>
      </w:r>
      <w:r w:rsidRPr="00B1463A">
        <w:rPr>
          <w:rFonts w:cs="Arial"/>
          <w:sz w:val="22"/>
          <w:szCs w:val="22"/>
          <w:lang w:eastAsia="en-AU"/>
        </w:rPr>
        <w:t>chaired by DFAT:</w:t>
      </w:r>
    </w:p>
    <w:p w:rsidR="00D618D5" w:rsidRPr="00B1463A" w:rsidRDefault="00D618D5" w:rsidP="00D618D5">
      <w:pPr>
        <w:tabs>
          <w:tab w:val="num" w:pos="1080"/>
        </w:tabs>
        <w:rPr>
          <w:rFonts w:cs="Arial"/>
          <w:sz w:val="22"/>
          <w:szCs w:val="22"/>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114"/>
        <w:gridCol w:w="3660"/>
      </w:tblGrid>
      <w:tr w:rsidR="00D618D5" w:rsidRPr="00B1463A" w:rsidTr="00C716DA">
        <w:tc>
          <w:tcPr>
            <w:tcW w:w="1563" w:type="pct"/>
            <w:shd w:val="clear" w:color="auto" w:fill="auto"/>
          </w:tcPr>
          <w:p w:rsidR="00D618D5" w:rsidRPr="00B1463A" w:rsidRDefault="00D618D5" w:rsidP="00C716DA">
            <w:pPr>
              <w:tabs>
                <w:tab w:val="num" w:pos="1080"/>
              </w:tabs>
              <w:rPr>
                <w:rFonts w:cs="Arial"/>
                <w:b/>
                <w:sz w:val="22"/>
                <w:szCs w:val="22"/>
                <w:lang w:eastAsia="en-AU"/>
              </w:rPr>
            </w:pPr>
            <w:r w:rsidRPr="00B1463A">
              <w:rPr>
                <w:rFonts w:cs="Arial"/>
                <w:b/>
                <w:sz w:val="22"/>
                <w:szCs w:val="22"/>
                <w:lang w:eastAsia="en-AU"/>
              </w:rPr>
              <w:t>Name</w:t>
            </w:r>
          </w:p>
        </w:tc>
        <w:tc>
          <w:tcPr>
            <w:tcW w:w="1580" w:type="pct"/>
            <w:shd w:val="clear" w:color="auto" w:fill="auto"/>
          </w:tcPr>
          <w:p w:rsidR="00D618D5" w:rsidRPr="00B1463A" w:rsidRDefault="00D618D5" w:rsidP="00C716DA">
            <w:pPr>
              <w:tabs>
                <w:tab w:val="num" w:pos="1080"/>
              </w:tabs>
              <w:rPr>
                <w:rFonts w:cs="Arial"/>
                <w:b/>
                <w:sz w:val="22"/>
                <w:szCs w:val="22"/>
                <w:lang w:eastAsia="en-AU"/>
              </w:rPr>
            </w:pPr>
            <w:r w:rsidRPr="00B1463A">
              <w:rPr>
                <w:rFonts w:cs="Arial"/>
                <w:b/>
                <w:sz w:val="22"/>
                <w:szCs w:val="22"/>
                <w:lang w:eastAsia="en-AU"/>
              </w:rPr>
              <w:t>Position and Organisation</w:t>
            </w:r>
          </w:p>
        </w:tc>
        <w:tc>
          <w:tcPr>
            <w:tcW w:w="1857" w:type="pct"/>
            <w:shd w:val="clear" w:color="auto" w:fill="auto"/>
          </w:tcPr>
          <w:p w:rsidR="00D618D5" w:rsidRPr="00B1463A" w:rsidRDefault="00D618D5" w:rsidP="008A0F78">
            <w:pPr>
              <w:tabs>
                <w:tab w:val="num" w:pos="1080"/>
              </w:tabs>
              <w:rPr>
                <w:rFonts w:cs="Arial"/>
                <w:b/>
                <w:sz w:val="22"/>
                <w:szCs w:val="22"/>
                <w:lang w:eastAsia="en-AU"/>
              </w:rPr>
            </w:pPr>
            <w:r w:rsidRPr="00B1463A">
              <w:rPr>
                <w:rFonts w:cs="Arial"/>
                <w:b/>
                <w:sz w:val="22"/>
                <w:szCs w:val="22"/>
                <w:lang w:eastAsia="en-AU"/>
              </w:rPr>
              <w:t>Email</w:t>
            </w:r>
          </w:p>
        </w:tc>
      </w:tr>
      <w:tr w:rsidR="00D618D5" w:rsidRPr="00B1463A" w:rsidTr="00C716DA">
        <w:tc>
          <w:tcPr>
            <w:tcW w:w="1563"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Solstice Middleby</w:t>
            </w:r>
          </w:p>
        </w:tc>
        <w:tc>
          <w:tcPr>
            <w:tcW w:w="1580"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Regional Counsellor</w:t>
            </w:r>
          </w:p>
          <w:p w:rsidR="00D618D5" w:rsidRPr="00B1463A" w:rsidRDefault="00D618D5" w:rsidP="008A0F78">
            <w:pPr>
              <w:autoSpaceDE w:val="0"/>
              <w:autoSpaceDN w:val="0"/>
              <w:adjustRightInd w:val="0"/>
              <w:spacing w:before="0"/>
              <w:rPr>
                <w:rFonts w:cs="Arial"/>
                <w:sz w:val="22"/>
                <w:szCs w:val="22"/>
                <w:lang w:eastAsia="en-AU"/>
              </w:rPr>
            </w:pPr>
            <w:r w:rsidRPr="00B1463A">
              <w:rPr>
                <w:rFonts w:cs="Arial"/>
                <w:sz w:val="22"/>
                <w:szCs w:val="22"/>
                <w:lang w:eastAsia="en-AU"/>
              </w:rPr>
              <w:t xml:space="preserve">Australia’s  Department of Foreign Affairs and Trade, Suva </w:t>
            </w:r>
          </w:p>
        </w:tc>
        <w:tc>
          <w:tcPr>
            <w:tcW w:w="1857" w:type="pct"/>
            <w:shd w:val="clear" w:color="auto" w:fill="auto"/>
          </w:tcPr>
          <w:p w:rsidR="00D618D5" w:rsidRPr="00B1463A" w:rsidRDefault="003F0291" w:rsidP="00C716DA">
            <w:pPr>
              <w:tabs>
                <w:tab w:val="num" w:pos="1080"/>
              </w:tabs>
              <w:rPr>
                <w:rFonts w:cs="Arial"/>
                <w:sz w:val="22"/>
                <w:szCs w:val="22"/>
                <w:lang w:eastAsia="en-AU"/>
              </w:rPr>
            </w:pPr>
            <w:hyperlink r:id="rId9" w:history="1">
              <w:r w:rsidR="00D618D5" w:rsidRPr="00B1463A">
                <w:rPr>
                  <w:rFonts w:cs="Arial"/>
                  <w:color w:val="0000FF"/>
                  <w:sz w:val="22"/>
                  <w:szCs w:val="22"/>
                  <w:u w:val="single"/>
                  <w:lang w:eastAsia="en-AU"/>
                </w:rPr>
                <w:t>Solstice.Middleby@dfat.gov.au</w:t>
              </w:r>
            </w:hyperlink>
            <w:r w:rsidR="00D618D5" w:rsidRPr="00B1463A">
              <w:rPr>
                <w:rFonts w:cs="Arial"/>
                <w:sz w:val="22"/>
                <w:szCs w:val="22"/>
                <w:lang w:eastAsia="en-AU"/>
              </w:rPr>
              <w:t xml:space="preserve"> </w:t>
            </w:r>
          </w:p>
        </w:tc>
      </w:tr>
      <w:tr w:rsidR="00D618D5" w:rsidRPr="00B1463A" w:rsidTr="00C716DA">
        <w:tc>
          <w:tcPr>
            <w:tcW w:w="1563"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 xml:space="preserve">Nilesh Goundar </w:t>
            </w:r>
          </w:p>
        </w:tc>
        <w:tc>
          <w:tcPr>
            <w:tcW w:w="1580"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 xml:space="preserve">Program Manager , </w:t>
            </w:r>
          </w:p>
          <w:p w:rsidR="00D618D5" w:rsidRPr="00B1463A" w:rsidRDefault="00D618D5" w:rsidP="008A0F78">
            <w:pPr>
              <w:autoSpaceDE w:val="0"/>
              <w:autoSpaceDN w:val="0"/>
              <w:adjustRightInd w:val="0"/>
              <w:spacing w:before="0"/>
              <w:rPr>
                <w:rFonts w:cs="Arial"/>
                <w:sz w:val="22"/>
                <w:szCs w:val="22"/>
                <w:lang w:eastAsia="en-AU"/>
              </w:rPr>
            </w:pPr>
            <w:r w:rsidRPr="00B1463A">
              <w:rPr>
                <w:rFonts w:cs="Arial"/>
                <w:sz w:val="22"/>
                <w:szCs w:val="22"/>
                <w:lang w:eastAsia="en-AU"/>
              </w:rPr>
              <w:t xml:space="preserve">Australia’s  Department of Foreign Affairs and Trade, Suva </w:t>
            </w:r>
          </w:p>
        </w:tc>
        <w:tc>
          <w:tcPr>
            <w:tcW w:w="1857" w:type="pct"/>
            <w:shd w:val="clear" w:color="auto" w:fill="auto"/>
          </w:tcPr>
          <w:p w:rsidR="00D618D5" w:rsidRPr="00B1463A" w:rsidRDefault="003F0291" w:rsidP="00C716DA">
            <w:pPr>
              <w:tabs>
                <w:tab w:val="num" w:pos="1080"/>
              </w:tabs>
              <w:rPr>
                <w:rFonts w:cs="Arial"/>
                <w:sz w:val="22"/>
                <w:szCs w:val="22"/>
                <w:lang w:eastAsia="en-AU"/>
              </w:rPr>
            </w:pPr>
            <w:hyperlink r:id="rId10" w:history="1">
              <w:r w:rsidR="00D618D5" w:rsidRPr="00B1463A">
                <w:rPr>
                  <w:rFonts w:cs="Arial"/>
                  <w:color w:val="0000FF"/>
                  <w:sz w:val="22"/>
                  <w:szCs w:val="22"/>
                  <w:u w:val="single"/>
                  <w:lang w:eastAsia="en-AU"/>
                </w:rPr>
                <w:t>Nilesh.goundar@dfat.gov.au</w:t>
              </w:r>
            </w:hyperlink>
            <w:r w:rsidR="00D618D5" w:rsidRPr="00B1463A">
              <w:rPr>
                <w:rFonts w:cs="Arial"/>
                <w:sz w:val="22"/>
                <w:szCs w:val="22"/>
                <w:lang w:eastAsia="en-AU"/>
              </w:rPr>
              <w:t xml:space="preserve"> </w:t>
            </w:r>
          </w:p>
        </w:tc>
      </w:tr>
      <w:tr w:rsidR="00D618D5" w:rsidRPr="00B1463A" w:rsidTr="00C716DA">
        <w:tc>
          <w:tcPr>
            <w:tcW w:w="1563"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Willy Morrell</w:t>
            </w:r>
          </w:p>
        </w:tc>
        <w:tc>
          <w:tcPr>
            <w:tcW w:w="1580" w:type="pct"/>
            <w:shd w:val="clear" w:color="auto" w:fill="auto"/>
          </w:tcPr>
          <w:p w:rsidR="00D618D5" w:rsidRPr="00B1463A" w:rsidRDefault="00D618D5" w:rsidP="008A0F78">
            <w:pPr>
              <w:autoSpaceDE w:val="0"/>
              <w:autoSpaceDN w:val="0"/>
              <w:spacing w:line="276" w:lineRule="auto"/>
              <w:rPr>
                <w:rFonts w:cs="Arial"/>
                <w:sz w:val="22"/>
                <w:szCs w:val="22"/>
                <w:lang w:eastAsia="en-AU"/>
              </w:rPr>
            </w:pPr>
            <w:r w:rsidRPr="00B1463A">
              <w:rPr>
                <w:rFonts w:cs="Arial"/>
                <w:sz w:val="22"/>
                <w:szCs w:val="22"/>
                <w:lang w:eastAsia="en-AU"/>
              </w:rPr>
              <w:t>First Secretary Development  (Fiji &amp; Tuvalu)</w:t>
            </w:r>
            <w:r w:rsidR="008A0F78" w:rsidRPr="00B1463A">
              <w:rPr>
                <w:rFonts w:cs="Arial"/>
                <w:sz w:val="22"/>
                <w:szCs w:val="22"/>
                <w:lang w:eastAsia="en-AU"/>
              </w:rPr>
              <w:t xml:space="preserve"> </w:t>
            </w:r>
            <w:r w:rsidRPr="00B1463A">
              <w:rPr>
                <w:rFonts w:cs="Arial"/>
                <w:sz w:val="22"/>
                <w:szCs w:val="22"/>
                <w:lang w:eastAsia="en-AU"/>
              </w:rPr>
              <w:t>New Zealand High Commission Suva</w:t>
            </w:r>
          </w:p>
        </w:tc>
        <w:tc>
          <w:tcPr>
            <w:tcW w:w="1857" w:type="pct"/>
            <w:shd w:val="clear" w:color="auto" w:fill="auto"/>
          </w:tcPr>
          <w:p w:rsidR="00D618D5" w:rsidRPr="00B1463A" w:rsidRDefault="003F0291" w:rsidP="00C716DA">
            <w:pPr>
              <w:tabs>
                <w:tab w:val="num" w:pos="1080"/>
              </w:tabs>
              <w:rPr>
                <w:rFonts w:cs="Arial"/>
                <w:sz w:val="22"/>
                <w:szCs w:val="22"/>
                <w:lang w:eastAsia="en-AU"/>
              </w:rPr>
            </w:pPr>
            <w:hyperlink r:id="rId11" w:history="1">
              <w:r w:rsidR="00D618D5" w:rsidRPr="00B1463A">
                <w:rPr>
                  <w:rFonts w:cs="Arial"/>
                  <w:color w:val="0000FF"/>
                  <w:sz w:val="22"/>
                  <w:szCs w:val="22"/>
                  <w:u w:val="single"/>
                  <w:lang w:eastAsia="en-AU"/>
                </w:rPr>
                <w:t>Willy.Morrell@mfat.govt.nz</w:t>
              </w:r>
            </w:hyperlink>
            <w:r w:rsidR="00D618D5" w:rsidRPr="00B1463A">
              <w:rPr>
                <w:rFonts w:cs="Arial"/>
                <w:sz w:val="22"/>
                <w:szCs w:val="22"/>
                <w:lang w:eastAsia="en-AU"/>
              </w:rPr>
              <w:t xml:space="preserve"> </w:t>
            </w:r>
          </w:p>
        </w:tc>
      </w:tr>
      <w:tr w:rsidR="00D618D5" w:rsidRPr="00B1463A" w:rsidTr="00C716DA">
        <w:tc>
          <w:tcPr>
            <w:tcW w:w="1563" w:type="pct"/>
            <w:shd w:val="clear" w:color="auto" w:fill="auto"/>
          </w:tcPr>
          <w:p w:rsidR="00D618D5" w:rsidRPr="00B1463A" w:rsidRDefault="00D618D5" w:rsidP="00C716DA">
            <w:pPr>
              <w:tabs>
                <w:tab w:val="num" w:pos="1080"/>
              </w:tabs>
              <w:rPr>
                <w:rFonts w:cs="Arial"/>
                <w:sz w:val="22"/>
                <w:szCs w:val="22"/>
                <w:lang w:eastAsia="en-AU"/>
              </w:rPr>
            </w:pPr>
            <w:proofErr w:type="spellStart"/>
            <w:r w:rsidRPr="00B1463A">
              <w:rPr>
                <w:rFonts w:cs="Arial"/>
                <w:sz w:val="22"/>
                <w:szCs w:val="22"/>
                <w:lang w:eastAsia="en-AU"/>
              </w:rPr>
              <w:t>Faga</w:t>
            </w:r>
            <w:proofErr w:type="spellEnd"/>
            <w:r w:rsidRPr="00B1463A">
              <w:rPr>
                <w:rFonts w:cs="Arial"/>
                <w:sz w:val="22"/>
                <w:szCs w:val="22"/>
                <w:lang w:eastAsia="en-AU"/>
              </w:rPr>
              <w:t xml:space="preserve"> </w:t>
            </w:r>
            <w:proofErr w:type="spellStart"/>
            <w:r w:rsidRPr="00B1463A">
              <w:rPr>
                <w:rFonts w:cs="Arial"/>
                <w:sz w:val="22"/>
                <w:szCs w:val="22"/>
                <w:lang w:eastAsia="en-AU"/>
              </w:rPr>
              <w:t>Semesi</w:t>
            </w:r>
            <w:proofErr w:type="spellEnd"/>
            <w:r w:rsidRPr="00B1463A">
              <w:rPr>
                <w:rFonts w:cs="Arial"/>
                <w:sz w:val="22"/>
                <w:szCs w:val="22"/>
                <w:lang w:eastAsia="en-AU"/>
              </w:rPr>
              <w:t xml:space="preserve"> </w:t>
            </w:r>
          </w:p>
        </w:tc>
        <w:tc>
          <w:tcPr>
            <w:tcW w:w="1580" w:type="pct"/>
            <w:shd w:val="clear" w:color="auto" w:fill="auto"/>
          </w:tcPr>
          <w:p w:rsidR="00D618D5" w:rsidRPr="00B1463A" w:rsidRDefault="00D618D5" w:rsidP="008A0F78">
            <w:pPr>
              <w:tabs>
                <w:tab w:val="num" w:pos="1080"/>
              </w:tabs>
              <w:rPr>
                <w:rFonts w:cs="Arial"/>
                <w:sz w:val="22"/>
                <w:szCs w:val="22"/>
                <w:lang w:eastAsia="en-AU"/>
              </w:rPr>
            </w:pPr>
            <w:r w:rsidRPr="00B1463A">
              <w:rPr>
                <w:rFonts w:cs="Arial"/>
                <w:sz w:val="22"/>
                <w:szCs w:val="22"/>
                <w:lang w:eastAsia="en-AU"/>
              </w:rPr>
              <w:t>Development Program Coordinator, New Zealand High Commission Suva</w:t>
            </w:r>
          </w:p>
        </w:tc>
        <w:tc>
          <w:tcPr>
            <w:tcW w:w="1857" w:type="pct"/>
            <w:shd w:val="clear" w:color="auto" w:fill="auto"/>
          </w:tcPr>
          <w:p w:rsidR="00D618D5" w:rsidRPr="00B1463A" w:rsidRDefault="003F0291" w:rsidP="00C716DA">
            <w:pPr>
              <w:tabs>
                <w:tab w:val="num" w:pos="1080"/>
              </w:tabs>
              <w:rPr>
                <w:rFonts w:cs="Arial"/>
                <w:sz w:val="22"/>
                <w:szCs w:val="22"/>
                <w:lang w:eastAsia="en-AU"/>
              </w:rPr>
            </w:pPr>
            <w:hyperlink r:id="rId12" w:history="1">
              <w:r w:rsidR="00D618D5" w:rsidRPr="00B1463A">
                <w:rPr>
                  <w:rFonts w:cs="Arial"/>
                  <w:color w:val="0000FF"/>
                  <w:sz w:val="22"/>
                  <w:szCs w:val="22"/>
                  <w:u w:val="single"/>
                  <w:lang w:eastAsia="en-AU"/>
                </w:rPr>
                <w:t>faga.semesi@mfat.govt.nz</w:t>
              </w:r>
            </w:hyperlink>
            <w:r w:rsidR="00D618D5" w:rsidRPr="00B1463A">
              <w:rPr>
                <w:rFonts w:cs="Arial"/>
                <w:sz w:val="22"/>
                <w:szCs w:val="22"/>
                <w:lang w:eastAsia="en-AU"/>
              </w:rPr>
              <w:t xml:space="preserve"> </w:t>
            </w:r>
          </w:p>
        </w:tc>
      </w:tr>
      <w:tr w:rsidR="00D618D5" w:rsidRPr="00B1463A" w:rsidTr="00C716DA">
        <w:tc>
          <w:tcPr>
            <w:tcW w:w="1563"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 xml:space="preserve">Shamima Ali </w:t>
            </w:r>
          </w:p>
        </w:tc>
        <w:tc>
          <w:tcPr>
            <w:tcW w:w="1580"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 xml:space="preserve">Coordinator, Fiji Women’s Crisis Centre </w:t>
            </w:r>
          </w:p>
        </w:tc>
        <w:tc>
          <w:tcPr>
            <w:tcW w:w="1857" w:type="pct"/>
            <w:shd w:val="clear" w:color="auto" w:fill="auto"/>
          </w:tcPr>
          <w:p w:rsidR="00D618D5" w:rsidRPr="00B1463A" w:rsidRDefault="003F0291" w:rsidP="00C716DA">
            <w:pPr>
              <w:tabs>
                <w:tab w:val="num" w:pos="1080"/>
              </w:tabs>
              <w:rPr>
                <w:rFonts w:cs="Arial"/>
                <w:sz w:val="22"/>
                <w:szCs w:val="22"/>
                <w:lang w:eastAsia="en-AU"/>
              </w:rPr>
            </w:pPr>
            <w:hyperlink r:id="rId13" w:history="1">
              <w:r w:rsidR="00D618D5" w:rsidRPr="00B1463A">
                <w:rPr>
                  <w:rFonts w:cs="Arial"/>
                  <w:color w:val="0000FF"/>
                  <w:sz w:val="22"/>
                  <w:szCs w:val="22"/>
                  <w:u w:val="single"/>
                  <w:lang w:eastAsia="en-AU"/>
                </w:rPr>
                <w:t>fwcc.shamima@gmail.com</w:t>
              </w:r>
            </w:hyperlink>
            <w:r w:rsidR="00D618D5" w:rsidRPr="00B1463A">
              <w:rPr>
                <w:rFonts w:cs="Arial"/>
                <w:sz w:val="22"/>
                <w:szCs w:val="22"/>
                <w:lang w:eastAsia="en-AU"/>
              </w:rPr>
              <w:t xml:space="preserve"> </w:t>
            </w:r>
          </w:p>
        </w:tc>
      </w:tr>
      <w:tr w:rsidR="00D618D5" w:rsidRPr="00B1463A" w:rsidTr="00C716DA">
        <w:tc>
          <w:tcPr>
            <w:tcW w:w="1563"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 xml:space="preserve">Vandhna Narayan </w:t>
            </w:r>
          </w:p>
        </w:tc>
        <w:tc>
          <w:tcPr>
            <w:tcW w:w="1580" w:type="pct"/>
            <w:shd w:val="clear" w:color="auto" w:fill="auto"/>
          </w:tcPr>
          <w:p w:rsidR="00D618D5" w:rsidRPr="00B1463A" w:rsidRDefault="00D618D5" w:rsidP="00C716DA">
            <w:pPr>
              <w:tabs>
                <w:tab w:val="num" w:pos="1080"/>
              </w:tabs>
              <w:rPr>
                <w:rFonts w:cs="Arial"/>
                <w:sz w:val="22"/>
                <w:szCs w:val="22"/>
                <w:lang w:eastAsia="en-AU"/>
              </w:rPr>
            </w:pPr>
            <w:r w:rsidRPr="00B1463A">
              <w:rPr>
                <w:rFonts w:cs="Arial"/>
                <w:sz w:val="22"/>
                <w:szCs w:val="22"/>
                <w:lang w:eastAsia="en-AU"/>
              </w:rPr>
              <w:t>Deputy Coordinator, Fiji Women’s Crisis Centre</w:t>
            </w:r>
          </w:p>
        </w:tc>
        <w:tc>
          <w:tcPr>
            <w:tcW w:w="1857" w:type="pct"/>
            <w:shd w:val="clear" w:color="auto" w:fill="auto"/>
          </w:tcPr>
          <w:p w:rsidR="00D618D5" w:rsidRPr="00B1463A" w:rsidRDefault="003F0291" w:rsidP="00C716DA">
            <w:pPr>
              <w:tabs>
                <w:tab w:val="num" w:pos="1080"/>
              </w:tabs>
              <w:rPr>
                <w:rFonts w:cs="Arial"/>
                <w:sz w:val="22"/>
                <w:szCs w:val="22"/>
                <w:lang w:eastAsia="en-AU"/>
              </w:rPr>
            </w:pPr>
            <w:hyperlink r:id="rId14" w:history="1">
              <w:r w:rsidR="00D618D5" w:rsidRPr="00B1463A">
                <w:rPr>
                  <w:rFonts w:cs="Arial"/>
                  <w:color w:val="0000FF"/>
                  <w:sz w:val="22"/>
                  <w:szCs w:val="22"/>
                  <w:u w:val="single"/>
                  <w:lang w:eastAsia="en-AU"/>
                </w:rPr>
                <w:t>vandhna.narayan@gmail.com</w:t>
              </w:r>
            </w:hyperlink>
            <w:r w:rsidR="00D618D5" w:rsidRPr="00B1463A">
              <w:rPr>
                <w:rFonts w:cs="Arial"/>
                <w:sz w:val="22"/>
                <w:szCs w:val="22"/>
                <w:lang w:eastAsia="en-AU"/>
              </w:rPr>
              <w:t xml:space="preserve"> </w:t>
            </w:r>
          </w:p>
        </w:tc>
      </w:tr>
    </w:tbl>
    <w:p w:rsidR="00D618D5" w:rsidRPr="00B1463A" w:rsidRDefault="00D618D5" w:rsidP="00D618D5">
      <w:pPr>
        <w:tabs>
          <w:tab w:val="num" w:pos="1080"/>
        </w:tabs>
        <w:rPr>
          <w:rFonts w:cs="Arial"/>
          <w:sz w:val="22"/>
          <w:szCs w:val="22"/>
          <w:lang w:eastAsia="en-AU"/>
        </w:rPr>
      </w:pPr>
    </w:p>
    <w:p w:rsidR="002824B7" w:rsidRDefault="002824B7" w:rsidP="00C657FB">
      <w:pPr>
        <w:pStyle w:val="Heading2"/>
        <w:rPr>
          <w:sz w:val="22"/>
        </w:rPr>
      </w:pPr>
    </w:p>
    <w:p w:rsidR="00B1463A" w:rsidRDefault="00B1463A" w:rsidP="00B1463A">
      <w:pPr>
        <w:rPr>
          <w:lang w:eastAsia="en-AU"/>
        </w:rPr>
      </w:pPr>
    </w:p>
    <w:p w:rsidR="00B1463A" w:rsidRDefault="00B1463A" w:rsidP="00B1463A">
      <w:pPr>
        <w:rPr>
          <w:lang w:eastAsia="en-AU"/>
        </w:rPr>
      </w:pPr>
    </w:p>
    <w:p w:rsidR="00B1463A" w:rsidRDefault="00B1463A" w:rsidP="00B1463A">
      <w:pPr>
        <w:rPr>
          <w:lang w:eastAsia="en-AU"/>
        </w:rPr>
      </w:pPr>
    </w:p>
    <w:p w:rsidR="00B1463A" w:rsidRDefault="00B1463A" w:rsidP="00B1463A">
      <w:pPr>
        <w:rPr>
          <w:lang w:eastAsia="en-AU"/>
        </w:rPr>
      </w:pPr>
    </w:p>
    <w:p w:rsidR="00B1463A" w:rsidRDefault="00B1463A" w:rsidP="00B1463A">
      <w:pPr>
        <w:rPr>
          <w:lang w:eastAsia="en-AU"/>
        </w:rPr>
      </w:pPr>
    </w:p>
    <w:p w:rsidR="00B1463A" w:rsidRDefault="00B1463A" w:rsidP="00B1463A">
      <w:pPr>
        <w:rPr>
          <w:lang w:eastAsia="en-AU"/>
        </w:rPr>
      </w:pPr>
    </w:p>
    <w:p w:rsidR="005E3939" w:rsidRPr="00B1463A" w:rsidRDefault="00674BA0" w:rsidP="000D316D">
      <w:pPr>
        <w:rPr>
          <w:rFonts w:cs="Arial"/>
          <w:b/>
          <w:sz w:val="24"/>
          <w:lang w:eastAsia="en-AU"/>
        </w:rPr>
      </w:pPr>
      <w:r w:rsidRPr="00B1463A">
        <w:rPr>
          <w:rFonts w:cs="Arial"/>
          <w:b/>
          <w:sz w:val="24"/>
          <w:lang w:eastAsia="en-AU"/>
        </w:rPr>
        <w:t>DFAT</w:t>
      </w:r>
      <w:r w:rsidR="00367DA3" w:rsidRPr="00B1463A">
        <w:rPr>
          <w:rFonts w:cs="Arial"/>
          <w:b/>
          <w:sz w:val="24"/>
          <w:lang w:eastAsia="en-AU"/>
        </w:rPr>
        <w:t>’s response to the evaluation report</w:t>
      </w:r>
    </w:p>
    <w:p w:rsidR="00A268C7" w:rsidRPr="00B1463A" w:rsidRDefault="005625FE" w:rsidP="001D62EE">
      <w:pPr>
        <w:numPr>
          <w:ilvl w:val="0"/>
          <w:numId w:val="7"/>
        </w:numPr>
        <w:rPr>
          <w:rFonts w:cs="Arial"/>
          <w:sz w:val="22"/>
          <w:szCs w:val="22"/>
        </w:rPr>
      </w:pPr>
      <w:r w:rsidRPr="00B1463A">
        <w:rPr>
          <w:rFonts w:cs="Arial"/>
          <w:sz w:val="22"/>
          <w:szCs w:val="22"/>
        </w:rPr>
        <w:t xml:space="preserve">The final report submitted by the review team </w:t>
      </w:r>
      <w:r w:rsidR="00206373" w:rsidRPr="00B1463A">
        <w:rPr>
          <w:rFonts w:cs="Arial"/>
          <w:sz w:val="22"/>
          <w:szCs w:val="22"/>
        </w:rPr>
        <w:t xml:space="preserve">meets </w:t>
      </w:r>
      <w:r w:rsidR="00B418E7" w:rsidRPr="00B1463A">
        <w:rPr>
          <w:rFonts w:cs="Arial"/>
          <w:sz w:val="22"/>
          <w:szCs w:val="22"/>
        </w:rPr>
        <w:t xml:space="preserve">DFAT’s </w:t>
      </w:r>
      <w:r w:rsidR="00206373" w:rsidRPr="00B1463A">
        <w:rPr>
          <w:rFonts w:cs="Arial"/>
          <w:sz w:val="22"/>
          <w:szCs w:val="22"/>
        </w:rPr>
        <w:t xml:space="preserve">quality criteria guidance on evaluation reports. It </w:t>
      </w:r>
      <w:r w:rsidRPr="00B1463A">
        <w:rPr>
          <w:rFonts w:cs="Arial"/>
          <w:sz w:val="22"/>
          <w:szCs w:val="22"/>
        </w:rPr>
        <w:t>addresses the terms of reference</w:t>
      </w:r>
      <w:r w:rsidR="00206373" w:rsidRPr="00B1463A">
        <w:rPr>
          <w:rFonts w:cs="Arial"/>
          <w:sz w:val="22"/>
          <w:szCs w:val="22"/>
        </w:rPr>
        <w:t xml:space="preserve"> and incorporates feedback on the draft</w:t>
      </w:r>
      <w:r w:rsidR="000D4C87" w:rsidRPr="00B1463A">
        <w:rPr>
          <w:rFonts w:cs="Arial"/>
          <w:sz w:val="22"/>
          <w:szCs w:val="22"/>
        </w:rPr>
        <w:t xml:space="preserve">. The </w:t>
      </w:r>
      <w:r w:rsidR="005B432F" w:rsidRPr="00B1463A">
        <w:rPr>
          <w:rFonts w:cs="Arial"/>
          <w:sz w:val="22"/>
          <w:szCs w:val="22"/>
        </w:rPr>
        <w:t xml:space="preserve">report reflects an </w:t>
      </w:r>
      <w:r w:rsidR="00206373" w:rsidRPr="00B1463A">
        <w:rPr>
          <w:rFonts w:cs="Arial"/>
          <w:sz w:val="22"/>
          <w:szCs w:val="22"/>
        </w:rPr>
        <w:t xml:space="preserve">understanding of </w:t>
      </w:r>
      <w:r w:rsidR="00091B4B" w:rsidRPr="00B1463A">
        <w:rPr>
          <w:rFonts w:cs="Arial"/>
          <w:sz w:val="22"/>
          <w:szCs w:val="22"/>
        </w:rPr>
        <w:t xml:space="preserve">most of </w:t>
      </w:r>
      <w:r w:rsidR="00206373" w:rsidRPr="00B1463A">
        <w:rPr>
          <w:rFonts w:cs="Arial"/>
          <w:sz w:val="22"/>
          <w:szCs w:val="22"/>
        </w:rPr>
        <w:t>the key issues</w:t>
      </w:r>
      <w:r w:rsidR="005B432F" w:rsidRPr="00B1463A">
        <w:rPr>
          <w:rFonts w:cs="Arial"/>
          <w:sz w:val="22"/>
          <w:szCs w:val="22"/>
        </w:rPr>
        <w:t xml:space="preserve">, the rationale for </w:t>
      </w:r>
      <w:r w:rsidR="00E50C25" w:rsidRPr="00B1463A">
        <w:rPr>
          <w:rFonts w:cs="Arial"/>
          <w:sz w:val="22"/>
          <w:szCs w:val="22"/>
        </w:rPr>
        <w:t xml:space="preserve">the majority </w:t>
      </w:r>
      <w:r w:rsidR="00091B4B" w:rsidRPr="00B1463A">
        <w:rPr>
          <w:rFonts w:cs="Arial"/>
          <w:sz w:val="22"/>
          <w:szCs w:val="22"/>
        </w:rPr>
        <w:t xml:space="preserve">of </w:t>
      </w:r>
      <w:r w:rsidR="005B432F" w:rsidRPr="00B1463A">
        <w:rPr>
          <w:rFonts w:cs="Arial"/>
          <w:sz w:val="22"/>
          <w:szCs w:val="22"/>
        </w:rPr>
        <w:t>recommendations is provided</w:t>
      </w:r>
      <w:r w:rsidR="00A82584" w:rsidRPr="00B1463A">
        <w:rPr>
          <w:rFonts w:cs="Arial"/>
          <w:sz w:val="22"/>
          <w:szCs w:val="22"/>
        </w:rPr>
        <w:t xml:space="preserve"> and there is an executive summary for decision-makers</w:t>
      </w:r>
      <w:r w:rsidR="005B432F" w:rsidRPr="00B1463A">
        <w:rPr>
          <w:rFonts w:cs="Arial"/>
          <w:sz w:val="22"/>
          <w:szCs w:val="22"/>
        </w:rPr>
        <w:t>.</w:t>
      </w:r>
      <w:r w:rsidR="00206373" w:rsidRPr="00B1463A">
        <w:rPr>
          <w:rFonts w:cs="Arial"/>
          <w:sz w:val="22"/>
          <w:szCs w:val="22"/>
        </w:rPr>
        <w:t xml:space="preserve"> The style, format and writing </w:t>
      </w:r>
      <w:proofErr w:type="gramStart"/>
      <w:r w:rsidR="00D618D5" w:rsidRPr="00B1463A">
        <w:rPr>
          <w:rFonts w:cs="Arial"/>
          <w:sz w:val="22"/>
          <w:szCs w:val="22"/>
        </w:rPr>
        <w:t>is</w:t>
      </w:r>
      <w:proofErr w:type="gramEnd"/>
      <w:r w:rsidR="00D618D5" w:rsidRPr="00B1463A">
        <w:rPr>
          <w:rFonts w:cs="Arial"/>
          <w:sz w:val="22"/>
          <w:szCs w:val="22"/>
        </w:rPr>
        <w:t xml:space="preserve"> </w:t>
      </w:r>
      <w:r w:rsidR="00206373" w:rsidRPr="00B1463A">
        <w:rPr>
          <w:rFonts w:cs="Arial"/>
          <w:sz w:val="22"/>
          <w:szCs w:val="22"/>
        </w:rPr>
        <w:t xml:space="preserve">clear and </w:t>
      </w:r>
      <w:r w:rsidR="00D618D5" w:rsidRPr="00B1463A">
        <w:rPr>
          <w:rFonts w:cs="Arial"/>
          <w:sz w:val="22"/>
          <w:szCs w:val="22"/>
        </w:rPr>
        <w:t>concise</w:t>
      </w:r>
      <w:r w:rsidR="00206373" w:rsidRPr="00B1463A">
        <w:rPr>
          <w:rFonts w:cs="Arial"/>
          <w:sz w:val="22"/>
          <w:szCs w:val="22"/>
        </w:rPr>
        <w:t>.</w:t>
      </w:r>
    </w:p>
    <w:p w:rsidR="00E87A4F" w:rsidRPr="00B1463A" w:rsidRDefault="00E87A4F" w:rsidP="00C716DA">
      <w:pPr>
        <w:pStyle w:val="ListParagraph"/>
        <w:numPr>
          <w:ilvl w:val="0"/>
          <w:numId w:val="25"/>
        </w:numPr>
        <w:spacing w:before="0" w:after="120"/>
        <w:jc w:val="both"/>
        <w:rPr>
          <w:rFonts w:cs="Arial"/>
          <w:sz w:val="22"/>
          <w:szCs w:val="22"/>
        </w:rPr>
      </w:pPr>
      <w:r w:rsidRPr="00B1463A">
        <w:rPr>
          <w:rFonts w:cs="Arial"/>
          <w:sz w:val="22"/>
          <w:szCs w:val="22"/>
        </w:rPr>
        <w:t xml:space="preserve">The evaluation concluded that </w:t>
      </w:r>
      <w:r w:rsidR="00AB5A8C" w:rsidRPr="00B1463A">
        <w:rPr>
          <w:rFonts w:cs="Arial"/>
          <w:sz w:val="22"/>
          <w:szCs w:val="22"/>
        </w:rPr>
        <w:t xml:space="preserve">FWCC’s gender transformative, rights-based training raises awareness, transforms attitudes, motivates individuals to confront violence-supportive social norms, and increases the knowledge and skills needed to prevent and respond to violence against women. </w:t>
      </w:r>
    </w:p>
    <w:p w:rsidR="00C716DA" w:rsidRPr="00B1463A" w:rsidRDefault="00C716DA" w:rsidP="007306FA">
      <w:pPr>
        <w:pStyle w:val="ListParagraph"/>
        <w:numPr>
          <w:ilvl w:val="0"/>
          <w:numId w:val="25"/>
        </w:numPr>
        <w:spacing w:before="0"/>
        <w:ind w:left="714" w:hanging="357"/>
        <w:contextualSpacing w:val="0"/>
        <w:jc w:val="both"/>
        <w:rPr>
          <w:rFonts w:cs="Arial"/>
          <w:sz w:val="22"/>
          <w:szCs w:val="22"/>
        </w:rPr>
      </w:pPr>
      <w:r w:rsidRPr="00B1463A">
        <w:rPr>
          <w:rFonts w:cs="Arial"/>
          <w:sz w:val="22"/>
          <w:szCs w:val="22"/>
        </w:rPr>
        <w:t>FWCC has made a significant contribution to building human resource capacity for EVAW and the development of rights-based, gender transformative services that are accessed by increasing numbers of people.  Its activities and support, including solidarity with human rights advocates, has translated into expanded services in the Pacific.  FWCC’s approaches to strengthening duty-bearing institutions, including by developing skills, knowledge and attitudes of police and prosecutors, has had an impact on individual officers, and there is evidence of pockets of institutional shifts.  More engagement in formal platforms and collaborative efforts in Fiji and the region could support greater institutional change.</w:t>
      </w:r>
    </w:p>
    <w:p w:rsidR="00AB5A8C" w:rsidRPr="00B1463A" w:rsidRDefault="00AB5A8C" w:rsidP="00B9378C">
      <w:pPr>
        <w:pStyle w:val="ListParagraph"/>
        <w:numPr>
          <w:ilvl w:val="0"/>
          <w:numId w:val="24"/>
        </w:numPr>
        <w:spacing w:before="240"/>
        <w:ind w:left="714" w:hanging="357"/>
        <w:jc w:val="both"/>
        <w:rPr>
          <w:rFonts w:cs="Arial"/>
          <w:sz w:val="22"/>
          <w:szCs w:val="22"/>
        </w:rPr>
      </w:pPr>
      <w:r w:rsidRPr="00B1463A">
        <w:rPr>
          <w:rFonts w:cs="Arial"/>
          <w:sz w:val="22"/>
          <w:szCs w:val="22"/>
        </w:rPr>
        <w:t xml:space="preserve">The effectiveness and strategic value of FWCC’s Pacific training programs would be enhanced through better coordination with Pacific institutions and sectors, and development of a documented recruitment strategy and process. Improvements to the M&amp;E system to enable it to better track information on regional, national and sectoral training, including coverage and gaps, and building FWCC’s capacity to use the system to support analysis and guide recruitment decision-making, would enhance effectiveness.  </w:t>
      </w:r>
    </w:p>
    <w:p w:rsidR="00AB5A8C" w:rsidRPr="00B1463A" w:rsidRDefault="00AB5A8C" w:rsidP="00AB5A8C">
      <w:pPr>
        <w:pStyle w:val="ListParagraph"/>
        <w:numPr>
          <w:ilvl w:val="0"/>
          <w:numId w:val="24"/>
        </w:numPr>
        <w:spacing w:before="240"/>
        <w:jc w:val="both"/>
        <w:rPr>
          <w:rFonts w:cs="Arial"/>
          <w:sz w:val="22"/>
          <w:szCs w:val="22"/>
        </w:rPr>
      </w:pPr>
      <w:r w:rsidRPr="00B1463A">
        <w:rPr>
          <w:rFonts w:cs="Arial"/>
          <w:sz w:val="22"/>
          <w:szCs w:val="22"/>
        </w:rPr>
        <w:t xml:space="preserve">FWCC’s specialised training is effective in facilitating integrated approaches to EVAW.  Expanding the course options for groups from the justice, health and education sectors, tailoring shorter courses for senior professionals, and continuing to support police and male advocates, would support contributions towards broader EVAW goals. </w:t>
      </w:r>
    </w:p>
    <w:p w:rsidR="00AB5A8C" w:rsidRPr="00B1463A" w:rsidRDefault="00AB5A8C" w:rsidP="00AB5A8C">
      <w:pPr>
        <w:pStyle w:val="ListParagraph"/>
        <w:numPr>
          <w:ilvl w:val="0"/>
          <w:numId w:val="24"/>
        </w:numPr>
        <w:spacing w:before="240"/>
        <w:jc w:val="both"/>
        <w:rPr>
          <w:rFonts w:cs="Arial"/>
          <w:sz w:val="22"/>
          <w:szCs w:val="22"/>
        </w:rPr>
      </w:pPr>
      <w:r w:rsidRPr="00B1463A">
        <w:rPr>
          <w:rFonts w:cs="Arial"/>
          <w:sz w:val="22"/>
          <w:szCs w:val="22"/>
        </w:rPr>
        <w:t xml:space="preserve">The full benefits and effectiveness of the </w:t>
      </w:r>
      <w:r w:rsidR="00B739CA">
        <w:rPr>
          <w:rFonts w:cs="Arial"/>
          <w:sz w:val="22"/>
          <w:szCs w:val="22"/>
        </w:rPr>
        <w:t xml:space="preserve">Pacific Network against Violence </w:t>
      </w:r>
      <w:proofErr w:type="gramStart"/>
      <w:r w:rsidR="00B739CA">
        <w:rPr>
          <w:rFonts w:cs="Arial"/>
          <w:sz w:val="22"/>
          <w:szCs w:val="22"/>
        </w:rPr>
        <w:t>Against</w:t>
      </w:r>
      <w:proofErr w:type="gramEnd"/>
      <w:r w:rsidR="00B739CA">
        <w:rPr>
          <w:rFonts w:cs="Arial"/>
          <w:sz w:val="22"/>
          <w:szCs w:val="22"/>
        </w:rPr>
        <w:t xml:space="preserve"> Women </w:t>
      </w:r>
      <w:r w:rsidR="00C03530">
        <w:rPr>
          <w:rFonts w:cs="Arial"/>
          <w:sz w:val="22"/>
          <w:szCs w:val="22"/>
        </w:rPr>
        <w:t>(</w:t>
      </w:r>
      <w:r w:rsidRPr="00B1463A">
        <w:rPr>
          <w:rFonts w:cs="Arial"/>
          <w:sz w:val="22"/>
          <w:szCs w:val="22"/>
        </w:rPr>
        <w:t>PNAVAW</w:t>
      </w:r>
      <w:r w:rsidR="00C03530">
        <w:rPr>
          <w:rFonts w:cs="Arial"/>
          <w:sz w:val="22"/>
          <w:szCs w:val="22"/>
        </w:rPr>
        <w:t>)</w:t>
      </w:r>
      <w:r w:rsidRPr="00B1463A">
        <w:rPr>
          <w:rFonts w:cs="Arial"/>
          <w:sz w:val="22"/>
          <w:szCs w:val="22"/>
        </w:rPr>
        <w:t xml:space="preserve"> may be limited by the absence of a clear Terms of Reference. An explicit framework and strategy, based on the needs and priorities of current and potential members, that clarifies the Network’s structure (governance, management and operations), goals and outcomes, approaches to exchanges of information and services, resourcing requirements, membership benefits, and accountability mechanisms, would enhance FWCC’s ability to build on its regional efforts and momentum to achieve its outcomes. </w:t>
      </w:r>
    </w:p>
    <w:p w:rsidR="00AB5A8C" w:rsidRPr="00B1463A" w:rsidRDefault="00AB5A8C" w:rsidP="00AB5A8C">
      <w:pPr>
        <w:pStyle w:val="ListParagraph"/>
        <w:numPr>
          <w:ilvl w:val="0"/>
          <w:numId w:val="24"/>
        </w:numPr>
        <w:spacing w:before="0" w:after="120"/>
        <w:ind w:left="714" w:hanging="357"/>
        <w:jc w:val="both"/>
        <w:rPr>
          <w:rFonts w:cs="Arial"/>
          <w:sz w:val="22"/>
          <w:szCs w:val="22"/>
          <w:lang w:eastAsia="ja-JP"/>
        </w:rPr>
      </w:pPr>
      <w:r w:rsidRPr="00B1463A">
        <w:rPr>
          <w:rFonts w:cs="Arial"/>
          <w:sz w:val="22"/>
          <w:szCs w:val="22"/>
          <w:lang w:eastAsia="ja-JP"/>
        </w:rPr>
        <w:t xml:space="preserve">FWCC’s institutional and service development support to the VWC and WCCC, through the Managing Agent role, effectively </w:t>
      </w:r>
      <w:r w:rsidRPr="00B1463A">
        <w:rPr>
          <w:rFonts w:cs="Arial"/>
          <w:sz w:val="22"/>
          <w:szCs w:val="22"/>
        </w:rPr>
        <w:t xml:space="preserve">contributed to the development of robust systems and services for VWC and WCCC, based on human rights principles and a gender analysis of violence against women. </w:t>
      </w:r>
      <w:r w:rsidR="00C716DA" w:rsidRPr="00B1463A">
        <w:rPr>
          <w:rFonts w:cs="Arial"/>
          <w:sz w:val="22"/>
          <w:szCs w:val="22"/>
        </w:rPr>
        <w:t xml:space="preserve"> </w:t>
      </w:r>
      <w:r w:rsidRPr="00B1463A">
        <w:rPr>
          <w:rFonts w:cs="Arial"/>
          <w:sz w:val="22"/>
          <w:szCs w:val="22"/>
          <w:lang w:eastAsia="ja-JP"/>
        </w:rPr>
        <w:t xml:space="preserve">Developing process guidelines for FWCC staff, and a resource kit for partners, that consolidate FWCC’s lessons on the provision of institutional capacity support (including through its Managing Agent role) would increase the ongoing effectiveness of the approach, and its ability to be replicated. This would also ensure the tools and practices remain consistent, efficient and sustainable, and support measurement of performance and outcomes for all partners. </w:t>
      </w:r>
    </w:p>
    <w:p w:rsidR="00C716DA" w:rsidRPr="00B1463A" w:rsidRDefault="00AB5A8C" w:rsidP="00C716DA">
      <w:pPr>
        <w:pStyle w:val="ListParagraph"/>
        <w:numPr>
          <w:ilvl w:val="0"/>
          <w:numId w:val="24"/>
        </w:numPr>
        <w:spacing w:before="240"/>
        <w:ind w:left="714" w:hanging="357"/>
        <w:jc w:val="both"/>
        <w:rPr>
          <w:rFonts w:cs="Arial"/>
          <w:sz w:val="22"/>
          <w:szCs w:val="22"/>
          <w:lang w:eastAsia="ja-JP"/>
        </w:rPr>
      </w:pPr>
      <w:r w:rsidRPr="00B1463A">
        <w:rPr>
          <w:rFonts w:cs="Arial"/>
          <w:sz w:val="22"/>
          <w:szCs w:val="22"/>
        </w:rPr>
        <w:t>FWCC’s Branches are providing accessible, responsive services that prevent and respond to violence against women, based on approaches grounded in human rights. The integrated approach to counselling and advocacy is considered to be of good quality.</w:t>
      </w:r>
      <w:r w:rsidR="00C716DA" w:rsidRPr="00B1463A">
        <w:rPr>
          <w:rFonts w:cs="Arial"/>
          <w:sz w:val="22"/>
          <w:szCs w:val="22"/>
        </w:rPr>
        <w:t xml:space="preserve">  </w:t>
      </w:r>
      <w:r w:rsidRPr="00B1463A">
        <w:rPr>
          <w:rFonts w:cs="Arial"/>
          <w:sz w:val="22"/>
          <w:szCs w:val="22"/>
        </w:rPr>
        <w:t>Branch staff routinely advocate on behalf of women survivors with individuals in police, courts, social welfare and other agencies, and lodge complaints to report poor attitudes and practice of police and court staff.</w:t>
      </w:r>
      <w:r w:rsidR="00C716DA" w:rsidRPr="00B1463A">
        <w:rPr>
          <w:rFonts w:cs="Arial"/>
          <w:sz w:val="22"/>
          <w:szCs w:val="22"/>
        </w:rPr>
        <w:t xml:space="preserve"> </w:t>
      </w:r>
    </w:p>
    <w:p w:rsidR="00C716DA" w:rsidRPr="00B1463A" w:rsidRDefault="00C716DA" w:rsidP="007306FA">
      <w:pPr>
        <w:pStyle w:val="ListParagraph"/>
        <w:numPr>
          <w:ilvl w:val="0"/>
          <w:numId w:val="24"/>
        </w:numPr>
        <w:spacing w:before="0"/>
        <w:contextualSpacing w:val="0"/>
        <w:jc w:val="both"/>
        <w:rPr>
          <w:rFonts w:cs="Arial"/>
          <w:sz w:val="22"/>
          <w:szCs w:val="22"/>
        </w:rPr>
      </w:pPr>
      <w:r w:rsidRPr="00B1463A">
        <w:rPr>
          <w:rFonts w:cs="Arial"/>
          <w:sz w:val="22"/>
          <w:szCs w:val="22"/>
        </w:rPr>
        <w:lastRenderedPageBreak/>
        <w:t xml:space="preserve">Community Education </w:t>
      </w:r>
      <w:r w:rsidR="00621FB4">
        <w:rPr>
          <w:rFonts w:cs="Arial"/>
          <w:sz w:val="22"/>
          <w:szCs w:val="22"/>
        </w:rPr>
        <w:t xml:space="preserve">(CE) </w:t>
      </w:r>
      <w:r w:rsidRPr="00B1463A">
        <w:rPr>
          <w:rFonts w:cs="Arial"/>
          <w:sz w:val="22"/>
          <w:szCs w:val="22"/>
        </w:rPr>
        <w:t xml:space="preserve">has operated on a largely outputs basis. There is scope to refine CE programming through better monitoring and evaluation of its outcomes and impacts, including for different target groups, and using this information to tailor follow-up and improvements to CE programs. </w:t>
      </w:r>
    </w:p>
    <w:p w:rsidR="00AB5A8C" w:rsidRPr="00B1463A" w:rsidRDefault="00FA6E09" w:rsidP="00B9378C">
      <w:pPr>
        <w:pStyle w:val="ListParagraph"/>
        <w:numPr>
          <w:ilvl w:val="0"/>
          <w:numId w:val="24"/>
        </w:numPr>
        <w:spacing w:before="240"/>
        <w:ind w:left="714" w:hanging="357"/>
        <w:jc w:val="both"/>
        <w:rPr>
          <w:rFonts w:cs="Arial"/>
          <w:sz w:val="22"/>
          <w:szCs w:val="22"/>
          <w:lang w:eastAsia="ja-JP"/>
        </w:rPr>
      </w:pPr>
      <w:r w:rsidRPr="00B1463A">
        <w:rPr>
          <w:rFonts w:cs="Arial"/>
          <w:sz w:val="22"/>
          <w:szCs w:val="22"/>
          <w:lang w:eastAsia="ja-JP"/>
        </w:rPr>
        <w:t>The evaluation report presents opportunit</w:t>
      </w:r>
      <w:r w:rsidR="006C68ED" w:rsidRPr="00B1463A">
        <w:rPr>
          <w:rFonts w:cs="Arial"/>
          <w:sz w:val="22"/>
          <w:szCs w:val="22"/>
          <w:lang w:eastAsia="ja-JP"/>
        </w:rPr>
        <w:t xml:space="preserve">ies to </w:t>
      </w:r>
      <w:r w:rsidR="00726EB6">
        <w:rPr>
          <w:rFonts w:cs="Arial"/>
          <w:sz w:val="22"/>
          <w:szCs w:val="22"/>
          <w:lang w:eastAsia="ja-JP"/>
        </w:rPr>
        <w:t xml:space="preserve">further </w:t>
      </w:r>
      <w:r w:rsidR="006C68ED" w:rsidRPr="00B1463A">
        <w:rPr>
          <w:rFonts w:cs="Arial"/>
          <w:sz w:val="22"/>
          <w:szCs w:val="22"/>
          <w:lang w:eastAsia="ja-JP"/>
        </w:rPr>
        <w:t>strengthen</w:t>
      </w:r>
      <w:r w:rsidR="00726EB6">
        <w:rPr>
          <w:rFonts w:cs="Arial"/>
          <w:sz w:val="22"/>
          <w:szCs w:val="22"/>
          <w:lang w:eastAsia="ja-JP"/>
        </w:rPr>
        <w:t xml:space="preserve"> and consolidate</w:t>
      </w:r>
      <w:r w:rsidR="006C68ED" w:rsidRPr="00B1463A">
        <w:rPr>
          <w:rFonts w:cs="Arial"/>
          <w:sz w:val="22"/>
          <w:szCs w:val="22"/>
          <w:lang w:eastAsia="ja-JP"/>
        </w:rPr>
        <w:t xml:space="preserve"> FWCC’s </w:t>
      </w:r>
      <w:r w:rsidR="008B7C2E">
        <w:rPr>
          <w:rFonts w:cs="Arial"/>
          <w:sz w:val="22"/>
          <w:szCs w:val="22"/>
          <w:lang w:eastAsia="ja-JP"/>
        </w:rPr>
        <w:t xml:space="preserve">operations, including its </w:t>
      </w:r>
      <w:r w:rsidR="00113CFA">
        <w:rPr>
          <w:rFonts w:cs="Arial"/>
          <w:sz w:val="22"/>
          <w:szCs w:val="22"/>
          <w:lang w:eastAsia="ja-JP"/>
        </w:rPr>
        <w:t xml:space="preserve">activities, </w:t>
      </w:r>
      <w:r w:rsidR="008B7C2E">
        <w:rPr>
          <w:rFonts w:cs="Arial"/>
          <w:sz w:val="22"/>
          <w:szCs w:val="22"/>
          <w:lang w:eastAsia="ja-JP"/>
        </w:rPr>
        <w:t>institutional structures</w:t>
      </w:r>
      <w:r w:rsidR="00113CFA">
        <w:rPr>
          <w:rFonts w:cs="Arial"/>
          <w:sz w:val="22"/>
          <w:szCs w:val="22"/>
          <w:lang w:eastAsia="ja-JP"/>
        </w:rPr>
        <w:t xml:space="preserve"> and monitoring </w:t>
      </w:r>
      <w:r w:rsidR="008B7C2E">
        <w:rPr>
          <w:rFonts w:cs="Arial"/>
          <w:sz w:val="22"/>
          <w:szCs w:val="22"/>
          <w:lang w:eastAsia="ja-JP"/>
        </w:rPr>
        <w:t>approach</w:t>
      </w:r>
      <w:r w:rsidR="00726EB6">
        <w:rPr>
          <w:rFonts w:cs="Arial"/>
          <w:sz w:val="22"/>
          <w:szCs w:val="22"/>
          <w:lang w:eastAsia="ja-JP"/>
        </w:rPr>
        <w:t xml:space="preserve">. The Phase Six FWCC Program Design process provides </w:t>
      </w:r>
      <w:r w:rsidR="00746526">
        <w:rPr>
          <w:rFonts w:cs="Arial"/>
          <w:sz w:val="22"/>
          <w:szCs w:val="22"/>
          <w:lang w:eastAsia="ja-JP"/>
        </w:rPr>
        <w:t>a timely and appropriate</w:t>
      </w:r>
      <w:r w:rsidR="00726EB6">
        <w:rPr>
          <w:rFonts w:cs="Arial"/>
          <w:sz w:val="22"/>
          <w:szCs w:val="22"/>
          <w:lang w:eastAsia="ja-JP"/>
        </w:rPr>
        <w:t xml:space="preserve"> </w:t>
      </w:r>
      <w:r w:rsidR="00746526">
        <w:rPr>
          <w:rFonts w:cs="Arial"/>
          <w:sz w:val="22"/>
          <w:szCs w:val="22"/>
          <w:lang w:eastAsia="ja-JP"/>
        </w:rPr>
        <w:t>mechanism</w:t>
      </w:r>
      <w:r w:rsidR="00726EB6">
        <w:rPr>
          <w:rFonts w:cs="Arial"/>
          <w:sz w:val="22"/>
          <w:szCs w:val="22"/>
          <w:lang w:eastAsia="ja-JP"/>
        </w:rPr>
        <w:t xml:space="preserve"> for integration of </w:t>
      </w:r>
      <w:r w:rsidR="00106DE1">
        <w:rPr>
          <w:rFonts w:cs="Arial"/>
          <w:sz w:val="22"/>
          <w:szCs w:val="22"/>
          <w:lang w:eastAsia="ja-JP"/>
        </w:rPr>
        <w:t xml:space="preserve">the evaluation recommendations </w:t>
      </w:r>
      <w:r w:rsidR="006C68ED" w:rsidRPr="00B1463A">
        <w:rPr>
          <w:rFonts w:cs="Arial"/>
          <w:sz w:val="22"/>
          <w:szCs w:val="22"/>
          <w:lang w:eastAsia="ja-JP"/>
        </w:rPr>
        <w:t>into the next phase</w:t>
      </w:r>
      <w:r w:rsidR="00106DE1">
        <w:rPr>
          <w:rFonts w:cs="Arial"/>
          <w:sz w:val="22"/>
          <w:szCs w:val="22"/>
          <w:lang w:eastAsia="ja-JP"/>
        </w:rPr>
        <w:t xml:space="preserve"> of </w:t>
      </w:r>
      <w:r w:rsidR="00746526">
        <w:rPr>
          <w:rFonts w:cs="Arial"/>
          <w:sz w:val="22"/>
          <w:szCs w:val="22"/>
          <w:lang w:eastAsia="ja-JP"/>
        </w:rPr>
        <w:t>DFAT’s support for FWCC</w:t>
      </w:r>
      <w:r w:rsidR="006C68ED" w:rsidRPr="00B1463A">
        <w:rPr>
          <w:rFonts w:cs="Arial"/>
          <w:sz w:val="22"/>
          <w:szCs w:val="22"/>
          <w:lang w:eastAsia="ja-JP"/>
        </w:rPr>
        <w:t xml:space="preserve">. </w:t>
      </w:r>
    </w:p>
    <w:p w:rsidR="00B418E7" w:rsidRPr="00B1463A" w:rsidRDefault="00B418E7" w:rsidP="00E87A4F">
      <w:pPr>
        <w:ind w:left="720"/>
        <w:rPr>
          <w:rFonts w:cs="Arial"/>
          <w:sz w:val="22"/>
          <w:szCs w:val="22"/>
        </w:rPr>
      </w:pPr>
    </w:p>
    <w:p w:rsidR="00B418E7" w:rsidRPr="00B1463A" w:rsidRDefault="00B418E7" w:rsidP="00E87A4F">
      <w:pPr>
        <w:ind w:left="720"/>
        <w:rPr>
          <w:rFonts w:cs="Arial"/>
          <w:sz w:val="22"/>
          <w:szCs w:val="22"/>
        </w:rPr>
      </w:pPr>
    </w:p>
    <w:p w:rsidR="004452AC" w:rsidRPr="00B1463A" w:rsidRDefault="004452AC">
      <w:pPr>
        <w:spacing w:before="0"/>
        <w:rPr>
          <w:rFonts w:cs="Arial"/>
          <w:b/>
          <w:sz w:val="22"/>
          <w:szCs w:val="22"/>
          <w:lang w:eastAsia="en-AU"/>
        </w:rPr>
      </w:pPr>
      <w:r w:rsidRPr="00B1463A">
        <w:rPr>
          <w:rFonts w:cs="Arial"/>
          <w:b/>
          <w:sz w:val="22"/>
          <w:szCs w:val="22"/>
          <w:lang w:eastAsia="en-AU"/>
        </w:rPr>
        <w:br w:type="page"/>
      </w:r>
    </w:p>
    <w:p w:rsidR="00C657FB" w:rsidRPr="00B1463A" w:rsidRDefault="00DF28FF" w:rsidP="000D316D">
      <w:pPr>
        <w:rPr>
          <w:rFonts w:cs="Arial"/>
          <w:b/>
          <w:sz w:val="22"/>
          <w:szCs w:val="22"/>
          <w:lang w:eastAsia="en-AU"/>
        </w:rPr>
      </w:pPr>
      <w:r w:rsidRPr="00B1463A">
        <w:rPr>
          <w:rFonts w:cs="Arial"/>
          <w:b/>
          <w:sz w:val="22"/>
          <w:szCs w:val="22"/>
          <w:lang w:eastAsia="en-AU"/>
        </w:rPr>
        <w:lastRenderedPageBreak/>
        <w:t>DFAT</w:t>
      </w:r>
      <w:r w:rsidR="00F63B43" w:rsidRPr="00B1463A">
        <w:rPr>
          <w:rFonts w:cs="Arial"/>
          <w:b/>
          <w:sz w:val="22"/>
          <w:szCs w:val="22"/>
          <w:lang w:eastAsia="en-AU"/>
        </w:rPr>
        <w:t>’s r</w:t>
      </w:r>
      <w:r w:rsidR="00C657FB" w:rsidRPr="00B1463A">
        <w:rPr>
          <w:rFonts w:cs="Arial"/>
          <w:b/>
          <w:sz w:val="22"/>
          <w:szCs w:val="22"/>
          <w:lang w:eastAsia="en-AU"/>
        </w:rPr>
        <w:t>esponse to the specific rec</w:t>
      </w:r>
      <w:r w:rsidR="00367DA3" w:rsidRPr="00B1463A">
        <w:rPr>
          <w:rFonts w:cs="Arial"/>
          <w:b/>
          <w:sz w:val="22"/>
          <w:szCs w:val="22"/>
          <w:lang w:eastAsia="en-AU"/>
        </w:rPr>
        <w:t>ommendations made in the report</w:t>
      </w:r>
      <w:r w:rsidR="004452AC" w:rsidRPr="00B1463A">
        <w:rPr>
          <w:rFonts w:cs="Arial"/>
          <w:b/>
          <w:sz w:val="22"/>
          <w:szCs w:val="22"/>
          <w:lang w:eastAsia="en-AU"/>
        </w:rPr>
        <w:t>:</w:t>
      </w:r>
    </w:p>
    <w:p w:rsidR="004452AC" w:rsidRPr="00B1463A" w:rsidRDefault="004452AC" w:rsidP="000D316D">
      <w:pPr>
        <w:rPr>
          <w:rFonts w:cs="Arial"/>
          <w:b/>
          <w:sz w:val="22"/>
          <w:szCs w:val="22"/>
          <w:lang w:eastAsia="en-AU"/>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2409"/>
        <w:gridCol w:w="2345"/>
        <w:gridCol w:w="1574"/>
        <w:gridCol w:w="1806"/>
        <w:gridCol w:w="1720"/>
      </w:tblGrid>
      <w:tr w:rsidR="00FD6011" w:rsidRPr="00B1463A" w:rsidTr="00B1463A">
        <w:trPr>
          <w:tblHeader/>
        </w:trPr>
        <w:tc>
          <w:tcPr>
            <w:tcW w:w="2832" w:type="dxa"/>
            <w:shd w:val="clear" w:color="auto" w:fill="FFEC9B"/>
            <w:vAlign w:val="center"/>
          </w:tcPr>
          <w:p w:rsidR="008A0F78" w:rsidRPr="00B1463A" w:rsidRDefault="008A0F78" w:rsidP="006B637C">
            <w:pPr>
              <w:pStyle w:val="Heading2"/>
              <w:spacing w:before="120" w:after="120"/>
              <w:jc w:val="center"/>
              <w:rPr>
                <w:sz w:val="22"/>
              </w:rPr>
            </w:pPr>
            <w:r w:rsidRPr="00B1463A">
              <w:rPr>
                <w:sz w:val="22"/>
              </w:rPr>
              <w:t>Recommendation</w:t>
            </w:r>
          </w:p>
        </w:tc>
        <w:tc>
          <w:tcPr>
            <w:tcW w:w="2151" w:type="dxa"/>
            <w:shd w:val="clear" w:color="auto" w:fill="FFEC9B"/>
          </w:tcPr>
          <w:p w:rsidR="008A0F78" w:rsidRPr="00B1463A" w:rsidRDefault="008A0F78" w:rsidP="006B637C">
            <w:pPr>
              <w:spacing w:after="120"/>
              <w:jc w:val="center"/>
              <w:rPr>
                <w:rFonts w:cs="Arial"/>
                <w:b/>
                <w:sz w:val="22"/>
                <w:szCs w:val="22"/>
              </w:rPr>
            </w:pPr>
            <w:r w:rsidRPr="00B1463A">
              <w:rPr>
                <w:rFonts w:cs="Arial"/>
                <w:b/>
                <w:sz w:val="22"/>
                <w:szCs w:val="22"/>
              </w:rPr>
              <w:t>Thematic Area</w:t>
            </w:r>
          </w:p>
        </w:tc>
        <w:tc>
          <w:tcPr>
            <w:tcW w:w="1537" w:type="dxa"/>
            <w:tcBorders>
              <w:right w:val="single" w:sz="4" w:space="0" w:color="auto"/>
            </w:tcBorders>
            <w:shd w:val="clear" w:color="auto" w:fill="FFEC9B"/>
            <w:vAlign w:val="center"/>
          </w:tcPr>
          <w:p w:rsidR="008A0F78" w:rsidRPr="00B1463A" w:rsidRDefault="008A0F78" w:rsidP="006B637C">
            <w:pPr>
              <w:spacing w:after="120"/>
              <w:jc w:val="center"/>
              <w:rPr>
                <w:rFonts w:cs="Arial"/>
                <w:b/>
                <w:sz w:val="22"/>
                <w:szCs w:val="22"/>
              </w:rPr>
            </w:pPr>
            <w:r w:rsidRPr="00B1463A">
              <w:rPr>
                <w:rFonts w:cs="Arial"/>
                <w:b/>
                <w:sz w:val="22"/>
                <w:szCs w:val="22"/>
              </w:rPr>
              <w:t>Response</w:t>
            </w:r>
          </w:p>
        </w:tc>
        <w:tc>
          <w:tcPr>
            <w:tcW w:w="1751" w:type="dxa"/>
            <w:tcBorders>
              <w:left w:val="single" w:sz="4" w:space="0" w:color="auto"/>
            </w:tcBorders>
            <w:shd w:val="clear" w:color="auto" w:fill="FFEC9B"/>
            <w:vAlign w:val="center"/>
          </w:tcPr>
          <w:p w:rsidR="008A0F78" w:rsidRPr="00B1463A" w:rsidRDefault="008A0F78" w:rsidP="006B637C">
            <w:pPr>
              <w:spacing w:after="120"/>
              <w:jc w:val="center"/>
              <w:rPr>
                <w:rFonts w:cs="Arial"/>
                <w:b/>
                <w:sz w:val="22"/>
                <w:szCs w:val="22"/>
              </w:rPr>
            </w:pPr>
            <w:r w:rsidRPr="00B1463A">
              <w:rPr>
                <w:rFonts w:cs="Arial"/>
                <w:b/>
                <w:sz w:val="22"/>
                <w:szCs w:val="22"/>
              </w:rPr>
              <w:t>Actions</w:t>
            </w:r>
          </w:p>
        </w:tc>
        <w:tc>
          <w:tcPr>
            <w:tcW w:w="1583" w:type="dxa"/>
            <w:tcBorders>
              <w:left w:val="single" w:sz="4" w:space="0" w:color="auto"/>
            </w:tcBorders>
            <w:shd w:val="clear" w:color="auto" w:fill="FFEC9B"/>
            <w:vAlign w:val="center"/>
          </w:tcPr>
          <w:p w:rsidR="008A0F78" w:rsidRPr="00B1463A" w:rsidRDefault="008A0F78" w:rsidP="006B637C">
            <w:pPr>
              <w:spacing w:after="120"/>
              <w:jc w:val="center"/>
              <w:rPr>
                <w:rFonts w:cs="Arial"/>
                <w:sz w:val="22"/>
                <w:szCs w:val="22"/>
              </w:rPr>
            </w:pPr>
            <w:r w:rsidRPr="00B1463A">
              <w:rPr>
                <w:rFonts w:cs="Arial"/>
                <w:b/>
                <w:sz w:val="22"/>
                <w:szCs w:val="22"/>
              </w:rPr>
              <w:t>Responsibility</w:t>
            </w:r>
          </w:p>
        </w:tc>
      </w:tr>
      <w:tr w:rsidR="00FD6011" w:rsidRPr="00B1463A" w:rsidTr="00B1463A">
        <w:trPr>
          <w:tblHeader/>
        </w:trPr>
        <w:tc>
          <w:tcPr>
            <w:tcW w:w="2832" w:type="dxa"/>
            <w:shd w:val="clear" w:color="auto" w:fill="auto"/>
          </w:tcPr>
          <w:p w:rsidR="008A0F78" w:rsidRPr="00B1463A" w:rsidRDefault="008A0F78"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Increase RTP’s strategic impact and contributions to shared Pacific outcomes through developing a 3 to 5 year strategy for targeting participants, based on country, sector and organisation, balanced with flexibility to respond to specific country needs and demand.</w:t>
            </w:r>
          </w:p>
        </w:tc>
        <w:tc>
          <w:tcPr>
            <w:tcW w:w="2151" w:type="dxa"/>
          </w:tcPr>
          <w:p w:rsidR="008A0F78" w:rsidRPr="00B1463A" w:rsidRDefault="008A0F78" w:rsidP="00637CEC">
            <w:pPr>
              <w:spacing w:after="120"/>
              <w:rPr>
                <w:rFonts w:cs="Arial"/>
                <w:sz w:val="22"/>
                <w:szCs w:val="22"/>
              </w:rPr>
            </w:pPr>
            <w:r w:rsidRPr="00B1463A">
              <w:rPr>
                <w:rFonts w:cs="Arial"/>
                <w:sz w:val="22"/>
                <w:szCs w:val="22"/>
              </w:rPr>
              <w:t>Regional Training</w:t>
            </w:r>
          </w:p>
        </w:tc>
        <w:tc>
          <w:tcPr>
            <w:tcW w:w="1537" w:type="dxa"/>
            <w:tcBorders>
              <w:right w:val="single" w:sz="4" w:space="0" w:color="auto"/>
            </w:tcBorders>
            <w:shd w:val="clear" w:color="auto" w:fill="auto"/>
          </w:tcPr>
          <w:p w:rsidR="008A0F78" w:rsidRPr="00B1463A" w:rsidRDefault="008A0F78"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8A0F78" w:rsidRPr="00B1463A" w:rsidRDefault="00E87A4F" w:rsidP="00E87A4F">
            <w:pPr>
              <w:spacing w:after="120"/>
              <w:rPr>
                <w:rFonts w:cs="Arial"/>
                <w:sz w:val="22"/>
                <w:szCs w:val="22"/>
              </w:rPr>
            </w:pPr>
            <w:r w:rsidRPr="00B1463A">
              <w:rPr>
                <w:rFonts w:cs="Arial"/>
                <w:sz w:val="22"/>
                <w:szCs w:val="22"/>
              </w:rPr>
              <w:t xml:space="preserve">DFAT and FWCC to address this during Phase 6 design and implementation.  </w:t>
            </w:r>
          </w:p>
        </w:tc>
        <w:tc>
          <w:tcPr>
            <w:tcW w:w="1583" w:type="dxa"/>
            <w:tcBorders>
              <w:left w:val="single" w:sz="4" w:space="0" w:color="auto"/>
            </w:tcBorders>
            <w:shd w:val="clear" w:color="auto" w:fill="auto"/>
          </w:tcPr>
          <w:p w:rsidR="008A0F78" w:rsidRPr="00B1463A" w:rsidRDefault="00E87A4F" w:rsidP="000D7E4C">
            <w:pPr>
              <w:spacing w:after="120"/>
              <w:rPr>
                <w:rFonts w:cs="Arial"/>
                <w:sz w:val="22"/>
                <w:szCs w:val="22"/>
              </w:rPr>
            </w:pPr>
            <w:r w:rsidRPr="00B1463A">
              <w:rPr>
                <w:rFonts w:cs="Arial"/>
                <w:sz w:val="22"/>
                <w:szCs w:val="22"/>
              </w:rPr>
              <w:t xml:space="preserve">FWCC </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Design, in cooperation with Network partners, a strategy to monitor, further develop, and build on the gains of the RTP through establishing supportive institutional relationships with host organisations. This strategy should include increasing opportunities for refresher training, promoting alumni networking, and disseminating information, resources and tools.</w:t>
            </w:r>
          </w:p>
        </w:tc>
        <w:tc>
          <w:tcPr>
            <w:tcW w:w="2151" w:type="dxa"/>
          </w:tcPr>
          <w:p w:rsidR="00E87A4F" w:rsidRPr="00B1463A" w:rsidRDefault="00E87A4F" w:rsidP="00637CEC">
            <w:pPr>
              <w:spacing w:after="120"/>
              <w:rPr>
                <w:rFonts w:cs="Arial"/>
                <w:sz w:val="22"/>
                <w:szCs w:val="22"/>
              </w:rPr>
            </w:pPr>
            <w:r w:rsidRPr="00B1463A">
              <w:rPr>
                <w:rFonts w:cs="Arial"/>
                <w:sz w:val="22"/>
                <w:szCs w:val="22"/>
              </w:rPr>
              <w:t>Regional Training</w:t>
            </w:r>
          </w:p>
        </w:tc>
        <w:tc>
          <w:tcPr>
            <w:tcW w:w="1537" w:type="dxa"/>
            <w:tcBorders>
              <w:right w:val="single" w:sz="4" w:space="0" w:color="auto"/>
            </w:tcBorders>
            <w:shd w:val="clear" w:color="auto" w:fill="auto"/>
          </w:tcPr>
          <w:p w:rsidR="00E87A4F" w:rsidRPr="00B1463A" w:rsidRDefault="00E87A4F"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DFAT and FWCC to address this during Phase 6 design and implementation.  </w:t>
            </w:r>
          </w:p>
        </w:tc>
        <w:tc>
          <w:tcPr>
            <w:tcW w:w="1583"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FWCC </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lastRenderedPageBreak/>
              <w:t>Continue to lead the development of a qualified EVAW workforce in the Pacific through scaling up gender transformative, rights-based training for relevant institutions, sectors and countries, using tested methods and resources.  Explore synergies with sector wide approaches (for example in Justice) to increase impact.</w:t>
            </w:r>
          </w:p>
        </w:tc>
        <w:tc>
          <w:tcPr>
            <w:tcW w:w="2151" w:type="dxa"/>
          </w:tcPr>
          <w:p w:rsidR="00E87A4F" w:rsidRPr="00B1463A" w:rsidRDefault="00E87A4F" w:rsidP="00637CEC">
            <w:pPr>
              <w:spacing w:after="120"/>
              <w:rPr>
                <w:rFonts w:cs="Arial"/>
                <w:sz w:val="22"/>
                <w:szCs w:val="22"/>
              </w:rPr>
            </w:pPr>
            <w:r w:rsidRPr="00B1463A">
              <w:rPr>
                <w:rFonts w:cs="Arial"/>
                <w:sz w:val="22"/>
                <w:szCs w:val="22"/>
              </w:rPr>
              <w:t>Regional Training</w:t>
            </w:r>
          </w:p>
        </w:tc>
        <w:tc>
          <w:tcPr>
            <w:tcW w:w="1537" w:type="dxa"/>
            <w:tcBorders>
              <w:right w:val="single" w:sz="4" w:space="0" w:color="auto"/>
            </w:tcBorders>
            <w:shd w:val="clear" w:color="auto" w:fill="auto"/>
          </w:tcPr>
          <w:p w:rsidR="00E87A4F" w:rsidRPr="00B1463A" w:rsidRDefault="00E87A4F"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E87A4F" w:rsidRPr="00B1463A" w:rsidRDefault="00E87A4F" w:rsidP="00F752CB">
            <w:pPr>
              <w:spacing w:after="120"/>
              <w:rPr>
                <w:rFonts w:cs="Arial"/>
                <w:sz w:val="22"/>
                <w:szCs w:val="22"/>
              </w:rPr>
            </w:pPr>
            <w:r w:rsidRPr="00B1463A">
              <w:rPr>
                <w:rFonts w:cs="Arial"/>
                <w:sz w:val="22"/>
                <w:szCs w:val="22"/>
              </w:rPr>
              <w:t xml:space="preserve">This </w:t>
            </w:r>
            <w:r w:rsidR="00497885">
              <w:rPr>
                <w:rFonts w:cs="Arial"/>
                <w:sz w:val="22"/>
                <w:szCs w:val="22"/>
              </w:rPr>
              <w:t>is</w:t>
            </w:r>
            <w:r w:rsidRPr="00B1463A">
              <w:rPr>
                <w:rFonts w:cs="Arial"/>
                <w:sz w:val="22"/>
                <w:szCs w:val="22"/>
              </w:rPr>
              <w:t xml:space="preserve"> in place for the law enforcement sector</w:t>
            </w:r>
            <w:r w:rsidR="00497885">
              <w:rPr>
                <w:rFonts w:cs="Arial"/>
                <w:sz w:val="22"/>
                <w:szCs w:val="22"/>
              </w:rPr>
              <w:t xml:space="preserve">. </w:t>
            </w:r>
            <w:r w:rsidR="00F752CB">
              <w:rPr>
                <w:rFonts w:cs="Arial"/>
                <w:sz w:val="22"/>
                <w:szCs w:val="22"/>
              </w:rPr>
              <w:t xml:space="preserve">Opportunities for </w:t>
            </w:r>
            <w:proofErr w:type="gramStart"/>
            <w:r w:rsidR="00F752CB">
              <w:rPr>
                <w:rFonts w:cs="Arial"/>
                <w:sz w:val="22"/>
                <w:szCs w:val="22"/>
              </w:rPr>
              <w:t>e</w:t>
            </w:r>
            <w:r w:rsidR="00497885">
              <w:rPr>
                <w:rFonts w:cs="Arial"/>
                <w:sz w:val="22"/>
                <w:szCs w:val="22"/>
              </w:rPr>
              <w:t xml:space="preserve">xtension </w:t>
            </w:r>
            <w:r w:rsidRPr="00B1463A">
              <w:rPr>
                <w:rFonts w:cs="Arial"/>
                <w:sz w:val="22"/>
                <w:szCs w:val="22"/>
              </w:rPr>
              <w:t xml:space="preserve"> to</w:t>
            </w:r>
            <w:proofErr w:type="gramEnd"/>
            <w:r w:rsidRPr="00B1463A">
              <w:rPr>
                <w:rFonts w:cs="Arial"/>
                <w:sz w:val="22"/>
                <w:szCs w:val="22"/>
              </w:rPr>
              <w:t xml:space="preserve"> other sectors</w:t>
            </w:r>
            <w:r w:rsidR="00497885">
              <w:rPr>
                <w:rFonts w:cs="Arial"/>
                <w:sz w:val="22"/>
                <w:szCs w:val="22"/>
              </w:rPr>
              <w:t xml:space="preserve"> </w:t>
            </w:r>
            <w:r w:rsidR="00C5107E">
              <w:rPr>
                <w:rFonts w:cs="Arial"/>
                <w:sz w:val="22"/>
                <w:szCs w:val="22"/>
              </w:rPr>
              <w:t xml:space="preserve">to be addressed </w:t>
            </w:r>
            <w:r w:rsidR="00C5107E" w:rsidRPr="00B1463A">
              <w:rPr>
                <w:rFonts w:cs="Arial"/>
                <w:sz w:val="22"/>
                <w:szCs w:val="22"/>
              </w:rPr>
              <w:t>during Phase 6 design and implementation</w:t>
            </w:r>
            <w:r w:rsidR="00C5107E">
              <w:rPr>
                <w:rFonts w:cs="Arial"/>
                <w:sz w:val="22"/>
                <w:szCs w:val="22"/>
              </w:rPr>
              <w:t>.</w:t>
            </w:r>
          </w:p>
        </w:tc>
        <w:tc>
          <w:tcPr>
            <w:tcW w:w="1583" w:type="dxa"/>
            <w:tcBorders>
              <w:left w:val="single" w:sz="4" w:space="0" w:color="auto"/>
            </w:tcBorders>
            <w:shd w:val="clear" w:color="auto" w:fill="auto"/>
          </w:tcPr>
          <w:p w:rsidR="00E87A4F" w:rsidRPr="00B1463A" w:rsidRDefault="00E87A4F" w:rsidP="000D7E4C">
            <w:pPr>
              <w:spacing w:after="120"/>
              <w:rPr>
                <w:rFonts w:cs="Arial"/>
                <w:sz w:val="22"/>
                <w:szCs w:val="22"/>
              </w:rPr>
            </w:pPr>
            <w:r w:rsidRPr="00B1463A">
              <w:rPr>
                <w:rFonts w:cs="Arial"/>
                <w:sz w:val="22"/>
                <w:szCs w:val="22"/>
              </w:rPr>
              <w:t>FWCC</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Increase the pool of Pacific experts able to deliver and implement the expansion of gender-transformative, rights based training and accelerated Training of Trainers.  Clarify the role, strategy, structure, resources of Feminist Learning, Advocacy &amp; Research and Empowerment (FLARE) and develop an accompanying implementation plan to ensure it achieves its goals and avoids duplication with FWCC’s other efforts.</w:t>
            </w:r>
          </w:p>
        </w:tc>
        <w:tc>
          <w:tcPr>
            <w:tcW w:w="2151" w:type="dxa"/>
          </w:tcPr>
          <w:p w:rsidR="00E87A4F" w:rsidRPr="00B1463A" w:rsidRDefault="00E87A4F" w:rsidP="00637CEC">
            <w:pPr>
              <w:spacing w:after="120"/>
              <w:rPr>
                <w:rFonts w:cs="Arial"/>
                <w:sz w:val="22"/>
                <w:szCs w:val="22"/>
              </w:rPr>
            </w:pPr>
            <w:r w:rsidRPr="00B1463A">
              <w:rPr>
                <w:rFonts w:cs="Arial"/>
                <w:sz w:val="22"/>
                <w:szCs w:val="22"/>
              </w:rPr>
              <w:t>Regional Training</w:t>
            </w:r>
          </w:p>
        </w:tc>
        <w:tc>
          <w:tcPr>
            <w:tcW w:w="1537" w:type="dxa"/>
            <w:tcBorders>
              <w:right w:val="single" w:sz="4" w:space="0" w:color="auto"/>
            </w:tcBorders>
            <w:shd w:val="clear" w:color="auto" w:fill="auto"/>
          </w:tcPr>
          <w:p w:rsidR="00E87A4F" w:rsidRPr="00B1463A" w:rsidRDefault="00E87A4F"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DFAT and FWCC to address this during Phase 6 design and implementation.  </w:t>
            </w:r>
          </w:p>
        </w:tc>
        <w:tc>
          <w:tcPr>
            <w:tcW w:w="1583"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FWCC </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lastRenderedPageBreak/>
              <w:t xml:space="preserve">Develop a terms of reference and five-year plan for the Pacific Network Against Violence Against Women (PNAVAW) that specifies the roles and responsibilities of members and the Secretariat, goals and outcomes, milestones, human and financial resourcing requirements, membership benefits and strategies for engagement throughout the Pacific. </w:t>
            </w:r>
          </w:p>
        </w:tc>
        <w:tc>
          <w:tcPr>
            <w:tcW w:w="2151" w:type="dxa"/>
          </w:tcPr>
          <w:p w:rsidR="00E87A4F" w:rsidRPr="00B1463A" w:rsidRDefault="00E87A4F" w:rsidP="008A0F78">
            <w:pPr>
              <w:spacing w:after="120"/>
              <w:rPr>
                <w:rFonts w:cs="Arial"/>
                <w:sz w:val="22"/>
                <w:szCs w:val="22"/>
              </w:rPr>
            </w:pPr>
            <w:r w:rsidRPr="00B1463A">
              <w:rPr>
                <w:rFonts w:cs="Arial"/>
                <w:sz w:val="22"/>
                <w:szCs w:val="22"/>
              </w:rPr>
              <w:t>Regional networking and support</w:t>
            </w:r>
          </w:p>
          <w:p w:rsidR="00E87A4F" w:rsidRPr="00B1463A" w:rsidRDefault="00E87A4F" w:rsidP="00637CEC">
            <w:pPr>
              <w:spacing w:after="120"/>
              <w:rPr>
                <w:rFonts w:cs="Arial"/>
                <w:sz w:val="22"/>
                <w:szCs w:val="22"/>
              </w:rPr>
            </w:pPr>
          </w:p>
        </w:tc>
        <w:tc>
          <w:tcPr>
            <w:tcW w:w="1537" w:type="dxa"/>
            <w:tcBorders>
              <w:right w:val="single" w:sz="4" w:space="0" w:color="auto"/>
            </w:tcBorders>
            <w:shd w:val="clear" w:color="auto" w:fill="auto"/>
          </w:tcPr>
          <w:p w:rsidR="00E87A4F" w:rsidRPr="00B1463A" w:rsidRDefault="00E87A4F"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DFAT and FWCC to address this during Phase 6 design and implementation.  </w:t>
            </w:r>
          </w:p>
        </w:tc>
        <w:tc>
          <w:tcPr>
            <w:tcW w:w="1583"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FWCC </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Prepare a strategy for engaging with and providing support to regional organisations that clearly enables an assessment of benefits and risks (a program investment decision matrix) and mutual accountability, to support more efficient use of human and financial resources. Establishing a ‘package’ of member support services, and the costs (varied by country), could enhance efficiency and facilitate robust testing and demonstration of the approaches and tools.</w:t>
            </w:r>
          </w:p>
        </w:tc>
        <w:tc>
          <w:tcPr>
            <w:tcW w:w="2151" w:type="dxa"/>
          </w:tcPr>
          <w:p w:rsidR="00E87A4F" w:rsidRPr="00B1463A" w:rsidRDefault="00E87A4F">
            <w:pPr>
              <w:rPr>
                <w:rFonts w:cs="Arial"/>
                <w:sz w:val="22"/>
                <w:szCs w:val="22"/>
              </w:rPr>
            </w:pPr>
            <w:r w:rsidRPr="00B1463A">
              <w:rPr>
                <w:rFonts w:cs="Arial"/>
                <w:sz w:val="22"/>
                <w:szCs w:val="22"/>
              </w:rPr>
              <w:t>Regional networking and support</w:t>
            </w:r>
          </w:p>
        </w:tc>
        <w:tc>
          <w:tcPr>
            <w:tcW w:w="1537" w:type="dxa"/>
            <w:tcBorders>
              <w:right w:val="single" w:sz="4" w:space="0" w:color="auto"/>
            </w:tcBorders>
            <w:shd w:val="clear" w:color="auto" w:fill="auto"/>
          </w:tcPr>
          <w:p w:rsidR="00E87A4F" w:rsidRPr="00B1463A" w:rsidRDefault="00B739CA" w:rsidP="00164E73">
            <w:pPr>
              <w:spacing w:after="120"/>
              <w:rPr>
                <w:rFonts w:cs="Arial"/>
                <w:sz w:val="22"/>
                <w:szCs w:val="22"/>
              </w:rPr>
            </w:pPr>
            <w:r>
              <w:rPr>
                <w:rFonts w:cs="Arial"/>
                <w:sz w:val="22"/>
                <w:szCs w:val="22"/>
              </w:rPr>
              <w:t xml:space="preserve">Partially </w:t>
            </w:r>
            <w:r w:rsidR="00E87A4F" w:rsidRPr="00B1463A">
              <w:rPr>
                <w:rFonts w:cs="Arial"/>
                <w:sz w:val="22"/>
                <w:szCs w:val="22"/>
              </w:rPr>
              <w:t>Agree</w:t>
            </w:r>
            <w:r w:rsidR="00B93F79">
              <w:rPr>
                <w:rFonts w:cs="Arial"/>
                <w:sz w:val="22"/>
                <w:szCs w:val="22"/>
              </w:rPr>
              <w:t xml:space="preserve">. </w:t>
            </w:r>
            <w:r w:rsidR="009B6673">
              <w:rPr>
                <w:rFonts w:cs="Arial"/>
                <w:sz w:val="22"/>
                <w:szCs w:val="22"/>
              </w:rPr>
              <w:t xml:space="preserve"> </w:t>
            </w:r>
            <w:r w:rsidR="00FC72C3">
              <w:rPr>
                <w:rFonts w:cs="Arial"/>
                <w:sz w:val="22"/>
                <w:szCs w:val="22"/>
              </w:rPr>
              <w:t xml:space="preserve">Clearer definition </w:t>
            </w:r>
            <w:proofErr w:type="gramStart"/>
            <w:r w:rsidR="00FC72C3">
              <w:rPr>
                <w:rFonts w:cs="Arial"/>
                <w:sz w:val="22"/>
                <w:szCs w:val="22"/>
              </w:rPr>
              <w:t xml:space="preserve">of </w:t>
            </w:r>
            <w:r w:rsidR="009B6673">
              <w:rPr>
                <w:rFonts w:cs="Arial"/>
                <w:sz w:val="22"/>
                <w:szCs w:val="22"/>
              </w:rPr>
              <w:t xml:space="preserve"> </w:t>
            </w:r>
            <w:r w:rsidR="00C364CF">
              <w:rPr>
                <w:rFonts w:cs="Arial"/>
                <w:sz w:val="22"/>
                <w:szCs w:val="22"/>
              </w:rPr>
              <w:t>selection</w:t>
            </w:r>
            <w:proofErr w:type="gramEnd"/>
            <w:r w:rsidR="00C364CF">
              <w:rPr>
                <w:rFonts w:cs="Arial"/>
                <w:sz w:val="22"/>
                <w:szCs w:val="22"/>
              </w:rPr>
              <w:t xml:space="preserve"> criteria </w:t>
            </w:r>
            <w:r w:rsidR="004F46C1">
              <w:rPr>
                <w:rFonts w:cs="Arial"/>
                <w:sz w:val="22"/>
                <w:szCs w:val="22"/>
              </w:rPr>
              <w:t>and prioritisation of</w:t>
            </w:r>
            <w:r w:rsidR="00C364CF">
              <w:rPr>
                <w:rFonts w:cs="Arial"/>
                <w:sz w:val="22"/>
                <w:szCs w:val="22"/>
              </w:rPr>
              <w:t xml:space="preserve"> provision of </w:t>
            </w:r>
            <w:r w:rsidR="009B6673">
              <w:rPr>
                <w:rFonts w:cs="Arial"/>
                <w:sz w:val="22"/>
                <w:szCs w:val="22"/>
              </w:rPr>
              <w:t xml:space="preserve">operational </w:t>
            </w:r>
            <w:r w:rsidR="00C364CF">
              <w:rPr>
                <w:rFonts w:cs="Arial"/>
                <w:sz w:val="22"/>
                <w:szCs w:val="22"/>
              </w:rPr>
              <w:t xml:space="preserve">support </w:t>
            </w:r>
            <w:r w:rsidR="009B6673">
              <w:rPr>
                <w:rFonts w:cs="Arial"/>
                <w:sz w:val="22"/>
                <w:szCs w:val="22"/>
              </w:rPr>
              <w:t xml:space="preserve">to </w:t>
            </w:r>
            <w:r w:rsidR="004F46C1">
              <w:rPr>
                <w:rFonts w:cs="Arial"/>
                <w:sz w:val="22"/>
                <w:szCs w:val="22"/>
              </w:rPr>
              <w:t xml:space="preserve">regional organisations is needed. </w:t>
            </w:r>
            <w:r w:rsidR="00FD6011">
              <w:rPr>
                <w:rFonts w:cs="Arial"/>
                <w:sz w:val="22"/>
                <w:szCs w:val="22"/>
              </w:rPr>
              <w:t xml:space="preserve">Further discussion on the </w:t>
            </w:r>
            <w:r w:rsidR="005F291F">
              <w:rPr>
                <w:rFonts w:cs="Arial"/>
                <w:sz w:val="22"/>
                <w:szCs w:val="22"/>
              </w:rPr>
              <w:t>establishment of</w:t>
            </w:r>
            <w:r w:rsidR="009B6673">
              <w:rPr>
                <w:rFonts w:cs="Arial"/>
                <w:sz w:val="22"/>
                <w:szCs w:val="22"/>
              </w:rPr>
              <w:t xml:space="preserve"> </w:t>
            </w:r>
            <w:r w:rsidR="005F291F">
              <w:rPr>
                <w:rFonts w:cs="Arial"/>
                <w:sz w:val="22"/>
                <w:szCs w:val="22"/>
              </w:rPr>
              <w:t>a costed ‘package’ of services</w:t>
            </w:r>
            <w:r w:rsidR="00164E73">
              <w:rPr>
                <w:rFonts w:cs="Arial"/>
                <w:sz w:val="22"/>
                <w:szCs w:val="22"/>
              </w:rPr>
              <w:t xml:space="preserve"> is suggested</w:t>
            </w:r>
            <w:r w:rsidR="009B6673">
              <w:rPr>
                <w:rFonts w:cs="Arial"/>
                <w:sz w:val="22"/>
                <w:szCs w:val="22"/>
              </w:rPr>
              <w:t xml:space="preserve">. </w:t>
            </w:r>
          </w:p>
        </w:tc>
        <w:tc>
          <w:tcPr>
            <w:tcW w:w="1751" w:type="dxa"/>
            <w:tcBorders>
              <w:left w:val="single" w:sz="4" w:space="0" w:color="auto"/>
            </w:tcBorders>
            <w:shd w:val="clear" w:color="auto" w:fill="auto"/>
          </w:tcPr>
          <w:p w:rsidR="00B739CA" w:rsidRDefault="00E87A4F" w:rsidP="0093412C">
            <w:pPr>
              <w:spacing w:after="120"/>
              <w:rPr>
                <w:rFonts w:cs="Arial"/>
                <w:sz w:val="22"/>
                <w:szCs w:val="22"/>
              </w:rPr>
            </w:pPr>
            <w:r w:rsidRPr="00B1463A">
              <w:rPr>
                <w:rFonts w:cs="Arial"/>
                <w:sz w:val="22"/>
                <w:szCs w:val="22"/>
              </w:rPr>
              <w:t>DFAT and FWCC to address this during Phase 6 design and implementation.</w:t>
            </w:r>
          </w:p>
          <w:p w:rsidR="00E87A4F" w:rsidRPr="00B1463A" w:rsidRDefault="00FC72C3" w:rsidP="00FC72C3">
            <w:pPr>
              <w:spacing w:after="120"/>
              <w:rPr>
                <w:rFonts w:cs="Arial"/>
                <w:sz w:val="22"/>
                <w:szCs w:val="22"/>
              </w:rPr>
            </w:pPr>
            <w:r>
              <w:rPr>
                <w:rFonts w:cs="Arial"/>
                <w:sz w:val="22"/>
                <w:szCs w:val="22"/>
              </w:rPr>
              <w:t>DFAT notes w</w:t>
            </w:r>
            <w:r w:rsidR="00B739CA">
              <w:rPr>
                <w:rFonts w:cs="Arial"/>
                <w:sz w:val="22"/>
                <w:szCs w:val="22"/>
              </w:rPr>
              <w:t xml:space="preserve">ork is underway on costing services for EVAW through the PIFS Special </w:t>
            </w:r>
            <w:r w:rsidR="00815BE1">
              <w:rPr>
                <w:rFonts w:cs="Arial"/>
                <w:sz w:val="22"/>
                <w:szCs w:val="22"/>
              </w:rPr>
              <w:t>Reference</w:t>
            </w:r>
            <w:r w:rsidR="00B739CA">
              <w:rPr>
                <w:rFonts w:cs="Arial"/>
                <w:sz w:val="22"/>
                <w:szCs w:val="22"/>
              </w:rPr>
              <w:t xml:space="preserve"> Group on EVAW that FWCC </w:t>
            </w:r>
            <w:r>
              <w:rPr>
                <w:rFonts w:cs="Arial"/>
                <w:sz w:val="22"/>
                <w:szCs w:val="22"/>
              </w:rPr>
              <w:t>C</w:t>
            </w:r>
            <w:r w:rsidR="00B739CA">
              <w:rPr>
                <w:rFonts w:cs="Arial"/>
                <w:sz w:val="22"/>
                <w:szCs w:val="22"/>
              </w:rPr>
              <w:t>hair</w:t>
            </w:r>
            <w:r>
              <w:rPr>
                <w:rFonts w:cs="Arial"/>
                <w:sz w:val="22"/>
                <w:szCs w:val="22"/>
              </w:rPr>
              <w:t>s.</w:t>
            </w:r>
            <w:r w:rsidR="00E87A4F" w:rsidRPr="00B1463A">
              <w:rPr>
                <w:rFonts w:cs="Arial"/>
                <w:sz w:val="22"/>
                <w:szCs w:val="22"/>
              </w:rPr>
              <w:t xml:space="preserve">  </w:t>
            </w:r>
          </w:p>
        </w:tc>
        <w:tc>
          <w:tcPr>
            <w:tcW w:w="1583"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FWCC </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lastRenderedPageBreak/>
              <w:t>Develop process guidelines and an accompanying resource kit for the development of, and appropriate rights-based EVAW services. Use the guidelines to support practice quality and monitoring, and to inform decision-making on initiating Managing Agent relationships.</w:t>
            </w:r>
          </w:p>
        </w:tc>
        <w:tc>
          <w:tcPr>
            <w:tcW w:w="2151" w:type="dxa"/>
          </w:tcPr>
          <w:p w:rsidR="00E87A4F" w:rsidRPr="00B1463A" w:rsidRDefault="00E87A4F">
            <w:pPr>
              <w:rPr>
                <w:rFonts w:cs="Arial"/>
                <w:sz w:val="22"/>
                <w:szCs w:val="22"/>
              </w:rPr>
            </w:pPr>
            <w:r w:rsidRPr="00B1463A">
              <w:rPr>
                <w:rFonts w:cs="Arial"/>
                <w:sz w:val="22"/>
                <w:szCs w:val="22"/>
              </w:rPr>
              <w:t>Regional networking and support</w:t>
            </w:r>
          </w:p>
        </w:tc>
        <w:tc>
          <w:tcPr>
            <w:tcW w:w="1537" w:type="dxa"/>
            <w:tcBorders>
              <w:right w:val="single" w:sz="4" w:space="0" w:color="auto"/>
            </w:tcBorders>
            <w:shd w:val="clear" w:color="auto" w:fill="auto"/>
          </w:tcPr>
          <w:p w:rsidR="00E87A4F" w:rsidRPr="00B1463A" w:rsidRDefault="00B739CA" w:rsidP="00B136B9">
            <w:pPr>
              <w:spacing w:after="120"/>
              <w:rPr>
                <w:rFonts w:cs="Arial"/>
                <w:sz w:val="22"/>
                <w:szCs w:val="22"/>
              </w:rPr>
            </w:pPr>
            <w:r>
              <w:rPr>
                <w:rFonts w:cs="Arial"/>
                <w:sz w:val="22"/>
                <w:szCs w:val="22"/>
              </w:rPr>
              <w:t xml:space="preserve">Partially </w:t>
            </w:r>
            <w:r w:rsidR="00E87A4F" w:rsidRPr="00B1463A">
              <w:rPr>
                <w:rFonts w:cs="Arial"/>
                <w:sz w:val="22"/>
                <w:szCs w:val="22"/>
              </w:rPr>
              <w:t>Agree</w:t>
            </w:r>
            <w:r w:rsidR="00B136B9">
              <w:rPr>
                <w:rFonts w:cs="Arial"/>
                <w:sz w:val="22"/>
                <w:szCs w:val="22"/>
              </w:rPr>
              <w:t>.</w:t>
            </w:r>
            <w:r>
              <w:rPr>
                <w:rFonts w:cs="Arial"/>
                <w:sz w:val="22"/>
                <w:szCs w:val="22"/>
              </w:rPr>
              <w:t xml:space="preserve"> </w:t>
            </w:r>
            <w:r w:rsidR="00B136B9">
              <w:rPr>
                <w:rFonts w:cs="Arial"/>
                <w:sz w:val="22"/>
                <w:szCs w:val="22"/>
              </w:rPr>
              <w:t>E</w:t>
            </w:r>
            <w:r>
              <w:rPr>
                <w:rFonts w:cs="Arial"/>
                <w:sz w:val="22"/>
                <w:szCs w:val="22"/>
              </w:rPr>
              <w:t>stablishing EVAW practice standards</w:t>
            </w:r>
            <w:r w:rsidR="00B136B9">
              <w:rPr>
                <w:rFonts w:cs="Arial"/>
                <w:sz w:val="22"/>
                <w:szCs w:val="22"/>
              </w:rPr>
              <w:t xml:space="preserve"> could be</w:t>
            </w:r>
            <w:r>
              <w:rPr>
                <w:rFonts w:cs="Arial"/>
                <w:sz w:val="22"/>
                <w:szCs w:val="22"/>
              </w:rPr>
              <w:t xml:space="preserve"> resource-intensive and requires buy-in and ownership from a range of stakeholders including national governments</w:t>
            </w:r>
            <w:r w:rsidR="009B6673">
              <w:rPr>
                <w:rFonts w:cs="Arial"/>
                <w:sz w:val="22"/>
                <w:szCs w:val="22"/>
              </w:rPr>
              <w:t xml:space="preserve"> and institutions</w:t>
            </w:r>
            <w:r>
              <w:rPr>
                <w:rFonts w:cs="Arial"/>
                <w:sz w:val="22"/>
                <w:szCs w:val="22"/>
              </w:rPr>
              <w:t xml:space="preserve">. </w:t>
            </w:r>
          </w:p>
        </w:tc>
        <w:tc>
          <w:tcPr>
            <w:tcW w:w="1751"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DFAT and FWCC to address this during Phase 6 design and implementation. </w:t>
            </w:r>
          </w:p>
          <w:p w:rsidR="00E87A4F" w:rsidRPr="00B1463A" w:rsidRDefault="00E87A4F" w:rsidP="0093412C">
            <w:pPr>
              <w:spacing w:after="120"/>
              <w:rPr>
                <w:rFonts w:cs="Arial"/>
                <w:sz w:val="22"/>
                <w:szCs w:val="22"/>
              </w:rPr>
            </w:pPr>
            <w:r w:rsidRPr="00B1463A">
              <w:rPr>
                <w:rFonts w:cs="Arial"/>
                <w:sz w:val="22"/>
                <w:szCs w:val="22"/>
              </w:rPr>
              <w:t>[There may be synergies with UN Women’s toolkit for EVAW progra</w:t>
            </w:r>
            <w:r w:rsidR="00F14424">
              <w:rPr>
                <w:rFonts w:cs="Arial"/>
                <w:sz w:val="22"/>
                <w:szCs w:val="22"/>
              </w:rPr>
              <w:t>m</w:t>
            </w:r>
            <w:r w:rsidRPr="00B1463A">
              <w:rPr>
                <w:rFonts w:cs="Arial"/>
                <w:sz w:val="22"/>
                <w:szCs w:val="22"/>
              </w:rPr>
              <w:t>ming</w:t>
            </w:r>
            <w:r w:rsidR="00B739CA">
              <w:rPr>
                <w:rFonts w:cs="Arial"/>
                <w:sz w:val="22"/>
                <w:szCs w:val="22"/>
              </w:rPr>
              <w:t xml:space="preserve"> and Fiji’s Multi-</w:t>
            </w:r>
            <w:r w:rsidR="009B6673">
              <w:rPr>
                <w:rFonts w:cs="Arial"/>
                <w:sz w:val="22"/>
                <w:szCs w:val="22"/>
              </w:rPr>
              <w:t>stakeholder</w:t>
            </w:r>
            <w:r w:rsidR="00B739CA">
              <w:rPr>
                <w:rFonts w:cs="Arial"/>
                <w:sz w:val="22"/>
                <w:szCs w:val="22"/>
              </w:rPr>
              <w:t xml:space="preserve"> Taskforce on EVAW</w:t>
            </w:r>
            <w:r w:rsidRPr="00B1463A">
              <w:rPr>
                <w:rFonts w:cs="Arial"/>
                <w:sz w:val="22"/>
                <w:szCs w:val="22"/>
              </w:rPr>
              <w:t xml:space="preserve">].  </w:t>
            </w:r>
          </w:p>
        </w:tc>
        <w:tc>
          <w:tcPr>
            <w:tcW w:w="1583" w:type="dxa"/>
            <w:tcBorders>
              <w:left w:val="single" w:sz="4" w:space="0" w:color="auto"/>
            </w:tcBorders>
            <w:shd w:val="clear" w:color="auto" w:fill="auto"/>
          </w:tcPr>
          <w:p w:rsidR="00E87A4F" w:rsidRPr="00B1463A" w:rsidRDefault="00E87A4F" w:rsidP="0093412C">
            <w:pPr>
              <w:spacing w:after="120"/>
              <w:rPr>
                <w:rFonts w:cs="Arial"/>
                <w:sz w:val="22"/>
                <w:szCs w:val="22"/>
              </w:rPr>
            </w:pPr>
            <w:r w:rsidRPr="00B1463A">
              <w:rPr>
                <w:rFonts w:cs="Arial"/>
                <w:sz w:val="22"/>
                <w:szCs w:val="22"/>
              </w:rPr>
              <w:t xml:space="preserve">FWCC </w:t>
            </w:r>
          </w:p>
        </w:tc>
      </w:tr>
      <w:tr w:rsidR="00FD6011" w:rsidRPr="00B1463A" w:rsidTr="00B1463A">
        <w:trPr>
          <w:tblHeader/>
        </w:trPr>
        <w:tc>
          <w:tcPr>
            <w:tcW w:w="2832" w:type="dxa"/>
            <w:shd w:val="clear" w:color="auto" w:fill="auto"/>
          </w:tcPr>
          <w:p w:rsidR="00E87A4F" w:rsidRPr="00B1463A" w:rsidRDefault="00E87A4F"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 xml:space="preserve">Invest in Branch capacity development through establishing tailored capacity development plans and Monitoring and Evaluation (M&amp;E) frameworks that reflect differences in capability and context (locally available resources, priorities, constraints, and partners). </w:t>
            </w:r>
          </w:p>
        </w:tc>
        <w:tc>
          <w:tcPr>
            <w:tcW w:w="2151" w:type="dxa"/>
          </w:tcPr>
          <w:p w:rsidR="00E87A4F" w:rsidRPr="00B1463A" w:rsidRDefault="00E87A4F">
            <w:pPr>
              <w:rPr>
                <w:rFonts w:cs="Arial"/>
                <w:sz w:val="22"/>
                <w:szCs w:val="22"/>
              </w:rPr>
            </w:pPr>
            <w:r w:rsidRPr="00B1463A">
              <w:rPr>
                <w:rFonts w:cs="Arial"/>
                <w:sz w:val="22"/>
                <w:szCs w:val="22"/>
              </w:rPr>
              <w:t>Regional networking and support</w:t>
            </w:r>
          </w:p>
        </w:tc>
        <w:tc>
          <w:tcPr>
            <w:tcW w:w="1537" w:type="dxa"/>
            <w:tcBorders>
              <w:right w:val="single" w:sz="4" w:space="0" w:color="auto"/>
            </w:tcBorders>
            <w:shd w:val="clear" w:color="auto" w:fill="auto"/>
          </w:tcPr>
          <w:p w:rsidR="00E87A4F" w:rsidRPr="00B1463A" w:rsidRDefault="00E87A4F"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B1463A" w:rsidRPr="00B1463A" w:rsidRDefault="00B1463A" w:rsidP="00B1463A">
            <w:pPr>
              <w:spacing w:after="120"/>
              <w:rPr>
                <w:rFonts w:cs="Arial"/>
                <w:sz w:val="22"/>
                <w:szCs w:val="22"/>
              </w:rPr>
            </w:pPr>
            <w:r w:rsidRPr="00B1463A">
              <w:rPr>
                <w:rFonts w:cs="Arial"/>
                <w:sz w:val="22"/>
                <w:szCs w:val="22"/>
              </w:rPr>
              <w:t xml:space="preserve">DFAT, MFAT and FWCC to address this during Phase 6 design and implementation. </w:t>
            </w:r>
          </w:p>
          <w:p w:rsidR="00E87A4F" w:rsidRPr="00B1463A" w:rsidRDefault="00E87A4F" w:rsidP="00AA2DA8">
            <w:pPr>
              <w:spacing w:after="120"/>
              <w:rPr>
                <w:rFonts w:cs="Arial"/>
                <w:sz w:val="22"/>
                <w:szCs w:val="22"/>
              </w:rPr>
            </w:pPr>
          </w:p>
        </w:tc>
        <w:tc>
          <w:tcPr>
            <w:tcW w:w="1583" w:type="dxa"/>
            <w:tcBorders>
              <w:left w:val="single" w:sz="4" w:space="0" w:color="auto"/>
            </w:tcBorders>
            <w:shd w:val="clear" w:color="auto" w:fill="auto"/>
          </w:tcPr>
          <w:p w:rsidR="00E87A4F" w:rsidRPr="00B1463A" w:rsidRDefault="00B1463A" w:rsidP="000D7E4C">
            <w:pPr>
              <w:spacing w:after="120"/>
              <w:rPr>
                <w:rFonts w:cs="Arial"/>
                <w:sz w:val="22"/>
                <w:szCs w:val="22"/>
              </w:rPr>
            </w:pPr>
            <w:r w:rsidRPr="00B1463A">
              <w:rPr>
                <w:rFonts w:cs="Arial"/>
                <w:sz w:val="22"/>
                <w:szCs w:val="22"/>
              </w:rPr>
              <w:t>FWCC</w:t>
            </w:r>
          </w:p>
        </w:tc>
      </w:tr>
      <w:tr w:rsidR="00FD6011" w:rsidRPr="00B1463A" w:rsidTr="00B1463A">
        <w:trPr>
          <w:tblHeader/>
        </w:trPr>
        <w:tc>
          <w:tcPr>
            <w:tcW w:w="2832" w:type="dxa"/>
            <w:shd w:val="clear" w:color="auto" w:fill="auto"/>
          </w:tcPr>
          <w:p w:rsidR="00B1463A" w:rsidRPr="00B1463A" w:rsidRDefault="00B1463A" w:rsidP="0073675C">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lastRenderedPageBreak/>
              <w:t>Undertake annual Branch-based participatory planning, in partnership with local stakeholders, to promote more active engagement, stronger partnerships, and improved accountability and outcomes.</w:t>
            </w:r>
          </w:p>
        </w:tc>
        <w:tc>
          <w:tcPr>
            <w:tcW w:w="2151" w:type="dxa"/>
          </w:tcPr>
          <w:p w:rsidR="00B1463A" w:rsidRPr="00B1463A" w:rsidRDefault="00B1463A" w:rsidP="008A0F78">
            <w:pPr>
              <w:rPr>
                <w:rFonts w:cs="Arial"/>
                <w:sz w:val="22"/>
                <w:szCs w:val="22"/>
              </w:rPr>
            </w:pPr>
            <w:r w:rsidRPr="00B1463A">
              <w:rPr>
                <w:rFonts w:cs="Arial"/>
                <w:sz w:val="22"/>
                <w:szCs w:val="22"/>
              </w:rPr>
              <w:t>Branch/organisational capacity building</w:t>
            </w:r>
          </w:p>
          <w:p w:rsidR="00B1463A" w:rsidRPr="00B1463A" w:rsidRDefault="00B1463A" w:rsidP="008A0F78">
            <w:pPr>
              <w:spacing w:after="120"/>
              <w:rPr>
                <w:rFonts w:cs="Arial"/>
                <w:sz w:val="22"/>
                <w:szCs w:val="22"/>
              </w:rPr>
            </w:pPr>
          </w:p>
        </w:tc>
        <w:tc>
          <w:tcPr>
            <w:tcW w:w="1537" w:type="dxa"/>
            <w:tcBorders>
              <w:right w:val="single" w:sz="4" w:space="0" w:color="auto"/>
            </w:tcBorders>
            <w:shd w:val="clear" w:color="auto" w:fill="auto"/>
          </w:tcPr>
          <w:p w:rsidR="00B1463A" w:rsidRPr="00B1463A" w:rsidRDefault="00B1463A"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B1463A" w:rsidRPr="00B1463A" w:rsidRDefault="00B1463A" w:rsidP="0093412C">
            <w:pPr>
              <w:spacing w:after="120"/>
              <w:rPr>
                <w:rFonts w:cs="Arial"/>
                <w:sz w:val="22"/>
                <w:szCs w:val="22"/>
              </w:rPr>
            </w:pPr>
            <w:r w:rsidRPr="00B1463A">
              <w:rPr>
                <w:rFonts w:cs="Arial"/>
                <w:sz w:val="22"/>
                <w:szCs w:val="22"/>
              </w:rPr>
              <w:t xml:space="preserve">DFAT, </w:t>
            </w:r>
            <w:proofErr w:type="gramStart"/>
            <w:r w:rsidRPr="00B1463A">
              <w:rPr>
                <w:rFonts w:cs="Arial"/>
                <w:sz w:val="22"/>
                <w:szCs w:val="22"/>
              </w:rPr>
              <w:t>MFAT  and</w:t>
            </w:r>
            <w:proofErr w:type="gramEnd"/>
            <w:r w:rsidRPr="00B1463A">
              <w:rPr>
                <w:rFonts w:cs="Arial"/>
                <w:sz w:val="22"/>
                <w:szCs w:val="22"/>
              </w:rPr>
              <w:t xml:space="preserve"> FWCC to address this during Phase 6 design and implementation. </w:t>
            </w:r>
          </w:p>
          <w:p w:rsidR="00B1463A" w:rsidRPr="00B1463A" w:rsidRDefault="00B1463A" w:rsidP="0093412C">
            <w:pPr>
              <w:spacing w:after="120"/>
              <w:rPr>
                <w:rFonts w:cs="Arial"/>
                <w:sz w:val="22"/>
                <w:szCs w:val="22"/>
              </w:rPr>
            </w:pPr>
          </w:p>
        </w:tc>
        <w:tc>
          <w:tcPr>
            <w:tcW w:w="1583" w:type="dxa"/>
            <w:tcBorders>
              <w:left w:val="single" w:sz="4" w:space="0" w:color="auto"/>
            </w:tcBorders>
            <w:shd w:val="clear" w:color="auto" w:fill="auto"/>
          </w:tcPr>
          <w:p w:rsidR="00B1463A" w:rsidRPr="00B1463A" w:rsidRDefault="00B1463A" w:rsidP="0093412C">
            <w:pPr>
              <w:spacing w:after="120"/>
              <w:rPr>
                <w:rFonts w:cs="Arial"/>
                <w:sz w:val="22"/>
                <w:szCs w:val="22"/>
              </w:rPr>
            </w:pPr>
            <w:r w:rsidRPr="00B1463A">
              <w:rPr>
                <w:rFonts w:cs="Arial"/>
                <w:sz w:val="22"/>
                <w:szCs w:val="22"/>
              </w:rPr>
              <w:t>FWCC</w:t>
            </w:r>
          </w:p>
        </w:tc>
      </w:tr>
      <w:tr w:rsidR="00FD6011" w:rsidRPr="00B1463A" w:rsidTr="00B1463A">
        <w:trPr>
          <w:tblHeader/>
        </w:trPr>
        <w:tc>
          <w:tcPr>
            <w:tcW w:w="2832" w:type="dxa"/>
            <w:shd w:val="clear" w:color="auto" w:fill="auto"/>
          </w:tcPr>
          <w:p w:rsidR="00B1463A" w:rsidRPr="00B1463A" w:rsidRDefault="00B1463A" w:rsidP="0073675C">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 xml:space="preserve">Continue to participate, provide leadership and human rights expertise in the Fiji Inter-Agency Taskforce on the Elimination of Violence </w:t>
            </w:r>
            <w:proofErr w:type="gramStart"/>
            <w:r w:rsidRPr="00B1463A">
              <w:rPr>
                <w:rFonts w:cs="Arial"/>
                <w:sz w:val="22"/>
                <w:szCs w:val="22"/>
              </w:rPr>
              <w:t>Against</w:t>
            </w:r>
            <w:proofErr w:type="gramEnd"/>
            <w:r w:rsidRPr="00B1463A">
              <w:rPr>
                <w:rFonts w:cs="Arial"/>
                <w:sz w:val="22"/>
                <w:szCs w:val="22"/>
              </w:rPr>
              <w:t xml:space="preserve"> Women and Children and the Pacific Islands Forum Reference Group to Address Sexual and Gender Based Violence, including in the development of the Fiji national EVAW Policy and the Service Protocol for victims of violence committed against women and children.</w:t>
            </w:r>
          </w:p>
        </w:tc>
        <w:tc>
          <w:tcPr>
            <w:tcW w:w="2151" w:type="dxa"/>
          </w:tcPr>
          <w:p w:rsidR="00B1463A" w:rsidRPr="00B1463A" w:rsidRDefault="00B1463A" w:rsidP="00C716DA">
            <w:pPr>
              <w:rPr>
                <w:rFonts w:cs="Arial"/>
                <w:sz w:val="22"/>
                <w:szCs w:val="22"/>
              </w:rPr>
            </w:pPr>
            <w:r w:rsidRPr="00B1463A">
              <w:rPr>
                <w:rFonts w:cs="Arial"/>
                <w:sz w:val="22"/>
                <w:szCs w:val="22"/>
              </w:rPr>
              <w:t>Branch/organisational capacity building</w:t>
            </w:r>
          </w:p>
          <w:p w:rsidR="00B1463A" w:rsidRPr="00B1463A" w:rsidRDefault="00B1463A" w:rsidP="00C716DA">
            <w:pPr>
              <w:spacing w:after="120"/>
              <w:rPr>
                <w:rFonts w:cs="Arial"/>
                <w:sz w:val="22"/>
                <w:szCs w:val="22"/>
              </w:rPr>
            </w:pPr>
          </w:p>
        </w:tc>
        <w:tc>
          <w:tcPr>
            <w:tcW w:w="1537" w:type="dxa"/>
            <w:tcBorders>
              <w:right w:val="single" w:sz="4" w:space="0" w:color="auto"/>
            </w:tcBorders>
            <w:shd w:val="clear" w:color="auto" w:fill="auto"/>
          </w:tcPr>
          <w:p w:rsidR="00B1463A" w:rsidRPr="00B1463A" w:rsidRDefault="00B1463A"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B1463A" w:rsidRPr="00B1463A" w:rsidRDefault="00B1463A" w:rsidP="00B1463A">
            <w:pPr>
              <w:spacing w:after="120"/>
              <w:rPr>
                <w:rFonts w:cs="Arial"/>
                <w:sz w:val="22"/>
                <w:szCs w:val="22"/>
              </w:rPr>
            </w:pPr>
            <w:r w:rsidRPr="00B1463A">
              <w:rPr>
                <w:rFonts w:cs="Arial"/>
                <w:sz w:val="22"/>
                <w:szCs w:val="22"/>
              </w:rPr>
              <w:t xml:space="preserve">FWCC is already in this role. </w:t>
            </w:r>
          </w:p>
        </w:tc>
        <w:tc>
          <w:tcPr>
            <w:tcW w:w="1583" w:type="dxa"/>
            <w:tcBorders>
              <w:left w:val="single" w:sz="4" w:space="0" w:color="auto"/>
            </w:tcBorders>
            <w:shd w:val="clear" w:color="auto" w:fill="auto"/>
          </w:tcPr>
          <w:p w:rsidR="00B1463A" w:rsidRPr="00B1463A" w:rsidRDefault="00B1463A" w:rsidP="000D7E4C">
            <w:pPr>
              <w:spacing w:after="120"/>
              <w:rPr>
                <w:rFonts w:cs="Arial"/>
                <w:sz w:val="22"/>
                <w:szCs w:val="22"/>
              </w:rPr>
            </w:pPr>
            <w:r w:rsidRPr="00B1463A">
              <w:rPr>
                <w:rFonts w:cs="Arial"/>
                <w:sz w:val="22"/>
                <w:szCs w:val="22"/>
              </w:rPr>
              <w:t>FWCC</w:t>
            </w:r>
          </w:p>
        </w:tc>
      </w:tr>
      <w:tr w:rsidR="00FD6011" w:rsidRPr="00B1463A" w:rsidTr="00B1463A">
        <w:trPr>
          <w:tblHeader/>
        </w:trPr>
        <w:tc>
          <w:tcPr>
            <w:tcW w:w="2832" w:type="dxa"/>
            <w:shd w:val="clear" w:color="auto" w:fill="auto"/>
          </w:tcPr>
          <w:p w:rsidR="00B1463A" w:rsidRPr="00B1463A" w:rsidRDefault="00B1463A" w:rsidP="0073675C">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lastRenderedPageBreak/>
              <w:t>Disseminate FWCC’s major VAW prevalence study, Somebody’s Life, Everybody’s Business, more widely and develop tailored information, education and communication materials for use with specific audiences.</w:t>
            </w:r>
          </w:p>
        </w:tc>
        <w:tc>
          <w:tcPr>
            <w:tcW w:w="2151" w:type="dxa"/>
          </w:tcPr>
          <w:p w:rsidR="00B1463A" w:rsidRPr="00B1463A" w:rsidRDefault="00B1463A" w:rsidP="00C716DA">
            <w:pPr>
              <w:rPr>
                <w:rFonts w:cs="Arial"/>
                <w:sz w:val="22"/>
                <w:szCs w:val="22"/>
              </w:rPr>
            </w:pPr>
            <w:r w:rsidRPr="00B1463A">
              <w:rPr>
                <w:rFonts w:cs="Arial"/>
                <w:sz w:val="22"/>
                <w:szCs w:val="22"/>
              </w:rPr>
              <w:t>Branch/organisational capacity building</w:t>
            </w:r>
          </w:p>
          <w:p w:rsidR="00B1463A" w:rsidRPr="00B1463A" w:rsidRDefault="00B1463A" w:rsidP="00C716DA">
            <w:pPr>
              <w:spacing w:after="120"/>
              <w:rPr>
                <w:rFonts w:cs="Arial"/>
                <w:sz w:val="22"/>
                <w:szCs w:val="22"/>
              </w:rPr>
            </w:pPr>
          </w:p>
        </w:tc>
        <w:tc>
          <w:tcPr>
            <w:tcW w:w="1537" w:type="dxa"/>
            <w:tcBorders>
              <w:right w:val="single" w:sz="4" w:space="0" w:color="auto"/>
            </w:tcBorders>
            <w:shd w:val="clear" w:color="auto" w:fill="auto"/>
          </w:tcPr>
          <w:p w:rsidR="00B1463A" w:rsidRPr="00B1463A" w:rsidRDefault="00B1463A"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B1463A" w:rsidRPr="00B1463A" w:rsidRDefault="00B1463A" w:rsidP="0093412C">
            <w:pPr>
              <w:spacing w:after="120"/>
              <w:rPr>
                <w:rFonts w:cs="Arial"/>
                <w:sz w:val="22"/>
                <w:szCs w:val="22"/>
              </w:rPr>
            </w:pPr>
            <w:proofErr w:type="gramStart"/>
            <w:r w:rsidRPr="00B1463A">
              <w:rPr>
                <w:rFonts w:cs="Arial"/>
                <w:sz w:val="22"/>
                <w:szCs w:val="22"/>
              </w:rPr>
              <w:t>DFAT  and</w:t>
            </w:r>
            <w:proofErr w:type="gramEnd"/>
            <w:r w:rsidRPr="00B1463A">
              <w:rPr>
                <w:rFonts w:cs="Arial"/>
                <w:sz w:val="22"/>
                <w:szCs w:val="22"/>
              </w:rPr>
              <w:t xml:space="preserve"> FWCC to address this during Phase 6 design and implementation. FWCC needs to prepare target audience briefs and other relevant communications and training materials. </w:t>
            </w:r>
          </w:p>
          <w:p w:rsidR="00B1463A" w:rsidRPr="00B1463A" w:rsidRDefault="00B1463A" w:rsidP="0093412C">
            <w:pPr>
              <w:spacing w:after="120"/>
              <w:rPr>
                <w:rFonts w:cs="Arial"/>
                <w:sz w:val="22"/>
                <w:szCs w:val="22"/>
              </w:rPr>
            </w:pPr>
          </w:p>
        </w:tc>
        <w:tc>
          <w:tcPr>
            <w:tcW w:w="1583" w:type="dxa"/>
            <w:tcBorders>
              <w:left w:val="single" w:sz="4" w:space="0" w:color="auto"/>
            </w:tcBorders>
            <w:shd w:val="clear" w:color="auto" w:fill="auto"/>
          </w:tcPr>
          <w:p w:rsidR="00B1463A" w:rsidRPr="00B1463A" w:rsidRDefault="00B1463A" w:rsidP="0093412C">
            <w:pPr>
              <w:spacing w:after="120"/>
              <w:rPr>
                <w:rFonts w:cs="Arial"/>
                <w:sz w:val="22"/>
                <w:szCs w:val="22"/>
              </w:rPr>
            </w:pPr>
            <w:r w:rsidRPr="00B1463A">
              <w:rPr>
                <w:rFonts w:cs="Arial"/>
                <w:sz w:val="22"/>
                <w:szCs w:val="22"/>
              </w:rPr>
              <w:t>FWCC</w:t>
            </w:r>
          </w:p>
        </w:tc>
      </w:tr>
      <w:tr w:rsidR="00FD6011" w:rsidRPr="00B1463A" w:rsidTr="00B1463A">
        <w:trPr>
          <w:tblHeader/>
        </w:trPr>
        <w:tc>
          <w:tcPr>
            <w:tcW w:w="2832" w:type="dxa"/>
            <w:shd w:val="clear" w:color="auto" w:fill="auto"/>
          </w:tcPr>
          <w:p w:rsidR="00B1463A" w:rsidRPr="00B1463A" w:rsidRDefault="00B1463A" w:rsidP="008A0F78">
            <w:pPr>
              <w:pStyle w:val="ListParagraph"/>
              <w:numPr>
                <w:ilvl w:val="0"/>
                <w:numId w:val="20"/>
              </w:numPr>
              <w:spacing w:before="0" w:after="120"/>
              <w:ind w:left="284" w:hanging="284"/>
              <w:contextualSpacing w:val="0"/>
              <w:jc w:val="both"/>
              <w:rPr>
                <w:rFonts w:cs="Arial"/>
                <w:sz w:val="22"/>
                <w:szCs w:val="22"/>
              </w:rPr>
            </w:pPr>
            <w:r w:rsidRPr="00B1463A">
              <w:rPr>
                <w:rFonts w:cs="Arial"/>
                <w:sz w:val="22"/>
                <w:szCs w:val="22"/>
              </w:rPr>
              <w:t xml:space="preserve"> Harmonise FWCC’s M&amp;E system so that it better links data on outputs to progress toward intended outcomes and impact.  Ensure that the system is user-friendly and designed to routinely provide robust information to Project Officers and senior managers on issues of strategic relevance and learning, and agreed standards of achievement of program outcomes. </w:t>
            </w:r>
          </w:p>
        </w:tc>
        <w:tc>
          <w:tcPr>
            <w:tcW w:w="2151" w:type="dxa"/>
          </w:tcPr>
          <w:p w:rsidR="00B1463A" w:rsidRPr="00B1463A" w:rsidRDefault="00B1463A" w:rsidP="008A0F78">
            <w:pPr>
              <w:rPr>
                <w:rFonts w:cs="Arial"/>
                <w:sz w:val="22"/>
                <w:szCs w:val="22"/>
              </w:rPr>
            </w:pPr>
            <w:r w:rsidRPr="00B1463A">
              <w:rPr>
                <w:rFonts w:cs="Arial"/>
                <w:sz w:val="22"/>
                <w:szCs w:val="22"/>
              </w:rPr>
              <w:t>Branch/organisational capacity building</w:t>
            </w:r>
          </w:p>
          <w:p w:rsidR="00B1463A" w:rsidRPr="00B1463A" w:rsidRDefault="00B1463A" w:rsidP="00C716DA">
            <w:pPr>
              <w:rPr>
                <w:rFonts w:cs="Arial"/>
                <w:sz w:val="22"/>
                <w:szCs w:val="22"/>
              </w:rPr>
            </w:pPr>
          </w:p>
        </w:tc>
        <w:tc>
          <w:tcPr>
            <w:tcW w:w="1537" w:type="dxa"/>
            <w:tcBorders>
              <w:right w:val="single" w:sz="4" w:space="0" w:color="auto"/>
            </w:tcBorders>
            <w:shd w:val="clear" w:color="auto" w:fill="auto"/>
          </w:tcPr>
          <w:p w:rsidR="00B1463A" w:rsidRPr="00B1463A" w:rsidRDefault="00B1463A" w:rsidP="00637CEC">
            <w:pPr>
              <w:spacing w:after="120"/>
              <w:rPr>
                <w:rFonts w:cs="Arial"/>
                <w:sz w:val="22"/>
                <w:szCs w:val="22"/>
              </w:rPr>
            </w:pPr>
            <w:r w:rsidRPr="00B1463A">
              <w:rPr>
                <w:rFonts w:cs="Arial"/>
                <w:sz w:val="22"/>
                <w:szCs w:val="22"/>
              </w:rPr>
              <w:t>Agree</w:t>
            </w:r>
          </w:p>
        </w:tc>
        <w:tc>
          <w:tcPr>
            <w:tcW w:w="1751" w:type="dxa"/>
            <w:tcBorders>
              <w:left w:val="single" w:sz="4" w:space="0" w:color="auto"/>
            </w:tcBorders>
            <w:shd w:val="clear" w:color="auto" w:fill="auto"/>
          </w:tcPr>
          <w:p w:rsidR="00B1463A" w:rsidRPr="00B1463A" w:rsidRDefault="00B1463A" w:rsidP="0093412C">
            <w:pPr>
              <w:spacing w:after="120"/>
              <w:rPr>
                <w:rFonts w:cs="Arial"/>
                <w:sz w:val="22"/>
                <w:szCs w:val="22"/>
              </w:rPr>
            </w:pPr>
            <w:r w:rsidRPr="00B1463A">
              <w:rPr>
                <w:rFonts w:cs="Arial"/>
                <w:sz w:val="22"/>
                <w:szCs w:val="22"/>
              </w:rPr>
              <w:t xml:space="preserve">DFAT, MFAT and FWCC to address this during Phase 6 design and implementation. </w:t>
            </w:r>
          </w:p>
          <w:p w:rsidR="00B1463A" w:rsidRPr="00B1463A" w:rsidRDefault="00B1463A" w:rsidP="0093412C">
            <w:pPr>
              <w:spacing w:after="120"/>
              <w:rPr>
                <w:rFonts w:cs="Arial"/>
                <w:sz w:val="22"/>
                <w:szCs w:val="22"/>
              </w:rPr>
            </w:pPr>
          </w:p>
        </w:tc>
        <w:tc>
          <w:tcPr>
            <w:tcW w:w="1583" w:type="dxa"/>
            <w:tcBorders>
              <w:left w:val="single" w:sz="4" w:space="0" w:color="auto"/>
            </w:tcBorders>
            <w:shd w:val="clear" w:color="auto" w:fill="auto"/>
          </w:tcPr>
          <w:p w:rsidR="00B1463A" w:rsidRPr="00B1463A" w:rsidRDefault="00B1463A" w:rsidP="0093412C">
            <w:pPr>
              <w:spacing w:after="120"/>
              <w:rPr>
                <w:rFonts w:cs="Arial"/>
                <w:sz w:val="22"/>
                <w:szCs w:val="22"/>
              </w:rPr>
            </w:pPr>
            <w:r w:rsidRPr="00B1463A">
              <w:rPr>
                <w:rFonts w:cs="Arial"/>
                <w:sz w:val="22"/>
                <w:szCs w:val="22"/>
              </w:rPr>
              <w:t>FWCC</w:t>
            </w:r>
          </w:p>
        </w:tc>
      </w:tr>
    </w:tbl>
    <w:p w:rsidR="00913F5E" w:rsidRPr="00B1463A" w:rsidRDefault="00913F5E" w:rsidP="00C657FB">
      <w:pPr>
        <w:pStyle w:val="Heading2"/>
        <w:rPr>
          <w:sz w:val="22"/>
        </w:rPr>
      </w:pPr>
    </w:p>
    <w:sectPr w:rsidR="00913F5E" w:rsidRPr="00B1463A" w:rsidSect="00054700">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DA" w:rsidRDefault="00FA6DDA">
      <w:pPr>
        <w:pStyle w:val="Table-list-number"/>
      </w:pPr>
      <w:r>
        <w:separator/>
      </w:r>
    </w:p>
  </w:endnote>
  <w:endnote w:type="continuationSeparator" w:id="0">
    <w:p w:rsidR="00FA6DDA" w:rsidRDefault="00FA6DDA">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BC" w:rsidRDefault="001F34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DA" w:rsidRPr="00AE52D5" w:rsidRDefault="00C716DA" w:rsidP="00AE52D5">
    <w:pPr>
      <w:pStyle w:val="Footer"/>
      <w:pBdr>
        <w:top w:val="single" w:sz="4" w:space="7" w:color="333333"/>
      </w:pBdr>
      <w:tabs>
        <w:tab w:val="clear" w:pos="4153"/>
        <w:tab w:val="clear" w:pos="8306"/>
        <w:tab w:val="right" w:pos="9639"/>
      </w:tabs>
      <w:rPr>
        <w:rStyle w:val="PageNumber"/>
      </w:rPr>
    </w:pPr>
    <w:r>
      <w:t>Tool: Management Response Template</w:t>
    </w:r>
    <w:r w:rsidRPr="00AE52D5">
      <w:t xml:space="preserve"> (registered # </w:t>
    </w:r>
    <w:r>
      <w:t>158</w:t>
    </w:r>
    <w:r w:rsidRPr="00AE52D5">
      <w:t>)</w:t>
    </w: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1F34BC">
      <w:rPr>
        <w:rStyle w:val="PageNumber"/>
        <w:noProof/>
      </w:rPr>
      <w:t>1</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1F34BC">
      <w:rPr>
        <w:rStyle w:val="PageNumber"/>
        <w:noProof/>
      </w:rPr>
      <w:t>13</w:t>
    </w:r>
    <w:r w:rsidRPr="00AE52D5">
      <w:rPr>
        <w:rStyle w:val="PageNumber"/>
      </w:rPr>
      <w:fldChar w:fldCharType="end"/>
    </w:r>
  </w:p>
  <w:p w:rsidR="00C716DA" w:rsidRPr="00AE52D5" w:rsidRDefault="00C716DA" w:rsidP="00AE52D5">
    <w:pPr>
      <w:pStyle w:val="Footer"/>
      <w:pBdr>
        <w:top w:val="single" w:sz="4" w:space="7" w:color="333333"/>
      </w:pBdr>
      <w:tabs>
        <w:tab w:val="clear" w:pos="4153"/>
        <w:tab w:val="clear" w:pos="8306"/>
        <w:tab w:val="right" w:pos="9639"/>
      </w:tabs>
    </w:pPr>
    <w:r w:rsidRPr="00AE52D5">
      <w:t xml:space="preserve">Effective from </w:t>
    </w:r>
    <w:r>
      <w:t>December 2012</w:t>
    </w:r>
    <w:r w:rsidRPr="00AE52D5">
      <w:tab/>
    </w:r>
    <w:r w:rsidRPr="00AE52D5">
      <w:rPr>
        <w:rStyle w:val="PageNumber"/>
      </w:rPr>
      <w:t>UNCLASSIFIED</w:t>
    </w:r>
  </w:p>
  <w:p w:rsidR="00C716DA" w:rsidRPr="000815FC" w:rsidRDefault="00C716DA" w:rsidP="00887304">
    <w:pPr>
      <w:pStyle w:val="Footer"/>
      <w:pBdr>
        <w:top w:val="single" w:sz="4" w:space="8" w:color="999999"/>
      </w:pBdr>
      <w:tabs>
        <w:tab w:val="clear" w:pos="4153"/>
        <w:tab w:val="clear" w:pos="8306"/>
        <w:tab w:val="right" w:pos="9639"/>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BC" w:rsidRDefault="001F3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DA" w:rsidRDefault="00FA6DDA">
      <w:pPr>
        <w:pStyle w:val="Table-list-number"/>
      </w:pPr>
      <w:r>
        <w:separator/>
      </w:r>
    </w:p>
  </w:footnote>
  <w:footnote w:type="continuationSeparator" w:id="0">
    <w:p w:rsidR="00FA6DDA" w:rsidRDefault="00FA6DDA">
      <w:pPr>
        <w:pStyle w:val="Table-list-number"/>
      </w:pPr>
      <w:r>
        <w:continuationSeparator/>
      </w:r>
    </w:p>
  </w:footnote>
  <w:footnote w:id="1">
    <w:p w:rsidR="00C716DA" w:rsidRPr="00721C1B" w:rsidRDefault="00C716DA" w:rsidP="00D618D5">
      <w:pPr>
        <w:pStyle w:val="FootnoteText"/>
        <w:rPr>
          <w:lang w:val="en-US"/>
        </w:rPr>
      </w:pPr>
      <w:r w:rsidRPr="00721C1B">
        <w:rPr>
          <w:rStyle w:val="FootnoteReference"/>
        </w:rPr>
        <w:footnoteRef/>
      </w:r>
      <w:r w:rsidRPr="00721C1B">
        <w:t xml:space="preserve"> FWCC served as </w:t>
      </w:r>
      <w:r w:rsidRPr="00721C1B">
        <w:rPr>
          <w:rFonts w:cs="Arial"/>
          <w:lang w:val="en-AU" w:eastAsia="ja-JP"/>
        </w:rPr>
        <w:t>an intermediary organisation that managed and channelled (DFAT) funds on behalf of two partner organisations (VWC from 2002 – 2012, and Tonga WCCC in Tonga from 2014 – present).</w:t>
      </w:r>
    </w:p>
  </w:footnote>
  <w:footnote w:id="2">
    <w:p w:rsidR="00C03530" w:rsidRPr="007306FA" w:rsidRDefault="00C03530">
      <w:pPr>
        <w:pStyle w:val="FootnoteText"/>
        <w:rPr>
          <w:lang w:val="en-AU"/>
        </w:rPr>
      </w:pPr>
      <w:r>
        <w:rPr>
          <w:rStyle w:val="FootnoteReference"/>
        </w:rPr>
        <w:footnoteRef/>
      </w:r>
      <w:r>
        <w:t xml:space="preserve"> Ms Finucane participated in </w:t>
      </w:r>
      <w:r w:rsidRPr="009B0F54">
        <w:rPr>
          <w:rFonts w:cs="Arial"/>
          <w:szCs w:val="16"/>
        </w:rPr>
        <w:t>the field visits to Fiji and Tonga</w:t>
      </w:r>
      <w:r>
        <w:rPr>
          <w:rFonts w:cs="Arial"/>
          <w:szCs w:val="16"/>
        </w:rPr>
        <w:t xml:space="preserve"> and provided inputs to the draft report. T</w:t>
      </w:r>
      <w:r w:rsidRPr="009B0F54">
        <w:rPr>
          <w:rFonts w:cs="Arial"/>
          <w:szCs w:val="16"/>
        </w:rPr>
        <w:t>he Team Leader complete</w:t>
      </w:r>
      <w:r>
        <w:rPr>
          <w:rFonts w:cs="Arial"/>
          <w:szCs w:val="16"/>
        </w:rPr>
        <w:t xml:space="preserve">d the </w:t>
      </w:r>
      <w:r w:rsidRPr="009B0F54">
        <w:rPr>
          <w:rFonts w:cs="Arial"/>
          <w:szCs w:val="16"/>
        </w:rPr>
        <w:t>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BC" w:rsidRDefault="001F3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DA" w:rsidRPr="00077243" w:rsidRDefault="00C716DA" w:rsidP="00077243">
    <w:pPr>
      <w:pStyle w:val="Header"/>
      <w:jc w:val="center"/>
      <w:rPr>
        <w:caps/>
      </w:rPr>
    </w:pPr>
    <w:r w:rsidRPr="00077243">
      <w:rPr>
        <w:caps/>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4BC" w:rsidRDefault="001F3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20C"/>
    <w:multiLevelType w:val="multilevel"/>
    <w:tmpl w:val="568CB5F8"/>
    <w:lvl w:ilvl="0">
      <w:start w:val="1"/>
      <w:numFmt w:val="decimal"/>
      <w:lvlText w:val="R.%1"/>
      <w:lvlJc w:val="left"/>
      <w:pPr>
        <w:ind w:left="360" w:hanging="360"/>
      </w:pPr>
      <w:rPr>
        <w:rFonts w:hint="default"/>
        <w:b/>
        <w:i w:val="0"/>
        <w:color w:val="1F497D" w:themeColor="text2"/>
      </w:rPr>
    </w:lvl>
    <w:lvl w:ilvl="1">
      <w:start w:val="1"/>
      <w:numFmt w:val="lowerLetter"/>
      <w:lvlText w:val="%1%2."/>
      <w:lvlJc w:val="left"/>
      <w:pPr>
        <w:ind w:left="1080" w:hanging="360"/>
      </w:pPr>
      <w:rPr>
        <w:rFonts w:hint="default"/>
        <w:b/>
        <w:i w:val="0"/>
        <w:color w:val="548DD4" w:themeColor="text2" w:themeTint="99"/>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F74D6"/>
    <w:multiLevelType w:val="hybridMultilevel"/>
    <w:tmpl w:val="7242E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2251C5"/>
    <w:multiLevelType w:val="hybridMultilevel"/>
    <w:tmpl w:val="7D047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6E572D1"/>
    <w:multiLevelType w:val="hybridMultilevel"/>
    <w:tmpl w:val="2B1EA956"/>
    <w:lvl w:ilvl="0" w:tplc="25882F10">
      <w:start w:val="5"/>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71D6913"/>
    <w:multiLevelType w:val="multilevel"/>
    <w:tmpl w:val="568CB5F8"/>
    <w:lvl w:ilvl="0">
      <w:start w:val="1"/>
      <w:numFmt w:val="decimal"/>
      <w:lvlText w:val="R.%1"/>
      <w:lvlJc w:val="left"/>
      <w:pPr>
        <w:ind w:left="360" w:hanging="360"/>
      </w:pPr>
      <w:rPr>
        <w:rFonts w:hint="default"/>
        <w:b/>
        <w:i w:val="0"/>
        <w:color w:val="1F497D" w:themeColor="text2"/>
      </w:rPr>
    </w:lvl>
    <w:lvl w:ilvl="1">
      <w:start w:val="1"/>
      <w:numFmt w:val="lowerLetter"/>
      <w:lvlText w:val="%1%2."/>
      <w:lvlJc w:val="left"/>
      <w:pPr>
        <w:ind w:left="1080" w:hanging="360"/>
      </w:pPr>
      <w:rPr>
        <w:rFonts w:hint="default"/>
        <w:b/>
        <w:i w:val="0"/>
        <w:color w:val="548DD4" w:themeColor="text2" w:themeTint="99"/>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1A8638BC"/>
    <w:multiLevelType w:val="hybridMultilevel"/>
    <w:tmpl w:val="86BC5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C24499"/>
    <w:multiLevelType w:val="hybridMultilevel"/>
    <w:tmpl w:val="D3BE9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2B9362C3"/>
    <w:multiLevelType w:val="hybridMultilevel"/>
    <w:tmpl w:val="54FA67C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1A134E3"/>
    <w:multiLevelType w:val="multilevel"/>
    <w:tmpl w:val="568CB5F8"/>
    <w:lvl w:ilvl="0">
      <w:start w:val="1"/>
      <w:numFmt w:val="decimal"/>
      <w:lvlText w:val="R.%1"/>
      <w:lvlJc w:val="left"/>
      <w:pPr>
        <w:ind w:left="360" w:hanging="360"/>
      </w:pPr>
      <w:rPr>
        <w:rFonts w:hint="default"/>
        <w:b/>
        <w:i w:val="0"/>
        <w:color w:val="1F497D" w:themeColor="text2"/>
      </w:rPr>
    </w:lvl>
    <w:lvl w:ilvl="1">
      <w:start w:val="1"/>
      <w:numFmt w:val="lowerLetter"/>
      <w:lvlText w:val="%1%2."/>
      <w:lvlJc w:val="left"/>
      <w:pPr>
        <w:ind w:left="1080" w:hanging="360"/>
      </w:pPr>
      <w:rPr>
        <w:rFonts w:hint="default"/>
        <w:b/>
        <w:i w:val="0"/>
        <w:color w:val="548DD4" w:themeColor="text2" w:themeTint="99"/>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414F4774"/>
    <w:multiLevelType w:val="hybridMultilevel"/>
    <w:tmpl w:val="EAE60602"/>
    <w:lvl w:ilvl="0" w:tplc="2BEC50B8">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4CA10BC8"/>
    <w:multiLevelType w:val="hybridMultilevel"/>
    <w:tmpl w:val="BB10E19A"/>
    <w:lvl w:ilvl="0" w:tplc="0809000F">
      <w:start w:val="1"/>
      <w:numFmt w:val="decimal"/>
      <w:lvlText w:val="%1."/>
      <w:lvlJc w:val="left"/>
      <w:pPr>
        <w:ind w:left="720" w:hanging="360"/>
      </w:pPr>
    </w:lvl>
    <w:lvl w:ilvl="1" w:tplc="8174E5A4">
      <w:start w:val="1"/>
      <w:numFmt w:val="lowerLetter"/>
      <w:lvlText w:val="%2."/>
      <w:lvlJc w:val="left"/>
      <w:pPr>
        <w:ind w:left="1440" w:hanging="360"/>
      </w:pPr>
      <w:rPr>
        <w:rFonts w:hint="default"/>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A411C3"/>
    <w:multiLevelType w:val="hybridMultilevel"/>
    <w:tmpl w:val="52DE925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41B3406"/>
    <w:multiLevelType w:val="multilevel"/>
    <w:tmpl w:val="568CB5F8"/>
    <w:lvl w:ilvl="0">
      <w:start w:val="1"/>
      <w:numFmt w:val="decimal"/>
      <w:lvlText w:val="R.%1"/>
      <w:lvlJc w:val="left"/>
      <w:pPr>
        <w:ind w:left="360" w:hanging="360"/>
      </w:pPr>
      <w:rPr>
        <w:rFonts w:hint="default"/>
        <w:b/>
        <w:i w:val="0"/>
        <w:color w:val="1F497D" w:themeColor="text2"/>
      </w:rPr>
    </w:lvl>
    <w:lvl w:ilvl="1">
      <w:start w:val="1"/>
      <w:numFmt w:val="lowerLetter"/>
      <w:lvlText w:val="%1%2."/>
      <w:lvlJc w:val="left"/>
      <w:pPr>
        <w:ind w:left="1080" w:hanging="360"/>
      </w:pPr>
      <w:rPr>
        <w:rFonts w:hint="default"/>
        <w:b/>
        <w:i w:val="0"/>
        <w:color w:val="548DD4" w:themeColor="text2" w:themeTint="99"/>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6ACD07EE"/>
    <w:multiLevelType w:val="hybridMultilevel"/>
    <w:tmpl w:val="CAF0DFF0"/>
    <w:lvl w:ilvl="0" w:tplc="2BEC50B8">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03040F2"/>
    <w:multiLevelType w:val="hybridMultilevel"/>
    <w:tmpl w:val="4164177E"/>
    <w:lvl w:ilvl="0" w:tplc="2BEC50B8">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20">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8C03415"/>
    <w:multiLevelType w:val="multilevel"/>
    <w:tmpl w:val="48D6B33C"/>
    <w:lvl w:ilvl="0">
      <w:start w:val="1"/>
      <w:numFmt w:val="decimal"/>
      <w:pStyle w:val="Heading1outlinenum"/>
      <w:lvlText w:val="%1."/>
      <w:lvlJc w:val="left"/>
      <w:pPr>
        <w:tabs>
          <w:tab w:val="num" w:pos="567"/>
        </w:tabs>
        <w:ind w:left="567" w:hanging="567"/>
      </w:pPr>
      <w:rPr>
        <w:rFonts w:hint="default"/>
      </w:rPr>
    </w:lvl>
    <w:lvl w:ilvl="1">
      <w:start w:val="1"/>
      <w:numFmt w:val="decimal"/>
      <w:pStyle w:val="Heading2outlinenum"/>
      <w:lvlText w:val="%1.%2"/>
      <w:lvlJc w:val="left"/>
      <w:pPr>
        <w:tabs>
          <w:tab w:val="num" w:pos="567"/>
        </w:tabs>
        <w:ind w:left="567" w:hanging="567"/>
      </w:pPr>
      <w:rPr>
        <w:rFonts w:hint="default"/>
      </w:rPr>
    </w:lvl>
    <w:lvl w:ilvl="2">
      <w:start w:val="1"/>
      <w:numFmt w:val="decimal"/>
      <w:pStyle w:val="Heading3outlinenum"/>
      <w:lvlText w:val="%1.%2.%3"/>
      <w:lvlJc w:val="left"/>
      <w:pPr>
        <w:tabs>
          <w:tab w:val="num" w:pos="680"/>
        </w:tabs>
        <w:ind w:left="680" w:hanging="680"/>
      </w:pPr>
      <w:rPr>
        <w:rFonts w:ascii="Arial" w:hAnsi="Arial" w:hint="default"/>
        <w:b/>
        <w:i/>
        <w:sz w:val="22"/>
        <w:szCs w:val="18"/>
      </w:rPr>
    </w:lvl>
    <w:lvl w:ilvl="3">
      <w:start w:val="1"/>
      <w:numFmt w:val="lowerLetter"/>
      <w:lvlText w:val="%4."/>
      <w:lvlJc w:val="left"/>
      <w:pPr>
        <w:tabs>
          <w:tab w:val="num" w:pos="794"/>
        </w:tabs>
        <w:ind w:left="794" w:hanging="284"/>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22">
    <w:nsid w:val="7AF43F1F"/>
    <w:multiLevelType w:val="multilevel"/>
    <w:tmpl w:val="DD56CD24"/>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B8F6969"/>
    <w:multiLevelType w:val="hybridMultilevel"/>
    <w:tmpl w:val="67744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7CCE4871"/>
    <w:multiLevelType w:val="hybridMultilevel"/>
    <w:tmpl w:val="15B4F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FF52DA7"/>
    <w:multiLevelType w:val="hybridMultilevel"/>
    <w:tmpl w:val="D188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19"/>
  </w:num>
  <w:num w:numId="5">
    <w:abstractNumId w:val="20"/>
  </w:num>
  <w:num w:numId="6">
    <w:abstractNumId w:val="1"/>
  </w:num>
  <w:num w:numId="7">
    <w:abstractNumId w:val="24"/>
  </w:num>
  <w:num w:numId="8">
    <w:abstractNumId w:val="16"/>
  </w:num>
  <w:num w:numId="9">
    <w:abstractNumId w:val="9"/>
  </w:num>
  <w:num w:numId="10">
    <w:abstractNumId w:val="11"/>
  </w:num>
  <w:num w:numId="11">
    <w:abstractNumId w:val="7"/>
  </w:num>
  <w:num w:numId="12">
    <w:abstractNumId w:val="23"/>
  </w:num>
  <w:num w:numId="13">
    <w:abstractNumId w:val="5"/>
  </w:num>
  <w:num w:numId="14">
    <w:abstractNumId w:val="0"/>
  </w:num>
  <w:num w:numId="15">
    <w:abstractNumId w:val="22"/>
  </w:num>
  <w:num w:numId="16">
    <w:abstractNumId w:val="14"/>
  </w:num>
  <w:num w:numId="17">
    <w:abstractNumId w:val="25"/>
  </w:num>
  <w:num w:numId="18">
    <w:abstractNumId w:val="6"/>
  </w:num>
  <w:num w:numId="19">
    <w:abstractNumId w:val="21"/>
  </w:num>
  <w:num w:numId="20">
    <w:abstractNumId w:val="15"/>
  </w:num>
  <w:num w:numId="21">
    <w:abstractNumId w:val="2"/>
  </w:num>
  <w:num w:numId="22">
    <w:abstractNumId w:val="3"/>
  </w:num>
  <w:num w:numId="23">
    <w:abstractNumId w:val="4"/>
  </w:num>
  <w:num w:numId="24">
    <w:abstractNumId w:val="18"/>
  </w:num>
  <w:num w:numId="25">
    <w:abstractNumId w:val="17"/>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5"/>
    <w:rsid w:val="00012070"/>
    <w:rsid w:val="00012E96"/>
    <w:rsid w:val="000135D5"/>
    <w:rsid w:val="00015371"/>
    <w:rsid w:val="000163BD"/>
    <w:rsid w:val="000272E0"/>
    <w:rsid w:val="00031779"/>
    <w:rsid w:val="00031C25"/>
    <w:rsid w:val="000412DD"/>
    <w:rsid w:val="0004440F"/>
    <w:rsid w:val="00052316"/>
    <w:rsid w:val="00054700"/>
    <w:rsid w:val="000618F7"/>
    <w:rsid w:val="00061E12"/>
    <w:rsid w:val="00067C95"/>
    <w:rsid w:val="00070FDD"/>
    <w:rsid w:val="0007162A"/>
    <w:rsid w:val="000719A9"/>
    <w:rsid w:val="00071CEC"/>
    <w:rsid w:val="000728D3"/>
    <w:rsid w:val="000733A7"/>
    <w:rsid w:val="00074DFB"/>
    <w:rsid w:val="000765F5"/>
    <w:rsid w:val="00077243"/>
    <w:rsid w:val="000815FC"/>
    <w:rsid w:val="000869CE"/>
    <w:rsid w:val="00087896"/>
    <w:rsid w:val="00091B4B"/>
    <w:rsid w:val="00094CE2"/>
    <w:rsid w:val="000A77DB"/>
    <w:rsid w:val="000B520A"/>
    <w:rsid w:val="000B6F8D"/>
    <w:rsid w:val="000B7A77"/>
    <w:rsid w:val="000B7AFD"/>
    <w:rsid w:val="000C4574"/>
    <w:rsid w:val="000D316D"/>
    <w:rsid w:val="000D38AE"/>
    <w:rsid w:val="000D4C87"/>
    <w:rsid w:val="000D7E4C"/>
    <w:rsid w:val="000E1475"/>
    <w:rsid w:val="000E1958"/>
    <w:rsid w:val="000E4632"/>
    <w:rsid w:val="000F3A0C"/>
    <w:rsid w:val="000F51D5"/>
    <w:rsid w:val="000F5FF5"/>
    <w:rsid w:val="0010006D"/>
    <w:rsid w:val="00102362"/>
    <w:rsid w:val="00104963"/>
    <w:rsid w:val="00106DE1"/>
    <w:rsid w:val="001077BF"/>
    <w:rsid w:val="00110F69"/>
    <w:rsid w:val="00113C84"/>
    <w:rsid w:val="00113CFA"/>
    <w:rsid w:val="00116D39"/>
    <w:rsid w:val="00121F43"/>
    <w:rsid w:val="001236CF"/>
    <w:rsid w:val="00123C3E"/>
    <w:rsid w:val="0012582F"/>
    <w:rsid w:val="001277C1"/>
    <w:rsid w:val="001317A8"/>
    <w:rsid w:val="00134B6C"/>
    <w:rsid w:val="001378B7"/>
    <w:rsid w:val="00137EE5"/>
    <w:rsid w:val="00140289"/>
    <w:rsid w:val="00143347"/>
    <w:rsid w:val="00143397"/>
    <w:rsid w:val="00144AF1"/>
    <w:rsid w:val="001461C8"/>
    <w:rsid w:val="001467C6"/>
    <w:rsid w:val="00147779"/>
    <w:rsid w:val="001504AB"/>
    <w:rsid w:val="00151891"/>
    <w:rsid w:val="00151932"/>
    <w:rsid w:val="00152487"/>
    <w:rsid w:val="00153F2A"/>
    <w:rsid w:val="001549A4"/>
    <w:rsid w:val="001614B0"/>
    <w:rsid w:val="0016457C"/>
    <w:rsid w:val="00164E73"/>
    <w:rsid w:val="001654BD"/>
    <w:rsid w:val="00173632"/>
    <w:rsid w:val="00175FFC"/>
    <w:rsid w:val="0017745D"/>
    <w:rsid w:val="00177AC0"/>
    <w:rsid w:val="00184728"/>
    <w:rsid w:val="00187216"/>
    <w:rsid w:val="001874BC"/>
    <w:rsid w:val="001917F6"/>
    <w:rsid w:val="001A0330"/>
    <w:rsid w:val="001B1EE4"/>
    <w:rsid w:val="001B5DEE"/>
    <w:rsid w:val="001C59C6"/>
    <w:rsid w:val="001D62EE"/>
    <w:rsid w:val="001D6315"/>
    <w:rsid w:val="001D7353"/>
    <w:rsid w:val="001E01DA"/>
    <w:rsid w:val="001E3D24"/>
    <w:rsid w:val="001E4372"/>
    <w:rsid w:val="001E4FCC"/>
    <w:rsid w:val="001F29FB"/>
    <w:rsid w:val="001F34BC"/>
    <w:rsid w:val="001F548E"/>
    <w:rsid w:val="001F5865"/>
    <w:rsid w:val="00201759"/>
    <w:rsid w:val="00206132"/>
    <w:rsid w:val="00206373"/>
    <w:rsid w:val="00214F7F"/>
    <w:rsid w:val="00221D53"/>
    <w:rsid w:val="0022296C"/>
    <w:rsid w:val="00223581"/>
    <w:rsid w:val="00227846"/>
    <w:rsid w:val="00232239"/>
    <w:rsid w:val="002425E0"/>
    <w:rsid w:val="00245265"/>
    <w:rsid w:val="00250414"/>
    <w:rsid w:val="00250CB9"/>
    <w:rsid w:val="002524DA"/>
    <w:rsid w:val="002546B7"/>
    <w:rsid w:val="002548C7"/>
    <w:rsid w:val="00255DF0"/>
    <w:rsid w:val="00264366"/>
    <w:rsid w:val="00273308"/>
    <w:rsid w:val="002767F9"/>
    <w:rsid w:val="00276F45"/>
    <w:rsid w:val="00280F0E"/>
    <w:rsid w:val="002824B7"/>
    <w:rsid w:val="002839B9"/>
    <w:rsid w:val="0029717D"/>
    <w:rsid w:val="002B16DD"/>
    <w:rsid w:val="002B2279"/>
    <w:rsid w:val="002B2BA6"/>
    <w:rsid w:val="002B5216"/>
    <w:rsid w:val="002C45EB"/>
    <w:rsid w:val="002D1173"/>
    <w:rsid w:val="002D4C96"/>
    <w:rsid w:val="002D7E38"/>
    <w:rsid w:val="002E0EA2"/>
    <w:rsid w:val="002E7065"/>
    <w:rsid w:val="002E7A09"/>
    <w:rsid w:val="002F001E"/>
    <w:rsid w:val="002F13CD"/>
    <w:rsid w:val="002F1EE8"/>
    <w:rsid w:val="002F3803"/>
    <w:rsid w:val="0030264B"/>
    <w:rsid w:val="00304338"/>
    <w:rsid w:val="00310523"/>
    <w:rsid w:val="00310FA6"/>
    <w:rsid w:val="00312C88"/>
    <w:rsid w:val="003169B5"/>
    <w:rsid w:val="0032045D"/>
    <w:rsid w:val="00326D2A"/>
    <w:rsid w:val="00334E51"/>
    <w:rsid w:val="00337381"/>
    <w:rsid w:val="003374CA"/>
    <w:rsid w:val="00341654"/>
    <w:rsid w:val="00342870"/>
    <w:rsid w:val="00345F77"/>
    <w:rsid w:val="00350917"/>
    <w:rsid w:val="0035724B"/>
    <w:rsid w:val="00357286"/>
    <w:rsid w:val="00357935"/>
    <w:rsid w:val="003625E6"/>
    <w:rsid w:val="0036463D"/>
    <w:rsid w:val="00367DA3"/>
    <w:rsid w:val="003719DB"/>
    <w:rsid w:val="00371B8D"/>
    <w:rsid w:val="00373EB2"/>
    <w:rsid w:val="0037535E"/>
    <w:rsid w:val="003803BE"/>
    <w:rsid w:val="0039002F"/>
    <w:rsid w:val="003902B1"/>
    <w:rsid w:val="00390A59"/>
    <w:rsid w:val="00394C72"/>
    <w:rsid w:val="00397F85"/>
    <w:rsid w:val="003A09AD"/>
    <w:rsid w:val="003A273C"/>
    <w:rsid w:val="003A36D5"/>
    <w:rsid w:val="003A4D26"/>
    <w:rsid w:val="003B518A"/>
    <w:rsid w:val="003C0A67"/>
    <w:rsid w:val="003C24EC"/>
    <w:rsid w:val="003C25ED"/>
    <w:rsid w:val="003D0C24"/>
    <w:rsid w:val="003D236A"/>
    <w:rsid w:val="003D4CAC"/>
    <w:rsid w:val="003D548A"/>
    <w:rsid w:val="003D5CFC"/>
    <w:rsid w:val="003D6E0A"/>
    <w:rsid w:val="003D7317"/>
    <w:rsid w:val="003D7733"/>
    <w:rsid w:val="003E0DFE"/>
    <w:rsid w:val="003E2603"/>
    <w:rsid w:val="003E352C"/>
    <w:rsid w:val="003E3E3E"/>
    <w:rsid w:val="003E6561"/>
    <w:rsid w:val="003E7BC4"/>
    <w:rsid w:val="003F0F7E"/>
    <w:rsid w:val="003F2997"/>
    <w:rsid w:val="003F43CF"/>
    <w:rsid w:val="003F43F9"/>
    <w:rsid w:val="003F7A9E"/>
    <w:rsid w:val="003F7C64"/>
    <w:rsid w:val="004032D0"/>
    <w:rsid w:val="00406563"/>
    <w:rsid w:val="00406867"/>
    <w:rsid w:val="00406CD2"/>
    <w:rsid w:val="00411862"/>
    <w:rsid w:val="00416565"/>
    <w:rsid w:val="0041711B"/>
    <w:rsid w:val="004221A5"/>
    <w:rsid w:val="00434134"/>
    <w:rsid w:val="004360CF"/>
    <w:rsid w:val="00444D45"/>
    <w:rsid w:val="004452AC"/>
    <w:rsid w:val="00454265"/>
    <w:rsid w:val="00454766"/>
    <w:rsid w:val="004555E2"/>
    <w:rsid w:val="00455F94"/>
    <w:rsid w:val="00456E9B"/>
    <w:rsid w:val="00460A7C"/>
    <w:rsid w:val="00461D80"/>
    <w:rsid w:val="00462B1A"/>
    <w:rsid w:val="00462F30"/>
    <w:rsid w:val="00465B24"/>
    <w:rsid w:val="00466CDA"/>
    <w:rsid w:val="004707CB"/>
    <w:rsid w:val="00471CB0"/>
    <w:rsid w:val="00473AA7"/>
    <w:rsid w:val="00476FDC"/>
    <w:rsid w:val="0047719C"/>
    <w:rsid w:val="00496DB3"/>
    <w:rsid w:val="00497885"/>
    <w:rsid w:val="004A100E"/>
    <w:rsid w:val="004A56A0"/>
    <w:rsid w:val="004C00C0"/>
    <w:rsid w:val="004C429D"/>
    <w:rsid w:val="004C675F"/>
    <w:rsid w:val="004D3454"/>
    <w:rsid w:val="004D5410"/>
    <w:rsid w:val="004D63FF"/>
    <w:rsid w:val="004D7098"/>
    <w:rsid w:val="004E0A16"/>
    <w:rsid w:val="004E150A"/>
    <w:rsid w:val="004E37BD"/>
    <w:rsid w:val="004F2E74"/>
    <w:rsid w:val="004F332F"/>
    <w:rsid w:val="004F46C1"/>
    <w:rsid w:val="004F5F17"/>
    <w:rsid w:val="00504689"/>
    <w:rsid w:val="005073E7"/>
    <w:rsid w:val="005077AB"/>
    <w:rsid w:val="005149FE"/>
    <w:rsid w:val="005154F9"/>
    <w:rsid w:val="0052010E"/>
    <w:rsid w:val="00522766"/>
    <w:rsid w:val="00523BBF"/>
    <w:rsid w:val="00530283"/>
    <w:rsid w:val="005477B9"/>
    <w:rsid w:val="00550E26"/>
    <w:rsid w:val="005518CE"/>
    <w:rsid w:val="00557441"/>
    <w:rsid w:val="005578AE"/>
    <w:rsid w:val="005625FE"/>
    <w:rsid w:val="00565CDB"/>
    <w:rsid w:val="005672CB"/>
    <w:rsid w:val="0057640B"/>
    <w:rsid w:val="00576EED"/>
    <w:rsid w:val="00577314"/>
    <w:rsid w:val="005829CA"/>
    <w:rsid w:val="00586B72"/>
    <w:rsid w:val="0059065C"/>
    <w:rsid w:val="005928E6"/>
    <w:rsid w:val="00593DB7"/>
    <w:rsid w:val="0059519C"/>
    <w:rsid w:val="00596949"/>
    <w:rsid w:val="005A4455"/>
    <w:rsid w:val="005A47C3"/>
    <w:rsid w:val="005A6B4A"/>
    <w:rsid w:val="005A7156"/>
    <w:rsid w:val="005A7776"/>
    <w:rsid w:val="005B432F"/>
    <w:rsid w:val="005C6144"/>
    <w:rsid w:val="005D008B"/>
    <w:rsid w:val="005D3F4B"/>
    <w:rsid w:val="005D6717"/>
    <w:rsid w:val="005E0F91"/>
    <w:rsid w:val="005E3939"/>
    <w:rsid w:val="005E4548"/>
    <w:rsid w:val="005F291F"/>
    <w:rsid w:val="0060214B"/>
    <w:rsid w:val="006115C4"/>
    <w:rsid w:val="00611E1D"/>
    <w:rsid w:val="0061231E"/>
    <w:rsid w:val="00614E79"/>
    <w:rsid w:val="00614EC8"/>
    <w:rsid w:val="006153BC"/>
    <w:rsid w:val="00617EBE"/>
    <w:rsid w:val="00621BCA"/>
    <w:rsid w:val="00621FB4"/>
    <w:rsid w:val="00630522"/>
    <w:rsid w:val="00632714"/>
    <w:rsid w:val="00636C0B"/>
    <w:rsid w:val="00636F15"/>
    <w:rsid w:val="00637CEC"/>
    <w:rsid w:val="00642F53"/>
    <w:rsid w:val="00650DB6"/>
    <w:rsid w:val="006514D7"/>
    <w:rsid w:val="00654BC0"/>
    <w:rsid w:val="00656E2F"/>
    <w:rsid w:val="00661E41"/>
    <w:rsid w:val="00663F2B"/>
    <w:rsid w:val="00670D9D"/>
    <w:rsid w:val="00674BA0"/>
    <w:rsid w:val="00677BF8"/>
    <w:rsid w:val="00681953"/>
    <w:rsid w:val="00681FC6"/>
    <w:rsid w:val="00683A3E"/>
    <w:rsid w:val="00683EB4"/>
    <w:rsid w:val="0068516E"/>
    <w:rsid w:val="006852DE"/>
    <w:rsid w:val="00690D83"/>
    <w:rsid w:val="00691182"/>
    <w:rsid w:val="00696A03"/>
    <w:rsid w:val="006A069A"/>
    <w:rsid w:val="006A33F8"/>
    <w:rsid w:val="006A6864"/>
    <w:rsid w:val="006B0754"/>
    <w:rsid w:val="006B0F3C"/>
    <w:rsid w:val="006B204D"/>
    <w:rsid w:val="006B4A7A"/>
    <w:rsid w:val="006B5E30"/>
    <w:rsid w:val="006B637C"/>
    <w:rsid w:val="006B7BFE"/>
    <w:rsid w:val="006C2142"/>
    <w:rsid w:val="006C68ED"/>
    <w:rsid w:val="006D31BA"/>
    <w:rsid w:val="006D7297"/>
    <w:rsid w:val="006E0843"/>
    <w:rsid w:val="006E08F6"/>
    <w:rsid w:val="006F036E"/>
    <w:rsid w:val="006F625A"/>
    <w:rsid w:val="00702E01"/>
    <w:rsid w:val="00704639"/>
    <w:rsid w:val="007104C5"/>
    <w:rsid w:val="0072064D"/>
    <w:rsid w:val="00726EB6"/>
    <w:rsid w:val="007306FA"/>
    <w:rsid w:val="007336DD"/>
    <w:rsid w:val="0073675C"/>
    <w:rsid w:val="00743FDA"/>
    <w:rsid w:val="00744139"/>
    <w:rsid w:val="00745C47"/>
    <w:rsid w:val="00746526"/>
    <w:rsid w:val="007478C2"/>
    <w:rsid w:val="00747B90"/>
    <w:rsid w:val="00755ECE"/>
    <w:rsid w:val="00757AF6"/>
    <w:rsid w:val="00757FF4"/>
    <w:rsid w:val="007617BD"/>
    <w:rsid w:val="00762379"/>
    <w:rsid w:val="00762F7B"/>
    <w:rsid w:val="00767EB4"/>
    <w:rsid w:val="00767F25"/>
    <w:rsid w:val="007717B2"/>
    <w:rsid w:val="0077265D"/>
    <w:rsid w:val="007736A6"/>
    <w:rsid w:val="0077790F"/>
    <w:rsid w:val="007820D0"/>
    <w:rsid w:val="00783EFE"/>
    <w:rsid w:val="00783F58"/>
    <w:rsid w:val="0079786F"/>
    <w:rsid w:val="007A2281"/>
    <w:rsid w:val="007B042E"/>
    <w:rsid w:val="007B6F83"/>
    <w:rsid w:val="007C0E48"/>
    <w:rsid w:val="007C1963"/>
    <w:rsid w:val="007C5FAB"/>
    <w:rsid w:val="007D2631"/>
    <w:rsid w:val="007E37A6"/>
    <w:rsid w:val="007E4E22"/>
    <w:rsid w:val="007E4FE8"/>
    <w:rsid w:val="007E60A1"/>
    <w:rsid w:val="007E694D"/>
    <w:rsid w:val="007F101F"/>
    <w:rsid w:val="007F3EE5"/>
    <w:rsid w:val="00800650"/>
    <w:rsid w:val="00802A54"/>
    <w:rsid w:val="00804AEF"/>
    <w:rsid w:val="00804D49"/>
    <w:rsid w:val="00806888"/>
    <w:rsid w:val="00813223"/>
    <w:rsid w:val="00814D47"/>
    <w:rsid w:val="00815BE1"/>
    <w:rsid w:val="0081654C"/>
    <w:rsid w:val="00816584"/>
    <w:rsid w:val="00817570"/>
    <w:rsid w:val="0082321A"/>
    <w:rsid w:val="0083127F"/>
    <w:rsid w:val="00831E76"/>
    <w:rsid w:val="00831FE2"/>
    <w:rsid w:val="00843412"/>
    <w:rsid w:val="00843D42"/>
    <w:rsid w:val="00845B17"/>
    <w:rsid w:val="00847FA2"/>
    <w:rsid w:val="00850605"/>
    <w:rsid w:val="008545D2"/>
    <w:rsid w:val="00857F2D"/>
    <w:rsid w:val="00864A76"/>
    <w:rsid w:val="00871130"/>
    <w:rsid w:val="0087604D"/>
    <w:rsid w:val="00886689"/>
    <w:rsid w:val="00887304"/>
    <w:rsid w:val="008939B2"/>
    <w:rsid w:val="00894472"/>
    <w:rsid w:val="008A0F78"/>
    <w:rsid w:val="008A3B74"/>
    <w:rsid w:val="008B1A36"/>
    <w:rsid w:val="008B3156"/>
    <w:rsid w:val="008B522E"/>
    <w:rsid w:val="008B7666"/>
    <w:rsid w:val="008B7C2E"/>
    <w:rsid w:val="008C250F"/>
    <w:rsid w:val="008D0DA7"/>
    <w:rsid w:val="008D105C"/>
    <w:rsid w:val="008D6B75"/>
    <w:rsid w:val="008D716B"/>
    <w:rsid w:val="008D7666"/>
    <w:rsid w:val="008D7908"/>
    <w:rsid w:val="008E0C4C"/>
    <w:rsid w:val="008F36C7"/>
    <w:rsid w:val="008F798D"/>
    <w:rsid w:val="0090470E"/>
    <w:rsid w:val="0091135C"/>
    <w:rsid w:val="00913F5E"/>
    <w:rsid w:val="00914499"/>
    <w:rsid w:val="00921CBF"/>
    <w:rsid w:val="00923B0C"/>
    <w:rsid w:val="009247FD"/>
    <w:rsid w:val="00933765"/>
    <w:rsid w:val="00936948"/>
    <w:rsid w:val="00940B3A"/>
    <w:rsid w:val="00944BC2"/>
    <w:rsid w:val="009526A3"/>
    <w:rsid w:val="00953FAD"/>
    <w:rsid w:val="0095688C"/>
    <w:rsid w:val="00962C02"/>
    <w:rsid w:val="00963C76"/>
    <w:rsid w:val="00963FE5"/>
    <w:rsid w:val="00975D3C"/>
    <w:rsid w:val="00975EFF"/>
    <w:rsid w:val="00976BB2"/>
    <w:rsid w:val="00982318"/>
    <w:rsid w:val="00983442"/>
    <w:rsid w:val="0098432A"/>
    <w:rsid w:val="00993CBD"/>
    <w:rsid w:val="00993D41"/>
    <w:rsid w:val="00996CA7"/>
    <w:rsid w:val="00997956"/>
    <w:rsid w:val="009A4B0D"/>
    <w:rsid w:val="009B0F54"/>
    <w:rsid w:val="009B1918"/>
    <w:rsid w:val="009B1EDE"/>
    <w:rsid w:val="009B4B2D"/>
    <w:rsid w:val="009B6244"/>
    <w:rsid w:val="009B6673"/>
    <w:rsid w:val="009B6A20"/>
    <w:rsid w:val="009B7CEB"/>
    <w:rsid w:val="009C235A"/>
    <w:rsid w:val="009C34DA"/>
    <w:rsid w:val="009C73C2"/>
    <w:rsid w:val="009D62FF"/>
    <w:rsid w:val="009D6DE1"/>
    <w:rsid w:val="009D7187"/>
    <w:rsid w:val="009D72CD"/>
    <w:rsid w:val="009E6530"/>
    <w:rsid w:val="009E74C0"/>
    <w:rsid w:val="009F493D"/>
    <w:rsid w:val="00A00336"/>
    <w:rsid w:val="00A02130"/>
    <w:rsid w:val="00A04888"/>
    <w:rsid w:val="00A17F7F"/>
    <w:rsid w:val="00A17FD5"/>
    <w:rsid w:val="00A236A7"/>
    <w:rsid w:val="00A2540E"/>
    <w:rsid w:val="00A268C7"/>
    <w:rsid w:val="00A32596"/>
    <w:rsid w:val="00A32F68"/>
    <w:rsid w:val="00A33696"/>
    <w:rsid w:val="00A34FA9"/>
    <w:rsid w:val="00A36EBD"/>
    <w:rsid w:val="00A415CC"/>
    <w:rsid w:val="00A435F6"/>
    <w:rsid w:val="00A44E49"/>
    <w:rsid w:val="00A472CF"/>
    <w:rsid w:val="00A5059C"/>
    <w:rsid w:val="00A519CC"/>
    <w:rsid w:val="00A5273A"/>
    <w:rsid w:val="00A53647"/>
    <w:rsid w:val="00A558C5"/>
    <w:rsid w:val="00A55C90"/>
    <w:rsid w:val="00A71362"/>
    <w:rsid w:val="00A7550B"/>
    <w:rsid w:val="00A75B48"/>
    <w:rsid w:val="00A82584"/>
    <w:rsid w:val="00A83C53"/>
    <w:rsid w:val="00A85757"/>
    <w:rsid w:val="00A86DBE"/>
    <w:rsid w:val="00A91D3A"/>
    <w:rsid w:val="00A94B71"/>
    <w:rsid w:val="00AA2DA8"/>
    <w:rsid w:val="00AA4991"/>
    <w:rsid w:val="00AB422E"/>
    <w:rsid w:val="00AB5A8C"/>
    <w:rsid w:val="00AB6960"/>
    <w:rsid w:val="00AC2E92"/>
    <w:rsid w:val="00AC3332"/>
    <w:rsid w:val="00AD1B8A"/>
    <w:rsid w:val="00AD7AB3"/>
    <w:rsid w:val="00AE0EB3"/>
    <w:rsid w:val="00AE250D"/>
    <w:rsid w:val="00AE3D36"/>
    <w:rsid w:val="00AE3E63"/>
    <w:rsid w:val="00AE52D5"/>
    <w:rsid w:val="00AE555B"/>
    <w:rsid w:val="00AE5F85"/>
    <w:rsid w:val="00AE7561"/>
    <w:rsid w:val="00AE7A37"/>
    <w:rsid w:val="00AF1433"/>
    <w:rsid w:val="00AF367C"/>
    <w:rsid w:val="00AF4E66"/>
    <w:rsid w:val="00AF4FCA"/>
    <w:rsid w:val="00B008B4"/>
    <w:rsid w:val="00B010AD"/>
    <w:rsid w:val="00B016F3"/>
    <w:rsid w:val="00B03D37"/>
    <w:rsid w:val="00B04101"/>
    <w:rsid w:val="00B045C1"/>
    <w:rsid w:val="00B06A1E"/>
    <w:rsid w:val="00B07AD5"/>
    <w:rsid w:val="00B11A4D"/>
    <w:rsid w:val="00B136B9"/>
    <w:rsid w:val="00B1463A"/>
    <w:rsid w:val="00B2140F"/>
    <w:rsid w:val="00B2593F"/>
    <w:rsid w:val="00B35F23"/>
    <w:rsid w:val="00B362AE"/>
    <w:rsid w:val="00B362C7"/>
    <w:rsid w:val="00B369D1"/>
    <w:rsid w:val="00B36D4E"/>
    <w:rsid w:val="00B418E7"/>
    <w:rsid w:val="00B41A17"/>
    <w:rsid w:val="00B432DE"/>
    <w:rsid w:val="00B4437C"/>
    <w:rsid w:val="00B631F5"/>
    <w:rsid w:val="00B67F3E"/>
    <w:rsid w:val="00B739CA"/>
    <w:rsid w:val="00B75863"/>
    <w:rsid w:val="00B766F4"/>
    <w:rsid w:val="00B77709"/>
    <w:rsid w:val="00B8200C"/>
    <w:rsid w:val="00B84249"/>
    <w:rsid w:val="00B84D80"/>
    <w:rsid w:val="00B86E2F"/>
    <w:rsid w:val="00B91940"/>
    <w:rsid w:val="00B91CCC"/>
    <w:rsid w:val="00B92BA1"/>
    <w:rsid w:val="00B9378C"/>
    <w:rsid w:val="00B93E67"/>
    <w:rsid w:val="00B93F79"/>
    <w:rsid w:val="00B9551F"/>
    <w:rsid w:val="00BA3C47"/>
    <w:rsid w:val="00BB53D4"/>
    <w:rsid w:val="00BB6C70"/>
    <w:rsid w:val="00BC2C84"/>
    <w:rsid w:val="00BC58DC"/>
    <w:rsid w:val="00BC5D5C"/>
    <w:rsid w:val="00BF0D1C"/>
    <w:rsid w:val="00BF3562"/>
    <w:rsid w:val="00BF3735"/>
    <w:rsid w:val="00BF41AF"/>
    <w:rsid w:val="00C00100"/>
    <w:rsid w:val="00C01019"/>
    <w:rsid w:val="00C0328D"/>
    <w:rsid w:val="00C03530"/>
    <w:rsid w:val="00C0509D"/>
    <w:rsid w:val="00C0520A"/>
    <w:rsid w:val="00C12112"/>
    <w:rsid w:val="00C13229"/>
    <w:rsid w:val="00C16B9D"/>
    <w:rsid w:val="00C20446"/>
    <w:rsid w:val="00C2304B"/>
    <w:rsid w:val="00C23929"/>
    <w:rsid w:val="00C263B2"/>
    <w:rsid w:val="00C364CF"/>
    <w:rsid w:val="00C36BB5"/>
    <w:rsid w:val="00C42279"/>
    <w:rsid w:val="00C441FE"/>
    <w:rsid w:val="00C4776D"/>
    <w:rsid w:val="00C5107E"/>
    <w:rsid w:val="00C51434"/>
    <w:rsid w:val="00C53398"/>
    <w:rsid w:val="00C5505A"/>
    <w:rsid w:val="00C609EA"/>
    <w:rsid w:val="00C6299D"/>
    <w:rsid w:val="00C64683"/>
    <w:rsid w:val="00C64B11"/>
    <w:rsid w:val="00C65145"/>
    <w:rsid w:val="00C657FB"/>
    <w:rsid w:val="00C65A25"/>
    <w:rsid w:val="00C65DDC"/>
    <w:rsid w:val="00C66DAE"/>
    <w:rsid w:val="00C679C9"/>
    <w:rsid w:val="00C700FD"/>
    <w:rsid w:val="00C716DA"/>
    <w:rsid w:val="00C7445C"/>
    <w:rsid w:val="00C77C7A"/>
    <w:rsid w:val="00C8100B"/>
    <w:rsid w:val="00C8709B"/>
    <w:rsid w:val="00CA2397"/>
    <w:rsid w:val="00CA5F98"/>
    <w:rsid w:val="00CB0522"/>
    <w:rsid w:val="00CB0D9F"/>
    <w:rsid w:val="00CB13C6"/>
    <w:rsid w:val="00CB24A3"/>
    <w:rsid w:val="00CC30D7"/>
    <w:rsid w:val="00CC5199"/>
    <w:rsid w:val="00CC57BF"/>
    <w:rsid w:val="00CC7AE9"/>
    <w:rsid w:val="00CD0227"/>
    <w:rsid w:val="00CD092D"/>
    <w:rsid w:val="00CD7706"/>
    <w:rsid w:val="00CE0C47"/>
    <w:rsid w:val="00CE16FD"/>
    <w:rsid w:val="00CF08F0"/>
    <w:rsid w:val="00CF2ABF"/>
    <w:rsid w:val="00CF3F57"/>
    <w:rsid w:val="00D02F70"/>
    <w:rsid w:val="00D065F6"/>
    <w:rsid w:val="00D11F3F"/>
    <w:rsid w:val="00D17961"/>
    <w:rsid w:val="00D17B4F"/>
    <w:rsid w:val="00D21B7A"/>
    <w:rsid w:val="00D226EF"/>
    <w:rsid w:val="00D229BA"/>
    <w:rsid w:val="00D23BBB"/>
    <w:rsid w:val="00D243BF"/>
    <w:rsid w:val="00D273CD"/>
    <w:rsid w:val="00D34B08"/>
    <w:rsid w:val="00D3579C"/>
    <w:rsid w:val="00D35C20"/>
    <w:rsid w:val="00D43745"/>
    <w:rsid w:val="00D4711F"/>
    <w:rsid w:val="00D502A4"/>
    <w:rsid w:val="00D53B16"/>
    <w:rsid w:val="00D572C0"/>
    <w:rsid w:val="00D618D5"/>
    <w:rsid w:val="00D62D58"/>
    <w:rsid w:val="00D66ACD"/>
    <w:rsid w:val="00D709F8"/>
    <w:rsid w:val="00D721A2"/>
    <w:rsid w:val="00D72611"/>
    <w:rsid w:val="00D81AE0"/>
    <w:rsid w:val="00D82FCE"/>
    <w:rsid w:val="00D83EB2"/>
    <w:rsid w:val="00D8541E"/>
    <w:rsid w:val="00D91610"/>
    <w:rsid w:val="00D9527A"/>
    <w:rsid w:val="00D95EB1"/>
    <w:rsid w:val="00D97C41"/>
    <w:rsid w:val="00DB1297"/>
    <w:rsid w:val="00DB20B2"/>
    <w:rsid w:val="00DB56CF"/>
    <w:rsid w:val="00DC06C0"/>
    <w:rsid w:val="00DC4205"/>
    <w:rsid w:val="00DC5878"/>
    <w:rsid w:val="00DC73A5"/>
    <w:rsid w:val="00DC7D35"/>
    <w:rsid w:val="00DD32AE"/>
    <w:rsid w:val="00DD5365"/>
    <w:rsid w:val="00DE0854"/>
    <w:rsid w:val="00DE11AB"/>
    <w:rsid w:val="00DE2470"/>
    <w:rsid w:val="00DF28FF"/>
    <w:rsid w:val="00DF340F"/>
    <w:rsid w:val="00DF62D0"/>
    <w:rsid w:val="00E03399"/>
    <w:rsid w:val="00E10870"/>
    <w:rsid w:val="00E12A1C"/>
    <w:rsid w:val="00E12F7B"/>
    <w:rsid w:val="00E20030"/>
    <w:rsid w:val="00E245E4"/>
    <w:rsid w:val="00E27F4A"/>
    <w:rsid w:val="00E30F79"/>
    <w:rsid w:val="00E33E4E"/>
    <w:rsid w:val="00E36400"/>
    <w:rsid w:val="00E44075"/>
    <w:rsid w:val="00E50AA1"/>
    <w:rsid w:val="00E50C25"/>
    <w:rsid w:val="00E5268B"/>
    <w:rsid w:val="00E53537"/>
    <w:rsid w:val="00E56161"/>
    <w:rsid w:val="00E57B1B"/>
    <w:rsid w:val="00E605EE"/>
    <w:rsid w:val="00E618A3"/>
    <w:rsid w:val="00E6298A"/>
    <w:rsid w:val="00E67963"/>
    <w:rsid w:val="00E77EAF"/>
    <w:rsid w:val="00E82A2C"/>
    <w:rsid w:val="00E854B4"/>
    <w:rsid w:val="00E86F3D"/>
    <w:rsid w:val="00E879FB"/>
    <w:rsid w:val="00E87A4F"/>
    <w:rsid w:val="00E9095B"/>
    <w:rsid w:val="00E9260F"/>
    <w:rsid w:val="00E9448D"/>
    <w:rsid w:val="00E9622B"/>
    <w:rsid w:val="00EA1AA0"/>
    <w:rsid w:val="00EA25E3"/>
    <w:rsid w:val="00EA5124"/>
    <w:rsid w:val="00EA6987"/>
    <w:rsid w:val="00EA6FCD"/>
    <w:rsid w:val="00EB3E0E"/>
    <w:rsid w:val="00EB3F2D"/>
    <w:rsid w:val="00EB74F2"/>
    <w:rsid w:val="00EC19A9"/>
    <w:rsid w:val="00EC262F"/>
    <w:rsid w:val="00EC3F75"/>
    <w:rsid w:val="00EC54C2"/>
    <w:rsid w:val="00EC6A26"/>
    <w:rsid w:val="00EF02B3"/>
    <w:rsid w:val="00EF116F"/>
    <w:rsid w:val="00EF51DB"/>
    <w:rsid w:val="00EF5DB4"/>
    <w:rsid w:val="00F00F21"/>
    <w:rsid w:val="00F01177"/>
    <w:rsid w:val="00F01E4B"/>
    <w:rsid w:val="00F0610B"/>
    <w:rsid w:val="00F12DF8"/>
    <w:rsid w:val="00F13AF9"/>
    <w:rsid w:val="00F14424"/>
    <w:rsid w:val="00F15645"/>
    <w:rsid w:val="00F22FFA"/>
    <w:rsid w:val="00F241B3"/>
    <w:rsid w:val="00F25072"/>
    <w:rsid w:val="00F31F3B"/>
    <w:rsid w:val="00F34AFB"/>
    <w:rsid w:val="00F36188"/>
    <w:rsid w:val="00F3700D"/>
    <w:rsid w:val="00F37B61"/>
    <w:rsid w:val="00F37DD4"/>
    <w:rsid w:val="00F4512D"/>
    <w:rsid w:val="00F52AAB"/>
    <w:rsid w:val="00F52EA1"/>
    <w:rsid w:val="00F56134"/>
    <w:rsid w:val="00F570DB"/>
    <w:rsid w:val="00F62001"/>
    <w:rsid w:val="00F63B43"/>
    <w:rsid w:val="00F67830"/>
    <w:rsid w:val="00F752CB"/>
    <w:rsid w:val="00F75761"/>
    <w:rsid w:val="00F81392"/>
    <w:rsid w:val="00F931EC"/>
    <w:rsid w:val="00F93313"/>
    <w:rsid w:val="00F93F73"/>
    <w:rsid w:val="00F94B3E"/>
    <w:rsid w:val="00F97A4E"/>
    <w:rsid w:val="00FA2BD3"/>
    <w:rsid w:val="00FA5AC3"/>
    <w:rsid w:val="00FA6DDA"/>
    <w:rsid w:val="00FA6E09"/>
    <w:rsid w:val="00FB2945"/>
    <w:rsid w:val="00FB4715"/>
    <w:rsid w:val="00FB6E05"/>
    <w:rsid w:val="00FC1D12"/>
    <w:rsid w:val="00FC2E73"/>
    <w:rsid w:val="00FC32FD"/>
    <w:rsid w:val="00FC72C3"/>
    <w:rsid w:val="00FD3D3B"/>
    <w:rsid w:val="00FD6011"/>
    <w:rsid w:val="00FE16B3"/>
    <w:rsid w:val="00FE3D74"/>
    <w:rsid w:val="00FE5571"/>
    <w:rsid w:val="00FE7F30"/>
    <w:rsid w:val="00FF0910"/>
    <w:rsid w:val="00FF247F"/>
    <w:rsid w:val="00FF3066"/>
    <w:rsid w:val="00FF31DD"/>
    <w:rsid w:val="00FF5A97"/>
    <w:rsid w:val="00FF6C48"/>
    <w:rsid w:val="00FF73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4"/>
      </w:numPr>
    </w:pPr>
  </w:style>
  <w:style w:type="paragraph" w:customStyle="1" w:styleId="Heading3numbered">
    <w:name w:val="Heading 3 numbered"/>
    <w:basedOn w:val="Heading3"/>
    <w:next w:val="Normal"/>
    <w:rsid w:val="002B2279"/>
    <w:pPr>
      <w:numPr>
        <w:ilvl w:val="2"/>
        <w:numId w:val="4"/>
      </w:numPr>
    </w:pPr>
  </w:style>
  <w:style w:type="paragraph" w:customStyle="1" w:styleId="List-bullet-2">
    <w:name w:val="List-bullet-2"/>
    <w:basedOn w:val="Normal"/>
    <w:rsid w:val="002B2279"/>
    <w:pPr>
      <w:numPr>
        <w:numId w:val="2"/>
      </w:numPr>
      <w:spacing w:before="80"/>
    </w:pPr>
    <w:rPr>
      <w:rFonts w:cs="Arial"/>
      <w:szCs w:val="22"/>
      <w:lang w:val="en-US"/>
    </w:rPr>
  </w:style>
  <w:style w:type="paragraph" w:customStyle="1" w:styleId="List-number-2">
    <w:name w:val="List-number-2"/>
    <w:basedOn w:val="Normal"/>
    <w:link w:val="List-number-2Char"/>
    <w:rsid w:val="002B2279"/>
    <w:pPr>
      <w:numPr>
        <w:ilvl w:val="1"/>
        <w:numId w:val="3"/>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5"/>
      </w:numPr>
    </w:pPr>
  </w:style>
  <w:style w:type="paragraph" w:customStyle="1" w:styleId="Table-list-number">
    <w:name w:val="Table-list-number"/>
    <w:basedOn w:val="Table-normal-text"/>
    <w:rsid w:val="002B2279"/>
    <w:pPr>
      <w:numPr>
        <w:numId w:val="6"/>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4"/>
      </w:numPr>
    </w:pPr>
  </w:style>
  <w:style w:type="paragraph" w:customStyle="1" w:styleId="List-bullet-1">
    <w:name w:val="List-bullet-1"/>
    <w:basedOn w:val="Normal"/>
    <w:rsid w:val="002B2279"/>
    <w:pPr>
      <w:numPr>
        <w:numId w:val="1"/>
      </w:numPr>
    </w:pPr>
    <w:rPr>
      <w:rFonts w:cs="Arial"/>
      <w:szCs w:val="22"/>
    </w:rPr>
  </w:style>
  <w:style w:type="paragraph" w:customStyle="1" w:styleId="List-number-1">
    <w:name w:val="List-number-1"/>
    <w:basedOn w:val="Normal"/>
    <w:rsid w:val="002B2279"/>
    <w:pPr>
      <w:numPr>
        <w:numId w:val="3"/>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table" w:customStyle="1" w:styleId="Tablewithheader">
    <w:name w:val="Table with header"/>
    <w:basedOn w:val="Tablewithnoheader"/>
    <w:rsid w:val="002B2279"/>
    <w:tbl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styleId="ListParagraph">
    <w:name w:val="List Paragraph"/>
    <w:basedOn w:val="Normal"/>
    <w:link w:val="ListParagraphChar"/>
    <w:uiPriority w:val="34"/>
    <w:qFormat/>
    <w:rsid w:val="00074DFB"/>
    <w:pPr>
      <w:ind w:left="720"/>
      <w:contextualSpacing/>
    </w:pPr>
  </w:style>
  <w:style w:type="paragraph" w:styleId="FootnoteText">
    <w:name w:val="footnote text"/>
    <w:aliases w:val="Footnote Text Char1,Footnote Text Char Char,Char,single space"/>
    <w:basedOn w:val="Normal"/>
    <w:link w:val="FootnoteTextChar"/>
    <w:qFormat/>
    <w:rsid w:val="00471CB0"/>
    <w:pPr>
      <w:spacing w:before="0" w:after="80"/>
    </w:pPr>
    <w:rPr>
      <w:sz w:val="16"/>
      <w:szCs w:val="20"/>
      <w:lang w:val="sv-SE" w:eastAsia="sv-SE"/>
    </w:rPr>
  </w:style>
  <w:style w:type="character" w:customStyle="1" w:styleId="FootnoteTextChar">
    <w:name w:val="Footnote Text Char"/>
    <w:aliases w:val="Footnote Text Char1 Char1,Footnote Text Char Char Char,Char Char1,single space Char"/>
    <w:basedOn w:val="DefaultParagraphFont"/>
    <w:link w:val="FootnoteText"/>
    <w:uiPriority w:val="99"/>
    <w:rsid w:val="00471CB0"/>
    <w:rPr>
      <w:rFonts w:ascii="Arial" w:hAnsi="Arial"/>
      <w:sz w:val="16"/>
      <w:lang w:val="sv-SE" w:eastAsia="sv-SE"/>
    </w:rPr>
  </w:style>
  <w:style w:type="character" w:styleId="FootnoteReference">
    <w:name w:val="footnote reference"/>
    <w:aliases w:val=" BVI fnr Char Char1 Char,BVI fnr Char Char1 Char, BVI fnr Car Car Char Char1 Char,BVI fnr Car Char Char1 Char, BVI fnr Car Car Car Car Char Char Char Char Char1, BVI fnr Char Char Char Char Char,BVI fnr Char Char Char Char Char"/>
    <w:basedOn w:val="FootnoteTextChar"/>
    <w:link w:val="BVIfnrCharChar1"/>
    <w:rsid w:val="00471CB0"/>
    <w:rPr>
      <w:rFonts w:ascii="Arial" w:hAnsi="Arial"/>
      <w:color w:val="auto"/>
      <w:spacing w:val="0"/>
      <w:position w:val="0"/>
      <w:sz w:val="22"/>
      <w:szCs w:val="16"/>
      <w:vertAlign w:val="superscript"/>
      <w:lang w:val="sv-SE" w:eastAsia="sv-SE"/>
    </w:rPr>
  </w:style>
  <w:style w:type="character" w:customStyle="1" w:styleId="ListParagraphChar">
    <w:name w:val="List Paragraph Char"/>
    <w:link w:val="ListParagraph"/>
    <w:uiPriority w:val="34"/>
    <w:locked/>
    <w:rsid w:val="0032045D"/>
    <w:rPr>
      <w:rFonts w:ascii="Arial" w:hAnsi="Arial"/>
      <w:szCs w:val="24"/>
      <w:lang w:eastAsia="en-US"/>
    </w:rPr>
  </w:style>
  <w:style w:type="character" w:customStyle="1" w:styleId="FootnoteTextChar2">
    <w:name w:val="Footnote Text Char2"/>
    <w:aliases w:val="Footnote Text Char1 Char,Footnote Text Char Char Char1,Char Char,single space Char1"/>
    <w:rsid w:val="00D618D5"/>
    <w:rPr>
      <w:rFonts w:ascii="Arial" w:hAnsi="Arial" w:cs="Mangal"/>
      <w:lang w:val="en-GB" w:eastAsia="en-GB" w:bidi="hi-IN"/>
    </w:rPr>
  </w:style>
  <w:style w:type="paragraph" w:customStyle="1" w:styleId="BVIfnrCharChar1">
    <w:name w:val="BVI fnr Char Char1"/>
    <w:aliases w:val=" BVI fnr Car Car Char Char1,BVI fnr Car Char Char1, BVI fnr Car Car Car Car Char Char Char Char, BVI fnr Char Char Char Char,BVI fnr Char Char Char Char, BVI fnr Car Car Char Char Char Char"/>
    <w:basedOn w:val="Normal"/>
    <w:link w:val="FootnoteReference"/>
    <w:rsid w:val="00D618D5"/>
    <w:pPr>
      <w:spacing w:before="0" w:after="160" w:line="240" w:lineRule="exact"/>
    </w:pPr>
    <w:rPr>
      <w:sz w:val="22"/>
      <w:szCs w:val="16"/>
      <w:vertAlign w:val="superscript"/>
      <w:lang w:val="sv-SE" w:eastAsia="sv-SE"/>
    </w:rPr>
  </w:style>
  <w:style w:type="paragraph" w:customStyle="1" w:styleId="Heading1outlinenum">
    <w:name w:val="Heading 1 outlinenum"/>
    <w:basedOn w:val="Normal"/>
    <w:next w:val="Normal"/>
    <w:rsid w:val="00D618D5"/>
    <w:pPr>
      <w:keepNext/>
      <w:numPr>
        <w:numId w:val="19"/>
      </w:numPr>
      <w:spacing w:before="360" w:after="60"/>
      <w:outlineLvl w:val="0"/>
    </w:pPr>
    <w:rPr>
      <w:rFonts w:cs="Arial"/>
      <w:b/>
      <w:sz w:val="28"/>
      <w:szCs w:val="32"/>
      <w:lang w:eastAsia="en-AU"/>
    </w:rPr>
  </w:style>
  <w:style w:type="paragraph" w:customStyle="1" w:styleId="Heading2outlinenum">
    <w:name w:val="Heading 2 outlinenum"/>
    <w:basedOn w:val="Heading2"/>
    <w:rsid w:val="00D618D5"/>
    <w:pPr>
      <w:numPr>
        <w:ilvl w:val="1"/>
        <w:numId w:val="19"/>
      </w:numPr>
      <w:tabs>
        <w:tab w:val="clear" w:pos="567"/>
        <w:tab w:val="num" w:pos="360"/>
      </w:tabs>
      <w:spacing w:before="360"/>
      <w:ind w:left="0" w:firstLine="0"/>
    </w:pPr>
    <w:rPr>
      <w:iCs w:val="0"/>
    </w:rPr>
  </w:style>
  <w:style w:type="paragraph" w:customStyle="1" w:styleId="Heading3outlinenum">
    <w:name w:val="Heading 3 outlinenum"/>
    <w:basedOn w:val="Heading3"/>
    <w:next w:val="Normal"/>
    <w:rsid w:val="00D618D5"/>
    <w:pPr>
      <w:numPr>
        <w:ilvl w:val="2"/>
        <w:numId w:val="19"/>
      </w:num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4"/>
      </w:numPr>
    </w:pPr>
  </w:style>
  <w:style w:type="paragraph" w:customStyle="1" w:styleId="Heading3numbered">
    <w:name w:val="Heading 3 numbered"/>
    <w:basedOn w:val="Heading3"/>
    <w:next w:val="Normal"/>
    <w:rsid w:val="002B2279"/>
    <w:pPr>
      <w:numPr>
        <w:ilvl w:val="2"/>
        <w:numId w:val="4"/>
      </w:numPr>
    </w:pPr>
  </w:style>
  <w:style w:type="paragraph" w:customStyle="1" w:styleId="List-bullet-2">
    <w:name w:val="List-bullet-2"/>
    <w:basedOn w:val="Normal"/>
    <w:rsid w:val="002B2279"/>
    <w:pPr>
      <w:numPr>
        <w:numId w:val="2"/>
      </w:numPr>
      <w:spacing w:before="80"/>
    </w:pPr>
    <w:rPr>
      <w:rFonts w:cs="Arial"/>
      <w:szCs w:val="22"/>
      <w:lang w:val="en-US"/>
    </w:rPr>
  </w:style>
  <w:style w:type="paragraph" w:customStyle="1" w:styleId="List-number-2">
    <w:name w:val="List-number-2"/>
    <w:basedOn w:val="Normal"/>
    <w:link w:val="List-number-2Char"/>
    <w:rsid w:val="002B2279"/>
    <w:pPr>
      <w:numPr>
        <w:ilvl w:val="1"/>
        <w:numId w:val="3"/>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5"/>
      </w:numPr>
    </w:pPr>
  </w:style>
  <w:style w:type="paragraph" w:customStyle="1" w:styleId="Table-list-number">
    <w:name w:val="Table-list-number"/>
    <w:basedOn w:val="Table-normal-text"/>
    <w:rsid w:val="002B2279"/>
    <w:pPr>
      <w:numPr>
        <w:numId w:val="6"/>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4"/>
      </w:numPr>
    </w:pPr>
  </w:style>
  <w:style w:type="paragraph" w:customStyle="1" w:styleId="List-bullet-1">
    <w:name w:val="List-bullet-1"/>
    <w:basedOn w:val="Normal"/>
    <w:rsid w:val="002B2279"/>
    <w:pPr>
      <w:numPr>
        <w:numId w:val="1"/>
      </w:numPr>
    </w:pPr>
    <w:rPr>
      <w:rFonts w:cs="Arial"/>
      <w:szCs w:val="22"/>
    </w:rPr>
  </w:style>
  <w:style w:type="paragraph" w:customStyle="1" w:styleId="List-number-1">
    <w:name w:val="List-number-1"/>
    <w:basedOn w:val="Normal"/>
    <w:rsid w:val="002B2279"/>
    <w:pPr>
      <w:numPr>
        <w:numId w:val="3"/>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table" w:customStyle="1" w:styleId="Tablewithheader">
    <w:name w:val="Table with header"/>
    <w:basedOn w:val="Tablewithnoheader"/>
    <w:rsid w:val="002B2279"/>
    <w:tbl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styleId="ListParagraph">
    <w:name w:val="List Paragraph"/>
    <w:basedOn w:val="Normal"/>
    <w:link w:val="ListParagraphChar"/>
    <w:uiPriority w:val="34"/>
    <w:qFormat/>
    <w:rsid w:val="00074DFB"/>
    <w:pPr>
      <w:ind w:left="720"/>
      <w:contextualSpacing/>
    </w:pPr>
  </w:style>
  <w:style w:type="paragraph" w:styleId="FootnoteText">
    <w:name w:val="footnote text"/>
    <w:aliases w:val="Footnote Text Char1,Footnote Text Char Char,Char,single space"/>
    <w:basedOn w:val="Normal"/>
    <w:link w:val="FootnoteTextChar"/>
    <w:qFormat/>
    <w:rsid w:val="00471CB0"/>
    <w:pPr>
      <w:spacing w:before="0" w:after="80"/>
    </w:pPr>
    <w:rPr>
      <w:sz w:val="16"/>
      <w:szCs w:val="20"/>
      <w:lang w:val="sv-SE" w:eastAsia="sv-SE"/>
    </w:rPr>
  </w:style>
  <w:style w:type="character" w:customStyle="1" w:styleId="FootnoteTextChar">
    <w:name w:val="Footnote Text Char"/>
    <w:aliases w:val="Footnote Text Char1 Char1,Footnote Text Char Char Char,Char Char1,single space Char"/>
    <w:basedOn w:val="DefaultParagraphFont"/>
    <w:link w:val="FootnoteText"/>
    <w:uiPriority w:val="99"/>
    <w:rsid w:val="00471CB0"/>
    <w:rPr>
      <w:rFonts w:ascii="Arial" w:hAnsi="Arial"/>
      <w:sz w:val="16"/>
      <w:lang w:val="sv-SE" w:eastAsia="sv-SE"/>
    </w:rPr>
  </w:style>
  <w:style w:type="character" w:styleId="FootnoteReference">
    <w:name w:val="footnote reference"/>
    <w:aliases w:val=" BVI fnr Char Char1 Char,BVI fnr Char Char1 Char, BVI fnr Car Car Char Char1 Char,BVI fnr Car Char Char1 Char, BVI fnr Car Car Car Car Char Char Char Char Char1, BVI fnr Char Char Char Char Char,BVI fnr Char Char Char Char Char"/>
    <w:basedOn w:val="FootnoteTextChar"/>
    <w:link w:val="BVIfnrCharChar1"/>
    <w:rsid w:val="00471CB0"/>
    <w:rPr>
      <w:rFonts w:ascii="Arial" w:hAnsi="Arial"/>
      <w:color w:val="auto"/>
      <w:spacing w:val="0"/>
      <w:position w:val="0"/>
      <w:sz w:val="22"/>
      <w:szCs w:val="16"/>
      <w:vertAlign w:val="superscript"/>
      <w:lang w:val="sv-SE" w:eastAsia="sv-SE"/>
    </w:rPr>
  </w:style>
  <w:style w:type="character" w:customStyle="1" w:styleId="ListParagraphChar">
    <w:name w:val="List Paragraph Char"/>
    <w:link w:val="ListParagraph"/>
    <w:uiPriority w:val="34"/>
    <w:locked/>
    <w:rsid w:val="0032045D"/>
    <w:rPr>
      <w:rFonts w:ascii="Arial" w:hAnsi="Arial"/>
      <w:szCs w:val="24"/>
      <w:lang w:eastAsia="en-US"/>
    </w:rPr>
  </w:style>
  <w:style w:type="character" w:customStyle="1" w:styleId="FootnoteTextChar2">
    <w:name w:val="Footnote Text Char2"/>
    <w:aliases w:val="Footnote Text Char1 Char,Footnote Text Char Char Char1,Char Char,single space Char1"/>
    <w:rsid w:val="00D618D5"/>
    <w:rPr>
      <w:rFonts w:ascii="Arial" w:hAnsi="Arial" w:cs="Mangal"/>
      <w:lang w:val="en-GB" w:eastAsia="en-GB" w:bidi="hi-IN"/>
    </w:rPr>
  </w:style>
  <w:style w:type="paragraph" w:customStyle="1" w:styleId="BVIfnrCharChar1">
    <w:name w:val="BVI fnr Char Char1"/>
    <w:aliases w:val=" BVI fnr Car Car Char Char1,BVI fnr Car Char Char1, BVI fnr Car Car Car Car Char Char Char Char, BVI fnr Char Char Char Char,BVI fnr Char Char Char Char, BVI fnr Car Car Char Char Char Char"/>
    <w:basedOn w:val="Normal"/>
    <w:link w:val="FootnoteReference"/>
    <w:rsid w:val="00D618D5"/>
    <w:pPr>
      <w:spacing w:before="0" w:after="160" w:line="240" w:lineRule="exact"/>
    </w:pPr>
    <w:rPr>
      <w:sz w:val="22"/>
      <w:szCs w:val="16"/>
      <w:vertAlign w:val="superscript"/>
      <w:lang w:val="sv-SE" w:eastAsia="sv-SE"/>
    </w:rPr>
  </w:style>
  <w:style w:type="paragraph" w:customStyle="1" w:styleId="Heading1outlinenum">
    <w:name w:val="Heading 1 outlinenum"/>
    <w:basedOn w:val="Normal"/>
    <w:next w:val="Normal"/>
    <w:rsid w:val="00D618D5"/>
    <w:pPr>
      <w:keepNext/>
      <w:numPr>
        <w:numId w:val="19"/>
      </w:numPr>
      <w:spacing w:before="360" w:after="60"/>
      <w:outlineLvl w:val="0"/>
    </w:pPr>
    <w:rPr>
      <w:rFonts w:cs="Arial"/>
      <w:b/>
      <w:sz w:val="28"/>
      <w:szCs w:val="32"/>
      <w:lang w:eastAsia="en-AU"/>
    </w:rPr>
  </w:style>
  <w:style w:type="paragraph" w:customStyle="1" w:styleId="Heading2outlinenum">
    <w:name w:val="Heading 2 outlinenum"/>
    <w:basedOn w:val="Heading2"/>
    <w:rsid w:val="00D618D5"/>
    <w:pPr>
      <w:numPr>
        <w:ilvl w:val="1"/>
        <w:numId w:val="19"/>
      </w:numPr>
      <w:tabs>
        <w:tab w:val="clear" w:pos="567"/>
        <w:tab w:val="num" w:pos="360"/>
      </w:tabs>
      <w:spacing w:before="360"/>
      <w:ind w:left="0" w:firstLine="0"/>
    </w:pPr>
    <w:rPr>
      <w:iCs w:val="0"/>
    </w:rPr>
  </w:style>
  <w:style w:type="paragraph" w:customStyle="1" w:styleId="Heading3outlinenum">
    <w:name w:val="Heading 3 outlinenum"/>
    <w:basedOn w:val="Heading3"/>
    <w:next w:val="Normal"/>
    <w:rsid w:val="00D618D5"/>
    <w:pPr>
      <w:numPr>
        <w:ilvl w:val="2"/>
        <w:numId w:val="19"/>
      </w:num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wcc.shamima@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faga.semesi@mfat.govt.nz"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lly.Morrell@mfat.govt.nz"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Nilesh.goundar@dfat.gov.a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olstice.Middleby@dfat.gov.au" TargetMode="External"/><Relationship Id="rId14" Type="http://schemas.openxmlformats.org/officeDocument/2006/relationships/hyperlink" Target="mailto:vandhna.narayan@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67CA49-50ED-4071-8CD7-9AD6D85C2E0D}"/>
</file>

<file path=customXml/itemProps2.xml><?xml version="1.0" encoding="utf-8"?>
<ds:datastoreItem xmlns:ds="http://schemas.openxmlformats.org/officeDocument/2006/customXml" ds:itemID="{56F7E3A5-2BB9-4276-90E8-BE39718E5397}"/>
</file>

<file path=customXml/itemProps3.xml><?xml version="1.0" encoding="utf-8"?>
<ds:datastoreItem xmlns:ds="http://schemas.openxmlformats.org/officeDocument/2006/customXml" ds:itemID="{D0D048C1-4934-416C-85C3-FACF8D96049C}"/>
</file>

<file path=customXml/itemProps4.xml><?xml version="1.0" encoding="utf-8"?>
<ds:datastoreItem xmlns:ds="http://schemas.openxmlformats.org/officeDocument/2006/customXml" ds:itemID="{A3D49F57-B163-470F-B2CD-4BEF912068EA}"/>
</file>

<file path=docProps/app.xml><?xml version="1.0" encoding="utf-8"?>
<Properties xmlns="http://schemas.openxmlformats.org/officeDocument/2006/extended-properties" xmlns:vt="http://schemas.openxmlformats.org/officeDocument/2006/docPropsVTypes">
  <Template>1453F5C.dotm</Template>
  <TotalTime>0</TotalTime>
  <Pages>13</Pages>
  <Words>2998</Words>
  <Characters>18565</Characters>
  <Application>Microsoft Office Word</Application>
  <DocSecurity>0</DocSecurity>
  <Lines>726</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2015-12-18T05:34:00Z</dcterms:created>
  <dcterms:modified xsi:type="dcterms:W3CDTF">2015-12-18T05:34:00Z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1001900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