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FA" w:rsidRPr="005C1FDC" w:rsidRDefault="00A23AFA" w:rsidP="00DF295B">
      <w:pPr>
        <w:pStyle w:val="Title"/>
        <w:spacing w:after="360"/>
        <w:ind w:left="2693" w:right="-624"/>
      </w:pPr>
      <w:bookmarkStart w:id="0" w:name="_GoBack"/>
      <w:bookmarkEnd w:id="0"/>
      <w:r w:rsidRPr="005C1FDC">
        <w:rPr>
          <w:lang w:val="en-AU" w:eastAsia="en-AU"/>
        </w:rPr>
        <w:drawing>
          <wp:anchor distT="0" distB="0" distL="114300" distR="114300" simplePos="0" relativeHeight="251673600" behindDoc="1" locked="1" layoutInCell="1" allowOverlap="1" wp14:anchorId="05DE5FB4" wp14:editId="3F0A2D05">
            <wp:simplePos x="0" y="0"/>
            <wp:positionH relativeFrom="page">
              <wp:posOffset>58420</wp:posOffset>
            </wp:positionH>
            <wp:positionV relativeFrom="page">
              <wp:posOffset>-22860</wp:posOffset>
            </wp:positionV>
            <wp:extent cx="7558405" cy="10691495"/>
            <wp:effectExtent l="0" t="0" r="4445" b="0"/>
            <wp:wrapNone/>
            <wp:docPr id="29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r>
        <w:t>Framework for supporting tax policy and administration through the aid program</w:t>
      </w:r>
    </w:p>
    <w:p w:rsidR="00A23AFA" w:rsidRPr="00D73771" w:rsidRDefault="00CE623F" w:rsidP="00DF295B">
      <w:pPr>
        <w:pStyle w:val="Subtitle"/>
        <w:ind w:left="2694" w:right="-624"/>
        <w:rPr>
          <w:color w:val="FFFFFF" w:themeColor="background1"/>
        </w:rPr>
        <w:sectPr w:rsidR="00A23AFA" w:rsidRPr="00D73771" w:rsidSect="00DF4B38">
          <w:headerReference w:type="default" r:id="rId10"/>
          <w:footerReference w:type="even" r:id="rId11"/>
          <w:footerReference w:type="default" r:id="rId12"/>
          <w:pgSz w:w="11907" w:h="16840" w:code="9"/>
          <w:pgMar w:top="2381" w:right="992" w:bottom="907" w:left="1871" w:header="851" w:footer="340" w:gutter="0"/>
          <w:cols w:space="720"/>
          <w:titlePg/>
          <w:docGrid w:linePitch="326"/>
        </w:sectPr>
      </w:pPr>
      <w:r>
        <w:rPr>
          <w:color w:val="FFFFFF" w:themeColor="background1"/>
        </w:rPr>
        <w:t>March</w:t>
      </w:r>
      <w:r w:rsidR="00A23AFA" w:rsidRPr="00D73771">
        <w:rPr>
          <w:color w:val="FFFFFF" w:themeColor="background1"/>
        </w:rPr>
        <w:t xml:space="preserve"> 201</w:t>
      </w:r>
      <w:r w:rsidR="00020EBA">
        <w:rPr>
          <w:color w:val="FFFFFF" w:themeColor="background1"/>
        </w:rPr>
        <w:t>6</w:t>
      </w:r>
    </w:p>
    <w:p w:rsidR="002D1433" w:rsidRPr="008C2A33" w:rsidRDefault="002D1433" w:rsidP="002D1433">
      <w:pPr>
        <w:pStyle w:val="03bHEADING4"/>
        <w:rPr>
          <w:rFonts w:ascii="Arial" w:hAnsi="Arial"/>
          <w:i w:val="0"/>
        </w:rPr>
      </w:pPr>
      <w:bookmarkStart w:id="1" w:name="_Toc434412421"/>
      <w:r w:rsidRPr="008C2A33">
        <w:rPr>
          <w:rFonts w:ascii="Arial" w:hAnsi="Arial"/>
          <w:i w:val="0"/>
        </w:rPr>
        <w:lastRenderedPageBreak/>
        <w:t>Creative Commons</w:t>
      </w: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r w:rsidRPr="00457A8E">
        <w:rPr>
          <w:rFonts w:ascii="Arial" w:hAnsi="Arial" w:cs="HelveticaNeue-Roman"/>
          <w:iCs/>
          <w:color w:val="000000"/>
          <w:sz w:val="16"/>
          <w:szCs w:val="16"/>
          <w:lang w:val="en-GB" w:eastAsia="ja-JP"/>
        </w:rPr>
        <w:t>With the exception of the Commonwealth Coat of Arms and where otherwise noted, such as copyrighted images, this booklet is licensed under a Creative Commons Attribution 3.0 Australia licence http://creativecommons.org/licenses/by/3.0/au/.</w:t>
      </w:r>
      <w:r w:rsidRPr="00457A8E">
        <w:rPr>
          <w:rFonts w:ascii="Arial" w:hAnsi="Arial" w:cs="HelveticaNeue-Roman"/>
          <w:iCs/>
          <w:color w:val="000000"/>
          <w:sz w:val="16"/>
          <w:szCs w:val="16"/>
          <w:lang w:val="en-GB" w:eastAsia="ja-JP"/>
        </w:rPr>
        <w:br/>
      </w: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r w:rsidRPr="00457A8E">
        <w:rPr>
          <w:rFonts w:ascii="Arial" w:hAnsi="Arial" w:cs="HelveticaNeue-Roman"/>
          <w:iCs/>
          <w:color w:val="000000"/>
          <w:sz w:val="16"/>
          <w:szCs w:val="16"/>
          <w:lang w:val="en-GB" w:eastAsia="ja-JP"/>
        </w:rPr>
        <w:t xml:space="preserve">The booklet should be attributed as Commonwealth of Australia, DFAT, </w:t>
      </w:r>
      <w:proofErr w:type="gramStart"/>
      <w:r>
        <w:rPr>
          <w:rFonts w:ascii="Arial" w:hAnsi="Arial" w:cs="HelveticaNeue-Roman"/>
          <w:iCs/>
          <w:color w:val="000000"/>
          <w:sz w:val="16"/>
          <w:szCs w:val="16"/>
          <w:lang w:val="en-GB" w:eastAsia="ja-JP"/>
        </w:rPr>
        <w:t>Framework</w:t>
      </w:r>
      <w:proofErr w:type="gramEnd"/>
      <w:r>
        <w:rPr>
          <w:rFonts w:ascii="Arial" w:hAnsi="Arial" w:cs="HelveticaNeue-Roman"/>
          <w:iCs/>
          <w:color w:val="000000"/>
          <w:sz w:val="16"/>
          <w:szCs w:val="16"/>
          <w:lang w:val="en-GB" w:eastAsia="ja-JP"/>
        </w:rPr>
        <w:t xml:space="preserve"> for supporting tax policy and administration through the aid program, March 2016.</w:t>
      </w:r>
      <w:r w:rsidRPr="00457A8E">
        <w:rPr>
          <w:rFonts w:ascii="Arial" w:hAnsi="Arial" w:cs="HelveticaNeue-Roman"/>
          <w:iCs/>
          <w:color w:val="000000"/>
          <w:sz w:val="16"/>
          <w:szCs w:val="16"/>
          <w:lang w:val="en-GB" w:eastAsia="ja-JP"/>
        </w:rPr>
        <w:br/>
      </w:r>
    </w:p>
    <w:p w:rsidR="002D1433" w:rsidRPr="00457A8E" w:rsidRDefault="002D1433" w:rsidP="002D1433">
      <w:pPr>
        <w:widowControl w:val="0"/>
        <w:suppressAutoHyphens/>
        <w:autoSpaceDE w:val="0"/>
        <w:autoSpaceDN w:val="0"/>
        <w:adjustRightInd w:val="0"/>
        <w:spacing w:before="283" w:after="113" w:line="288" w:lineRule="auto"/>
        <w:textAlignment w:val="center"/>
        <w:rPr>
          <w:rFonts w:ascii="Arial" w:hAnsi="Arial" w:cs="HelveticaNeue-MediumCond"/>
          <w:b/>
          <w:bCs/>
          <w:iCs/>
          <w:color w:val="000000"/>
          <w:sz w:val="20"/>
          <w:szCs w:val="20"/>
          <w:lang w:val="en-GB" w:eastAsia="ja-JP"/>
        </w:rPr>
      </w:pPr>
      <w:r w:rsidRPr="00457A8E">
        <w:rPr>
          <w:rFonts w:ascii="Arial" w:hAnsi="Arial" w:cs="HelveticaNeue-MediumCond"/>
          <w:b/>
          <w:bCs/>
          <w:iCs/>
          <w:color w:val="000000"/>
          <w:sz w:val="20"/>
          <w:szCs w:val="20"/>
          <w:lang w:val="en-GB" w:eastAsia="ja-JP"/>
        </w:rPr>
        <w:t>Use of the Coat of Arms</w:t>
      </w: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r w:rsidRPr="00457A8E">
        <w:rPr>
          <w:rFonts w:ascii="Arial" w:hAnsi="Arial" w:cs="HelveticaNeue-Roman"/>
          <w:iCs/>
          <w:color w:val="000000"/>
          <w:sz w:val="16"/>
          <w:szCs w:val="16"/>
          <w:lang w:val="en-GB" w:eastAsia="ja-JP"/>
        </w:rPr>
        <w:t xml:space="preserve">The terms under which the Coat of Arms can be used are detailed on the ‘It’s an Honour’ website </w:t>
      </w:r>
      <w:r w:rsidRPr="00457A8E">
        <w:rPr>
          <w:rFonts w:ascii="Arial" w:hAnsi="Arial" w:cs="HelveticaNeue-Roman"/>
          <w:iCs/>
          <w:color w:val="000000"/>
          <w:sz w:val="16"/>
          <w:szCs w:val="16"/>
          <w:lang w:val="en-GB" w:eastAsia="ja-JP"/>
        </w:rPr>
        <w:br/>
        <w:t>http://www.itsanhonour.gov.au/coat-arms/index.cfm.</w:t>
      </w: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r w:rsidRPr="00457A8E">
        <w:rPr>
          <w:rFonts w:ascii="Arial" w:hAnsi="Arial" w:cs="HelveticaNeue-Roman"/>
          <w:iCs/>
          <w:color w:val="000000"/>
          <w:sz w:val="16"/>
          <w:szCs w:val="16"/>
          <w:lang w:val="en-GB" w:eastAsia="ja-JP"/>
        </w:rPr>
        <w:t>Inquiries regarding the licence and any use of the booklet are welcome at:</w:t>
      </w: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r w:rsidRPr="00457A8E">
        <w:rPr>
          <w:rFonts w:ascii="Arial" w:hAnsi="Arial" w:cs="HelveticaNeue-Roman"/>
          <w:iCs/>
          <w:color w:val="000000"/>
          <w:sz w:val="16"/>
          <w:szCs w:val="16"/>
          <w:lang w:val="en-GB" w:eastAsia="ja-JP"/>
        </w:rPr>
        <w:t>Department of Foreign Affairs and Trade</w:t>
      </w:r>
      <w:r w:rsidRPr="00457A8E">
        <w:rPr>
          <w:rFonts w:ascii="Arial" w:hAnsi="Arial" w:cs="HelveticaNeue-Roman"/>
          <w:iCs/>
          <w:color w:val="000000"/>
          <w:sz w:val="16"/>
          <w:szCs w:val="16"/>
          <w:lang w:val="en-GB" w:eastAsia="ja-JP"/>
        </w:rPr>
        <w:br/>
        <w:t>R G Casey Building</w:t>
      </w:r>
      <w:r w:rsidRPr="00457A8E">
        <w:rPr>
          <w:rFonts w:ascii="Arial" w:hAnsi="Arial" w:cs="HelveticaNeue-Roman"/>
          <w:iCs/>
          <w:color w:val="000000"/>
          <w:sz w:val="16"/>
          <w:szCs w:val="16"/>
          <w:lang w:val="en-GB" w:eastAsia="ja-JP"/>
        </w:rPr>
        <w:br/>
        <w:t>John McEwen Crescent</w:t>
      </w:r>
      <w:r w:rsidRPr="00457A8E">
        <w:rPr>
          <w:rFonts w:ascii="Arial" w:hAnsi="Arial" w:cs="HelveticaNeue-Roman"/>
          <w:iCs/>
          <w:color w:val="000000"/>
          <w:sz w:val="16"/>
          <w:szCs w:val="16"/>
          <w:lang w:val="en-GB" w:eastAsia="ja-JP"/>
        </w:rPr>
        <w:br/>
        <w:t>Barton ACT 0221 Australia</w:t>
      </w:r>
    </w:p>
    <w:p w:rsidR="002D1433" w:rsidRPr="00457A8E"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val="en-GB" w:eastAsia="ja-JP"/>
        </w:rPr>
      </w:pPr>
      <w:r w:rsidRPr="00457A8E">
        <w:rPr>
          <w:rFonts w:ascii="Arial" w:hAnsi="Arial" w:cs="HelveticaNeue-Roman"/>
          <w:iCs/>
          <w:color w:val="000000"/>
          <w:sz w:val="16"/>
          <w:szCs w:val="16"/>
          <w:lang w:val="en-GB" w:eastAsia="ja-JP"/>
        </w:rPr>
        <w:t>Telephone +61 2 6261 1111</w:t>
      </w:r>
      <w:r w:rsidRPr="00457A8E">
        <w:rPr>
          <w:rFonts w:ascii="Arial" w:hAnsi="Arial" w:cs="HelveticaNeue-Roman"/>
          <w:iCs/>
          <w:color w:val="000000"/>
          <w:sz w:val="16"/>
          <w:szCs w:val="16"/>
          <w:lang w:val="en-GB" w:eastAsia="ja-JP"/>
        </w:rPr>
        <w:br/>
      </w:r>
      <w:r w:rsidR="00E204E1">
        <w:rPr>
          <w:rFonts w:ascii="Arial" w:hAnsi="Arial" w:cs="HelveticaNeue-Roman"/>
          <w:iCs/>
          <w:color w:val="000000"/>
          <w:sz w:val="16"/>
          <w:szCs w:val="16"/>
          <w:lang w:val="en-GB" w:eastAsia="ja-JP"/>
        </w:rPr>
        <w:t>developmenteconomics</w:t>
      </w:r>
      <w:r w:rsidRPr="00457A8E">
        <w:rPr>
          <w:rFonts w:ascii="Arial" w:hAnsi="Arial" w:cs="HelveticaNeue-Roman"/>
          <w:iCs/>
          <w:color w:val="000000"/>
          <w:sz w:val="16"/>
          <w:szCs w:val="16"/>
          <w:lang w:val="en-GB" w:eastAsia="ja-JP"/>
        </w:rPr>
        <w:t>@dfat.gov.au</w:t>
      </w:r>
    </w:p>
    <w:p w:rsidR="002D1433" w:rsidRDefault="002D1433" w:rsidP="002D1433">
      <w:pPr>
        <w:rPr>
          <w:rStyle w:val="A3"/>
        </w:rPr>
      </w:pPr>
    </w:p>
    <w:p w:rsidR="002D1433" w:rsidRPr="002D1433" w:rsidRDefault="002D1433" w:rsidP="002D1433">
      <w:pPr>
        <w:widowControl w:val="0"/>
        <w:suppressAutoHyphens/>
        <w:autoSpaceDE w:val="0"/>
        <w:autoSpaceDN w:val="0"/>
        <w:adjustRightInd w:val="0"/>
        <w:spacing w:after="113" w:line="280" w:lineRule="atLeast"/>
        <w:textAlignment w:val="center"/>
        <w:rPr>
          <w:rFonts w:ascii="Arial" w:hAnsi="Arial" w:cs="HelveticaNeue-Roman"/>
          <w:iCs/>
          <w:color w:val="000000"/>
          <w:sz w:val="16"/>
          <w:szCs w:val="16"/>
          <w:lang w:eastAsia="ja-JP"/>
        </w:rPr>
      </w:pPr>
      <w:r w:rsidRPr="00F14AF7">
        <w:rPr>
          <w:rFonts w:ascii="Arial" w:hAnsi="Arial" w:cs="HelveticaNeue-Roman"/>
          <w:iCs/>
          <w:color w:val="000000"/>
          <w:sz w:val="16"/>
          <w:szCs w:val="16"/>
          <w:lang w:val="en-GB" w:eastAsia="ja-JP"/>
        </w:rPr>
        <w:t>ISBN</w:t>
      </w:r>
      <w:r>
        <w:rPr>
          <w:rFonts w:ascii="Arial" w:hAnsi="Arial" w:cs="HelveticaNeue-Roman"/>
          <w:iCs/>
          <w:color w:val="000000"/>
          <w:sz w:val="16"/>
          <w:szCs w:val="16"/>
          <w:lang w:val="en-GB" w:eastAsia="ja-JP"/>
        </w:rPr>
        <w:br/>
      </w:r>
      <w:r w:rsidRPr="002D1433">
        <w:rPr>
          <w:rFonts w:ascii="Arial" w:hAnsi="Arial" w:cs="HelveticaNeue-Roman"/>
          <w:iCs/>
          <w:color w:val="000000"/>
          <w:sz w:val="16"/>
          <w:szCs w:val="16"/>
          <w:lang w:eastAsia="ja-JP"/>
        </w:rPr>
        <w:t>PDF document: 978-1-74322-312-3</w:t>
      </w:r>
      <w:r>
        <w:rPr>
          <w:rFonts w:ascii="Arial" w:hAnsi="Arial" w:cs="HelveticaNeue-Roman"/>
          <w:iCs/>
          <w:color w:val="000000"/>
          <w:sz w:val="16"/>
          <w:szCs w:val="16"/>
          <w:lang w:eastAsia="ja-JP"/>
        </w:rPr>
        <w:br/>
      </w:r>
      <w:r w:rsidRPr="002D1433">
        <w:rPr>
          <w:rFonts w:ascii="Arial" w:hAnsi="Arial" w:cs="HelveticaNeue-Roman"/>
          <w:iCs/>
          <w:color w:val="000000"/>
          <w:sz w:val="16"/>
          <w:szCs w:val="16"/>
          <w:lang w:eastAsia="ja-JP"/>
        </w:rPr>
        <w:t>Word document: 978-1-74322-313-0</w:t>
      </w:r>
    </w:p>
    <w:p w:rsidR="002D1433" w:rsidRDefault="002D1433" w:rsidP="002D1433">
      <w:pPr>
        <w:widowControl w:val="0"/>
        <w:suppressAutoHyphens/>
        <w:autoSpaceDE w:val="0"/>
        <w:autoSpaceDN w:val="0"/>
        <w:adjustRightInd w:val="0"/>
        <w:spacing w:after="113" w:line="280" w:lineRule="atLeast"/>
        <w:textAlignment w:val="center"/>
        <w:rPr>
          <w:rFonts w:ascii="Arial" w:hAnsi="Arial" w:cs="Arial"/>
          <w:color w:val="FFFFFF" w:themeColor="background1"/>
          <w:spacing w:val="-10"/>
          <w:kern w:val="28"/>
          <w:sz w:val="50"/>
          <w:szCs w:val="50"/>
        </w:rPr>
      </w:pPr>
      <w:r>
        <w:br w:type="page"/>
      </w:r>
    </w:p>
    <w:p w:rsidR="00A23AFA" w:rsidRDefault="00E204E1" w:rsidP="0083342A">
      <w:pPr>
        <w:pStyle w:val="Heading1"/>
        <w:jc w:val="both"/>
      </w:pPr>
      <w:r>
        <w:lastRenderedPageBreak/>
        <w:br/>
      </w:r>
      <w:r w:rsidR="00A23AFA" w:rsidRPr="006B52A7">
        <w:t>Purpose</w:t>
      </w:r>
      <w:bookmarkEnd w:id="1"/>
    </w:p>
    <w:p w:rsidR="0032070E" w:rsidRPr="0032070E" w:rsidRDefault="0032070E" w:rsidP="0083342A">
      <w:pPr>
        <w:jc w:val="both"/>
      </w:pPr>
    </w:p>
    <w:p w:rsidR="00666EC7" w:rsidRDefault="005916FE" w:rsidP="0083342A">
      <w:pPr>
        <w:pStyle w:val="BodyText"/>
        <w:jc w:val="both"/>
        <w:rPr>
          <w:rFonts w:eastAsiaTheme="minorHAnsi"/>
          <w:vertAlign w:val="superscript"/>
        </w:rPr>
      </w:pPr>
      <w:r>
        <w:rPr>
          <w:b/>
          <w:szCs w:val="22"/>
        </w:rPr>
        <w:t>This framework aims to guide Australia’s approach</w:t>
      </w:r>
      <w:r w:rsidRPr="00722338">
        <w:rPr>
          <w:b/>
          <w:szCs w:val="22"/>
        </w:rPr>
        <w:t xml:space="preserve"> </w:t>
      </w:r>
      <w:r>
        <w:rPr>
          <w:b/>
          <w:szCs w:val="22"/>
        </w:rPr>
        <w:t xml:space="preserve">to </w:t>
      </w:r>
      <w:r w:rsidRPr="00722338">
        <w:rPr>
          <w:b/>
          <w:szCs w:val="22"/>
        </w:rPr>
        <w:t>assist</w:t>
      </w:r>
      <w:r>
        <w:rPr>
          <w:b/>
          <w:szCs w:val="22"/>
        </w:rPr>
        <w:t>ing</w:t>
      </w:r>
      <w:r w:rsidRPr="00722338">
        <w:rPr>
          <w:b/>
          <w:szCs w:val="22"/>
        </w:rPr>
        <w:t xml:space="preserve"> partner governments to </w:t>
      </w:r>
      <w:r>
        <w:rPr>
          <w:b/>
          <w:szCs w:val="22"/>
        </w:rPr>
        <w:t>achieve their tax policy and administration goals</w:t>
      </w:r>
      <w:r w:rsidRPr="00722338">
        <w:rPr>
          <w:b/>
          <w:szCs w:val="22"/>
        </w:rPr>
        <w:t>.</w:t>
      </w:r>
      <w:r w:rsidR="00DF3DA9" w:rsidRPr="001A3EBA">
        <w:rPr>
          <w:rStyle w:val="FootnoteReference"/>
          <w:szCs w:val="22"/>
        </w:rPr>
        <w:footnoteReference w:id="1"/>
      </w:r>
      <w:r w:rsidRPr="00722338">
        <w:rPr>
          <w:szCs w:val="22"/>
        </w:rPr>
        <w:t xml:space="preserve"> The framework should be read in conjuncti</w:t>
      </w:r>
      <w:r>
        <w:rPr>
          <w:szCs w:val="22"/>
        </w:rPr>
        <w:t xml:space="preserve">on with the </w:t>
      </w:r>
      <w:r w:rsidR="00666EC7">
        <w:rPr>
          <w:szCs w:val="22"/>
        </w:rPr>
        <w:t xml:space="preserve">Effective </w:t>
      </w:r>
      <w:r>
        <w:rPr>
          <w:szCs w:val="22"/>
        </w:rPr>
        <w:t>Governance Strategy.</w:t>
      </w:r>
      <w:r w:rsidR="00DF3DA9">
        <w:rPr>
          <w:rStyle w:val="FootnoteReference"/>
          <w:szCs w:val="22"/>
        </w:rPr>
        <w:footnoteReference w:id="2"/>
      </w:r>
    </w:p>
    <w:p w:rsidR="00666EC7" w:rsidRDefault="00B86572" w:rsidP="0083342A">
      <w:pPr>
        <w:pStyle w:val="BodyText"/>
        <w:jc w:val="both"/>
        <w:rPr>
          <w:rFonts w:eastAsiaTheme="minorHAnsi"/>
        </w:rPr>
      </w:pPr>
      <w:r>
        <w:rPr>
          <w:rFonts w:eastAsiaTheme="minorHAnsi"/>
          <w:b/>
        </w:rPr>
        <w:t>A</w:t>
      </w:r>
      <w:r w:rsidR="003F0342" w:rsidRPr="00DB21B5">
        <w:rPr>
          <w:rFonts w:eastAsiaTheme="minorHAnsi"/>
          <w:b/>
        </w:rPr>
        <w:t xml:space="preserve"> sustainable revenue base is a prerequisite for resilient and sustained economic growth.</w:t>
      </w:r>
      <w:r w:rsidR="003F0342" w:rsidRPr="00DB21B5">
        <w:rPr>
          <w:rFonts w:eastAsiaTheme="minorHAnsi"/>
        </w:rPr>
        <w:t xml:space="preserve"> </w:t>
      </w:r>
      <w:r w:rsidR="003F0342" w:rsidRPr="005114B5">
        <w:rPr>
          <w:rFonts w:eastAsiaTheme="minorHAnsi"/>
        </w:rPr>
        <w:t>Domestic tax revenue provides a foundation on which governments can plan their recurrent expenditure,</w:t>
      </w:r>
      <w:r w:rsidR="00DF3DA9">
        <w:rPr>
          <w:rFonts w:eastAsiaTheme="minorHAnsi"/>
        </w:rPr>
        <w:t xml:space="preserve"> make</w:t>
      </w:r>
      <w:r w:rsidR="003F0342" w:rsidRPr="005114B5">
        <w:rPr>
          <w:rFonts w:eastAsiaTheme="minorHAnsi"/>
        </w:rPr>
        <w:t xml:space="preserve"> invest</w:t>
      </w:r>
      <w:r w:rsidR="00DF3DA9">
        <w:rPr>
          <w:rFonts w:eastAsiaTheme="minorHAnsi"/>
        </w:rPr>
        <w:t>ments</w:t>
      </w:r>
      <w:r w:rsidR="007004DC">
        <w:rPr>
          <w:rFonts w:eastAsiaTheme="minorHAnsi"/>
        </w:rPr>
        <w:t xml:space="preserve"> in essential infrastructure and institutions</w:t>
      </w:r>
      <w:r w:rsidR="00DF3DA9">
        <w:rPr>
          <w:rFonts w:eastAsiaTheme="minorHAnsi"/>
        </w:rPr>
        <w:t>,</w:t>
      </w:r>
      <w:r w:rsidR="003F0342" w:rsidRPr="005114B5">
        <w:rPr>
          <w:rFonts w:eastAsiaTheme="minorHAnsi"/>
        </w:rPr>
        <w:t xml:space="preserve"> an</w:t>
      </w:r>
      <w:r w:rsidR="003F0342" w:rsidRPr="005114B5">
        <w:rPr>
          <w:lang w:eastAsia="en-AU"/>
        </w:rPr>
        <w:t>d encourage job growth</w:t>
      </w:r>
      <w:r w:rsidR="003F0342" w:rsidRPr="003F0342">
        <w:rPr>
          <w:lang w:eastAsia="en-AU"/>
        </w:rPr>
        <w:t xml:space="preserve">. </w:t>
      </w:r>
      <w:r w:rsidR="003F0342" w:rsidRPr="00537068">
        <w:rPr>
          <w:lang w:eastAsia="en-AU"/>
        </w:rPr>
        <w:t xml:space="preserve">In </w:t>
      </w:r>
      <w:r w:rsidR="00606480">
        <w:rPr>
          <w:lang w:eastAsia="en-AU"/>
        </w:rPr>
        <w:t>addition, an efficient and well-</w:t>
      </w:r>
      <w:r w:rsidR="003F0342" w:rsidRPr="00537068">
        <w:rPr>
          <w:lang w:eastAsia="en-AU"/>
        </w:rPr>
        <w:t xml:space="preserve">administered tax system is important </w:t>
      </w:r>
      <w:r>
        <w:rPr>
          <w:lang w:eastAsia="en-AU"/>
        </w:rPr>
        <w:t xml:space="preserve">for </w:t>
      </w:r>
      <w:r w:rsidR="003F0342" w:rsidRPr="00537068">
        <w:rPr>
          <w:lang w:eastAsia="en-AU"/>
        </w:rPr>
        <w:t xml:space="preserve">state-building and sends a message about the overall quality of governance in a country. This, in turn, can contribute to creating an </w:t>
      </w:r>
      <w:r w:rsidR="003F0342" w:rsidRPr="00722338">
        <w:t xml:space="preserve">enabling environment </w:t>
      </w:r>
      <w:r w:rsidR="00831EC4">
        <w:t>for</w:t>
      </w:r>
      <w:r w:rsidR="003F0342" w:rsidRPr="00722338">
        <w:t xml:space="preserve"> the private sector </w:t>
      </w:r>
      <w:r w:rsidR="00A42881">
        <w:t xml:space="preserve">to flourish </w:t>
      </w:r>
      <w:r w:rsidR="003F0342" w:rsidRPr="00722338">
        <w:t>and is conducive to attracting global investment</w:t>
      </w:r>
      <w:r w:rsidR="003F0342">
        <w:t xml:space="preserve">. </w:t>
      </w:r>
      <w:r w:rsidR="003F0342" w:rsidRPr="00DB21B5">
        <w:rPr>
          <w:rFonts w:eastAsiaTheme="minorHAnsi"/>
        </w:rPr>
        <w:t>Support for this process is consistent with Australia’s aid framework, which identifies a role for the aid program in developing the capacity of countries to mobilise domestic resources</w:t>
      </w:r>
      <w:r w:rsidR="00DF3DA9">
        <w:rPr>
          <w:rFonts w:eastAsiaTheme="minorHAnsi"/>
        </w:rPr>
        <w:t>.</w:t>
      </w:r>
      <w:r w:rsidR="00DF40BA">
        <w:rPr>
          <w:rStyle w:val="FootnoteReference"/>
          <w:rFonts w:eastAsiaTheme="minorHAnsi"/>
          <w:szCs w:val="22"/>
        </w:rPr>
        <w:footnoteReference w:id="3"/>
      </w:r>
      <w:r w:rsidR="003F0342" w:rsidRPr="00DB21B5">
        <w:rPr>
          <w:rFonts w:eastAsiaTheme="minorHAnsi"/>
        </w:rPr>
        <w:t xml:space="preserve"> </w:t>
      </w:r>
    </w:p>
    <w:p w:rsidR="00296FF7" w:rsidRPr="00666EC7" w:rsidRDefault="00296FF7" w:rsidP="0083342A">
      <w:pPr>
        <w:pStyle w:val="BodyText"/>
        <w:jc w:val="both"/>
        <w:rPr>
          <w:rFonts w:eastAsiaTheme="minorHAnsi"/>
        </w:rPr>
      </w:pPr>
      <w:r w:rsidRPr="00A77128">
        <w:rPr>
          <w:b/>
          <w:szCs w:val="22"/>
        </w:rPr>
        <w:t>Taxation is central to the relationship between citizens and the state.</w:t>
      </w:r>
      <w:r w:rsidR="009C2844">
        <w:rPr>
          <w:szCs w:val="22"/>
        </w:rPr>
        <w:t xml:space="preserve"> </w:t>
      </w:r>
      <w:r w:rsidRPr="00A77128">
        <w:rPr>
          <w:szCs w:val="22"/>
        </w:rPr>
        <w:t>The role of the state in revenue collection helps establish an accountable, responsive and ultimately legitimate state. In the case of fragile states, the over-reliance on natural resources or foreign aid for revenue has raised questions on whether a stronger focus on domestic taxation could lead to a “governance dividend</w:t>
      </w:r>
      <w:r w:rsidR="002151C0">
        <w:rPr>
          <w:szCs w:val="22"/>
        </w:rPr>
        <w:t>”</w:t>
      </w:r>
      <w:r w:rsidRPr="00A77128">
        <w:rPr>
          <w:szCs w:val="22"/>
        </w:rPr>
        <w:t>.</w:t>
      </w:r>
      <w:r w:rsidR="002151C0">
        <w:rPr>
          <w:rStyle w:val="FootnoteReference"/>
          <w:szCs w:val="22"/>
        </w:rPr>
        <w:footnoteReference w:id="4"/>
      </w:r>
      <w:r w:rsidRPr="008221AF">
        <w:rPr>
          <w:rStyle w:val="FootnoteReference"/>
          <w:szCs w:val="22"/>
          <w:vertAlign w:val="baseline"/>
        </w:rPr>
        <w:t xml:space="preserve"> </w:t>
      </w:r>
      <w:r w:rsidRPr="00A77128">
        <w:rPr>
          <w:szCs w:val="22"/>
        </w:rPr>
        <w:t xml:space="preserve">For this reason, an investment in broadening a country’s tax base can be worthwhile even where it does not yield large </w:t>
      </w:r>
      <w:r>
        <w:rPr>
          <w:szCs w:val="22"/>
        </w:rPr>
        <w:t xml:space="preserve">or </w:t>
      </w:r>
      <w:r w:rsidRPr="00A77128">
        <w:rPr>
          <w:szCs w:val="22"/>
        </w:rPr>
        <w:t>immediate revenue gains</w:t>
      </w:r>
      <w:r>
        <w:rPr>
          <w:szCs w:val="22"/>
        </w:rPr>
        <w:t>.</w:t>
      </w:r>
    </w:p>
    <w:p w:rsidR="00666EC7" w:rsidRDefault="006E27EF" w:rsidP="0083342A">
      <w:pPr>
        <w:pStyle w:val="BodyText"/>
        <w:jc w:val="both"/>
        <w:rPr>
          <w:rFonts w:eastAsiaTheme="minorHAnsi"/>
        </w:rPr>
      </w:pPr>
      <w:r w:rsidRPr="00666EC7">
        <w:rPr>
          <w:rFonts w:eastAsiaTheme="minorHAnsi"/>
          <w:b/>
        </w:rPr>
        <w:t xml:space="preserve">The </w:t>
      </w:r>
      <w:r w:rsidR="005A6AEF">
        <w:rPr>
          <w:rFonts w:eastAsiaTheme="minorHAnsi"/>
          <w:b/>
        </w:rPr>
        <w:t>Third International Conference on</w:t>
      </w:r>
      <w:r w:rsidR="00DF40BA" w:rsidRPr="00666EC7">
        <w:rPr>
          <w:rFonts w:eastAsiaTheme="minorHAnsi"/>
          <w:b/>
        </w:rPr>
        <w:t xml:space="preserve"> </w:t>
      </w:r>
      <w:r w:rsidRPr="00666EC7">
        <w:rPr>
          <w:rFonts w:eastAsiaTheme="minorHAnsi"/>
          <w:b/>
        </w:rPr>
        <w:t xml:space="preserve">Financing for Development </w:t>
      </w:r>
      <w:r w:rsidR="005A6AEF">
        <w:rPr>
          <w:rFonts w:eastAsiaTheme="minorHAnsi"/>
          <w:b/>
        </w:rPr>
        <w:t xml:space="preserve">in July 2015 </w:t>
      </w:r>
      <w:r w:rsidRPr="00666EC7">
        <w:rPr>
          <w:rFonts w:eastAsiaTheme="minorHAnsi"/>
          <w:b/>
        </w:rPr>
        <w:t>recognised that increased Domestic Resource Mobilisation (DRM) will be integral to financing the Post</w:t>
      </w:r>
      <w:r w:rsidR="00755065">
        <w:rPr>
          <w:rFonts w:eastAsiaTheme="minorHAnsi"/>
          <w:b/>
        </w:rPr>
        <w:t>-</w:t>
      </w:r>
      <w:r w:rsidRPr="00666EC7">
        <w:rPr>
          <w:rFonts w:eastAsiaTheme="minorHAnsi"/>
          <w:b/>
        </w:rPr>
        <w:t xml:space="preserve">2015 </w:t>
      </w:r>
      <w:r w:rsidR="00755065">
        <w:rPr>
          <w:rFonts w:eastAsiaTheme="minorHAnsi"/>
          <w:b/>
        </w:rPr>
        <w:t>D</w:t>
      </w:r>
      <w:r w:rsidRPr="00666EC7">
        <w:rPr>
          <w:rFonts w:eastAsiaTheme="minorHAnsi"/>
          <w:b/>
        </w:rPr>
        <w:t xml:space="preserve">evelopment </w:t>
      </w:r>
      <w:r w:rsidR="00755065">
        <w:rPr>
          <w:rFonts w:eastAsiaTheme="minorHAnsi"/>
          <w:b/>
        </w:rPr>
        <w:t>A</w:t>
      </w:r>
      <w:r w:rsidRPr="00666EC7">
        <w:rPr>
          <w:rFonts w:eastAsiaTheme="minorHAnsi"/>
          <w:b/>
        </w:rPr>
        <w:t>genda.</w:t>
      </w:r>
      <w:r>
        <w:rPr>
          <w:rFonts w:eastAsiaTheme="minorHAnsi"/>
        </w:rPr>
        <w:t xml:space="preserve"> </w:t>
      </w:r>
      <w:r w:rsidRPr="00FC21E0">
        <w:rPr>
          <w:rFonts w:eastAsiaTheme="minorHAnsi"/>
        </w:rPr>
        <w:t>In recognition of this, Australia is a founding member of the Addis Tax Initiative (ATI), which will support developing countries to strengthen their tax systems, increase their domestic resource mobilisation</w:t>
      </w:r>
      <w:r w:rsidR="001A114A">
        <w:rPr>
          <w:rFonts w:eastAsiaTheme="minorHAnsi"/>
        </w:rPr>
        <w:t>,</w:t>
      </w:r>
      <w:r w:rsidRPr="00FC21E0">
        <w:rPr>
          <w:rFonts w:eastAsiaTheme="minorHAnsi"/>
        </w:rPr>
        <w:t xml:space="preserve"> and promote stronger economic governance.</w:t>
      </w:r>
    </w:p>
    <w:p w:rsidR="006E27EF" w:rsidRPr="002151C0" w:rsidRDefault="006E27EF" w:rsidP="0083342A">
      <w:pPr>
        <w:pStyle w:val="BodyText"/>
        <w:jc w:val="both"/>
        <w:rPr>
          <w:rFonts w:eastAsiaTheme="minorHAnsi"/>
        </w:rPr>
      </w:pPr>
      <w:r w:rsidRPr="00666EC7">
        <w:rPr>
          <w:rFonts w:eastAsiaTheme="minorHAnsi"/>
          <w:b/>
        </w:rPr>
        <w:t xml:space="preserve">The ATI commits Australia to </w:t>
      </w:r>
      <w:r w:rsidR="001A114A" w:rsidRPr="00666EC7">
        <w:rPr>
          <w:rFonts w:eastAsiaTheme="minorHAnsi"/>
          <w:b/>
        </w:rPr>
        <w:t xml:space="preserve">doubling </w:t>
      </w:r>
      <w:r w:rsidRPr="00666EC7">
        <w:rPr>
          <w:rFonts w:eastAsiaTheme="minorHAnsi"/>
          <w:b/>
        </w:rPr>
        <w:t>its investments to support tax systems</w:t>
      </w:r>
      <w:r w:rsidR="001A114A" w:rsidRPr="00666EC7">
        <w:rPr>
          <w:rFonts w:eastAsiaTheme="minorHAnsi"/>
          <w:b/>
        </w:rPr>
        <w:t xml:space="preserve"> in developing countries</w:t>
      </w:r>
      <w:r w:rsidRPr="00666EC7">
        <w:rPr>
          <w:rFonts w:eastAsiaTheme="minorHAnsi"/>
          <w:b/>
        </w:rPr>
        <w:t xml:space="preserve"> by 2020.</w:t>
      </w:r>
      <w:r w:rsidR="007E0092">
        <w:rPr>
          <w:rFonts w:eastAsiaTheme="minorHAnsi"/>
          <w:b/>
          <w:szCs w:val="22"/>
        </w:rPr>
        <w:t xml:space="preserve"> </w:t>
      </w:r>
      <w:r w:rsidR="007E0092" w:rsidRPr="002151C0">
        <w:rPr>
          <w:rFonts w:eastAsiaTheme="minorHAnsi"/>
          <w:szCs w:val="22"/>
        </w:rPr>
        <w:t>In 2013-14, 0.3 per cent</w:t>
      </w:r>
      <w:r w:rsidR="00022DA7">
        <w:rPr>
          <w:rFonts w:eastAsiaTheme="minorHAnsi"/>
          <w:szCs w:val="22"/>
        </w:rPr>
        <w:t xml:space="preserve"> or $15.7 million</w:t>
      </w:r>
      <w:r w:rsidR="007E0092" w:rsidRPr="002151C0">
        <w:rPr>
          <w:rFonts w:eastAsiaTheme="minorHAnsi"/>
          <w:szCs w:val="22"/>
        </w:rPr>
        <w:t xml:space="preserve"> of Australia’s official development assistance </w:t>
      </w:r>
      <w:r w:rsidR="00755065">
        <w:rPr>
          <w:rFonts w:eastAsiaTheme="minorHAnsi"/>
          <w:szCs w:val="22"/>
        </w:rPr>
        <w:t xml:space="preserve">(ODA) </w:t>
      </w:r>
      <w:r w:rsidR="007E0092" w:rsidRPr="002151C0">
        <w:rPr>
          <w:rFonts w:eastAsiaTheme="minorHAnsi"/>
          <w:szCs w:val="22"/>
        </w:rPr>
        <w:t xml:space="preserve">was </w:t>
      </w:r>
      <w:r w:rsidR="007004DC">
        <w:rPr>
          <w:rFonts w:eastAsiaTheme="minorHAnsi"/>
          <w:szCs w:val="22"/>
        </w:rPr>
        <w:t xml:space="preserve">used </w:t>
      </w:r>
      <w:r w:rsidR="007E0092" w:rsidRPr="002151C0">
        <w:rPr>
          <w:rFonts w:eastAsiaTheme="minorHAnsi"/>
          <w:szCs w:val="22"/>
        </w:rPr>
        <w:t>to</w:t>
      </w:r>
      <w:r w:rsidR="007004DC">
        <w:rPr>
          <w:rFonts w:eastAsiaTheme="minorHAnsi"/>
          <w:szCs w:val="22"/>
        </w:rPr>
        <w:t xml:space="preserve"> fund DRM-related activities across a range of programs.</w:t>
      </w:r>
      <w:r w:rsidR="00346EE7">
        <w:rPr>
          <w:rFonts w:eastAsiaTheme="minorHAnsi"/>
          <w:szCs w:val="22"/>
        </w:rPr>
        <w:t xml:space="preserve"> </w:t>
      </w:r>
    </w:p>
    <w:p w:rsidR="00EB3859" w:rsidRPr="00F21C3C" w:rsidRDefault="00DE6FCA" w:rsidP="0083342A">
      <w:pPr>
        <w:pStyle w:val="Heading1"/>
        <w:jc w:val="both"/>
      </w:pPr>
      <w:bookmarkStart w:id="2" w:name="_Toc434412422"/>
      <w:r w:rsidRPr="00F21C3C">
        <w:t>C</w:t>
      </w:r>
      <w:r w:rsidR="00A23AFA" w:rsidRPr="00F21C3C">
        <w:t>ontext</w:t>
      </w:r>
      <w:bookmarkEnd w:id="2"/>
      <w:r w:rsidR="00A23AFA" w:rsidRPr="00F21C3C">
        <w:t xml:space="preserve"> </w:t>
      </w:r>
    </w:p>
    <w:p w:rsidR="001A114A" w:rsidRPr="001A114A" w:rsidRDefault="001A114A" w:rsidP="0083342A">
      <w:pPr>
        <w:jc w:val="both"/>
      </w:pPr>
    </w:p>
    <w:p w:rsidR="00666EC7" w:rsidRDefault="00F31835" w:rsidP="0083342A">
      <w:pPr>
        <w:pStyle w:val="BodyText"/>
        <w:jc w:val="both"/>
      </w:pPr>
      <w:r>
        <w:rPr>
          <w:b/>
        </w:rPr>
        <w:t xml:space="preserve">Tax revenue provides governments with the funds necessary to deliver public services, </w:t>
      </w:r>
      <w:r w:rsidR="001A114A">
        <w:rPr>
          <w:b/>
        </w:rPr>
        <w:t xml:space="preserve">make </w:t>
      </w:r>
      <w:r>
        <w:rPr>
          <w:b/>
        </w:rPr>
        <w:t>invest</w:t>
      </w:r>
      <w:r w:rsidR="001A114A">
        <w:rPr>
          <w:b/>
        </w:rPr>
        <w:t>ments,</w:t>
      </w:r>
      <w:r>
        <w:rPr>
          <w:b/>
        </w:rPr>
        <w:t xml:space="preserve"> and relieve poverty. </w:t>
      </w:r>
      <w:r w:rsidRPr="008A013D">
        <w:t>Secure and adequate tax revenue allow</w:t>
      </w:r>
      <w:r w:rsidR="00F86A0B">
        <w:t>s</w:t>
      </w:r>
      <w:r w:rsidRPr="008A013D">
        <w:t xml:space="preserve"> governments to plan their expenditure and reduce their reliance on external sources of finance, including aid</w:t>
      </w:r>
      <w:r w:rsidR="007004DC">
        <w:t xml:space="preserve"> and loans</w:t>
      </w:r>
      <w:r w:rsidRPr="008A013D">
        <w:t xml:space="preserve">. </w:t>
      </w:r>
      <w:r>
        <w:t>D</w:t>
      </w:r>
      <w:r w:rsidRPr="008A013D">
        <w:t xml:space="preserve">eveloping </w:t>
      </w:r>
      <w:r w:rsidR="00D31376" w:rsidRPr="008A013D">
        <w:t xml:space="preserve">countries </w:t>
      </w:r>
      <w:r>
        <w:t xml:space="preserve">have made great progress in expanding their tax revenue </w:t>
      </w:r>
      <w:r w:rsidR="00D31376" w:rsidRPr="008A013D">
        <w:t>over time, but more can be done</w:t>
      </w:r>
      <w:r w:rsidR="00D31376" w:rsidRPr="00F31835">
        <w:t>.</w:t>
      </w:r>
      <w:r w:rsidR="00D31376">
        <w:t xml:space="preserve"> </w:t>
      </w:r>
    </w:p>
    <w:p w:rsidR="00190941" w:rsidRPr="00666EC7" w:rsidRDefault="00185C42" w:rsidP="0083342A">
      <w:pPr>
        <w:pStyle w:val="BodyText"/>
        <w:jc w:val="both"/>
      </w:pPr>
      <w:r w:rsidRPr="00666EC7">
        <w:rPr>
          <w:rStyle w:val="BodyTextChar"/>
          <w:b/>
        </w:rPr>
        <w:t>Over the period 2000 to 2011, there was a four-fold expansion in general government revenues in all emerging and developing economies (from US$1.5 trillion to US$7</w:t>
      </w:r>
      <w:r w:rsidR="001A114A" w:rsidRPr="00666EC7">
        <w:rPr>
          <w:rStyle w:val="BodyTextChar"/>
          <w:b/>
        </w:rPr>
        <w:t> </w:t>
      </w:r>
      <w:r w:rsidRPr="00666EC7">
        <w:rPr>
          <w:rStyle w:val="BodyTextChar"/>
          <w:b/>
        </w:rPr>
        <w:t>trillion).</w:t>
      </w:r>
      <w:r w:rsidRPr="00666EC7">
        <w:rPr>
          <w:rStyle w:val="BodyTextChar"/>
        </w:rPr>
        <w:t xml:space="preserve"> The </w:t>
      </w:r>
      <w:r w:rsidR="00666036">
        <w:rPr>
          <w:rStyle w:val="BodyTextChar"/>
        </w:rPr>
        <w:t>International Monetary Fund (</w:t>
      </w:r>
      <w:r w:rsidRPr="00666EC7">
        <w:rPr>
          <w:rStyle w:val="BodyTextChar"/>
        </w:rPr>
        <w:t>IMF</w:t>
      </w:r>
      <w:r w:rsidR="00666036">
        <w:rPr>
          <w:rStyle w:val="BodyTextChar"/>
        </w:rPr>
        <w:t>)</w:t>
      </w:r>
      <w:r w:rsidRPr="00666EC7">
        <w:rPr>
          <w:rStyle w:val="BodyTextChar"/>
        </w:rPr>
        <w:t xml:space="preserve"> forecasts that this </w:t>
      </w:r>
      <w:r w:rsidR="001A114A" w:rsidRPr="00666EC7">
        <w:rPr>
          <w:rStyle w:val="BodyTextChar"/>
        </w:rPr>
        <w:t xml:space="preserve">growth </w:t>
      </w:r>
      <w:r w:rsidRPr="00666EC7">
        <w:rPr>
          <w:rStyle w:val="BodyTextChar"/>
        </w:rPr>
        <w:t>in government revenues will continue and will reach US$10.7 trillion in 2017.</w:t>
      </w:r>
      <w:r w:rsidR="000320CA" w:rsidRPr="00666EC7">
        <w:rPr>
          <w:rStyle w:val="BodyTextChar"/>
        </w:rPr>
        <w:t xml:space="preserve"> </w:t>
      </w:r>
      <w:r w:rsidR="00B967D5" w:rsidRPr="00666EC7">
        <w:rPr>
          <w:rStyle w:val="BodyTextChar"/>
        </w:rPr>
        <w:t xml:space="preserve">Figure 1 </w:t>
      </w:r>
      <w:r w:rsidR="00B967D5" w:rsidRPr="00666EC7">
        <w:rPr>
          <w:rStyle w:val="BodyTextChar"/>
        </w:rPr>
        <w:lastRenderedPageBreak/>
        <w:t xml:space="preserve">illustrates changes in tax revenue as a per cent of </w:t>
      </w:r>
      <w:r w:rsidR="00605E80">
        <w:rPr>
          <w:rStyle w:val="BodyTextChar"/>
        </w:rPr>
        <w:t>gross domestic product (</w:t>
      </w:r>
      <w:r w:rsidR="00B967D5" w:rsidRPr="00666EC7">
        <w:rPr>
          <w:rStyle w:val="BodyTextChar"/>
        </w:rPr>
        <w:t>GDP</w:t>
      </w:r>
      <w:r w:rsidR="00605E80">
        <w:rPr>
          <w:rStyle w:val="BodyTextChar"/>
        </w:rPr>
        <w:t>)</w:t>
      </w:r>
      <w:r w:rsidR="00B967D5" w:rsidRPr="00666EC7">
        <w:rPr>
          <w:rStyle w:val="BodyTextChar"/>
        </w:rPr>
        <w:t xml:space="preserve"> from 2000 </w:t>
      </w:r>
      <w:r w:rsidR="007C354E">
        <w:rPr>
          <w:rStyle w:val="BodyTextChar"/>
        </w:rPr>
        <w:t>to 2013</w:t>
      </w:r>
      <w:r w:rsidR="00B967D5" w:rsidRPr="00666EC7">
        <w:rPr>
          <w:rStyle w:val="BodyTextChar"/>
        </w:rPr>
        <w:t>.</w:t>
      </w:r>
      <w:r w:rsidR="00F15419">
        <w:rPr>
          <w:szCs w:val="22"/>
        </w:rPr>
        <w:t xml:space="preserve"> </w:t>
      </w:r>
      <w:r w:rsidR="00B967D5" w:rsidRPr="00386F60">
        <w:rPr>
          <w:szCs w:val="22"/>
        </w:rPr>
        <w:t>Low</w:t>
      </w:r>
      <w:r w:rsidR="006A2734">
        <w:rPr>
          <w:szCs w:val="22"/>
        </w:rPr>
        <w:t>-</w:t>
      </w:r>
      <w:r w:rsidR="00B967D5" w:rsidRPr="00386F60">
        <w:rPr>
          <w:szCs w:val="22"/>
        </w:rPr>
        <w:t xml:space="preserve">income countries, in particular, had significant gains in revenue over this time </w:t>
      </w:r>
      <w:r w:rsidR="00605E80">
        <w:rPr>
          <w:szCs w:val="22"/>
        </w:rPr>
        <w:t xml:space="preserve">– </w:t>
      </w:r>
      <w:r w:rsidR="00F15419">
        <w:rPr>
          <w:szCs w:val="22"/>
          <w:lang w:eastAsia="en-AU"/>
        </w:rPr>
        <w:t xml:space="preserve">albeit from a low base. </w:t>
      </w:r>
      <w:r w:rsidR="00B967D5" w:rsidRPr="00386F60">
        <w:rPr>
          <w:szCs w:val="22"/>
          <w:lang w:eastAsia="en-AU"/>
        </w:rPr>
        <w:t>Lower middle</w:t>
      </w:r>
      <w:r w:rsidR="006A2734">
        <w:rPr>
          <w:szCs w:val="22"/>
          <w:lang w:eastAsia="en-AU"/>
        </w:rPr>
        <w:t>-</w:t>
      </w:r>
      <w:r w:rsidR="00B967D5" w:rsidRPr="00386F60">
        <w:rPr>
          <w:szCs w:val="22"/>
          <w:lang w:eastAsia="en-AU"/>
        </w:rPr>
        <w:t>income countries, on the other hand</w:t>
      </w:r>
      <w:r w:rsidR="00B46ADC">
        <w:rPr>
          <w:szCs w:val="22"/>
          <w:lang w:eastAsia="en-AU"/>
        </w:rPr>
        <w:t xml:space="preserve">, </w:t>
      </w:r>
      <w:r w:rsidR="00B967D5" w:rsidRPr="00386F60">
        <w:rPr>
          <w:szCs w:val="22"/>
          <w:lang w:eastAsia="en-AU"/>
        </w:rPr>
        <w:t xml:space="preserve">appeared to </w:t>
      </w:r>
      <w:r w:rsidR="005E1A41" w:rsidRPr="00386F60">
        <w:rPr>
          <w:szCs w:val="22"/>
          <w:lang w:eastAsia="en-AU"/>
        </w:rPr>
        <w:t>end the period</w:t>
      </w:r>
      <w:r w:rsidR="00B967D5" w:rsidRPr="00386F60">
        <w:rPr>
          <w:szCs w:val="22"/>
          <w:lang w:eastAsia="en-AU"/>
        </w:rPr>
        <w:t xml:space="preserve"> approximately where they started in terms of their tax ratios. </w:t>
      </w:r>
    </w:p>
    <w:p w:rsidR="00A23AFA" w:rsidRPr="00666EC7" w:rsidRDefault="00767343" w:rsidP="0083342A">
      <w:pPr>
        <w:pStyle w:val="BodyText"/>
        <w:jc w:val="both"/>
      </w:pPr>
      <w:r w:rsidRPr="00666EC7">
        <w:rPr>
          <w:b/>
        </w:rPr>
        <w:t>The tax and development literature quotes a min</w:t>
      </w:r>
      <w:r w:rsidR="00925BE8">
        <w:rPr>
          <w:b/>
        </w:rPr>
        <w:t>imum tax to GDP benchmark of 15 </w:t>
      </w:r>
      <w:r w:rsidRPr="00666EC7">
        <w:rPr>
          <w:b/>
        </w:rPr>
        <w:t>per</w:t>
      </w:r>
      <w:r w:rsidR="00925BE8">
        <w:rPr>
          <w:b/>
        </w:rPr>
        <w:t> </w:t>
      </w:r>
      <w:r w:rsidRPr="00666EC7">
        <w:rPr>
          <w:b/>
        </w:rPr>
        <w:t>cent to deliver essential public services</w:t>
      </w:r>
      <w:r w:rsidR="00605E80">
        <w:rPr>
          <w:b/>
        </w:rPr>
        <w:t>.</w:t>
      </w:r>
      <w:r w:rsidRPr="00666EC7">
        <w:rPr>
          <w:b/>
        </w:rPr>
        <w:t xml:space="preserve"> </w:t>
      </w:r>
      <w:r w:rsidR="00605E80">
        <w:rPr>
          <w:b/>
        </w:rPr>
        <w:t>M</w:t>
      </w:r>
      <w:r w:rsidRPr="00666EC7">
        <w:rPr>
          <w:b/>
        </w:rPr>
        <w:t>any of Australia’s Asian partner countries in particular fall below this threshold</w:t>
      </w:r>
      <w:r w:rsidR="00F86A0B" w:rsidRPr="00666EC7">
        <w:rPr>
          <w:b/>
        </w:rPr>
        <w:t xml:space="preserve"> (Figure </w:t>
      </w:r>
      <w:r w:rsidR="001C4680">
        <w:rPr>
          <w:b/>
        </w:rPr>
        <w:t>2</w:t>
      </w:r>
      <w:r w:rsidR="00F86A0B" w:rsidRPr="00666EC7">
        <w:rPr>
          <w:b/>
        </w:rPr>
        <w:t>)</w:t>
      </w:r>
      <w:r w:rsidR="00666EC7" w:rsidRPr="00666EC7">
        <w:rPr>
          <w:b/>
        </w:rPr>
        <w:t>.</w:t>
      </w:r>
      <w:r w:rsidRPr="00666EC7">
        <w:rPr>
          <w:rStyle w:val="FootnoteReference"/>
          <w:b/>
          <w:szCs w:val="22"/>
        </w:rPr>
        <w:footnoteReference w:id="5"/>
      </w:r>
      <w:r w:rsidR="000146D7" w:rsidRPr="00666EC7">
        <w:t xml:space="preserve">  </w:t>
      </w:r>
    </w:p>
    <w:p w:rsidR="00C123E9" w:rsidRPr="00430F92" w:rsidRDefault="008154FA" w:rsidP="0083342A">
      <w:pPr>
        <w:jc w:val="both"/>
        <w:rPr>
          <w:b/>
        </w:rPr>
      </w:pPr>
      <w:r w:rsidRPr="00430F92">
        <w:rPr>
          <w:b/>
        </w:rPr>
        <w:t xml:space="preserve">Figure 1: </w:t>
      </w:r>
      <w:r w:rsidR="003C0815">
        <w:rPr>
          <w:b/>
          <w:szCs w:val="22"/>
        </w:rPr>
        <w:t>Tax r</w:t>
      </w:r>
      <w:r w:rsidRPr="00430F92">
        <w:rPr>
          <w:b/>
          <w:szCs w:val="22"/>
        </w:rPr>
        <w:t xml:space="preserve">evenue as </w:t>
      </w:r>
      <w:r w:rsidR="007004DC" w:rsidRPr="00430F92">
        <w:rPr>
          <w:b/>
          <w:szCs w:val="22"/>
        </w:rPr>
        <w:t xml:space="preserve">a </w:t>
      </w:r>
      <w:r w:rsidRPr="00430F92">
        <w:rPr>
          <w:b/>
          <w:szCs w:val="22"/>
        </w:rPr>
        <w:t>per cent of GDP, 2000</w:t>
      </w:r>
      <w:r w:rsidRPr="00430F92">
        <w:rPr>
          <w:b/>
          <w:szCs w:val="22"/>
        </w:rPr>
        <w:noBreakHyphen/>
        <w:t>2013</w:t>
      </w:r>
    </w:p>
    <w:p w:rsidR="008154FA" w:rsidRDefault="008154FA" w:rsidP="0083342A">
      <w:pPr>
        <w:jc w:val="both"/>
      </w:pPr>
      <w:r w:rsidRPr="00722338">
        <w:rPr>
          <w:noProof/>
          <w:szCs w:val="22"/>
          <w:lang w:eastAsia="en-AU"/>
        </w:rPr>
        <w:drawing>
          <wp:inline distT="0" distB="0" distL="0" distR="0" wp14:anchorId="204F5803" wp14:editId="1EF03BA4">
            <wp:extent cx="4572000" cy="263842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54FA" w:rsidRDefault="008154FA" w:rsidP="007004DC">
      <w:pPr>
        <w:pStyle w:val="BodyText"/>
        <w:spacing w:after="0"/>
        <w:jc w:val="both"/>
        <w:rPr>
          <w:sz w:val="18"/>
        </w:rPr>
      </w:pPr>
      <w:r w:rsidRPr="009A46DA">
        <w:rPr>
          <w:sz w:val="18"/>
        </w:rPr>
        <w:t>Source</w:t>
      </w:r>
      <w:r w:rsidR="001F05CF">
        <w:rPr>
          <w:sz w:val="18"/>
        </w:rPr>
        <w:t>s</w:t>
      </w:r>
      <w:r w:rsidRPr="009A46DA">
        <w:rPr>
          <w:sz w:val="18"/>
        </w:rPr>
        <w:t>: IMF FAD, ICTD, ADB.</w:t>
      </w:r>
    </w:p>
    <w:p w:rsidR="007004DC" w:rsidRPr="009A46DA" w:rsidRDefault="007004DC" w:rsidP="0083342A">
      <w:pPr>
        <w:pStyle w:val="BodyText"/>
        <w:jc w:val="both"/>
        <w:rPr>
          <w:sz w:val="18"/>
        </w:rPr>
      </w:pPr>
      <w:r>
        <w:rPr>
          <w:sz w:val="18"/>
        </w:rPr>
        <w:t xml:space="preserve">Note: DFAT 16 includes </w:t>
      </w:r>
      <w:r w:rsidR="00430F92">
        <w:rPr>
          <w:sz w:val="18"/>
        </w:rPr>
        <w:t>Fiji, Kiribati, Nauru, PNG, Samoa, Solomon Islands, To</w:t>
      </w:r>
      <w:r w:rsidR="001F05CF">
        <w:rPr>
          <w:sz w:val="18"/>
        </w:rPr>
        <w:t>nga, Vanuatu, Afghanistan, Myanmar</w:t>
      </w:r>
      <w:r w:rsidR="00430F92">
        <w:rPr>
          <w:sz w:val="18"/>
        </w:rPr>
        <w:t xml:space="preserve">, Cambodia, Indonesia, Lao PDR, Philippines, Timor-Leste and Vietnam. </w:t>
      </w:r>
    </w:p>
    <w:p w:rsidR="00C123E9" w:rsidRPr="00430F92" w:rsidRDefault="00C123E9" w:rsidP="0083342A">
      <w:pPr>
        <w:jc w:val="both"/>
        <w:rPr>
          <w:b/>
        </w:rPr>
      </w:pPr>
      <w:r w:rsidRPr="00430F92">
        <w:rPr>
          <w:b/>
        </w:rPr>
        <w:t xml:space="preserve">Figure </w:t>
      </w:r>
      <w:r w:rsidR="001C4680" w:rsidRPr="00430F92">
        <w:rPr>
          <w:b/>
        </w:rPr>
        <w:t>2</w:t>
      </w:r>
      <w:r w:rsidRPr="00430F92">
        <w:rPr>
          <w:b/>
        </w:rPr>
        <w:t>: Tax revenue as a per cent of GDP (2012)</w:t>
      </w:r>
    </w:p>
    <w:p w:rsidR="00C123E9" w:rsidRDefault="00934354" w:rsidP="0083342A">
      <w:pPr>
        <w:jc w:val="both"/>
      </w:pPr>
      <w:r>
        <w:rPr>
          <w:noProof/>
          <w:lang w:eastAsia="en-AU"/>
        </w:rPr>
        <w:drawing>
          <wp:inline distT="0" distB="0" distL="0" distR="0" wp14:anchorId="012CC02C" wp14:editId="2CD5174D">
            <wp:extent cx="4572000" cy="27146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4680" w:rsidRPr="001C4680" w:rsidRDefault="00C123E9" w:rsidP="007004DC">
      <w:pPr>
        <w:pStyle w:val="BodyText"/>
        <w:spacing w:after="0"/>
        <w:jc w:val="both"/>
        <w:rPr>
          <w:sz w:val="18"/>
        </w:rPr>
      </w:pPr>
      <w:r w:rsidRPr="001C4680">
        <w:rPr>
          <w:sz w:val="18"/>
        </w:rPr>
        <w:t>Source</w:t>
      </w:r>
      <w:r w:rsidR="001F05CF">
        <w:rPr>
          <w:sz w:val="18"/>
        </w:rPr>
        <w:t>s</w:t>
      </w:r>
      <w:r w:rsidRPr="001C4680">
        <w:rPr>
          <w:sz w:val="18"/>
        </w:rPr>
        <w:t>: World Development Indicators.</w:t>
      </w:r>
      <w:r w:rsidR="00934354">
        <w:rPr>
          <w:sz w:val="18"/>
        </w:rPr>
        <w:t xml:space="preserve"> </w:t>
      </w:r>
      <w:proofErr w:type="gramStart"/>
      <w:r w:rsidR="00934354">
        <w:rPr>
          <w:sz w:val="18"/>
        </w:rPr>
        <w:t xml:space="preserve">Data for Samoa from </w:t>
      </w:r>
      <w:r w:rsidR="00346EE7">
        <w:rPr>
          <w:sz w:val="18"/>
        </w:rPr>
        <w:t xml:space="preserve">IMF </w:t>
      </w:r>
      <w:r w:rsidR="00934354">
        <w:rPr>
          <w:sz w:val="18"/>
        </w:rPr>
        <w:t>Article IV</w:t>
      </w:r>
      <w:r w:rsidR="00346EE7">
        <w:rPr>
          <w:sz w:val="18"/>
        </w:rPr>
        <w:t xml:space="preserve"> Consultation.</w:t>
      </w:r>
      <w:proofErr w:type="gramEnd"/>
    </w:p>
    <w:p w:rsidR="00C123E9" w:rsidRPr="001C4680" w:rsidRDefault="00C123E9" w:rsidP="007004DC">
      <w:pPr>
        <w:pStyle w:val="BodyText"/>
        <w:jc w:val="both"/>
      </w:pPr>
      <w:r w:rsidRPr="001C4680">
        <w:rPr>
          <w:sz w:val="18"/>
        </w:rPr>
        <w:t xml:space="preserve">Note: Data from Nepal and Pakistan are for 2013, from Bangladesh and Vanuatu </w:t>
      </w:r>
      <w:proofErr w:type="gramStart"/>
      <w:r w:rsidRPr="001C4680">
        <w:rPr>
          <w:sz w:val="18"/>
        </w:rPr>
        <w:t>are</w:t>
      </w:r>
      <w:proofErr w:type="gramEnd"/>
      <w:r w:rsidRPr="001C4680">
        <w:rPr>
          <w:sz w:val="18"/>
        </w:rPr>
        <w:t xml:space="preserve"> for 2011, from Bhutan and Indonesia are for 2009 and from Fiji are for 2006</w:t>
      </w:r>
      <w:r w:rsidRPr="001C4680">
        <w:t>.</w:t>
      </w:r>
    </w:p>
    <w:p w:rsidR="00C123E9" w:rsidRDefault="00E204E1" w:rsidP="0083342A">
      <w:pPr>
        <w:pStyle w:val="Heading1"/>
        <w:jc w:val="both"/>
      </w:pPr>
      <w:bookmarkStart w:id="3" w:name="_Toc434412423"/>
      <w:r>
        <w:lastRenderedPageBreak/>
        <w:br/>
      </w:r>
      <w:r w:rsidR="00C123E9">
        <w:t>Principles and Approaches</w:t>
      </w:r>
      <w:bookmarkEnd w:id="3"/>
      <w:r w:rsidR="00C123E9">
        <w:t xml:space="preserve"> </w:t>
      </w:r>
    </w:p>
    <w:p w:rsidR="00C123E9" w:rsidRPr="00C123E9" w:rsidRDefault="00C123E9" w:rsidP="0083342A">
      <w:pPr>
        <w:jc w:val="both"/>
      </w:pPr>
    </w:p>
    <w:p w:rsidR="00A67E74" w:rsidRDefault="00A67E74" w:rsidP="0083342A">
      <w:pPr>
        <w:jc w:val="both"/>
      </w:pPr>
      <w:r>
        <w:t xml:space="preserve">Tax policy and administration reform are </w:t>
      </w:r>
      <w:r w:rsidR="00430F92">
        <w:t>highly political and can be impeded by</w:t>
      </w:r>
      <w:r>
        <w:t xml:space="preserve"> deep vested interests. </w:t>
      </w:r>
      <w:r w:rsidR="00B9510D">
        <w:t>Winners and losers in tax reform can be clearly identified in some instances</w:t>
      </w:r>
      <w:r w:rsidR="009461FB">
        <w:t>, and this opens opportunities</w:t>
      </w:r>
      <w:r w:rsidR="00925BE8">
        <w:t xml:space="preserve"> to apply</w:t>
      </w:r>
      <w:r w:rsidR="009461FB">
        <w:t xml:space="preserve"> political pressure against reform.</w:t>
      </w:r>
      <w:r w:rsidR="00B9510D">
        <w:t xml:space="preserve"> In other cases</w:t>
      </w:r>
      <w:r w:rsidR="00F553CC">
        <w:t>, while</w:t>
      </w:r>
      <w:r w:rsidR="00B9510D">
        <w:t xml:space="preserve"> the benefits of reform may increase over time, there </w:t>
      </w:r>
      <w:r w:rsidR="00F553CC">
        <w:t>can be</w:t>
      </w:r>
      <w:r w:rsidR="00B9510D">
        <w:t xml:space="preserve"> significant administrative and </w:t>
      </w:r>
      <w:r w:rsidR="009461FB">
        <w:t>compliance costs</w:t>
      </w:r>
      <w:r w:rsidR="00F553CC">
        <w:t xml:space="preserve"> in the short term</w:t>
      </w:r>
      <w:r w:rsidR="00D65C2A">
        <w:t>.</w:t>
      </w:r>
      <w:r w:rsidR="009461FB">
        <w:rPr>
          <w:rStyle w:val="FootnoteReference"/>
        </w:rPr>
        <w:footnoteReference w:id="6"/>
      </w:r>
      <w:r w:rsidR="009F3EFF">
        <w:t xml:space="preserve"> </w:t>
      </w:r>
      <w:r w:rsidR="00D65C2A">
        <w:t>The risk of corruption is particularly high in relation to tax administration. Tax law is complex and tax officials can have a high degree of discretion in their application of tax powers.</w:t>
      </w:r>
      <w:r w:rsidR="00D65C2A">
        <w:rPr>
          <w:rStyle w:val="FootnoteReference"/>
        </w:rPr>
        <w:footnoteReference w:id="7"/>
      </w:r>
      <w:r w:rsidR="00D65C2A">
        <w:t xml:space="preserve"> All of these factors combine to highlight the importance of deep and quality analysis prior to investing in tax related assistance. </w:t>
      </w:r>
      <w:r w:rsidR="009461FB">
        <w:t>In</w:t>
      </w:r>
      <w:r>
        <w:t xml:space="preserve"> the cas</w:t>
      </w:r>
      <w:r w:rsidR="009461FB">
        <w:t>e of many developing countries</w:t>
      </w:r>
      <w:r w:rsidR="009F3EFF">
        <w:t>,</w:t>
      </w:r>
      <w:r w:rsidR="009461FB">
        <w:t xml:space="preserve"> </w:t>
      </w:r>
      <w:r w:rsidR="00D65C2A">
        <w:t xml:space="preserve">one of the limitations in undertaking such analysis can be </w:t>
      </w:r>
      <w:r w:rsidR="009461FB">
        <w:t>a shortage of data.</w:t>
      </w:r>
    </w:p>
    <w:p w:rsidR="009461FB" w:rsidRDefault="009461FB" w:rsidP="0083342A">
      <w:pPr>
        <w:jc w:val="both"/>
      </w:pPr>
    </w:p>
    <w:p w:rsidR="009461FB" w:rsidRDefault="00D65C2A" w:rsidP="0083342A">
      <w:pPr>
        <w:jc w:val="both"/>
      </w:pPr>
      <w:r>
        <w:t>While there are</w:t>
      </w:r>
      <w:r w:rsidR="009461FB">
        <w:t xml:space="preserve"> risks to both developing country governments and donors seeking to reform tax policy or administration</w:t>
      </w:r>
      <w:r>
        <w:t>, these should</w:t>
      </w:r>
      <w:r w:rsidR="009F3EFF">
        <w:t xml:space="preserve"> be balanced against the benefits of increasing the capacity</w:t>
      </w:r>
      <w:r w:rsidR="00F553CC">
        <w:t xml:space="preserve"> of developing countries</w:t>
      </w:r>
      <w:r w:rsidR="009F3EFF">
        <w:t xml:space="preserve"> </w:t>
      </w:r>
      <w:r w:rsidR="009461FB">
        <w:t>to finance their o</w:t>
      </w:r>
      <w:r w:rsidR="009F3EFF">
        <w:t>wn development</w:t>
      </w:r>
      <w:r w:rsidR="00430F92">
        <w:t xml:space="preserve"> and to set affordable long</w:t>
      </w:r>
      <w:r w:rsidR="00430F92">
        <w:noBreakHyphen/>
        <w:t>term priorities</w:t>
      </w:r>
      <w:r w:rsidR="009F3EFF">
        <w:t xml:space="preserve">. </w:t>
      </w:r>
    </w:p>
    <w:p w:rsidR="00A67E74" w:rsidRDefault="00A67E74" w:rsidP="0083342A">
      <w:pPr>
        <w:jc w:val="both"/>
      </w:pPr>
    </w:p>
    <w:p w:rsidR="00F5645D" w:rsidRDefault="00100DA1" w:rsidP="0083342A">
      <w:pPr>
        <w:keepNext/>
        <w:spacing w:afterLines="50" w:after="120"/>
        <w:jc w:val="both"/>
        <w:rPr>
          <w:b/>
          <w:szCs w:val="22"/>
        </w:rPr>
      </w:pPr>
      <w:r>
        <w:rPr>
          <w:b/>
          <w:szCs w:val="22"/>
        </w:rPr>
        <w:t xml:space="preserve">To support effective investments in tax policy and administration assistance </w:t>
      </w:r>
      <w:r w:rsidR="00D65C2A">
        <w:rPr>
          <w:b/>
          <w:szCs w:val="22"/>
        </w:rPr>
        <w:t xml:space="preserve">DFAT </w:t>
      </w:r>
      <w:r w:rsidR="00296FF7">
        <w:rPr>
          <w:b/>
          <w:szCs w:val="22"/>
        </w:rPr>
        <w:t xml:space="preserve">will adopt the following approach: </w:t>
      </w:r>
    </w:p>
    <w:p w:rsidR="00100DA1" w:rsidRDefault="00430F92" w:rsidP="0083342A">
      <w:pPr>
        <w:pStyle w:val="ListParagraph"/>
        <w:numPr>
          <w:ilvl w:val="0"/>
          <w:numId w:val="38"/>
        </w:numPr>
        <w:spacing w:afterLines="50" w:after="120"/>
        <w:jc w:val="both"/>
        <w:rPr>
          <w:szCs w:val="22"/>
        </w:rPr>
      </w:pPr>
      <w:r>
        <w:rPr>
          <w:b/>
          <w:szCs w:val="22"/>
        </w:rPr>
        <w:t>Underpin investments</w:t>
      </w:r>
      <w:r w:rsidR="00F5645D">
        <w:rPr>
          <w:b/>
          <w:szCs w:val="22"/>
        </w:rPr>
        <w:t xml:space="preserve"> with thorough political and economic analysis</w:t>
      </w:r>
      <w:r w:rsidR="001F05CF">
        <w:rPr>
          <w:b/>
          <w:szCs w:val="22"/>
        </w:rPr>
        <w:t>.</w:t>
      </w:r>
      <w:r w:rsidR="00F5645D">
        <w:rPr>
          <w:b/>
          <w:szCs w:val="22"/>
        </w:rPr>
        <w:t xml:space="preserve"> </w:t>
      </w:r>
      <w:r w:rsidR="001F05CF" w:rsidRPr="001F05CF">
        <w:rPr>
          <w:szCs w:val="22"/>
        </w:rPr>
        <w:t>T</w:t>
      </w:r>
      <w:r w:rsidR="00F5645D" w:rsidRPr="001F05CF">
        <w:rPr>
          <w:szCs w:val="22"/>
        </w:rPr>
        <w:t>h</w:t>
      </w:r>
      <w:r w:rsidR="00F5645D">
        <w:rPr>
          <w:szCs w:val="22"/>
        </w:rPr>
        <w:t xml:space="preserve">is </w:t>
      </w:r>
      <w:r w:rsidR="00605E80">
        <w:rPr>
          <w:szCs w:val="22"/>
        </w:rPr>
        <w:t>wi</w:t>
      </w:r>
      <w:r w:rsidR="00F5645D">
        <w:rPr>
          <w:szCs w:val="22"/>
        </w:rPr>
        <w:t xml:space="preserve">ll start with </w:t>
      </w:r>
      <w:r w:rsidR="005A6AEF">
        <w:rPr>
          <w:szCs w:val="22"/>
        </w:rPr>
        <w:t>an</w:t>
      </w:r>
      <w:r w:rsidR="00F5645D">
        <w:rPr>
          <w:szCs w:val="22"/>
        </w:rPr>
        <w:t xml:space="preserve"> understanding of </w:t>
      </w:r>
      <w:r w:rsidR="00F553CC">
        <w:rPr>
          <w:szCs w:val="22"/>
        </w:rPr>
        <w:t xml:space="preserve">a </w:t>
      </w:r>
      <w:r w:rsidR="00F5645D">
        <w:rPr>
          <w:szCs w:val="22"/>
        </w:rPr>
        <w:t xml:space="preserve">partner government’s </w:t>
      </w:r>
      <w:r w:rsidR="001F05CF">
        <w:rPr>
          <w:szCs w:val="22"/>
        </w:rPr>
        <w:t>objectives</w:t>
      </w:r>
      <w:r w:rsidR="00F5645D">
        <w:rPr>
          <w:szCs w:val="22"/>
        </w:rPr>
        <w:t xml:space="preserve"> and detailed political and eco</w:t>
      </w:r>
      <w:r w:rsidR="0093338F">
        <w:rPr>
          <w:szCs w:val="22"/>
        </w:rPr>
        <w:t>nomic analysis of tax policy and administration</w:t>
      </w:r>
      <w:r w:rsidR="00EB5427">
        <w:rPr>
          <w:szCs w:val="22"/>
        </w:rPr>
        <w:t>,</w:t>
      </w:r>
      <w:r w:rsidR="00F5645D">
        <w:rPr>
          <w:szCs w:val="22"/>
        </w:rPr>
        <w:t xml:space="preserve"> and</w:t>
      </w:r>
      <w:r w:rsidR="00F553CC">
        <w:rPr>
          <w:szCs w:val="22"/>
        </w:rPr>
        <w:t xml:space="preserve"> the constraints </w:t>
      </w:r>
      <w:r w:rsidR="00605E80">
        <w:rPr>
          <w:szCs w:val="22"/>
        </w:rPr>
        <w:t xml:space="preserve">on </w:t>
      </w:r>
      <w:r w:rsidR="00F553CC">
        <w:rPr>
          <w:szCs w:val="22"/>
        </w:rPr>
        <w:t>and opportunities for</w:t>
      </w:r>
      <w:r w:rsidR="00F5645D">
        <w:rPr>
          <w:szCs w:val="22"/>
        </w:rPr>
        <w:t xml:space="preserve"> reform</w:t>
      </w:r>
      <w:r w:rsidR="008B318B">
        <w:rPr>
          <w:szCs w:val="22"/>
        </w:rPr>
        <w:t xml:space="preserve">. This analysis is critical to decisions relating to the appropriateness of </w:t>
      </w:r>
      <w:r w:rsidR="00F553CC">
        <w:rPr>
          <w:szCs w:val="22"/>
        </w:rPr>
        <w:t xml:space="preserve">an </w:t>
      </w:r>
      <w:r>
        <w:rPr>
          <w:szCs w:val="22"/>
        </w:rPr>
        <w:t>investment</w:t>
      </w:r>
      <w:r w:rsidR="00F553CC">
        <w:rPr>
          <w:szCs w:val="22"/>
        </w:rPr>
        <w:t xml:space="preserve"> including</w:t>
      </w:r>
      <w:r w:rsidR="008B318B">
        <w:rPr>
          <w:szCs w:val="22"/>
        </w:rPr>
        <w:t xml:space="preserve"> </w:t>
      </w:r>
      <w:r w:rsidR="00F553CC">
        <w:rPr>
          <w:szCs w:val="22"/>
        </w:rPr>
        <w:t>its</w:t>
      </w:r>
      <w:r w:rsidR="008B318B">
        <w:rPr>
          <w:szCs w:val="22"/>
        </w:rPr>
        <w:t xml:space="preserve"> focus (</w:t>
      </w:r>
      <w:r w:rsidR="00F553CC">
        <w:rPr>
          <w:szCs w:val="22"/>
        </w:rPr>
        <w:t xml:space="preserve">for example, </w:t>
      </w:r>
      <w:r w:rsidR="008B318B">
        <w:rPr>
          <w:szCs w:val="22"/>
        </w:rPr>
        <w:t>po</w:t>
      </w:r>
      <w:r w:rsidR="00100DA1">
        <w:rPr>
          <w:szCs w:val="22"/>
        </w:rPr>
        <w:t>licy</w:t>
      </w:r>
      <w:r w:rsidR="00F553CC">
        <w:rPr>
          <w:szCs w:val="22"/>
        </w:rPr>
        <w:t>, administrative</w:t>
      </w:r>
      <w:r w:rsidR="00100DA1">
        <w:rPr>
          <w:szCs w:val="22"/>
        </w:rPr>
        <w:t xml:space="preserve"> or both), </w:t>
      </w:r>
      <w:r w:rsidR="008B318B">
        <w:rPr>
          <w:szCs w:val="22"/>
        </w:rPr>
        <w:t>the mode of assistance</w:t>
      </w:r>
      <w:r w:rsidR="00100DA1">
        <w:rPr>
          <w:szCs w:val="22"/>
        </w:rPr>
        <w:t>, and the appropriate delivery partner.</w:t>
      </w:r>
    </w:p>
    <w:p w:rsidR="008B318B" w:rsidRPr="008A013D" w:rsidRDefault="008B318B" w:rsidP="0083342A">
      <w:pPr>
        <w:pStyle w:val="ListParagraph"/>
        <w:spacing w:afterLines="50" w:after="120"/>
        <w:jc w:val="both"/>
        <w:rPr>
          <w:szCs w:val="22"/>
        </w:rPr>
      </w:pPr>
    </w:p>
    <w:p w:rsidR="00296FF7" w:rsidRDefault="008B318B" w:rsidP="0083342A">
      <w:pPr>
        <w:pStyle w:val="ListParagraph"/>
        <w:numPr>
          <w:ilvl w:val="0"/>
          <w:numId w:val="38"/>
        </w:numPr>
        <w:spacing w:afterLines="50" w:after="120"/>
        <w:jc w:val="both"/>
        <w:rPr>
          <w:szCs w:val="22"/>
        </w:rPr>
      </w:pPr>
      <w:r>
        <w:rPr>
          <w:b/>
          <w:szCs w:val="22"/>
        </w:rPr>
        <w:t>Prioritise working with</w:t>
      </w:r>
      <w:r w:rsidR="00296FF7" w:rsidRPr="005114B5">
        <w:rPr>
          <w:b/>
          <w:szCs w:val="22"/>
        </w:rPr>
        <w:t xml:space="preserve"> partner governments to strengthen the</w:t>
      </w:r>
      <w:r w:rsidR="00296FF7">
        <w:rPr>
          <w:b/>
          <w:szCs w:val="22"/>
        </w:rPr>
        <w:t>ir</w:t>
      </w:r>
      <w:r w:rsidR="00296FF7" w:rsidRPr="005114B5">
        <w:rPr>
          <w:b/>
          <w:szCs w:val="22"/>
        </w:rPr>
        <w:t xml:space="preserve"> revenue to GDP ratio</w:t>
      </w:r>
      <w:r w:rsidR="00296FF7">
        <w:rPr>
          <w:b/>
          <w:szCs w:val="22"/>
        </w:rPr>
        <w:t>s</w:t>
      </w:r>
      <w:r w:rsidR="00296FF7" w:rsidRPr="005114B5">
        <w:rPr>
          <w:b/>
          <w:szCs w:val="22"/>
        </w:rPr>
        <w:t xml:space="preserve"> and</w:t>
      </w:r>
      <w:r w:rsidR="00296FF7">
        <w:rPr>
          <w:b/>
          <w:szCs w:val="22"/>
        </w:rPr>
        <w:t xml:space="preserve"> </w:t>
      </w:r>
      <w:r w:rsidR="00296FF7" w:rsidRPr="005114B5">
        <w:rPr>
          <w:b/>
          <w:szCs w:val="22"/>
        </w:rPr>
        <w:t xml:space="preserve">the fairness and sustainability of </w:t>
      </w:r>
      <w:r w:rsidR="00296FF7">
        <w:rPr>
          <w:b/>
          <w:szCs w:val="22"/>
        </w:rPr>
        <w:t xml:space="preserve">their </w:t>
      </w:r>
      <w:r>
        <w:rPr>
          <w:b/>
          <w:szCs w:val="22"/>
        </w:rPr>
        <w:t>tax systems</w:t>
      </w:r>
      <w:r w:rsidR="008F2DCC">
        <w:rPr>
          <w:b/>
          <w:szCs w:val="22"/>
        </w:rPr>
        <w:t xml:space="preserve"> </w:t>
      </w:r>
      <w:r w:rsidR="008F2DCC" w:rsidRPr="008A013D">
        <w:rPr>
          <w:szCs w:val="22"/>
        </w:rPr>
        <w:t xml:space="preserve">through </w:t>
      </w:r>
      <w:r w:rsidR="00296FF7">
        <w:rPr>
          <w:szCs w:val="22"/>
        </w:rPr>
        <w:t>increas</w:t>
      </w:r>
      <w:r w:rsidR="008F2DCC">
        <w:rPr>
          <w:szCs w:val="22"/>
        </w:rPr>
        <w:t>ing</w:t>
      </w:r>
      <w:r w:rsidR="00296FF7">
        <w:rPr>
          <w:szCs w:val="22"/>
        </w:rPr>
        <w:t xml:space="preserve"> support for </w:t>
      </w:r>
      <w:r>
        <w:rPr>
          <w:szCs w:val="22"/>
        </w:rPr>
        <w:t>tax-related assistance</w:t>
      </w:r>
      <w:r w:rsidR="00296FF7">
        <w:rPr>
          <w:szCs w:val="22"/>
        </w:rPr>
        <w:t xml:space="preserve">, </w:t>
      </w:r>
      <w:r>
        <w:rPr>
          <w:szCs w:val="22"/>
        </w:rPr>
        <w:t>and facilitat</w:t>
      </w:r>
      <w:r w:rsidR="008F2DCC">
        <w:rPr>
          <w:szCs w:val="22"/>
        </w:rPr>
        <w:t>ing</w:t>
      </w:r>
      <w:r>
        <w:rPr>
          <w:szCs w:val="22"/>
        </w:rPr>
        <w:t xml:space="preserve"> access </w:t>
      </w:r>
      <w:r w:rsidR="008F2DCC">
        <w:rPr>
          <w:szCs w:val="22"/>
        </w:rPr>
        <w:t>to relevant</w:t>
      </w:r>
      <w:r>
        <w:rPr>
          <w:szCs w:val="22"/>
        </w:rPr>
        <w:t xml:space="preserve"> expertise by partner governments.</w:t>
      </w:r>
    </w:p>
    <w:p w:rsidR="00296FF7" w:rsidRDefault="00296FF7" w:rsidP="0083342A">
      <w:pPr>
        <w:pStyle w:val="ListParagraph"/>
        <w:spacing w:afterLines="50" w:after="120"/>
        <w:jc w:val="both"/>
        <w:rPr>
          <w:szCs w:val="22"/>
        </w:rPr>
      </w:pPr>
    </w:p>
    <w:p w:rsidR="00296FF7" w:rsidRPr="007F35FE" w:rsidRDefault="008F2DCC" w:rsidP="0083342A">
      <w:pPr>
        <w:pStyle w:val="ListParagraph"/>
        <w:numPr>
          <w:ilvl w:val="0"/>
          <w:numId w:val="38"/>
        </w:numPr>
        <w:spacing w:afterLines="50" w:after="120"/>
        <w:jc w:val="both"/>
        <w:rPr>
          <w:szCs w:val="22"/>
        </w:rPr>
      </w:pPr>
      <w:r>
        <w:rPr>
          <w:b/>
          <w:szCs w:val="22"/>
        </w:rPr>
        <w:t xml:space="preserve">Promote </w:t>
      </w:r>
      <w:r w:rsidR="00296FF7" w:rsidRPr="00FC63A4">
        <w:rPr>
          <w:b/>
          <w:szCs w:val="22"/>
        </w:rPr>
        <w:t>international tax norm-setting processes</w:t>
      </w:r>
      <w:r>
        <w:rPr>
          <w:b/>
          <w:szCs w:val="22"/>
        </w:rPr>
        <w:t xml:space="preserve"> that</w:t>
      </w:r>
      <w:r w:rsidR="00296FF7" w:rsidRPr="00FC63A4">
        <w:rPr>
          <w:b/>
          <w:szCs w:val="22"/>
        </w:rPr>
        <w:t xml:space="preserve"> engage with developing countries in the Indo-Pacific</w:t>
      </w:r>
      <w:r w:rsidR="001C4680">
        <w:rPr>
          <w:b/>
          <w:szCs w:val="22"/>
        </w:rPr>
        <w:t xml:space="preserve"> region</w:t>
      </w:r>
      <w:r w:rsidR="001F05CF">
        <w:rPr>
          <w:b/>
          <w:szCs w:val="22"/>
        </w:rPr>
        <w:t>.</w:t>
      </w:r>
      <w:r w:rsidR="0066781E">
        <w:rPr>
          <w:szCs w:val="22"/>
        </w:rPr>
        <w:t xml:space="preserve"> </w:t>
      </w:r>
      <w:r w:rsidR="0066781E" w:rsidRPr="0066781E">
        <w:rPr>
          <w:szCs w:val="22"/>
        </w:rPr>
        <w:t>The Australian Government should use engagement in international tax</w:t>
      </w:r>
      <w:r w:rsidR="0066781E" w:rsidRPr="007F35FE">
        <w:rPr>
          <w:szCs w:val="22"/>
        </w:rPr>
        <w:t xml:space="preserve"> norm-setting processes to advocate for norms that promote the inclusion and engagement of developing partner countries in the Indo-Pacific region.</w:t>
      </w:r>
    </w:p>
    <w:p w:rsidR="00296FF7" w:rsidRPr="00FC63A4" w:rsidRDefault="00296FF7" w:rsidP="0083342A">
      <w:pPr>
        <w:pStyle w:val="ListParagraph"/>
        <w:jc w:val="both"/>
        <w:rPr>
          <w:szCs w:val="22"/>
        </w:rPr>
      </w:pPr>
    </w:p>
    <w:p w:rsidR="00296FF7" w:rsidRPr="005114B5" w:rsidRDefault="00C210C3" w:rsidP="0083342A">
      <w:pPr>
        <w:pStyle w:val="ListParagraph"/>
        <w:numPr>
          <w:ilvl w:val="0"/>
          <w:numId w:val="38"/>
        </w:numPr>
        <w:spacing w:afterLines="50" w:after="120"/>
        <w:jc w:val="both"/>
        <w:rPr>
          <w:b/>
          <w:szCs w:val="22"/>
        </w:rPr>
      </w:pPr>
      <w:r>
        <w:rPr>
          <w:b/>
          <w:szCs w:val="22"/>
        </w:rPr>
        <w:t>Advance policy c</w:t>
      </w:r>
      <w:r w:rsidR="00296FF7" w:rsidRPr="005D7C30">
        <w:rPr>
          <w:b/>
          <w:szCs w:val="22"/>
        </w:rPr>
        <w:t xml:space="preserve">oherence </w:t>
      </w:r>
      <w:r w:rsidR="00296FF7">
        <w:rPr>
          <w:b/>
          <w:szCs w:val="22"/>
        </w:rPr>
        <w:t xml:space="preserve">on tax issues </w:t>
      </w:r>
      <w:r w:rsidR="00296FF7" w:rsidRPr="005D7C30">
        <w:rPr>
          <w:b/>
          <w:szCs w:val="22"/>
        </w:rPr>
        <w:t xml:space="preserve">across Australia’s domestic and international </w:t>
      </w:r>
      <w:r w:rsidR="00296FF7" w:rsidRPr="005114B5">
        <w:rPr>
          <w:b/>
          <w:szCs w:val="22"/>
        </w:rPr>
        <w:t xml:space="preserve">policy spheres. </w:t>
      </w:r>
      <w:r w:rsidR="00296FF7">
        <w:rPr>
          <w:szCs w:val="22"/>
        </w:rPr>
        <w:t>DFAT will continue to engage with other Australian Government departments to consider the implications for Australia’s partner countries of Australian</w:t>
      </w:r>
      <w:r>
        <w:rPr>
          <w:szCs w:val="22"/>
        </w:rPr>
        <w:t xml:space="preserve"> and international tax policies</w:t>
      </w:r>
      <w:r w:rsidR="00F553CC">
        <w:rPr>
          <w:szCs w:val="22"/>
        </w:rPr>
        <w:t>,</w:t>
      </w:r>
      <w:r>
        <w:rPr>
          <w:szCs w:val="22"/>
        </w:rPr>
        <w:t xml:space="preserve"> and promote international tax cooperation to benefit partner countries and Australia alike.</w:t>
      </w:r>
      <w:r w:rsidR="00296FF7">
        <w:rPr>
          <w:szCs w:val="22"/>
        </w:rPr>
        <w:t xml:space="preserve"> </w:t>
      </w:r>
    </w:p>
    <w:p w:rsidR="00296FF7" w:rsidRPr="005114B5" w:rsidRDefault="00296FF7" w:rsidP="0083342A">
      <w:pPr>
        <w:pStyle w:val="ListParagraph"/>
        <w:jc w:val="both"/>
        <w:rPr>
          <w:b/>
          <w:szCs w:val="22"/>
        </w:rPr>
      </w:pPr>
    </w:p>
    <w:p w:rsidR="00F3517D" w:rsidRDefault="00296FF7" w:rsidP="0083342A">
      <w:pPr>
        <w:spacing w:afterLines="50" w:after="120"/>
        <w:jc w:val="both"/>
        <w:rPr>
          <w:szCs w:val="22"/>
        </w:rPr>
      </w:pPr>
      <w:r w:rsidRPr="008A013D">
        <w:rPr>
          <w:szCs w:val="22"/>
        </w:rPr>
        <w:t xml:space="preserve">Underpinning </w:t>
      </w:r>
      <w:r w:rsidR="00F553CC">
        <w:rPr>
          <w:szCs w:val="22"/>
        </w:rPr>
        <w:t>DFAT’s</w:t>
      </w:r>
      <w:r w:rsidRPr="008A013D">
        <w:rPr>
          <w:szCs w:val="22"/>
        </w:rPr>
        <w:t xml:space="preserve"> principles and approaches to tax-related assistance is </w:t>
      </w:r>
      <w:r w:rsidR="00F553CC">
        <w:rPr>
          <w:szCs w:val="22"/>
        </w:rPr>
        <w:t xml:space="preserve">the Australian </w:t>
      </w:r>
      <w:r w:rsidR="009611F1">
        <w:rPr>
          <w:szCs w:val="22"/>
        </w:rPr>
        <w:t>commitment to the Addis Tax Initiative</w:t>
      </w:r>
      <w:r w:rsidR="005A6AEF">
        <w:rPr>
          <w:szCs w:val="22"/>
        </w:rPr>
        <w:t xml:space="preserve"> (ATI)</w:t>
      </w:r>
      <w:r w:rsidR="00F5645D">
        <w:rPr>
          <w:szCs w:val="22"/>
        </w:rPr>
        <w:t xml:space="preserve">. </w:t>
      </w:r>
      <w:r w:rsidR="00F553CC">
        <w:rPr>
          <w:szCs w:val="22"/>
        </w:rPr>
        <w:t>Australia agreed to the t</w:t>
      </w:r>
      <w:r w:rsidR="00F5645D">
        <w:rPr>
          <w:szCs w:val="22"/>
        </w:rPr>
        <w:t>en</w:t>
      </w:r>
      <w:r w:rsidR="004F33E5">
        <w:rPr>
          <w:szCs w:val="22"/>
        </w:rPr>
        <w:t xml:space="preserve"> key principles </w:t>
      </w:r>
      <w:r w:rsidR="00F553CC">
        <w:rPr>
          <w:szCs w:val="22"/>
        </w:rPr>
        <w:t>of the ATI</w:t>
      </w:r>
      <w:r w:rsidR="004F33E5">
        <w:rPr>
          <w:szCs w:val="22"/>
        </w:rPr>
        <w:t xml:space="preserve"> (Box 1). </w:t>
      </w:r>
      <w:bookmarkStart w:id="4" w:name="_Toc434412424"/>
    </w:p>
    <w:p w:rsidR="0093338F" w:rsidRDefault="0093338F" w:rsidP="0083342A">
      <w:pPr>
        <w:spacing w:afterLines="50" w:after="120"/>
        <w:jc w:val="both"/>
        <w:rPr>
          <w:szCs w:val="22"/>
        </w:rPr>
      </w:pPr>
    </w:p>
    <w:p w:rsidR="0093338F" w:rsidRDefault="0093338F" w:rsidP="0083342A">
      <w:pPr>
        <w:spacing w:afterLines="50" w:after="120"/>
        <w:jc w:val="both"/>
        <w:rPr>
          <w:szCs w:val="22"/>
        </w:rPr>
      </w:pPr>
    </w:p>
    <w:bookmarkEnd w:id="4"/>
    <w:p w:rsidR="00205BD4" w:rsidRPr="004F2B7D" w:rsidRDefault="00205BD4" w:rsidP="0083342A">
      <w:pPr>
        <w:pBdr>
          <w:top w:val="single" w:sz="4" w:space="2" w:color="auto"/>
          <w:left w:val="single" w:sz="4" w:space="4" w:color="auto"/>
          <w:bottom w:val="single" w:sz="4" w:space="30" w:color="auto"/>
          <w:right w:val="single" w:sz="4" w:space="4" w:color="auto"/>
        </w:pBdr>
        <w:shd w:val="clear" w:color="auto" w:fill="C6D9F1" w:themeFill="text2" w:themeFillTint="33"/>
        <w:jc w:val="both"/>
        <w:rPr>
          <w:b/>
          <w:sz w:val="21"/>
          <w:szCs w:val="21"/>
        </w:rPr>
      </w:pPr>
      <w:r w:rsidRPr="004F2B7D">
        <w:rPr>
          <w:b/>
          <w:sz w:val="21"/>
          <w:szCs w:val="21"/>
        </w:rPr>
        <w:lastRenderedPageBreak/>
        <w:t xml:space="preserve">Box </w:t>
      </w:r>
      <w:r>
        <w:rPr>
          <w:b/>
          <w:sz w:val="21"/>
          <w:szCs w:val="21"/>
        </w:rPr>
        <w:t>1</w:t>
      </w:r>
      <w:r w:rsidRPr="004F2B7D">
        <w:rPr>
          <w:b/>
          <w:sz w:val="21"/>
          <w:szCs w:val="21"/>
        </w:rPr>
        <w:t xml:space="preserve">: </w:t>
      </w:r>
      <w:r w:rsidR="009611F1">
        <w:rPr>
          <w:b/>
          <w:sz w:val="21"/>
          <w:szCs w:val="21"/>
        </w:rPr>
        <w:t>Principles of ATI</w:t>
      </w:r>
    </w:p>
    <w:p w:rsidR="00205BD4" w:rsidRPr="004F2B7D" w:rsidRDefault="00205BD4" w:rsidP="0083342A">
      <w:pPr>
        <w:pBdr>
          <w:top w:val="single" w:sz="4" w:space="2" w:color="auto"/>
          <w:left w:val="single" w:sz="4" w:space="4" w:color="auto"/>
          <w:bottom w:val="single" w:sz="4" w:space="30" w:color="auto"/>
          <w:right w:val="single" w:sz="4" w:space="4" w:color="auto"/>
        </w:pBdr>
        <w:shd w:val="clear" w:color="auto" w:fill="C6D9F1" w:themeFill="text2" w:themeFillTint="33"/>
        <w:jc w:val="both"/>
        <w:rPr>
          <w:b/>
          <w:sz w:val="21"/>
          <w:szCs w:val="21"/>
        </w:rPr>
      </w:pPr>
    </w:p>
    <w:p w:rsidR="00205BD4" w:rsidRDefault="009611F1"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affirm that each country has primary responsibility for its own economic and social development, and that the role of national policies, development strategies and resources is critical.</w:t>
      </w:r>
      <w:r w:rsidR="00205BD4">
        <w:rPr>
          <w:sz w:val="21"/>
          <w:szCs w:val="21"/>
        </w:rPr>
        <w:t xml:space="preserve">  </w:t>
      </w:r>
    </w:p>
    <w:p w:rsidR="00205BD4" w:rsidRDefault="009611F1"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acknowledge the importance of all sources of development finance, including ODA, which remains critically important, especially for the poorest developing countries that have limited capacity to raise resources, and for key sectors like education, health and other social sectors where need is greatest.</w:t>
      </w:r>
    </w:p>
    <w:p w:rsidR="00205BD4" w:rsidRDefault="009611F1"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recognise that domestic resources have been the most rapidly growing component of development financing this decade, and that greater mobilisation of domestic resources is essential to achieving the goals of the Post</w:t>
      </w:r>
      <w:r w:rsidR="00605E80">
        <w:rPr>
          <w:sz w:val="21"/>
          <w:szCs w:val="21"/>
        </w:rPr>
        <w:t>-</w:t>
      </w:r>
      <w:r>
        <w:rPr>
          <w:sz w:val="21"/>
          <w:szCs w:val="21"/>
        </w:rPr>
        <w:t>2015 Development Agenda.</w:t>
      </w:r>
      <w:r w:rsidR="00205BD4">
        <w:rPr>
          <w:sz w:val="21"/>
          <w:szCs w:val="21"/>
        </w:rPr>
        <w:t xml:space="preserve"> </w:t>
      </w:r>
    </w:p>
    <w:p w:rsidR="00205BD4" w:rsidRDefault="00D44E32"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will apply a holistic approach to domestic revenue mobilisation, encompassing both mobilisation and management of domestic public resources, while respecting national policies and strategies, noting that success depends on both raising domestic revenues, and channelling those resources toward effective public services that enable countries to achieve the goals of the Post</w:t>
      </w:r>
      <w:r w:rsidR="00605E80">
        <w:rPr>
          <w:sz w:val="21"/>
          <w:szCs w:val="21"/>
        </w:rPr>
        <w:t>-</w:t>
      </w:r>
      <w:r>
        <w:rPr>
          <w:sz w:val="21"/>
          <w:szCs w:val="21"/>
        </w:rPr>
        <w:t>2015 Development Agenda.</w:t>
      </w:r>
      <w:r w:rsidR="00205BD4">
        <w:rPr>
          <w:sz w:val="21"/>
          <w:szCs w:val="21"/>
        </w:rPr>
        <w:t xml:space="preserve"> </w:t>
      </w:r>
    </w:p>
    <w:p w:rsidR="00205BD4" w:rsidRDefault="00D44E32"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Since rapid growth and structural economic transformation is critical for enhancing</w:t>
      </w:r>
      <w:r w:rsidR="0024470F">
        <w:rPr>
          <w:sz w:val="21"/>
          <w:szCs w:val="21"/>
        </w:rPr>
        <w:t xml:space="preserve"> domestic revenue in developing countries, partners in this initiative will support these countries’ endeavour</w:t>
      </w:r>
      <w:r w:rsidR="00925BE8">
        <w:rPr>
          <w:sz w:val="21"/>
          <w:szCs w:val="21"/>
        </w:rPr>
        <w:t>s</w:t>
      </w:r>
      <w:r w:rsidR="0024470F">
        <w:rPr>
          <w:sz w:val="21"/>
          <w:szCs w:val="21"/>
        </w:rPr>
        <w:t xml:space="preserve"> to diversify their economies.</w:t>
      </w:r>
    </w:p>
    <w:p w:rsidR="00205BD4" w:rsidRDefault="0024470F"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embrace policies and practices that foster fair, efficient and transparent tax systems, and effectively allocat</w:t>
      </w:r>
      <w:r w:rsidR="00DC6319">
        <w:rPr>
          <w:sz w:val="21"/>
          <w:szCs w:val="21"/>
        </w:rPr>
        <w:t>e</w:t>
      </w:r>
      <w:r>
        <w:rPr>
          <w:sz w:val="21"/>
          <w:szCs w:val="21"/>
        </w:rPr>
        <w:t xml:space="preserve"> the equitable distribution of tax burdens and benefits. Taxpayer morale and confidence</w:t>
      </w:r>
      <w:r w:rsidR="00925BE8">
        <w:rPr>
          <w:sz w:val="21"/>
          <w:szCs w:val="21"/>
        </w:rPr>
        <w:t>,</w:t>
      </w:r>
      <w:r>
        <w:rPr>
          <w:sz w:val="21"/>
          <w:szCs w:val="21"/>
        </w:rPr>
        <w:t xml:space="preserve"> being essential to effective domestic resource mobilisation, promoting effective and equitable delivery of services and fair, consistent and impartial treatment of taxpayers in the application of the law</w:t>
      </w:r>
      <w:r w:rsidR="00925BE8">
        <w:rPr>
          <w:sz w:val="21"/>
          <w:szCs w:val="21"/>
        </w:rPr>
        <w:t>,</w:t>
      </w:r>
      <w:r>
        <w:rPr>
          <w:sz w:val="21"/>
          <w:szCs w:val="21"/>
        </w:rPr>
        <w:t xml:space="preserve"> is paramount.</w:t>
      </w:r>
    </w:p>
    <w:p w:rsidR="00205BD4" w:rsidRDefault="0024470F"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agree to modernise</w:t>
      </w:r>
      <w:r w:rsidR="00F03449">
        <w:rPr>
          <w:sz w:val="21"/>
          <w:szCs w:val="21"/>
        </w:rPr>
        <w:t xml:space="preserve"> tax systems and to provide high-level political support and demonstrated commitment to strong domestic governance and institutions necessary to unlock substantial new domestic resources for development.</w:t>
      </w:r>
    </w:p>
    <w:p w:rsidR="00205BD4" w:rsidRDefault="00F03449"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agree to enhance cooperation to combat tax evasion, fight corruption, tackle illicit finance, and promote good financial governance, transparency and accountability.</w:t>
      </w:r>
    </w:p>
    <w:p w:rsidR="00F03449" w:rsidRDefault="00F03449"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will measure progress on domestic revenue mobilisation, and develop and track country specific indicators and targets for revenue collection and other aspects of tax system performance.</w:t>
      </w:r>
    </w:p>
    <w:p w:rsidR="00F03449" w:rsidRDefault="00F03449" w:rsidP="0083342A">
      <w:pPr>
        <w:pStyle w:val="ListParagraph"/>
        <w:numPr>
          <w:ilvl w:val="0"/>
          <w:numId w:val="37"/>
        </w:numPr>
        <w:pBdr>
          <w:top w:val="single" w:sz="4" w:space="2" w:color="auto"/>
          <w:left w:val="single" w:sz="4" w:space="4" w:color="auto"/>
          <w:bottom w:val="single" w:sz="4" w:space="30" w:color="auto"/>
          <w:right w:val="single" w:sz="4" w:space="4" w:color="auto"/>
        </w:pBdr>
        <w:shd w:val="clear" w:color="auto" w:fill="C6D9F1" w:themeFill="text2" w:themeFillTint="33"/>
        <w:spacing w:after="240"/>
        <w:ind w:left="357" w:hanging="357"/>
        <w:contextualSpacing w:val="0"/>
        <w:jc w:val="both"/>
        <w:rPr>
          <w:sz w:val="21"/>
          <w:szCs w:val="21"/>
        </w:rPr>
      </w:pPr>
      <w:r>
        <w:rPr>
          <w:sz w:val="21"/>
          <w:szCs w:val="21"/>
        </w:rPr>
        <w:t>We will encourage broad-based dialogue that includes the private sector, civil society, and other stakeholder</w:t>
      </w:r>
      <w:r w:rsidR="00DC6319">
        <w:rPr>
          <w:sz w:val="21"/>
          <w:szCs w:val="21"/>
        </w:rPr>
        <w:t>s</w:t>
      </w:r>
      <w:r>
        <w:rPr>
          <w:sz w:val="21"/>
          <w:szCs w:val="21"/>
        </w:rPr>
        <w:t xml:space="preserve"> to build coalitions for reform and ensure better ownership, implementation and accountability.</w:t>
      </w:r>
    </w:p>
    <w:p w:rsidR="00925BE8" w:rsidRDefault="00430F92" w:rsidP="0083342A">
      <w:pPr>
        <w:pStyle w:val="Heading2"/>
        <w:jc w:val="both"/>
      </w:pPr>
      <w:bookmarkStart w:id="5" w:name="_Toc434412425"/>
      <w:r>
        <w:lastRenderedPageBreak/>
        <w:t>Underpin investment</w:t>
      </w:r>
      <w:r w:rsidR="00925BE8" w:rsidRPr="006742A4">
        <w:t>s with economic and political analysis</w:t>
      </w:r>
    </w:p>
    <w:p w:rsidR="00925BE8" w:rsidRPr="006742A4" w:rsidRDefault="00925BE8" w:rsidP="0083342A">
      <w:pPr>
        <w:pStyle w:val="Heading2"/>
        <w:jc w:val="both"/>
        <w:rPr>
          <w:rStyle w:val="BodyTextChar"/>
          <w:b w:val="0"/>
          <w:color w:val="auto"/>
        </w:rPr>
      </w:pPr>
      <w:r w:rsidRPr="006742A4">
        <w:rPr>
          <w:rStyle w:val="BodyTextChar"/>
          <w:color w:val="auto"/>
        </w:rPr>
        <w:t>The decision on whether to prioritise assistance must be made in the context of a deep understanding of the political economy related to domestic resource mobilisation.</w:t>
      </w:r>
      <w:r w:rsidRPr="006742A4">
        <w:rPr>
          <w:rStyle w:val="BodyTextChar"/>
          <w:b w:val="0"/>
          <w:color w:val="auto"/>
        </w:rPr>
        <w:t xml:space="preserve"> Understanding the political economy driving tax policy and administration is a critical first step when considering support for </w:t>
      </w:r>
      <w:r w:rsidR="008B03F9">
        <w:rPr>
          <w:rStyle w:val="BodyTextChar"/>
          <w:b w:val="0"/>
          <w:color w:val="auto"/>
        </w:rPr>
        <w:t>their improvement</w:t>
      </w:r>
      <w:r w:rsidRPr="006742A4">
        <w:rPr>
          <w:rStyle w:val="BodyTextChar"/>
          <w:b w:val="0"/>
          <w:color w:val="auto"/>
        </w:rPr>
        <w:t>.</w:t>
      </w:r>
    </w:p>
    <w:p w:rsidR="006742A4" w:rsidRPr="00925BE8" w:rsidRDefault="00F3517D" w:rsidP="0083342A">
      <w:pPr>
        <w:pStyle w:val="Heading2"/>
        <w:jc w:val="both"/>
        <w:rPr>
          <w:rStyle w:val="BodyTextChar"/>
          <w:b w:val="0"/>
          <w:color w:val="auto"/>
        </w:rPr>
      </w:pPr>
      <w:r w:rsidRPr="006742A4">
        <w:rPr>
          <w:rStyle w:val="BodyTextChar"/>
          <w:color w:val="auto"/>
        </w:rPr>
        <w:t xml:space="preserve">Political economy analysis can help demarcate the boundaries of possible reform. </w:t>
      </w:r>
      <w:r w:rsidRPr="006742A4">
        <w:rPr>
          <w:rStyle w:val="BodyTextChar"/>
          <w:b w:val="0"/>
          <w:color w:val="auto"/>
        </w:rPr>
        <w:t xml:space="preserve">In the event that political economy analysis concludes that there is no appetite or capacity for policy reform it may still be possible to make progress in relation to </w:t>
      </w:r>
      <w:r w:rsidRPr="00925BE8">
        <w:rPr>
          <w:rStyle w:val="BodyTextChar"/>
          <w:b w:val="0"/>
          <w:color w:val="auto"/>
        </w:rPr>
        <w:t>administrative reform</w:t>
      </w:r>
      <w:r w:rsidR="0066781E">
        <w:rPr>
          <w:rStyle w:val="BodyTextChar"/>
          <w:b w:val="0"/>
          <w:color w:val="auto"/>
        </w:rPr>
        <w:t>. Identifying possible benefits from different reform options through detailed analysis might also create appetite for policy reform to occur in the future</w:t>
      </w:r>
      <w:r w:rsidRPr="00925BE8">
        <w:rPr>
          <w:rStyle w:val="BodyTextChar"/>
          <w:b w:val="0"/>
          <w:color w:val="auto"/>
        </w:rPr>
        <w:t>.</w:t>
      </w:r>
    </w:p>
    <w:p w:rsidR="00F3517D" w:rsidRPr="006742A4" w:rsidRDefault="00F3517D" w:rsidP="0083342A">
      <w:pPr>
        <w:pStyle w:val="Heading2"/>
        <w:jc w:val="both"/>
        <w:rPr>
          <w:rFonts w:ascii="Franklin Gothic Book" w:hAnsi="Franklin Gothic Book"/>
          <w:b w:val="0"/>
          <w:color w:val="auto"/>
          <w:sz w:val="22"/>
          <w:szCs w:val="24"/>
        </w:rPr>
      </w:pPr>
      <w:r w:rsidRPr="006742A4">
        <w:rPr>
          <w:rStyle w:val="BodyTextChar"/>
          <w:color w:val="auto"/>
        </w:rPr>
        <w:t xml:space="preserve">Strong political economy analysis can also help manage the risks associated with tax policy and administration investments. </w:t>
      </w:r>
      <w:r w:rsidRPr="006742A4">
        <w:rPr>
          <w:rStyle w:val="BodyTextChar"/>
          <w:b w:val="0"/>
          <w:color w:val="auto"/>
        </w:rPr>
        <w:t>Risks can be managed through active consideration of the mode, design and deliverer of assistance</w:t>
      </w:r>
      <w:r w:rsidR="008221AF">
        <w:rPr>
          <w:rStyle w:val="BodyTextChar"/>
          <w:b w:val="0"/>
          <w:color w:val="auto"/>
        </w:rPr>
        <w:t xml:space="preserve">. </w:t>
      </w:r>
      <w:r w:rsidRPr="006742A4">
        <w:rPr>
          <w:rStyle w:val="BodyTextChar"/>
          <w:b w:val="0"/>
          <w:color w:val="auto"/>
        </w:rPr>
        <w:t xml:space="preserve">In the case of tax policy reform, for example, it may be that advice is best delivered through an international organisation such as the International Monetary Fund, the </w:t>
      </w:r>
      <w:r w:rsidR="00666036">
        <w:rPr>
          <w:rStyle w:val="BodyTextChar"/>
          <w:b w:val="0"/>
          <w:color w:val="auto"/>
        </w:rPr>
        <w:t>Organisation for Economic Cooperation and Development (</w:t>
      </w:r>
      <w:r w:rsidRPr="006742A4">
        <w:rPr>
          <w:rStyle w:val="BodyTextChar"/>
          <w:b w:val="0"/>
          <w:color w:val="auto"/>
        </w:rPr>
        <w:t>OECD</w:t>
      </w:r>
      <w:r w:rsidR="00666036">
        <w:rPr>
          <w:rStyle w:val="BodyTextChar"/>
          <w:b w:val="0"/>
          <w:color w:val="auto"/>
        </w:rPr>
        <w:t>)</w:t>
      </w:r>
      <w:r w:rsidRPr="006742A4">
        <w:rPr>
          <w:rStyle w:val="BodyTextChar"/>
          <w:b w:val="0"/>
          <w:color w:val="auto"/>
        </w:rPr>
        <w:t xml:space="preserve"> or the World Bank Group rather than through Australian </w:t>
      </w:r>
      <w:r w:rsidR="008B03F9">
        <w:rPr>
          <w:rStyle w:val="BodyTextChar"/>
          <w:b w:val="0"/>
          <w:color w:val="auto"/>
        </w:rPr>
        <w:t>G</w:t>
      </w:r>
      <w:r w:rsidRPr="006742A4">
        <w:rPr>
          <w:rStyle w:val="BodyTextChar"/>
          <w:b w:val="0"/>
          <w:color w:val="auto"/>
        </w:rPr>
        <w:t xml:space="preserve">overnment officials, or </w:t>
      </w:r>
      <w:r w:rsidR="0066781E">
        <w:rPr>
          <w:rStyle w:val="BodyTextChar"/>
          <w:b w:val="0"/>
          <w:color w:val="auto"/>
        </w:rPr>
        <w:t xml:space="preserve">other </w:t>
      </w:r>
      <w:r w:rsidRPr="006742A4">
        <w:rPr>
          <w:rStyle w:val="BodyTextChar"/>
          <w:b w:val="0"/>
          <w:color w:val="auto"/>
        </w:rPr>
        <w:t>aid</w:t>
      </w:r>
      <w:r w:rsidR="008B03F9">
        <w:rPr>
          <w:rStyle w:val="BodyTextChar"/>
          <w:b w:val="0"/>
          <w:color w:val="auto"/>
        </w:rPr>
        <w:t>-</w:t>
      </w:r>
      <w:r w:rsidRPr="006742A4">
        <w:rPr>
          <w:rStyle w:val="BodyTextChar"/>
          <w:b w:val="0"/>
          <w:color w:val="auto"/>
        </w:rPr>
        <w:t>funded advisers.</w:t>
      </w:r>
    </w:p>
    <w:p w:rsidR="006742A4" w:rsidRDefault="00C210C3" w:rsidP="0083342A">
      <w:pPr>
        <w:pStyle w:val="Heading2"/>
        <w:jc w:val="both"/>
      </w:pPr>
      <w:r w:rsidRPr="006742A4">
        <w:t>Prioritise work with</w:t>
      </w:r>
      <w:r w:rsidRPr="006742A4">
        <w:rPr>
          <w:rStyle w:val="SubtleEmphasis"/>
          <w:i w:val="0"/>
          <w:iCs w:val="0"/>
          <w:color w:val="4F81BD" w:themeColor="accent1"/>
        </w:rPr>
        <w:t xml:space="preserve"> </w:t>
      </w:r>
      <w:r w:rsidRPr="006742A4">
        <w:t xml:space="preserve">partner governments to strengthen their </w:t>
      </w:r>
      <w:r w:rsidR="00EB5427" w:rsidRPr="006742A4">
        <w:t xml:space="preserve">tax </w:t>
      </w:r>
      <w:r w:rsidRPr="006742A4">
        <w:t>revenue to GDP ratios and the fairness and sustainability of their tax systems</w:t>
      </w:r>
      <w:bookmarkEnd w:id="5"/>
    </w:p>
    <w:p w:rsidR="00F21C3C" w:rsidRDefault="003B3222" w:rsidP="00B9232B">
      <w:pPr>
        <w:pStyle w:val="Heading2"/>
        <w:spacing w:after="240"/>
        <w:jc w:val="both"/>
        <w:rPr>
          <w:rStyle w:val="BodyTextChar"/>
          <w:b w:val="0"/>
          <w:color w:val="auto"/>
        </w:rPr>
      </w:pPr>
      <w:r w:rsidRPr="00F21C3C">
        <w:rPr>
          <w:rStyle w:val="BodyTextChar"/>
          <w:color w:val="auto"/>
        </w:rPr>
        <w:t xml:space="preserve">Reforming tax policy and administration is closely linked to the broader agenda of budgeting and public expenditure management. </w:t>
      </w:r>
      <w:r w:rsidRPr="00F21C3C">
        <w:rPr>
          <w:rStyle w:val="BodyTextChar"/>
          <w:b w:val="0"/>
          <w:color w:val="auto"/>
        </w:rPr>
        <w:t>There is no doubt that citizens’ willingness to pay tax is influenced by perceptions of the quality of public goods and services</w:t>
      </w:r>
      <w:r w:rsidR="00EB5427" w:rsidRPr="00F21C3C">
        <w:rPr>
          <w:rStyle w:val="BodyTextChar"/>
          <w:b w:val="0"/>
          <w:color w:val="auto"/>
        </w:rPr>
        <w:t xml:space="preserve"> that the government provides</w:t>
      </w:r>
      <w:r w:rsidRPr="00F21C3C">
        <w:rPr>
          <w:rStyle w:val="BodyTextChar"/>
          <w:b w:val="0"/>
          <w:color w:val="auto"/>
        </w:rPr>
        <w:t xml:space="preserve">. Citizens and firms can </w:t>
      </w:r>
      <w:r w:rsidR="00BA1935" w:rsidRPr="00F21C3C">
        <w:rPr>
          <w:rStyle w:val="BodyTextChar"/>
          <w:b w:val="0"/>
          <w:color w:val="auto"/>
        </w:rPr>
        <w:t>be less</w:t>
      </w:r>
      <w:r w:rsidRPr="00F21C3C">
        <w:rPr>
          <w:rStyle w:val="BodyTextChar"/>
          <w:b w:val="0"/>
          <w:color w:val="auto"/>
        </w:rPr>
        <w:t xml:space="preserve"> willing to pay </w:t>
      </w:r>
      <w:r w:rsidR="00BA1935" w:rsidRPr="00F21C3C">
        <w:rPr>
          <w:rStyle w:val="BodyTextChar"/>
          <w:b w:val="0"/>
          <w:color w:val="auto"/>
        </w:rPr>
        <w:t xml:space="preserve">tax </w:t>
      </w:r>
      <w:r w:rsidR="00EB5427" w:rsidRPr="00F21C3C">
        <w:rPr>
          <w:rStyle w:val="BodyTextChar"/>
          <w:b w:val="0"/>
          <w:color w:val="auto"/>
        </w:rPr>
        <w:t>when there is</w:t>
      </w:r>
      <w:r w:rsidRPr="00F21C3C">
        <w:rPr>
          <w:rStyle w:val="BodyTextChar"/>
          <w:b w:val="0"/>
          <w:color w:val="auto"/>
        </w:rPr>
        <w:t xml:space="preserve"> a lack of state legitimacy, </w:t>
      </w:r>
      <w:r w:rsidR="00F3517D" w:rsidRPr="00F21C3C">
        <w:rPr>
          <w:rStyle w:val="BodyTextChar"/>
          <w:b w:val="0"/>
          <w:color w:val="auto"/>
        </w:rPr>
        <w:t>or a</w:t>
      </w:r>
      <w:r w:rsidR="00EB5427" w:rsidRPr="00F21C3C">
        <w:rPr>
          <w:rStyle w:val="BodyTextChar"/>
          <w:b w:val="0"/>
          <w:color w:val="auto"/>
        </w:rPr>
        <w:t xml:space="preserve"> </w:t>
      </w:r>
      <w:r w:rsidRPr="00F21C3C">
        <w:rPr>
          <w:rStyle w:val="BodyTextChar"/>
          <w:b w:val="0"/>
          <w:color w:val="auto"/>
        </w:rPr>
        <w:t xml:space="preserve">perception of corruption and misuse of public funds. Donors </w:t>
      </w:r>
      <w:r w:rsidR="00F3517D" w:rsidRPr="00F21C3C">
        <w:rPr>
          <w:rStyle w:val="BodyTextChar"/>
          <w:b w:val="0"/>
          <w:color w:val="auto"/>
        </w:rPr>
        <w:t xml:space="preserve">also </w:t>
      </w:r>
      <w:r w:rsidRPr="00F21C3C">
        <w:rPr>
          <w:rStyle w:val="BodyTextChar"/>
          <w:b w:val="0"/>
          <w:color w:val="auto"/>
        </w:rPr>
        <w:t xml:space="preserve">may legitimately question the value of assisting a government </w:t>
      </w:r>
      <w:r w:rsidR="00F3517D" w:rsidRPr="00F21C3C">
        <w:rPr>
          <w:rStyle w:val="BodyTextChar"/>
          <w:b w:val="0"/>
          <w:color w:val="auto"/>
        </w:rPr>
        <w:t>to generate additional revenue</w:t>
      </w:r>
      <w:r w:rsidR="00EB5427" w:rsidRPr="00F21C3C">
        <w:rPr>
          <w:rStyle w:val="BodyTextChar"/>
          <w:b w:val="0"/>
          <w:color w:val="auto"/>
        </w:rPr>
        <w:t xml:space="preserve"> if </w:t>
      </w:r>
      <w:r w:rsidR="0066781E">
        <w:rPr>
          <w:rStyle w:val="BodyTextChar"/>
          <w:b w:val="0"/>
          <w:color w:val="auto"/>
        </w:rPr>
        <w:t xml:space="preserve">the government </w:t>
      </w:r>
      <w:r w:rsidR="00EB5427" w:rsidRPr="00F21C3C">
        <w:rPr>
          <w:rStyle w:val="BodyTextChar"/>
          <w:b w:val="0"/>
          <w:color w:val="auto"/>
        </w:rPr>
        <w:t>has</w:t>
      </w:r>
      <w:r w:rsidRPr="00F21C3C">
        <w:rPr>
          <w:rStyle w:val="BodyTextChar"/>
          <w:b w:val="0"/>
          <w:color w:val="auto"/>
        </w:rPr>
        <w:t xml:space="preserve"> a poor record in public expenditure management. Nevertheless, in such situations, there may still be </w:t>
      </w:r>
      <w:r w:rsidR="00EB5427" w:rsidRPr="00F21C3C">
        <w:rPr>
          <w:rStyle w:val="BodyTextChar"/>
          <w:b w:val="0"/>
          <w:color w:val="auto"/>
        </w:rPr>
        <w:t xml:space="preserve">value </w:t>
      </w:r>
      <w:r w:rsidRPr="00F21C3C">
        <w:rPr>
          <w:rStyle w:val="BodyTextChar"/>
          <w:b w:val="0"/>
          <w:color w:val="auto"/>
        </w:rPr>
        <w:t xml:space="preserve">in supporting reforms that do not raise revenue but support some of the other positive linkages between tax and improved governance. </w:t>
      </w:r>
      <w:r w:rsidR="001F05CF">
        <w:rPr>
          <w:rStyle w:val="BodyTextChar"/>
          <w:b w:val="0"/>
          <w:color w:val="auto"/>
        </w:rPr>
        <w:t>Revenue</w:t>
      </w:r>
      <w:r w:rsidR="001F05CF">
        <w:rPr>
          <w:rStyle w:val="BodyTextChar"/>
          <w:b w:val="0"/>
          <w:color w:val="auto"/>
        </w:rPr>
        <w:noBreakHyphen/>
      </w:r>
      <w:r w:rsidR="0066781E">
        <w:rPr>
          <w:rStyle w:val="BodyTextChar"/>
          <w:b w:val="0"/>
          <w:color w:val="auto"/>
        </w:rPr>
        <w:t>neutral reforms can improve the efficiency of the tax system, promote equity, and reduce compliance and administrati</w:t>
      </w:r>
      <w:r w:rsidR="00146007">
        <w:rPr>
          <w:rStyle w:val="BodyTextChar"/>
          <w:b w:val="0"/>
          <w:color w:val="auto"/>
        </w:rPr>
        <w:t>ve</w:t>
      </w:r>
      <w:r w:rsidR="0066781E">
        <w:rPr>
          <w:rStyle w:val="BodyTextChar"/>
          <w:b w:val="0"/>
          <w:color w:val="auto"/>
        </w:rPr>
        <w:t xml:space="preserve"> costs. </w:t>
      </w:r>
      <w:r w:rsidRPr="00F21C3C">
        <w:rPr>
          <w:rStyle w:val="BodyTextChar"/>
          <w:b w:val="0"/>
          <w:color w:val="auto"/>
        </w:rPr>
        <w:t xml:space="preserve">Box </w:t>
      </w:r>
      <w:r w:rsidR="00676771" w:rsidRPr="00F21C3C">
        <w:rPr>
          <w:rStyle w:val="BodyTextChar"/>
          <w:b w:val="0"/>
          <w:color w:val="auto"/>
        </w:rPr>
        <w:t>2</w:t>
      </w:r>
      <w:r w:rsidRPr="00F21C3C">
        <w:rPr>
          <w:rStyle w:val="BodyTextChar"/>
          <w:b w:val="0"/>
          <w:color w:val="auto"/>
        </w:rPr>
        <w:t xml:space="preserve"> provides examples of policy reforms </w:t>
      </w:r>
      <w:r w:rsidR="0093338F">
        <w:rPr>
          <w:rStyle w:val="BodyTextChar"/>
          <w:b w:val="0"/>
          <w:color w:val="auto"/>
        </w:rPr>
        <w:t xml:space="preserve">that </w:t>
      </w:r>
      <w:r w:rsidR="009A2572" w:rsidRPr="00F21C3C">
        <w:rPr>
          <w:rStyle w:val="BodyTextChar"/>
          <w:b w:val="0"/>
          <w:color w:val="auto"/>
        </w:rPr>
        <w:t>can</w:t>
      </w:r>
      <w:r w:rsidRPr="00F21C3C">
        <w:rPr>
          <w:rStyle w:val="BodyTextChar"/>
          <w:b w:val="0"/>
          <w:color w:val="auto"/>
        </w:rPr>
        <w:t xml:space="preserve"> contribute to better governance outcomes.</w:t>
      </w:r>
    </w:p>
    <w:p w:rsidR="009A2572" w:rsidRPr="000D4E82" w:rsidRDefault="009A2572" w:rsidP="00B9232B">
      <w:pPr>
        <w:pBdr>
          <w:top w:val="single" w:sz="4" w:space="2" w:color="auto"/>
          <w:left w:val="single" w:sz="4" w:space="4" w:color="auto"/>
          <w:bottom w:val="single" w:sz="4" w:space="1" w:color="auto"/>
          <w:right w:val="single" w:sz="4" w:space="4" w:color="auto"/>
        </w:pBdr>
        <w:shd w:val="clear" w:color="auto" w:fill="C6D9F1" w:themeFill="text2" w:themeFillTint="33"/>
        <w:spacing w:after="240"/>
        <w:jc w:val="both"/>
        <w:rPr>
          <w:b/>
          <w:sz w:val="21"/>
          <w:szCs w:val="21"/>
        </w:rPr>
      </w:pPr>
      <w:r>
        <w:rPr>
          <w:b/>
          <w:sz w:val="21"/>
          <w:szCs w:val="21"/>
        </w:rPr>
        <w:t>B</w:t>
      </w:r>
      <w:r w:rsidRPr="003B4DA3">
        <w:rPr>
          <w:b/>
          <w:sz w:val="21"/>
          <w:szCs w:val="21"/>
        </w:rPr>
        <w:t xml:space="preserve">ox </w:t>
      </w:r>
      <w:r>
        <w:rPr>
          <w:b/>
          <w:sz w:val="21"/>
          <w:szCs w:val="21"/>
        </w:rPr>
        <w:t>2</w:t>
      </w:r>
      <w:r w:rsidRPr="003B4DA3">
        <w:rPr>
          <w:b/>
          <w:sz w:val="21"/>
          <w:szCs w:val="21"/>
        </w:rPr>
        <w:t>: Examples of tax policy reforms that promote better governance</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Broadening the tax base and lowering rates</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Eliminate or scale back tax concessions that benefit special interests</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Increase transpare</w:t>
      </w:r>
      <w:r>
        <w:rPr>
          <w:sz w:val="21"/>
          <w:szCs w:val="21"/>
        </w:rPr>
        <w:t>ncy of tax concessions</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 xml:space="preserve">Establish simple and fair fees/taxes for micro and small enterprises </w:t>
      </w:r>
      <w:r w:rsidR="0066781E">
        <w:rPr>
          <w:sz w:val="21"/>
          <w:szCs w:val="21"/>
        </w:rPr>
        <w:t>to</w:t>
      </w:r>
      <w:r w:rsidRPr="004F2B7D">
        <w:rPr>
          <w:sz w:val="21"/>
          <w:szCs w:val="21"/>
        </w:rPr>
        <w:t xml:space="preserve"> reduce barriers to formalisation</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Promote entry to the Extractive Industries Transparency Initiative (EITI)</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Develop capacity for tax policy analysis</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 xml:space="preserve">Strengthen local government revenue streams in ways that include simple and more effective use of </w:t>
      </w:r>
      <w:r>
        <w:rPr>
          <w:sz w:val="21"/>
          <w:szCs w:val="21"/>
        </w:rPr>
        <w:t>property taxes and license fees</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Assist government with policy and legislative reforms to address Base Erosion and Profit Shifting (BEPS) through the BEPS Action Plan</w:t>
      </w:r>
    </w:p>
    <w:p w:rsidR="009A2572" w:rsidRPr="004F2B7D" w:rsidRDefault="009A2572" w:rsidP="0083342A">
      <w:pPr>
        <w:pStyle w:val="ListParagraph"/>
        <w:numPr>
          <w:ilvl w:val="0"/>
          <w:numId w:val="27"/>
        </w:num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4F2B7D">
        <w:rPr>
          <w:sz w:val="21"/>
          <w:szCs w:val="21"/>
        </w:rPr>
        <w:t>Assist governments to make the legislative and regulatory changes necessary to implement the Automatic Exchange of I</w:t>
      </w:r>
      <w:r w:rsidR="001F05CF">
        <w:rPr>
          <w:sz w:val="21"/>
          <w:szCs w:val="21"/>
        </w:rPr>
        <w:t>nformation for Tax P</w:t>
      </w:r>
      <w:r w:rsidRPr="004F2B7D">
        <w:rPr>
          <w:sz w:val="21"/>
          <w:szCs w:val="21"/>
        </w:rPr>
        <w:t>urposes.</w:t>
      </w:r>
    </w:p>
    <w:p w:rsidR="009A2572" w:rsidRPr="00EF2C82" w:rsidRDefault="009A2572" w:rsidP="0083342A">
      <w:pPr>
        <w:pBdr>
          <w:top w:val="single" w:sz="4" w:space="2" w:color="auto"/>
          <w:left w:val="single" w:sz="4" w:space="4" w:color="auto"/>
          <w:bottom w:val="single" w:sz="4" w:space="1" w:color="auto"/>
          <w:right w:val="single" w:sz="4" w:space="4" w:color="auto"/>
        </w:pBdr>
        <w:shd w:val="clear" w:color="auto" w:fill="C6D9F1" w:themeFill="text2" w:themeFillTint="33"/>
        <w:jc w:val="both"/>
        <w:rPr>
          <w:sz w:val="21"/>
          <w:szCs w:val="21"/>
        </w:rPr>
      </w:pPr>
      <w:r w:rsidRPr="00EF2C82">
        <w:rPr>
          <w:sz w:val="21"/>
          <w:szCs w:val="21"/>
        </w:rPr>
        <w:t>Source: Based on ITC 2013, p.30</w:t>
      </w:r>
      <w:r w:rsidR="00430F92">
        <w:rPr>
          <w:sz w:val="21"/>
          <w:szCs w:val="21"/>
        </w:rPr>
        <w:t>.</w:t>
      </w:r>
    </w:p>
    <w:p w:rsidR="003B3222" w:rsidRPr="00F21C3C" w:rsidRDefault="003B3222" w:rsidP="0083342A">
      <w:pPr>
        <w:pStyle w:val="Heading2"/>
        <w:jc w:val="both"/>
        <w:rPr>
          <w:rStyle w:val="BodyTextChar"/>
          <w:b w:val="0"/>
          <w:color w:val="auto"/>
        </w:rPr>
      </w:pPr>
      <w:r w:rsidRPr="00F21C3C">
        <w:rPr>
          <w:rStyle w:val="BodyTextChar"/>
          <w:color w:val="auto"/>
        </w:rPr>
        <w:lastRenderedPageBreak/>
        <w:t xml:space="preserve">Tax policies and administration can have unintended consequences on other development objectives, such as gender equality. </w:t>
      </w:r>
      <w:r w:rsidRPr="00F21C3C">
        <w:rPr>
          <w:rStyle w:val="BodyTextChar"/>
          <w:b w:val="0"/>
          <w:color w:val="auto"/>
        </w:rPr>
        <w:t xml:space="preserve">For example, income tax policies can hinder efforts to increase women’s labour force participation by reducing the payoff for women returning to work. Other effects can be more subtle. Whole-of-household tax returns might reduce administrative burdens on taxpayers, but they often disadvantage the lower </w:t>
      </w:r>
      <w:r w:rsidR="00676771" w:rsidRPr="00F21C3C">
        <w:rPr>
          <w:rStyle w:val="BodyTextChar"/>
          <w:b w:val="0"/>
          <w:color w:val="auto"/>
        </w:rPr>
        <w:t>income earner in the household, through the application of a higher marginal tax rate</w:t>
      </w:r>
      <w:r w:rsidRPr="00F21C3C">
        <w:rPr>
          <w:rStyle w:val="BodyTextChar"/>
          <w:b w:val="0"/>
          <w:color w:val="auto"/>
        </w:rPr>
        <w:t xml:space="preserve">. </w:t>
      </w:r>
      <w:r w:rsidR="00F82BDE">
        <w:rPr>
          <w:rStyle w:val="BodyTextChar"/>
          <w:b w:val="0"/>
          <w:color w:val="auto"/>
        </w:rPr>
        <w:t>Significant differences in the consumption patterns of men and women can also cause the tax burden from i</w:t>
      </w:r>
      <w:r w:rsidR="00F82BDE" w:rsidRPr="00F21C3C">
        <w:rPr>
          <w:rStyle w:val="BodyTextChar"/>
          <w:b w:val="0"/>
          <w:color w:val="auto"/>
        </w:rPr>
        <w:t>ndirect taxes such as VAT</w:t>
      </w:r>
      <w:r w:rsidR="00F82BDE">
        <w:rPr>
          <w:rStyle w:val="BodyTextChar"/>
          <w:b w:val="0"/>
          <w:color w:val="auto"/>
        </w:rPr>
        <w:t xml:space="preserve"> to fall more heavily on one gender than the other.</w:t>
      </w:r>
      <w:r w:rsidR="00D6286E">
        <w:rPr>
          <w:rStyle w:val="FootnoteReference"/>
          <w:rFonts w:ascii="Franklin Gothic Book" w:hAnsi="Franklin Gothic Book"/>
          <w:b w:val="0"/>
          <w:color w:val="auto"/>
          <w:sz w:val="22"/>
          <w:szCs w:val="24"/>
        </w:rPr>
        <w:footnoteReference w:id="8"/>
      </w:r>
      <w:r w:rsidRPr="00F21C3C">
        <w:rPr>
          <w:rStyle w:val="BodyTextChar"/>
          <w:b w:val="0"/>
          <w:color w:val="auto"/>
        </w:rPr>
        <w:t xml:space="preserve"> It is </w:t>
      </w:r>
      <w:r w:rsidR="00676771" w:rsidRPr="00F21C3C">
        <w:rPr>
          <w:rStyle w:val="BodyTextChar"/>
          <w:b w:val="0"/>
          <w:color w:val="auto"/>
        </w:rPr>
        <w:t xml:space="preserve">therefore </w:t>
      </w:r>
      <w:r w:rsidRPr="00F21C3C">
        <w:rPr>
          <w:rStyle w:val="BodyTextChar"/>
          <w:b w:val="0"/>
          <w:color w:val="auto"/>
        </w:rPr>
        <w:t xml:space="preserve">important </w:t>
      </w:r>
      <w:r w:rsidR="009A2572" w:rsidRPr="00F21C3C">
        <w:rPr>
          <w:rStyle w:val="BodyTextChar"/>
          <w:b w:val="0"/>
          <w:color w:val="auto"/>
        </w:rPr>
        <w:t>that any tax reform effort</w:t>
      </w:r>
      <w:r w:rsidRPr="00F21C3C">
        <w:rPr>
          <w:rStyle w:val="BodyTextChar"/>
          <w:b w:val="0"/>
          <w:color w:val="auto"/>
        </w:rPr>
        <w:t xml:space="preserve"> consider</w:t>
      </w:r>
      <w:r w:rsidR="009A2572" w:rsidRPr="00F21C3C">
        <w:rPr>
          <w:rStyle w:val="BodyTextChar"/>
          <w:b w:val="0"/>
          <w:color w:val="auto"/>
        </w:rPr>
        <w:t>s</w:t>
      </w:r>
      <w:r w:rsidRPr="00F21C3C">
        <w:rPr>
          <w:rStyle w:val="BodyTextChar"/>
          <w:b w:val="0"/>
          <w:color w:val="auto"/>
        </w:rPr>
        <w:t xml:space="preserve"> the impact on disadvantaged groups, as well as on income distribution more broadly. </w:t>
      </w:r>
      <w:r w:rsidR="009A2572" w:rsidRPr="00F21C3C">
        <w:rPr>
          <w:rStyle w:val="BodyTextChar"/>
          <w:b w:val="0"/>
          <w:color w:val="auto"/>
        </w:rPr>
        <w:t xml:space="preserve">This is particularly </w:t>
      </w:r>
      <w:r w:rsidR="00EB5427" w:rsidRPr="00F21C3C">
        <w:rPr>
          <w:rStyle w:val="BodyTextChar"/>
          <w:b w:val="0"/>
          <w:color w:val="auto"/>
        </w:rPr>
        <w:t>important</w:t>
      </w:r>
      <w:r w:rsidR="009A2572" w:rsidRPr="00F21C3C">
        <w:rPr>
          <w:rStyle w:val="BodyTextChar"/>
          <w:b w:val="0"/>
          <w:color w:val="auto"/>
        </w:rPr>
        <w:t xml:space="preserve"> in a developing country context where the need to balance simplicity in administration can, to an extent, drive the choices that are made in relation to tax policy.</w:t>
      </w:r>
    </w:p>
    <w:p w:rsidR="004663B0" w:rsidRDefault="00CA3446" w:rsidP="0083342A">
      <w:pPr>
        <w:pStyle w:val="Heading2"/>
        <w:jc w:val="both"/>
        <w:rPr>
          <w:rStyle w:val="BodyTextChar"/>
          <w:b w:val="0"/>
          <w:color w:val="auto"/>
        </w:rPr>
      </w:pPr>
      <w:r w:rsidRPr="00F21C3C">
        <w:rPr>
          <w:rStyle w:val="BodyTextChar"/>
          <w:color w:val="auto"/>
        </w:rPr>
        <w:t xml:space="preserve">Simplifying tax legislation and improving revenue administration are closely linked, and should be considered together. </w:t>
      </w:r>
      <w:r w:rsidR="005A6AEF">
        <w:rPr>
          <w:rStyle w:val="BodyTextChar"/>
          <w:b w:val="0"/>
          <w:color w:val="auto"/>
        </w:rPr>
        <w:t>A</w:t>
      </w:r>
      <w:r w:rsidR="00865822" w:rsidRPr="00F21C3C">
        <w:rPr>
          <w:rStyle w:val="BodyTextChar"/>
          <w:b w:val="0"/>
          <w:color w:val="auto"/>
        </w:rPr>
        <w:t>dministrative reform can improve the efficiency of tax collection</w:t>
      </w:r>
      <w:r w:rsidR="007F35FE">
        <w:rPr>
          <w:rStyle w:val="BodyTextChar"/>
          <w:b w:val="0"/>
          <w:color w:val="auto"/>
        </w:rPr>
        <w:t>, promote equity, or reduce compliance and administrative costs</w:t>
      </w:r>
      <w:r w:rsidR="00865822" w:rsidRPr="00F21C3C">
        <w:rPr>
          <w:rStyle w:val="BodyTextChar"/>
          <w:b w:val="0"/>
          <w:color w:val="auto"/>
        </w:rPr>
        <w:t xml:space="preserve">. </w:t>
      </w:r>
      <w:r w:rsidRPr="00F21C3C">
        <w:rPr>
          <w:rStyle w:val="BodyTextChar"/>
          <w:b w:val="0"/>
          <w:color w:val="auto"/>
        </w:rPr>
        <w:t xml:space="preserve">Some of the most common areas of </w:t>
      </w:r>
      <w:r w:rsidR="00865822" w:rsidRPr="00F21C3C">
        <w:rPr>
          <w:rStyle w:val="BodyTextChar"/>
          <w:b w:val="0"/>
          <w:color w:val="auto"/>
        </w:rPr>
        <w:t xml:space="preserve">tax administration </w:t>
      </w:r>
      <w:r w:rsidRPr="00F21C3C">
        <w:rPr>
          <w:rStyle w:val="BodyTextChar"/>
          <w:b w:val="0"/>
          <w:color w:val="auto"/>
        </w:rPr>
        <w:t xml:space="preserve">reform include increasing </w:t>
      </w:r>
      <w:r w:rsidR="00865822" w:rsidRPr="00F21C3C">
        <w:rPr>
          <w:rStyle w:val="BodyTextChar"/>
          <w:b w:val="0"/>
          <w:color w:val="auto"/>
        </w:rPr>
        <w:t xml:space="preserve">the </w:t>
      </w:r>
      <w:r w:rsidRPr="00F21C3C">
        <w:rPr>
          <w:rStyle w:val="BodyTextChar"/>
          <w:b w:val="0"/>
          <w:color w:val="auto"/>
        </w:rPr>
        <w:t>autonomy</w:t>
      </w:r>
      <w:r w:rsidR="00865822" w:rsidRPr="00F21C3C">
        <w:rPr>
          <w:rStyle w:val="BodyTextChar"/>
          <w:b w:val="0"/>
          <w:color w:val="auto"/>
        </w:rPr>
        <w:t xml:space="preserve"> of the revenue collection agency</w:t>
      </w:r>
      <w:r w:rsidRPr="00F21C3C">
        <w:rPr>
          <w:rStyle w:val="BodyTextChar"/>
          <w:b w:val="0"/>
          <w:color w:val="auto"/>
        </w:rPr>
        <w:t>, moving towards function-based organisational arrangements</w:t>
      </w:r>
      <w:r w:rsidR="00865822" w:rsidRPr="00F21C3C">
        <w:rPr>
          <w:rStyle w:val="BodyTextChar"/>
          <w:b w:val="0"/>
          <w:color w:val="auto"/>
        </w:rPr>
        <w:t>,</w:t>
      </w:r>
      <w:r w:rsidRPr="00F21C3C">
        <w:rPr>
          <w:rStyle w:val="BodyTextChar"/>
          <w:b w:val="0"/>
          <w:color w:val="auto"/>
        </w:rPr>
        <w:t xml:space="preserve"> and</w:t>
      </w:r>
      <w:r w:rsidR="001F05CF">
        <w:rPr>
          <w:rStyle w:val="BodyTextChar"/>
          <w:b w:val="0"/>
          <w:color w:val="auto"/>
        </w:rPr>
        <w:t xml:space="preserve"> establishing offices</w:t>
      </w:r>
      <w:r w:rsidRPr="00F21C3C">
        <w:rPr>
          <w:rStyle w:val="BodyTextChar"/>
          <w:b w:val="0"/>
          <w:color w:val="auto"/>
        </w:rPr>
        <w:t xml:space="preserve"> for different categories of taxpayers – in particular,</w:t>
      </w:r>
      <w:r w:rsidR="009A2572" w:rsidRPr="00F21C3C">
        <w:rPr>
          <w:rStyle w:val="BodyTextChar"/>
          <w:b w:val="0"/>
          <w:color w:val="auto"/>
        </w:rPr>
        <w:t xml:space="preserve"> large taxpayer units.</w:t>
      </w:r>
      <w:r w:rsidRPr="00F21C3C">
        <w:rPr>
          <w:rStyle w:val="BodyTextChar"/>
          <w:b w:val="0"/>
          <w:color w:val="auto"/>
        </w:rPr>
        <w:t xml:space="preserve"> There has also been a focus on modernising technology syst</w:t>
      </w:r>
      <w:r w:rsidR="009A2572" w:rsidRPr="00F21C3C">
        <w:rPr>
          <w:rStyle w:val="BodyTextChar"/>
          <w:b w:val="0"/>
          <w:color w:val="auto"/>
        </w:rPr>
        <w:t>ems and simplifying collection.</w:t>
      </w:r>
      <w:r w:rsidRPr="00F21C3C">
        <w:rPr>
          <w:rStyle w:val="BodyTextChar"/>
          <w:b w:val="0"/>
          <w:color w:val="auto"/>
        </w:rPr>
        <w:t xml:space="preserve"> Box </w:t>
      </w:r>
      <w:r w:rsidR="00676771" w:rsidRPr="00F21C3C">
        <w:rPr>
          <w:rStyle w:val="BodyTextChar"/>
          <w:b w:val="0"/>
          <w:color w:val="auto"/>
        </w:rPr>
        <w:t>3</w:t>
      </w:r>
      <w:r w:rsidRPr="00F21C3C">
        <w:rPr>
          <w:rStyle w:val="BodyTextChar"/>
          <w:b w:val="0"/>
          <w:color w:val="auto"/>
        </w:rPr>
        <w:t xml:space="preserve"> identifies some </w:t>
      </w:r>
      <w:r w:rsidR="00A51783" w:rsidRPr="00F21C3C">
        <w:rPr>
          <w:rStyle w:val="BodyTextChar"/>
          <w:b w:val="0"/>
          <w:color w:val="auto"/>
        </w:rPr>
        <w:t>options for tax administration assistance.</w:t>
      </w:r>
    </w:p>
    <w:p w:rsidR="00F21C3C" w:rsidRPr="00F21C3C" w:rsidRDefault="00F21C3C" w:rsidP="0083342A">
      <w:pPr>
        <w:jc w:val="both"/>
      </w:pPr>
    </w:p>
    <w:p w:rsidR="00CA3446"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b/>
          <w:sz w:val="21"/>
          <w:szCs w:val="21"/>
        </w:rPr>
      </w:pPr>
      <w:r w:rsidRPr="003B4DA3">
        <w:rPr>
          <w:b/>
          <w:sz w:val="21"/>
          <w:szCs w:val="21"/>
        </w:rPr>
        <w:t xml:space="preserve">Box </w:t>
      </w:r>
      <w:r w:rsidR="00DE6FCA">
        <w:rPr>
          <w:b/>
          <w:sz w:val="21"/>
          <w:szCs w:val="21"/>
        </w:rPr>
        <w:t>3</w:t>
      </w:r>
      <w:r w:rsidRPr="003B4DA3">
        <w:rPr>
          <w:b/>
          <w:sz w:val="21"/>
          <w:szCs w:val="21"/>
        </w:rPr>
        <w:t xml:space="preserve">: </w:t>
      </w:r>
      <w:r>
        <w:rPr>
          <w:b/>
          <w:sz w:val="21"/>
          <w:szCs w:val="21"/>
        </w:rPr>
        <w:t>Options</w:t>
      </w:r>
      <w:r w:rsidRPr="003B4DA3">
        <w:rPr>
          <w:b/>
          <w:sz w:val="21"/>
          <w:szCs w:val="21"/>
        </w:rPr>
        <w:t xml:space="preserve"> for tax administration assistance</w:t>
      </w:r>
    </w:p>
    <w:p w:rsidR="00CA3446" w:rsidRPr="00BE37BE"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b/>
          <w:sz w:val="21"/>
          <w:szCs w:val="21"/>
        </w:rPr>
      </w:pP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ind w:left="720" w:hanging="720"/>
        <w:jc w:val="both"/>
        <w:rPr>
          <w:sz w:val="21"/>
          <w:szCs w:val="21"/>
        </w:rPr>
      </w:pPr>
      <w:r w:rsidRPr="004C4943">
        <w:rPr>
          <w:sz w:val="21"/>
          <w:szCs w:val="21"/>
        </w:rPr>
        <w:t>•</w:t>
      </w:r>
      <w:r w:rsidRPr="004C4943">
        <w:rPr>
          <w:sz w:val="21"/>
          <w:szCs w:val="21"/>
        </w:rPr>
        <w:tab/>
        <w:t>Professionalising tax administration through remuneration reform, merit</w:t>
      </w:r>
      <w:r w:rsidR="00F3517D">
        <w:rPr>
          <w:sz w:val="21"/>
          <w:szCs w:val="21"/>
        </w:rPr>
        <w:noBreakHyphen/>
      </w:r>
      <w:r w:rsidRPr="004C4943">
        <w:rPr>
          <w:sz w:val="21"/>
          <w:szCs w:val="21"/>
        </w:rPr>
        <w:t>based human resource management and training</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 w:val="21"/>
          <w:szCs w:val="21"/>
        </w:rPr>
      </w:pPr>
      <w:r w:rsidRPr="004C4943">
        <w:rPr>
          <w:sz w:val="21"/>
          <w:szCs w:val="21"/>
        </w:rPr>
        <w:t>•</w:t>
      </w:r>
      <w:r w:rsidRPr="004C4943">
        <w:rPr>
          <w:sz w:val="21"/>
          <w:szCs w:val="21"/>
        </w:rPr>
        <w:tab/>
        <w:t>Strengthening revenue forecasting and monitoring capacity</w:t>
      </w:r>
    </w:p>
    <w:p w:rsidR="00CA3446" w:rsidRPr="004C4943" w:rsidRDefault="00F3517D" w:rsidP="0083342A">
      <w:pPr>
        <w:pBdr>
          <w:top w:val="single" w:sz="4" w:space="2" w:color="auto"/>
          <w:left w:val="single" w:sz="4" w:space="4" w:color="auto"/>
          <w:bottom w:val="single" w:sz="4" w:space="5" w:color="auto"/>
          <w:right w:val="single" w:sz="4" w:space="4" w:color="auto"/>
        </w:pBdr>
        <w:shd w:val="clear" w:color="auto" w:fill="C6D9F1" w:themeFill="text2" w:themeFillTint="33"/>
        <w:ind w:left="720" w:hanging="720"/>
        <w:jc w:val="both"/>
        <w:rPr>
          <w:sz w:val="21"/>
          <w:szCs w:val="21"/>
        </w:rPr>
      </w:pPr>
      <w:r>
        <w:rPr>
          <w:sz w:val="21"/>
          <w:szCs w:val="21"/>
        </w:rPr>
        <w:t>•</w:t>
      </w:r>
      <w:r>
        <w:rPr>
          <w:sz w:val="21"/>
          <w:szCs w:val="21"/>
        </w:rPr>
        <w:tab/>
        <w:t>Introducing</w:t>
      </w:r>
      <w:r w:rsidR="00CA3446" w:rsidRPr="004C4943">
        <w:rPr>
          <w:sz w:val="21"/>
          <w:szCs w:val="21"/>
        </w:rPr>
        <w:t xml:space="preserve"> more effective integrity and internal audit programs to control abusive and corrupt practices</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ind w:left="720" w:hanging="720"/>
        <w:jc w:val="both"/>
        <w:rPr>
          <w:sz w:val="21"/>
          <w:szCs w:val="21"/>
        </w:rPr>
      </w:pPr>
      <w:r w:rsidRPr="004C4943">
        <w:rPr>
          <w:sz w:val="21"/>
          <w:szCs w:val="21"/>
        </w:rPr>
        <w:t>•</w:t>
      </w:r>
      <w:r w:rsidRPr="004C4943">
        <w:rPr>
          <w:sz w:val="21"/>
          <w:szCs w:val="21"/>
        </w:rPr>
        <w:tab/>
        <w:t>Modernising information technology systems to improve operational efficiency and reduce discre</w:t>
      </w:r>
      <w:r>
        <w:rPr>
          <w:sz w:val="21"/>
          <w:szCs w:val="21"/>
        </w:rPr>
        <w:t>tionary interactions with tax</w:t>
      </w:r>
      <w:r w:rsidRPr="004C4943">
        <w:rPr>
          <w:sz w:val="21"/>
          <w:szCs w:val="21"/>
        </w:rPr>
        <w:t>payers</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ind w:left="720" w:hanging="720"/>
        <w:jc w:val="both"/>
        <w:rPr>
          <w:sz w:val="21"/>
          <w:szCs w:val="21"/>
        </w:rPr>
      </w:pPr>
      <w:r w:rsidRPr="004C4943">
        <w:rPr>
          <w:sz w:val="21"/>
          <w:szCs w:val="21"/>
        </w:rPr>
        <w:t>•</w:t>
      </w:r>
      <w:r w:rsidRPr="004C4943">
        <w:rPr>
          <w:sz w:val="21"/>
          <w:szCs w:val="21"/>
        </w:rPr>
        <w:tab/>
        <w:t>Organising tax operations around customer lines to improve service and efficiency</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 w:val="21"/>
          <w:szCs w:val="21"/>
        </w:rPr>
      </w:pPr>
      <w:r w:rsidRPr="004C4943">
        <w:rPr>
          <w:sz w:val="21"/>
          <w:szCs w:val="21"/>
        </w:rPr>
        <w:t>•</w:t>
      </w:r>
      <w:r w:rsidRPr="004C4943">
        <w:rPr>
          <w:sz w:val="21"/>
          <w:szCs w:val="21"/>
        </w:rPr>
        <w:tab/>
        <w:t>Introduc</w:t>
      </w:r>
      <w:r w:rsidR="00F3517D">
        <w:rPr>
          <w:sz w:val="21"/>
          <w:szCs w:val="21"/>
        </w:rPr>
        <w:t>ing</w:t>
      </w:r>
      <w:r w:rsidRPr="004C4943">
        <w:rPr>
          <w:sz w:val="21"/>
          <w:szCs w:val="21"/>
        </w:rPr>
        <w:t xml:space="preserve"> systems for voluntary compliance</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 w:val="21"/>
          <w:szCs w:val="21"/>
        </w:rPr>
      </w:pPr>
      <w:r w:rsidRPr="004C4943">
        <w:rPr>
          <w:sz w:val="21"/>
          <w:szCs w:val="21"/>
        </w:rPr>
        <w:t>•</w:t>
      </w:r>
      <w:r w:rsidRPr="004C4943">
        <w:rPr>
          <w:sz w:val="21"/>
          <w:szCs w:val="21"/>
        </w:rPr>
        <w:tab/>
        <w:t>Strengthening</w:t>
      </w:r>
      <w:r w:rsidR="00F3517D">
        <w:rPr>
          <w:sz w:val="21"/>
          <w:szCs w:val="21"/>
        </w:rPr>
        <w:t xml:space="preserve"> a culture of</w:t>
      </w:r>
      <w:r w:rsidRPr="004C4943">
        <w:rPr>
          <w:sz w:val="21"/>
          <w:szCs w:val="21"/>
        </w:rPr>
        <w:t xml:space="preserve"> customer service in the tax administration</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 w:val="21"/>
          <w:szCs w:val="21"/>
        </w:rPr>
      </w:pPr>
      <w:r w:rsidRPr="004C4943">
        <w:rPr>
          <w:sz w:val="21"/>
          <w:szCs w:val="21"/>
        </w:rPr>
        <w:t>•</w:t>
      </w:r>
      <w:r w:rsidRPr="004C4943">
        <w:rPr>
          <w:sz w:val="21"/>
          <w:szCs w:val="21"/>
        </w:rPr>
        <w:tab/>
      </w:r>
      <w:r w:rsidR="00F3517D">
        <w:rPr>
          <w:sz w:val="21"/>
          <w:szCs w:val="21"/>
        </w:rPr>
        <w:t>Developing g</w:t>
      </w:r>
      <w:r w:rsidRPr="004C4943">
        <w:rPr>
          <w:sz w:val="21"/>
          <w:szCs w:val="21"/>
        </w:rPr>
        <w:t>reater transparency in relation to tax systems an</w:t>
      </w:r>
      <w:r>
        <w:rPr>
          <w:sz w:val="21"/>
          <w:szCs w:val="21"/>
        </w:rPr>
        <w:t>d tax data</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 w:val="21"/>
          <w:szCs w:val="21"/>
        </w:rPr>
      </w:pPr>
      <w:r w:rsidRPr="004C4943">
        <w:rPr>
          <w:sz w:val="21"/>
          <w:szCs w:val="21"/>
        </w:rPr>
        <w:t>•</w:t>
      </w:r>
      <w:r w:rsidRPr="004C4943">
        <w:rPr>
          <w:sz w:val="21"/>
          <w:szCs w:val="21"/>
        </w:rPr>
        <w:tab/>
      </w:r>
      <w:r w:rsidR="00B918CE">
        <w:rPr>
          <w:sz w:val="21"/>
          <w:szCs w:val="21"/>
        </w:rPr>
        <w:t>Designing public</w:t>
      </w:r>
      <w:r w:rsidRPr="004C4943">
        <w:rPr>
          <w:sz w:val="21"/>
          <w:szCs w:val="21"/>
        </w:rPr>
        <w:t xml:space="preserve"> information campaigns on taxpa</w:t>
      </w:r>
      <w:r>
        <w:rPr>
          <w:sz w:val="21"/>
          <w:szCs w:val="21"/>
        </w:rPr>
        <w:t>yer rights and responsibilities</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ind w:left="720" w:hanging="720"/>
        <w:jc w:val="both"/>
        <w:rPr>
          <w:sz w:val="21"/>
          <w:szCs w:val="21"/>
        </w:rPr>
      </w:pPr>
      <w:r w:rsidRPr="004C4943">
        <w:rPr>
          <w:sz w:val="21"/>
          <w:szCs w:val="21"/>
        </w:rPr>
        <w:t>•</w:t>
      </w:r>
      <w:r w:rsidRPr="004C4943">
        <w:rPr>
          <w:sz w:val="21"/>
          <w:szCs w:val="21"/>
        </w:rPr>
        <w:tab/>
      </w:r>
      <w:r w:rsidR="00F3517D">
        <w:rPr>
          <w:sz w:val="21"/>
          <w:szCs w:val="21"/>
        </w:rPr>
        <w:t>Introducing e</w:t>
      </w:r>
      <w:r w:rsidRPr="004C4943">
        <w:rPr>
          <w:sz w:val="21"/>
          <w:szCs w:val="21"/>
        </w:rPr>
        <w:t>lectronic filing and payment</w:t>
      </w:r>
      <w:r w:rsidR="00F3517D">
        <w:rPr>
          <w:sz w:val="21"/>
          <w:szCs w:val="21"/>
        </w:rPr>
        <w:t>,</w:t>
      </w:r>
      <w:r w:rsidRPr="004C4943">
        <w:rPr>
          <w:sz w:val="21"/>
          <w:szCs w:val="21"/>
        </w:rPr>
        <w:t xml:space="preserve"> and simpl</w:t>
      </w:r>
      <w:r w:rsidR="00F3517D">
        <w:rPr>
          <w:sz w:val="21"/>
          <w:szCs w:val="21"/>
        </w:rPr>
        <w:t xml:space="preserve">ifying </w:t>
      </w:r>
      <w:r w:rsidRPr="004C4943">
        <w:rPr>
          <w:sz w:val="21"/>
          <w:szCs w:val="21"/>
        </w:rPr>
        <w:t>forms, particularly for micro and small enterprises</w:t>
      </w:r>
    </w:p>
    <w:p w:rsidR="00CA3446" w:rsidRPr="004C4943"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 w:val="21"/>
          <w:szCs w:val="21"/>
        </w:rPr>
      </w:pPr>
      <w:r w:rsidRPr="004C4943">
        <w:rPr>
          <w:sz w:val="21"/>
          <w:szCs w:val="21"/>
        </w:rPr>
        <w:t>•</w:t>
      </w:r>
      <w:r w:rsidRPr="004C4943">
        <w:rPr>
          <w:sz w:val="21"/>
          <w:szCs w:val="21"/>
        </w:rPr>
        <w:tab/>
        <w:t>Strengthen</w:t>
      </w:r>
      <w:r w:rsidR="00F3517D">
        <w:rPr>
          <w:sz w:val="21"/>
          <w:szCs w:val="21"/>
        </w:rPr>
        <w:t>ing</w:t>
      </w:r>
      <w:r w:rsidRPr="004C4943">
        <w:rPr>
          <w:sz w:val="21"/>
          <w:szCs w:val="21"/>
        </w:rPr>
        <w:t xml:space="preserve"> procedures for appeals </w:t>
      </w:r>
    </w:p>
    <w:p w:rsidR="00CA3446" w:rsidRPr="00EF2C82"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ind w:left="720" w:hanging="720"/>
        <w:jc w:val="both"/>
        <w:rPr>
          <w:sz w:val="21"/>
          <w:szCs w:val="21"/>
        </w:rPr>
      </w:pPr>
      <w:r w:rsidRPr="004C4943">
        <w:rPr>
          <w:sz w:val="21"/>
          <w:szCs w:val="21"/>
        </w:rPr>
        <w:t>•</w:t>
      </w:r>
      <w:r w:rsidRPr="004C4943">
        <w:rPr>
          <w:sz w:val="21"/>
          <w:szCs w:val="21"/>
        </w:rPr>
        <w:tab/>
        <w:t>Improv</w:t>
      </w:r>
      <w:r w:rsidR="00F3517D">
        <w:rPr>
          <w:sz w:val="21"/>
          <w:szCs w:val="21"/>
        </w:rPr>
        <w:t>ing</w:t>
      </w:r>
      <w:r w:rsidRPr="004C4943">
        <w:rPr>
          <w:sz w:val="21"/>
          <w:szCs w:val="21"/>
        </w:rPr>
        <w:t xml:space="preserve"> institutions such as business and property registries and tax appeals courts.</w:t>
      </w:r>
    </w:p>
    <w:p w:rsidR="00CA3446" w:rsidRDefault="00CA3446" w:rsidP="0083342A">
      <w:pPr>
        <w:pBdr>
          <w:top w:val="single" w:sz="4" w:space="2" w:color="auto"/>
          <w:left w:val="single" w:sz="4" w:space="4" w:color="auto"/>
          <w:bottom w:val="single" w:sz="4" w:space="5" w:color="auto"/>
          <w:right w:val="single" w:sz="4" w:space="4" w:color="auto"/>
        </w:pBdr>
        <w:shd w:val="clear" w:color="auto" w:fill="C6D9F1" w:themeFill="text2" w:themeFillTint="33"/>
        <w:jc w:val="both"/>
        <w:rPr>
          <w:szCs w:val="22"/>
        </w:rPr>
      </w:pPr>
      <w:r w:rsidRPr="00EF2C82">
        <w:rPr>
          <w:sz w:val="21"/>
          <w:szCs w:val="21"/>
        </w:rPr>
        <w:t>Source: Based on ITC 2013, p.30</w:t>
      </w:r>
      <w:r w:rsidR="001F05CF">
        <w:rPr>
          <w:sz w:val="21"/>
          <w:szCs w:val="21"/>
        </w:rPr>
        <w:t>.</w:t>
      </w:r>
    </w:p>
    <w:p w:rsidR="00374578" w:rsidRPr="00EC7439" w:rsidRDefault="00374578" w:rsidP="0083342A">
      <w:pPr>
        <w:pStyle w:val="Heading2"/>
        <w:jc w:val="both"/>
      </w:pPr>
      <w:bookmarkStart w:id="6" w:name="_Toc434412426"/>
      <w:r w:rsidRPr="00EC7439">
        <w:lastRenderedPageBreak/>
        <w:t>Promote international tax norm-setting processes that engage with developing countries in the Indo-Pacific</w:t>
      </w:r>
      <w:bookmarkEnd w:id="6"/>
    </w:p>
    <w:p w:rsidR="00374578" w:rsidRPr="00CE728A" w:rsidRDefault="00374578" w:rsidP="0083342A">
      <w:pPr>
        <w:pStyle w:val="Heading2"/>
        <w:jc w:val="both"/>
        <w:rPr>
          <w:rStyle w:val="BodyTextChar"/>
          <w:b w:val="0"/>
          <w:color w:val="auto"/>
        </w:rPr>
      </w:pPr>
      <w:r w:rsidRPr="00F21C3C">
        <w:rPr>
          <w:rStyle w:val="BodyTextChar"/>
          <w:color w:val="auto"/>
        </w:rPr>
        <w:t xml:space="preserve">Australia engages in international forums to influence global tax </w:t>
      </w:r>
      <w:r w:rsidR="0093338F">
        <w:rPr>
          <w:rStyle w:val="BodyTextChar"/>
          <w:color w:val="auto"/>
        </w:rPr>
        <w:t xml:space="preserve">policy and </w:t>
      </w:r>
      <w:r w:rsidRPr="00F21C3C">
        <w:rPr>
          <w:rStyle w:val="BodyTextChar"/>
          <w:color w:val="auto"/>
        </w:rPr>
        <w:t xml:space="preserve">administration. </w:t>
      </w:r>
      <w:r w:rsidRPr="00F21C3C">
        <w:rPr>
          <w:rStyle w:val="BodyTextChar"/>
          <w:b w:val="0"/>
          <w:color w:val="auto"/>
        </w:rPr>
        <w:t>This engagement aims to better identify and mitigate global risks</w:t>
      </w:r>
      <w:r w:rsidR="006127F8" w:rsidRPr="00F21C3C">
        <w:rPr>
          <w:rStyle w:val="BodyTextChar"/>
          <w:b w:val="0"/>
          <w:color w:val="auto"/>
        </w:rPr>
        <w:t xml:space="preserve"> such as </w:t>
      </w:r>
      <w:r w:rsidR="00C77302">
        <w:rPr>
          <w:rStyle w:val="BodyTextChar"/>
          <w:b w:val="0"/>
          <w:color w:val="auto"/>
        </w:rPr>
        <w:t xml:space="preserve">cross border </w:t>
      </w:r>
      <w:r w:rsidR="006127F8" w:rsidRPr="00F21C3C">
        <w:rPr>
          <w:rStyle w:val="BodyTextChar"/>
          <w:b w:val="0"/>
          <w:color w:val="auto"/>
        </w:rPr>
        <w:t xml:space="preserve">tax evasion or </w:t>
      </w:r>
      <w:r w:rsidR="00C77302">
        <w:rPr>
          <w:rStyle w:val="BodyTextChar"/>
          <w:b w:val="0"/>
          <w:color w:val="auto"/>
        </w:rPr>
        <w:t>avoidance</w:t>
      </w:r>
      <w:r w:rsidRPr="00F21C3C">
        <w:rPr>
          <w:rStyle w:val="BodyTextChar"/>
          <w:b w:val="0"/>
          <w:color w:val="auto"/>
        </w:rPr>
        <w:t>, champion international transparency and equitable tax administration, enhance Australia’s commitment to supporting regional development</w:t>
      </w:r>
      <w:r w:rsidR="006127F8" w:rsidRPr="00F21C3C">
        <w:rPr>
          <w:rStyle w:val="BodyTextChar"/>
          <w:b w:val="0"/>
          <w:color w:val="auto"/>
        </w:rPr>
        <w:t>,</w:t>
      </w:r>
      <w:r w:rsidRPr="00F21C3C">
        <w:rPr>
          <w:rStyle w:val="BodyTextChar"/>
          <w:b w:val="0"/>
          <w:color w:val="auto"/>
        </w:rPr>
        <w:t xml:space="preserve"> and create strong partnerships with key emerging countries. </w:t>
      </w:r>
      <w:r w:rsidR="0023479E" w:rsidRPr="00F21C3C">
        <w:rPr>
          <w:rStyle w:val="BodyTextChar"/>
          <w:b w:val="0"/>
          <w:color w:val="auto"/>
        </w:rPr>
        <w:t xml:space="preserve">To feed into </w:t>
      </w:r>
      <w:r w:rsidRPr="00F21C3C">
        <w:rPr>
          <w:rStyle w:val="BodyTextChar"/>
          <w:b w:val="0"/>
          <w:color w:val="auto"/>
        </w:rPr>
        <w:t>OECD and G20 decisions in relation to global norms on taxation, DFAT work</w:t>
      </w:r>
      <w:r w:rsidR="0023479E" w:rsidRPr="00F21C3C">
        <w:rPr>
          <w:rStyle w:val="BodyTextChar"/>
          <w:b w:val="0"/>
          <w:color w:val="auto"/>
        </w:rPr>
        <w:t>s</w:t>
      </w:r>
      <w:r w:rsidRPr="00F21C3C">
        <w:rPr>
          <w:rStyle w:val="BodyTextChar"/>
          <w:b w:val="0"/>
          <w:color w:val="auto"/>
        </w:rPr>
        <w:t xml:space="preserve"> with </w:t>
      </w:r>
      <w:r w:rsidR="006127F8" w:rsidRPr="00F21C3C">
        <w:rPr>
          <w:rStyle w:val="BodyTextChar"/>
          <w:b w:val="0"/>
          <w:color w:val="auto"/>
        </w:rPr>
        <w:t xml:space="preserve">the Australian </w:t>
      </w:r>
      <w:r w:rsidRPr="00F21C3C">
        <w:rPr>
          <w:rStyle w:val="BodyTextChar"/>
          <w:b w:val="0"/>
          <w:color w:val="auto"/>
        </w:rPr>
        <w:t xml:space="preserve">Treasury and </w:t>
      </w:r>
      <w:r w:rsidR="006127F8" w:rsidRPr="00F21C3C">
        <w:rPr>
          <w:rStyle w:val="BodyTextChar"/>
          <w:b w:val="0"/>
          <w:color w:val="auto"/>
        </w:rPr>
        <w:t xml:space="preserve">the </w:t>
      </w:r>
      <w:r w:rsidRPr="00F21C3C">
        <w:rPr>
          <w:rStyle w:val="BodyTextChar"/>
          <w:b w:val="0"/>
          <w:color w:val="auto"/>
        </w:rPr>
        <w:t>A</w:t>
      </w:r>
      <w:r w:rsidR="006127F8" w:rsidRPr="00F21C3C">
        <w:rPr>
          <w:rStyle w:val="BodyTextChar"/>
          <w:b w:val="0"/>
          <w:color w:val="auto"/>
        </w:rPr>
        <w:t xml:space="preserve">ustralian </w:t>
      </w:r>
      <w:r w:rsidRPr="00F21C3C">
        <w:rPr>
          <w:rStyle w:val="BodyTextChar"/>
          <w:b w:val="0"/>
          <w:color w:val="auto"/>
        </w:rPr>
        <w:t>T</w:t>
      </w:r>
      <w:r w:rsidR="006127F8" w:rsidRPr="00F21C3C">
        <w:rPr>
          <w:rStyle w:val="BodyTextChar"/>
          <w:b w:val="0"/>
          <w:color w:val="auto"/>
        </w:rPr>
        <w:t xml:space="preserve">axation </w:t>
      </w:r>
      <w:r w:rsidRPr="00F21C3C">
        <w:rPr>
          <w:rStyle w:val="BodyTextChar"/>
          <w:b w:val="0"/>
          <w:color w:val="auto"/>
        </w:rPr>
        <w:t>O</w:t>
      </w:r>
      <w:r w:rsidR="006127F8" w:rsidRPr="00F21C3C">
        <w:rPr>
          <w:rStyle w:val="BodyTextChar"/>
          <w:b w:val="0"/>
          <w:color w:val="auto"/>
        </w:rPr>
        <w:t>ffice</w:t>
      </w:r>
      <w:r w:rsidR="00925BE8">
        <w:rPr>
          <w:rStyle w:val="BodyTextChar"/>
          <w:b w:val="0"/>
          <w:color w:val="auto"/>
        </w:rPr>
        <w:t xml:space="preserve"> (ATO)</w:t>
      </w:r>
      <w:r w:rsidRPr="00F21C3C">
        <w:rPr>
          <w:rStyle w:val="BodyTextChar"/>
          <w:b w:val="0"/>
          <w:color w:val="auto"/>
        </w:rPr>
        <w:t xml:space="preserve"> to identify approaches that will build integrity in the global tax system, and are </w:t>
      </w:r>
      <w:r w:rsidR="00676771" w:rsidRPr="00F21C3C">
        <w:rPr>
          <w:rStyle w:val="BodyTextChar"/>
          <w:b w:val="0"/>
          <w:color w:val="auto"/>
        </w:rPr>
        <w:t>achievable</w:t>
      </w:r>
      <w:r w:rsidRPr="00F21C3C">
        <w:rPr>
          <w:rStyle w:val="BodyTextChar"/>
          <w:b w:val="0"/>
          <w:color w:val="auto"/>
        </w:rPr>
        <w:t xml:space="preserve"> in a developing country context. A recent example was </w:t>
      </w:r>
      <w:r w:rsidR="0093338F">
        <w:rPr>
          <w:rStyle w:val="BodyTextChar"/>
          <w:b w:val="0"/>
          <w:color w:val="auto"/>
        </w:rPr>
        <w:t xml:space="preserve">work </w:t>
      </w:r>
      <w:r w:rsidR="0093338F" w:rsidRPr="00F21C3C">
        <w:rPr>
          <w:rStyle w:val="BodyTextChar"/>
          <w:b w:val="0"/>
          <w:color w:val="auto"/>
        </w:rPr>
        <w:t xml:space="preserve">undertaken in the context of </w:t>
      </w:r>
      <w:r w:rsidR="0093338F">
        <w:rPr>
          <w:rStyle w:val="BodyTextChar"/>
          <w:b w:val="0"/>
          <w:color w:val="auto"/>
        </w:rPr>
        <w:t>Australia’s presidency of the</w:t>
      </w:r>
      <w:r w:rsidR="0093338F" w:rsidRPr="00F21C3C">
        <w:rPr>
          <w:rStyle w:val="BodyTextChar"/>
          <w:b w:val="0"/>
          <w:color w:val="auto"/>
        </w:rPr>
        <w:t xml:space="preserve"> G20</w:t>
      </w:r>
      <w:r w:rsidR="0093338F">
        <w:rPr>
          <w:rStyle w:val="BodyTextChar"/>
          <w:b w:val="0"/>
          <w:color w:val="auto"/>
        </w:rPr>
        <w:t xml:space="preserve"> in 2014, where the </w:t>
      </w:r>
      <w:r w:rsidR="0023479E" w:rsidRPr="00F21C3C">
        <w:rPr>
          <w:rStyle w:val="BodyTextChar"/>
          <w:b w:val="0"/>
          <w:color w:val="auto"/>
        </w:rPr>
        <w:t>three government agencies</w:t>
      </w:r>
      <w:r w:rsidRPr="00F21C3C">
        <w:rPr>
          <w:rStyle w:val="BodyTextChar"/>
          <w:b w:val="0"/>
          <w:color w:val="auto"/>
        </w:rPr>
        <w:t xml:space="preserve"> </w:t>
      </w:r>
      <w:r w:rsidR="0093338F">
        <w:rPr>
          <w:rStyle w:val="BodyTextChar"/>
          <w:b w:val="0"/>
          <w:color w:val="auto"/>
        </w:rPr>
        <w:t>worked with the Global Forum on Transparency and Exchange of In</w:t>
      </w:r>
      <w:r w:rsidR="005A6AEF">
        <w:rPr>
          <w:rStyle w:val="BodyTextChar"/>
          <w:b w:val="0"/>
          <w:color w:val="auto"/>
        </w:rPr>
        <w:t>formation for Tax Purposes to deliver on a G20 request for</w:t>
      </w:r>
      <w:r w:rsidR="0093338F">
        <w:rPr>
          <w:rStyle w:val="BodyTextChar"/>
          <w:b w:val="0"/>
          <w:color w:val="auto"/>
        </w:rPr>
        <w:t xml:space="preserve"> a roadmap for developing country i</w:t>
      </w:r>
      <w:r w:rsidRPr="00F21C3C">
        <w:rPr>
          <w:rStyle w:val="BodyTextChar"/>
          <w:b w:val="0"/>
          <w:color w:val="auto"/>
        </w:rPr>
        <w:t>mplementation of Automatic Exchange of Information for Tax Purposes (AEOI)</w:t>
      </w:r>
      <w:r w:rsidR="0093338F">
        <w:rPr>
          <w:rStyle w:val="BodyTextChar"/>
          <w:b w:val="0"/>
          <w:color w:val="auto"/>
        </w:rPr>
        <w:t xml:space="preserve">. </w:t>
      </w:r>
    </w:p>
    <w:p w:rsidR="001245B4" w:rsidRPr="00EC7439" w:rsidRDefault="00374578" w:rsidP="0083342A">
      <w:pPr>
        <w:pStyle w:val="Heading2"/>
        <w:jc w:val="both"/>
      </w:pPr>
      <w:bookmarkStart w:id="7" w:name="_Toc434412427"/>
      <w:r w:rsidRPr="00EC7439">
        <w:t>Advance policy coherence on tax issues across Australia’s domestic and international policy spheres</w:t>
      </w:r>
      <w:bookmarkEnd w:id="7"/>
      <w:r w:rsidRPr="00EC7439">
        <w:t xml:space="preserve"> </w:t>
      </w:r>
    </w:p>
    <w:p w:rsidR="001245B4" w:rsidRPr="00F21C3C" w:rsidRDefault="001245B4" w:rsidP="0083342A">
      <w:pPr>
        <w:pStyle w:val="Heading2"/>
        <w:jc w:val="both"/>
        <w:rPr>
          <w:rStyle w:val="BodyTextChar"/>
          <w:b w:val="0"/>
          <w:color w:val="auto"/>
        </w:rPr>
      </w:pPr>
      <w:r w:rsidRPr="00F21C3C">
        <w:rPr>
          <w:rStyle w:val="BodyTextChar"/>
          <w:color w:val="auto"/>
        </w:rPr>
        <w:t>Working closely across Australian Government</w:t>
      </w:r>
      <w:r w:rsidR="0023479E" w:rsidRPr="00F21C3C">
        <w:rPr>
          <w:rStyle w:val="BodyTextChar"/>
          <w:color w:val="auto"/>
        </w:rPr>
        <w:t xml:space="preserve"> agencies</w:t>
      </w:r>
      <w:r w:rsidRPr="00F21C3C">
        <w:rPr>
          <w:rStyle w:val="BodyTextChar"/>
          <w:color w:val="auto"/>
        </w:rPr>
        <w:t xml:space="preserve"> on issues related to </w:t>
      </w:r>
      <w:r w:rsidR="0023479E" w:rsidRPr="00F21C3C">
        <w:rPr>
          <w:rStyle w:val="BodyTextChar"/>
          <w:color w:val="auto"/>
        </w:rPr>
        <w:t xml:space="preserve">tax policy and administration </w:t>
      </w:r>
      <w:r w:rsidRPr="00F21C3C">
        <w:rPr>
          <w:rStyle w:val="BodyTextChar"/>
          <w:color w:val="auto"/>
        </w:rPr>
        <w:t>is essential</w:t>
      </w:r>
      <w:r w:rsidRPr="00F21C3C">
        <w:rPr>
          <w:rStyle w:val="BodyTextChar"/>
          <w:b w:val="0"/>
          <w:color w:val="auto"/>
        </w:rPr>
        <w:t xml:space="preserve">. Australia’s domestic tax laws and administration can impact on </w:t>
      </w:r>
      <w:r w:rsidR="0023479E" w:rsidRPr="00F21C3C">
        <w:rPr>
          <w:rStyle w:val="BodyTextChar"/>
          <w:b w:val="0"/>
          <w:color w:val="auto"/>
        </w:rPr>
        <w:t>Australia’s</w:t>
      </w:r>
      <w:r w:rsidR="00A51783" w:rsidRPr="00F21C3C">
        <w:rPr>
          <w:rStyle w:val="BodyTextChar"/>
          <w:b w:val="0"/>
          <w:color w:val="auto"/>
        </w:rPr>
        <w:t xml:space="preserve"> developing country neighbours.</w:t>
      </w:r>
      <w:r w:rsidRPr="00F21C3C">
        <w:rPr>
          <w:rStyle w:val="BodyTextChar"/>
          <w:b w:val="0"/>
          <w:color w:val="auto"/>
        </w:rPr>
        <w:t xml:space="preserve"> In addition, </w:t>
      </w:r>
      <w:proofErr w:type="gramStart"/>
      <w:r w:rsidR="0023479E" w:rsidRPr="00F21C3C">
        <w:rPr>
          <w:rStyle w:val="BodyTextChar"/>
          <w:b w:val="0"/>
          <w:color w:val="auto"/>
        </w:rPr>
        <w:t xml:space="preserve">staff in </w:t>
      </w:r>
      <w:r w:rsidR="00A51783" w:rsidRPr="00F21C3C">
        <w:rPr>
          <w:rStyle w:val="BodyTextChar"/>
          <w:b w:val="0"/>
          <w:color w:val="auto"/>
        </w:rPr>
        <w:t>the A</w:t>
      </w:r>
      <w:r w:rsidRPr="00F21C3C">
        <w:rPr>
          <w:rStyle w:val="BodyTextChar"/>
          <w:b w:val="0"/>
          <w:color w:val="auto"/>
        </w:rPr>
        <w:t xml:space="preserve">ustralian Treasury and </w:t>
      </w:r>
      <w:r w:rsidR="0023479E" w:rsidRPr="00F21C3C">
        <w:rPr>
          <w:rStyle w:val="BodyTextChar"/>
          <w:b w:val="0"/>
          <w:color w:val="auto"/>
        </w:rPr>
        <w:t xml:space="preserve">the </w:t>
      </w:r>
      <w:r w:rsidRPr="00F21C3C">
        <w:rPr>
          <w:rStyle w:val="BodyTextChar"/>
          <w:b w:val="0"/>
          <w:color w:val="auto"/>
        </w:rPr>
        <w:t xml:space="preserve">ATO </w:t>
      </w:r>
      <w:r w:rsidR="00A51783" w:rsidRPr="00F21C3C">
        <w:rPr>
          <w:rStyle w:val="BodyTextChar"/>
          <w:b w:val="0"/>
          <w:color w:val="auto"/>
        </w:rPr>
        <w:t>h</w:t>
      </w:r>
      <w:r w:rsidR="0023479E" w:rsidRPr="00F21C3C">
        <w:rPr>
          <w:rStyle w:val="BodyTextChar"/>
          <w:b w:val="0"/>
          <w:color w:val="auto"/>
        </w:rPr>
        <w:t>ave</w:t>
      </w:r>
      <w:proofErr w:type="gramEnd"/>
      <w:r w:rsidR="00A51783" w:rsidRPr="00F21C3C">
        <w:rPr>
          <w:rStyle w:val="BodyTextChar"/>
          <w:b w:val="0"/>
          <w:color w:val="auto"/>
        </w:rPr>
        <w:t xml:space="preserve"> the</w:t>
      </w:r>
      <w:r w:rsidRPr="00F21C3C">
        <w:rPr>
          <w:rStyle w:val="BodyTextChar"/>
          <w:b w:val="0"/>
          <w:color w:val="auto"/>
        </w:rPr>
        <w:t xml:space="preserve"> relevant skills</w:t>
      </w:r>
      <w:r w:rsidR="0023479E" w:rsidRPr="00F21C3C">
        <w:rPr>
          <w:rStyle w:val="BodyTextChar"/>
          <w:b w:val="0"/>
          <w:color w:val="auto"/>
        </w:rPr>
        <w:t xml:space="preserve"> and expertise</w:t>
      </w:r>
      <w:r w:rsidRPr="00F21C3C">
        <w:rPr>
          <w:rStyle w:val="BodyTextChar"/>
          <w:b w:val="0"/>
          <w:color w:val="auto"/>
        </w:rPr>
        <w:t xml:space="preserve"> </w:t>
      </w:r>
      <w:r w:rsidR="0023479E" w:rsidRPr="00F21C3C">
        <w:rPr>
          <w:rStyle w:val="BodyTextChar"/>
          <w:b w:val="0"/>
          <w:color w:val="auto"/>
        </w:rPr>
        <w:t>needed to inform assistance for tax policy and administration reform.</w:t>
      </w:r>
    </w:p>
    <w:p w:rsidR="001245B4" w:rsidRPr="00F21C3C" w:rsidRDefault="001245B4" w:rsidP="0083342A">
      <w:pPr>
        <w:pStyle w:val="Heading2"/>
        <w:jc w:val="both"/>
        <w:rPr>
          <w:rStyle w:val="BodyTextChar"/>
          <w:color w:val="auto"/>
        </w:rPr>
      </w:pPr>
      <w:r w:rsidRPr="00F21C3C">
        <w:rPr>
          <w:rStyle w:val="BodyTextChar"/>
          <w:color w:val="auto"/>
        </w:rPr>
        <w:t xml:space="preserve">It is in Australia’s interest to work with partner governments to strengthen the region’s capacity to target international tax evasion. </w:t>
      </w:r>
      <w:r w:rsidRPr="00F21C3C">
        <w:rPr>
          <w:rStyle w:val="BodyTextChar"/>
          <w:b w:val="0"/>
          <w:color w:val="auto"/>
        </w:rPr>
        <w:t>The key international tax themes affecting Australia’s tax system and economy include base erosion and profit shifting</w:t>
      </w:r>
      <w:r w:rsidR="002B24E1" w:rsidRPr="00F21C3C">
        <w:rPr>
          <w:rStyle w:val="BodyTextChar"/>
          <w:b w:val="0"/>
          <w:color w:val="auto"/>
        </w:rPr>
        <w:t xml:space="preserve"> (BEPS)</w:t>
      </w:r>
      <w:r w:rsidRPr="00F21C3C">
        <w:rPr>
          <w:rStyle w:val="BodyTextChar"/>
          <w:b w:val="0"/>
          <w:color w:val="auto"/>
        </w:rPr>
        <w:t xml:space="preserve">, and international tax transparency. Successfully addressing these issues cannot be achieved unilaterally. Poorly functioning administrations, particularly within </w:t>
      </w:r>
      <w:r w:rsidR="00942A7D" w:rsidRPr="00F21C3C">
        <w:rPr>
          <w:rStyle w:val="BodyTextChar"/>
          <w:b w:val="0"/>
          <w:color w:val="auto"/>
        </w:rPr>
        <w:t>the Indo-Pacific</w:t>
      </w:r>
      <w:r w:rsidRPr="00F21C3C">
        <w:rPr>
          <w:rStyle w:val="BodyTextChar"/>
          <w:b w:val="0"/>
          <w:color w:val="auto"/>
        </w:rPr>
        <w:t xml:space="preserve"> region, become targets for offshore tax evasion, tax crimes and harmful tax practices. Australia’s efforts to build</w:t>
      </w:r>
      <w:r w:rsidR="007F35FE">
        <w:rPr>
          <w:rStyle w:val="BodyTextChar"/>
          <w:b w:val="0"/>
          <w:color w:val="auto"/>
        </w:rPr>
        <w:t xml:space="preserve"> capacity and</w:t>
      </w:r>
      <w:r w:rsidRPr="00F21C3C">
        <w:rPr>
          <w:rStyle w:val="BodyTextChar"/>
          <w:b w:val="0"/>
          <w:color w:val="auto"/>
        </w:rPr>
        <w:t xml:space="preserve"> capa</w:t>
      </w:r>
      <w:r w:rsidR="007F35FE">
        <w:rPr>
          <w:rStyle w:val="BodyTextChar"/>
          <w:b w:val="0"/>
          <w:color w:val="auto"/>
        </w:rPr>
        <w:t>bility</w:t>
      </w:r>
      <w:r w:rsidRPr="00F21C3C">
        <w:rPr>
          <w:rStyle w:val="BodyTextChar"/>
          <w:b w:val="0"/>
          <w:color w:val="auto"/>
        </w:rPr>
        <w:t xml:space="preserve"> in the revenue agencies of developing </w:t>
      </w:r>
      <w:r w:rsidR="00931998" w:rsidRPr="00F21C3C">
        <w:rPr>
          <w:rStyle w:val="BodyTextChar"/>
          <w:b w:val="0"/>
          <w:color w:val="auto"/>
        </w:rPr>
        <w:t>countries</w:t>
      </w:r>
      <w:r w:rsidRPr="00F21C3C">
        <w:rPr>
          <w:rStyle w:val="BodyTextChar"/>
          <w:b w:val="0"/>
          <w:color w:val="auto"/>
        </w:rPr>
        <w:t xml:space="preserve"> helps ensure that the correct amount of tax is collected by each jurisdiction, including Australia.</w:t>
      </w:r>
      <w:r w:rsidRPr="00F21C3C">
        <w:rPr>
          <w:rStyle w:val="BodyTextChar"/>
          <w:color w:val="auto"/>
        </w:rPr>
        <w:t xml:space="preserve"> </w:t>
      </w:r>
    </w:p>
    <w:p w:rsidR="00676771" w:rsidRDefault="00DE6FCA" w:rsidP="0083342A">
      <w:pPr>
        <w:pStyle w:val="Heading2"/>
        <w:jc w:val="both"/>
        <w:rPr>
          <w:rStyle w:val="BodyTextChar"/>
          <w:b w:val="0"/>
          <w:color w:val="auto"/>
        </w:rPr>
      </w:pPr>
      <w:r w:rsidRPr="00F21C3C">
        <w:rPr>
          <w:rStyle w:val="BodyTextChar"/>
          <w:color w:val="auto"/>
        </w:rPr>
        <w:t xml:space="preserve">The international tax agenda </w:t>
      </w:r>
      <w:r w:rsidR="00942A7D" w:rsidRPr="00F21C3C">
        <w:rPr>
          <w:rStyle w:val="BodyTextChar"/>
          <w:color w:val="auto"/>
        </w:rPr>
        <w:t>has the</w:t>
      </w:r>
      <w:r w:rsidRPr="00F21C3C">
        <w:rPr>
          <w:rStyle w:val="BodyTextChar"/>
          <w:color w:val="auto"/>
        </w:rPr>
        <w:t xml:space="preserve"> potential for strong alignment between the objectives of developed and developing </w:t>
      </w:r>
      <w:r w:rsidR="00F82BDE" w:rsidRPr="00F21C3C">
        <w:rPr>
          <w:rStyle w:val="BodyTextChar"/>
          <w:color w:val="auto"/>
        </w:rPr>
        <w:t>countries</w:t>
      </w:r>
      <w:r w:rsidR="00F82BDE">
        <w:rPr>
          <w:rStyle w:val="BodyTextChar"/>
          <w:color w:val="auto"/>
        </w:rPr>
        <w:t xml:space="preserve"> </w:t>
      </w:r>
      <w:r w:rsidR="00F82BDE" w:rsidRPr="005A6AEF">
        <w:rPr>
          <w:rStyle w:val="BodyTextChar"/>
          <w:b w:val="0"/>
          <w:color w:val="auto"/>
        </w:rPr>
        <w:t xml:space="preserve">and </w:t>
      </w:r>
      <w:r w:rsidR="007F35FE">
        <w:rPr>
          <w:rStyle w:val="BodyTextChar"/>
          <w:b w:val="0"/>
          <w:color w:val="auto"/>
        </w:rPr>
        <w:t>t</w:t>
      </w:r>
      <w:r w:rsidR="007F35FE" w:rsidRPr="00F21C3C">
        <w:rPr>
          <w:rStyle w:val="BodyTextChar"/>
          <w:b w:val="0"/>
          <w:color w:val="auto"/>
        </w:rPr>
        <w:t>he benefits of regional and global cooperation on international taxation arrangements can flow both ways</w:t>
      </w:r>
      <w:r w:rsidR="005A6AEF">
        <w:rPr>
          <w:rStyle w:val="BodyTextChar"/>
          <w:b w:val="0"/>
          <w:color w:val="auto"/>
        </w:rPr>
        <w:t>.</w:t>
      </w:r>
      <w:r w:rsidRPr="00F21C3C">
        <w:rPr>
          <w:rStyle w:val="BodyTextChar"/>
          <w:b w:val="0"/>
          <w:color w:val="auto"/>
        </w:rPr>
        <w:t xml:space="preserve"> </w:t>
      </w:r>
      <w:r w:rsidR="00676771" w:rsidRPr="00F21C3C">
        <w:rPr>
          <w:rStyle w:val="BodyTextChar"/>
          <w:b w:val="0"/>
          <w:color w:val="auto"/>
        </w:rPr>
        <w:t>Box 4 outlines key i</w:t>
      </w:r>
      <w:r w:rsidR="00942A7D" w:rsidRPr="00F21C3C">
        <w:rPr>
          <w:rStyle w:val="BodyTextChar"/>
          <w:b w:val="0"/>
          <w:color w:val="auto"/>
        </w:rPr>
        <w:t>ssues</w:t>
      </w:r>
      <w:r w:rsidR="00676771" w:rsidRPr="00F21C3C">
        <w:rPr>
          <w:rStyle w:val="BodyTextChar"/>
          <w:b w:val="0"/>
          <w:color w:val="auto"/>
        </w:rPr>
        <w:t xml:space="preserve"> in international tax.</w:t>
      </w:r>
    </w:p>
    <w:p w:rsidR="00F21C3C" w:rsidRPr="00F21C3C" w:rsidRDefault="00F21C3C" w:rsidP="0083342A">
      <w:pPr>
        <w:pStyle w:val="Heading2"/>
        <w:jc w:val="both"/>
        <w:rPr>
          <w:rStyle w:val="BodyTextChar"/>
          <w:color w:val="auto"/>
        </w:rPr>
      </w:pPr>
      <w:r w:rsidRPr="00F21C3C">
        <w:rPr>
          <w:rStyle w:val="BodyTextChar"/>
          <w:color w:val="auto"/>
        </w:rPr>
        <w:t xml:space="preserve">In a domestic context, DFAT can raise awareness about possible negative </w:t>
      </w:r>
      <w:proofErr w:type="spellStart"/>
      <w:r w:rsidRPr="00F21C3C">
        <w:rPr>
          <w:rStyle w:val="BodyTextChar"/>
          <w:color w:val="auto"/>
        </w:rPr>
        <w:t>spillovers</w:t>
      </w:r>
      <w:proofErr w:type="spellEnd"/>
      <w:r w:rsidRPr="00925BE8">
        <w:rPr>
          <w:rStyle w:val="FootnoteReference"/>
          <w:rFonts w:ascii="Franklin Gothic Book" w:hAnsi="Franklin Gothic Book"/>
          <w:color w:val="auto"/>
          <w:sz w:val="22"/>
          <w:szCs w:val="22"/>
        </w:rPr>
        <w:footnoteReference w:id="9"/>
      </w:r>
      <w:r w:rsidRPr="00F21C3C">
        <w:rPr>
          <w:rStyle w:val="BodyTextChar"/>
          <w:color w:val="auto"/>
        </w:rPr>
        <w:t xml:space="preserve"> for developing countries of both domestic and international tax policy and administration. </w:t>
      </w:r>
      <w:r w:rsidRPr="00F21C3C">
        <w:rPr>
          <w:rStyle w:val="BodyTextChar"/>
          <w:b w:val="0"/>
          <w:color w:val="auto"/>
        </w:rPr>
        <w:t>It can also bring an informed perspective across government on domestic and international tax issues based on feedback received through its network of posts and contacts with businesses overseas.</w:t>
      </w:r>
    </w:p>
    <w:p w:rsidR="00F21C3C" w:rsidRDefault="00F21C3C" w:rsidP="0083342A">
      <w:pPr>
        <w:jc w:val="both"/>
        <w:rPr>
          <w:rFonts w:eastAsiaTheme="minorHAnsi"/>
          <w:szCs w:val="22"/>
        </w:rPr>
      </w:pPr>
    </w:p>
    <w:p w:rsidR="00D6286E" w:rsidRDefault="00D6286E" w:rsidP="0083342A">
      <w:pPr>
        <w:jc w:val="both"/>
        <w:rPr>
          <w:rFonts w:eastAsiaTheme="minorHAnsi"/>
          <w:szCs w:val="22"/>
        </w:rPr>
      </w:pPr>
    </w:p>
    <w:p w:rsidR="0093338F" w:rsidRDefault="0093338F" w:rsidP="0083342A">
      <w:pPr>
        <w:jc w:val="both"/>
        <w:rPr>
          <w:rFonts w:eastAsiaTheme="minorHAnsi"/>
          <w:szCs w:val="22"/>
        </w:rPr>
      </w:pPr>
    </w:p>
    <w:p w:rsidR="00676771" w:rsidRPr="008A013D" w:rsidRDefault="00676771" w:rsidP="0083342A">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eastAsiaTheme="minorHAnsi"/>
          <w:b/>
          <w:szCs w:val="22"/>
        </w:rPr>
      </w:pPr>
      <w:r w:rsidRPr="008A013D">
        <w:rPr>
          <w:rFonts w:eastAsiaTheme="minorHAnsi"/>
          <w:b/>
          <w:szCs w:val="22"/>
        </w:rPr>
        <w:lastRenderedPageBreak/>
        <w:t>Box 4 Key international tax issues</w:t>
      </w:r>
    </w:p>
    <w:p w:rsidR="00676771" w:rsidRDefault="00676771" w:rsidP="0083342A">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eastAsiaTheme="minorHAnsi"/>
          <w:szCs w:val="22"/>
        </w:rPr>
      </w:pPr>
    </w:p>
    <w:p w:rsidR="00DE6FCA" w:rsidRDefault="00DE6FCA" w:rsidP="0083342A">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eastAsiaTheme="minorHAnsi"/>
          <w:szCs w:val="22"/>
        </w:rPr>
      </w:pPr>
      <w:r w:rsidRPr="00205BD4">
        <w:rPr>
          <w:rFonts w:eastAsiaTheme="minorHAnsi"/>
          <w:b/>
          <w:szCs w:val="22"/>
        </w:rPr>
        <w:t xml:space="preserve">As a basic principle, </w:t>
      </w:r>
      <w:r w:rsidR="00A42E3E">
        <w:rPr>
          <w:rFonts w:eastAsiaTheme="minorHAnsi"/>
          <w:b/>
          <w:szCs w:val="22"/>
        </w:rPr>
        <w:t xml:space="preserve">individuals and </w:t>
      </w:r>
      <w:r w:rsidRPr="00205BD4">
        <w:rPr>
          <w:rFonts w:eastAsiaTheme="minorHAnsi"/>
          <w:b/>
          <w:szCs w:val="22"/>
        </w:rPr>
        <w:t xml:space="preserve">companies should pay tax where economic activity takes place, and governments should design tax systems that achieve this </w:t>
      </w:r>
      <w:r w:rsidR="001F05CF">
        <w:rPr>
          <w:rFonts w:eastAsiaTheme="minorHAnsi"/>
          <w:b/>
          <w:szCs w:val="22"/>
        </w:rPr>
        <w:t>objective</w:t>
      </w:r>
      <w:r w:rsidRPr="00205BD4">
        <w:rPr>
          <w:rFonts w:eastAsiaTheme="minorHAnsi"/>
          <w:b/>
          <w:szCs w:val="22"/>
        </w:rPr>
        <w:t>.</w:t>
      </w:r>
      <w:r w:rsidRPr="007E5A7A">
        <w:rPr>
          <w:rFonts w:eastAsiaTheme="minorHAnsi"/>
          <w:szCs w:val="22"/>
        </w:rPr>
        <w:t xml:space="preserve"> </w:t>
      </w:r>
      <w:r w:rsidR="00942A7D">
        <w:rPr>
          <w:rFonts w:eastAsiaTheme="minorHAnsi"/>
          <w:szCs w:val="22"/>
        </w:rPr>
        <w:t xml:space="preserve">This objective is more easily achieved </w:t>
      </w:r>
      <w:r w:rsidRPr="007E5A7A">
        <w:rPr>
          <w:rFonts w:eastAsiaTheme="minorHAnsi"/>
          <w:szCs w:val="22"/>
        </w:rPr>
        <w:t>when goods are produced</w:t>
      </w:r>
      <w:r w:rsidR="00942A7D">
        <w:rPr>
          <w:rFonts w:eastAsiaTheme="minorHAnsi"/>
          <w:szCs w:val="22"/>
        </w:rPr>
        <w:t xml:space="preserve"> entirely within a single</w:t>
      </w:r>
      <w:r w:rsidRPr="007E5A7A">
        <w:rPr>
          <w:rFonts w:eastAsiaTheme="minorHAnsi"/>
          <w:szCs w:val="22"/>
        </w:rPr>
        <w:t xml:space="preserve"> country</w:t>
      </w:r>
      <w:r w:rsidR="00942A7D">
        <w:rPr>
          <w:rFonts w:eastAsiaTheme="minorHAnsi"/>
          <w:szCs w:val="22"/>
        </w:rPr>
        <w:t xml:space="preserve">. However, it is more difficult </w:t>
      </w:r>
      <w:r w:rsidR="00942A7D" w:rsidRPr="007E5A7A">
        <w:rPr>
          <w:rFonts w:eastAsiaTheme="minorHAnsi"/>
          <w:szCs w:val="22"/>
        </w:rPr>
        <w:t>in an increasingly globalised and service-based economy</w:t>
      </w:r>
      <w:r w:rsidRPr="007E5A7A">
        <w:rPr>
          <w:rFonts w:eastAsiaTheme="minorHAnsi"/>
          <w:szCs w:val="22"/>
        </w:rPr>
        <w:t xml:space="preserve"> where economic activity occurs across national borders. As a result, international tax issues </w:t>
      </w:r>
      <w:r w:rsidR="00942A7D">
        <w:rPr>
          <w:rFonts w:eastAsiaTheme="minorHAnsi"/>
          <w:szCs w:val="22"/>
        </w:rPr>
        <w:t>are attracting</w:t>
      </w:r>
      <w:r w:rsidRPr="007E5A7A">
        <w:rPr>
          <w:rFonts w:eastAsiaTheme="minorHAnsi"/>
          <w:szCs w:val="22"/>
        </w:rPr>
        <w:t xml:space="preserve"> increas</w:t>
      </w:r>
      <w:r w:rsidR="00942A7D">
        <w:rPr>
          <w:rFonts w:eastAsiaTheme="minorHAnsi"/>
          <w:szCs w:val="22"/>
        </w:rPr>
        <w:t>ed attention</w:t>
      </w:r>
      <w:r w:rsidRPr="007E5A7A">
        <w:rPr>
          <w:rFonts w:eastAsiaTheme="minorHAnsi"/>
          <w:szCs w:val="22"/>
        </w:rPr>
        <w:t xml:space="preserve"> from policymakers</w:t>
      </w:r>
      <w:r w:rsidR="00942A7D">
        <w:rPr>
          <w:rFonts w:eastAsiaTheme="minorHAnsi"/>
          <w:szCs w:val="22"/>
        </w:rPr>
        <w:t>.</w:t>
      </w:r>
      <w:r w:rsidRPr="007E5A7A">
        <w:rPr>
          <w:rFonts w:eastAsiaTheme="minorHAnsi"/>
          <w:szCs w:val="22"/>
        </w:rPr>
        <w:t xml:space="preserve"> Global policymakers have focused on two broad types of taxation issue</w:t>
      </w:r>
      <w:r>
        <w:rPr>
          <w:rFonts w:eastAsiaTheme="minorHAnsi"/>
          <w:szCs w:val="22"/>
        </w:rPr>
        <w:t>:</w:t>
      </w:r>
      <w:r w:rsidRPr="007E5A7A">
        <w:rPr>
          <w:rFonts w:eastAsiaTheme="minorHAnsi"/>
          <w:szCs w:val="22"/>
        </w:rPr>
        <w:t xml:space="preserve"> tax avoidance by multinational</w:t>
      </w:r>
      <w:r w:rsidR="00942A7D">
        <w:rPr>
          <w:rFonts w:eastAsiaTheme="minorHAnsi"/>
          <w:szCs w:val="22"/>
        </w:rPr>
        <w:t xml:space="preserve"> enterprises</w:t>
      </w:r>
      <w:r w:rsidRPr="007E5A7A">
        <w:rPr>
          <w:rFonts w:eastAsiaTheme="minorHAnsi"/>
          <w:szCs w:val="22"/>
        </w:rPr>
        <w:t xml:space="preserve"> and </w:t>
      </w:r>
      <w:r w:rsidR="00942A7D">
        <w:rPr>
          <w:rFonts w:eastAsiaTheme="minorHAnsi"/>
          <w:szCs w:val="22"/>
        </w:rPr>
        <w:t xml:space="preserve">tax </w:t>
      </w:r>
      <w:r w:rsidRPr="007E5A7A">
        <w:rPr>
          <w:rFonts w:eastAsiaTheme="minorHAnsi"/>
          <w:szCs w:val="22"/>
        </w:rPr>
        <w:t xml:space="preserve">evasion by individuals. </w:t>
      </w:r>
      <w:r w:rsidR="00942A7D">
        <w:rPr>
          <w:rFonts w:eastAsiaTheme="minorHAnsi"/>
          <w:szCs w:val="22"/>
        </w:rPr>
        <w:t xml:space="preserve">Underlying both issues are the </w:t>
      </w:r>
      <w:r w:rsidR="00942A7D" w:rsidRPr="007E5A7A">
        <w:rPr>
          <w:rFonts w:eastAsiaTheme="minorHAnsi"/>
          <w:szCs w:val="22"/>
        </w:rPr>
        <w:t xml:space="preserve">opportunities and incentives for companies and individuals to structure their </w:t>
      </w:r>
      <w:r w:rsidR="00942A7D">
        <w:rPr>
          <w:rFonts w:eastAsiaTheme="minorHAnsi"/>
          <w:szCs w:val="22"/>
        </w:rPr>
        <w:t xml:space="preserve">business and personal </w:t>
      </w:r>
      <w:r w:rsidR="00942A7D" w:rsidRPr="007E5A7A">
        <w:rPr>
          <w:rFonts w:eastAsiaTheme="minorHAnsi"/>
          <w:szCs w:val="22"/>
        </w:rPr>
        <w:t xml:space="preserve">affairs to </w:t>
      </w:r>
      <w:r w:rsidR="00942A7D">
        <w:rPr>
          <w:rFonts w:eastAsiaTheme="minorHAnsi"/>
          <w:szCs w:val="22"/>
        </w:rPr>
        <w:t xml:space="preserve">exploit </w:t>
      </w:r>
      <w:r w:rsidRPr="007E5A7A">
        <w:rPr>
          <w:rFonts w:eastAsiaTheme="minorHAnsi"/>
          <w:szCs w:val="22"/>
        </w:rPr>
        <w:t xml:space="preserve">differences </w:t>
      </w:r>
      <w:r w:rsidR="00F3517D">
        <w:rPr>
          <w:rFonts w:eastAsiaTheme="minorHAnsi"/>
          <w:szCs w:val="22"/>
        </w:rPr>
        <w:t>between</w:t>
      </w:r>
      <w:r w:rsidRPr="007E5A7A">
        <w:rPr>
          <w:rFonts w:eastAsiaTheme="minorHAnsi"/>
          <w:szCs w:val="22"/>
        </w:rPr>
        <w:t xml:space="preserve"> national tax systems </w:t>
      </w:r>
      <w:r w:rsidR="00942A7D">
        <w:rPr>
          <w:rFonts w:eastAsiaTheme="minorHAnsi"/>
          <w:szCs w:val="22"/>
        </w:rPr>
        <w:t>to reduce their total tax bill</w:t>
      </w:r>
      <w:r>
        <w:rPr>
          <w:rFonts w:eastAsiaTheme="minorHAnsi"/>
          <w:szCs w:val="22"/>
        </w:rPr>
        <w:t xml:space="preserve">. </w:t>
      </w:r>
      <w:r w:rsidR="00A42E3E">
        <w:rPr>
          <w:rFonts w:eastAsiaTheme="minorHAnsi"/>
          <w:szCs w:val="22"/>
        </w:rPr>
        <w:t>S</w:t>
      </w:r>
      <w:r w:rsidRPr="007E5A7A">
        <w:rPr>
          <w:rFonts w:eastAsiaTheme="minorHAnsi"/>
          <w:szCs w:val="22"/>
        </w:rPr>
        <w:t>ome countries</w:t>
      </w:r>
      <w:r w:rsidR="00A42E3E">
        <w:rPr>
          <w:rFonts w:eastAsiaTheme="minorHAnsi"/>
          <w:szCs w:val="22"/>
        </w:rPr>
        <w:t xml:space="preserve"> (usually those with relatively lower tax rates)</w:t>
      </w:r>
      <w:r w:rsidRPr="007E5A7A">
        <w:rPr>
          <w:rFonts w:eastAsiaTheme="minorHAnsi"/>
          <w:szCs w:val="22"/>
        </w:rPr>
        <w:t xml:space="preserve"> benefit </w:t>
      </w:r>
      <w:r w:rsidR="00A42E3E">
        <w:rPr>
          <w:rFonts w:eastAsiaTheme="minorHAnsi"/>
          <w:szCs w:val="22"/>
        </w:rPr>
        <w:t xml:space="preserve">from this activity while others suffer from </w:t>
      </w:r>
      <w:r w:rsidRPr="007E5A7A">
        <w:rPr>
          <w:rFonts w:eastAsiaTheme="minorHAnsi"/>
          <w:szCs w:val="22"/>
        </w:rPr>
        <w:t>a reduction in the</w:t>
      </w:r>
      <w:r w:rsidR="00A42E3E">
        <w:rPr>
          <w:rFonts w:eastAsiaTheme="minorHAnsi"/>
          <w:szCs w:val="22"/>
        </w:rPr>
        <w:t>ir</w:t>
      </w:r>
      <w:r w:rsidRPr="007E5A7A">
        <w:rPr>
          <w:rFonts w:eastAsiaTheme="minorHAnsi"/>
          <w:szCs w:val="22"/>
        </w:rPr>
        <w:t xml:space="preserve"> tax base</w:t>
      </w:r>
      <w:r w:rsidR="00A42E3E">
        <w:rPr>
          <w:rFonts w:eastAsiaTheme="minorHAnsi"/>
          <w:szCs w:val="22"/>
        </w:rPr>
        <w:t xml:space="preserve">. In aggregate, this activity leads to less revenue collected globally. </w:t>
      </w:r>
    </w:p>
    <w:p w:rsidR="00925BE8" w:rsidRDefault="00925BE8" w:rsidP="0083342A">
      <w:pPr>
        <w:pBdr>
          <w:top w:val="single" w:sz="4" w:space="1" w:color="auto"/>
          <w:left w:val="single" w:sz="4" w:space="4" w:color="auto"/>
          <w:bottom w:val="single" w:sz="4" w:space="1" w:color="auto"/>
          <w:right w:val="single" w:sz="4" w:space="4" w:color="auto"/>
        </w:pBdr>
        <w:shd w:val="clear" w:color="auto" w:fill="C6D9F1" w:themeFill="text2" w:themeFillTint="33"/>
        <w:jc w:val="both"/>
        <w:rPr>
          <w:rFonts w:eastAsiaTheme="minorHAnsi"/>
          <w:szCs w:val="22"/>
        </w:rPr>
      </w:pPr>
    </w:p>
    <w:p w:rsidR="00DE6FCA" w:rsidRDefault="00DE6FCA" w:rsidP="0083342A">
      <w:pPr>
        <w:pBdr>
          <w:top w:val="single" w:sz="4" w:space="1" w:color="auto"/>
          <w:left w:val="single" w:sz="4" w:space="4" w:color="auto"/>
          <w:bottom w:val="single" w:sz="4" w:space="1" w:color="auto"/>
          <w:right w:val="single" w:sz="4" w:space="4" w:color="auto"/>
        </w:pBdr>
        <w:shd w:val="clear" w:color="auto" w:fill="C6D9F1" w:themeFill="text2" w:themeFillTint="33"/>
        <w:spacing w:afterLines="50" w:after="120"/>
        <w:jc w:val="both"/>
        <w:rPr>
          <w:rFonts w:eastAsiaTheme="minorHAnsi"/>
          <w:szCs w:val="22"/>
        </w:rPr>
      </w:pPr>
      <w:r w:rsidRPr="008A013D">
        <w:rPr>
          <w:rFonts w:eastAsiaTheme="minorHAnsi"/>
          <w:b/>
          <w:szCs w:val="22"/>
        </w:rPr>
        <w:t xml:space="preserve">Illicit </w:t>
      </w:r>
      <w:r w:rsidR="00DC6319">
        <w:rPr>
          <w:rFonts w:eastAsiaTheme="minorHAnsi"/>
          <w:b/>
          <w:szCs w:val="22"/>
        </w:rPr>
        <w:t xml:space="preserve">financial </w:t>
      </w:r>
      <w:r w:rsidRPr="008A013D">
        <w:rPr>
          <w:rFonts w:eastAsiaTheme="minorHAnsi"/>
          <w:b/>
          <w:szCs w:val="22"/>
        </w:rPr>
        <w:t xml:space="preserve">flows </w:t>
      </w:r>
      <w:r w:rsidR="00DC6319">
        <w:rPr>
          <w:rFonts w:eastAsiaTheme="minorHAnsi"/>
          <w:b/>
          <w:szCs w:val="22"/>
        </w:rPr>
        <w:t xml:space="preserve">(such as money laundering, tax evasion and international bribery) </w:t>
      </w:r>
      <w:r w:rsidRPr="008A013D">
        <w:rPr>
          <w:rFonts w:eastAsiaTheme="minorHAnsi"/>
          <w:b/>
          <w:szCs w:val="22"/>
        </w:rPr>
        <w:t>represent a major loss to developing countries’ domestic resource base, comprising an estimated US$991 billion in 2012</w:t>
      </w:r>
      <w:r w:rsidR="00DC6319">
        <w:rPr>
          <w:rFonts w:eastAsiaTheme="minorHAnsi"/>
          <w:b/>
          <w:szCs w:val="22"/>
        </w:rPr>
        <w:t>.</w:t>
      </w:r>
      <w:r w:rsidR="00F82BDE">
        <w:rPr>
          <w:rFonts w:eastAsiaTheme="minorHAnsi"/>
          <w:szCs w:val="22"/>
        </w:rPr>
        <w:t xml:space="preserve"> </w:t>
      </w:r>
      <w:r>
        <w:rPr>
          <w:rFonts w:eastAsiaTheme="minorHAnsi"/>
          <w:szCs w:val="22"/>
        </w:rPr>
        <w:t xml:space="preserve">Fragile and conflict-affected states are particularly vulnerable to illicit </w:t>
      </w:r>
      <w:r w:rsidR="00DC6319">
        <w:rPr>
          <w:rFonts w:eastAsiaTheme="minorHAnsi"/>
          <w:szCs w:val="22"/>
        </w:rPr>
        <w:t xml:space="preserve">financial </w:t>
      </w:r>
      <w:r>
        <w:rPr>
          <w:rFonts w:eastAsiaTheme="minorHAnsi"/>
          <w:szCs w:val="22"/>
        </w:rPr>
        <w:t xml:space="preserve">flows, as authorities often lack the capacity and legitimacy to target illegal activities </w:t>
      </w:r>
      <w:r w:rsidR="00DC6319">
        <w:rPr>
          <w:rFonts w:eastAsiaTheme="minorHAnsi"/>
          <w:szCs w:val="22"/>
        </w:rPr>
        <w:t>that lead to</w:t>
      </w:r>
      <w:r w:rsidR="00C84E8B">
        <w:rPr>
          <w:rFonts w:eastAsiaTheme="minorHAnsi"/>
          <w:szCs w:val="22"/>
        </w:rPr>
        <w:t xml:space="preserve"> the</w:t>
      </w:r>
      <w:r w:rsidR="00740559">
        <w:rPr>
          <w:rFonts w:eastAsiaTheme="minorHAnsi"/>
          <w:szCs w:val="22"/>
        </w:rPr>
        <w:t>m</w:t>
      </w:r>
      <w:r>
        <w:rPr>
          <w:rFonts w:eastAsiaTheme="minorHAnsi"/>
          <w:szCs w:val="22"/>
        </w:rPr>
        <w:t xml:space="preserve">. </w:t>
      </w:r>
      <w:r w:rsidRPr="004F11D5">
        <w:rPr>
          <w:rFonts w:eastAsiaTheme="minorHAnsi"/>
          <w:szCs w:val="22"/>
        </w:rPr>
        <w:t xml:space="preserve">Global Financial Integrity estimates that trade </w:t>
      </w:r>
      <w:proofErr w:type="spellStart"/>
      <w:r w:rsidRPr="004F11D5">
        <w:rPr>
          <w:rFonts w:eastAsiaTheme="minorHAnsi"/>
          <w:szCs w:val="22"/>
        </w:rPr>
        <w:t>mis</w:t>
      </w:r>
      <w:proofErr w:type="spellEnd"/>
      <w:r w:rsidRPr="004F11D5">
        <w:rPr>
          <w:rFonts w:eastAsiaTheme="minorHAnsi"/>
          <w:szCs w:val="22"/>
        </w:rPr>
        <w:t xml:space="preserve">-invoicing – deliberately understating the value of a transaction to </w:t>
      </w:r>
      <w:r>
        <w:rPr>
          <w:rFonts w:eastAsiaTheme="minorHAnsi"/>
          <w:szCs w:val="22"/>
        </w:rPr>
        <w:t xml:space="preserve">customs authorities to </w:t>
      </w:r>
      <w:r w:rsidRPr="004F11D5">
        <w:rPr>
          <w:rFonts w:eastAsiaTheme="minorHAnsi"/>
          <w:szCs w:val="22"/>
        </w:rPr>
        <w:t>avoid tax or other charges – represents 80 per</w:t>
      </w:r>
      <w:r>
        <w:rPr>
          <w:rFonts w:eastAsiaTheme="minorHAnsi"/>
          <w:szCs w:val="22"/>
        </w:rPr>
        <w:t xml:space="preserve"> </w:t>
      </w:r>
      <w:r w:rsidRPr="004F11D5">
        <w:rPr>
          <w:rFonts w:eastAsiaTheme="minorHAnsi"/>
          <w:szCs w:val="22"/>
        </w:rPr>
        <w:t>cent of illicit financial flows. A number of international mechanisms are in place to support developing countries to track and recover large illicit transactions. However, there is significant scope to bolster the capability of tax officials in developing countries to identify more routine tax evasion</w:t>
      </w:r>
      <w:r w:rsidR="00DC6319">
        <w:rPr>
          <w:rFonts w:eastAsiaTheme="minorHAnsi"/>
          <w:szCs w:val="22"/>
        </w:rPr>
        <w:t xml:space="preserve"> and to recover lost revenue.</w:t>
      </w:r>
    </w:p>
    <w:p w:rsidR="00CE728A" w:rsidRPr="00CE728A" w:rsidRDefault="00323967" w:rsidP="0083342A">
      <w:pPr>
        <w:pBdr>
          <w:top w:val="single" w:sz="4" w:space="1" w:color="auto"/>
          <w:left w:val="single" w:sz="4" w:space="4" w:color="auto"/>
          <w:bottom w:val="single" w:sz="4" w:space="1" w:color="auto"/>
          <w:right w:val="single" w:sz="4" w:space="4" w:color="auto"/>
        </w:pBdr>
        <w:shd w:val="clear" w:color="auto" w:fill="C6D9F1" w:themeFill="text2" w:themeFillTint="33"/>
        <w:spacing w:afterLines="50" w:after="120"/>
        <w:jc w:val="both"/>
        <w:rPr>
          <w:rFonts w:eastAsiaTheme="minorHAnsi"/>
        </w:rPr>
      </w:pPr>
      <w:r>
        <w:rPr>
          <w:rFonts w:eastAsiaTheme="minorHAnsi"/>
        </w:rPr>
        <w:t xml:space="preserve">Sources: OECD (2013), </w:t>
      </w:r>
      <w:proofErr w:type="spellStart"/>
      <w:r w:rsidR="00D6286E">
        <w:t>Kar</w:t>
      </w:r>
      <w:proofErr w:type="spellEnd"/>
      <w:r w:rsidR="00D6286E">
        <w:t xml:space="preserve"> and </w:t>
      </w:r>
      <w:proofErr w:type="spellStart"/>
      <w:r w:rsidR="00D6286E">
        <w:t>Spanjers</w:t>
      </w:r>
      <w:proofErr w:type="spellEnd"/>
      <w:r>
        <w:t xml:space="preserve"> (2014).</w:t>
      </w:r>
    </w:p>
    <w:p w:rsidR="00EB7A08" w:rsidRPr="00F21C3C" w:rsidRDefault="00676771" w:rsidP="0083342A">
      <w:pPr>
        <w:pStyle w:val="Heading2"/>
        <w:jc w:val="both"/>
      </w:pPr>
      <w:bookmarkStart w:id="8" w:name="_Toc434412428"/>
      <w:r w:rsidRPr="00F21C3C">
        <w:t>L</w:t>
      </w:r>
      <w:r w:rsidR="0022788D" w:rsidRPr="00F21C3C">
        <w:t xml:space="preserve">earning from past investments to </w:t>
      </w:r>
      <w:r w:rsidR="008A3C74" w:rsidRPr="00F21C3C">
        <w:t>build a stronger</w:t>
      </w:r>
      <w:r w:rsidR="0022788D" w:rsidRPr="00F21C3C">
        <w:t xml:space="preserve"> understanding of</w:t>
      </w:r>
      <w:r w:rsidR="00EB7A08" w:rsidRPr="00F21C3C">
        <w:t xml:space="preserve"> </w:t>
      </w:r>
      <w:r w:rsidR="0022788D" w:rsidRPr="00F21C3C">
        <w:t>tax policy and administration issues and assistance</w:t>
      </w:r>
      <w:bookmarkEnd w:id="8"/>
      <w:r w:rsidR="0022788D" w:rsidRPr="00F21C3C">
        <w:t xml:space="preserve"> </w:t>
      </w:r>
    </w:p>
    <w:p w:rsidR="0022788D" w:rsidRPr="00F21C3C" w:rsidRDefault="00DE6FCA" w:rsidP="0083342A">
      <w:pPr>
        <w:pStyle w:val="Heading2"/>
        <w:jc w:val="both"/>
        <w:rPr>
          <w:rFonts w:eastAsiaTheme="minorHAnsi"/>
          <w:b w:val="0"/>
          <w:szCs w:val="22"/>
        </w:rPr>
      </w:pPr>
      <w:r w:rsidRPr="00F21C3C">
        <w:rPr>
          <w:rStyle w:val="BodyTextChar"/>
          <w:b w:val="0"/>
          <w:color w:val="auto"/>
        </w:rPr>
        <w:t>DFAT</w:t>
      </w:r>
      <w:r w:rsidR="0044187F" w:rsidRPr="00F21C3C">
        <w:rPr>
          <w:rStyle w:val="BodyTextChar"/>
          <w:b w:val="0"/>
          <w:color w:val="auto"/>
        </w:rPr>
        <w:t xml:space="preserve"> has </w:t>
      </w:r>
      <w:r w:rsidR="00185E78" w:rsidRPr="00F21C3C">
        <w:rPr>
          <w:rStyle w:val="BodyTextChar"/>
          <w:b w:val="0"/>
          <w:color w:val="auto"/>
        </w:rPr>
        <w:t xml:space="preserve">historically managed </w:t>
      </w:r>
      <w:r w:rsidR="0044187F" w:rsidRPr="00F21C3C">
        <w:rPr>
          <w:rStyle w:val="BodyTextChar"/>
          <w:b w:val="0"/>
          <w:color w:val="auto"/>
        </w:rPr>
        <w:t>a series of bilateral and regional tax-related programs</w:t>
      </w:r>
      <w:r w:rsidR="008A3C74" w:rsidRPr="00F21C3C">
        <w:rPr>
          <w:rStyle w:val="BodyTextChar"/>
          <w:b w:val="0"/>
          <w:color w:val="auto"/>
        </w:rPr>
        <w:t>.</w:t>
      </w:r>
      <w:r w:rsidR="0044187F" w:rsidRPr="00F21C3C">
        <w:rPr>
          <w:rStyle w:val="BodyTextChar"/>
          <w:b w:val="0"/>
          <w:color w:val="auto"/>
        </w:rPr>
        <w:t xml:space="preserve"> </w:t>
      </w:r>
      <w:r w:rsidR="0022788D" w:rsidRPr="00F21C3C">
        <w:rPr>
          <w:rStyle w:val="BodyTextChar"/>
          <w:b w:val="0"/>
          <w:color w:val="auto"/>
        </w:rPr>
        <w:t>While the experience of each project is country- and context- specific, it is possible to draw out some common lessons from Australia’s DRM investments, including:</w:t>
      </w:r>
    </w:p>
    <w:p w:rsidR="0022788D" w:rsidRPr="008A013D" w:rsidRDefault="0022788D" w:rsidP="0083342A">
      <w:pPr>
        <w:jc w:val="both"/>
        <w:rPr>
          <w:rFonts w:eastAsiaTheme="minorHAnsi"/>
          <w:szCs w:val="22"/>
        </w:rPr>
      </w:pPr>
    </w:p>
    <w:p w:rsidR="00676771" w:rsidRPr="004B3138" w:rsidRDefault="00676771" w:rsidP="0083342A">
      <w:pPr>
        <w:pStyle w:val="ListBullet"/>
        <w:numPr>
          <w:ilvl w:val="0"/>
          <w:numId w:val="15"/>
        </w:numPr>
        <w:ind w:left="284" w:hanging="284"/>
        <w:jc w:val="both"/>
        <w:rPr>
          <w:sz w:val="22"/>
          <w:szCs w:val="22"/>
        </w:rPr>
      </w:pPr>
      <w:r w:rsidRPr="004B3138">
        <w:rPr>
          <w:b/>
          <w:sz w:val="22"/>
          <w:szCs w:val="22"/>
        </w:rPr>
        <w:t>Sensitivity to political economy factors</w:t>
      </w:r>
      <w:r w:rsidRPr="004B3138">
        <w:rPr>
          <w:sz w:val="22"/>
          <w:szCs w:val="22"/>
        </w:rPr>
        <w:t xml:space="preserve">: Tax policy and administration are highly technical fields, but purely technical ‘fixes’ can be counterproductive if they ignore the wider context. Political sensitivities around tax policy reform must be managed carefully, while internal dynamics within national revenue authorities – including corruption, poor </w:t>
      </w:r>
      <w:r w:rsidR="008A3C74" w:rsidRPr="004B3138">
        <w:rPr>
          <w:sz w:val="22"/>
          <w:szCs w:val="22"/>
        </w:rPr>
        <w:t xml:space="preserve">human resources </w:t>
      </w:r>
      <w:r w:rsidRPr="004B3138">
        <w:rPr>
          <w:sz w:val="22"/>
          <w:szCs w:val="22"/>
        </w:rPr>
        <w:t xml:space="preserve">policies, aggressive or abusive collection and compliance procedures, and inadequate or misallocated resources – can compromise the effectiveness of supported </w:t>
      </w:r>
      <w:r w:rsidR="00C84E8B" w:rsidRPr="004B3138">
        <w:rPr>
          <w:sz w:val="22"/>
          <w:szCs w:val="22"/>
        </w:rPr>
        <w:t>tax policy and administration</w:t>
      </w:r>
      <w:r w:rsidRPr="004B3138">
        <w:rPr>
          <w:sz w:val="22"/>
          <w:szCs w:val="22"/>
        </w:rPr>
        <w:t xml:space="preserve"> programs.</w:t>
      </w:r>
      <w:r w:rsidR="00C36D2B">
        <w:rPr>
          <w:rStyle w:val="FootnoteReference"/>
          <w:sz w:val="22"/>
          <w:szCs w:val="22"/>
        </w:rPr>
        <w:footnoteReference w:id="10"/>
      </w:r>
    </w:p>
    <w:p w:rsidR="0022788D" w:rsidRPr="004B3138" w:rsidRDefault="0022788D" w:rsidP="0083342A">
      <w:pPr>
        <w:pStyle w:val="ListBullet"/>
        <w:numPr>
          <w:ilvl w:val="0"/>
          <w:numId w:val="15"/>
        </w:numPr>
        <w:ind w:left="284" w:hanging="284"/>
        <w:jc w:val="both"/>
        <w:rPr>
          <w:sz w:val="22"/>
          <w:szCs w:val="22"/>
        </w:rPr>
      </w:pPr>
      <w:r w:rsidRPr="004B3138">
        <w:rPr>
          <w:b/>
          <w:sz w:val="22"/>
          <w:szCs w:val="22"/>
        </w:rPr>
        <w:t>Long-term commitment</w:t>
      </w:r>
      <w:r w:rsidRPr="004B3138">
        <w:rPr>
          <w:sz w:val="22"/>
          <w:szCs w:val="22"/>
        </w:rPr>
        <w:t xml:space="preserve">: While discrete tax policy projects can be supported through short-term technical assistance, broader tax administration capacity building requires long-term, sustained commitment. </w:t>
      </w:r>
      <w:r w:rsidR="008A3C74" w:rsidRPr="004B3138">
        <w:rPr>
          <w:sz w:val="22"/>
          <w:szCs w:val="22"/>
        </w:rPr>
        <w:t>A</w:t>
      </w:r>
      <w:r w:rsidRPr="004B3138">
        <w:rPr>
          <w:sz w:val="22"/>
          <w:szCs w:val="22"/>
        </w:rPr>
        <w:t xml:space="preserve"> targeted short-term surge of project-oriented assistance can be extremely effective, but a long-term presence is necessary in order to develop trusted networks and to quickly identify and exploit these short-term reform opportunities as they arise. Accordingly, several of Australia’s DRM investments – including </w:t>
      </w:r>
      <w:r w:rsidR="00740559">
        <w:rPr>
          <w:sz w:val="22"/>
          <w:szCs w:val="22"/>
        </w:rPr>
        <w:t>in</w:t>
      </w:r>
      <w:r w:rsidR="00740559" w:rsidRPr="004B3138">
        <w:rPr>
          <w:sz w:val="22"/>
          <w:szCs w:val="22"/>
        </w:rPr>
        <w:t xml:space="preserve"> </w:t>
      </w:r>
      <w:r w:rsidR="008A3C74" w:rsidRPr="004B3138">
        <w:rPr>
          <w:sz w:val="22"/>
          <w:szCs w:val="22"/>
        </w:rPr>
        <w:t xml:space="preserve">the </w:t>
      </w:r>
      <w:r w:rsidRPr="004B3138">
        <w:rPr>
          <w:sz w:val="22"/>
          <w:szCs w:val="22"/>
        </w:rPr>
        <w:t>P</w:t>
      </w:r>
      <w:r w:rsidR="008A3C74" w:rsidRPr="004B3138">
        <w:rPr>
          <w:sz w:val="22"/>
          <w:szCs w:val="22"/>
        </w:rPr>
        <w:t xml:space="preserve">acific </w:t>
      </w:r>
      <w:r w:rsidRPr="004B3138">
        <w:rPr>
          <w:sz w:val="22"/>
          <w:szCs w:val="22"/>
        </w:rPr>
        <w:t>F</w:t>
      </w:r>
      <w:r w:rsidR="008A3C74" w:rsidRPr="004B3138">
        <w:rPr>
          <w:sz w:val="22"/>
          <w:szCs w:val="22"/>
        </w:rPr>
        <w:t xml:space="preserve">inancial </w:t>
      </w:r>
      <w:r w:rsidRPr="004B3138">
        <w:rPr>
          <w:sz w:val="22"/>
          <w:szCs w:val="22"/>
        </w:rPr>
        <w:t>T</w:t>
      </w:r>
      <w:r w:rsidR="008A3C74" w:rsidRPr="004B3138">
        <w:rPr>
          <w:sz w:val="22"/>
          <w:szCs w:val="22"/>
        </w:rPr>
        <w:t xml:space="preserve">echnical </w:t>
      </w:r>
      <w:r w:rsidRPr="004B3138">
        <w:rPr>
          <w:sz w:val="22"/>
          <w:szCs w:val="22"/>
        </w:rPr>
        <w:t>A</w:t>
      </w:r>
      <w:r w:rsidR="008A3C74" w:rsidRPr="004B3138">
        <w:rPr>
          <w:sz w:val="22"/>
          <w:szCs w:val="22"/>
        </w:rPr>
        <w:t xml:space="preserve">ssistance </w:t>
      </w:r>
      <w:r w:rsidRPr="004B3138">
        <w:rPr>
          <w:sz w:val="22"/>
          <w:szCs w:val="22"/>
        </w:rPr>
        <w:t>C</w:t>
      </w:r>
      <w:r w:rsidR="008A3C74" w:rsidRPr="004B3138">
        <w:rPr>
          <w:sz w:val="22"/>
          <w:szCs w:val="22"/>
        </w:rPr>
        <w:t>entre</w:t>
      </w:r>
      <w:r w:rsidRPr="004B3138">
        <w:rPr>
          <w:sz w:val="22"/>
          <w:szCs w:val="22"/>
        </w:rPr>
        <w:t xml:space="preserve">, </w:t>
      </w:r>
      <w:r w:rsidR="00C84E8B" w:rsidRPr="004B3138">
        <w:rPr>
          <w:sz w:val="22"/>
          <w:szCs w:val="22"/>
        </w:rPr>
        <w:t xml:space="preserve">the </w:t>
      </w:r>
      <w:proofErr w:type="spellStart"/>
      <w:r w:rsidRPr="008F4A18">
        <w:rPr>
          <w:i/>
          <w:sz w:val="22"/>
          <w:szCs w:val="22"/>
        </w:rPr>
        <w:t>S</w:t>
      </w:r>
      <w:r w:rsidR="00C84E8B" w:rsidRPr="008F4A18">
        <w:rPr>
          <w:i/>
          <w:sz w:val="22"/>
          <w:szCs w:val="22"/>
        </w:rPr>
        <w:t>trongim</w:t>
      </w:r>
      <w:proofErr w:type="spellEnd"/>
      <w:r w:rsidR="00C84E8B" w:rsidRPr="008F4A18">
        <w:rPr>
          <w:i/>
          <w:sz w:val="22"/>
          <w:szCs w:val="22"/>
        </w:rPr>
        <w:t xml:space="preserve"> </w:t>
      </w:r>
      <w:proofErr w:type="spellStart"/>
      <w:r w:rsidRPr="008F4A18">
        <w:rPr>
          <w:i/>
          <w:sz w:val="22"/>
          <w:szCs w:val="22"/>
        </w:rPr>
        <w:t>G</w:t>
      </w:r>
      <w:r w:rsidR="00C84E8B" w:rsidRPr="008F4A18">
        <w:rPr>
          <w:i/>
          <w:sz w:val="22"/>
          <w:szCs w:val="22"/>
        </w:rPr>
        <w:t>avman</w:t>
      </w:r>
      <w:proofErr w:type="spellEnd"/>
      <w:r w:rsidR="00C84E8B" w:rsidRPr="004B3138">
        <w:rPr>
          <w:sz w:val="22"/>
          <w:szCs w:val="22"/>
        </w:rPr>
        <w:t xml:space="preserve"> </w:t>
      </w:r>
      <w:r w:rsidRPr="004B3138">
        <w:rPr>
          <w:sz w:val="22"/>
          <w:szCs w:val="22"/>
        </w:rPr>
        <w:lastRenderedPageBreak/>
        <w:t>P</w:t>
      </w:r>
      <w:r w:rsidR="00C84E8B" w:rsidRPr="004B3138">
        <w:rPr>
          <w:sz w:val="22"/>
          <w:szCs w:val="22"/>
        </w:rPr>
        <w:t>rogram</w:t>
      </w:r>
      <w:r w:rsidRPr="004B3138">
        <w:rPr>
          <w:sz w:val="22"/>
          <w:szCs w:val="22"/>
        </w:rPr>
        <w:t xml:space="preserve"> </w:t>
      </w:r>
      <w:r w:rsidR="00C84E8B" w:rsidRPr="004B3138">
        <w:rPr>
          <w:sz w:val="22"/>
          <w:szCs w:val="22"/>
        </w:rPr>
        <w:t>in Papua New Guinea</w:t>
      </w:r>
      <w:r w:rsidR="005A6AEF">
        <w:rPr>
          <w:sz w:val="22"/>
          <w:szCs w:val="22"/>
        </w:rPr>
        <w:t>,</w:t>
      </w:r>
      <w:r w:rsidRPr="004B3138">
        <w:rPr>
          <w:sz w:val="22"/>
          <w:szCs w:val="22"/>
        </w:rPr>
        <w:t xml:space="preserve"> </w:t>
      </w:r>
      <w:r w:rsidR="00740559">
        <w:rPr>
          <w:sz w:val="22"/>
          <w:szCs w:val="22"/>
        </w:rPr>
        <w:t xml:space="preserve">and </w:t>
      </w:r>
      <w:r w:rsidR="008A3C74" w:rsidRPr="004B3138">
        <w:rPr>
          <w:sz w:val="22"/>
          <w:szCs w:val="22"/>
        </w:rPr>
        <w:t xml:space="preserve">the </w:t>
      </w:r>
      <w:r w:rsidRPr="004B3138">
        <w:rPr>
          <w:sz w:val="22"/>
          <w:szCs w:val="22"/>
        </w:rPr>
        <w:t>A</w:t>
      </w:r>
      <w:r w:rsidR="008A3C74" w:rsidRPr="004B3138">
        <w:rPr>
          <w:sz w:val="22"/>
          <w:szCs w:val="22"/>
        </w:rPr>
        <w:t xml:space="preserve">ustralia </w:t>
      </w:r>
      <w:r w:rsidRPr="004B3138">
        <w:rPr>
          <w:sz w:val="22"/>
          <w:szCs w:val="22"/>
        </w:rPr>
        <w:t>I</w:t>
      </w:r>
      <w:r w:rsidR="008A3C74" w:rsidRPr="004B3138">
        <w:rPr>
          <w:sz w:val="22"/>
          <w:szCs w:val="22"/>
        </w:rPr>
        <w:t xml:space="preserve">ndonesia </w:t>
      </w:r>
      <w:r w:rsidRPr="004B3138">
        <w:rPr>
          <w:sz w:val="22"/>
          <w:szCs w:val="22"/>
        </w:rPr>
        <w:t>P</w:t>
      </w:r>
      <w:r w:rsidR="008A3C74" w:rsidRPr="004B3138">
        <w:rPr>
          <w:sz w:val="22"/>
          <w:szCs w:val="22"/>
        </w:rPr>
        <w:t xml:space="preserve">artnership for </w:t>
      </w:r>
      <w:r w:rsidRPr="004B3138">
        <w:rPr>
          <w:sz w:val="22"/>
          <w:szCs w:val="22"/>
        </w:rPr>
        <w:t>E</w:t>
      </w:r>
      <w:r w:rsidR="008A3C74" w:rsidRPr="004B3138">
        <w:rPr>
          <w:sz w:val="22"/>
          <w:szCs w:val="22"/>
        </w:rPr>
        <w:t xml:space="preserve">conomic </w:t>
      </w:r>
      <w:r w:rsidR="00EA1D6C" w:rsidRPr="004B3138">
        <w:rPr>
          <w:sz w:val="22"/>
          <w:szCs w:val="22"/>
        </w:rPr>
        <w:t>G</w:t>
      </w:r>
      <w:r w:rsidR="00C84E8B" w:rsidRPr="004B3138">
        <w:rPr>
          <w:sz w:val="22"/>
          <w:szCs w:val="22"/>
        </w:rPr>
        <w:t xml:space="preserve">overnance </w:t>
      </w:r>
      <w:r w:rsidR="005A6AEF">
        <w:rPr>
          <w:sz w:val="22"/>
          <w:szCs w:val="22"/>
        </w:rPr>
        <w:t>and the Government Partnerships Fund</w:t>
      </w:r>
      <w:r w:rsidR="00C84E8B" w:rsidRPr="004B3138">
        <w:rPr>
          <w:sz w:val="22"/>
          <w:szCs w:val="22"/>
        </w:rPr>
        <w:t xml:space="preserve"> </w:t>
      </w:r>
      <w:r w:rsidRPr="004B3138">
        <w:rPr>
          <w:sz w:val="22"/>
          <w:szCs w:val="22"/>
        </w:rPr>
        <w:t xml:space="preserve">– use a combination of long-term (resident Lead Advisors) and short-term (training, two-way exchanges and short-term technical advisors) components. </w:t>
      </w:r>
    </w:p>
    <w:p w:rsidR="00827FE0" w:rsidRPr="004B3138" w:rsidRDefault="0022788D" w:rsidP="0083342A">
      <w:pPr>
        <w:pStyle w:val="ListBullet"/>
        <w:ind w:left="284"/>
        <w:jc w:val="both"/>
        <w:rPr>
          <w:sz w:val="22"/>
          <w:szCs w:val="22"/>
        </w:rPr>
      </w:pPr>
      <w:r w:rsidRPr="004B3138">
        <w:rPr>
          <w:sz w:val="22"/>
          <w:szCs w:val="22"/>
        </w:rPr>
        <w:t>Institutional capa</w:t>
      </w:r>
      <w:r w:rsidR="0019308F">
        <w:rPr>
          <w:sz w:val="22"/>
          <w:szCs w:val="22"/>
        </w:rPr>
        <w:t>bility</w:t>
      </w:r>
      <w:r w:rsidRPr="004B3138">
        <w:rPr>
          <w:sz w:val="22"/>
          <w:szCs w:val="22"/>
        </w:rPr>
        <w:t xml:space="preserve"> building is an incremental process and it is important to ensure stable long-term planning, implementation </w:t>
      </w:r>
      <w:r w:rsidR="00925BE8">
        <w:rPr>
          <w:sz w:val="22"/>
          <w:szCs w:val="22"/>
        </w:rPr>
        <w:t>arrangements and funding levels.</w:t>
      </w:r>
      <w:r w:rsidRPr="004B3138">
        <w:rPr>
          <w:sz w:val="22"/>
          <w:szCs w:val="22"/>
        </w:rPr>
        <w:t xml:space="preserve"> Australia’s tax administration work in Indonesia</w:t>
      </w:r>
      <w:r w:rsidR="00EA1D6C" w:rsidRPr="004B3138">
        <w:rPr>
          <w:sz w:val="22"/>
          <w:szCs w:val="22"/>
        </w:rPr>
        <w:t xml:space="preserve"> </w:t>
      </w:r>
      <w:r w:rsidRPr="004B3138">
        <w:rPr>
          <w:sz w:val="22"/>
          <w:szCs w:val="22"/>
        </w:rPr>
        <w:t>has been underway since 1999</w:t>
      </w:r>
      <w:r w:rsidR="00EA1D6C" w:rsidRPr="004B3138">
        <w:rPr>
          <w:sz w:val="22"/>
          <w:szCs w:val="22"/>
        </w:rPr>
        <w:t xml:space="preserve"> and provides a good example of a long term commitment to institutional strengthening.</w:t>
      </w:r>
    </w:p>
    <w:p w:rsidR="0022788D" w:rsidRPr="004B3138" w:rsidRDefault="0022788D" w:rsidP="0083342A">
      <w:pPr>
        <w:pStyle w:val="ListBullet"/>
        <w:numPr>
          <w:ilvl w:val="0"/>
          <w:numId w:val="15"/>
        </w:numPr>
        <w:ind w:left="284" w:hanging="284"/>
        <w:jc w:val="both"/>
        <w:rPr>
          <w:sz w:val="22"/>
          <w:szCs w:val="22"/>
        </w:rPr>
      </w:pPr>
      <w:r w:rsidRPr="004B3138">
        <w:rPr>
          <w:b/>
          <w:sz w:val="22"/>
          <w:szCs w:val="22"/>
        </w:rPr>
        <w:t>M</w:t>
      </w:r>
      <w:r w:rsidR="00827FE0" w:rsidRPr="004B3138">
        <w:rPr>
          <w:b/>
          <w:sz w:val="22"/>
          <w:szCs w:val="22"/>
        </w:rPr>
        <w:t xml:space="preserve">onitoring and </w:t>
      </w:r>
      <w:r w:rsidRPr="004B3138">
        <w:rPr>
          <w:b/>
          <w:sz w:val="22"/>
          <w:szCs w:val="22"/>
        </w:rPr>
        <w:t>E</w:t>
      </w:r>
      <w:r w:rsidR="00827FE0" w:rsidRPr="004B3138">
        <w:rPr>
          <w:b/>
          <w:sz w:val="22"/>
          <w:szCs w:val="22"/>
        </w:rPr>
        <w:t>valuation (M&amp;E)</w:t>
      </w:r>
      <w:r w:rsidRPr="004B3138">
        <w:rPr>
          <w:b/>
          <w:sz w:val="22"/>
          <w:szCs w:val="22"/>
        </w:rPr>
        <w:t xml:space="preserve">: </w:t>
      </w:r>
      <w:r w:rsidRPr="004B3138">
        <w:rPr>
          <w:sz w:val="22"/>
          <w:szCs w:val="22"/>
        </w:rPr>
        <w:t xml:space="preserve">Tax administration reforms and capacity building are long-term endeavours and their outcomes can be incremental and difficult to observe. </w:t>
      </w:r>
      <w:r w:rsidR="007725C1" w:rsidRPr="004B3138">
        <w:rPr>
          <w:sz w:val="22"/>
          <w:szCs w:val="22"/>
        </w:rPr>
        <w:t>Changes in r</w:t>
      </w:r>
      <w:r w:rsidRPr="004B3138">
        <w:rPr>
          <w:sz w:val="22"/>
          <w:szCs w:val="22"/>
        </w:rPr>
        <w:t>evenue</w:t>
      </w:r>
      <w:r w:rsidR="007725C1" w:rsidRPr="004B3138">
        <w:rPr>
          <w:sz w:val="22"/>
          <w:szCs w:val="22"/>
        </w:rPr>
        <w:t xml:space="preserve"> collected</w:t>
      </w:r>
      <w:r w:rsidRPr="004B3138">
        <w:rPr>
          <w:sz w:val="22"/>
          <w:szCs w:val="22"/>
        </w:rPr>
        <w:t>, taxpayer registration and other easily measureable targets can be poor proxies for the success or failure of institutional capacity-building efforts</w:t>
      </w:r>
      <w:r w:rsidR="007725C1" w:rsidRPr="004B3138">
        <w:rPr>
          <w:sz w:val="22"/>
          <w:szCs w:val="22"/>
        </w:rPr>
        <w:t>. I</w:t>
      </w:r>
      <w:r w:rsidRPr="004B3138">
        <w:rPr>
          <w:sz w:val="22"/>
          <w:szCs w:val="22"/>
        </w:rPr>
        <w:t>t can</w:t>
      </w:r>
      <w:r w:rsidR="007725C1" w:rsidRPr="004B3138">
        <w:rPr>
          <w:sz w:val="22"/>
          <w:szCs w:val="22"/>
        </w:rPr>
        <w:t xml:space="preserve"> also</w:t>
      </w:r>
      <w:r w:rsidRPr="004B3138">
        <w:rPr>
          <w:sz w:val="22"/>
          <w:szCs w:val="22"/>
        </w:rPr>
        <w:t xml:space="preserve"> be difficult to attribute particular outcomes to a given investment where the host revenue authority is pursuing other </w:t>
      </w:r>
      <w:r w:rsidR="00827FE0" w:rsidRPr="004B3138">
        <w:rPr>
          <w:sz w:val="22"/>
          <w:szCs w:val="22"/>
        </w:rPr>
        <w:t>r</w:t>
      </w:r>
      <w:r w:rsidRPr="004B3138">
        <w:rPr>
          <w:sz w:val="22"/>
          <w:szCs w:val="22"/>
        </w:rPr>
        <w:t xml:space="preserve">eforms in parallel or where several </w:t>
      </w:r>
      <w:r w:rsidR="007725C1" w:rsidRPr="004B3138">
        <w:rPr>
          <w:sz w:val="22"/>
          <w:szCs w:val="22"/>
        </w:rPr>
        <w:t>development partners a</w:t>
      </w:r>
      <w:r w:rsidRPr="004B3138">
        <w:rPr>
          <w:sz w:val="22"/>
          <w:szCs w:val="22"/>
        </w:rPr>
        <w:t xml:space="preserve">re involved in separate DRM projects with the same organisation. As a result, an effective </w:t>
      </w:r>
      <w:r w:rsidR="00925BE8">
        <w:rPr>
          <w:sz w:val="22"/>
          <w:szCs w:val="22"/>
        </w:rPr>
        <w:t>M&amp;E</w:t>
      </w:r>
      <w:r w:rsidRPr="004B3138">
        <w:rPr>
          <w:sz w:val="22"/>
          <w:szCs w:val="22"/>
        </w:rPr>
        <w:t xml:space="preserve"> framework</w:t>
      </w:r>
      <w:r w:rsidR="007725C1" w:rsidRPr="004B3138">
        <w:rPr>
          <w:sz w:val="22"/>
          <w:szCs w:val="22"/>
        </w:rPr>
        <w:t xml:space="preserve"> must be based on</w:t>
      </w:r>
      <w:r w:rsidRPr="004B3138">
        <w:rPr>
          <w:sz w:val="22"/>
          <w:szCs w:val="22"/>
        </w:rPr>
        <w:t xml:space="preserve"> </w:t>
      </w:r>
      <w:r w:rsidR="007725C1" w:rsidRPr="004B3138">
        <w:rPr>
          <w:sz w:val="22"/>
          <w:szCs w:val="22"/>
        </w:rPr>
        <w:t xml:space="preserve">an agreed set of performance targets and M&amp;E benchmarks that focus on substantive outcomes rather than inputs, activities or outputs. The framework should be clearly communicated to implementing partners in situations where </w:t>
      </w:r>
      <w:r w:rsidRPr="004B3138">
        <w:rPr>
          <w:sz w:val="22"/>
          <w:szCs w:val="22"/>
        </w:rPr>
        <w:t>DFAT has limited exposure to the day-to-day implementation of supported activities</w:t>
      </w:r>
      <w:r w:rsidR="007725C1" w:rsidRPr="004B3138">
        <w:rPr>
          <w:sz w:val="22"/>
          <w:szCs w:val="22"/>
        </w:rPr>
        <w:t>.</w:t>
      </w:r>
      <w:r w:rsidR="007725C1" w:rsidRPr="004B3138" w:rsidDel="007725C1">
        <w:rPr>
          <w:sz w:val="22"/>
          <w:szCs w:val="22"/>
        </w:rPr>
        <w:t xml:space="preserve"> </w:t>
      </w:r>
    </w:p>
    <w:p w:rsidR="00B50F22" w:rsidRPr="004B3138" w:rsidRDefault="0022788D" w:rsidP="0083342A">
      <w:pPr>
        <w:pStyle w:val="ListBullet"/>
        <w:numPr>
          <w:ilvl w:val="0"/>
          <w:numId w:val="15"/>
        </w:numPr>
        <w:ind w:left="284" w:hanging="284"/>
        <w:jc w:val="both"/>
        <w:rPr>
          <w:sz w:val="22"/>
          <w:szCs w:val="22"/>
        </w:rPr>
      </w:pPr>
      <w:r w:rsidRPr="004B3138">
        <w:rPr>
          <w:b/>
          <w:sz w:val="22"/>
          <w:szCs w:val="22"/>
        </w:rPr>
        <w:t>Producing sustainable outcomes</w:t>
      </w:r>
      <w:r w:rsidRPr="004B3138">
        <w:rPr>
          <w:sz w:val="22"/>
          <w:szCs w:val="22"/>
        </w:rPr>
        <w:t xml:space="preserve">: </w:t>
      </w:r>
      <w:r w:rsidR="00552193" w:rsidRPr="004B3138">
        <w:rPr>
          <w:sz w:val="22"/>
          <w:szCs w:val="22"/>
        </w:rPr>
        <w:t>An investment is more likely to be sustainable when:</w:t>
      </w:r>
    </w:p>
    <w:p w:rsidR="00552193" w:rsidRPr="004B3138" w:rsidRDefault="0022788D" w:rsidP="0083342A">
      <w:pPr>
        <w:pStyle w:val="ListBullet2"/>
        <w:numPr>
          <w:ilvl w:val="1"/>
          <w:numId w:val="15"/>
        </w:numPr>
        <w:ind w:left="568" w:hanging="284"/>
        <w:jc w:val="both"/>
        <w:rPr>
          <w:sz w:val="22"/>
          <w:szCs w:val="22"/>
        </w:rPr>
      </w:pPr>
      <w:r w:rsidRPr="004B3138">
        <w:rPr>
          <w:sz w:val="22"/>
          <w:szCs w:val="22"/>
        </w:rPr>
        <w:t>the objectives and activities</w:t>
      </w:r>
      <w:r w:rsidR="00552193" w:rsidRPr="004B3138">
        <w:rPr>
          <w:sz w:val="22"/>
          <w:szCs w:val="22"/>
        </w:rPr>
        <w:t xml:space="preserve"> of the investment</w:t>
      </w:r>
      <w:r w:rsidRPr="004B3138">
        <w:rPr>
          <w:sz w:val="22"/>
          <w:szCs w:val="22"/>
        </w:rPr>
        <w:t xml:space="preserve"> align with those of the partner revenue authority</w:t>
      </w:r>
    </w:p>
    <w:p w:rsidR="00552193" w:rsidRPr="004B3138" w:rsidRDefault="00552193" w:rsidP="0083342A">
      <w:pPr>
        <w:pStyle w:val="ListBullet2"/>
        <w:numPr>
          <w:ilvl w:val="1"/>
          <w:numId w:val="15"/>
        </w:numPr>
        <w:ind w:left="568" w:hanging="284"/>
        <w:jc w:val="both"/>
        <w:rPr>
          <w:sz w:val="22"/>
          <w:szCs w:val="22"/>
        </w:rPr>
      </w:pPr>
      <w:r w:rsidRPr="004B3138">
        <w:rPr>
          <w:sz w:val="22"/>
          <w:szCs w:val="22"/>
        </w:rPr>
        <w:t>there is pressure within the partner country to reform, such as fiscal pressure</w:t>
      </w:r>
      <w:r w:rsidR="00430F92">
        <w:rPr>
          <w:sz w:val="22"/>
          <w:szCs w:val="22"/>
        </w:rPr>
        <w:t>, pressure to comply with international norms,</w:t>
      </w:r>
      <w:r w:rsidRPr="004B3138">
        <w:rPr>
          <w:sz w:val="22"/>
          <w:szCs w:val="22"/>
        </w:rPr>
        <w:t xml:space="preserve"> or high level political pressure</w:t>
      </w:r>
    </w:p>
    <w:p w:rsidR="00552193" w:rsidRPr="004B3138" w:rsidRDefault="00C8713D" w:rsidP="0083342A">
      <w:pPr>
        <w:pStyle w:val="ListBullet2"/>
        <w:numPr>
          <w:ilvl w:val="1"/>
          <w:numId w:val="15"/>
        </w:numPr>
        <w:ind w:left="568" w:hanging="284"/>
        <w:jc w:val="both"/>
        <w:rPr>
          <w:sz w:val="22"/>
          <w:szCs w:val="22"/>
        </w:rPr>
      </w:pPr>
      <w:r w:rsidRPr="004B3138">
        <w:rPr>
          <w:sz w:val="22"/>
          <w:szCs w:val="22"/>
        </w:rPr>
        <w:t xml:space="preserve">the </w:t>
      </w:r>
      <w:r w:rsidR="00552193" w:rsidRPr="004B3138">
        <w:rPr>
          <w:sz w:val="22"/>
          <w:szCs w:val="22"/>
        </w:rPr>
        <w:t>objectives and activities</w:t>
      </w:r>
      <w:r w:rsidRPr="004B3138">
        <w:rPr>
          <w:sz w:val="22"/>
          <w:szCs w:val="22"/>
        </w:rPr>
        <w:t xml:space="preserve"> of the investment</w:t>
      </w:r>
      <w:r w:rsidR="00552193" w:rsidRPr="004B3138">
        <w:rPr>
          <w:sz w:val="22"/>
          <w:szCs w:val="22"/>
        </w:rPr>
        <w:t xml:space="preserve"> balance the need to quickly increase efficiency (such as through an increased role for advisors or by outsourcing some tax functions) with a long term goal of improving the capa</w:t>
      </w:r>
      <w:r w:rsidR="005A6AEF">
        <w:rPr>
          <w:sz w:val="22"/>
          <w:szCs w:val="22"/>
        </w:rPr>
        <w:t>bility</w:t>
      </w:r>
      <w:r w:rsidR="00552193" w:rsidRPr="004B3138">
        <w:rPr>
          <w:sz w:val="22"/>
          <w:szCs w:val="22"/>
        </w:rPr>
        <w:t xml:space="preserve"> of the revenue authority</w:t>
      </w:r>
    </w:p>
    <w:p w:rsidR="0022788D" w:rsidRPr="004B3138" w:rsidRDefault="00552193" w:rsidP="0083342A">
      <w:pPr>
        <w:pStyle w:val="ListBullet2"/>
        <w:numPr>
          <w:ilvl w:val="1"/>
          <w:numId w:val="15"/>
        </w:numPr>
        <w:ind w:left="568" w:hanging="284"/>
        <w:jc w:val="both"/>
        <w:rPr>
          <w:sz w:val="22"/>
          <w:szCs w:val="22"/>
        </w:rPr>
      </w:pPr>
      <w:proofErr w:type="gramStart"/>
      <w:r w:rsidRPr="004B3138">
        <w:rPr>
          <w:sz w:val="22"/>
          <w:szCs w:val="22"/>
        </w:rPr>
        <w:t>the</w:t>
      </w:r>
      <w:proofErr w:type="gramEnd"/>
      <w:r w:rsidRPr="004B3138">
        <w:rPr>
          <w:sz w:val="22"/>
          <w:szCs w:val="22"/>
        </w:rPr>
        <w:t xml:space="preserve"> revenue authority has the capacity to absorb support and retain technical advice and training — staff turnover and low retention rates </w:t>
      </w:r>
      <w:r w:rsidR="00C8713D" w:rsidRPr="004B3138">
        <w:rPr>
          <w:sz w:val="22"/>
          <w:szCs w:val="22"/>
        </w:rPr>
        <w:t xml:space="preserve">can </w:t>
      </w:r>
      <w:r w:rsidRPr="004B3138">
        <w:rPr>
          <w:sz w:val="22"/>
          <w:szCs w:val="22"/>
        </w:rPr>
        <w:t>compromise capa</w:t>
      </w:r>
      <w:r w:rsidR="005A6AEF">
        <w:rPr>
          <w:sz w:val="22"/>
          <w:szCs w:val="22"/>
        </w:rPr>
        <w:t>bility</w:t>
      </w:r>
      <w:r w:rsidRPr="004B3138">
        <w:rPr>
          <w:sz w:val="22"/>
          <w:szCs w:val="22"/>
        </w:rPr>
        <w:t>-building efforts.</w:t>
      </w:r>
      <w:r w:rsidR="00925BE8">
        <w:rPr>
          <w:sz w:val="22"/>
          <w:szCs w:val="22"/>
        </w:rPr>
        <w:t xml:space="preserve"> </w:t>
      </w:r>
      <w:r w:rsidR="0022788D" w:rsidRPr="004B3138">
        <w:rPr>
          <w:sz w:val="22"/>
          <w:szCs w:val="22"/>
        </w:rPr>
        <w:t xml:space="preserve"> </w:t>
      </w:r>
    </w:p>
    <w:p w:rsidR="0022788D" w:rsidRPr="004B3138" w:rsidRDefault="0022788D" w:rsidP="0083342A">
      <w:pPr>
        <w:pStyle w:val="ListBullet"/>
        <w:numPr>
          <w:ilvl w:val="0"/>
          <w:numId w:val="15"/>
        </w:numPr>
        <w:ind w:left="284" w:hanging="284"/>
        <w:jc w:val="both"/>
        <w:rPr>
          <w:b/>
          <w:sz w:val="22"/>
          <w:szCs w:val="22"/>
        </w:rPr>
      </w:pPr>
      <w:r w:rsidRPr="004B3138">
        <w:rPr>
          <w:b/>
          <w:sz w:val="22"/>
          <w:szCs w:val="22"/>
        </w:rPr>
        <w:t xml:space="preserve">Selection of advisors: </w:t>
      </w:r>
      <w:r w:rsidRPr="004B3138">
        <w:rPr>
          <w:sz w:val="22"/>
          <w:szCs w:val="22"/>
        </w:rPr>
        <w:t>advisors – particularly those selected for long-term placements to work inside national revenue authorities – should be assessed and selected</w:t>
      </w:r>
      <w:r w:rsidR="00146007">
        <w:rPr>
          <w:sz w:val="22"/>
          <w:szCs w:val="22"/>
        </w:rPr>
        <w:t xml:space="preserve"> according to several criteria. These can include:</w:t>
      </w:r>
      <w:r w:rsidRPr="004B3138">
        <w:rPr>
          <w:sz w:val="22"/>
          <w:szCs w:val="22"/>
        </w:rPr>
        <w:t xml:space="preserve"> cultural sensitivity, management skills</w:t>
      </w:r>
      <w:r w:rsidR="00C8713D" w:rsidRPr="004B3138">
        <w:rPr>
          <w:sz w:val="22"/>
          <w:szCs w:val="22"/>
        </w:rPr>
        <w:t>,</w:t>
      </w:r>
      <w:r w:rsidRPr="004B3138">
        <w:rPr>
          <w:sz w:val="22"/>
          <w:szCs w:val="22"/>
        </w:rPr>
        <w:t xml:space="preserve"> </w:t>
      </w:r>
      <w:r w:rsidR="00C8713D" w:rsidRPr="004B3138">
        <w:rPr>
          <w:sz w:val="22"/>
          <w:szCs w:val="22"/>
        </w:rPr>
        <w:t>their</w:t>
      </w:r>
      <w:r w:rsidRPr="004B3138">
        <w:rPr>
          <w:sz w:val="22"/>
          <w:szCs w:val="22"/>
        </w:rPr>
        <w:t xml:space="preserve"> ability to train and work with local counterparts</w:t>
      </w:r>
      <w:r w:rsidR="00146007">
        <w:rPr>
          <w:sz w:val="22"/>
          <w:szCs w:val="22"/>
        </w:rPr>
        <w:t>, and their</w:t>
      </w:r>
      <w:r w:rsidR="00C8713D" w:rsidRPr="004B3138">
        <w:rPr>
          <w:sz w:val="22"/>
          <w:szCs w:val="22"/>
        </w:rPr>
        <w:t xml:space="preserve"> </w:t>
      </w:r>
      <w:r w:rsidRPr="004B3138">
        <w:rPr>
          <w:sz w:val="22"/>
          <w:szCs w:val="22"/>
        </w:rPr>
        <w:t>technical competence. Local consultants can be very helpful in providing local knowledge, overcoming internal resistance and building collaborative relationships</w:t>
      </w:r>
      <w:r w:rsidR="00146007">
        <w:rPr>
          <w:sz w:val="22"/>
          <w:szCs w:val="22"/>
        </w:rPr>
        <w:t>.</w:t>
      </w:r>
      <w:r w:rsidR="00C8713D" w:rsidRPr="004B3138">
        <w:rPr>
          <w:sz w:val="22"/>
          <w:szCs w:val="22"/>
        </w:rPr>
        <w:t xml:space="preserve"> </w:t>
      </w:r>
      <w:r w:rsidR="00146007">
        <w:rPr>
          <w:sz w:val="22"/>
          <w:szCs w:val="22"/>
        </w:rPr>
        <w:t>Their contribution to a project is greatest</w:t>
      </w:r>
      <w:r w:rsidR="00C84E8B" w:rsidRPr="004B3138">
        <w:rPr>
          <w:sz w:val="22"/>
          <w:szCs w:val="22"/>
        </w:rPr>
        <w:t xml:space="preserve"> when</w:t>
      </w:r>
      <w:r w:rsidR="00586B98" w:rsidRPr="004B3138">
        <w:rPr>
          <w:sz w:val="22"/>
          <w:szCs w:val="22"/>
        </w:rPr>
        <w:t xml:space="preserve"> there is trust and communication</w:t>
      </w:r>
      <w:r w:rsidRPr="004B3138">
        <w:rPr>
          <w:sz w:val="22"/>
          <w:szCs w:val="22"/>
        </w:rPr>
        <w:t xml:space="preserve"> with the Lead Advisor.</w:t>
      </w:r>
    </w:p>
    <w:p w:rsidR="005A6AEF" w:rsidRDefault="005A6AEF" w:rsidP="0083342A">
      <w:pPr>
        <w:pStyle w:val="Heading2"/>
        <w:jc w:val="both"/>
        <w:rPr>
          <w:szCs w:val="22"/>
        </w:rPr>
      </w:pPr>
      <w:bookmarkStart w:id="9" w:name="_Toc434412430"/>
      <w:r>
        <w:rPr>
          <w:szCs w:val="22"/>
        </w:rPr>
        <w:lastRenderedPageBreak/>
        <w:t>Available resources for program areas considering an investment in tax policy or administration support</w:t>
      </w:r>
    </w:p>
    <w:p w:rsidR="005A6AEF" w:rsidRDefault="005A6AEF" w:rsidP="0083342A">
      <w:pPr>
        <w:pStyle w:val="Heading2"/>
        <w:jc w:val="both"/>
        <w:rPr>
          <w:rStyle w:val="BodyTextChar"/>
          <w:b w:val="0"/>
        </w:rPr>
      </w:pPr>
      <w:r w:rsidRPr="00F21C3C">
        <w:rPr>
          <w:rStyle w:val="BodyTextChar"/>
          <w:b w:val="0"/>
          <w:color w:val="auto"/>
        </w:rPr>
        <w:t>This framework reflects a new, increased emphasis on tax-related assistance within Australia’s aid program. This section outlines some of the</w:t>
      </w:r>
      <w:r w:rsidR="007E544B">
        <w:rPr>
          <w:rStyle w:val="BodyTextChar"/>
          <w:b w:val="0"/>
          <w:color w:val="auto"/>
        </w:rPr>
        <w:t xml:space="preserve"> internal and external </w:t>
      </w:r>
      <w:r w:rsidRPr="00F21C3C">
        <w:rPr>
          <w:rStyle w:val="BodyTextChar"/>
          <w:b w:val="0"/>
          <w:color w:val="auto"/>
        </w:rPr>
        <w:t>resources available to DFAT staff to help decision making in relation to possible tax-related programming.</w:t>
      </w:r>
      <w:r w:rsidR="007E544B">
        <w:rPr>
          <w:rStyle w:val="BodyTextChar"/>
          <w:b w:val="0"/>
          <w:color w:val="auto"/>
        </w:rPr>
        <w:t xml:space="preserve"> </w:t>
      </w:r>
      <w:r w:rsidRPr="00F21C3C">
        <w:rPr>
          <w:rStyle w:val="BodyTextChar"/>
          <w:b w:val="0"/>
          <w:color w:val="auto"/>
        </w:rPr>
        <w:t>Staff can:</w:t>
      </w:r>
    </w:p>
    <w:p w:rsidR="005A6AEF" w:rsidRPr="00F21C3C" w:rsidRDefault="005A6AEF" w:rsidP="0083342A">
      <w:pPr>
        <w:jc w:val="both"/>
      </w:pPr>
    </w:p>
    <w:p w:rsidR="006F7E70" w:rsidRDefault="007E544B" w:rsidP="0083342A">
      <w:pPr>
        <w:pStyle w:val="ListParagraph"/>
        <w:numPr>
          <w:ilvl w:val="0"/>
          <w:numId w:val="46"/>
        </w:numPr>
        <w:tabs>
          <w:tab w:val="left" w:pos="3402"/>
        </w:tabs>
        <w:jc w:val="both"/>
        <w:rPr>
          <w:noProof/>
          <w:szCs w:val="22"/>
          <w:lang w:eastAsia="en-AU"/>
        </w:rPr>
      </w:pPr>
      <w:r w:rsidRPr="006F7E70">
        <w:rPr>
          <w:b/>
          <w:noProof/>
          <w:szCs w:val="22"/>
          <w:lang w:eastAsia="en-AU"/>
        </w:rPr>
        <w:t xml:space="preserve">Access </w:t>
      </w:r>
      <w:r w:rsidR="006D0C50">
        <w:rPr>
          <w:b/>
          <w:noProof/>
          <w:szCs w:val="22"/>
          <w:lang w:eastAsia="en-AU"/>
        </w:rPr>
        <w:t xml:space="preserve">DFAT </w:t>
      </w:r>
      <w:r w:rsidRPr="006F7E70">
        <w:rPr>
          <w:b/>
          <w:noProof/>
          <w:szCs w:val="22"/>
          <w:lang w:eastAsia="en-AU"/>
        </w:rPr>
        <w:t>good practice notes for practical advice</w:t>
      </w:r>
      <w:r>
        <w:rPr>
          <w:noProof/>
          <w:szCs w:val="22"/>
          <w:lang w:eastAsia="en-AU"/>
        </w:rPr>
        <w:t xml:space="preserve"> on identifying the potential for tax</w:t>
      </w:r>
      <w:r w:rsidR="00666036">
        <w:rPr>
          <w:noProof/>
          <w:szCs w:val="22"/>
          <w:lang w:eastAsia="en-AU"/>
        </w:rPr>
        <w:t>-</w:t>
      </w:r>
      <w:r>
        <w:rPr>
          <w:noProof/>
          <w:szCs w:val="22"/>
          <w:lang w:eastAsia="en-AU"/>
        </w:rPr>
        <w:t>related assistance</w:t>
      </w:r>
      <w:r w:rsidR="006F7E70">
        <w:rPr>
          <w:noProof/>
          <w:szCs w:val="22"/>
          <w:lang w:eastAsia="en-AU"/>
        </w:rPr>
        <w:t>, questions to guide political economy analysis and a range of</w:t>
      </w:r>
      <w:r w:rsidR="001F05CF">
        <w:rPr>
          <w:noProof/>
          <w:szCs w:val="22"/>
          <w:lang w:eastAsia="en-AU"/>
        </w:rPr>
        <w:t xml:space="preserve"> background papers on aspects of</w:t>
      </w:r>
      <w:r w:rsidR="006F7E70">
        <w:rPr>
          <w:noProof/>
          <w:szCs w:val="22"/>
          <w:lang w:eastAsia="en-AU"/>
        </w:rPr>
        <w:t xml:space="preserve"> taxation in developing countries. </w:t>
      </w:r>
    </w:p>
    <w:p w:rsidR="007E544B" w:rsidRPr="007E544B" w:rsidRDefault="007E544B" w:rsidP="0083342A">
      <w:pPr>
        <w:pStyle w:val="ListParagraph"/>
        <w:tabs>
          <w:tab w:val="left" w:pos="3402"/>
        </w:tabs>
        <w:jc w:val="both"/>
        <w:rPr>
          <w:noProof/>
          <w:szCs w:val="22"/>
          <w:lang w:eastAsia="en-AU"/>
        </w:rPr>
      </w:pPr>
      <w:r>
        <w:rPr>
          <w:noProof/>
          <w:szCs w:val="22"/>
          <w:lang w:eastAsia="en-AU"/>
        </w:rPr>
        <w:t xml:space="preserve"> </w:t>
      </w:r>
    </w:p>
    <w:p w:rsidR="005A6AEF" w:rsidRPr="000F2E54" w:rsidRDefault="005A6AEF" w:rsidP="0083342A">
      <w:pPr>
        <w:pStyle w:val="ListParagraph"/>
        <w:numPr>
          <w:ilvl w:val="0"/>
          <w:numId w:val="46"/>
        </w:numPr>
        <w:jc w:val="both"/>
        <w:rPr>
          <w:szCs w:val="22"/>
        </w:rPr>
      </w:pPr>
      <w:r w:rsidRPr="006F7E70">
        <w:rPr>
          <w:b/>
          <w:szCs w:val="22"/>
        </w:rPr>
        <w:t>Access external resources</w:t>
      </w:r>
      <w:r w:rsidRPr="000F2E54">
        <w:rPr>
          <w:szCs w:val="22"/>
        </w:rPr>
        <w:t xml:space="preserve">. </w:t>
      </w:r>
      <w:r w:rsidR="006F7E70">
        <w:rPr>
          <w:szCs w:val="22"/>
        </w:rPr>
        <w:t xml:space="preserve">International organisations such as the IMF, World Bank Group, OECD and the </w:t>
      </w:r>
      <w:r w:rsidR="00666036">
        <w:rPr>
          <w:szCs w:val="22"/>
        </w:rPr>
        <w:t>United Nations (</w:t>
      </w:r>
      <w:r w:rsidR="006F7E70">
        <w:rPr>
          <w:szCs w:val="22"/>
        </w:rPr>
        <w:t>UN</w:t>
      </w:r>
      <w:r w:rsidR="00666036">
        <w:rPr>
          <w:szCs w:val="22"/>
        </w:rPr>
        <w:t>)</w:t>
      </w:r>
      <w:r w:rsidR="006F7E70">
        <w:rPr>
          <w:szCs w:val="22"/>
        </w:rPr>
        <w:t xml:space="preserve"> all work on taxation i</w:t>
      </w:r>
      <w:r w:rsidR="00F15419">
        <w:rPr>
          <w:szCs w:val="22"/>
        </w:rPr>
        <w:t xml:space="preserve">ssues in developing countries. </w:t>
      </w:r>
      <w:r w:rsidR="006F7E70">
        <w:rPr>
          <w:szCs w:val="22"/>
        </w:rPr>
        <w:t xml:space="preserve">There are a range of assessments and diagnostic tools utilised by these organisations that can help identify areas in DRM that may benefit from </w:t>
      </w:r>
      <w:r w:rsidR="00430F92">
        <w:rPr>
          <w:szCs w:val="22"/>
        </w:rPr>
        <w:t>capability building or reform.</w:t>
      </w:r>
    </w:p>
    <w:p w:rsidR="005A6AEF" w:rsidRDefault="005A6AEF" w:rsidP="0083342A">
      <w:pPr>
        <w:jc w:val="both"/>
        <w:rPr>
          <w:szCs w:val="22"/>
        </w:rPr>
      </w:pPr>
      <w:r>
        <w:rPr>
          <w:szCs w:val="22"/>
        </w:rPr>
        <w:t xml:space="preserve"> </w:t>
      </w:r>
    </w:p>
    <w:p w:rsidR="006F7E70" w:rsidRPr="000F2E54" w:rsidRDefault="006F7E70" w:rsidP="0083342A">
      <w:pPr>
        <w:pStyle w:val="ListParagraph"/>
        <w:numPr>
          <w:ilvl w:val="0"/>
          <w:numId w:val="46"/>
        </w:numPr>
        <w:jc w:val="both"/>
        <w:rPr>
          <w:szCs w:val="22"/>
        </w:rPr>
      </w:pPr>
      <w:r w:rsidRPr="000F2E54">
        <w:rPr>
          <w:b/>
          <w:szCs w:val="22"/>
        </w:rPr>
        <w:t>Ask for assistance in identifying, designing or evaluating tax-related assistance</w:t>
      </w:r>
      <w:r w:rsidRPr="000F2E54">
        <w:rPr>
          <w:szCs w:val="22"/>
        </w:rPr>
        <w:t xml:space="preserve">. </w:t>
      </w:r>
      <w:r>
        <w:rPr>
          <w:szCs w:val="22"/>
        </w:rPr>
        <w:t xml:space="preserve">Assistance can be provided </w:t>
      </w:r>
      <w:r w:rsidRPr="000F2E54">
        <w:rPr>
          <w:szCs w:val="22"/>
        </w:rPr>
        <w:t>to identify the tax policy and administration challenges faced by partner countries, identify opportunities for investment</w:t>
      </w:r>
      <w:r>
        <w:rPr>
          <w:szCs w:val="22"/>
        </w:rPr>
        <w:t>,</w:t>
      </w:r>
      <w:r w:rsidRPr="000F2E54">
        <w:rPr>
          <w:szCs w:val="22"/>
        </w:rPr>
        <w:t xml:space="preserve"> and participate in differe</w:t>
      </w:r>
      <w:r>
        <w:rPr>
          <w:szCs w:val="22"/>
        </w:rPr>
        <w:t xml:space="preserve">nt parts of the program cycle. The </w:t>
      </w:r>
      <w:r w:rsidR="006D0C50">
        <w:rPr>
          <w:szCs w:val="22"/>
        </w:rPr>
        <w:t xml:space="preserve">Development Economics and Tax section </w:t>
      </w:r>
      <w:r>
        <w:rPr>
          <w:szCs w:val="22"/>
        </w:rPr>
        <w:t>can also facilitate engagement with relevant international organisations providing tax</w:t>
      </w:r>
      <w:r w:rsidR="00666036">
        <w:rPr>
          <w:szCs w:val="22"/>
        </w:rPr>
        <w:t>-</w:t>
      </w:r>
      <w:r>
        <w:rPr>
          <w:szCs w:val="22"/>
        </w:rPr>
        <w:t>related assistance.</w:t>
      </w:r>
    </w:p>
    <w:p w:rsidR="005A6AEF" w:rsidRPr="006742A4" w:rsidRDefault="005A6AEF" w:rsidP="0083342A">
      <w:pPr>
        <w:pStyle w:val="ListParagraph"/>
        <w:jc w:val="both"/>
        <w:rPr>
          <w:szCs w:val="22"/>
        </w:rPr>
      </w:pPr>
    </w:p>
    <w:p w:rsidR="001B7837" w:rsidRDefault="001B7837" w:rsidP="0083342A">
      <w:pPr>
        <w:pStyle w:val="Heading2"/>
        <w:jc w:val="both"/>
      </w:pPr>
      <w:r w:rsidRPr="00574BA0">
        <w:t xml:space="preserve">Monitoring progress in </w:t>
      </w:r>
      <w:r w:rsidR="00D94F9C">
        <w:t>Australia’s assistance</w:t>
      </w:r>
      <w:r w:rsidR="005A1FB7">
        <w:t xml:space="preserve"> for tax policy and administration reform</w:t>
      </w:r>
      <w:bookmarkEnd w:id="9"/>
      <w:r w:rsidR="00D94F9C">
        <w:t xml:space="preserve"> </w:t>
      </w:r>
    </w:p>
    <w:p w:rsidR="001B7837" w:rsidRPr="00F21C3C" w:rsidRDefault="005A1FB7" w:rsidP="0083342A">
      <w:pPr>
        <w:pStyle w:val="Heading2"/>
        <w:jc w:val="both"/>
        <w:rPr>
          <w:rFonts w:ascii="Franklin Gothic Book" w:hAnsi="Franklin Gothic Book"/>
          <w:color w:val="auto"/>
          <w:sz w:val="22"/>
          <w:szCs w:val="24"/>
        </w:rPr>
      </w:pPr>
      <w:r w:rsidRPr="00F21C3C">
        <w:rPr>
          <w:rStyle w:val="BodyTextChar"/>
          <w:color w:val="auto"/>
        </w:rPr>
        <w:t>DFAT will monitor progress against t</w:t>
      </w:r>
      <w:r w:rsidR="001B7837" w:rsidRPr="00F21C3C">
        <w:rPr>
          <w:rStyle w:val="BodyTextChar"/>
          <w:color w:val="auto"/>
        </w:rPr>
        <w:t xml:space="preserve">he </w:t>
      </w:r>
      <w:r w:rsidR="0093338F">
        <w:rPr>
          <w:rStyle w:val="BodyTextChar"/>
          <w:color w:val="auto"/>
        </w:rPr>
        <w:t xml:space="preserve">ATI </w:t>
      </w:r>
      <w:r w:rsidR="001B7837" w:rsidRPr="00F21C3C">
        <w:rPr>
          <w:rStyle w:val="BodyTextChar"/>
          <w:color w:val="auto"/>
        </w:rPr>
        <w:t xml:space="preserve">to </w:t>
      </w:r>
      <w:r w:rsidR="005A4919">
        <w:rPr>
          <w:rStyle w:val="BodyTextChar"/>
          <w:color w:val="auto"/>
        </w:rPr>
        <w:t>double</w:t>
      </w:r>
      <w:r w:rsidR="001B7837" w:rsidRPr="00F21C3C">
        <w:rPr>
          <w:rStyle w:val="BodyTextChar"/>
          <w:color w:val="auto"/>
        </w:rPr>
        <w:t xml:space="preserve"> tax-related assistance</w:t>
      </w:r>
      <w:r w:rsidR="005A4919">
        <w:rPr>
          <w:rStyle w:val="BodyTextChar"/>
          <w:color w:val="auto"/>
        </w:rPr>
        <w:t xml:space="preserve"> by 2020</w:t>
      </w:r>
      <w:r w:rsidRPr="00F21C3C">
        <w:rPr>
          <w:rStyle w:val="BodyTextChar"/>
          <w:color w:val="auto"/>
        </w:rPr>
        <w:t>.</w:t>
      </w:r>
      <w:r w:rsidR="00F21C3C">
        <w:rPr>
          <w:rStyle w:val="BodyTextChar"/>
          <w:color w:val="auto"/>
        </w:rPr>
        <w:t xml:space="preserve"> </w:t>
      </w:r>
      <w:r w:rsidR="00A43504" w:rsidRPr="00F21C3C">
        <w:rPr>
          <w:rStyle w:val="BodyTextChar"/>
          <w:b w:val="0"/>
          <w:color w:val="auto"/>
        </w:rPr>
        <w:t>Australia</w:t>
      </w:r>
      <w:r w:rsidR="001B7837" w:rsidRPr="00F21C3C">
        <w:rPr>
          <w:rStyle w:val="BodyTextChar"/>
          <w:b w:val="0"/>
          <w:color w:val="auto"/>
        </w:rPr>
        <w:t xml:space="preserve"> will voluntarily report activities under</w:t>
      </w:r>
      <w:r w:rsidR="00A43504" w:rsidRPr="00F21C3C">
        <w:rPr>
          <w:rStyle w:val="BodyTextChar"/>
          <w:b w:val="0"/>
          <w:color w:val="auto"/>
        </w:rPr>
        <w:t xml:space="preserve"> a new </w:t>
      </w:r>
      <w:r w:rsidR="005A401B" w:rsidRPr="00F21C3C">
        <w:rPr>
          <w:rStyle w:val="BodyTextChar"/>
          <w:b w:val="0"/>
          <w:color w:val="auto"/>
        </w:rPr>
        <w:t xml:space="preserve">metric </w:t>
      </w:r>
      <w:r w:rsidR="00A43504" w:rsidRPr="00F21C3C">
        <w:rPr>
          <w:rStyle w:val="BodyTextChar"/>
          <w:b w:val="0"/>
          <w:color w:val="auto"/>
        </w:rPr>
        <w:t>introduced by the D</w:t>
      </w:r>
      <w:r w:rsidRPr="00F21C3C">
        <w:rPr>
          <w:rStyle w:val="BodyTextChar"/>
          <w:b w:val="0"/>
          <w:color w:val="auto"/>
        </w:rPr>
        <w:t xml:space="preserve">evelopment </w:t>
      </w:r>
      <w:r w:rsidR="00A43504" w:rsidRPr="00F21C3C">
        <w:rPr>
          <w:rStyle w:val="BodyTextChar"/>
          <w:b w:val="0"/>
          <w:color w:val="auto"/>
        </w:rPr>
        <w:t>A</w:t>
      </w:r>
      <w:r w:rsidRPr="00F21C3C">
        <w:rPr>
          <w:rStyle w:val="BodyTextChar"/>
          <w:b w:val="0"/>
          <w:color w:val="auto"/>
        </w:rPr>
        <w:t xml:space="preserve">ssistance </w:t>
      </w:r>
      <w:r w:rsidR="00A43504" w:rsidRPr="00F21C3C">
        <w:rPr>
          <w:rStyle w:val="BodyTextChar"/>
          <w:b w:val="0"/>
          <w:color w:val="auto"/>
        </w:rPr>
        <w:t>C</w:t>
      </w:r>
      <w:r w:rsidRPr="00F21C3C">
        <w:rPr>
          <w:rStyle w:val="BodyTextChar"/>
          <w:b w:val="0"/>
          <w:color w:val="auto"/>
        </w:rPr>
        <w:t>ommittee (DAC)</w:t>
      </w:r>
      <w:r w:rsidRPr="00925BE8">
        <w:rPr>
          <w:rStyle w:val="BodyTextChar"/>
          <w:b w:val="0"/>
          <w:color w:val="auto"/>
          <w:vertAlign w:val="superscript"/>
        </w:rPr>
        <w:footnoteReference w:id="11"/>
      </w:r>
      <w:r w:rsidR="00A43504" w:rsidRPr="00F21C3C">
        <w:rPr>
          <w:rStyle w:val="BodyTextChar"/>
          <w:b w:val="0"/>
          <w:color w:val="auto"/>
        </w:rPr>
        <w:t xml:space="preserve"> to </w:t>
      </w:r>
      <w:r w:rsidR="001B7837" w:rsidRPr="00F21C3C">
        <w:rPr>
          <w:rStyle w:val="BodyTextChar"/>
          <w:b w:val="0"/>
          <w:color w:val="auto"/>
        </w:rPr>
        <w:t xml:space="preserve">help donors analyse their support to revenue policy and administration. </w:t>
      </w:r>
    </w:p>
    <w:p w:rsidR="000F3A0A" w:rsidRPr="000F3A0A" w:rsidRDefault="00FC52EF" w:rsidP="0083342A">
      <w:pPr>
        <w:pStyle w:val="Heading2"/>
        <w:jc w:val="both"/>
        <w:rPr>
          <w:rFonts w:ascii="Franklin Gothic Book" w:hAnsi="Franklin Gothic Book"/>
          <w:color w:val="auto"/>
          <w:sz w:val="22"/>
          <w:szCs w:val="24"/>
        </w:rPr>
      </w:pPr>
      <w:r w:rsidRPr="00F21C3C">
        <w:rPr>
          <w:rStyle w:val="BodyTextChar"/>
          <w:color w:val="auto"/>
        </w:rPr>
        <w:t>DFAT’s tax-related programs, like other programs, will need to establish performance monitoring framework</w:t>
      </w:r>
      <w:r w:rsidR="00D94F9C" w:rsidRPr="00F21C3C">
        <w:rPr>
          <w:rStyle w:val="BodyTextChar"/>
          <w:color w:val="auto"/>
        </w:rPr>
        <w:t>s that aim</w:t>
      </w:r>
      <w:r w:rsidRPr="00F21C3C">
        <w:rPr>
          <w:rStyle w:val="BodyTextChar"/>
          <w:color w:val="auto"/>
        </w:rPr>
        <w:t xml:space="preserve"> to measure outcomes</w:t>
      </w:r>
      <w:r w:rsidR="00F21C3C">
        <w:rPr>
          <w:rStyle w:val="BodyTextChar"/>
          <w:color w:val="auto"/>
        </w:rPr>
        <w:t xml:space="preserve"> </w:t>
      </w:r>
      <w:r w:rsidR="00C84E8B" w:rsidRPr="00F21C3C">
        <w:rPr>
          <w:rStyle w:val="BodyTextChar"/>
          <w:color w:val="auto"/>
        </w:rPr>
        <w:t>—</w:t>
      </w:r>
      <w:r w:rsidR="00F21C3C">
        <w:rPr>
          <w:rStyle w:val="BodyTextChar"/>
          <w:color w:val="auto"/>
        </w:rPr>
        <w:t xml:space="preserve"> </w:t>
      </w:r>
      <w:r w:rsidR="00C84E8B" w:rsidRPr="005A4919">
        <w:rPr>
          <w:rStyle w:val="BodyTextChar"/>
          <w:b w:val="0"/>
          <w:color w:val="auto"/>
        </w:rPr>
        <w:t xml:space="preserve">and these should refer to the </w:t>
      </w:r>
      <w:r w:rsidR="00C84E8B" w:rsidRPr="00F21C3C">
        <w:rPr>
          <w:rStyle w:val="BodyTextChar"/>
          <w:b w:val="0"/>
          <w:color w:val="auto"/>
        </w:rPr>
        <w:t xml:space="preserve">DFAT </w:t>
      </w:r>
      <w:r w:rsidR="00C84E8B" w:rsidRPr="005A4919">
        <w:rPr>
          <w:rStyle w:val="BodyTextChar"/>
          <w:b w:val="0"/>
          <w:color w:val="auto"/>
        </w:rPr>
        <w:t>aid programming guide and the Effective Governance Performance Assessment</w:t>
      </w:r>
      <w:r w:rsidR="00C84E8B" w:rsidRPr="00F21C3C">
        <w:rPr>
          <w:rStyle w:val="BodyTextChar"/>
          <w:b w:val="0"/>
          <w:color w:val="auto"/>
        </w:rPr>
        <w:t xml:space="preserve"> Note</w:t>
      </w:r>
      <w:r w:rsidRPr="00F21C3C">
        <w:rPr>
          <w:rStyle w:val="BodyTextChar"/>
          <w:b w:val="0"/>
          <w:color w:val="auto"/>
        </w:rPr>
        <w:t xml:space="preserve">. </w:t>
      </w:r>
      <w:r w:rsidR="00C84ACD" w:rsidRPr="00F21C3C">
        <w:rPr>
          <w:rStyle w:val="BodyTextChar"/>
          <w:b w:val="0"/>
          <w:color w:val="auto"/>
        </w:rPr>
        <w:t>In designing a performance monitoring framework</w:t>
      </w:r>
      <w:r w:rsidR="007B4664" w:rsidRPr="00F21C3C">
        <w:rPr>
          <w:rStyle w:val="BodyTextChar"/>
          <w:b w:val="0"/>
          <w:color w:val="auto"/>
        </w:rPr>
        <w:t xml:space="preserve"> for tax policy and administrative assistance programs</w:t>
      </w:r>
      <w:r w:rsidR="00C84ACD" w:rsidRPr="00F21C3C">
        <w:rPr>
          <w:rStyle w:val="BodyTextChar"/>
          <w:b w:val="0"/>
          <w:color w:val="auto"/>
        </w:rPr>
        <w:t>, i</w:t>
      </w:r>
      <w:r w:rsidRPr="00F21C3C">
        <w:rPr>
          <w:rStyle w:val="BodyTextChar"/>
          <w:b w:val="0"/>
          <w:color w:val="auto"/>
        </w:rPr>
        <w:t xml:space="preserve">t is important to remember that, while </w:t>
      </w:r>
      <w:r w:rsidR="007D1E14" w:rsidRPr="00F21C3C">
        <w:rPr>
          <w:rStyle w:val="BodyTextChar"/>
          <w:b w:val="0"/>
          <w:color w:val="auto"/>
        </w:rPr>
        <w:t>increased revenue</w:t>
      </w:r>
      <w:r w:rsidRPr="00F21C3C">
        <w:rPr>
          <w:rStyle w:val="BodyTextChar"/>
          <w:b w:val="0"/>
          <w:color w:val="auto"/>
        </w:rPr>
        <w:t xml:space="preserve"> is often a key objective, tax reforms should meet other criteria</w:t>
      </w:r>
      <w:r w:rsidR="00146007">
        <w:rPr>
          <w:rStyle w:val="BodyTextChar"/>
          <w:b w:val="0"/>
          <w:color w:val="auto"/>
        </w:rPr>
        <w:t>. These might include</w:t>
      </w:r>
      <w:r w:rsidR="00C84ACD" w:rsidRPr="00F21C3C">
        <w:rPr>
          <w:rStyle w:val="BodyTextChar"/>
          <w:b w:val="0"/>
          <w:color w:val="auto"/>
        </w:rPr>
        <w:t xml:space="preserve"> </w:t>
      </w:r>
      <w:r w:rsidRPr="00F21C3C">
        <w:rPr>
          <w:rStyle w:val="BodyTextChar"/>
          <w:b w:val="0"/>
          <w:color w:val="auto"/>
        </w:rPr>
        <w:t>fairness and sustainability</w:t>
      </w:r>
      <w:r w:rsidR="00146007">
        <w:rPr>
          <w:rStyle w:val="BodyTextChar"/>
          <w:b w:val="0"/>
          <w:color w:val="auto"/>
        </w:rPr>
        <w:t>, and more equitable distribution of public resources, especially for women</w:t>
      </w:r>
      <w:r w:rsidRPr="00F21C3C">
        <w:rPr>
          <w:rStyle w:val="BodyTextChar"/>
          <w:b w:val="0"/>
          <w:color w:val="auto"/>
        </w:rPr>
        <w:t>. Indicators of success could include</w:t>
      </w:r>
      <w:r w:rsidR="007D1E14" w:rsidRPr="00F21C3C">
        <w:rPr>
          <w:rStyle w:val="BodyTextChar"/>
          <w:b w:val="0"/>
          <w:color w:val="auto"/>
        </w:rPr>
        <w:t>, for example,</w:t>
      </w:r>
      <w:r w:rsidRPr="00F21C3C">
        <w:rPr>
          <w:rStyle w:val="BodyTextChar"/>
          <w:b w:val="0"/>
          <w:color w:val="auto"/>
        </w:rPr>
        <w:t xml:space="preserve"> </w:t>
      </w:r>
      <w:r w:rsidR="007D1E14" w:rsidRPr="00F21C3C">
        <w:rPr>
          <w:rStyle w:val="BodyTextChar"/>
          <w:b w:val="0"/>
          <w:color w:val="auto"/>
        </w:rPr>
        <w:t xml:space="preserve">evidence of </w:t>
      </w:r>
      <w:r w:rsidRPr="00F21C3C">
        <w:rPr>
          <w:rStyle w:val="BodyTextChar"/>
          <w:b w:val="0"/>
          <w:color w:val="auto"/>
        </w:rPr>
        <w:t xml:space="preserve">a broader tax base or </w:t>
      </w:r>
      <w:r w:rsidR="007D1E14" w:rsidRPr="00F21C3C">
        <w:rPr>
          <w:rStyle w:val="BodyTextChar"/>
          <w:b w:val="0"/>
          <w:color w:val="auto"/>
        </w:rPr>
        <w:t>faster processing times.</w:t>
      </w:r>
      <w:r w:rsidR="007B4664" w:rsidRPr="00F21C3C">
        <w:rPr>
          <w:rStyle w:val="BodyTextChar"/>
          <w:b w:val="0"/>
          <w:color w:val="auto"/>
        </w:rPr>
        <w:t xml:space="preserve"> In all cases, performance monitoring frameworks should include information about how to measure and assess progress against the desired outcomes of the program.</w:t>
      </w:r>
      <w:bookmarkStart w:id="10" w:name="_Toc434412431"/>
    </w:p>
    <w:p w:rsidR="005A1FB7" w:rsidRDefault="005A1FB7" w:rsidP="0083342A">
      <w:pPr>
        <w:jc w:val="both"/>
      </w:pPr>
      <w:r>
        <w:br w:type="page"/>
      </w:r>
    </w:p>
    <w:p w:rsidR="00321EFE" w:rsidRDefault="00321EFE" w:rsidP="0083342A">
      <w:pPr>
        <w:pStyle w:val="Heading1"/>
        <w:jc w:val="both"/>
      </w:pPr>
      <w:bookmarkStart w:id="11" w:name="_Toc434412436"/>
      <w:bookmarkEnd w:id="10"/>
      <w:r w:rsidRPr="007C298B">
        <w:lastRenderedPageBreak/>
        <w:t>References:</w:t>
      </w:r>
      <w:bookmarkEnd w:id="11"/>
    </w:p>
    <w:p w:rsidR="00723738" w:rsidRPr="00723738" w:rsidRDefault="00723738" w:rsidP="0083342A">
      <w:pPr>
        <w:jc w:val="both"/>
      </w:pPr>
    </w:p>
    <w:p w:rsidR="00296F9A" w:rsidRPr="00814F28" w:rsidRDefault="00296F9A" w:rsidP="0083342A">
      <w:pPr>
        <w:jc w:val="both"/>
        <w:rPr>
          <w:szCs w:val="22"/>
        </w:rPr>
      </w:pPr>
      <w:r w:rsidRPr="00814F28">
        <w:rPr>
          <w:szCs w:val="22"/>
        </w:rPr>
        <w:t>Bird, R.M.</w:t>
      </w:r>
      <w:r w:rsidR="001F05CF">
        <w:rPr>
          <w:szCs w:val="22"/>
        </w:rPr>
        <w:t xml:space="preserve"> </w:t>
      </w:r>
      <w:r w:rsidR="00CE3674">
        <w:rPr>
          <w:szCs w:val="22"/>
        </w:rPr>
        <w:t>and</w:t>
      </w:r>
      <w:r w:rsidRPr="00814F28">
        <w:rPr>
          <w:szCs w:val="22"/>
        </w:rPr>
        <w:t xml:space="preserve"> </w:t>
      </w:r>
      <w:proofErr w:type="spellStart"/>
      <w:r w:rsidRPr="00814F28">
        <w:rPr>
          <w:szCs w:val="22"/>
        </w:rPr>
        <w:t>Zolt</w:t>
      </w:r>
      <w:proofErr w:type="spellEnd"/>
      <w:r w:rsidRPr="00814F28">
        <w:rPr>
          <w:szCs w:val="22"/>
        </w:rPr>
        <w:t xml:space="preserve">, E.M., </w:t>
      </w:r>
      <w:r w:rsidR="009F428F">
        <w:rPr>
          <w:szCs w:val="22"/>
        </w:rPr>
        <w:t>2013, ‘</w:t>
      </w:r>
      <w:r w:rsidRPr="00814F28">
        <w:rPr>
          <w:szCs w:val="22"/>
        </w:rPr>
        <w:t>Taxation and Inequality in the Americas: Changing the Fiscal Contract?</w:t>
      </w:r>
      <w:r w:rsidR="009F428F">
        <w:rPr>
          <w:szCs w:val="22"/>
        </w:rPr>
        <w:t>’</w:t>
      </w:r>
      <w:r w:rsidRPr="00814F28">
        <w:rPr>
          <w:szCs w:val="22"/>
        </w:rPr>
        <w:t xml:space="preserve">, Working Paper 13-15, </w:t>
      </w:r>
      <w:r w:rsidR="009F428F">
        <w:rPr>
          <w:szCs w:val="22"/>
        </w:rPr>
        <w:t xml:space="preserve">October, </w:t>
      </w:r>
      <w:r w:rsidR="009F428F" w:rsidRPr="00814F28">
        <w:rPr>
          <w:szCs w:val="22"/>
        </w:rPr>
        <w:t>International Centre for Public Policy, Andrew Young School of Policy Studies</w:t>
      </w:r>
      <w:r w:rsidR="009F428F">
        <w:rPr>
          <w:szCs w:val="22"/>
        </w:rPr>
        <w:t>,</w:t>
      </w:r>
      <w:r w:rsidRPr="00814F28">
        <w:rPr>
          <w:szCs w:val="22"/>
        </w:rPr>
        <w:t xml:space="preserve"> Georgia State University</w:t>
      </w:r>
      <w:r w:rsidR="009F428F">
        <w:rPr>
          <w:szCs w:val="22"/>
        </w:rPr>
        <w:t>, Atlanta.</w:t>
      </w:r>
    </w:p>
    <w:p w:rsidR="00296F9A" w:rsidRPr="00814F28" w:rsidRDefault="00296F9A" w:rsidP="0083342A">
      <w:pPr>
        <w:jc w:val="both"/>
        <w:rPr>
          <w:szCs w:val="22"/>
        </w:rPr>
      </w:pPr>
    </w:p>
    <w:p w:rsidR="00B94736" w:rsidRPr="00814F28" w:rsidRDefault="009F428F" w:rsidP="0083342A">
      <w:pPr>
        <w:jc w:val="both"/>
        <w:rPr>
          <w:rStyle w:val="Hyperlink"/>
          <w:szCs w:val="22"/>
        </w:rPr>
      </w:pPr>
      <w:r>
        <w:rPr>
          <w:szCs w:val="22"/>
        </w:rPr>
        <w:t xml:space="preserve">Bishop, J., 2014, </w:t>
      </w:r>
      <w:r w:rsidR="001F05CF">
        <w:rPr>
          <w:szCs w:val="22"/>
        </w:rPr>
        <w:t>‘</w:t>
      </w:r>
      <w:r w:rsidR="00B94736" w:rsidRPr="00814F28">
        <w:rPr>
          <w:szCs w:val="22"/>
        </w:rPr>
        <w:t>Strengthening revenue collection to help finance economic growth and poverty reduction</w:t>
      </w:r>
      <w:r>
        <w:rPr>
          <w:szCs w:val="22"/>
        </w:rPr>
        <w:t>’</w:t>
      </w:r>
      <w:r w:rsidR="00B94736" w:rsidRPr="00814F28">
        <w:rPr>
          <w:szCs w:val="22"/>
        </w:rPr>
        <w:t>,</w:t>
      </w:r>
      <w:r>
        <w:rPr>
          <w:szCs w:val="22"/>
        </w:rPr>
        <w:t xml:space="preserve"> 27 November, accessed at</w:t>
      </w:r>
      <w:r w:rsidR="00B94736" w:rsidRPr="00814F28">
        <w:rPr>
          <w:szCs w:val="22"/>
        </w:rPr>
        <w:t xml:space="preserve"> </w:t>
      </w:r>
      <w:hyperlink r:id="rId15" w:history="1">
        <w:r w:rsidRPr="004F1DCB">
          <w:rPr>
            <w:rStyle w:val="Hyperlink"/>
          </w:rPr>
          <w:t xml:space="preserve">Effective Development Co-operation Blog, 27 </w:t>
        </w:r>
        <w:r w:rsidRPr="004F1DCB">
          <w:rPr>
            <w:rStyle w:val="Hyperlink"/>
            <w:szCs w:val="22"/>
          </w:rPr>
          <w:t>http://devcooperation.org/2014/11/27/strengthening-revenue-collection-to-help-finance-economic-growth-and-poverty-reduction/</w:t>
        </w:r>
      </w:hyperlink>
      <w:r>
        <w:t>, last accessed 20 November 2015.</w:t>
      </w:r>
    </w:p>
    <w:p w:rsidR="00B94736" w:rsidRPr="00814F28" w:rsidRDefault="00B94736" w:rsidP="0083342A">
      <w:pPr>
        <w:jc w:val="both"/>
        <w:rPr>
          <w:szCs w:val="22"/>
        </w:rPr>
      </w:pPr>
    </w:p>
    <w:p w:rsidR="00B94736" w:rsidRPr="00814F28" w:rsidRDefault="009F428F" w:rsidP="0083342A">
      <w:pPr>
        <w:jc w:val="both"/>
        <w:rPr>
          <w:szCs w:val="22"/>
        </w:rPr>
      </w:pPr>
      <w:proofErr w:type="spellStart"/>
      <w:proofErr w:type="gramStart"/>
      <w:r>
        <w:rPr>
          <w:szCs w:val="22"/>
        </w:rPr>
        <w:t>Brautigam</w:t>
      </w:r>
      <w:proofErr w:type="spellEnd"/>
      <w:r>
        <w:rPr>
          <w:szCs w:val="22"/>
        </w:rPr>
        <w:t xml:space="preserve">, D., </w:t>
      </w:r>
      <w:proofErr w:type="spellStart"/>
      <w:r>
        <w:rPr>
          <w:szCs w:val="22"/>
        </w:rPr>
        <w:t>Fjeldstad</w:t>
      </w:r>
      <w:proofErr w:type="spellEnd"/>
      <w:r>
        <w:rPr>
          <w:szCs w:val="22"/>
        </w:rPr>
        <w:t xml:space="preserve">, O. and Moore, M., 2008, </w:t>
      </w:r>
      <w:r w:rsidR="00B94736" w:rsidRPr="009F428F">
        <w:rPr>
          <w:i/>
          <w:szCs w:val="22"/>
        </w:rPr>
        <w:t>Taxation and State Building in Developing Countries,</w:t>
      </w:r>
      <w:r>
        <w:rPr>
          <w:szCs w:val="22"/>
        </w:rPr>
        <w:t xml:space="preserve"> Cambridge University Press</w:t>
      </w:r>
      <w:r w:rsidR="00B94736" w:rsidRPr="00814F28">
        <w:rPr>
          <w:szCs w:val="22"/>
        </w:rPr>
        <w:t>.</w:t>
      </w:r>
      <w:proofErr w:type="gramEnd"/>
    </w:p>
    <w:p w:rsidR="00B94736" w:rsidRPr="00814F28" w:rsidRDefault="00B94736" w:rsidP="0083342A">
      <w:pPr>
        <w:jc w:val="both"/>
        <w:rPr>
          <w:szCs w:val="22"/>
        </w:rPr>
      </w:pPr>
    </w:p>
    <w:p w:rsidR="006F31A2" w:rsidRDefault="006F31A2" w:rsidP="0083342A">
      <w:pPr>
        <w:jc w:val="both"/>
        <w:rPr>
          <w:szCs w:val="22"/>
        </w:rPr>
      </w:pPr>
      <w:proofErr w:type="spellStart"/>
      <w:r>
        <w:rPr>
          <w:szCs w:val="22"/>
        </w:rPr>
        <w:t>Bridi</w:t>
      </w:r>
      <w:proofErr w:type="spellEnd"/>
      <w:r>
        <w:rPr>
          <w:szCs w:val="22"/>
        </w:rPr>
        <w:t xml:space="preserve">, A., 2010, ‘Corruption in Tax Administration’, U4 Expert Answer, U4 Anti-Corruption Resource Centre, accessed at </w:t>
      </w:r>
      <w:hyperlink r:id="rId16" w:history="1">
        <w:r w:rsidRPr="0087479C">
          <w:rPr>
            <w:rStyle w:val="Hyperlink"/>
            <w:szCs w:val="22"/>
          </w:rPr>
          <w:t>http://www.u4.no/publications/corruption-in-tax-administration/</w:t>
        </w:r>
      </w:hyperlink>
      <w:r>
        <w:rPr>
          <w:szCs w:val="22"/>
        </w:rPr>
        <w:t xml:space="preserve">, last accessed 26 November 2015. </w:t>
      </w:r>
    </w:p>
    <w:p w:rsidR="006F31A2" w:rsidRDefault="006F31A2" w:rsidP="0083342A">
      <w:pPr>
        <w:jc w:val="both"/>
        <w:rPr>
          <w:szCs w:val="22"/>
        </w:rPr>
      </w:pPr>
    </w:p>
    <w:p w:rsidR="00574E47" w:rsidRPr="00814F28" w:rsidRDefault="009F428F" w:rsidP="0083342A">
      <w:pPr>
        <w:jc w:val="both"/>
        <w:rPr>
          <w:szCs w:val="22"/>
        </w:rPr>
      </w:pPr>
      <w:r>
        <w:rPr>
          <w:szCs w:val="22"/>
        </w:rPr>
        <w:t xml:space="preserve">Carnahan, M., </w:t>
      </w:r>
      <w:r w:rsidR="00574E47" w:rsidRPr="00814F28">
        <w:rPr>
          <w:szCs w:val="22"/>
        </w:rPr>
        <w:t xml:space="preserve">2015, </w:t>
      </w:r>
      <w:r w:rsidR="008043EC">
        <w:rPr>
          <w:szCs w:val="22"/>
        </w:rPr>
        <w:t>‘</w:t>
      </w:r>
      <w:r w:rsidR="00574E47" w:rsidRPr="00814F28">
        <w:rPr>
          <w:szCs w:val="22"/>
        </w:rPr>
        <w:t>Taxation Challenges in Developing Countries</w:t>
      </w:r>
      <w:r w:rsidR="001F05CF">
        <w:rPr>
          <w:szCs w:val="22"/>
        </w:rPr>
        <w:t>’,</w:t>
      </w:r>
      <w:r w:rsidR="00574E47" w:rsidRPr="00814F28">
        <w:rPr>
          <w:szCs w:val="22"/>
        </w:rPr>
        <w:t xml:space="preserve"> </w:t>
      </w:r>
      <w:r w:rsidR="00574E47" w:rsidRPr="001F05CF">
        <w:rPr>
          <w:i/>
          <w:szCs w:val="22"/>
        </w:rPr>
        <w:t xml:space="preserve">Asia &amp; the Pacific </w:t>
      </w:r>
      <w:r w:rsidR="00574E47" w:rsidRPr="008043EC">
        <w:rPr>
          <w:i/>
          <w:szCs w:val="22"/>
        </w:rPr>
        <w:t>Policy Studies</w:t>
      </w:r>
      <w:r w:rsidR="00574E47" w:rsidRPr="00814F28">
        <w:rPr>
          <w:szCs w:val="22"/>
        </w:rPr>
        <w:t xml:space="preserve">, </w:t>
      </w:r>
      <w:r w:rsidR="001F05CF">
        <w:rPr>
          <w:szCs w:val="22"/>
        </w:rPr>
        <w:t>Vol. 2, No. 1</w:t>
      </w:r>
      <w:r w:rsidR="008043EC">
        <w:rPr>
          <w:szCs w:val="22"/>
        </w:rPr>
        <w:t>, pp. 169–182.</w:t>
      </w:r>
    </w:p>
    <w:p w:rsidR="00B94736" w:rsidRPr="00814F28" w:rsidRDefault="00B94736" w:rsidP="0083342A">
      <w:pPr>
        <w:jc w:val="both"/>
        <w:rPr>
          <w:szCs w:val="22"/>
        </w:rPr>
      </w:pPr>
    </w:p>
    <w:p w:rsidR="00B94736" w:rsidRPr="00814F28" w:rsidRDefault="00B94736" w:rsidP="0083342A">
      <w:pPr>
        <w:jc w:val="both"/>
        <w:rPr>
          <w:szCs w:val="22"/>
        </w:rPr>
      </w:pPr>
      <w:r w:rsidRPr="00814F28">
        <w:rPr>
          <w:szCs w:val="22"/>
        </w:rPr>
        <w:t>Culpeper, R</w:t>
      </w:r>
      <w:r w:rsidR="008043EC">
        <w:rPr>
          <w:szCs w:val="22"/>
        </w:rPr>
        <w:t>. and</w:t>
      </w:r>
      <w:r w:rsidRPr="00814F28">
        <w:rPr>
          <w:szCs w:val="22"/>
        </w:rPr>
        <w:t xml:space="preserve"> </w:t>
      </w:r>
      <w:proofErr w:type="spellStart"/>
      <w:r w:rsidRPr="00814F28">
        <w:rPr>
          <w:szCs w:val="22"/>
        </w:rPr>
        <w:t>Bhushan</w:t>
      </w:r>
      <w:proofErr w:type="spellEnd"/>
      <w:r w:rsidR="008043EC">
        <w:rPr>
          <w:szCs w:val="22"/>
        </w:rPr>
        <w:t>,</w:t>
      </w:r>
      <w:r w:rsidRPr="00814F28">
        <w:rPr>
          <w:szCs w:val="22"/>
        </w:rPr>
        <w:t xml:space="preserve"> A</w:t>
      </w:r>
      <w:r w:rsidR="008043EC">
        <w:rPr>
          <w:szCs w:val="22"/>
        </w:rPr>
        <w:t>.,</w:t>
      </w:r>
      <w:r w:rsidRPr="00814F28">
        <w:rPr>
          <w:szCs w:val="22"/>
        </w:rPr>
        <w:t xml:space="preserve"> </w:t>
      </w:r>
      <w:r w:rsidR="00980146">
        <w:rPr>
          <w:szCs w:val="22"/>
        </w:rPr>
        <w:t xml:space="preserve">2008, </w:t>
      </w:r>
      <w:r w:rsidR="008043EC">
        <w:rPr>
          <w:szCs w:val="22"/>
        </w:rPr>
        <w:t>‘</w:t>
      </w:r>
      <w:r w:rsidRPr="00814F28">
        <w:rPr>
          <w:szCs w:val="22"/>
        </w:rPr>
        <w:t>Domestic Resource Mobilization</w:t>
      </w:r>
      <w:r w:rsidR="008043EC">
        <w:rPr>
          <w:szCs w:val="22"/>
        </w:rPr>
        <w:t>: A Neglected Factor in Development Strategy’, B</w:t>
      </w:r>
      <w:r w:rsidRPr="00814F28">
        <w:rPr>
          <w:szCs w:val="22"/>
        </w:rPr>
        <w:t>ackground paper for</w:t>
      </w:r>
      <w:r w:rsidR="008043EC">
        <w:rPr>
          <w:szCs w:val="22"/>
        </w:rPr>
        <w:t xml:space="preserve"> the Workshop on Domestic Resource Mobilisation in Sub-Saharan Africa, </w:t>
      </w:r>
      <w:r w:rsidRPr="00814F28">
        <w:rPr>
          <w:szCs w:val="22"/>
        </w:rPr>
        <w:t>The North South Institute</w:t>
      </w:r>
      <w:r w:rsidR="008043EC">
        <w:rPr>
          <w:szCs w:val="22"/>
        </w:rPr>
        <w:t>, April, Ottawa, accessed at</w:t>
      </w:r>
      <w:r w:rsidRPr="00814F28">
        <w:rPr>
          <w:szCs w:val="22"/>
        </w:rPr>
        <w:t xml:space="preserve"> </w:t>
      </w:r>
    </w:p>
    <w:p w:rsidR="00B94736" w:rsidRPr="00814F28" w:rsidRDefault="00EF2D5C" w:rsidP="0083342A">
      <w:pPr>
        <w:jc w:val="both"/>
        <w:rPr>
          <w:szCs w:val="22"/>
        </w:rPr>
      </w:pPr>
      <w:hyperlink r:id="rId17" w:history="1">
        <w:r w:rsidR="00B94736" w:rsidRPr="00814F28">
          <w:rPr>
            <w:rStyle w:val="Hyperlink"/>
            <w:szCs w:val="22"/>
          </w:rPr>
          <w:t>http://r4d.dfid.gov.uk/PDF/Outputs/ProPoor_RPC/60667_Background_Paper.pdf</w:t>
        </w:r>
      </w:hyperlink>
      <w:r w:rsidR="008043EC">
        <w:rPr>
          <w:rStyle w:val="Hyperlink"/>
          <w:szCs w:val="22"/>
        </w:rPr>
        <w:t xml:space="preserve">, </w:t>
      </w:r>
      <w:r w:rsidR="008043EC" w:rsidRPr="001F05CF">
        <w:rPr>
          <w:rStyle w:val="Hyperlink"/>
          <w:color w:val="auto"/>
          <w:szCs w:val="22"/>
        </w:rPr>
        <w:t xml:space="preserve">last accessed 20 November 2015. </w:t>
      </w:r>
    </w:p>
    <w:p w:rsidR="00B94736" w:rsidRPr="00814F28" w:rsidRDefault="00B94736" w:rsidP="0083342A">
      <w:pPr>
        <w:jc w:val="both"/>
        <w:rPr>
          <w:szCs w:val="22"/>
        </w:rPr>
      </w:pPr>
    </w:p>
    <w:p w:rsidR="00666EC7" w:rsidRDefault="008043EC" w:rsidP="0083342A">
      <w:pPr>
        <w:jc w:val="both"/>
        <w:rPr>
          <w:szCs w:val="22"/>
        </w:rPr>
      </w:pPr>
      <w:r>
        <w:rPr>
          <w:szCs w:val="22"/>
        </w:rPr>
        <w:t xml:space="preserve">(Australian) </w:t>
      </w:r>
      <w:proofErr w:type="gramStart"/>
      <w:r>
        <w:rPr>
          <w:szCs w:val="22"/>
        </w:rPr>
        <w:t>Department of Foreign Affairs and Trade, 2015, ‘Effective Governance – Strategy for Australia’s aid investments’, March, accessed at</w:t>
      </w:r>
      <w:r w:rsidR="003D21AD">
        <w:rPr>
          <w:szCs w:val="22"/>
        </w:rPr>
        <w:t>,</w:t>
      </w:r>
      <w:r>
        <w:rPr>
          <w:szCs w:val="22"/>
        </w:rPr>
        <w:t xml:space="preserve"> </w:t>
      </w:r>
      <w:hyperlink r:id="rId18" w:history="1">
        <w:r w:rsidR="003D21AD" w:rsidRPr="004F1DCB">
          <w:rPr>
            <w:rStyle w:val="Hyperlink"/>
            <w:szCs w:val="22"/>
          </w:rPr>
          <w:t>http://dfat.gov.au/about-us/publications/Documents/effective-governance-strategy-for-australias-aid-investments.pdf</w:t>
        </w:r>
      </w:hyperlink>
      <w:r w:rsidR="003D21AD">
        <w:rPr>
          <w:szCs w:val="22"/>
        </w:rPr>
        <w:t>, last accessed 20 November 2015.</w:t>
      </w:r>
      <w:proofErr w:type="gramEnd"/>
      <w:r w:rsidR="003D21AD">
        <w:rPr>
          <w:szCs w:val="22"/>
        </w:rPr>
        <w:t xml:space="preserve"> </w:t>
      </w:r>
    </w:p>
    <w:p w:rsidR="00666EC7" w:rsidRDefault="00666EC7" w:rsidP="0083342A">
      <w:pPr>
        <w:jc w:val="both"/>
        <w:rPr>
          <w:szCs w:val="22"/>
        </w:rPr>
      </w:pPr>
    </w:p>
    <w:p w:rsidR="00321EFE" w:rsidRPr="003D21AD" w:rsidRDefault="003D21AD" w:rsidP="0083342A">
      <w:pPr>
        <w:jc w:val="both"/>
        <w:rPr>
          <w:rStyle w:val="Hyperlink"/>
          <w:szCs w:val="22"/>
          <w:lang w:val="en-US"/>
        </w:rPr>
      </w:pPr>
      <w:r>
        <w:rPr>
          <w:szCs w:val="22"/>
        </w:rPr>
        <w:t xml:space="preserve">——, </w:t>
      </w:r>
      <w:r w:rsidR="00321EFE" w:rsidRPr="00814F28">
        <w:rPr>
          <w:szCs w:val="22"/>
        </w:rPr>
        <w:t>2014</w:t>
      </w:r>
      <w:r>
        <w:rPr>
          <w:szCs w:val="22"/>
        </w:rPr>
        <w:t>,</w:t>
      </w:r>
      <w:r w:rsidR="00321EFE" w:rsidRPr="00814F28">
        <w:rPr>
          <w:szCs w:val="22"/>
        </w:rPr>
        <w:t xml:space="preserve"> </w:t>
      </w:r>
      <w:r>
        <w:rPr>
          <w:szCs w:val="22"/>
        </w:rPr>
        <w:t>‘</w:t>
      </w:r>
      <w:r w:rsidR="00321EFE" w:rsidRPr="003D21AD">
        <w:rPr>
          <w:szCs w:val="22"/>
          <w:lang w:val="en-US"/>
        </w:rPr>
        <w:t>Australian aid: promoting prosperity, reducing poverty, enhancing stability</w:t>
      </w:r>
      <w:r>
        <w:rPr>
          <w:szCs w:val="22"/>
          <w:lang w:val="en-US"/>
        </w:rPr>
        <w:t xml:space="preserve">’, June, accessed at, </w:t>
      </w:r>
      <w:hyperlink r:id="rId19" w:history="1">
        <w:r w:rsidRPr="004F1DCB">
          <w:rPr>
            <w:rStyle w:val="Hyperlink"/>
            <w:szCs w:val="22"/>
            <w:lang w:val="en-US"/>
          </w:rPr>
          <w:t>http://dfat.gov.au/about-us/publications/Documents/australian-aid-development-policy.pdf</w:t>
        </w:r>
      </w:hyperlink>
      <w:r w:rsidRPr="001F05CF">
        <w:rPr>
          <w:szCs w:val="22"/>
          <w:lang w:val="en-US"/>
        </w:rPr>
        <w:t>,</w:t>
      </w:r>
      <w:r>
        <w:rPr>
          <w:szCs w:val="22"/>
          <w:lang w:val="en-US"/>
        </w:rPr>
        <w:t xml:space="preserve"> last accessed 20 November 2015. </w:t>
      </w:r>
    </w:p>
    <w:p w:rsidR="00321EFE" w:rsidRPr="00814F28" w:rsidRDefault="00321EFE" w:rsidP="0083342A">
      <w:pPr>
        <w:jc w:val="both"/>
        <w:rPr>
          <w:szCs w:val="22"/>
        </w:rPr>
      </w:pPr>
    </w:p>
    <w:p w:rsidR="00375E72" w:rsidRPr="00CD3A05" w:rsidRDefault="00375E72" w:rsidP="00375E72">
      <w:pPr>
        <w:jc w:val="both"/>
        <w:rPr>
          <w:szCs w:val="22"/>
        </w:rPr>
      </w:pPr>
      <w:r>
        <w:rPr>
          <w:szCs w:val="22"/>
        </w:rPr>
        <w:t>Di John, J., 2010, ‘</w:t>
      </w:r>
      <w:r w:rsidRPr="00814F28">
        <w:rPr>
          <w:szCs w:val="22"/>
        </w:rPr>
        <w:t>Taxation, Resource Mobi</w:t>
      </w:r>
      <w:r>
        <w:rPr>
          <w:szCs w:val="22"/>
        </w:rPr>
        <w:t>lisation, and State Performance’, Policy Directions</w:t>
      </w:r>
      <w:r w:rsidRPr="00CD3A05">
        <w:rPr>
          <w:szCs w:val="22"/>
        </w:rPr>
        <w:t>, Crisis States</w:t>
      </w:r>
      <w:r>
        <w:rPr>
          <w:szCs w:val="22"/>
        </w:rPr>
        <w:t xml:space="preserve"> Research Centre, </w:t>
      </w:r>
      <w:r w:rsidRPr="00CD3A05">
        <w:rPr>
          <w:szCs w:val="22"/>
        </w:rPr>
        <w:t xml:space="preserve">November, accessed at </w:t>
      </w:r>
    </w:p>
    <w:p w:rsidR="00375E72" w:rsidRPr="00D6286E" w:rsidRDefault="00EF2D5C" w:rsidP="00375E72">
      <w:pPr>
        <w:jc w:val="both"/>
        <w:rPr>
          <w:szCs w:val="22"/>
        </w:rPr>
      </w:pPr>
      <w:hyperlink r:id="rId20" w:history="1">
        <w:r w:rsidR="00375E72" w:rsidRPr="00375E72">
          <w:rPr>
            <w:rStyle w:val="Hyperlink"/>
            <w:szCs w:val="22"/>
            <w:lang w:val="en-US"/>
          </w:rPr>
          <w:t>www.lse.ac.uk/internationalDevelopment/.../crisisStates/.../Taxation.pdf</w:t>
        </w:r>
      </w:hyperlink>
      <w:r w:rsidR="00375E72" w:rsidRPr="00CD3A05">
        <w:rPr>
          <w:rFonts w:cs="Arial"/>
          <w:iCs/>
          <w:szCs w:val="22"/>
          <w:lang w:eastAsia="en-AU"/>
        </w:rPr>
        <w:t xml:space="preserve">, last accessed </w:t>
      </w:r>
      <w:r w:rsidR="00375E72" w:rsidRPr="00D6286E">
        <w:rPr>
          <w:szCs w:val="22"/>
        </w:rPr>
        <w:t xml:space="preserve">23 November 2015. </w:t>
      </w:r>
    </w:p>
    <w:p w:rsidR="00375E72" w:rsidRDefault="00375E72" w:rsidP="0083342A">
      <w:pPr>
        <w:jc w:val="both"/>
        <w:rPr>
          <w:szCs w:val="22"/>
        </w:rPr>
      </w:pPr>
    </w:p>
    <w:p w:rsidR="00B94736" w:rsidRPr="00814F28" w:rsidRDefault="00B94736" w:rsidP="0083342A">
      <w:pPr>
        <w:jc w:val="both"/>
        <w:rPr>
          <w:szCs w:val="22"/>
        </w:rPr>
      </w:pPr>
      <w:r w:rsidRPr="00814F28">
        <w:rPr>
          <w:szCs w:val="22"/>
        </w:rPr>
        <w:t>Global Partnership for Effe</w:t>
      </w:r>
      <w:r w:rsidR="00F431BC">
        <w:rPr>
          <w:szCs w:val="22"/>
        </w:rPr>
        <w:t>ctive Development Co-operation, 2014, ‘</w:t>
      </w:r>
      <w:r w:rsidR="00F431BC" w:rsidRPr="00814F28">
        <w:rPr>
          <w:szCs w:val="22"/>
        </w:rPr>
        <w:t>Partnering for effective taxation and domestic resource mobilisation for development</w:t>
      </w:r>
      <w:r w:rsidR="00F431BC">
        <w:rPr>
          <w:szCs w:val="22"/>
        </w:rPr>
        <w:t>’, Issue Paper Plenary 2,</w:t>
      </w:r>
      <w:r w:rsidR="00F431BC" w:rsidRPr="00814F28">
        <w:rPr>
          <w:szCs w:val="22"/>
        </w:rPr>
        <w:t xml:space="preserve"> </w:t>
      </w:r>
      <w:r w:rsidR="00F431BC">
        <w:rPr>
          <w:szCs w:val="22"/>
        </w:rPr>
        <w:t>First</w:t>
      </w:r>
      <w:r w:rsidRPr="00814F28">
        <w:rPr>
          <w:szCs w:val="22"/>
        </w:rPr>
        <w:t xml:space="preserve"> High Level Meeti</w:t>
      </w:r>
      <w:r w:rsidR="00F431BC">
        <w:rPr>
          <w:szCs w:val="22"/>
        </w:rPr>
        <w:t xml:space="preserve">ng, April, Mexico City, accessed at </w:t>
      </w:r>
      <w:hyperlink r:id="rId21" w:history="1">
        <w:r w:rsidR="00F431BC" w:rsidRPr="004F1DCB">
          <w:rPr>
            <w:rStyle w:val="Hyperlink"/>
            <w:szCs w:val="22"/>
          </w:rPr>
          <w:t>http://effectivecooperation.org/wordpress/2533-2/</w:t>
        </w:r>
      </w:hyperlink>
      <w:r w:rsidR="00F431BC">
        <w:rPr>
          <w:szCs w:val="22"/>
        </w:rPr>
        <w:t>, last accessed 20 November 2015.</w:t>
      </w:r>
    </w:p>
    <w:p w:rsidR="001F05CF" w:rsidRDefault="001F05CF" w:rsidP="001F05CF">
      <w:pPr>
        <w:jc w:val="both"/>
        <w:rPr>
          <w:rFonts w:cstheme="minorHAnsi"/>
          <w:szCs w:val="22"/>
        </w:rPr>
      </w:pPr>
    </w:p>
    <w:p w:rsidR="001F05CF" w:rsidRPr="001F05CF" w:rsidRDefault="001F05CF" w:rsidP="001F05CF">
      <w:pPr>
        <w:jc w:val="both"/>
        <w:rPr>
          <w:rStyle w:val="Hyperlink"/>
          <w:u w:val="none"/>
        </w:rPr>
      </w:pPr>
      <w:r>
        <w:rPr>
          <w:rFonts w:cstheme="minorHAnsi"/>
          <w:szCs w:val="22"/>
        </w:rPr>
        <w:t>GTZ, 2015,</w:t>
      </w:r>
      <w:r w:rsidRPr="00980146">
        <w:rPr>
          <w:rFonts w:cstheme="minorHAnsi"/>
          <w:szCs w:val="22"/>
        </w:rPr>
        <w:t xml:space="preserve"> </w:t>
      </w:r>
      <w:r>
        <w:rPr>
          <w:rFonts w:cstheme="minorHAnsi"/>
          <w:szCs w:val="22"/>
        </w:rPr>
        <w:t xml:space="preserve">‘Gender &amp; Taxation: </w:t>
      </w:r>
      <w:r w:rsidRPr="00980146">
        <w:rPr>
          <w:rFonts w:cstheme="minorHAnsi"/>
          <w:szCs w:val="22"/>
        </w:rPr>
        <w:t>Why care abou</w:t>
      </w:r>
      <w:r>
        <w:rPr>
          <w:rFonts w:cstheme="minorHAnsi"/>
          <w:szCs w:val="22"/>
        </w:rPr>
        <w:t>t taxation and gender equality?</w:t>
      </w:r>
      <w:proofErr w:type="gramStart"/>
      <w:r>
        <w:rPr>
          <w:rFonts w:cstheme="minorHAnsi"/>
          <w:szCs w:val="22"/>
        </w:rPr>
        <w:t>’,</w:t>
      </w:r>
      <w:proofErr w:type="gramEnd"/>
      <w:r>
        <w:rPr>
          <w:rFonts w:cstheme="minorHAnsi"/>
          <w:szCs w:val="22"/>
        </w:rPr>
        <w:t xml:space="preserve"> Governance and Democracy Division, accessed at </w:t>
      </w:r>
      <w:hyperlink r:id="rId22" w:history="1">
        <w:r w:rsidRPr="00980146">
          <w:rPr>
            <w:rStyle w:val="Hyperlink"/>
            <w:szCs w:val="22"/>
          </w:rPr>
          <w:t>www.oecd.org/dac/gender-development/44896295.pdf</w:t>
        </w:r>
      </w:hyperlink>
      <w:r w:rsidRPr="001F05CF">
        <w:rPr>
          <w:rStyle w:val="Hyperlink"/>
          <w:color w:val="auto"/>
          <w:szCs w:val="22"/>
          <w:u w:val="none"/>
        </w:rPr>
        <w:t>,</w:t>
      </w:r>
      <w:r w:rsidRPr="001F05CF">
        <w:rPr>
          <w:rStyle w:val="Hyperlink"/>
          <w:szCs w:val="22"/>
          <w:u w:val="none"/>
        </w:rPr>
        <w:t xml:space="preserve"> </w:t>
      </w:r>
      <w:r w:rsidRPr="001F05CF">
        <w:rPr>
          <w:rStyle w:val="Hyperlink"/>
          <w:color w:val="auto"/>
          <w:szCs w:val="22"/>
          <w:u w:val="none"/>
        </w:rPr>
        <w:t xml:space="preserve">last accessed 23 November 2015. </w:t>
      </w:r>
      <w:r w:rsidRPr="001F05CF">
        <w:rPr>
          <w:rStyle w:val="Hyperlink"/>
          <w:i/>
          <w:iCs/>
          <w:color w:val="auto"/>
          <w:szCs w:val="22"/>
          <w:u w:val="none"/>
        </w:rPr>
        <w:t xml:space="preserve"> </w:t>
      </w:r>
    </w:p>
    <w:p w:rsidR="001F05CF" w:rsidRPr="001F05CF" w:rsidRDefault="001F05CF" w:rsidP="001F05CF">
      <w:pPr>
        <w:jc w:val="both"/>
        <w:rPr>
          <w:rFonts w:cstheme="minorHAnsi"/>
          <w:szCs w:val="22"/>
        </w:rPr>
      </w:pPr>
    </w:p>
    <w:p w:rsidR="001F05CF" w:rsidRDefault="001F05CF" w:rsidP="001F05CF">
      <w:pPr>
        <w:jc w:val="both"/>
        <w:rPr>
          <w:rFonts w:cstheme="minorHAnsi"/>
          <w:szCs w:val="22"/>
        </w:rPr>
      </w:pPr>
      <w:r w:rsidRPr="00814F28">
        <w:rPr>
          <w:rFonts w:cstheme="minorHAnsi"/>
          <w:szCs w:val="22"/>
        </w:rPr>
        <w:t>Humphreys, M</w:t>
      </w:r>
      <w:r>
        <w:rPr>
          <w:rFonts w:cstheme="minorHAnsi"/>
          <w:szCs w:val="22"/>
        </w:rPr>
        <w:t>.,</w:t>
      </w:r>
      <w:r w:rsidRPr="00814F28">
        <w:rPr>
          <w:rFonts w:cstheme="minorHAnsi"/>
          <w:szCs w:val="22"/>
        </w:rPr>
        <w:t xml:space="preserve"> Sachs, J</w:t>
      </w:r>
      <w:r>
        <w:rPr>
          <w:rFonts w:cstheme="minorHAnsi"/>
          <w:szCs w:val="22"/>
        </w:rPr>
        <w:t>. and Stiglitz, J. (</w:t>
      </w:r>
      <w:proofErr w:type="spellStart"/>
      <w:proofErr w:type="gramStart"/>
      <w:r>
        <w:rPr>
          <w:rFonts w:cstheme="minorHAnsi"/>
          <w:szCs w:val="22"/>
        </w:rPr>
        <w:t>eds</w:t>
      </w:r>
      <w:proofErr w:type="spellEnd"/>
      <w:proofErr w:type="gramEnd"/>
      <w:r>
        <w:rPr>
          <w:rFonts w:cstheme="minorHAnsi"/>
          <w:szCs w:val="22"/>
        </w:rPr>
        <w:t xml:space="preserve">), </w:t>
      </w:r>
      <w:r w:rsidRPr="00814F28">
        <w:rPr>
          <w:rFonts w:cstheme="minorHAnsi"/>
          <w:szCs w:val="22"/>
        </w:rPr>
        <w:t xml:space="preserve">2007, </w:t>
      </w:r>
      <w:r>
        <w:rPr>
          <w:rFonts w:cstheme="minorHAnsi"/>
          <w:i/>
          <w:szCs w:val="22"/>
        </w:rPr>
        <w:t>Escaping the Resource C</w:t>
      </w:r>
      <w:r w:rsidRPr="00980146">
        <w:rPr>
          <w:rFonts w:cstheme="minorHAnsi"/>
          <w:i/>
          <w:szCs w:val="22"/>
        </w:rPr>
        <w:t>urse</w:t>
      </w:r>
      <w:r>
        <w:rPr>
          <w:rFonts w:cstheme="minorHAnsi"/>
          <w:szCs w:val="22"/>
        </w:rPr>
        <w:t>, Columbia University Press, New York.</w:t>
      </w:r>
    </w:p>
    <w:p w:rsidR="00B94736" w:rsidRPr="00814F28" w:rsidRDefault="00B94736" w:rsidP="0083342A">
      <w:pPr>
        <w:jc w:val="both"/>
        <w:rPr>
          <w:szCs w:val="22"/>
        </w:rPr>
      </w:pPr>
    </w:p>
    <w:p w:rsidR="005F040D" w:rsidRPr="001F05CF" w:rsidRDefault="005F040D" w:rsidP="0083342A">
      <w:pPr>
        <w:jc w:val="both"/>
        <w:rPr>
          <w:szCs w:val="22"/>
        </w:rPr>
      </w:pPr>
      <w:proofErr w:type="gramStart"/>
      <w:r>
        <w:rPr>
          <w:szCs w:val="22"/>
        </w:rPr>
        <w:lastRenderedPageBreak/>
        <w:t xml:space="preserve">ITC, </w:t>
      </w:r>
      <w:r w:rsidRPr="00814F28">
        <w:rPr>
          <w:szCs w:val="22"/>
        </w:rPr>
        <w:t>2013</w:t>
      </w:r>
      <w:r>
        <w:rPr>
          <w:szCs w:val="22"/>
        </w:rPr>
        <w:t>, ‘</w:t>
      </w:r>
      <w:r w:rsidRPr="00814F28">
        <w:rPr>
          <w:szCs w:val="22"/>
        </w:rPr>
        <w:t>Aid Modalitie</w:t>
      </w:r>
      <w:r>
        <w:rPr>
          <w:szCs w:val="22"/>
        </w:rPr>
        <w:t>s for Strengthening Tax Systems</w:t>
      </w:r>
      <w:r w:rsidR="001F05CF">
        <w:rPr>
          <w:szCs w:val="22"/>
        </w:rPr>
        <w:t>’</w:t>
      </w:r>
      <w:r w:rsidRPr="00814F28">
        <w:rPr>
          <w:szCs w:val="22"/>
        </w:rPr>
        <w:t xml:space="preserve">, International Tax Compact study document, </w:t>
      </w:r>
      <w:r>
        <w:rPr>
          <w:szCs w:val="22"/>
        </w:rPr>
        <w:t xml:space="preserve">accessed at </w:t>
      </w:r>
      <w:hyperlink r:id="rId23" w:history="1">
        <w:r w:rsidRPr="00814F28">
          <w:rPr>
            <w:rStyle w:val="Hyperlink"/>
            <w:szCs w:val="22"/>
          </w:rPr>
          <w:t>http://www.taxcompact.net/documents/ITC_2013-07_Aid-Modalities.pdf</w:t>
        </w:r>
      </w:hyperlink>
      <w:r w:rsidRPr="001F05CF">
        <w:rPr>
          <w:rStyle w:val="Hyperlink"/>
          <w:color w:val="auto"/>
          <w:szCs w:val="22"/>
        </w:rPr>
        <w:t>,</w:t>
      </w:r>
      <w:r w:rsidRPr="001F05CF">
        <w:rPr>
          <w:rStyle w:val="Hyperlink"/>
          <w:szCs w:val="22"/>
          <w:u w:val="none"/>
        </w:rPr>
        <w:t xml:space="preserve"> </w:t>
      </w:r>
      <w:r w:rsidRPr="001F05CF">
        <w:rPr>
          <w:rStyle w:val="Hyperlink"/>
          <w:color w:val="auto"/>
          <w:szCs w:val="22"/>
          <w:u w:val="none"/>
        </w:rPr>
        <w:t>last accessed 26 November 2015.</w:t>
      </w:r>
      <w:proofErr w:type="gramEnd"/>
    </w:p>
    <w:p w:rsidR="00980146" w:rsidRDefault="00980146" w:rsidP="0083342A">
      <w:pPr>
        <w:jc w:val="both"/>
        <w:rPr>
          <w:szCs w:val="22"/>
        </w:rPr>
      </w:pPr>
    </w:p>
    <w:p w:rsidR="00346EE7" w:rsidRDefault="00FA6739" w:rsidP="0083342A">
      <w:pPr>
        <w:jc w:val="both"/>
        <w:rPr>
          <w:szCs w:val="22"/>
        </w:rPr>
      </w:pPr>
      <w:r>
        <w:rPr>
          <w:szCs w:val="22"/>
        </w:rPr>
        <w:t>IMF, 2015</w:t>
      </w:r>
      <w:r w:rsidR="00346EE7">
        <w:rPr>
          <w:szCs w:val="22"/>
        </w:rPr>
        <w:t xml:space="preserve">, </w:t>
      </w:r>
      <w:r w:rsidR="001F05CF">
        <w:rPr>
          <w:szCs w:val="22"/>
        </w:rPr>
        <w:t>‘</w:t>
      </w:r>
      <w:r w:rsidR="00346EE7">
        <w:rPr>
          <w:szCs w:val="22"/>
        </w:rPr>
        <w:t>Samoa: 2015 Article IV Consultation</w:t>
      </w:r>
      <w:r w:rsidR="001F05CF">
        <w:rPr>
          <w:szCs w:val="22"/>
        </w:rPr>
        <w:t>’</w:t>
      </w:r>
      <w:r w:rsidR="00346EE7">
        <w:rPr>
          <w:szCs w:val="22"/>
        </w:rPr>
        <w:t>, IMF Country Report No. 15/191, July.</w:t>
      </w:r>
    </w:p>
    <w:p w:rsidR="00323967" w:rsidRDefault="00323967" w:rsidP="0083342A">
      <w:pPr>
        <w:jc w:val="both"/>
        <w:rPr>
          <w:szCs w:val="22"/>
        </w:rPr>
      </w:pPr>
    </w:p>
    <w:p w:rsidR="00323967" w:rsidRPr="00D6286E" w:rsidRDefault="00323967" w:rsidP="0083342A">
      <w:pPr>
        <w:jc w:val="both"/>
      </w:pPr>
      <w:r>
        <w:t>——, 2014, ‘</w:t>
      </w:r>
      <w:proofErr w:type="spellStart"/>
      <w:r>
        <w:t>Spillovers</w:t>
      </w:r>
      <w:proofErr w:type="spellEnd"/>
      <w:r>
        <w:t xml:space="preserve"> in International Corporate Taxation’, IMF Policy Paper, May, accessed at </w:t>
      </w:r>
      <w:hyperlink r:id="rId24" w:history="1">
        <w:r w:rsidRPr="00D6286E">
          <w:rPr>
            <w:rStyle w:val="Hyperlink"/>
          </w:rPr>
          <w:t>https://www.imf.org/external/np/pp/eng/2014/050914.pdf</w:t>
        </w:r>
      </w:hyperlink>
      <w:r>
        <w:t>, last accessed 26 November 2015.</w:t>
      </w:r>
    </w:p>
    <w:p w:rsidR="00346EE7" w:rsidRDefault="00346EE7" w:rsidP="0083342A">
      <w:pPr>
        <w:jc w:val="both"/>
      </w:pPr>
    </w:p>
    <w:p w:rsidR="00867C58" w:rsidRDefault="00FA6739" w:rsidP="0083342A">
      <w:pPr>
        <w:jc w:val="both"/>
      </w:pPr>
      <w:r>
        <w:t xml:space="preserve">——, </w:t>
      </w:r>
      <w:r w:rsidR="00867C58">
        <w:t>2005</w:t>
      </w:r>
      <w:r>
        <w:t>, ‘</w:t>
      </w:r>
      <w:r w:rsidR="00867C58">
        <w:t>Monetary and fiscal policy design issues in</w:t>
      </w:r>
      <w:r w:rsidR="001F05CF">
        <w:t xml:space="preserve"> low</w:t>
      </w:r>
      <w:r w:rsidR="001F05CF">
        <w:noBreakHyphen/>
      </w:r>
      <w:r>
        <w:t xml:space="preserve">income countries’, Policy Development and Review Department and the Fiscal Affairs Department, accessed at </w:t>
      </w:r>
      <w:hyperlink r:id="rId25" w:history="1">
        <w:r w:rsidRPr="00FA6739">
          <w:rPr>
            <w:rStyle w:val="Hyperlink"/>
            <w:rFonts w:eastAsiaTheme="majorEastAsia" w:cs="Arial"/>
          </w:rPr>
          <w:t>https://www.imf.org/external/np/pp/eng/2005/080805m.pdf</w:t>
        </w:r>
      </w:hyperlink>
      <w:r w:rsidRPr="00375E72">
        <w:t>,</w:t>
      </w:r>
      <w:r>
        <w:t xml:space="preserve"> last accessed 23 November 2015. </w:t>
      </w:r>
    </w:p>
    <w:p w:rsidR="00346EE7" w:rsidRDefault="00346EE7" w:rsidP="0083342A">
      <w:pPr>
        <w:jc w:val="both"/>
        <w:rPr>
          <w:rStyle w:val="Hyperlink"/>
          <w:szCs w:val="22"/>
        </w:rPr>
      </w:pPr>
    </w:p>
    <w:p w:rsidR="00FA6739" w:rsidRPr="001F05CF" w:rsidRDefault="00FA6739" w:rsidP="0083342A">
      <w:pPr>
        <w:jc w:val="both"/>
        <w:rPr>
          <w:rStyle w:val="Hyperlink"/>
          <w:color w:val="auto"/>
          <w:szCs w:val="22"/>
          <w:u w:val="none"/>
        </w:rPr>
      </w:pPr>
      <w:r>
        <w:rPr>
          <w:rFonts w:cstheme="minorHAnsi"/>
          <w:szCs w:val="22"/>
        </w:rPr>
        <w:t xml:space="preserve">——, OECD, UN and World Bank, </w:t>
      </w:r>
      <w:r w:rsidRPr="00814F28">
        <w:rPr>
          <w:rFonts w:cstheme="minorHAnsi"/>
          <w:szCs w:val="22"/>
        </w:rPr>
        <w:t>2014</w:t>
      </w:r>
      <w:r>
        <w:rPr>
          <w:rFonts w:cstheme="minorHAnsi"/>
          <w:szCs w:val="22"/>
        </w:rPr>
        <w:t>,</w:t>
      </w:r>
      <w:r w:rsidRPr="00814F28">
        <w:rPr>
          <w:rFonts w:cstheme="minorHAnsi"/>
          <w:szCs w:val="22"/>
        </w:rPr>
        <w:t xml:space="preserve"> </w:t>
      </w:r>
      <w:r>
        <w:rPr>
          <w:rFonts w:cstheme="minorHAnsi"/>
          <w:szCs w:val="22"/>
        </w:rPr>
        <w:t>‘Supporting the Development of More Effective Tax Systems: A report to the G-20 development working group by the IMF, OECD, UN and World Bank’, accessed at</w:t>
      </w:r>
      <w:r w:rsidRPr="00814F28">
        <w:rPr>
          <w:rFonts w:cstheme="minorHAnsi"/>
          <w:szCs w:val="22"/>
        </w:rPr>
        <w:t xml:space="preserve"> </w:t>
      </w:r>
      <w:hyperlink r:id="rId26" w:history="1">
        <w:r w:rsidRPr="00814F28">
          <w:rPr>
            <w:rStyle w:val="Hyperlink"/>
            <w:szCs w:val="22"/>
          </w:rPr>
          <w:t>https://www.imf.org/external/np/g20/pdf/110311.pdf</w:t>
        </w:r>
      </w:hyperlink>
      <w:r w:rsidRPr="00375E72">
        <w:rPr>
          <w:rStyle w:val="Hyperlink"/>
          <w:color w:val="auto"/>
          <w:szCs w:val="22"/>
          <w:u w:val="none"/>
        </w:rPr>
        <w:t>,</w:t>
      </w:r>
      <w:r w:rsidRPr="001F05CF">
        <w:rPr>
          <w:rStyle w:val="Hyperlink"/>
          <w:color w:val="auto"/>
          <w:szCs w:val="22"/>
          <w:u w:val="none"/>
        </w:rPr>
        <w:t xml:space="preserve"> last accessed 23 November 2015. </w:t>
      </w:r>
    </w:p>
    <w:p w:rsidR="00B94736" w:rsidRPr="001F05CF" w:rsidRDefault="00B94736" w:rsidP="0083342A">
      <w:pPr>
        <w:jc w:val="both"/>
        <w:rPr>
          <w:szCs w:val="22"/>
        </w:rPr>
      </w:pPr>
    </w:p>
    <w:p w:rsidR="00B94736" w:rsidRPr="00814F28" w:rsidRDefault="00FA6739" w:rsidP="0083342A">
      <w:pPr>
        <w:jc w:val="both"/>
        <w:rPr>
          <w:szCs w:val="22"/>
        </w:rPr>
      </w:pPr>
      <w:r>
        <w:rPr>
          <w:szCs w:val="22"/>
        </w:rPr>
        <w:t xml:space="preserve">ITC, </w:t>
      </w:r>
      <w:r w:rsidR="00B94736" w:rsidRPr="00814F28">
        <w:rPr>
          <w:szCs w:val="22"/>
        </w:rPr>
        <w:t>2013</w:t>
      </w:r>
      <w:r>
        <w:rPr>
          <w:szCs w:val="22"/>
        </w:rPr>
        <w:t xml:space="preserve">, ‘Tax and Development: </w:t>
      </w:r>
      <w:r w:rsidR="00B94736" w:rsidRPr="00814F28">
        <w:rPr>
          <w:szCs w:val="22"/>
        </w:rPr>
        <w:t>Aid Modalitie</w:t>
      </w:r>
      <w:r>
        <w:rPr>
          <w:szCs w:val="22"/>
        </w:rPr>
        <w:t xml:space="preserve">s for Strengthening Tax Systems’, accessed at </w:t>
      </w:r>
    </w:p>
    <w:p w:rsidR="00B94736" w:rsidRPr="001F05CF" w:rsidRDefault="00EF2D5C" w:rsidP="0083342A">
      <w:pPr>
        <w:jc w:val="both"/>
        <w:rPr>
          <w:szCs w:val="22"/>
        </w:rPr>
      </w:pPr>
      <w:hyperlink r:id="rId27" w:history="1">
        <w:r w:rsidR="00B94736" w:rsidRPr="00814F28">
          <w:rPr>
            <w:rStyle w:val="Hyperlink"/>
            <w:szCs w:val="22"/>
          </w:rPr>
          <w:t>http://www.taxcompact.net/documents/ITC_2013-07_Aid-Modalities.pdf</w:t>
        </w:r>
      </w:hyperlink>
      <w:r w:rsidR="00FA6739" w:rsidRPr="001F05CF">
        <w:rPr>
          <w:rStyle w:val="Hyperlink"/>
          <w:color w:val="auto"/>
          <w:szCs w:val="22"/>
          <w:u w:val="none"/>
        </w:rPr>
        <w:t xml:space="preserve">, last accessed 23 November 2015. </w:t>
      </w:r>
    </w:p>
    <w:p w:rsidR="0021789D" w:rsidRPr="00814F28" w:rsidRDefault="0021789D" w:rsidP="0083342A">
      <w:pPr>
        <w:jc w:val="both"/>
        <w:rPr>
          <w:szCs w:val="22"/>
        </w:rPr>
      </w:pPr>
    </w:p>
    <w:p w:rsidR="00152D23" w:rsidRDefault="00375E72" w:rsidP="0083342A">
      <w:pPr>
        <w:jc w:val="both"/>
        <w:rPr>
          <w:szCs w:val="22"/>
        </w:rPr>
      </w:pPr>
      <w:proofErr w:type="spellStart"/>
      <w:r>
        <w:rPr>
          <w:szCs w:val="22"/>
        </w:rPr>
        <w:t>Kar</w:t>
      </w:r>
      <w:proofErr w:type="spellEnd"/>
      <w:r>
        <w:rPr>
          <w:szCs w:val="22"/>
        </w:rPr>
        <w:t xml:space="preserve">, D. and </w:t>
      </w:r>
      <w:proofErr w:type="spellStart"/>
      <w:r>
        <w:rPr>
          <w:szCs w:val="22"/>
        </w:rPr>
        <w:t>Spanjers</w:t>
      </w:r>
      <w:proofErr w:type="spellEnd"/>
      <w:r>
        <w:rPr>
          <w:szCs w:val="22"/>
        </w:rPr>
        <w:t xml:space="preserve"> J., 2014,</w:t>
      </w:r>
      <w:r w:rsidR="00152D23">
        <w:rPr>
          <w:szCs w:val="22"/>
        </w:rPr>
        <w:t xml:space="preserve"> </w:t>
      </w:r>
      <w:r>
        <w:rPr>
          <w:szCs w:val="22"/>
        </w:rPr>
        <w:t>‘</w:t>
      </w:r>
      <w:r w:rsidR="00152D23">
        <w:rPr>
          <w:szCs w:val="22"/>
        </w:rPr>
        <w:t>Illicit Financial Flows from Developing Countries: 2003-2012</w:t>
      </w:r>
      <w:r>
        <w:rPr>
          <w:szCs w:val="22"/>
        </w:rPr>
        <w:t>’</w:t>
      </w:r>
      <w:r w:rsidR="00152D23">
        <w:rPr>
          <w:szCs w:val="22"/>
        </w:rPr>
        <w:t>, Global</w:t>
      </w:r>
      <w:r w:rsidR="00741AE1">
        <w:rPr>
          <w:szCs w:val="22"/>
        </w:rPr>
        <w:t xml:space="preserve"> Financial Integrity, December, accessed at </w:t>
      </w:r>
      <w:hyperlink r:id="rId28" w:history="1">
        <w:r w:rsidR="00741AE1" w:rsidRPr="008B0CF0">
          <w:rPr>
            <w:rStyle w:val="Hyperlink"/>
            <w:szCs w:val="22"/>
          </w:rPr>
          <w:t>http://www.gfintegrity.org/report/2014-global-report-illicit-financial-flows-from-developing-countries-2003-2012/</w:t>
        </w:r>
      </w:hyperlink>
      <w:r w:rsidR="00741AE1" w:rsidRPr="00375E72">
        <w:rPr>
          <w:szCs w:val="22"/>
        </w:rPr>
        <w:t>,</w:t>
      </w:r>
      <w:r w:rsidR="00741AE1">
        <w:rPr>
          <w:szCs w:val="22"/>
        </w:rPr>
        <w:t xml:space="preserve"> last accessed 23 November 2015.</w:t>
      </w:r>
    </w:p>
    <w:p w:rsidR="00296F9A" w:rsidRPr="00814F28" w:rsidRDefault="00296F9A" w:rsidP="0083342A">
      <w:pPr>
        <w:jc w:val="both"/>
        <w:rPr>
          <w:szCs w:val="22"/>
        </w:rPr>
      </w:pPr>
    </w:p>
    <w:p w:rsidR="00296F9A" w:rsidRPr="00814F28" w:rsidRDefault="00296F9A" w:rsidP="0083342A">
      <w:pPr>
        <w:jc w:val="both"/>
        <w:rPr>
          <w:szCs w:val="22"/>
        </w:rPr>
      </w:pPr>
      <w:r w:rsidRPr="00814F28">
        <w:rPr>
          <w:szCs w:val="22"/>
        </w:rPr>
        <w:t>Moore, M</w:t>
      </w:r>
      <w:r w:rsidR="00741AE1">
        <w:rPr>
          <w:szCs w:val="22"/>
        </w:rPr>
        <w:t>.</w:t>
      </w:r>
      <w:r w:rsidRPr="00814F28">
        <w:rPr>
          <w:szCs w:val="22"/>
        </w:rPr>
        <w:t xml:space="preserve">, </w:t>
      </w:r>
      <w:r w:rsidR="00741AE1">
        <w:rPr>
          <w:szCs w:val="22"/>
        </w:rPr>
        <w:t>2015, ‘</w:t>
      </w:r>
      <w:r w:rsidRPr="00814F28">
        <w:rPr>
          <w:szCs w:val="22"/>
        </w:rPr>
        <w:t>Obstacles to Increasing Tax Revenue in Low Income Countries</w:t>
      </w:r>
      <w:r w:rsidR="00741AE1">
        <w:rPr>
          <w:szCs w:val="22"/>
        </w:rPr>
        <w:t>’</w:t>
      </w:r>
      <w:r w:rsidRPr="00814F28">
        <w:rPr>
          <w:szCs w:val="22"/>
        </w:rPr>
        <w:t xml:space="preserve">, </w:t>
      </w:r>
      <w:r w:rsidR="00741AE1">
        <w:rPr>
          <w:szCs w:val="22"/>
        </w:rPr>
        <w:t xml:space="preserve">UNRISD Research Note, June, accessed at </w:t>
      </w:r>
      <w:hyperlink r:id="rId29" w:history="1">
        <w:r w:rsidR="00741AE1" w:rsidRPr="008B0CF0">
          <w:rPr>
            <w:rStyle w:val="Hyperlink"/>
            <w:szCs w:val="22"/>
          </w:rPr>
          <w:t>http://www.unrisd.org/80256B3C005BCCF9/search/CF60C28959BE2207C1257E5E0042AA7F?OpenDocument</w:t>
        </w:r>
      </w:hyperlink>
      <w:r w:rsidR="00741AE1" w:rsidRPr="00375E72">
        <w:rPr>
          <w:szCs w:val="22"/>
        </w:rPr>
        <w:t>,</w:t>
      </w:r>
      <w:r w:rsidR="00741AE1">
        <w:rPr>
          <w:szCs w:val="22"/>
        </w:rPr>
        <w:t xml:space="preserve"> last accessed 23 November 2015.</w:t>
      </w:r>
    </w:p>
    <w:p w:rsidR="00574BA0" w:rsidRPr="00814F28" w:rsidRDefault="00574BA0" w:rsidP="0083342A">
      <w:pPr>
        <w:jc w:val="both"/>
        <w:rPr>
          <w:szCs w:val="22"/>
        </w:rPr>
      </w:pPr>
    </w:p>
    <w:p w:rsidR="00B94736" w:rsidRPr="00814F28" w:rsidRDefault="00B94736" w:rsidP="0083342A">
      <w:pPr>
        <w:jc w:val="both"/>
        <w:rPr>
          <w:szCs w:val="22"/>
        </w:rPr>
      </w:pPr>
      <w:r w:rsidRPr="00814F28">
        <w:rPr>
          <w:szCs w:val="22"/>
        </w:rPr>
        <w:t>Moors, P</w:t>
      </w:r>
      <w:r w:rsidR="00375E72">
        <w:rPr>
          <w:szCs w:val="22"/>
        </w:rPr>
        <w:t>., 2014, ‘</w:t>
      </w:r>
      <w:r w:rsidR="00E810F7">
        <w:rPr>
          <w:szCs w:val="22"/>
        </w:rPr>
        <w:t xml:space="preserve">Using </w:t>
      </w:r>
      <w:r w:rsidRPr="00814F28">
        <w:rPr>
          <w:szCs w:val="22"/>
        </w:rPr>
        <w:t>dome</w:t>
      </w:r>
      <w:r w:rsidR="00E810F7">
        <w:rPr>
          <w:szCs w:val="22"/>
        </w:rPr>
        <w:t xml:space="preserve">stic revenue to build democracy’, Effective Development Cooperation Blog, September, accessed at </w:t>
      </w:r>
      <w:hyperlink r:id="rId30" w:history="1">
        <w:r w:rsidR="00E810F7" w:rsidRPr="008B0CF0">
          <w:rPr>
            <w:rStyle w:val="Hyperlink"/>
            <w:szCs w:val="22"/>
          </w:rPr>
          <w:t>http://devcooperation.org/2014/09/08/using domestic revenue to builddemocracy/</w:t>
        </w:r>
      </w:hyperlink>
      <w:r w:rsidR="00E810F7" w:rsidRPr="00375E72">
        <w:rPr>
          <w:szCs w:val="22"/>
        </w:rPr>
        <w:t>,</w:t>
      </w:r>
      <w:r w:rsidR="00E810F7">
        <w:rPr>
          <w:szCs w:val="22"/>
        </w:rPr>
        <w:t xml:space="preserve"> last accessed 23 November 2015.</w:t>
      </w:r>
    </w:p>
    <w:p w:rsidR="00B94736" w:rsidRPr="00814F28" w:rsidRDefault="00B94736" w:rsidP="0083342A">
      <w:pPr>
        <w:jc w:val="both"/>
        <w:rPr>
          <w:szCs w:val="22"/>
        </w:rPr>
      </w:pPr>
    </w:p>
    <w:p w:rsidR="00B94736" w:rsidRPr="00814F28" w:rsidRDefault="00375E72" w:rsidP="0083342A">
      <w:pPr>
        <w:jc w:val="both"/>
        <w:rPr>
          <w:szCs w:val="22"/>
        </w:rPr>
      </w:pPr>
      <w:r>
        <w:rPr>
          <w:szCs w:val="22"/>
        </w:rPr>
        <w:t>Morris, S.</w:t>
      </w:r>
      <w:r w:rsidR="00B94736" w:rsidRPr="00814F28">
        <w:rPr>
          <w:szCs w:val="22"/>
        </w:rPr>
        <w:t xml:space="preserve"> and </w:t>
      </w:r>
      <w:proofErr w:type="spellStart"/>
      <w:r w:rsidR="00B94736" w:rsidRPr="00814F28">
        <w:rPr>
          <w:szCs w:val="22"/>
        </w:rPr>
        <w:t>Gleave</w:t>
      </w:r>
      <w:proofErr w:type="spellEnd"/>
      <w:r w:rsidR="00B94736" w:rsidRPr="00814F28">
        <w:rPr>
          <w:szCs w:val="22"/>
        </w:rPr>
        <w:t>, M.</w:t>
      </w:r>
      <w:r w:rsidR="00E810F7">
        <w:rPr>
          <w:szCs w:val="22"/>
        </w:rPr>
        <w:t>, 2015,</w:t>
      </w:r>
      <w:r w:rsidR="00B94736" w:rsidRPr="00814F28">
        <w:rPr>
          <w:szCs w:val="22"/>
        </w:rPr>
        <w:t xml:space="preserve"> </w:t>
      </w:r>
      <w:r w:rsidR="00E810F7">
        <w:rPr>
          <w:szCs w:val="22"/>
        </w:rPr>
        <w:t>‘</w:t>
      </w:r>
      <w:r w:rsidR="00B94736" w:rsidRPr="00814F28">
        <w:rPr>
          <w:szCs w:val="22"/>
        </w:rPr>
        <w:t>The World Bank at 75</w:t>
      </w:r>
      <w:r w:rsidR="00E810F7">
        <w:rPr>
          <w:szCs w:val="22"/>
        </w:rPr>
        <w:t>’</w:t>
      </w:r>
      <w:r w:rsidR="00B94736" w:rsidRPr="00814F28">
        <w:rPr>
          <w:szCs w:val="22"/>
        </w:rPr>
        <w:t xml:space="preserve">, </w:t>
      </w:r>
      <w:r w:rsidR="00B94736" w:rsidRPr="00814F28">
        <w:rPr>
          <w:i/>
          <w:szCs w:val="22"/>
        </w:rPr>
        <w:t>CGD Policy Paper 058</w:t>
      </w:r>
      <w:r w:rsidR="001E42D2" w:rsidRPr="00814F28">
        <w:rPr>
          <w:szCs w:val="22"/>
        </w:rPr>
        <w:t xml:space="preserve">, </w:t>
      </w:r>
      <w:r w:rsidR="00286708" w:rsidRPr="00814F28">
        <w:rPr>
          <w:szCs w:val="22"/>
        </w:rPr>
        <w:t>Centre</w:t>
      </w:r>
      <w:r w:rsidR="001E42D2" w:rsidRPr="00814F28">
        <w:rPr>
          <w:szCs w:val="22"/>
        </w:rPr>
        <w:t xml:space="preserve"> for Global Development</w:t>
      </w:r>
      <w:r w:rsidR="00E32D4A">
        <w:rPr>
          <w:szCs w:val="22"/>
        </w:rPr>
        <w:t>.</w:t>
      </w:r>
    </w:p>
    <w:p w:rsidR="001E42D2" w:rsidRPr="00814F28" w:rsidRDefault="001E42D2" w:rsidP="0083342A">
      <w:pPr>
        <w:jc w:val="both"/>
        <w:rPr>
          <w:szCs w:val="22"/>
        </w:rPr>
      </w:pPr>
    </w:p>
    <w:p w:rsidR="001E42D2" w:rsidRPr="00814F28" w:rsidRDefault="001E42D2" w:rsidP="0083342A">
      <w:pPr>
        <w:jc w:val="both"/>
        <w:rPr>
          <w:rFonts w:cstheme="minorHAnsi"/>
          <w:szCs w:val="22"/>
        </w:rPr>
      </w:pPr>
      <w:r w:rsidRPr="00814F28">
        <w:rPr>
          <w:rFonts w:cstheme="minorHAnsi"/>
          <w:szCs w:val="22"/>
        </w:rPr>
        <w:t>Natural</w:t>
      </w:r>
      <w:r w:rsidR="00E810F7">
        <w:rPr>
          <w:rFonts w:cstheme="minorHAnsi"/>
          <w:szCs w:val="22"/>
        </w:rPr>
        <w:t xml:space="preserve"> Resource Governance </w:t>
      </w:r>
      <w:proofErr w:type="gramStart"/>
      <w:r w:rsidR="00E810F7">
        <w:rPr>
          <w:rFonts w:cstheme="minorHAnsi"/>
          <w:szCs w:val="22"/>
        </w:rPr>
        <w:t>Institute ,</w:t>
      </w:r>
      <w:proofErr w:type="gramEnd"/>
      <w:r w:rsidR="00E810F7">
        <w:rPr>
          <w:rFonts w:cstheme="minorHAnsi"/>
          <w:szCs w:val="22"/>
        </w:rPr>
        <w:t xml:space="preserve"> 2015,</w:t>
      </w:r>
      <w:r w:rsidRPr="00814F28">
        <w:rPr>
          <w:rFonts w:cstheme="minorHAnsi"/>
          <w:szCs w:val="22"/>
        </w:rPr>
        <w:t xml:space="preserve"> </w:t>
      </w:r>
      <w:r w:rsidR="00E810F7">
        <w:rPr>
          <w:rFonts w:cstheme="minorHAnsi"/>
          <w:szCs w:val="22"/>
        </w:rPr>
        <w:t>‘Getting a G</w:t>
      </w:r>
      <w:r w:rsidRPr="00814F28">
        <w:rPr>
          <w:rFonts w:cstheme="minorHAnsi"/>
          <w:szCs w:val="22"/>
        </w:rPr>
        <w:t>o</w:t>
      </w:r>
      <w:r w:rsidR="00E810F7">
        <w:rPr>
          <w:rFonts w:cstheme="minorHAnsi"/>
          <w:szCs w:val="22"/>
        </w:rPr>
        <w:t>od Deal from Oil, Gas and M</w:t>
      </w:r>
      <w:r w:rsidRPr="00814F28">
        <w:rPr>
          <w:rFonts w:cstheme="minorHAnsi"/>
          <w:szCs w:val="22"/>
        </w:rPr>
        <w:t>ining</w:t>
      </w:r>
      <w:r w:rsidR="00E810F7">
        <w:rPr>
          <w:rFonts w:cstheme="minorHAnsi"/>
          <w:szCs w:val="22"/>
        </w:rPr>
        <w:t xml:space="preserve">’, </w:t>
      </w:r>
      <w:r w:rsidRPr="00814F28">
        <w:rPr>
          <w:rFonts w:cstheme="minorHAnsi"/>
          <w:szCs w:val="22"/>
        </w:rPr>
        <w:t>Parliamentary Briefing</w:t>
      </w:r>
      <w:r w:rsidR="00E810F7">
        <w:rPr>
          <w:rFonts w:cstheme="minorHAnsi"/>
          <w:szCs w:val="22"/>
        </w:rPr>
        <w:t>,</w:t>
      </w:r>
      <w:r w:rsidRPr="00814F28">
        <w:rPr>
          <w:rFonts w:cstheme="minorHAnsi"/>
          <w:szCs w:val="22"/>
        </w:rPr>
        <w:t xml:space="preserve"> January</w:t>
      </w:r>
      <w:r w:rsidR="00E810F7">
        <w:rPr>
          <w:rFonts w:cstheme="minorHAnsi"/>
          <w:szCs w:val="22"/>
        </w:rPr>
        <w:t xml:space="preserve">, accessed at </w:t>
      </w:r>
      <w:hyperlink r:id="rId31" w:history="1">
        <w:r w:rsidRPr="00814F28">
          <w:rPr>
            <w:rStyle w:val="Hyperlink"/>
            <w:rFonts w:cstheme="minorHAnsi"/>
            <w:szCs w:val="22"/>
          </w:rPr>
          <w:t>http://www.resourcegovernance.org/sites/default/files/nrgi_FiscalRegime_20150311.pdf</w:t>
        </w:r>
      </w:hyperlink>
      <w:r w:rsidR="00E810F7" w:rsidRPr="00375E72">
        <w:rPr>
          <w:rFonts w:cstheme="minorHAnsi"/>
          <w:szCs w:val="22"/>
        </w:rPr>
        <w:t>,</w:t>
      </w:r>
      <w:r w:rsidR="00E810F7">
        <w:rPr>
          <w:rFonts w:cstheme="minorHAnsi"/>
          <w:szCs w:val="22"/>
        </w:rPr>
        <w:t xml:space="preserve"> last accessed 23 November 2015.</w:t>
      </w:r>
    </w:p>
    <w:p w:rsidR="00B94736" w:rsidRPr="00814F28" w:rsidRDefault="00B94736" w:rsidP="0083342A">
      <w:pPr>
        <w:jc w:val="both"/>
        <w:rPr>
          <w:szCs w:val="22"/>
        </w:rPr>
      </w:pPr>
    </w:p>
    <w:p w:rsidR="00FF72CC" w:rsidRPr="00814F28" w:rsidRDefault="00FF72CC" w:rsidP="0083342A">
      <w:pPr>
        <w:jc w:val="both"/>
        <w:rPr>
          <w:szCs w:val="22"/>
        </w:rPr>
      </w:pPr>
      <w:r w:rsidRPr="00814F28">
        <w:rPr>
          <w:szCs w:val="22"/>
        </w:rPr>
        <w:t>OECD, 2014</w:t>
      </w:r>
      <w:r w:rsidR="005E74E1">
        <w:rPr>
          <w:szCs w:val="22"/>
        </w:rPr>
        <w:t xml:space="preserve">a, </w:t>
      </w:r>
      <w:r w:rsidRPr="005E74E1">
        <w:rPr>
          <w:i/>
          <w:szCs w:val="22"/>
        </w:rPr>
        <w:t>Consumption Tax Trends 2014: VAT/GST and Excise Rates, Trends and Policy Issues</w:t>
      </w:r>
      <w:r>
        <w:rPr>
          <w:szCs w:val="22"/>
        </w:rPr>
        <w:t xml:space="preserve">, OECD Publishing, accessed at </w:t>
      </w:r>
      <w:hyperlink r:id="rId32" w:history="1">
        <w:r w:rsidRPr="008B0CF0">
          <w:rPr>
            <w:rStyle w:val="Hyperlink"/>
            <w:szCs w:val="22"/>
          </w:rPr>
          <w:t>http://dx.doi.org/10.1787/ctt-2014-en</w:t>
        </w:r>
      </w:hyperlink>
      <w:r>
        <w:rPr>
          <w:szCs w:val="22"/>
        </w:rPr>
        <w:t xml:space="preserve">, last accessed 23 November 2015. </w:t>
      </w:r>
    </w:p>
    <w:p w:rsidR="00FF72CC" w:rsidRDefault="00FF72CC" w:rsidP="0083342A">
      <w:pPr>
        <w:jc w:val="both"/>
        <w:rPr>
          <w:szCs w:val="22"/>
        </w:rPr>
      </w:pPr>
    </w:p>
    <w:p w:rsidR="00FF72CC" w:rsidRPr="00375E72" w:rsidRDefault="00451A09" w:rsidP="0083342A">
      <w:pPr>
        <w:jc w:val="both"/>
        <w:rPr>
          <w:rStyle w:val="HTMLCite"/>
          <w:rFonts w:ascii="Arial" w:eastAsiaTheme="majorEastAsia" w:hAnsi="Arial" w:cs="Arial"/>
          <w:i w:val="0"/>
          <w:color w:val="666666"/>
        </w:rPr>
      </w:pPr>
      <w:r>
        <w:rPr>
          <w:szCs w:val="22"/>
        </w:rPr>
        <w:t xml:space="preserve">——, 2014b, ‘Fragile States 2014: </w:t>
      </w:r>
      <w:r w:rsidR="00FF72CC">
        <w:rPr>
          <w:szCs w:val="22"/>
        </w:rPr>
        <w:t>Domestic Resource</w:t>
      </w:r>
      <w:r>
        <w:rPr>
          <w:szCs w:val="22"/>
        </w:rPr>
        <w:t xml:space="preserve"> Mobilisation in Fragile States’, OECD-DAC International Netwo</w:t>
      </w:r>
      <w:r w:rsidRPr="00451A09">
        <w:rPr>
          <w:szCs w:val="22"/>
        </w:rPr>
        <w:t xml:space="preserve">rk on Conflict and Fragility, accessed at </w:t>
      </w:r>
      <w:hyperlink r:id="rId33" w:history="1">
        <w:r w:rsidRPr="00375E72">
          <w:rPr>
            <w:rStyle w:val="Hyperlink"/>
            <w:rFonts w:eastAsiaTheme="majorEastAsia" w:cs="Arial"/>
          </w:rPr>
          <w:t>www.oecd.org/dac/governance-peace/conflictand</w:t>
        </w:r>
        <w:r w:rsidRPr="00375E72">
          <w:rPr>
            <w:rStyle w:val="Hyperlink"/>
            <w:rFonts w:eastAsiaTheme="majorEastAsia" w:cs="Arial"/>
            <w:bCs/>
          </w:rPr>
          <w:t>fragility</w:t>
        </w:r>
        <w:r w:rsidRPr="00375E72">
          <w:rPr>
            <w:rStyle w:val="Hyperlink"/>
            <w:rFonts w:eastAsiaTheme="majorEastAsia" w:cs="Arial"/>
          </w:rPr>
          <w:t>/.../FSR-</w:t>
        </w:r>
        <w:r w:rsidRPr="00375E72">
          <w:rPr>
            <w:rStyle w:val="Hyperlink"/>
            <w:rFonts w:eastAsiaTheme="majorEastAsia" w:cs="Arial"/>
            <w:bCs/>
          </w:rPr>
          <w:t>2014</w:t>
        </w:r>
        <w:r w:rsidRPr="00375E72">
          <w:rPr>
            <w:rStyle w:val="Hyperlink"/>
            <w:rFonts w:eastAsiaTheme="majorEastAsia" w:cs="Arial"/>
          </w:rPr>
          <w:t>.pdf</w:t>
        </w:r>
      </w:hyperlink>
      <w:r w:rsidRPr="00375E72">
        <w:rPr>
          <w:rStyle w:val="HTMLCite"/>
          <w:rFonts w:eastAsiaTheme="majorEastAsia" w:cs="Arial"/>
          <w:i w:val="0"/>
          <w:iCs w:val="0"/>
        </w:rPr>
        <w:t>,</w:t>
      </w:r>
      <w:r w:rsidR="00375E72">
        <w:rPr>
          <w:rStyle w:val="HTMLCite"/>
          <w:rFonts w:eastAsiaTheme="majorEastAsia" w:cs="Arial"/>
          <w:i w:val="0"/>
          <w:iCs w:val="0"/>
        </w:rPr>
        <w:t xml:space="preserve"> </w:t>
      </w:r>
      <w:r w:rsidRPr="00375E72">
        <w:rPr>
          <w:rStyle w:val="HTMLCite"/>
          <w:rFonts w:eastAsiaTheme="majorEastAsia" w:cs="Arial"/>
          <w:i w:val="0"/>
        </w:rPr>
        <w:t>last accessed 23 November 2015.</w:t>
      </w:r>
      <w:r w:rsidRPr="00375E72">
        <w:rPr>
          <w:rStyle w:val="HTMLCite"/>
          <w:rFonts w:ascii="Arial" w:eastAsiaTheme="majorEastAsia" w:hAnsi="Arial" w:cs="Arial"/>
          <w:i w:val="0"/>
          <w:color w:val="666666"/>
        </w:rPr>
        <w:t xml:space="preserve"> </w:t>
      </w:r>
    </w:p>
    <w:p w:rsidR="00323967" w:rsidRDefault="00323967" w:rsidP="0083342A">
      <w:pPr>
        <w:jc w:val="both"/>
        <w:rPr>
          <w:rStyle w:val="HTMLCite"/>
          <w:rFonts w:ascii="Arial" w:eastAsiaTheme="majorEastAsia" w:hAnsi="Arial" w:cs="Arial"/>
          <w:i w:val="0"/>
          <w:color w:val="666666"/>
        </w:rPr>
      </w:pPr>
    </w:p>
    <w:p w:rsidR="00323967" w:rsidRPr="00D6286E" w:rsidRDefault="00323967" w:rsidP="0083342A">
      <w:pPr>
        <w:jc w:val="both"/>
        <w:rPr>
          <w:szCs w:val="22"/>
        </w:rPr>
      </w:pPr>
      <w:r>
        <w:rPr>
          <w:szCs w:val="22"/>
        </w:rPr>
        <w:t>——, 2013, ‘</w:t>
      </w:r>
      <w:r w:rsidRPr="00323967">
        <w:rPr>
          <w:szCs w:val="22"/>
        </w:rPr>
        <w:t>Addressing Base Erosion and Profit Shifting</w:t>
      </w:r>
      <w:r>
        <w:rPr>
          <w:szCs w:val="22"/>
        </w:rPr>
        <w:t>’</w:t>
      </w:r>
      <w:r w:rsidRPr="00323967">
        <w:rPr>
          <w:szCs w:val="22"/>
        </w:rPr>
        <w:t>,</w:t>
      </w:r>
      <w:r>
        <w:rPr>
          <w:szCs w:val="22"/>
        </w:rPr>
        <w:t xml:space="preserve"> OECD Publishing, February, accessed at </w:t>
      </w:r>
      <w:hyperlink r:id="rId34" w:history="1">
        <w:r w:rsidRPr="00FB008A">
          <w:rPr>
            <w:rStyle w:val="Hyperlink"/>
            <w:szCs w:val="22"/>
          </w:rPr>
          <w:t>http://www.oecd.org/tax/addressing-base-erosion-and-profit-shifting-9789264192744-en.htm</w:t>
        </w:r>
      </w:hyperlink>
      <w:r>
        <w:rPr>
          <w:szCs w:val="22"/>
        </w:rPr>
        <w:t xml:space="preserve">, last accessed 26 November 2015. </w:t>
      </w:r>
      <w:r w:rsidRPr="00D6286E">
        <w:rPr>
          <w:i/>
          <w:szCs w:val="22"/>
        </w:rPr>
        <w:t xml:space="preserve"> </w:t>
      </w:r>
    </w:p>
    <w:p w:rsidR="00FF72CC" w:rsidRPr="00814F28" w:rsidRDefault="00FF72CC" w:rsidP="0083342A">
      <w:pPr>
        <w:jc w:val="both"/>
        <w:rPr>
          <w:szCs w:val="22"/>
        </w:rPr>
      </w:pPr>
    </w:p>
    <w:p w:rsidR="00B94736" w:rsidRPr="00814F28" w:rsidRDefault="00FF72CC" w:rsidP="0083342A">
      <w:pPr>
        <w:jc w:val="both"/>
        <w:rPr>
          <w:szCs w:val="22"/>
        </w:rPr>
      </w:pPr>
      <w:r>
        <w:rPr>
          <w:szCs w:val="22"/>
        </w:rPr>
        <w:t>——</w:t>
      </w:r>
      <w:r w:rsidR="00B94736" w:rsidRPr="00814F28">
        <w:rPr>
          <w:szCs w:val="22"/>
        </w:rPr>
        <w:t xml:space="preserve">, </w:t>
      </w:r>
      <w:r w:rsidR="00E810F7" w:rsidRPr="00FF72CC">
        <w:rPr>
          <w:szCs w:val="22"/>
        </w:rPr>
        <w:t>2012,</w:t>
      </w:r>
      <w:r w:rsidR="00B94736" w:rsidRPr="00FF72CC">
        <w:rPr>
          <w:szCs w:val="22"/>
        </w:rPr>
        <w:t xml:space="preserve"> </w:t>
      </w:r>
      <w:r w:rsidR="00E810F7" w:rsidRPr="00FF72CC">
        <w:rPr>
          <w:szCs w:val="22"/>
        </w:rPr>
        <w:t>‘</w:t>
      </w:r>
      <w:r w:rsidR="00B94736" w:rsidRPr="00FF72CC">
        <w:rPr>
          <w:szCs w:val="22"/>
        </w:rPr>
        <w:t>Lessons in Linking</w:t>
      </w:r>
      <w:r w:rsidR="00B94736" w:rsidRPr="00814F28">
        <w:rPr>
          <w:szCs w:val="22"/>
        </w:rPr>
        <w:t xml:space="preserve"> Sustainability and Development</w:t>
      </w:r>
      <w:r w:rsidR="00E810F7">
        <w:rPr>
          <w:szCs w:val="22"/>
        </w:rPr>
        <w:t xml:space="preserve">’, </w:t>
      </w:r>
      <w:r w:rsidR="00E810F7" w:rsidRPr="00814F28">
        <w:rPr>
          <w:szCs w:val="22"/>
        </w:rPr>
        <w:t>Development Cooperation Report</w:t>
      </w:r>
      <w:r w:rsidR="00E810F7">
        <w:rPr>
          <w:szCs w:val="22"/>
        </w:rPr>
        <w:t xml:space="preserve">, accessed at </w:t>
      </w:r>
    </w:p>
    <w:p w:rsidR="00EC5560" w:rsidRPr="00814F28" w:rsidRDefault="00EF2D5C" w:rsidP="0083342A">
      <w:pPr>
        <w:jc w:val="both"/>
        <w:rPr>
          <w:szCs w:val="22"/>
        </w:rPr>
      </w:pPr>
      <w:hyperlink r:id="rId35" w:history="1">
        <w:r w:rsidR="00B94736" w:rsidRPr="00814F28">
          <w:rPr>
            <w:rStyle w:val="Hyperlink"/>
            <w:szCs w:val="22"/>
          </w:rPr>
          <w:t>http://www.oecd.org/dac/DCR%20summary_EN.pdf</w:t>
        </w:r>
      </w:hyperlink>
      <w:r w:rsidR="00FF72CC" w:rsidRPr="00375E72">
        <w:rPr>
          <w:rStyle w:val="Hyperlink"/>
          <w:color w:val="auto"/>
          <w:szCs w:val="22"/>
          <w:u w:val="none"/>
        </w:rPr>
        <w:t>, last accessed 23 November 2015.</w:t>
      </w:r>
    </w:p>
    <w:p w:rsidR="00EC5560" w:rsidRDefault="00EC5560" w:rsidP="0083342A">
      <w:pPr>
        <w:jc w:val="both"/>
        <w:rPr>
          <w:szCs w:val="22"/>
        </w:rPr>
      </w:pPr>
    </w:p>
    <w:p w:rsidR="00FF72CC" w:rsidRPr="00814F28" w:rsidRDefault="00FF72CC" w:rsidP="0083342A">
      <w:pPr>
        <w:jc w:val="both"/>
        <w:rPr>
          <w:rStyle w:val="Hyperlink"/>
          <w:szCs w:val="22"/>
        </w:rPr>
      </w:pPr>
      <w:r>
        <w:rPr>
          <w:szCs w:val="22"/>
        </w:rPr>
        <w:t>——, 2008, ‘</w:t>
      </w:r>
      <w:r w:rsidRPr="00814F28">
        <w:rPr>
          <w:szCs w:val="22"/>
        </w:rPr>
        <w:t>Taxation and Aid for</w:t>
      </w:r>
      <w:r>
        <w:rPr>
          <w:szCs w:val="22"/>
        </w:rPr>
        <w:t xml:space="preserve"> Domestic Resource Mobilization’</w:t>
      </w:r>
      <w:r w:rsidRPr="00814F28">
        <w:rPr>
          <w:szCs w:val="22"/>
        </w:rPr>
        <w:t xml:space="preserve">, </w:t>
      </w:r>
      <w:r>
        <w:rPr>
          <w:szCs w:val="22"/>
        </w:rPr>
        <w:t xml:space="preserve">Topic Paper, accessed at </w:t>
      </w:r>
      <w:hyperlink r:id="rId36" w:history="1">
        <w:r w:rsidR="00B13EC1" w:rsidRPr="00F648A4">
          <w:rPr>
            <w:rStyle w:val="Hyperlink"/>
            <w:szCs w:val="22"/>
          </w:rPr>
          <w:t>https://www.google.com/url?q=http://www.oecd.org/site/devaeo10/44272298.pdf&amp;sa=U&amp;ei=s7wYVa30KouuyAS-t4HYAQ&amp;ved=0CAMQFjAA&amp;client=internal-uds-cse&amp;usg=AFQjCNFagy7bu4znobTA3fv0W2a81F3JoQ</w:t>
        </w:r>
      </w:hyperlink>
      <w:r w:rsidRPr="00375E72">
        <w:rPr>
          <w:rStyle w:val="Hyperlink"/>
          <w:color w:val="auto"/>
          <w:szCs w:val="22"/>
          <w:u w:val="none"/>
        </w:rPr>
        <w:t>, last accessed 23 November 2015.</w:t>
      </w:r>
    </w:p>
    <w:p w:rsidR="00FF72CC" w:rsidRPr="00814F28" w:rsidRDefault="00FF72CC" w:rsidP="0083342A">
      <w:pPr>
        <w:jc w:val="both"/>
        <w:rPr>
          <w:szCs w:val="22"/>
        </w:rPr>
      </w:pPr>
    </w:p>
    <w:p w:rsidR="001F05CF" w:rsidRPr="00814F28" w:rsidRDefault="001F05CF" w:rsidP="001F05CF">
      <w:pPr>
        <w:jc w:val="both"/>
        <w:rPr>
          <w:szCs w:val="22"/>
        </w:rPr>
      </w:pPr>
      <w:r>
        <w:rPr>
          <w:szCs w:val="22"/>
        </w:rPr>
        <w:t xml:space="preserve">Rao, S., 2014, ‘Tax Reform: Topic Guide’, GSDRC, Birmingham University, UK, accessed at, </w:t>
      </w:r>
      <w:hyperlink r:id="rId37" w:history="1">
        <w:r w:rsidRPr="00814F28">
          <w:rPr>
            <w:rStyle w:val="Hyperlink"/>
            <w:szCs w:val="22"/>
          </w:rPr>
          <w:t>http://www.gsdrc.org/go/topic-guides/tax-reform</w:t>
        </w:r>
      </w:hyperlink>
      <w:r>
        <w:rPr>
          <w:rStyle w:val="Hyperlink"/>
          <w:szCs w:val="22"/>
        </w:rPr>
        <w:t xml:space="preserve">, </w:t>
      </w:r>
      <w:r w:rsidRPr="001F05CF">
        <w:rPr>
          <w:rStyle w:val="Hyperlink"/>
          <w:color w:val="auto"/>
          <w:szCs w:val="22"/>
        </w:rPr>
        <w:t xml:space="preserve">last accessed 20 November 2015. </w:t>
      </w:r>
    </w:p>
    <w:p w:rsidR="001F05CF" w:rsidRDefault="001F05CF" w:rsidP="0083342A">
      <w:pPr>
        <w:jc w:val="both"/>
        <w:rPr>
          <w:szCs w:val="22"/>
        </w:rPr>
      </w:pPr>
    </w:p>
    <w:p w:rsidR="00B94736" w:rsidRPr="00814F28" w:rsidRDefault="00B94736" w:rsidP="0083342A">
      <w:pPr>
        <w:jc w:val="both"/>
        <w:rPr>
          <w:szCs w:val="22"/>
        </w:rPr>
      </w:pPr>
      <w:r w:rsidRPr="00814F28">
        <w:rPr>
          <w:szCs w:val="22"/>
        </w:rPr>
        <w:t>Savoy, C</w:t>
      </w:r>
      <w:r w:rsidR="005E74E1">
        <w:rPr>
          <w:szCs w:val="22"/>
        </w:rPr>
        <w:t xml:space="preserve">. </w:t>
      </w:r>
      <w:r w:rsidR="00CD3A05">
        <w:rPr>
          <w:szCs w:val="22"/>
        </w:rPr>
        <w:t>and Perkins, C</w:t>
      </w:r>
      <w:r w:rsidR="00CD3A05" w:rsidRPr="00CD3A05">
        <w:rPr>
          <w:szCs w:val="22"/>
        </w:rPr>
        <w:t xml:space="preserve">., </w:t>
      </w:r>
      <w:r w:rsidR="005E74E1" w:rsidRPr="00CD3A05">
        <w:rPr>
          <w:szCs w:val="22"/>
        </w:rPr>
        <w:t>2014, ‘</w:t>
      </w:r>
      <w:r w:rsidRPr="00CD3A05">
        <w:rPr>
          <w:szCs w:val="22"/>
        </w:rPr>
        <w:t>Taxes and Development</w:t>
      </w:r>
      <w:r w:rsidR="00CD3A05">
        <w:rPr>
          <w:szCs w:val="22"/>
        </w:rPr>
        <w:t>: Th</w:t>
      </w:r>
      <w:r w:rsidRPr="00CD3A05">
        <w:rPr>
          <w:szCs w:val="22"/>
        </w:rPr>
        <w:t>e</w:t>
      </w:r>
      <w:r w:rsidR="00CD3A05">
        <w:rPr>
          <w:szCs w:val="22"/>
        </w:rPr>
        <w:t xml:space="preserve"> P</w:t>
      </w:r>
      <w:r w:rsidRPr="00814F28">
        <w:rPr>
          <w:szCs w:val="22"/>
        </w:rPr>
        <w:t>romise o</w:t>
      </w:r>
      <w:r w:rsidR="00CD3A05">
        <w:rPr>
          <w:szCs w:val="22"/>
        </w:rPr>
        <w:t>f Domestic Resource Mobilization’</w:t>
      </w:r>
      <w:r w:rsidRPr="00814F28">
        <w:rPr>
          <w:szCs w:val="22"/>
        </w:rPr>
        <w:t xml:space="preserve">, </w:t>
      </w:r>
      <w:proofErr w:type="spellStart"/>
      <w:r w:rsidRPr="00814F28">
        <w:rPr>
          <w:szCs w:val="22"/>
        </w:rPr>
        <w:t>Center</w:t>
      </w:r>
      <w:proofErr w:type="spellEnd"/>
      <w:r w:rsidRPr="00814F28">
        <w:rPr>
          <w:szCs w:val="22"/>
        </w:rPr>
        <w:t xml:space="preserve"> for Strategic &amp; International Studies, </w:t>
      </w:r>
      <w:r w:rsidR="00CD3A05">
        <w:rPr>
          <w:szCs w:val="22"/>
        </w:rPr>
        <w:t xml:space="preserve">Rowman and Littlefield, December. </w:t>
      </w:r>
    </w:p>
    <w:p w:rsidR="00B13EC1" w:rsidRDefault="00B13EC1" w:rsidP="0083342A">
      <w:pPr>
        <w:jc w:val="both"/>
        <w:rPr>
          <w:szCs w:val="22"/>
        </w:rPr>
      </w:pPr>
    </w:p>
    <w:p w:rsidR="00321EFE" w:rsidRPr="00CD3A05" w:rsidRDefault="00321EFE" w:rsidP="0083342A">
      <w:pPr>
        <w:jc w:val="both"/>
        <w:rPr>
          <w:szCs w:val="22"/>
        </w:rPr>
      </w:pPr>
      <w:proofErr w:type="spellStart"/>
      <w:r w:rsidRPr="00CD3A05">
        <w:rPr>
          <w:szCs w:val="22"/>
        </w:rPr>
        <w:t>Strawson</w:t>
      </w:r>
      <w:proofErr w:type="spellEnd"/>
      <w:r w:rsidRPr="00CD3A05">
        <w:rPr>
          <w:szCs w:val="22"/>
        </w:rPr>
        <w:t>, T</w:t>
      </w:r>
      <w:r w:rsidR="00CD3A05" w:rsidRPr="00CD3A05">
        <w:rPr>
          <w:szCs w:val="22"/>
        </w:rPr>
        <w:t>. and</w:t>
      </w:r>
      <w:r w:rsidRPr="00CD3A05">
        <w:rPr>
          <w:szCs w:val="22"/>
        </w:rPr>
        <w:t xml:space="preserve"> </w:t>
      </w:r>
      <w:proofErr w:type="spellStart"/>
      <w:r w:rsidRPr="00CD3A05">
        <w:rPr>
          <w:szCs w:val="22"/>
        </w:rPr>
        <w:t>Guto</w:t>
      </w:r>
      <w:proofErr w:type="spellEnd"/>
      <w:r w:rsidRPr="00CD3A05">
        <w:rPr>
          <w:szCs w:val="22"/>
        </w:rPr>
        <w:t>, I</w:t>
      </w:r>
      <w:r w:rsidR="00CD3A05" w:rsidRPr="00CD3A05">
        <w:rPr>
          <w:szCs w:val="22"/>
        </w:rPr>
        <w:t>., 2014, ‘Aid for Domestic Resource Mobilisation: How Much Is There?</w:t>
      </w:r>
      <w:proofErr w:type="gramStart"/>
      <w:r w:rsidR="00375E72">
        <w:rPr>
          <w:szCs w:val="22"/>
        </w:rPr>
        <w:t>’</w:t>
      </w:r>
      <w:r w:rsidR="00CD3A05" w:rsidRPr="00CD3A05">
        <w:rPr>
          <w:szCs w:val="22"/>
        </w:rPr>
        <w:t>,</w:t>
      </w:r>
      <w:proofErr w:type="gramEnd"/>
      <w:r w:rsidR="00CD3A05" w:rsidRPr="00CD3A05">
        <w:rPr>
          <w:szCs w:val="22"/>
        </w:rPr>
        <w:t xml:space="preserve"> Briefing, Development Initiatives, accessed at</w:t>
      </w:r>
      <w:r w:rsidR="00CD3A05" w:rsidRPr="00B13EC1">
        <w:rPr>
          <w:szCs w:val="22"/>
        </w:rPr>
        <w:t xml:space="preserve"> </w:t>
      </w:r>
      <w:hyperlink r:id="rId38" w:history="1">
        <w:r w:rsidR="00CD3A05" w:rsidRPr="00375E72">
          <w:rPr>
            <w:rStyle w:val="Hyperlink"/>
          </w:rPr>
          <w:t>https://sustainabledevelopment.un.org/getWSDoc.php?id=4967</w:t>
        </w:r>
      </w:hyperlink>
      <w:r w:rsidR="00CD3A05" w:rsidRPr="00B13EC1">
        <w:rPr>
          <w:iCs/>
          <w:szCs w:val="22"/>
        </w:rPr>
        <w:t xml:space="preserve">, last accessed 23 November 2015. </w:t>
      </w:r>
    </w:p>
    <w:p w:rsidR="00C36D2B" w:rsidRPr="00D6286E" w:rsidRDefault="00C36D2B" w:rsidP="0083342A">
      <w:pPr>
        <w:jc w:val="both"/>
        <w:rPr>
          <w:szCs w:val="22"/>
        </w:rPr>
      </w:pPr>
    </w:p>
    <w:p w:rsidR="00C36D2B" w:rsidRPr="00D6286E" w:rsidRDefault="00C36D2B" w:rsidP="0083342A">
      <w:pPr>
        <w:jc w:val="both"/>
        <w:rPr>
          <w:szCs w:val="22"/>
        </w:rPr>
      </w:pPr>
      <w:r>
        <w:rPr>
          <w:szCs w:val="22"/>
        </w:rPr>
        <w:t xml:space="preserve">TADAT Secretariat, 2015, ‘Tax Administration Diagnostic Assessment Tool – Draft Field Guide’, Version 5.0, Prepared by the TADAT Secretariat, February, accessed at </w:t>
      </w:r>
      <w:hyperlink r:id="rId39" w:history="1">
        <w:r w:rsidRPr="00375E72">
          <w:rPr>
            <w:rStyle w:val="Hyperlink"/>
          </w:rPr>
          <w:t>www.tadat.org/files/TADAT_FieldGuide_V5.pdf</w:t>
        </w:r>
      </w:hyperlink>
      <w:r w:rsidRPr="00D6286E">
        <w:rPr>
          <w:szCs w:val="22"/>
        </w:rPr>
        <w:t>, last accessed 26 November 2015.</w:t>
      </w:r>
    </w:p>
    <w:p w:rsidR="00375E72" w:rsidRDefault="00375E72" w:rsidP="00375E72">
      <w:pPr>
        <w:jc w:val="both"/>
        <w:rPr>
          <w:szCs w:val="22"/>
        </w:rPr>
      </w:pPr>
    </w:p>
    <w:p w:rsidR="00375E72" w:rsidRDefault="00375E72" w:rsidP="00375E72">
      <w:pPr>
        <w:jc w:val="both"/>
        <w:rPr>
          <w:szCs w:val="22"/>
        </w:rPr>
      </w:pPr>
      <w:r>
        <w:rPr>
          <w:szCs w:val="22"/>
        </w:rPr>
        <w:t xml:space="preserve">United Nations, 2015, ‘Third International Conference on Financing for Development’, Ethiopia, July, accessed at </w:t>
      </w:r>
      <w:hyperlink r:id="rId40" w:history="1">
        <w:r w:rsidRPr="004B0C5D">
          <w:rPr>
            <w:rStyle w:val="Hyperlink"/>
            <w:szCs w:val="22"/>
          </w:rPr>
          <w:t>http://www.un.org/esa/ffd/ffd3/</w:t>
        </w:r>
      </w:hyperlink>
      <w:r>
        <w:rPr>
          <w:szCs w:val="22"/>
        </w:rPr>
        <w:t>, last accessed 17 November 2015.</w:t>
      </w:r>
    </w:p>
    <w:p w:rsidR="00574BA0" w:rsidRPr="00D6286E" w:rsidRDefault="00574BA0" w:rsidP="0083342A">
      <w:pPr>
        <w:jc w:val="both"/>
        <w:rPr>
          <w:szCs w:val="22"/>
        </w:rPr>
      </w:pPr>
    </w:p>
    <w:p w:rsidR="004B68E8" w:rsidRPr="00B9147A" w:rsidRDefault="004B68E8" w:rsidP="0083342A">
      <w:pPr>
        <w:spacing w:after="120"/>
        <w:jc w:val="both"/>
        <w:rPr>
          <w:rFonts w:cstheme="minorHAnsi"/>
          <w:i/>
          <w:szCs w:val="22"/>
        </w:rPr>
      </w:pPr>
      <w:r w:rsidRPr="00814F28">
        <w:rPr>
          <w:rFonts w:cstheme="minorHAnsi"/>
          <w:szCs w:val="22"/>
        </w:rPr>
        <w:t>World Bank</w:t>
      </w:r>
      <w:r w:rsidR="00CD3A05">
        <w:rPr>
          <w:rFonts w:cstheme="minorHAnsi"/>
          <w:szCs w:val="22"/>
        </w:rPr>
        <w:t xml:space="preserve">, </w:t>
      </w:r>
      <w:r w:rsidRPr="00814F28">
        <w:rPr>
          <w:rFonts w:cstheme="minorHAnsi"/>
          <w:szCs w:val="22"/>
        </w:rPr>
        <w:t>2014</w:t>
      </w:r>
      <w:r w:rsidR="00CD3A05">
        <w:rPr>
          <w:rFonts w:cstheme="minorHAnsi"/>
          <w:szCs w:val="22"/>
        </w:rPr>
        <w:t>,</w:t>
      </w:r>
      <w:r w:rsidRPr="00814F28">
        <w:rPr>
          <w:rFonts w:cstheme="minorHAnsi"/>
          <w:szCs w:val="22"/>
        </w:rPr>
        <w:t xml:space="preserve"> </w:t>
      </w:r>
      <w:r w:rsidR="00375E72">
        <w:rPr>
          <w:rFonts w:cstheme="minorHAnsi"/>
          <w:szCs w:val="22"/>
        </w:rPr>
        <w:t>‘</w:t>
      </w:r>
      <w:r w:rsidRPr="00814F28">
        <w:rPr>
          <w:rFonts w:cstheme="minorHAnsi"/>
          <w:szCs w:val="22"/>
        </w:rPr>
        <w:t>East Asia Pacific at Work: Employment</w:t>
      </w:r>
      <w:r w:rsidR="00B9147A">
        <w:rPr>
          <w:rFonts w:cstheme="minorHAnsi"/>
          <w:szCs w:val="22"/>
        </w:rPr>
        <w:t>,</w:t>
      </w:r>
      <w:r w:rsidRPr="00814F28">
        <w:rPr>
          <w:rFonts w:cstheme="minorHAnsi"/>
          <w:szCs w:val="22"/>
        </w:rPr>
        <w:t xml:space="preserve"> Enterprise and Well-being</w:t>
      </w:r>
      <w:r w:rsidR="00CD3A05">
        <w:rPr>
          <w:rFonts w:cstheme="minorHAnsi"/>
          <w:szCs w:val="22"/>
        </w:rPr>
        <w:t xml:space="preserve">’, </w:t>
      </w:r>
      <w:r w:rsidR="00B9147A">
        <w:rPr>
          <w:rFonts w:cstheme="minorHAnsi"/>
          <w:szCs w:val="22"/>
        </w:rPr>
        <w:t xml:space="preserve">World Bank East Asia and Pacific Regional Report, </w:t>
      </w:r>
      <w:r w:rsidR="00CD3A05" w:rsidRPr="00B9147A">
        <w:rPr>
          <w:rFonts w:cstheme="minorHAnsi"/>
          <w:szCs w:val="22"/>
        </w:rPr>
        <w:t xml:space="preserve">accessed at </w:t>
      </w:r>
      <w:hyperlink r:id="rId41" w:history="1">
        <w:r w:rsidR="00CD3A05" w:rsidRPr="00B9147A">
          <w:rPr>
            <w:rStyle w:val="Hyperlink"/>
            <w:rFonts w:eastAsiaTheme="majorEastAsia" w:cs="Arial"/>
          </w:rPr>
          <w:t>https://www.worldbank.org/.../</w:t>
        </w:r>
        <w:r w:rsidR="00CD3A05" w:rsidRPr="00B9147A">
          <w:rPr>
            <w:rStyle w:val="Hyperlink"/>
            <w:rFonts w:eastAsiaTheme="majorEastAsia" w:cs="Arial"/>
            <w:bCs/>
          </w:rPr>
          <w:t>east</w:t>
        </w:r>
        <w:r w:rsidR="00CD3A05" w:rsidRPr="00B9147A">
          <w:rPr>
            <w:rStyle w:val="Hyperlink"/>
            <w:rFonts w:eastAsiaTheme="majorEastAsia" w:cs="Arial"/>
          </w:rPr>
          <w:t>-</w:t>
        </w:r>
        <w:r w:rsidR="00CD3A05" w:rsidRPr="00B9147A">
          <w:rPr>
            <w:rStyle w:val="Hyperlink"/>
            <w:rFonts w:eastAsiaTheme="majorEastAsia" w:cs="Arial"/>
            <w:bCs/>
          </w:rPr>
          <w:t>asia</w:t>
        </w:r>
        <w:r w:rsidR="00CD3A05" w:rsidRPr="00B9147A">
          <w:rPr>
            <w:rStyle w:val="Hyperlink"/>
            <w:rFonts w:eastAsiaTheme="majorEastAsia" w:cs="Arial"/>
          </w:rPr>
          <w:t>-</w:t>
        </w:r>
        <w:r w:rsidR="00CD3A05" w:rsidRPr="00B9147A">
          <w:rPr>
            <w:rStyle w:val="Hyperlink"/>
            <w:rFonts w:eastAsiaTheme="majorEastAsia" w:cs="Arial"/>
            <w:bCs/>
          </w:rPr>
          <w:t>pacific-at-work</w:t>
        </w:r>
        <w:r w:rsidR="00CD3A05" w:rsidRPr="00B9147A">
          <w:rPr>
            <w:rStyle w:val="Hyperlink"/>
            <w:rFonts w:eastAsiaTheme="majorEastAsia" w:cs="Arial"/>
          </w:rPr>
          <w:t>-full-report.pdf</w:t>
        </w:r>
      </w:hyperlink>
      <w:r w:rsidR="00CD3A05" w:rsidRPr="00B9147A">
        <w:rPr>
          <w:rStyle w:val="HTMLCite"/>
          <w:rFonts w:eastAsiaTheme="majorEastAsia" w:cs="Arial"/>
        </w:rPr>
        <w:t xml:space="preserve">, </w:t>
      </w:r>
      <w:r w:rsidR="00CD3A05" w:rsidRPr="00B9147A">
        <w:rPr>
          <w:rStyle w:val="HTMLCite"/>
          <w:rFonts w:eastAsiaTheme="majorEastAsia" w:cs="Arial"/>
          <w:i w:val="0"/>
        </w:rPr>
        <w:t xml:space="preserve">last accessed 23 November 2015. </w:t>
      </w:r>
    </w:p>
    <w:p w:rsidR="004B68E8" w:rsidRDefault="004B68E8" w:rsidP="0083342A">
      <w:pPr>
        <w:spacing w:after="120"/>
        <w:jc w:val="both"/>
      </w:pPr>
    </w:p>
    <w:sectPr w:rsidR="004B68E8">
      <w:footerReference w:type="default" r:id="rId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D2" w:rsidRDefault="00752ED2" w:rsidP="00190DC7">
      <w:r>
        <w:separator/>
      </w:r>
    </w:p>
  </w:endnote>
  <w:endnote w:type="continuationSeparator" w:id="0">
    <w:p w:rsidR="00752ED2" w:rsidRDefault="00752ED2" w:rsidP="0019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HelveticaNeue-MediumCond">
    <w:altName w:val="HelveticaNeue MediumCon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D2" w:rsidRPr="0091071F" w:rsidRDefault="00752ED2" w:rsidP="00DF4B38">
    <w:pPr>
      <w:pStyle w:val="Footer"/>
    </w:pPr>
    <w:r w:rsidRPr="0091071F">
      <w:fldChar w:fldCharType="begin"/>
    </w:r>
    <w:r w:rsidRPr="0091071F">
      <w:instrText xml:space="preserve"> PAGE </w:instrText>
    </w:r>
    <w:r w:rsidRPr="0091071F">
      <w:fldChar w:fldCharType="separate"/>
    </w:r>
    <w:r>
      <w:rPr>
        <w:noProof/>
      </w:rPr>
      <w:t>2</w:t>
    </w:r>
    <w:r w:rsidRPr="0091071F">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EF2D5C">
      <w:rPr>
        <w:rFonts w:eastAsia="SimSun"/>
        <w:noProof/>
      </w:rPr>
      <w:t>Framework for supporting tax policy and administration through the aid program</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D2" w:rsidRPr="0091071F" w:rsidRDefault="00752ED2" w:rsidP="00DF4B38">
    <w:pPr>
      <w:pStyle w:val="Footer"/>
    </w:pPr>
    <w:r>
      <w:tab/>
    </w:r>
    <w:r>
      <w:tab/>
    </w:r>
    <w:r w:rsidR="00EF2D5C">
      <w:fldChar w:fldCharType="begin"/>
    </w:r>
    <w:r w:rsidR="00EF2D5C">
      <w:instrText xml:space="preserve"> STYLEREF Title \* MERGEFORMAT </w:instrText>
    </w:r>
    <w:r w:rsidR="00EF2D5C">
      <w:fldChar w:fldCharType="separate"/>
    </w:r>
    <w:r w:rsidR="00EF2D5C">
      <w:rPr>
        <w:noProof/>
      </w:rPr>
      <w:t>Framework for supporting tax policy and administration through the aid program</w:t>
    </w:r>
    <w:r w:rsidR="00EF2D5C">
      <w:rPr>
        <w:noProof/>
      </w:rPr>
      <w:fldChar w:fldCharType="end"/>
    </w:r>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Pr>
        <w:rStyle w:val="PageNumber"/>
        <w:rFonts w:ascii="Helvetica" w:hAnsi="Helvetica"/>
        <w:noProof/>
        <w:color w:val="3E3935"/>
      </w:rPr>
      <w:t>3</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91555"/>
      <w:docPartObj>
        <w:docPartGallery w:val="Page Numbers (Bottom of Page)"/>
        <w:docPartUnique/>
      </w:docPartObj>
    </w:sdtPr>
    <w:sdtEndPr>
      <w:rPr>
        <w:noProof/>
      </w:rPr>
    </w:sdtEndPr>
    <w:sdtContent>
      <w:p w:rsidR="00752ED2" w:rsidRDefault="00752ED2">
        <w:pPr>
          <w:pStyle w:val="Footer"/>
          <w:jc w:val="right"/>
        </w:pPr>
        <w:r>
          <w:fldChar w:fldCharType="begin"/>
        </w:r>
        <w:r>
          <w:instrText xml:space="preserve"> PAGE   \* MERGEFORMAT </w:instrText>
        </w:r>
        <w:r>
          <w:fldChar w:fldCharType="separate"/>
        </w:r>
        <w:r w:rsidR="00EF2D5C">
          <w:rPr>
            <w:noProof/>
          </w:rPr>
          <w:t>15</w:t>
        </w:r>
        <w:r>
          <w:rPr>
            <w:noProof/>
          </w:rPr>
          <w:fldChar w:fldCharType="end"/>
        </w:r>
      </w:p>
    </w:sdtContent>
  </w:sdt>
  <w:p w:rsidR="00752ED2" w:rsidRDefault="00752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D2" w:rsidRDefault="00752ED2" w:rsidP="00190DC7">
      <w:r>
        <w:separator/>
      </w:r>
    </w:p>
  </w:footnote>
  <w:footnote w:type="continuationSeparator" w:id="0">
    <w:p w:rsidR="00752ED2" w:rsidRDefault="00752ED2" w:rsidP="00190DC7">
      <w:r>
        <w:continuationSeparator/>
      </w:r>
    </w:p>
  </w:footnote>
  <w:footnote w:id="1">
    <w:p w:rsidR="00752ED2" w:rsidRDefault="00752ED2" w:rsidP="00DF3DA9">
      <w:pPr>
        <w:pStyle w:val="FootnoteText"/>
      </w:pPr>
      <w:r>
        <w:rPr>
          <w:rStyle w:val="FootnoteReference"/>
        </w:rPr>
        <w:footnoteRef/>
      </w:r>
      <w:r>
        <w:t xml:space="preserve"> </w:t>
      </w:r>
      <w:r>
        <w:rPr>
          <w:szCs w:val="22"/>
        </w:rPr>
        <w:t>This</w:t>
      </w:r>
      <w:r w:rsidRPr="00606480">
        <w:rPr>
          <w:szCs w:val="22"/>
        </w:rPr>
        <w:t xml:space="preserve"> framework focusses on tax policy and administration, but domestic resource mobilisation </w:t>
      </w:r>
      <w:r>
        <w:rPr>
          <w:szCs w:val="22"/>
        </w:rPr>
        <w:t xml:space="preserve">(DRM) </w:t>
      </w:r>
      <w:r w:rsidRPr="00606480">
        <w:rPr>
          <w:szCs w:val="22"/>
        </w:rPr>
        <w:t>encompasses a broader range of issues, including building and maintaining a sustainable tax base (through both domestic and international reforms), raising non-tax government revenues, and mobilising financial resources of domestic households and firms</w:t>
      </w:r>
      <w:r>
        <w:rPr>
          <w:szCs w:val="22"/>
        </w:rPr>
        <w:t xml:space="preserve">. </w:t>
      </w:r>
    </w:p>
  </w:footnote>
  <w:footnote w:id="2">
    <w:p w:rsidR="00752ED2" w:rsidRPr="00666EC7" w:rsidRDefault="00752ED2" w:rsidP="001A114A">
      <w:pPr>
        <w:pStyle w:val="FootnoteText"/>
        <w:rPr>
          <w:szCs w:val="22"/>
        </w:rPr>
      </w:pPr>
      <w:r>
        <w:rPr>
          <w:rStyle w:val="FootnoteReference"/>
        </w:rPr>
        <w:footnoteRef/>
      </w:r>
      <w:r>
        <w:t xml:space="preserve"> </w:t>
      </w:r>
      <w:r w:rsidRPr="00666EC7">
        <w:rPr>
          <w:szCs w:val="22"/>
        </w:rPr>
        <w:t>DFAT (2015)</w:t>
      </w:r>
    </w:p>
  </w:footnote>
  <w:footnote w:id="3">
    <w:p w:rsidR="00752ED2" w:rsidRDefault="00752ED2">
      <w:pPr>
        <w:pStyle w:val="FootnoteText"/>
      </w:pPr>
      <w:r>
        <w:rPr>
          <w:rStyle w:val="FootnoteReference"/>
        </w:rPr>
        <w:footnoteRef/>
      </w:r>
      <w:r>
        <w:t xml:space="preserve"> </w:t>
      </w:r>
      <w:r w:rsidRPr="00DF40BA">
        <w:t>DFAT (2014) p.2</w:t>
      </w:r>
      <w:r>
        <w:t xml:space="preserve"> </w:t>
      </w:r>
    </w:p>
  </w:footnote>
  <w:footnote w:id="4">
    <w:p w:rsidR="00752ED2" w:rsidRPr="008221AF" w:rsidRDefault="00752ED2">
      <w:pPr>
        <w:pStyle w:val="FootnoteText"/>
      </w:pPr>
      <w:r w:rsidRPr="008221AF">
        <w:rPr>
          <w:rStyle w:val="FootnoteReference"/>
        </w:rPr>
        <w:footnoteRef/>
      </w:r>
      <w:r w:rsidRPr="008221AF">
        <w:t xml:space="preserve"> OECD (2014</w:t>
      </w:r>
      <w:r>
        <w:t>b</w:t>
      </w:r>
      <w:r w:rsidRPr="008221AF">
        <w:t>); Carnahan (2015)</w:t>
      </w:r>
    </w:p>
  </w:footnote>
  <w:footnote w:id="5">
    <w:p w:rsidR="00752ED2" w:rsidRDefault="00752ED2" w:rsidP="00767343">
      <w:pPr>
        <w:pStyle w:val="FootnoteText"/>
      </w:pPr>
      <w:r>
        <w:rPr>
          <w:rStyle w:val="FootnoteReference"/>
        </w:rPr>
        <w:footnoteRef/>
      </w:r>
      <w:r>
        <w:t xml:space="preserve"> Originally discussed in IMF (2005) but widely referenced in more recent literature. </w:t>
      </w:r>
    </w:p>
  </w:footnote>
  <w:footnote w:id="6">
    <w:p w:rsidR="00752ED2" w:rsidRDefault="00752ED2">
      <w:pPr>
        <w:pStyle w:val="FootnoteText"/>
      </w:pPr>
      <w:r>
        <w:rPr>
          <w:rStyle w:val="FootnoteReference"/>
        </w:rPr>
        <w:footnoteRef/>
      </w:r>
      <w:r>
        <w:t xml:space="preserve"> Carnahan (2015)</w:t>
      </w:r>
    </w:p>
  </w:footnote>
  <w:footnote w:id="7">
    <w:p w:rsidR="00752ED2" w:rsidRDefault="00752ED2">
      <w:pPr>
        <w:pStyle w:val="FootnoteText"/>
      </w:pPr>
      <w:r>
        <w:rPr>
          <w:rStyle w:val="FootnoteReference"/>
        </w:rPr>
        <w:footnoteRef/>
      </w:r>
      <w:r>
        <w:t xml:space="preserve"> </w:t>
      </w:r>
      <w:proofErr w:type="spellStart"/>
      <w:r>
        <w:t>Bridi</w:t>
      </w:r>
      <w:proofErr w:type="spellEnd"/>
      <w:r>
        <w:t xml:space="preserve"> (2010)</w:t>
      </w:r>
    </w:p>
  </w:footnote>
  <w:footnote w:id="8">
    <w:p w:rsidR="00752ED2" w:rsidRDefault="00752ED2">
      <w:pPr>
        <w:pStyle w:val="FootnoteText"/>
      </w:pPr>
      <w:r>
        <w:rPr>
          <w:rStyle w:val="FootnoteReference"/>
        </w:rPr>
        <w:footnoteRef/>
      </w:r>
      <w:r>
        <w:t xml:space="preserve"> GTZ (2015)</w:t>
      </w:r>
    </w:p>
  </w:footnote>
  <w:footnote w:id="9">
    <w:p w:rsidR="00752ED2" w:rsidRDefault="00752ED2" w:rsidP="00F21C3C">
      <w:pPr>
        <w:pStyle w:val="FootnoteText"/>
      </w:pPr>
      <w:r>
        <w:rPr>
          <w:rStyle w:val="FootnoteReference"/>
        </w:rPr>
        <w:footnoteRef/>
      </w:r>
      <w:r>
        <w:t xml:space="preserve"> Decisions about taxation policy in one country can impact on other jurisdictions resulting in “</w:t>
      </w:r>
      <w:proofErr w:type="spellStart"/>
      <w:r>
        <w:t>spillovers</w:t>
      </w:r>
      <w:proofErr w:type="spellEnd"/>
      <w:r>
        <w:t xml:space="preserve">”. These </w:t>
      </w:r>
      <w:proofErr w:type="spellStart"/>
      <w:r>
        <w:t>spillovers</w:t>
      </w:r>
      <w:proofErr w:type="spellEnd"/>
      <w:r>
        <w:t xml:space="preserve"> may negatively affect international capital flows, and corporate and income tax bases. In some cases, changes in one country’s policies can trigger excessive tax competition (in which countries compete to lower their tax rates to attract foreign investment), which in its extreme form can result in a “race to the bottom” where less revenue is collected overall (IMF (2014)). </w:t>
      </w:r>
    </w:p>
  </w:footnote>
  <w:footnote w:id="10">
    <w:p w:rsidR="00752ED2" w:rsidRDefault="00752ED2">
      <w:pPr>
        <w:pStyle w:val="FootnoteText"/>
      </w:pPr>
      <w:r>
        <w:rPr>
          <w:rStyle w:val="FootnoteReference"/>
        </w:rPr>
        <w:footnoteRef/>
      </w:r>
      <w:r>
        <w:t xml:space="preserve"> ITC (2013)</w:t>
      </w:r>
    </w:p>
  </w:footnote>
  <w:footnote w:id="11">
    <w:p w:rsidR="00752ED2" w:rsidRDefault="00752ED2">
      <w:pPr>
        <w:pStyle w:val="FootnoteText"/>
      </w:pPr>
      <w:r>
        <w:rPr>
          <w:rStyle w:val="FootnoteReference"/>
        </w:rPr>
        <w:footnoteRef/>
      </w:r>
      <w:r>
        <w:t xml:space="preserve"> There are 29 member countries in the DAC including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D2" w:rsidRPr="002D1433" w:rsidRDefault="00752ED2" w:rsidP="002D1433">
    <w:pPr>
      <w:pStyle w:val="Subtitle"/>
      <w:rPr>
        <w:sz w:val="20"/>
      </w:rPr>
    </w:pPr>
    <w:r w:rsidRPr="00984219">
      <w:rPr>
        <w:sz w:val="20"/>
      </w:rPr>
      <w:t>Framework for Supporting Tax Policy and Administration through the Aid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9CAF6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98EED8A"/>
    <w:lvl w:ilvl="0">
      <w:start w:val="1"/>
      <w:numFmt w:val="bullet"/>
      <w:lvlText w:val=""/>
      <w:lvlJc w:val="left"/>
      <w:pPr>
        <w:tabs>
          <w:tab w:val="num" w:pos="360"/>
        </w:tabs>
        <w:ind w:left="360" w:hanging="360"/>
      </w:pPr>
      <w:rPr>
        <w:rFonts w:ascii="Symbol" w:hAnsi="Symbol" w:hint="default"/>
      </w:rPr>
    </w:lvl>
  </w:abstractNum>
  <w:abstractNum w:abstractNumId="2">
    <w:nsid w:val="00382341"/>
    <w:multiLevelType w:val="hybridMultilevel"/>
    <w:tmpl w:val="EC96EA8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5E3876"/>
    <w:multiLevelType w:val="hybridMultilevel"/>
    <w:tmpl w:val="C55279B6"/>
    <w:lvl w:ilvl="0" w:tplc="F9F86ADA">
      <w:numFmt w:val="bullet"/>
      <w:lvlText w:val="-"/>
      <w:lvlJc w:val="left"/>
      <w:pPr>
        <w:ind w:left="420" w:hanging="360"/>
      </w:pPr>
      <w:rPr>
        <w:rFonts w:ascii="Cambria" w:eastAsiaTheme="majorEastAsia" w:hAnsi="Cambria" w:cstheme="maj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0EC01701"/>
    <w:multiLevelType w:val="hybridMultilevel"/>
    <w:tmpl w:val="71BCC3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242313A"/>
    <w:multiLevelType w:val="hybridMultilevel"/>
    <w:tmpl w:val="95CC3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1667FD"/>
    <w:multiLevelType w:val="hybridMultilevel"/>
    <w:tmpl w:val="512EE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2072A8"/>
    <w:multiLevelType w:val="hybridMultilevel"/>
    <w:tmpl w:val="FB103A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8">
    <w:nsid w:val="1A823303"/>
    <w:multiLevelType w:val="hybridMultilevel"/>
    <w:tmpl w:val="897246DA"/>
    <w:lvl w:ilvl="0" w:tplc="90FCBB70">
      <w:start w:val="1"/>
      <w:numFmt w:val="bullet"/>
      <w:lvlText w:val="&gt;"/>
      <w:lvlJc w:val="left"/>
      <w:pPr>
        <w:ind w:left="720" w:hanging="360"/>
      </w:pPr>
      <w:rPr>
        <w:rFonts w:ascii="Franklin Gothic Book" w:hAnsi="Franklin Gothic Book"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313FB6"/>
    <w:multiLevelType w:val="hybridMultilevel"/>
    <w:tmpl w:val="9E84B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D73C5A"/>
    <w:multiLevelType w:val="hybridMultilevel"/>
    <w:tmpl w:val="C1FA1CA6"/>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FE55867"/>
    <w:multiLevelType w:val="hybridMultilevel"/>
    <w:tmpl w:val="91366A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3011291"/>
    <w:multiLevelType w:val="hybridMultilevel"/>
    <w:tmpl w:val="4FB061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6505BC"/>
    <w:multiLevelType w:val="multilevel"/>
    <w:tmpl w:val="B292436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nsid w:val="2C306AD6"/>
    <w:multiLevelType w:val="hybridMultilevel"/>
    <w:tmpl w:val="E2B84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AB26C4"/>
    <w:multiLevelType w:val="hybridMultilevel"/>
    <w:tmpl w:val="B13E1B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B83026"/>
    <w:multiLevelType w:val="hybridMultilevel"/>
    <w:tmpl w:val="3A8672DA"/>
    <w:lvl w:ilvl="0" w:tplc="90FCBB70">
      <w:start w:val="1"/>
      <w:numFmt w:val="bullet"/>
      <w:lvlText w:val="&gt;"/>
      <w:lvlJc w:val="left"/>
      <w:pPr>
        <w:ind w:left="720" w:hanging="360"/>
      </w:pPr>
      <w:rPr>
        <w:rFonts w:ascii="Franklin Gothic Book" w:hAnsi="Franklin Gothic Book" w:hint="default"/>
        <w:b/>
      </w:rPr>
    </w:lvl>
    <w:lvl w:ilvl="1" w:tplc="2EEC75E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D65983"/>
    <w:multiLevelType w:val="hybridMultilevel"/>
    <w:tmpl w:val="43C66160"/>
    <w:lvl w:ilvl="0" w:tplc="C4E407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0C60D2"/>
    <w:multiLevelType w:val="hybridMultilevel"/>
    <w:tmpl w:val="91366A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4B11B5F"/>
    <w:multiLevelType w:val="hybridMultilevel"/>
    <w:tmpl w:val="B78295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6A81624"/>
    <w:multiLevelType w:val="hybridMultilevel"/>
    <w:tmpl w:val="16C4C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167193"/>
    <w:multiLevelType w:val="hybridMultilevel"/>
    <w:tmpl w:val="7C985C6C"/>
    <w:lvl w:ilvl="0" w:tplc="7400AF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A366069"/>
    <w:multiLevelType w:val="hybridMultilevel"/>
    <w:tmpl w:val="4F0E2A06"/>
    <w:lvl w:ilvl="0" w:tplc="A6E670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E24EFB"/>
    <w:multiLevelType w:val="hybridMultilevel"/>
    <w:tmpl w:val="7E9EFCBE"/>
    <w:lvl w:ilvl="0" w:tplc="8FF63638">
      <w:start w:val="1"/>
      <w:numFmt w:val="bullet"/>
      <w:lvlText w:val="-"/>
      <w:lvlJc w:val="left"/>
      <w:pPr>
        <w:ind w:left="1080" w:hanging="360"/>
      </w:pPr>
      <w:rPr>
        <w:rFonts w:ascii="Calibri" w:eastAsiaTheme="minorHAnsi" w:hAnsi="Calibri" w:cstheme="minorBidi" w:hint="default"/>
        <w:color w:val="00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42370A38"/>
    <w:multiLevelType w:val="hybridMultilevel"/>
    <w:tmpl w:val="CB62ECA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nsid w:val="468528C3"/>
    <w:multiLevelType w:val="hybridMultilevel"/>
    <w:tmpl w:val="0C00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96C76A9"/>
    <w:multiLevelType w:val="hybridMultilevel"/>
    <w:tmpl w:val="D412509A"/>
    <w:lvl w:ilvl="0" w:tplc="90FCBB70">
      <w:start w:val="1"/>
      <w:numFmt w:val="bullet"/>
      <w:lvlText w:val="&gt;"/>
      <w:lvlJc w:val="left"/>
      <w:pPr>
        <w:ind w:left="720" w:hanging="360"/>
      </w:pPr>
      <w:rPr>
        <w:rFonts w:ascii="Franklin Gothic Book" w:hAnsi="Franklin Gothic Book"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864C8A"/>
    <w:multiLevelType w:val="hybridMultilevel"/>
    <w:tmpl w:val="3C363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846A55"/>
    <w:multiLevelType w:val="hybridMultilevel"/>
    <w:tmpl w:val="AA225C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EF5507"/>
    <w:multiLevelType w:val="hybridMultilevel"/>
    <w:tmpl w:val="6944BE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4C605444"/>
    <w:multiLevelType w:val="hybridMultilevel"/>
    <w:tmpl w:val="0FC69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D1D27CB"/>
    <w:multiLevelType w:val="hybridMultilevel"/>
    <w:tmpl w:val="C3DEC858"/>
    <w:lvl w:ilvl="0" w:tplc="6AE202D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D77013F"/>
    <w:multiLevelType w:val="hybridMultilevel"/>
    <w:tmpl w:val="ECE491D4"/>
    <w:lvl w:ilvl="0" w:tplc="90FCBB70">
      <w:start w:val="1"/>
      <w:numFmt w:val="bullet"/>
      <w:lvlText w:val="&gt;"/>
      <w:lvlJc w:val="left"/>
      <w:pPr>
        <w:ind w:left="720" w:hanging="360"/>
      </w:pPr>
      <w:rPr>
        <w:rFonts w:ascii="Franklin Gothic Book" w:hAnsi="Franklin Gothic Book"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935036"/>
    <w:multiLevelType w:val="hybridMultilevel"/>
    <w:tmpl w:val="91366A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54574F5D"/>
    <w:multiLevelType w:val="hybridMultilevel"/>
    <w:tmpl w:val="AECC52B8"/>
    <w:lvl w:ilvl="0" w:tplc="7400AF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518337E"/>
    <w:multiLevelType w:val="hybridMultilevel"/>
    <w:tmpl w:val="A9BE4D56"/>
    <w:lvl w:ilvl="0" w:tplc="7C50A0C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950401"/>
    <w:multiLevelType w:val="hybridMultilevel"/>
    <w:tmpl w:val="8AD6C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0D3FB8"/>
    <w:multiLevelType w:val="hybridMultilevel"/>
    <w:tmpl w:val="5AB66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0F3025"/>
    <w:multiLevelType w:val="hybridMultilevel"/>
    <w:tmpl w:val="547C9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E7B6C71"/>
    <w:multiLevelType w:val="hybridMultilevel"/>
    <w:tmpl w:val="0400C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28A1B4D"/>
    <w:multiLevelType w:val="hybridMultilevel"/>
    <w:tmpl w:val="5596F19C"/>
    <w:lvl w:ilvl="0" w:tplc="581E1418">
      <w:start w:val="1"/>
      <w:numFmt w:val="decimal"/>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5262FF9"/>
    <w:multiLevelType w:val="hybridMultilevel"/>
    <w:tmpl w:val="38A43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9496769"/>
    <w:multiLevelType w:val="hybridMultilevel"/>
    <w:tmpl w:val="3DA67D92"/>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4FA7CC8"/>
    <w:multiLevelType w:val="hybridMultilevel"/>
    <w:tmpl w:val="AA62E806"/>
    <w:lvl w:ilvl="0" w:tplc="7400AF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5B150A3"/>
    <w:multiLevelType w:val="hybridMultilevel"/>
    <w:tmpl w:val="9FF02F12"/>
    <w:lvl w:ilvl="0" w:tplc="4A6C6D18">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B80A1C"/>
    <w:multiLevelType w:val="hybridMultilevel"/>
    <w:tmpl w:val="B02C2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43"/>
  </w:num>
  <w:num w:numId="3">
    <w:abstractNumId w:val="21"/>
  </w:num>
  <w:num w:numId="4">
    <w:abstractNumId w:val="39"/>
  </w:num>
  <w:num w:numId="5">
    <w:abstractNumId w:val="28"/>
  </w:num>
  <w:num w:numId="6">
    <w:abstractNumId w:val="45"/>
  </w:num>
  <w:num w:numId="7">
    <w:abstractNumId w:val="37"/>
  </w:num>
  <w:num w:numId="8">
    <w:abstractNumId w:val="20"/>
  </w:num>
  <w:num w:numId="9">
    <w:abstractNumId w:val="4"/>
  </w:num>
  <w:num w:numId="10">
    <w:abstractNumId w:val="5"/>
  </w:num>
  <w:num w:numId="11">
    <w:abstractNumId w:val="36"/>
  </w:num>
  <w:num w:numId="12">
    <w:abstractNumId w:val="22"/>
  </w:num>
  <w:num w:numId="13">
    <w:abstractNumId w:val="35"/>
  </w:num>
  <w:num w:numId="14">
    <w:abstractNumId w:val="17"/>
  </w:num>
  <w:num w:numId="15">
    <w:abstractNumId w:val="16"/>
  </w:num>
  <w:num w:numId="16">
    <w:abstractNumId w:val="23"/>
  </w:num>
  <w:num w:numId="17">
    <w:abstractNumId w:val="15"/>
  </w:num>
  <w:num w:numId="18">
    <w:abstractNumId w:val="12"/>
  </w:num>
  <w:num w:numId="19">
    <w:abstractNumId w:val="2"/>
  </w:num>
  <w:num w:numId="20">
    <w:abstractNumId w:val="10"/>
  </w:num>
  <w:num w:numId="21">
    <w:abstractNumId w:val="31"/>
  </w:num>
  <w:num w:numId="22">
    <w:abstractNumId w:val="41"/>
  </w:num>
  <w:num w:numId="23">
    <w:abstractNumId w:val="27"/>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1"/>
  </w:num>
  <w:num w:numId="29">
    <w:abstractNumId w:val="38"/>
  </w:num>
  <w:num w:numId="30">
    <w:abstractNumId w:val="19"/>
  </w:num>
  <w:num w:numId="31">
    <w:abstractNumId w:val="42"/>
  </w:num>
  <w:num w:numId="32">
    <w:abstractNumId w:val="6"/>
  </w:num>
  <w:num w:numId="33">
    <w:abstractNumId w:val="40"/>
  </w:num>
  <w:num w:numId="34">
    <w:abstractNumId w:val="9"/>
  </w:num>
  <w:num w:numId="35">
    <w:abstractNumId w:val="18"/>
  </w:num>
  <w:num w:numId="36">
    <w:abstractNumId w:val="25"/>
  </w:num>
  <w:num w:numId="37">
    <w:abstractNumId w:val="33"/>
  </w:num>
  <w:num w:numId="38">
    <w:abstractNumId w:val="44"/>
  </w:num>
  <w:num w:numId="39">
    <w:abstractNumId w:val="13"/>
  </w:num>
  <w:num w:numId="40">
    <w:abstractNumId w:val="14"/>
  </w:num>
  <w:num w:numId="41">
    <w:abstractNumId w:val="1"/>
  </w:num>
  <w:num w:numId="42">
    <w:abstractNumId w:val="0"/>
  </w:num>
  <w:num w:numId="43">
    <w:abstractNumId w:val="8"/>
  </w:num>
  <w:num w:numId="44">
    <w:abstractNumId w:val="32"/>
  </w:num>
  <w:num w:numId="45">
    <w:abstractNumId w:val="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3F"/>
    <w:rsid w:val="0000117A"/>
    <w:rsid w:val="000033F7"/>
    <w:rsid w:val="00007353"/>
    <w:rsid w:val="0001288D"/>
    <w:rsid w:val="000146D7"/>
    <w:rsid w:val="00020EBA"/>
    <w:rsid w:val="00021AA0"/>
    <w:rsid w:val="00021F92"/>
    <w:rsid w:val="00022DA7"/>
    <w:rsid w:val="000320CA"/>
    <w:rsid w:val="000377D1"/>
    <w:rsid w:val="00044B39"/>
    <w:rsid w:val="000511B3"/>
    <w:rsid w:val="00063643"/>
    <w:rsid w:val="0006767D"/>
    <w:rsid w:val="0007049B"/>
    <w:rsid w:val="0007095D"/>
    <w:rsid w:val="00075D2C"/>
    <w:rsid w:val="00076D2B"/>
    <w:rsid w:val="000805E4"/>
    <w:rsid w:val="00082965"/>
    <w:rsid w:val="00086428"/>
    <w:rsid w:val="00090104"/>
    <w:rsid w:val="0009760E"/>
    <w:rsid w:val="000A2916"/>
    <w:rsid w:val="000B045A"/>
    <w:rsid w:val="000B39A0"/>
    <w:rsid w:val="000B5E66"/>
    <w:rsid w:val="000B68F7"/>
    <w:rsid w:val="000B6F19"/>
    <w:rsid w:val="000C12E2"/>
    <w:rsid w:val="000C35BE"/>
    <w:rsid w:val="000C4EE8"/>
    <w:rsid w:val="000C7F82"/>
    <w:rsid w:val="000D4E82"/>
    <w:rsid w:val="000E7AD0"/>
    <w:rsid w:val="000F2E54"/>
    <w:rsid w:val="000F3925"/>
    <w:rsid w:val="000F3A0A"/>
    <w:rsid w:val="000F4C28"/>
    <w:rsid w:val="00100DA1"/>
    <w:rsid w:val="00105674"/>
    <w:rsid w:val="00123700"/>
    <w:rsid w:val="001245B4"/>
    <w:rsid w:val="001305E1"/>
    <w:rsid w:val="00133701"/>
    <w:rsid w:val="00143A3D"/>
    <w:rsid w:val="00144AB9"/>
    <w:rsid w:val="00146007"/>
    <w:rsid w:val="00152D23"/>
    <w:rsid w:val="00155613"/>
    <w:rsid w:val="0015742B"/>
    <w:rsid w:val="00162C49"/>
    <w:rsid w:val="00165DDC"/>
    <w:rsid w:val="001705B3"/>
    <w:rsid w:val="00170E3F"/>
    <w:rsid w:val="001738BE"/>
    <w:rsid w:val="00175791"/>
    <w:rsid w:val="00184CA8"/>
    <w:rsid w:val="00185C42"/>
    <w:rsid w:val="00185E78"/>
    <w:rsid w:val="00190941"/>
    <w:rsid w:val="00190DC7"/>
    <w:rsid w:val="0019308F"/>
    <w:rsid w:val="00193D15"/>
    <w:rsid w:val="001A114A"/>
    <w:rsid w:val="001A1D52"/>
    <w:rsid w:val="001A3EBA"/>
    <w:rsid w:val="001A4F50"/>
    <w:rsid w:val="001A6FF1"/>
    <w:rsid w:val="001B4F88"/>
    <w:rsid w:val="001B7837"/>
    <w:rsid w:val="001C2CE3"/>
    <w:rsid w:val="001C4680"/>
    <w:rsid w:val="001C53BE"/>
    <w:rsid w:val="001D33ED"/>
    <w:rsid w:val="001E0758"/>
    <w:rsid w:val="001E42D2"/>
    <w:rsid w:val="001E6C1F"/>
    <w:rsid w:val="001F05CF"/>
    <w:rsid w:val="001F5F59"/>
    <w:rsid w:val="002010F4"/>
    <w:rsid w:val="00205BD4"/>
    <w:rsid w:val="00205EAA"/>
    <w:rsid w:val="00210204"/>
    <w:rsid w:val="00213B83"/>
    <w:rsid w:val="002151C0"/>
    <w:rsid w:val="0021789D"/>
    <w:rsid w:val="0022539B"/>
    <w:rsid w:val="0022788D"/>
    <w:rsid w:val="00230E1C"/>
    <w:rsid w:val="0023479E"/>
    <w:rsid w:val="002351E8"/>
    <w:rsid w:val="0023578B"/>
    <w:rsid w:val="0024470F"/>
    <w:rsid w:val="002478EC"/>
    <w:rsid w:val="002531F2"/>
    <w:rsid w:val="002644DB"/>
    <w:rsid w:val="00271FD8"/>
    <w:rsid w:val="00273F54"/>
    <w:rsid w:val="00280E24"/>
    <w:rsid w:val="0028258E"/>
    <w:rsid w:val="00282D47"/>
    <w:rsid w:val="00286708"/>
    <w:rsid w:val="00291131"/>
    <w:rsid w:val="00296F9A"/>
    <w:rsid w:val="00296FF7"/>
    <w:rsid w:val="002A0106"/>
    <w:rsid w:val="002A34B5"/>
    <w:rsid w:val="002A363D"/>
    <w:rsid w:val="002A4083"/>
    <w:rsid w:val="002A6B17"/>
    <w:rsid w:val="002B24E1"/>
    <w:rsid w:val="002B3862"/>
    <w:rsid w:val="002B5F5D"/>
    <w:rsid w:val="002C05FC"/>
    <w:rsid w:val="002C274E"/>
    <w:rsid w:val="002C275B"/>
    <w:rsid w:val="002D1433"/>
    <w:rsid w:val="002D6320"/>
    <w:rsid w:val="002E38DF"/>
    <w:rsid w:val="002E4744"/>
    <w:rsid w:val="002E7B35"/>
    <w:rsid w:val="002E7FA7"/>
    <w:rsid w:val="002F2523"/>
    <w:rsid w:val="002F3439"/>
    <w:rsid w:val="00301D10"/>
    <w:rsid w:val="00303571"/>
    <w:rsid w:val="00303BA0"/>
    <w:rsid w:val="00304A98"/>
    <w:rsid w:val="00304E0B"/>
    <w:rsid w:val="00311AFE"/>
    <w:rsid w:val="003153D8"/>
    <w:rsid w:val="00316AAE"/>
    <w:rsid w:val="0032070E"/>
    <w:rsid w:val="00320962"/>
    <w:rsid w:val="00321EFE"/>
    <w:rsid w:val="00323967"/>
    <w:rsid w:val="0032750C"/>
    <w:rsid w:val="0033158E"/>
    <w:rsid w:val="00332F3B"/>
    <w:rsid w:val="00334B58"/>
    <w:rsid w:val="00340B58"/>
    <w:rsid w:val="00342070"/>
    <w:rsid w:val="00344A74"/>
    <w:rsid w:val="00346EE7"/>
    <w:rsid w:val="0035115D"/>
    <w:rsid w:val="0035127A"/>
    <w:rsid w:val="00355415"/>
    <w:rsid w:val="00362855"/>
    <w:rsid w:val="00374578"/>
    <w:rsid w:val="00375E72"/>
    <w:rsid w:val="00386E69"/>
    <w:rsid w:val="00386F60"/>
    <w:rsid w:val="003A7DF4"/>
    <w:rsid w:val="003B3222"/>
    <w:rsid w:val="003B34E4"/>
    <w:rsid w:val="003B4DA3"/>
    <w:rsid w:val="003B5B7A"/>
    <w:rsid w:val="003C0815"/>
    <w:rsid w:val="003C730B"/>
    <w:rsid w:val="003D145E"/>
    <w:rsid w:val="003D21AD"/>
    <w:rsid w:val="003D3600"/>
    <w:rsid w:val="003D585B"/>
    <w:rsid w:val="003E093F"/>
    <w:rsid w:val="003E1AF1"/>
    <w:rsid w:val="003E56DB"/>
    <w:rsid w:val="003E73FB"/>
    <w:rsid w:val="003F0342"/>
    <w:rsid w:val="00414739"/>
    <w:rsid w:val="00414F16"/>
    <w:rsid w:val="00416FFF"/>
    <w:rsid w:val="004213DA"/>
    <w:rsid w:val="00423F84"/>
    <w:rsid w:val="00425611"/>
    <w:rsid w:val="00426820"/>
    <w:rsid w:val="00430F92"/>
    <w:rsid w:val="0044187F"/>
    <w:rsid w:val="00451A09"/>
    <w:rsid w:val="004565F8"/>
    <w:rsid w:val="0045784A"/>
    <w:rsid w:val="00460A38"/>
    <w:rsid w:val="00461DC1"/>
    <w:rsid w:val="004663B0"/>
    <w:rsid w:val="004708A6"/>
    <w:rsid w:val="00477CB9"/>
    <w:rsid w:val="0049593E"/>
    <w:rsid w:val="004A6856"/>
    <w:rsid w:val="004B3138"/>
    <w:rsid w:val="004B510E"/>
    <w:rsid w:val="004B68E8"/>
    <w:rsid w:val="004C4943"/>
    <w:rsid w:val="004C6461"/>
    <w:rsid w:val="004D0B16"/>
    <w:rsid w:val="004D177E"/>
    <w:rsid w:val="004D1F74"/>
    <w:rsid w:val="004D2EB7"/>
    <w:rsid w:val="004E0A4C"/>
    <w:rsid w:val="004E2992"/>
    <w:rsid w:val="004E3E3A"/>
    <w:rsid w:val="004E78D6"/>
    <w:rsid w:val="004F11D5"/>
    <w:rsid w:val="004F121D"/>
    <w:rsid w:val="004F1522"/>
    <w:rsid w:val="004F2B7D"/>
    <w:rsid w:val="004F33E5"/>
    <w:rsid w:val="00501986"/>
    <w:rsid w:val="00501C42"/>
    <w:rsid w:val="00504350"/>
    <w:rsid w:val="005114B5"/>
    <w:rsid w:val="00522CFD"/>
    <w:rsid w:val="00524F77"/>
    <w:rsid w:val="00525DE4"/>
    <w:rsid w:val="005260F4"/>
    <w:rsid w:val="005264E8"/>
    <w:rsid w:val="00526F80"/>
    <w:rsid w:val="005343D7"/>
    <w:rsid w:val="00536791"/>
    <w:rsid w:val="00536998"/>
    <w:rsid w:val="00537068"/>
    <w:rsid w:val="00552193"/>
    <w:rsid w:val="0055672D"/>
    <w:rsid w:val="00560A03"/>
    <w:rsid w:val="005732CA"/>
    <w:rsid w:val="00573542"/>
    <w:rsid w:val="00574BA0"/>
    <w:rsid w:val="00574E47"/>
    <w:rsid w:val="00581323"/>
    <w:rsid w:val="00586B98"/>
    <w:rsid w:val="005916FE"/>
    <w:rsid w:val="00594BE4"/>
    <w:rsid w:val="00595737"/>
    <w:rsid w:val="005A0FA8"/>
    <w:rsid w:val="005A1FB7"/>
    <w:rsid w:val="005A401B"/>
    <w:rsid w:val="005A4919"/>
    <w:rsid w:val="005A6AEF"/>
    <w:rsid w:val="005B0A84"/>
    <w:rsid w:val="005B190F"/>
    <w:rsid w:val="005C3D38"/>
    <w:rsid w:val="005C79FD"/>
    <w:rsid w:val="005C7F42"/>
    <w:rsid w:val="005D220E"/>
    <w:rsid w:val="005D48C8"/>
    <w:rsid w:val="005D719D"/>
    <w:rsid w:val="005D7C30"/>
    <w:rsid w:val="005E1A41"/>
    <w:rsid w:val="005E74E1"/>
    <w:rsid w:val="005F040D"/>
    <w:rsid w:val="005F08ED"/>
    <w:rsid w:val="006014C8"/>
    <w:rsid w:val="00605E80"/>
    <w:rsid w:val="00606480"/>
    <w:rsid w:val="006127F8"/>
    <w:rsid w:val="0061409E"/>
    <w:rsid w:val="00614E2E"/>
    <w:rsid w:val="00617BB3"/>
    <w:rsid w:val="00622482"/>
    <w:rsid w:val="0062371C"/>
    <w:rsid w:val="00626292"/>
    <w:rsid w:val="00626519"/>
    <w:rsid w:val="00634034"/>
    <w:rsid w:val="0063466E"/>
    <w:rsid w:val="006363D1"/>
    <w:rsid w:val="00645B0F"/>
    <w:rsid w:val="00654B7E"/>
    <w:rsid w:val="0065734A"/>
    <w:rsid w:val="006576F5"/>
    <w:rsid w:val="006638DA"/>
    <w:rsid w:val="00663B7E"/>
    <w:rsid w:val="00666036"/>
    <w:rsid w:val="00666EC3"/>
    <w:rsid w:val="00666EC7"/>
    <w:rsid w:val="0066781E"/>
    <w:rsid w:val="00671536"/>
    <w:rsid w:val="006742A4"/>
    <w:rsid w:val="00674E06"/>
    <w:rsid w:val="00676771"/>
    <w:rsid w:val="00677342"/>
    <w:rsid w:val="00693223"/>
    <w:rsid w:val="006A2734"/>
    <w:rsid w:val="006A71F7"/>
    <w:rsid w:val="006B0C37"/>
    <w:rsid w:val="006B1F39"/>
    <w:rsid w:val="006B3383"/>
    <w:rsid w:val="006C0A31"/>
    <w:rsid w:val="006C59C0"/>
    <w:rsid w:val="006C5A46"/>
    <w:rsid w:val="006D0C50"/>
    <w:rsid w:val="006D149D"/>
    <w:rsid w:val="006D1556"/>
    <w:rsid w:val="006D1805"/>
    <w:rsid w:val="006D7C9D"/>
    <w:rsid w:val="006E0BF3"/>
    <w:rsid w:val="006E27EF"/>
    <w:rsid w:val="006E5814"/>
    <w:rsid w:val="006E6F45"/>
    <w:rsid w:val="006E757C"/>
    <w:rsid w:val="006F1C19"/>
    <w:rsid w:val="006F2B5E"/>
    <w:rsid w:val="006F2C77"/>
    <w:rsid w:val="006F31A2"/>
    <w:rsid w:val="006F6667"/>
    <w:rsid w:val="006F6721"/>
    <w:rsid w:val="006F7877"/>
    <w:rsid w:val="006F7E70"/>
    <w:rsid w:val="007004DC"/>
    <w:rsid w:val="007020DC"/>
    <w:rsid w:val="007125C8"/>
    <w:rsid w:val="007128E3"/>
    <w:rsid w:val="00722338"/>
    <w:rsid w:val="00723738"/>
    <w:rsid w:val="00723A3A"/>
    <w:rsid w:val="007243DF"/>
    <w:rsid w:val="00726959"/>
    <w:rsid w:val="00727C28"/>
    <w:rsid w:val="007329BD"/>
    <w:rsid w:val="00733E49"/>
    <w:rsid w:val="00740559"/>
    <w:rsid w:val="00741AE1"/>
    <w:rsid w:val="00752ED2"/>
    <w:rsid w:val="0075331A"/>
    <w:rsid w:val="0075459B"/>
    <w:rsid w:val="00755065"/>
    <w:rsid w:val="00760A1A"/>
    <w:rsid w:val="007618D7"/>
    <w:rsid w:val="007666F5"/>
    <w:rsid w:val="00767343"/>
    <w:rsid w:val="00770B2E"/>
    <w:rsid w:val="007725C1"/>
    <w:rsid w:val="00772F07"/>
    <w:rsid w:val="007948A8"/>
    <w:rsid w:val="007A2015"/>
    <w:rsid w:val="007A59F3"/>
    <w:rsid w:val="007A7D3F"/>
    <w:rsid w:val="007B4664"/>
    <w:rsid w:val="007C0E9C"/>
    <w:rsid w:val="007C298B"/>
    <w:rsid w:val="007C354E"/>
    <w:rsid w:val="007C3F75"/>
    <w:rsid w:val="007C4482"/>
    <w:rsid w:val="007D1E14"/>
    <w:rsid w:val="007D46CA"/>
    <w:rsid w:val="007D676E"/>
    <w:rsid w:val="007E0092"/>
    <w:rsid w:val="007E544B"/>
    <w:rsid w:val="007E5A7A"/>
    <w:rsid w:val="007F1927"/>
    <w:rsid w:val="007F2026"/>
    <w:rsid w:val="007F35FE"/>
    <w:rsid w:val="007F451E"/>
    <w:rsid w:val="007F5ADA"/>
    <w:rsid w:val="007F69E5"/>
    <w:rsid w:val="0080367D"/>
    <w:rsid w:val="008043EC"/>
    <w:rsid w:val="008049B9"/>
    <w:rsid w:val="00811063"/>
    <w:rsid w:val="00814EA9"/>
    <w:rsid w:val="00814F28"/>
    <w:rsid w:val="008154FA"/>
    <w:rsid w:val="00816488"/>
    <w:rsid w:val="008221AF"/>
    <w:rsid w:val="0082393A"/>
    <w:rsid w:val="00824BFB"/>
    <w:rsid w:val="00825FCD"/>
    <w:rsid w:val="00827FE0"/>
    <w:rsid w:val="00831EC4"/>
    <w:rsid w:val="0083342A"/>
    <w:rsid w:val="00837263"/>
    <w:rsid w:val="00841A2E"/>
    <w:rsid w:val="008527C7"/>
    <w:rsid w:val="00861713"/>
    <w:rsid w:val="00865822"/>
    <w:rsid w:val="00867168"/>
    <w:rsid w:val="0086788B"/>
    <w:rsid w:val="00867C58"/>
    <w:rsid w:val="00871FDF"/>
    <w:rsid w:val="00872926"/>
    <w:rsid w:val="0088313C"/>
    <w:rsid w:val="00885155"/>
    <w:rsid w:val="00893944"/>
    <w:rsid w:val="008A013D"/>
    <w:rsid w:val="008A3C74"/>
    <w:rsid w:val="008A5E43"/>
    <w:rsid w:val="008A6C99"/>
    <w:rsid w:val="008B03F9"/>
    <w:rsid w:val="008B318B"/>
    <w:rsid w:val="008B3E24"/>
    <w:rsid w:val="008B57EF"/>
    <w:rsid w:val="008B615D"/>
    <w:rsid w:val="008B6E3F"/>
    <w:rsid w:val="008C6256"/>
    <w:rsid w:val="008C75AA"/>
    <w:rsid w:val="008D0F8A"/>
    <w:rsid w:val="008D2499"/>
    <w:rsid w:val="008E1044"/>
    <w:rsid w:val="008E6BAF"/>
    <w:rsid w:val="008F2DCC"/>
    <w:rsid w:val="008F4A18"/>
    <w:rsid w:val="00911D03"/>
    <w:rsid w:val="009129A3"/>
    <w:rsid w:val="00913F38"/>
    <w:rsid w:val="00920472"/>
    <w:rsid w:val="009237B3"/>
    <w:rsid w:val="009249A0"/>
    <w:rsid w:val="00925BE8"/>
    <w:rsid w:val="00926811"/>
    <w:rsid w:val="00927EAA"/>
    <w:rsid w:val="00931998"/>
    <w:rsid w:val="0093338F"/>
    <w:rsid w:val="00934354"/>
    <w:rsid w:val="00934B9A"/>
    <w:rsid w:val="00935013"/>
    <w:rsid w:val="00936504"/>
    <w:rsid w:val="00942A7D"/>
    <w:rsid w:val="0094479E"/>
    <w:rsid w:val="00945341"/>
    <w:rsid w:val="009461FB"/>
    <w:rsid w:val="00947BB9"/>
    <w:rsid w:val="00947EC8"/>
    <w:rsid w:val="00952ED4"/>
    <w:rsid w:val="009611F1"/>
    <w:rsid w:val="00964B08"/>
    <w:rsid w:val="00973C02"/>
    <w:rsid w:val="00975062"/>
    <w:rsid w:val="00975680"/>
    <w:rsid w:val="009760AB"/>
    <w:rsid w:val="00980146"/>
    <w:rsid w:val="00983E53"/>
    <w:rsid w:val="00984219"/>
    <w:rsid w:val="009851A1"/>
    <w:rsid w:val="00995538"/>
    <w:rsid w:val="009A2572"/>
    <w:rsid w:val="009A2BA5"/>
    <w:rsid w:val="009A3127"/>
    <w:rsid w:val="009A3B3D"/>
    <w:rsid w:val="009A46DA"/>
    <w:rsid w:val="009A6CD3"/>
    <w:rsid w:val="009B0195"/>
    <w:rsid w:val="009B1748"/>
    <w:rsid w:val="009B313B"/>
    <w:rsid w:val="009B67F9"/>
    <w:rsid w:val="009C2844"/>
    <w:rsid w:val="009C49CB"/>
    <w:rsid w:val="009C5698"/>
    <w:rsid w:val="009D254C"/>
    <w:rsid w:val="009D42EB"/>
    <w:rsid w:val="009F1D9C"/>
    <w:rsid w:val="009F3EFF"/>
    <w:rsid w:val="009F428F"/>
    <w:rsid w:val="00A02697"/>
    <w:rsid w:val="00A05111"/>
    <w:rsid w:val="00A055AD"/>
    <w:rsid w:val="00A07D59"/>
    <w:rsid w:val="00A14383"/>
    <w:rsid w:val="00A14733"/>
    <w:rsid w:val="00A160C3"/>
    <w:rsid w:val="00A23AFA"/>
    <w:rsid w:val="00A332B5"/>
    <w:rsid w:val="00A3706B"/>
    <w:rsid w:val="00A41A71"/>
    <w:rsid w:val="00A42411"/>
    <w:rsid w:val="00A42881"/>
    <w:rsid w:val="00A42E3E"/>
    <w:rsid w:val="00A432C7"/>
    <w:rsid w:val="00A43504"/>
    <w:rsid w:val="00A51783"/>
    <w:rsid w:val="00A517B0"/>
    <w:rsid w:val="00A63BFB"/>
    <w:rsid w:val="00A67E74"/>
    <w:rsid w:val="00A72769"/>
    <w:rsid w:val="00A74827"/>
    <w:rsid w:val="00A77128"/>
    <w:rsid w:val="00A80F6E"/>
    <w:rsid w:val="00A84A58"/>
    <w:rsid w:val="00A87D65"/>
    <w:rsid w:val="00A97EE1"/>
    <w:rsid w:val="00AA3F8E"/>
    <w:rsid w:val="00AC0D25"/>
    <w:rsid w:val="00AD308D"/>
    <w:rsid w:val="00AD3195"/>
    <w:rsid w:val="00AD463C"/>
    <w:rsid w:val="00AE5AD2"/>
    <w:rsid w:val="00AF6604"/>
    <w:rsid w:val="00B0442D"/>
    <w:rsid w:val="00B0657C"/>
    <w:rsid w:val="00B10772"/>
    <w:rsid w:val="00B111BF"/>
    <w:rsid w:val="00B12AE3"/>
    <w:rsid w:val="00B13EC1"/>
    <w:rsid w:val="00B16D8B"/>
    <w:rsid w:val="00B20BCD"/>
    <w:rsid w:val="00B31EB8"/>
    <w:rsid w:val="00B37405"/>
    <w:rsid w:val="00B46ADC"/>
    <w:rsid w:val="00B50F22"/>
    <w:rsid w:val="00B515D9"/>
    <w:rsid w:val="00B5757E"/>
    <w:rsid w:val="00B62778"/>
    <w:rsid w:val="00B73C5D"/>
    <w:rsid w:val="00B7452D"/>
    <w:rsid w:val="00B7497A"/>
    <w:rsid w:val="00B74EBB"/>
    <w:rsid w:val="00B770B0"/>
    <w:rsid w:val="00B86572"/>
    <w:rsid w:val="00B903BD"/>
    <w:rsid w:val="00B90BBA"/>
    <w:rsid w:val="00B9147A"/>
    <w:rsid w:val="00B91875"/>
    <w:rsid w:val="00B918CE"/>
    <w:rsid w:val="00B9232B"/>
    <w:rsid w:val="00B94736"/>
    <w:rsid w:val="00B9510D"/>
    <w:rsid w:val="00B954D3"/>
    <w:rsid w:val="00B967D5"/>
    <w:rsid w:val="00BA1935"/>
    <w:rsid w:val="00BB407D"/>
    <w:rsid w:val="00BC3418"/>
    <w:rsid w:val="00BD45D5"/>
    <w:rsid w:val="00BE0E6B"/>
    <w:rsid w:val="00BE37BE"/>
    <w:rsid w:val="00BF1041"/>
    <w:rsid w:val="00BF1529"/>
    <w:rsid w:val="00BF34F6"/>
    <w:rsid w:val="00C023F7"/>
    <w:rsid w:val="00C04F98"/>
    <w:rsid w:val="00C123E9"/>
    <w:rsid w:val="00C125D1"/>
    <w:rsid w:val="00C17DEB"/>
    <w:rsid w:val="00C210C3"/>
    <w:rsid w:val="00C21706"/>
    <w:rsid w:val="00C22366"/>
    <w:rsid w:val="00C24CC4"/>
    <w:rsid w:val="00C32146"/>
    <w:rsid w:val="00C34B78"/>
    <w:rsid w:val="00C36D2B"/>
    <w:rsid w:val="00C40455"/>
    <w:rsid w:val="00C4386B"/>
    <w:rsid w:val="00C510F7"/>
    <w:rsid w:val="00C527E9"/>
    <w:rsid w:val="00C54257"/>
    <w:rsid w:val="00C5436E"/>
    <w:rsid w:val="00C5592D"/>
    <w:rsid w:val="00C61486"/>
    <w:rsid w:val="00C63A5F"/>
    <w:rsid w:val="00C65424"/>
    <w:rsid w:val="00C66576"/>
    <w:rsid w:val="00C66ACD"/>
    <w:rsid w:val="00C7220A"/>
    <w:rsid w:val="00C72E50"/>
    <w:rsid w:val="00C77302"/>
    <w:rsid w:val="00C848DF"/>
    <w:rsid w:val="00C84ACD"/>
    <w:rsid w:val="00C84E8B"/>
    <w:rsid w:val="00C86FEA"/>
    <w:rsid w:val="00C8713D"/>
    <w:rsid w:val="00C92D85"/>
    <w:rsid w:val="00C939D3"/>
    <w:rsid w:val="00CA3446"/>
    <w:rsid w:val="00CB1A16"/>
    <w:rsid w:val="00CC2778"/>
    <w:rsid w:val="00CC59C4"/>
    <w:rsid w:val="00CD1969"/>
    <w:rsid w:val="00CD3A05"/>
    <w:rsid w:val="00CD615D"/>
    <w:rsid w:val="00CD6EF8"/>
    <w:rsid w:val="00CE07E7"/>
    <w:rsid w:val="00CE3674"/>
    <w:rsid w:val="00CE3C8A"/>
    <w:rsid w:val="00CE623F"/>
    <w:rsid w:val="00CE728A"/>
    <w:rsid w:val="00CF1B63"/>
    <w:rsid w:val="00CF1D05"/>
    <w:rsid w:val="00CF502A"/>
    <w:rsid w:val="00D03DA8"/>
    <w:rsid w:val="00D04267"/>
    <w:rsid w:val="00D07BA2"/>
    <w:rsid w:val="00D139A8"/>
    <w:rsid w:val="00D17D21"/>
    <w:rsid w:val="00D238A8"/>
    <w:rsid w:val="00D24C9B"/>
    <w:rsid w:val="00D25516"/>
    <w:rsid w:val="00D26992"/>
    <w:rsid w:val="00D31376"/>
    <w:rsid w:val="00D32D97"/>
    <w:rsid w:val="00D40DD7"/>
    <w:rsid w:val="00D415C3"/>
    <w:rsid w:val="00D4261A"/>
    <w:rsid w:val="00D44E32"/>
    <w:rsid w:val="00D511A5"/>
    <w:rsid w:val="00D53812"/>
    <w:rsid w:val="00D55643"/>
    <w:rsid w:val="00D60655"/>
    <w:rsid w:val="00D6286E"/>
    <w:rsid w:val="00D64185"/>
    <w:rsid w:val="00D652D6"/>
    <w:rsid w:val="00D65C2A"/>
    <w:rsid w:val="00D71C2B"/>
    <w:rsid w:val="00D73771"/>
    <w:rsid w:val="00D82D9C"/>
    <w:rsid w:val="00D92F6F"/>
    <w:rsid w:val="00D94F9C"/>
    <w:rsid w:val="00DA17E1"/>
    <w:rsid w:val="00DB053C"/>
    <w:rsid w:val="00DB21B5"/>
    <w:rsid w:val="00DB515F"/>
    <w:rsid w:val="00DB6615"/>
    <w:rsid w:val="00DC1F1F"/>
    <w:rsid w:val="00DC40A6"/>
    <w:rsid w:val="00DC6319"/>
    <w:rsid w:val="00DC7772"/>
    <w:rsid w:val="00DE4C0F"/>
    <w:rsid w:val="00DE6BF2"/>
    <w:rsid w:val="00DE6FCA"/>
    <w:rsid w:val="00DF1889"/>
    <w:rsid w:val="00DF295B"/>
    <w:rsid w:val="00DF3334"/>
    <w:rsid w:val="00DF3DA9"/>
    <w:rsid w:val="00DF40BA"/>
    <w:rsid w:val="00DF4B38"/>
    <w:rsid w:val="00E016B4"/>
    <w:rsid w:val="00E07066"/>
    <w:rsid w:val="00E12DBA"/>
    <w:rsid w:val="00E13F39"/>
    <w:rsid w:val="00E204E1"/>
    <w:rsid w:val="00E26B0E"/>
    <w:rsid w:val="00E303C8"/>
    <w:rsid w:val="00E32D4A"/>
    <w:rsid w:val="00E3566E"/>
    <w:rsid w:val="00E42CE0"/>
    <w:rsid w:val="00E549FB"/>
    <w:rsid w:val="00E64BC3"/>
    <w:rsid w:val="00E719C2"/>
    <w:rsid w:val="00E733B9"/>
    <w:rsid w:val="00E74177"/>
    <w:rsid w:val="00E77639"/>
    <w:rsid w:val="00E810F7"/>
    <w:rsid w:val="00EA1D6C"/>
    <w:rsid w:val="00EA272F"/>
    <w:rsid w:val="00EA2FF0"/>
    <w:rsid w:val="00EA701C"/>
    <w:rsid w:val="00EB11FE"/>
    <w:rsid w:val="00EB17FE"/>
    <w:rsid w:val="00EB3768"/>
    <w:rsid w:val="00EB3859"/>
    <w:rsid w:val="00EB5427"/>
    <w:rsid w:val="00EB58E0"/>
    <w:rsid w:val="00EB6499"/>
    <w:rsid w:val="00EB7A08"/>
    <w:rsid w:val="00EC1112"/>
    <w:rsid w:val="00EC5560"/>
    <w:rsid w:val="00EC7439"/>
    <w:rsid w:val="00EC7B79"/>
    <w:rsid w:val="00ED3281"/>
    <w:rsid w:val="00ED43E2"/>
    <w:rsid w:val="00ED5D87"/>
    <w:rsid w:val="00EE08A0"/>
    <w:rsid w:val="00EE3DBC"/>
    <w:rsid w:val="00EE5FD4"/>
    <w:rsid w:val="00EE7BBF"/>
    <w:rsid w:val="00EF2C82"/>
    <w:rsid w:val="00EF2D5C"/>
    <w:rsid w:val="00EF35CF"/>
    <w:rsid w:val="00EF7083"/>
    <w:rsid w:val="00F0214E"/>
    <w:rsid w:val="00F03449"/>
    <w:rsid w:val="00F12D08"/>
    <w:rsid w:val="00F14BBC"/>
    <w:rsid w:val="00F15419"/>
    <w:rsid w:val="00F16BA4"/>
    <w:rsid w:val="00F21C3C"/>
    <w:rsid w:val="00F22FBD"/>
    <w:rsid w:val="00F31835"/>
    <w:rsid w:val="00F3517D"/>
    <w:rsid w:val="00F431BC"/>
    <w:rsid w:val="00F46D07"/>
    <w:rsid w:val="00F54E43"/>
    <w:rsid w:val="00F553CC"/>
    <w:rsid w:val="00F5645D"/>
    <w:rsid w:val="00F5778E"/>
    <w:rsid w:val="00F63BAC"/>
    <w:rsid w:val="00F67969"/>
    <w:rsid w:val="00F82BDE"/>
    <w:rsid w:val="00F855E6"/>
    <w:rsid w:val="00F86A0B"/>
    <w:rsid w:val="00F97EEC"/>
    <w:rsid w:val="00FA0A83"/>
    <w:rsid w:val="00FA6739"/>
    <w:rsid w:val="00FA6A51"/>
    <w:rsid w:val="00FB4CCF"/>
    <w:rsid w:val="00FC3CE2"/>
    <w:rsid w:val="00FC3DD2"/>
    <w:rsid w:val="00FC52EF"/>
    <w:rsid w:val="00FC63A4"/>
    <w:rsid w:val="00FD40E9"/>
    <w:rsid w:val="00FE5838"/>
    <w:rsid w:val="00FF0D8A"/>
    <w:rsid w:val="00FF552B"/>
    <w:rsid w:val="00FF561E"/>
    <w:rsid w:val="00FF5EE4"/>
    <w:rsid w:val="00FF72CC"/>
    <w:rsid w:val="00FF74E1"/>
    <w:rsid w:val="00FF7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BD4"/>
    <w:rPr>
      <w:rFonts w:ascii="Franklin Gothic Book" w:hAnsi="Franklin Gothic Book"/>
      <w:sz w:val="22"/>
      <w:szCs w:val="24"/>
      <w:lang w:eastAsia="en-US"/>
    </w:rPr>
  </w:style>
  <w:style w:type="paragraph" w:styleId="Heading1">
    <w:name w:val="heading 1"/>
    <w:basedOn w:val="Normal"/>
    <w:next w:val="Normal"/>
    <w:link w:val="Heading1Char"/>
    <w:qFormat/>
    <w:rsid w:val="00423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25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C75A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basedOn w:val="Normal"/>
    <w:next w:val="Normal"/>
    <w:link w:val="Heading4Char"/>
    <w:unhideWhenUsed/>
    <w:qFormat/>
    <w:rsid w:val="009B67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F84"/>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qFormat/>
    <w:rsid w:val="00423F8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23F84"/>
    <w:rPr>
      <w:rFonts w:asciiTheme="majorHAnsi" w:eastAsiaTheme="majorEastAsia" w:hAnsiTheme="majorHAnsi" w:cstheme="majorBidi"/>
      <w:i/>
      <w:iCs/>
      <w:color w:val="4F81BD" w:themeColor="accent1"/>
      <w:spacing w:val="15"/>
      <w:sz w:val="24"/>
      <w:szCs w:val="24"/>
      <w:lang w:eastAsia="en-US"/>
    </w:rPr>
  </w:style>
  <w:style w:type="paragraph" w:styleId="EndnoteText">
    <w:name w:val="endnote text"/>
    <w:basedOn w:val="Normal"/>
    <w:link w:val="EndnoteTextChar"/>
    <w:rsid w:val="00190DC7"/>
    <w:rPr>
      <w:sz w:val="20"/>
      <w:szCs w:val="20"/>
    </w:rPr>
  </w:style>
  <w:style w:type="character" w:customStyle="1" w:styleId="EndnoteTextChar">
    <w:name w:val="Endnote Text Char"/>
    <w:basedOn w:val="DefaultParagraphFont"/>
    <w:link w:val="EndnoteText"/>
    <w:rsid w:val="00190DC7"/>
    <w:rPr>
      <w:lang w:eastAsia="en-US"/>
    </w:rPr>
  </w:style>
  <w:style w:type="character" w:styleId="EndnoteReference">
    <w:name w:val="endnote reference"/>
    <w:basedOn w:val="DefaultParagraphFont"/>
    <w:rsid w:val="00190DC7"/>
    <w:rPr>
      <w:vertAlign w:val="superscript"/>
    </w:rPr>
  </w:style>
  <w:style w:type="paragraph" w:styleId="FootnoteText">
    <w:name w:val="footnote text"/>
    <w:basedOn w:val="Normal"/>
    <w:link w:val="FootnoteTextChar"/>
    <w:rsid w:val="00190DC7"/>
    <w:rPr>
      <w:sz w:val="20"/>
      <w:szCs w:val="20"/>
    </w:rPr>
  </w:style>
  <w:style w:type="character" w:customStyle="1" w:styleId="FootnoteTextChar">
    <w:name w:val="Footnote Text Char"/>
    <w:basedOn w:val="DefaultParagraphFont"/>
    <w:link w:val="FootnoteText"/>
    <w:rsid w:val="00190DC7"/>
    <w:rPr>
      <w:lang w:eastAsia="en-US"/>
    </w:rPr>
  </w:style>
  <w:style w:type="character" w:styleId="FootnoteReference">
    <w:name w:val="footnote reference"/>
    <w:aliases w:val="ftref,Footnote Reference1, BVI fnr,BVI fnr,Normal + Font:9 Point,Superscript 3 Point Times,Ref,de nota al pie,16 Point,Superscript 6 Point,Char Char Char Char Car Char,Footnote Reference Number,Footnote,FnR-ANZDEC,Fußnotenzeichen DISS"/>
    <w:basedOn w:val="DefaultParagraphFont"/>
    <w:rsid w:val="00190DC7"/>
    <w:rPr>
      <w:vertAlign w:val="superscript"/>
    </w:rPr>
  </w:style>
  <w:style w:type="character" w:styleId="Emphasis">
    <w:name w:val="Emphasis"/>
    <w:basedOn w:val="DefaultParagraphFont"/>
    <w:qFormat/>
    <w:rsid w:val="00726959"/>
    <w:rPr>
      <w:i/>
      <w:iCs/>
    </w:rPr>
  </w:style>
  <w:style w:type="character" w:styleId="Strong">
    <w:name w:val="Strong"/>
    <w:basedOn w:val="DefaultParagraphFont"/>
    <w:uiPriority w:val="22"/>
    <w:qFormat/>
    <w:rsid w:val="00726959"/>
    <w:rPr>
      <w:b/>
      <w:bCs/>
    </w:rPr>
  </w:style>
  <w:style w:type="paragraph" w:styleId="ListParagraph">
    <w:name w:val="List Paragraph"/>
    <w:basedOn w:val="Normal"/>
    <w:uiPriority w:val="34"/>
    <w:qFormat/>
    <w:rsid w:val="00185C42"/>
    <w:pPr>
      <w:ind w:left="720"/>
      <w:contextualSpacing/>
    </w:pPr>
  </w:style>
  <w:style w:type="table" w:styleId="TableGrid">
    <w:name w:val="Table Grid"/>
    <w:basedOn w:val="TableNormal"/>
    <w:uiPriority w:val="59"/>
    <w:rsid w:val="00B967D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67D5"/>
    <w:rPr>
      <w:rFonts w:ascii="Tahoma" w:hAnsi="Tahoma" w:cs="Tahoma"/>
      <w:sz w:val="16"/>
      <w:szCs w:val="16"/>
    </w:rPr>
  </w:style>
  <w:style w:type="character" w:customStyle="1" w:styleId="BalloonTextChar">
    <w:name w:val="Balloon Text Char"/>
    <w:basedOn w:val="DefaultParagraphFont"/>
    <w:link w:val="BalloonText"/>
    <w:rsid w:val="00B967D5"/>
    <w:rPr>
      <w:rFonts w:ascii="Tahoma" w:hAnsi="Tahoma" w:cs="Tahoma"/>
      <w:sz w:val="16"/>
      <w:szCs w:val="16"/>
      <w:lang w:eastAsia="en-US"/>
    </w:rPr>
  </w:style>
  <w:style w:type="character" w:styleId="Hyperlink">
    <w:name w:val="Hyperlink"/>
    <w:basedOn w:val="DefaultParagraphFont"/>
    <w:uiPriority w:val="99"/>
    <w:unhideWhenUsed/>
    <w:rsid w:val="009237B3"/>
    <w:rPr>
      <w:color w:val="0000FF" w:themeColor="hyperlink"/>
      <w:u w:val="single"/>
    </w:rPr>
  </w:style>
  <w:style w:type="character" w:styleId="IntenseEmphasis">
    <w:name w:val="Intense Emphasis"/>
    <w:basedOn w:val="DefaultParagraphFont"/>
    <w:uiPriority w:val="21"/>
    <w:qFormat/>
    <w:rsid w:val="009237B3"/>
    <w:rPr>
      <w:b/>
      <w:bCs/>
      <w:i/>
      <w:iCs/>
      <w:color w:val="4F81BD" w:themeColor="accent1"/>
    </w:rPr>
  </w:style>
  <w:style w:type="character" w:styleId="SubtleEmphasis">
    <w:name w:val="Subtle Emphasis"/>
    <w:basedOn w:val="DefaultParagraphFont"/>
    <w:uiPriority w:val="19"/>
    <w:qFormat/>
    <w:rsid w:val="003E73FB"/>
    <w:rPr>
      <w:i/>
      <w:iCs/>
      <w:color w:val="808080" w:themeColor="text1" w:themeTint="7F"/>
    </w:rPr>
  </w:style>
  <w:style w:type="character" w:customStyle="1" w:styleId="FootnoteTextChar1">
    <w:name w:val="Footnote Text Char1"/>
    <w:basedOn w:val="DefaultParagraphFont"/>
    <w:uiPriority w:val="99"/>
    <w:semiHidden/>
    <w:rsid w:val="00DE4C0F"/>
    <w:rPr>
      <w:sz w:val="20"/>
      <w:szCs w:val="20"/>
    </w:rPr>
  </w:style>
  <w:style w:type="character" w:customStyle="1" w:styleId="Heading4Char">
    <w:name w:val="Heading 4 Char"/>
    <w:basedOn w:val="DefaultParagraphFont"/>
    <w:link w:val="Heading4"/>
    <w:rsid w:val="009B67F9"/>
    <w:rPr>
      <w:rFonts w:asciiTheme="majorHAnsi" w:eastAsiaTheme="majorEastAsia" w:hAnsiTheme="majorHAnsi" w:cstheme="majorBidi"/>
      <w:b/>
      <w:bCs/>
      <w:i/>
      <w:iCs/>
      <w:color w:val="4F81BD" w:themeColor="accent1"/>
      <w:sz w:val="24"/>
      <w:szCs w:val="24"/>
      <w:lang w:eastAsia="en-US"/>
    </w:rPr>
  </w:style>
  <w:style w:type="character" w:customStyle="1" w:styleId="Heading3Char">
    <w:name w:val="Heading 3 Char"/>
    <w:basedOn w:val="DefaultParagraphFont"/>
    <w:link w:val="Heading3"/>
    <w:rsid w:val="008C75AA"/>
    <w:rPr>
      <w:rFonts w:asciiTheme="majorHAnsi" w:eastAsiaTheme="majorEastAsia" w:hAnsiTheme="majorHAnsi" w:cstheme="majorBidi"/>
      <w:b/>
      <w:bCs/>
      <w:i/>
      <w:color w:val="4F81BD" w:themeColor="accent1"/>
      <w:sz w:val="24"/>
      <w:szCs w:val="24"/>
      <w:lang w:eastAsia="en-US"/>
    </w:rPr>
  </w:style>
  <w:style w:type="paragraph" w:styleId="Header">
    <w:name w:val="header"/>
    <w:basedOn w:val="Normal"/>
    <w:link w:val="HeaderChar"/>
    <w:uiPriority w:val="99"/>
    <w:rsid w:val="00E07066"/>
    <w:pPr>
      <w:tabs>
        <w:tab w:val="center" w:pos="4513"/>
        <w:tab w:val="right" w:pos="9026"/>
      </w:tabs>
    </w:pPr>
  </w:style>
  <w:style w:type="character" w:customStyle="1" w:styleId="HeaderChar">
    <w:name w:val="Header Char"/>
    <w:basedOn w:val="DefaultParagraphFont"/>
    <w:link w:val="Header"/>
    <w:uiPriority w:val="99"/>
    <w:rsid w:val="00E07066"/>
    <w:rPr>
      <w:sz w:val="24"/>
      <w:szCs w:val="24"/>
      <w:lang w:eastAsia="en-US"/>
    </w:rPr>
  </w:style>
  <w:style w:type="paragraph" w:styleId="Footer">
    <w:name w:val="footer"/>
    <w:basedOn w:val="Normal"/>
    <w:link w:val="FooterChar"/>
    <w:rsid w:val="00E07066"/>
    <w:pPr>
      <w:tabs>
        <w:tab w:val="center" w:pos="4513"/>
        <w:tab w:val="right" w:pos="9026"/>
      </w:tabs>
    </w:pPr>
  </w:style>
  <w:style w:type="character" w:customStyle="1" w:styleId="FooterChar">
    <w:name w:val="Footer Char"/>
    <w:basedOn w:val="DefaultParagraphFont"/>
    <w:link w:val="Footer"/>
    <w:rsid w:val="00E07066"/>
    <w:rPr>
      <w:sz w:val="24"/>
      <w:szCs w:val="24"/>
      <w:lang w:eastAsia="en-US"/>
    </w:rPr>
  </w:style>
  <w:style w:type="table" w:styleId="ColorfulList">
    <w:name w:val="Colorful List"/>
    <w:basedOn w:val="TableNormal"/>
    <w:uiPriority w:val="72"/>
    <w:rsid w:val="00321EFE"/>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CommentReference">
    <w:name w:val="annotation reference"/>
    <w:basedOn w:val="DefaultParagraphFont"/>
    <w:rsid w:val="00A14733"/>
    <w:rPr>
      <w:sz w:val="16"/>
      <w:szCs w:val="16"/>
    </w:rPr>
  </w:style>
  <w:style w:type="paragraph" w:styleId="CommentText">
    <w:name w:val="annotation text"/>
    <w:basedOn w:val="Normal"/>
    <w:link w:val="CommentTextChar"/>
    <w:rsid w:val="00A14733"/>
    <w:rPr>
      <w:sz w:val="20"/>
      <w:szCs w:val="20"/>
    </w:rPr>
  </w:style>
  <w:style w:type="character" w:customStyle="1" w:styleId="CommentTextChar">
    <w:name w:val="Comment Text Char"/>
    <w:basedOn w:val="DefaultParagraphFont"/>
    <w:link w:val="CommentText"/>
    <w:rsid w:val="00A14733"/>
    <w:rPr>
      <w:lang w:eastAsia="en-US"/>
    </w:rPr>
  </w:style>
  <w:style w:type="paragraph" w:styleId="NormalWeb">
    <w:name w:val="Normal (Web)"/>
    <w:basedOn w:val="Normal"/>
    <w:uiPriority w:val="99"/>
    <w:unhideWhenUsed/>
    <w:rsid w:val="00A23AFA"/>
    <w:pPr>
      <w:spacing w:before="100" w:beforeAutospacing="1" w:after="100" w:afterAutospacing="1"/>
    </w:pPr>
    <w:rPr>
      <w:lang w:eastAsia="en-AU"/>
    </w:rPr>
  </w:style>
  <w:style w:type="paragraph" w:styleId="Title">
    <w:name w:val="Title"/>
    <w:basedOn w:val="Normal"/>
    <w:next w:val="Subtitle"/>
    <w:link w:val="TitleChar"/>
    <w:qFormat/>
    <w:rsid w:val="00A23AFA"/>
    <w:pPr>
      <w:pageBreakBefore/>
      <w:spacing w:before="9000" w:line="640" w:lineRule="atLeast"/>
      <w:ind w:left="2410" w:right="-198"/>
    </w:pPr>
    <w:rPr>
      <w:rFonts w:ascii="Helvetica" w:hAnsi="Helvetica"/>
      <w:noProof/>
      <w:color w:val="FFFFFF"/>
      <w:kern w:val="28"/>
      <w:sz w:val="50"/>
      <w:szCs w:val="50"/>
      <w:lang w:val="en-US"/>
    </w:rPr>
  </w:style>
  <w:style w:type="character" w:customStyle="1" w:styleId="TitleChar">
    <w:name w:val="Title Char"/>
    <w:basedOn w:val="DefaultParagraphFont"/>
    <w:link w:val="Title"/>
    <w:rsid w:val="00A23AFA"/>
    <w:rPr>
      <w:rFonts w:ascii="Helvetica" w:hAnsi="Helvetica"/>
      <w:noProof/>
      <w:color w:val="FFFFFF"/>
      <w:kern w:val="28"/>
      <w:sz w:val="50"/>
      <w:szCs w:val="50"/>
      <w:lang w:val="en-US" w:eastAsia="en-US"/>
    </w:rPr>
  </w:style>
  <w:style w:type="character" w:styleId="PageNumber">
    <w:name w:val="page number"/>
    <w:rsid w:val="00A23AFA"/>
    <w:rPr>
      <w:rFonts w:ascii="Franklin Gothic Medium" w:hAnsi="Franklin Gothic Medium"/>
      <w:color w:val="54534A"/>
      <w:sz w:val="14"/>
      <w:szCs w:val="14"/>
    </w:rPr>
  </w:style>
  <w:style w:type="paragraph" w:styleId="TOCHeading">
    <w:name w:val="TOC Heading"/>
    <w:basedOn w:val="Heading1"/>
    <w:next w:val="Normal"/>
    <w:uiPriority w:val="39"/>
    <w:unhideWhenUsed/>
    <w:qFormat/>
    <w:rsid w:val="00A23AFA"/>
    <w:pPr>
      <w:spacing w:line="276" w:lineRule="auto"/>
      <w:outlineLvl w:val="9"/>
    </w:pPr>
    <w:rPr>
      <w:lang w:val="en-US" w:eastAsia="ja-JP"/>
    </w:rPr>
  </w:style>
  <w:style w:type="paragraph" w:styleId="TOC2">
    <w:name w:val="toc 2"/>
    <w:basedOn w:val="Normal"/>
    <w:next w:val="Normal"/>
    <w:autoRedefine/>
    <w:uiPriority w:val="39"/>
    <w:unhideWhenUsed/>
    <w:qFormat/>
    <w:rsid w:val="00A23AFA"/>
    <w:pPr>
      <w:spacing w:after="100" w:line="276" w:lineRule="auto"/>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814EA9"/>
    <w:pPr>
      <w:tabs>
        <w:tab w:val="right" w:leader="dot" w:pos="9174"/>
      </w:tabs>
      <w:spacing w:after="100" w:line="276" w:lineRule="auto"/>
    </w:pPr>
    <w:rPr>
      <w:rFonts w:asciiTheme="minorHAnsi" w:eastAsiaTheme="minorHAnsi" w:hAnsiTheme="minorHAnsi" w:cstheme="minorHAnsi"/>
      <w:noProof/>
      <w:szCs w:val="22"/>
      <w:lang w:val="en-US" w:eastAsia="ja-JP"/>
    </w:rPr>
  </w:style>
  <w:style w:type="paragraph" w:styleId="CommentSubject">
    <w:name w:val="annotation subject"/>
    <w:basedOn w:val="CommentText"/>
    <w:next w:val="CommentText"/>
    <w:link w:val="CommentSubjectChar"/>
    <w:rsid w:val="00E303C8"/>
    <w:rPr>
      <w:b/>
      <w:bCs/>
    </w:rPr>
  </w:style>
  <w:style w:type="character" w:customStyle="1" w:styleId="CommentSubjectChar">
    <w:name w:val="Comment Subject Char"/>
    <w:basedOn w:val="CommentTextChar"/>
    <w:link w:val="CommentSubject"/>
    <w:rsid w:val="00E303C8"/>
    <w:rPr>
      <w:b/>
      <w:bCs/>
      <w:lang w:eastAsia="en-US"/>
    </w:rPr>
  </w:style>
  <w:style w:type="paragraph" w:styleId="Revision">
    <w:name w:val="Revision"/>
    <w:hidden/>
    <w:uiPriority w:val="99"/>
    <w:semiHidden/>
    <w:rsid w:val="00EF2C82"/>
    <w:rPr>
      <w:sz w:val="24"/>
      <w:szCs w:val="24"/>
      <w:lang w:eastAsia="en-US"/>
    </w:rPr>
  </w:style>
  <w:style w:type="character" w:customStyle="1" w:styleId="Heading2Char">
    <w:name w:val="Heading 2 Char"/>
    <w:basedOn w:val="DefaultParagraphFont"/>
    <w:link w:val="Heading2"/>
    <w:rsid w:val="00525DE4"/>
    <w:rPr>
      <w:rFonts w:asciiTheme="majorHAnsi" w:eastAsiaTheme="majorEastAsia" w:hAnsiTheme="majorHAnsi" w:cstheme="majorBidi"/>
      <w:b/>
      <w:bCs/>
      <w:color w:val="4F81BD" w:themeColor="accent1"/>
      <w:sz w:val="26"/>
      <w:szCs w:val="26"/>
      <w:lang w:eastAsia="en-US"/>
    </w:rPr>
  </w:style>
  <w:style w:type="paragraph" w:styleId="TOC3">
    <w:name w:val="toc 3"/>
    <w:basedOn w:val="Normal"/>
    <w:next w:val="Normal"/>
    <w:autoRedefine/>
    <w:uiPriority w:val="39"/>
    <w:rsid w:val="006F7877"/>
    <w:pPr>
      <w:tabs>
        <w:tab w:val="right" w:leader="dot" w:pos="9174"/>
      </w:tabs>
      <w:spacing w:after="100"/>
      <w:ind w:left="480"/>
    </w:pPr>
    <w:rPr>
      <w:rFonts w:asciiTheme="minorHAnsi" w:hAnsiTheme="minorHAnsi" w:cstheme="minorHAnsi"/>
      <w:noProof/>
      <w:szCs w:val="22"/>
    </w:rPr>
  </w:style>
  <w:style w:type="character" w:styleId="FollowedHyperlink">
    <w:name w:val="FollowedHyperlink"/>
    <w:basedOn w:val="DefaultParagraphFont"/>
    <w:rsid w:val="007125C8"/>
    <w:rPr>
      <w:color w:val="800080" w:themeColor="followedHyperlink"/>
      <w:u w:val="single"/>
    </w:rPr>
  </w:style>
  <w:style w:type="character" w:styleId="HTMLCite">
    <w:name w:val="HTML Cite"/>
    <w:basedOn w:val="DefaultParagraphFont"/>
    <w:uiPriority w:val="99"/>
    <w:unhideWhenUsed/>
    <w:rsid w:val="007D676E"/>
    <w:rPr>
      <w:i/>
      <w:iCs/>
    </w:rPr>
  </w:style>
  <w:style w:type="table" w:styleId="LightList-Accent5">
    <w:name w:val="Light List Accent 5"/>
    <w:basedOn w:val="TableNormal"/>
    <w:uiPriority w:val="61"/>
    <w:rsid w:val="007618D7"/>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2357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BodyText"/>
    <w:rsid w:val="008A3C74"/>
    <w:pPr>
      <w:spacing w:line="280" w:lineRule="exact"/>
    </w:pPr>
    <w:rPr>
      <w:sz w:val="21"/>
      <w:lang w:eastAsia="en-AU"/>
    </w:rPr>
  </w:style>
  <w:style w:type="paragraph" w:styleId="BodyText">
    <w:name w:val="Body Text"/>
    <w:basedOn w:val="Normal"/>
    <w:link w:val="BodyTextChar"/>
    <w:rsid w:val="00DF3DA9"/>
    <w:pPr>
      <w:spacing w:after="120"/>
    </w:pPr>
  </w:style>
  <w:style w:type="character" w:customStyle="1" w:styleId="BodyTextChar">
    <w:name w:val="Body Text Char"/>
    <w:basedOn w:val="DefaultParagraphFont"/>
    <w:link w:val="BodyText"/>
    <w:rsid w:val="00DF3DA9"/>
    <w:rPr>
      <w:rFonts w:ascii="Franklin Gothic Book" w:hAnsi="Franklin Gothic Book"/>
      <w:sz w:val="22"/>
      <w:szCs w:val="24"/>
      <w:lang w:eastAsia="en-US"/>
    </w:rPr>
  </w:style>
  <w:style w:type="paragraph" w:styleId="ListBullet2">
    <w:name w:val="List Bullet 2"/>
    <w:basedOn w:val="ListBullet"/>
    <w:rsid w:val="00B50F22"/>
  </w:style>
  <w:style w:type="character" w:customStyle="1" w:styleId="A3">
    <w:name w:val="A3"/>
    <w:uiPriority w:val="99"/>
    <w:rsid w:val="002D1433"/>
    <w:rPr>
      <w:rFonts w:ascii="Helvetica 55 Roman" w:hAnsi="Helvetica 55 Roman" w:cs="Helvetica 55 Roman"/>
      <w:color w:val="000000"/>
      <w:sz w:val="16"/>
      <w:szCs w:val="16"/>
    </w:rPr>
  </w:style>
  <w:style w:type="paragraph" w:customStyle="1" w:styleId="03bHEADING4">
    <w:name w:val="03b. HEADING 4"/>
    <w:basedOn w:val="Normal"/>
    <w:uiPriority w:val="99"/>
    <w:rsid w:val="002D1433"/>
    <w:pPr>
      <w:widowControl w:val="0"/>
      <w:autoSpaceDE w:val="0"/>
      <w:autoSpaceDN w:val="0"/>
      <w:adjustRightInd w:val="0"/>
      <w:spacing w:before="283" w:after="113" w:line="288" w:lineRule="auto"/>
      <w:textAlignment w:val="center"/>
    </w:pPr>
    <w:rPr>
      <w:rFonts w:ascii="HelveticaNeue-MediumCond" w:eastAsiaTheme="minorEastAsia" w:hAnsi="HelveticaNeue-MediumCond" w:cs="HelveticaNeue-MediumCond"/>
      <w:b/>
      <w:bCs/>
      <w:i/>
      <w:iCs/>
      <w:color w:val="000000"/>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BD4"/>
    <w:rPr>
      <w:rFonts w:ascii="Franklin Gothic Book" w:hAnsi="Franklin Gothic Book"/>
      <w:sz w:val="22"/>
      <w:szCs w:val="24"/>
      <w:lang w:eastAsia="en-US"/>
    </w:rPr>
  </w:style>
  <w:style w:type="paragraph" w:styleId="Heading1">
    <w:name w:val="heading 1"/>
    <w:basedOn w:val="Normal"/>
    <w:next w:val="Normal"/>
    <w:link w:val="Heading1Char"/>
    <w:qFormat/>
    <w:rsid w:val="00423F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25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C75A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basedOn w:val="Normal"/>
    <w:next w:val="Normal"/>
    <w:link w:val="Heading4Char"/>
    <w:unhideWhenUsed/>
    <w:qFormat/>
    <w:rsid w:val="009B67F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F84"/>
    <w:rPr>
      <w:rFonts w:asciiTheme="majorHAnsi" w:eastAsiaTheme="majorEastAsia" w:hAnsiTheme="majorHAnsi" w:cstheme="majorBidi"/>
      <w:b/>
      <w:bCs/>
      <w:color w:val="365F91" w:themeColor="accent1" w:themeShade="BF"/>
      <w:sz w:val="28"/>
      <w:szCs w:val="28"/>
      <w:lang w:eastAsia="en-US"/>
    </w:rPr>
  </w:style>
  <w:style w:type="paragraph" w:styleId="Subtitle">
    <w:name w:val="Subtitle"/>
    <w:basedOn w:val="Normal"/>
    <w:next w:val="Normal"/>
    <w:link w:val="SubtitleChar"/>
    <w:qFormat/>
    <w:rsid w:val="00423F8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23F84"/>
    <w:rPr>
      <w:rFonts w:asciiTheme="majorHAnsi" w:eastAsiaTheme="majorEastAsia" w:hAnsiTheme="majorHAnsi" w:cstheme="majorBidi"/>
      <w:i/>
      <w:iCs/>
      <w:color w:val="4F81BD" w:themeColor="accent1"/>
      <w:spacing w:val="15"/>
      <w:sz w:val="24"/>
      <w:szCs w:val="24"/>
      <w:lang w:eastAsia="en-US"/>
    </w:rPr>
  </w:style>
  <w:style w:type="paragraph" w:styleId="EndnoteText">
    <w:name w:val="endnote text"/>
    <w:basedOn w:val="Normal"/>
    <w:link w:val="EndnoteTextChar"/>
    <w:rsid w:val="00190DC7"/>
    <w:rPr>
      <w:sz w:val="20"/>
      <w:szCs w:val="20"/>
    </w:rPr>
  </w:style>
  <w:style w:type="character" w:customStyle="1" w:styleId="EndnoteTextChar">
    <w:name w:val="Endnote Text Char"/>
    <w:basedOn w:val="DefaultParagraphFont"/>
    <w:link w:val="EndnoteText"/>
    <w:rsid w:val="00190DC7"/>
    <w:rPr>
      <w:lang w:eastAsia="en-US"/>
    </w:rPr>
  </w:style>
  <w:style w:type="character" w:styleId="EndnoteReference">
    <w:name w:val="endnote reference"/>
    <w:basedOn w:val="DefaultParagraphFont"/>
    <w:rsid w:val="00190DC7"/>
    <w:rPr>
      <w:vertAlign w:val="superscript"/>
    </w:rPr>
  </w:style>
  <w:style w:type="paragraph" w:styleId="FootnoteText">
    <w:name w:val="footnote text"/>
    <w:basedOn w:val="Normal"/>
    <w:link w:val="FootnoteTextChar"/>
    <w:rsid w:val="00190DC7"/>
    <w:rPr>
      <w:sz w:val="20"/>
      <w:szCs w:val="20"/>
    </w:rPr>
  </w:style>
  <w:style w:type="character" w:customStyle="1" w:styleId="FootnoteTextChar">
    <w:name w:val="Footnote Text Char"/>
    <w:basedOn w:val="DefaultParagraphFont"/>
    <w:link w:val="FootnoteText"/>
    <w:rsid w:val="00190DC7"/>
    <w:rPr>
      <w:lang w:eastAsia="en-US"/>
    </w:rPr>
  </w:style>
  <w:style w:type="character" w:styleId="FootnoteReference">
    <w:name w:val="footnote reference"/>
    <w:aliases w:val="ftref,Footnote Reference1, BVI fnr,BVI fnr,Normal + Font:9 Point,Superscript 3 Point Times,Ref,de nota al pie,16 Point,Superscript 6 Point,Char Char Char Char Car Char,Footnote Reference Number,Footnote,FnR-ANZDEC,Fußnotenzeichen DISS"/>
    <w:basedOn w:val="DefaultParagraphFont"/>
    <w:rsid w:val="00190DC7"/>
    <w:rPr>
      <w:vertAlign w:val="superscript"/>
    </w:rPr>
  </w:style>
  <w:style w:type="character" w:styleId="Emphasis">
    <w:name w:val="Emphasis"/>
    <w:basedOn w:val="DefaultParagraphFont"/>
    <w:qFormat/>
    <w:rsid w:val="00726959"/>
    <w:rPr>
      <w:i/>
      <w:iCs/>
    </w:rPr>
  </w:style>
  <w:style w:type="character" w:styleId="Strong">
    <w:name w:val="Strong"/>
    <w:basedOn w:val="DefaultParagraphFont"/>
    <w:uiPriority w:val="22"/>
    <w:qFormat/>
    <w:rsid w:val="00726959"/>
    <w:rPr>
      <w:b/>
      <w:bCs/>
    </w:rPr>
  </w:style>
  <w:style w:type="paragraph" w:styleId="ListParagraph">
    <w:name w:val="List Paragraph"/>
    <w:basedOn w:val="Normal"/>
    <w:uiPriority w:val="34"/>
    <w:qFormat/>
    <w:rsid w:val="00185C42"/>
    <w:pPr>
      <w:ind w:left="720"/>
      <w:contextualSpacing/>
    </w:pPr>
  </w:style>
  <w:style w:type="table" w:styleId="TableGrid">
    <w:name w:val="Table Grid"/>
    <w:basedOn w:val="TableNormal"/>
    <w:uiPriority w:val="59"/>
    <w:rsid w:val="00B967D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67D5"/>
    <w:rPr>
      <w:rFonts w:ascii="Tahoma" w:hAnsi="Tahoma" w:cs="Tahoma"/>
      <w:sz w:val="16"/>
      <w:szCs w:val="16"/>
    </w:rPr>
  </w:style>
  <w:style w:type="character" w:customStyle="1" w:styleId="BalloonTextChar">
    <w:name w:val="Balloon Text Char"/>
    <w:basedOn w:val="DefaultParagraphFont"/>
    <w:link w:val="BalloonText"/>
    <w:rsid w:val="00B967D5"/>
    <w:rPr>
      <w:rFonts w:ascii="Tahoma" w:hAnsi="Tahoma" w:cs="Tahoma"/>
      <w:sz w:val="16"/>
      <w:szCs w:val="16"/>
      <w:lang w:eastAsia="en-US"/>
    </w:rPr>
  </w:style>
  <w:style w:type="character" w:styleId="Hyperlink">
    <w:name w:val="Hyperlink"/>
    <w:basedOn w:val="DefaultParagraphFont"/>
    <w:uiPriority w:val="99"/>
    <w:unhideWhenUsed/>
    <w:rsid w:val="009237B3"/>
    <w:rPr>
      <w:color w:val="0000FF" w:themeColor="hyperlink"/>
      <w:u w:val="single"/>
    </w:rPr>
  </w:style>
  <w:style w:type="character" w:styleId="IntenseEmphasis">
    <w:name w:val="Intense Emphasis"/>
    <w:basedOn w:val="DefaultParagraphFont"/>
    <w:uiPriority w:val="21"/>
    <w:qFormat/>
    <w:rsid w:val="009237B3"/>
    <w:rPr>
      <w:b/>
      <w:bCs/>
      <w:i/>
      <w:iCs/>
      <w:color w:val="4F81BD" w:themeColor="accent1"/>
    </w:rPr>
  </w:style>
  <w:style w:type="character" w:styleId="SubtleEmphasis">
    <w:name w:val="Subtle Emphasis"/>
    <w:basedOn w:val="DefaultParagraphFont"/>
    <w:uiPriority w:val="19"/>
    <w:qFormat/>
    <w:rsid w:val="003E73FB"/>
    <w:rPr>
      <w:i/>
      <w:iCs/>
      <w:color w:val="808080" w:themeColor="text1" w:themeTint="7F"/>
    </w:rPr>
  </w:style>
  <w:style w:type="character" w:customStyle="1" w:styleId="FootnoteTextChar1">
    <w:name w:val="Footnote Text Char1"/>
    <w:basedOn w:val="DefaultParagraphFont"/>
    <w:uiPriority w:val="99"/>
    <w:semiHidden/>
    <w:rsid w:val="00DE4C0F"/>
    <w:rPr>
      <w:sz w:val="20"/>
      <w:szCs w:val="20"/>
    </w:rPr>
  </w:style>
  <w:style w:type="character" w:customStyle="1" w:styleId="Heading4Char">
    <w:name w:val="Heading 4 Char"/>
    <w:basedOn w:val="DefaultParagraphFont"/>
    <w:link w:val="Heading4"/>
    <w:rsid w:val="009B67F9"/>
    <w:rPr>
      <w:rFonts w:asciiTheme="majorHAnsi" w:eastAsiaTheme="majorEastAsia" w:hAnsiTheme="majorHAnsi" w:cstheme="majorBidi"/>
      <w:b/>
      <w:bCs/>
      <w:i/>
      <w:iCs/>
      <w:color w:val="4F81BD" w:themeColor="accent1"/>
      <w:sz w:val="24"/>
      <w:szCs w:val="24"/>
      <w:lang w:eastAsia="en-US"/>
    </w:rPr>
  </w:style>
  <w:style w:type="character" w:customStyle="1" w:styleId="Heading3Char">
    <w:name w:val="Heading 3 Char"/>
    <w:basedOn w:val="DefaultParagraphFont"/>
    <w:link w:val="Heading3"/>
    <w:rsid w:val="008C75AA"/>
    <w:rPr>
      <w:rFonts w:asciiTheme="majorHAnsi" w:eastAsiaTheme="majorEastAsia" w:hAnsiTheme="majorHAnsi" w:cstheme="majorBidi"/>
      <w:b/>
      <w:bCs/>
      <w:i/>
      <w:color w:val="4F81BD" w:themeColor="accent1"/>
      <w:sz w:val="24"/>
      <w:szCs w:val="24"/>
      <w:lang w:eastAsia="en-US"/>
    </w:rPr>
  </w:style>
  <w:style w:type="paragraph" w:styleId="Header">
    <w:name w:val="header"/>
    <w:basedOn w:val="Normal"/>
    <w:link w:val="HeaderChar"/>
    <w:uiPriority w:val="99"/>
    <w:rsid w:val="00E07066"/>
    <w:pPr>
      <w:tabs>
        <w:tab w:val="center" w:pos="4513"/>
        <w:tab w:val="right" w:pos="9026"/>
      </w:tabs>
    </w:pPr>
  </w:style>
  <w:style w:type="character" w:customStyle="1" w:styleId="HeaderChar">
    <w:name w:val="Header Char"/>
    <w:basedOn w:val="DefaultParagraphFont"/>
    <w:link w:val="Header"/>
    <w:uiPriority w:val="99"/>
    <w:rsid w:val="00E07066"/>
    <w:rPr>
      <w:sz w:val="24"/>
      <w:szCs w:val="24"/>
      <w:lang w:eastAsia="en-US"/>
    </w:rPr>
  </w:style>
  <w:style w:type="paragraph" w:styleId="Footer">
    <w:name w:val="footer"/>
    <w:basedOn w:val="Normal"/>
    <w:link w:val="FooterChar"/>
    <w:rsid w:val="00E07066"/>
    <w:pPr>
      <w:tabs>
        <w:tab w:val="center" w:pos="4513"/>
        <w:tab w:val="right" w:pos="9026"/>
      </w:tabs>
    </w:pPr>
  </w:style>
  <w:style w:type="character" w:customStyle="1" w:styleId="FooterChar">
    <w:name w:val="Footer Char"/>
    <w:basedOn w:val="DefaultParagraphFont"/>
    <w:link w:val="Footer"/>
    <w:rsid w:val="00E07066"/>
    <w:rPr>
      <w:sz w:val="24"/>
      <w:szCs w:val="24"/>
      <w:lang w:eastAsia="en-US"/>
    </w:rPr>
  </w:style>
  <w:style w:type="table" w:styleId="ColorfulList">
    <w:name w:val="Colorful List"/>
    <w:basedOn w:val="TableNormal"/>
    <w:uiPriority w:val="72"/>
    <w:rsid w:val="00321EFE"/>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CommentReference">
    <w:name w:val="annotation reference"/>
    <w:basedOn w:val="DefaultParagraphFont"/>
    <w:rsid w:val="00A14733"/>
    <w:rPr>
      <w:sz w:val="16"/>
      <w:szCs w:val="16"/>
    </w:rPr>
  </w:style>
  <w:style w:type="paragraph" w:styleId="CommentText">
    <w:name w:val="annotation text"/>
    <w:basedOn w:val="Normal"/>
    <w:link w:val="CommentTextChar"/>
    <w:rsid w:val="00A14733"/>
    <w:rPr>
      <w:sz w:val="20"/>
      <w:szCs w:val="20"/>
    </w:rPr>
  </w:style>
  <w:style w:type="character" w:customStyle="1" w:styleId="CommentTextChar">
    <w:name w:val="Comment Text Char"/>
    <w:basedOn w:val="DefaultParagraphFont"/>
    <w:link w:val="CommentText"/>
    <w:rsid w:val="00A14733"/>
    <w:rPr>
      <w:lang w:eastAsia="en-US"/>
    </w:rPr>
  </w:style>
  <w:style w:type="paragraph" w:styleId="NormalWeb">
    <w:name w:val="Normal (Web)"/>
    <w:basedOn w:val="Normal"/>
    <w:uiPriority w:val="99"/>
    <w:unhideWhenUsed/>
    <w:rsid w:val="00A23AFA"/>
    <w:pPr>
      <w:spacing w:before="100" w:beforeAutospacing="1" w:after="100" w:afterAutospacing="1"/>
    </w:pPr>
    <w:rPr>
      <w:lang w:eastAsia="en-AU"/>
    </w:rPr>
  </w:style>
  <w:style w:type="paragraph" w:styleId="Title">
    <w:name w:val="Title"/>
    <w:basedOn w:val="Normal"/>
    <w:next w:val="Subtitle"/>
    <w:link w:val="TitleChar"/>
    <w:qFormat/>
    <w:rsid w:val="00A23AFA"/>
    <w:pPr>
      <w:pageBreakBefore/>
      <w:spacing w:before="9000" w:line="640" w:lineRule="atLeast"/>
      <w:ind w:left="2410" w:right="-198"/>
    </w:pPr>
    <w:rPr>
      <w:rFonts w:ascii="Helvetica" w:hAnsi="Helvetica"/>
      <w:noProof/>
      <w:color w:val="FFFFFF"/>
      <w:kern w:val="28"/>
      <w:sz w:val="50"/>
      <w:szCs w:val="50"/>
      <w:lang w:val="en-US"/>
    </w:rPr>
  </w:style>
  <w:style w:type="character" w:customStyle="1" w:styleId="TitleChar">
    <w:name w:val="Title Char"/>
    <w:basedOn w:val="DefaultParagraphFont"/>
    <w:link w:val="Title"/>
    <w:rsid w:val="00A23AFA"/>
    <w:rPr>
      <w:rFonts w:ascii="Helvetica" w:hAnsi="Helvetica"/>
      <w:noProof/>
      <w:color w:val="FFFFFF"/>
      <w:kern w:val="28"/>
      <w:sz w:val="50"/>
      <w:szCs w:val="50"/>
      <w:lang w:val="en-US" w:eastAsia="en-US"/>
    </w:rPr>
  </w:style>
  <w:style w:type="character" w:styleId="PageNumber">
    <w:name w:val="page number"/>
    <w:rsid w:val="00A23AFA"/>
    <w:rPr>
      <w:rFonts w:ascii="Franklin Gothic Medium" w:hAnsi="Franklin Gothic Medium"/>
      <w:color w:val="54534A"/>
      <w:sz w:val="14"/>
      <w:szCs w:val="14"/>
    </w:rPr>
  </w:style>
  <w:style w:type="paragraph" w:styleId="TOCHeading">
    <w:name w:val="TOC Heading"/>
    <w:basedOn w:val="Heading1"/>
    <w:next w:val="Normal"/>
    <w:uiPriority w:val="39"/>
    <w:unhideWhenUsed/>
    <w:qFormat/>
    <w:rsid w:val="00A23AFA"/>
    <w:pPr>
      <w:spacing w:line="276" w:lineRule="auto"/>
      <w:outlineLvl w:val="9"/>
    </w:pPr>
    <w:rPr>
      <w:lang w:val="en-US" w:eastAsia="ja-JP"/>
    </w:rPr>
  </w:style>
  <w:style w:type="paragraph" w:styleId="TOC2">
    <w:name w:val="toc 2"/>
    <w:basedOn w:val="Normal"/>
    <w:next w:val="Normal"/>
    <w:autoRedefine/>
    <w:uiPriority w:val="39"/>
    <w:unhideWhenUsed/>
    <w:qFormat/>
    <w:rsid w:val="00A23AFA"/>
    <w:pPr>
      <w:spacing w:after="100" w:line="276" w:lineRule="auto"/>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814EA9"/>
    <w:pPr>
      <w:tabs>
        <w:tab w:val="right" w:leader="dot" w:pos="9174"/>
      </w:tabs>
      <w:spacing w:after="100" w:line="276" w:lineRule="auto"/>
    </w:pPr>
    <w:rPr>
      <w:rFonts w:asciiTheme="minorHAnsi" w:eastAsiaTheme="minorHAnsi" w:hAnsiTheme="minorHAnsi" w:cstheme="minorHAnsi"/>
      <w:noProof/>
      <w:szCs w:val="22"/>
      <w:lang w:val="en-US" w:eastAsia="ja-JP"/>
    </w:rPr>
  </w:style>
  <w:style w:type="paragraph" w:styleId="CommentSubject">
    <w:name w:val="annotation subject"/>
    <w:basedOn w:val="CommentText"/>
    <w:next w:val="CommentText"/>
    <w:link w:val="CommentSubjectChar"/>
    <w:rsid w:val="00E303C8"/>
    <w:rPr>
      <w:b/>
      <w:bCs/>
    </w:rPr>
  </w:style>
  <w:style w:type="character" w:customStyle="1" w:styleId="CommentSubjectChar">
    <w:name w:val="Comment Subject Char"/>
    <w:basedOn w:val="CommentTextChar"/>
    <w:link w:val="CommentSubject"/>
    <w:rsid w:val="00E303C8"/>
    <w:rPr>
      <w:b/>
      <w:bCs/>
      <w:lang w:eastAsia="en-US"/>
    </w:rPr>
  </w:style>
  <w:style w:type="paragraph" w:styleId="Revision">
    <w:name w:val="Revision"/>
    <w:hidden/>
    <w:uiPriority w:val="99"/>
    <w:semiHidden/>
    <w:rsid w:val="00EF2C82"/>
    <w:rPr>
      <w:sz w:val="24"/>
      <w:szCs w:val="24"/>
      <w:lang w:eastAsia="en-US"/>
    </w:rPr>
  </w:style>
  <w:style w:type="character" w:customStyle="1" w:styleId="Heading2Char">
    <w:name w:val="Heading 2 Char"/>
    <w:basedOn w:val="DefaultParagraphFont"/>
    <w:link w:val="Heading2"/>
    <w:rsid w:val="00525DE4"/>
    <w:rPr>
      <w:rFonts w:asciiTheme="majorHAnsi" w:eastAsiaTheme="majorEastAsia" w:hAnsiTheme="majorHAnsi" w:cstheme="majorBidi"/>
      <w:b/>
      <w:bCs/>
      <w:color w:val="4F81BD" w:themeColor="accent1"/>
      <w:sz w:val="26"/>
      <w:szCs w:val="26"/>
      <w:lang w:eastAsia="en-US"/>
    </w:rPr>
  </w:style>
  <w:style w:type="paragraph" w:styleId="TOC3">
    <w:name w:val="toc 3"/>
    <w:basedOn w:val="Normal"/>
    <w:next w:val="Normal"/>
    <w:autoRedefine/>
    <w:uiPriority w:val="39"/>
    <w:rsid w:val="006F7877"/>
    <w:pPr>
      <w:tabs>
        <w:tab w:val="right" w:leader="dot" w:pos="9174"/>
      </w:tabs>
      <w:spacing w:after="100"/>
      <w:ind w:left="480"/>
    </w:pPr>
    <w:rPr>
      <w:rFonts w:asciiTheme="minorHAnsi" w:hAnsiTheme="minorHAnsi" w:cstheme="minorHAnsi"/>
      <w:noProof/>
      <w:szCs w:val="22"/>
    </w:rPr>
  </w:style>
  <w:style w:type="character" w:styleId="FollowedHyperlink">
    <w:name w:val="FollowedHyperlink"/>
    <w:basedOn w:val="DefaultParagraphFont"/>
    <w:rsid w:val="007125C8"/>
    <w:rPr>
      <w:color w:val="800080" w:themeColor="followedHyperlink"/>
      <w:u w:val="single"/>
    </w:rPr>
  </w:style>
  <w:style w:type="character" w:styleId="HTMLCite">
    <w:name w:val="HTML Cite"/>
    <w:basedOn w:val="DefaultParagraphFont"/>
    <w:uiPriority w:val="99"/>
    <w:unhideWhenUsed/>
    <w:rsid w:val="007D676E"/>
    <w:rPr>
      <w:i/>
      <w:iCs/>
    </w:rPr>
  </w:style>
  <w:style w:type="table" w:styleId="LightList-Accent5">
    <w:name w:val="Light List Accent 5"/>
    <w:basedOn w:val="TableNormal"/>
    <w:uiPriority w:val="61"/>
    <w:rsid w:val="007618D7"/>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23578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Bullet">
    <w:name w:val="List Bullet"/>
    <w:basedOn w:val="BodyText"/>
    <w:rsid w:val="008A3C74"/>
    <w:pPr>
      <w:spacing w:line="280" w:lineRule="exact"/>
    </w:pPr>
    <w:rPr>
      <w:sz w:val="21"/>
      <w:lang w:eastAsia="en-AU"/>
    </w:rPr>
  </w:style>
  <w:style w:type="paragraph" w:styleId="BodyText">
    <w:name w:val="Body Text"/>
    <w:basedOn w:val="Normal"/>
    <w:link w:val="BodyTextChar"/>
    <w:rsid w:val="00DF3DA9"/>
    <w:pPr>
      <w:spacing w:after="120"/>
    </w:pPr>
  </w:style>
  <w:style w:type="character" w:customStyle="1" w:styleId="BodyTextChar">
    <w:name w:val="Body Text Char"/>
    <w:basedOn w:val="DefaultParagraphFont"/>
    <w:link w:val="BodyText"/>
    <w:rsid w:val="00DF3DA9"/>
    <w:rPr>
      <w:rFonts w:ascii="Franklin Gothic Book" w:hAnsi="Franklin Gothic Book"/>
      <w:sz w:val="22"/>
      <w:szCs w:val="24"/>
      <w:lang w:eastAsia="en-US"/>
    </w:rPr>
  </w:style>
  <w:style w:type="paragraph" w:styleId="ListBullet2">
    <w:name w:val="List Bullet 2"/>
    <w:basedOn w:val="ListBullet"/>
    <w:rsid w:val="00B50F22"/>
  </w:style>
  <w:style w:type="character" w:customStyle="1" w:styleId="A3">
    <w:name w:val="A3"/>
    <w:uiPriority w:val="99"/>
    <w:rsid w:val="002D1433"/>
    <w:rPr>
      <w:rFonts w:ascii="Helvetica 55 Roman" w:hAnsi="Helvetica 55 Roman" w:cs="Helvetica 55 Roman"/>
      <w:color w:val="000000"/>
      <w:sz w:val="16"/>
      <w:szCs w:val="16"/>
    </w:rPr>
  </w:style>
  <w:style w:type="paragraph" w:customStyle="1" w:styleId="03bHEADING4">
    <w:name w:val="03b. HEADING 4"/>
    <w:basedOn w:val="Normal"/>
    <w:uiPriority w:val="99"/>
    <w:rsid w:val="002D1433"/>
    <w:pPr>
      <w:widowControl w:val="0"/>
      <w:autoSpaceDE w:val="0"/>
      <w:autoSpaceDN w:val="0"/>
      <w:adjustRightInd w:val="0"/>
      <w:spacing w:before="283" w:after="113" w:line="288" w:lineRule="auto"/>
      <w:textAlignment w:val="center"/>
    </w:pPr>
    <w:rPr>
      <w:rFonts w:ascii="HelveticaNeue-MediumCond" w:eastAsiaTheme="minorEastAsia" w:hAnsi="HelveticaNeue-MediumCond" w:cs="HelveticaNeue-MediumCond"/>
      <w:b/>
      <w:bCs/>
      <w:i/>
      <w:iCs/>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539">
      <w:bodyDiv w:val="1"/>
      <w:marLeft w:val="0"/>
      <w:marRight w:val="0"/>
      <w:marTop w:val="0"/>
      <w:marBottom w:val="0"/>
      <w:divBdr>
        <w:top w:val="none" w:sz="0" w:space="0" w:color="auto"/>
        <w:left w:val="none" w:sz="0" w:space="0" w:color="auto"/>
        <w:bottom w:val="none" w:sz="0" w:space="0" w:color="auto"/>
        <w:right w:val="none" w:sz="0" w:space="0" w:color="auto"/>
      </w:divBdr>
      <w:divsChild>
        <w:div w:id="1390155934">
          <w:marLeft w:val="0"/>
          <w:marRight w:val="0"/>
          <w:marTop w:val="0"/>
          <w:marBottom w:val="0"/>
          <w:divBdr>
            <w:top w:val="none" w:sz="0" w:space="0" w:color="auto"/>
            <w:left w:val="none" w:sz="0" w:space="0" w:color="auto"/>
            <w:bottom w:val="none" w:sz="0" w:space="0" w:color="auto"/>
            <w:right w:val="none" w:sz="0" w:space="0" w:color="auto"/>
          </w:divBdr>
          <w:divsChild>
            <w:div w:id="1197887502">
              <w:marLeft w:val="0"/>
              <w:marRight w:val="0"/>
              <w:marTop w:val="0"/>
              <w:marBottom w:val="0"/>
              <w:divBdr>
                <w:top w:val="none" w:sz="0" w:space="0" w:color="auto"/>
                <w:left w:val="none" w:sz="0" w:space="0" w:color="auto"/>
                <w:bottom w:val="none" w:sz="0" w:space="0" w:color="auto"/>
                <w:right w:val="none" w:sz="0" w:space="0" w:color="auto"/>
              </w:divBdr>
              <w:divsChild>
                <w:div w:id="761798203">
                  <w:marLeft w:val="0"/>
                  <w:marRight w:val="0"/>
                  <w:marTop w:val="0"/>
                  <w:marBottom w:val="0"/>
                  <w:divBdr>
                    <w:top w:val="none" w:sz="0" w:space="0" w:color="auto"/>
                    <w:left w:val="none" w:sz="0" w:space="0" w:color="auto"/>
                    <w:bottom w:val="none" w:sz="0" w:space="0" w:color="auto"/>
                    <w:right w:val="none" w:sz="0" w:space="0" w:color="auto"/>
                  </w:divBdr>
                  <w:divsChild>
                    <w:div w:id="1272669065">
                      <w:marLeft w:val="0"/>
                      <w:marRight w:val="0"/>
                      <w:marTop w:val="45"/>
                      <w:marBottom w:val="0"/>
                      <w:divBdr>
                        <w:top w:val="none" w:sz="0" w:space="0" w:color="auto"/>
                        <w:left w:val="none" w:sz="0" w:space="0" w:color="auto"/>
                        <w:bottom w:val="none" w:sz="0" w:space="0" w:color="auto"/>
                        <w:right w:val="none" w:sz="0" w:space="0" w:color="auto"/>
                      </w:divBdr>
                      <w:divsChild>
                        <w:div w:id="2001736377">
                          <w:marLeft w:val="0"/>
                          <w:marRight w:val="0"/>
                          <w:marTop w:val="0"/>
                          <w:marBottom w:val="0"/>
                          <w:divBdr>
                            <w:top w:val="none" w:sz="0" w:space="0" w:color="auto"/>
                            <w:left w:val="none" w:sz="0" w:space="0" w:color="auto"/>
                            <w:bottom w:val="none" w:sz="0" w:space="0" w:color="auto"/>
                            <w:right w:val="none" w:sz="0" w:space="0" w:color="auto"/>
                          </w:divBdr>
                          <w:divsChild>
                            <w:div w:id="36709495">
                              <w:marLeft w:val="2070"/>
                              <w:marRight w:val="3810"/>
                              <w:marTop w:val="0"/>
                              <w:marBottom w:val="0"/>
                              <w:divBdr>
                                <w:top w:val="none" w:sz="0" w:space="0" w:color="auto"/>
                                <w:left w:val="none" w:sz="0" w:space="0" w:color="auto"/>
                                <w:bottom w:val="none" w:sz="0" w:space="0" w:color="auto"/>
                                <w:right w:val="none" w:sz="0" w:space="0" w:color="auto"/>
                              </w:divBdr>
                              <w:divsChild>
                                <w:div w:id="304239709">
                                  <w:marLeft w:val="0"/>
                                  <w:marRight w:val="0"/>
                                  <w:marTop w:val="0"/>
                                  <w:marBottom w:val="0"/>
                                  <w:divBdr>
                                    <w:top w:val="none" w:sz="0" w:space="0" w:color="auto"/>
                                    <w:left w:val="none" w:sz="0" w:space="0" w:color="auto"/>
                                    <w:bottom w:val="none" w:sz="0" w:space="0" w:color="auto"/>
                                    <w:right w:val="none" w:sz="0" w:space="0" w:color="auto"/>
                                  </w:divBdr>
                                  <w:divsChild>
                                    <w:div w:id="338122658">
                                      <w:marLeft w:val="0"/>
                                      <w:marRight w:val="0"/>
                                      <w:marTop w:val="0"/>
                                      <w:marBottom w:val="0"/>
                                      <w:divBdr>
                                        <w:top w:val="none" w:sz="0" w:space="0" w:color="auto"/>
                                        <w:left w:val="none" w:sz="0" w:space="0" w:color="auto"/>
                                        <w:bottom w:val="none" w:sz="0" w:space="0" w:color="auto"/>
                                        <w:right w:val="none" w:sz="0" w:space="0" w:color="auto"/>
                                      </w:divBdr>
                                      <w:divsChild>
                                        <w:div w:id="309406723">
                                          <w:marLeft w:val="0"/>
                                          <w:marRight w:val="0"/>
                                          <w:marTop w:val="0"/>
                                          <w:marBottom w:val="0"/>
                                          <w:divBdr>
                                            <w:top w:val="none" w:sz="0" w:space="0" w:color="auto"/>
                                            <w:left w:val="none" w:sz="0" w:space="0" w:color="auto"/>
                                            <w:bottom w:val="none" w:sz="0" w:space="0" w:color="auto"/>
                                            <w:right w:val="none" w:sz="0" w:space="0" w:color="auto"/>
                                          </w:divBdr>
                                          <w:divsChild>
                                            <w:div w:id="1768187968">
                                              <w:marLeft w:val="0"/>
                                              <w:marRight w:val="0"/>
                                              <w:marTop w:val="0"/>
                                              <w:marBottom w:val="0"/>
                                              <w:divBdr>
                                                <w:top w:val="none" w:sz="0" w:space="0" w:color="auto"/>
                                                <w:left w:val="none" w:sz="0" w:space="0" w:color="auto"/>
                                                <w:bottom w:val="none" w:sz="0" w:space="0" w:color="auto"/>
                                                <w:right w:val="none" w:sz="0" w:space="0" w:color="auto"/>
                                              </w:divBdr>
                                              <w:divsChild>
                                                <w:div w:id="1562213160">
                                                  <w:marLeft w:val="0"/>
                                                  <w:marRight w:val="0"/>
                                                  <w:marTop w:val="0"/>
                                                  <w:marBottom w:val="0"/>
                                                  <w:divBdr>
                                                    <w:top w:val="none" w:sz="0" w:space="0" w:color="auto"/>
                                                    <w:left w:val="none" w:sz="0" w:space="0" w:color="auto"/>
                                                    <w:bottom w:val="none" w:sz="0" w:space="0" w:color="auto"/>
                                                    <w:right w:val="none" w:sz="0" w:space="0" w:color="auto"/>
                                                  </w:divBdr>
                                                  <w:divsChild>
                                                    <w:div w:id="1463576192">
                                                      <w:marLeft w:val="0"/>
                                                      <w:marRight w:val="0"/>
                                                      <w:marTop w:val="0"/>
                                                      <w:marBottom w:val="345"/>
                                                      <w:divBdr>
                                                        <w:top w:val="none" w:sz="0" w:space="0" w:color="auto"/>
                                                        <w:left w:val="none" w:sz="0" w:space="0" w:color="auto"/>
                                                        <w:bottom w:val="none" w:sz="0" w:space="0" w:color="auto"/>
                                                        <w:right w:val="none" w:sz="0" w:space="0" w:color="auto"/>
                                                      </w:divBdr>
                                                      <w:divsChild>
                                                        <w:div w:id="1492674249">
                                                          <w:marLeft w:val="0"/>
                                                          <w:marRight w:val="0"/>
                                                          <w:marTop w:val="0"/>
                                                          <w:marBottom w:val="0"/>
                                                          <w:divBdr>
                                                            <w:top w:val="none" w:sz="0" w:space="0" w:color="auto"/>
                                                            <w:left w:val="none" w:sz="0" w:space="0" w:color="auto"/>
                                                            <w:bottom w:val="none" w:sz="0" w:space="0" w:color="auto"/>
                                                            <w:right w:val="none" w:sz="0" w:space="0" w:color="auto"/>
                                                          </w:divBdr>
                                                          <w:divsChild>
                                                            <w:div w:id="114493776">
                                                              <w:marLeft w:val="0"/>
                                                              <w:marRight w:val="0"/>
                                                              <w:marTop w:val="0"/>
                                                              <w:marBottom w:val="0"/>
                                                              <w:divBdr>
                                                                <w:top w:val="none" w:sz="0" w:space="0" w:color="auto"/>
                                                                <w:left w:val="none" w:sz="0" w:space="0" w:color="auto"/>
                                                                <w:bottom w:val="none" w:sz="0" w:space="0" w:color="auto"/>
                                                                <w:right w:val="none" w:sz="0" w:space="0" w:color="auto"/>
                                                              </w:divBdr>
                                                              <w:divsChild>
                                                                <w:div w:id="1783383058">
                                                                  <w:marLeft w:val="0"/>
                                                                  <w:marRight w:val="0"/>
                                                                  <w:marTop w:val="0"/>
                                                                  <w:marBottom w:val="0"/>
                                                                  <w:divBdr>
                                                                    <w:top w:val="none" w:sz="0" w:space="0" w:color="auto"/>
                                                                    <w:left w:val="none" w:sz="0" w:space="0" w:color="auto"/>
                                                                    <w:bottom w:val="none" w:sz="0" w:space="0" w:color="auto"/>
                                                                    <w:right w:val="none" w:sz="0" w:space="0" w:color="auto"/>
                                                                  </w:divBdr>
                                                                  <w:divsChild>
                                                                    <w:div w:id="1380009995">
                                                                      <w:marLeft w:val="0"/>
                                                                      <w:marRight w:val="0"/>
                                                                      <w:marTop w:val="0"/>
                                                                      <w:marBottom w:val="0"/>
                                                                      <w:divBdr>
                                                                        <w:top w:val="none" w:sz="0" w:space="0" w:color="auto"/>
                                                                        <w:left w:val="none" w:sz="0" w:space="0" w:color="auto"/>
                                                                        <w:bottom w:val="none" w:sz="0" w:space="0" w:color="auto"/>
                                                                        <w:right w:val="none" w:sz="0" w:space="0" w:color="auto"/>
                                                                      </w:divBdr>
                                                                      <w:divsChild>
                                                                        <w:div w:id="740641883">
                                                                          <w:marLeft w:val="0"/>
                                                                          <w:marRight w:val="0"/>
                                                                          <w:marTop w:val="0"/>
                                                                          <w:marBottom w:val="0"/>
                                                                          <w:divBdr>
                                                                            <w:top w:val="none" w:sz="0" w:space="0" w:color="auto"/>
                                                                            <w:left w:val="none" w:sz="0" w:space="0" w:color="auto"/>
                                                                            <w:bottom w:val="none" w:sz="0" w:space="0" w:color="auto"/>
                                                                            <w:right w:val="none" w:sz="0" w:space="0" w:color="auto"/>
                                                                          </w:divBdr>
                                                                          <w:divsChild>
                                                                            <w:div w:id="124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33361">
      <w:bodyDiv w:val="1"/>
      <w:marLeft w:val="0"/>
      <w:marRight w:val="0"/>
      <w:marTop w:val="0"/>
      <w:marBottom w:val="0"/>
      <w:divBdr>
        <w:top w:val="none" w:sz="0" w:space="0" w:color="auto"/>
        <w:left w:val="none" w:sz="0" w:space="0" w:color="auto"/>
        <w:bottom w:val="none" w:sz="0" w:space="0" w:color="auto"/>
        <w:right w:val="none" w:sz="0" w:space="0" w:color="auto"/>
      </w:divBdr>
      <w:divsChild>
        <w:div w:id="596595668">
          <w:marLeft w:val="0"/>
          <w:marRight w:val="0"/>
          <w:marTop w:val="0"/>
          <w:marBottom w:val="0"/>
          <w:divBdr>
            <w:top w:val="none" w:sz="0" w:space="0" w:color="auto"/>
            <w:left w:val="none" w:sz="0" w:space="0" w:color="auto"/>
            <w:bottom w:val="none" w:sz="0" w:space="0" w:color="auto"/>
            <w:right w:val="none" w:sz="0" w:space="0" w:color="auto"/>
          </w:divBdr>
          <w:divsChild>
            <w:div w:id="1192184241">
              <w:marLeft w:val="0"/>
              <w:marRight w:val="0"/>
              <w:marTop w:val="0"/>
              <w:marBottom w:val="0"/>
              <w:divBdr>
                <w:top w:val="none" w:sz="0" w:space="0" w:color="auto"/>
                <w:left w:val="none" w:sz="0" w:space="0" w:color="auto"/>
                <w:bottom w:val="none" w:sz="0" w:space="0" w:color="auto"/>
                <w:right w:val="none" w:sz="0" w:space="0" w:color="auto"/>
              </w:divBdr>
              <w:divsChild>
                <w:div w:id="869613384">
                  <w:marLeft w:val="0"/>
                  <w:marRight w:val="0"/>
                  <w:marTop w:val="0"/>
                  <w:marBottom w:val="0"/>
                  <w:divBdr>
                    <w:top w:val="none" w:sz="0" w:space="0" w:color="auto"/>
                    <w:left w:val="none" w:sz="0" w:space="0" w:color="auto"/>
                    <w:bottom w:val="none" w:sz="0" w:space="0" w:color="auto"/>
                    <w:right w:val="none" w:sz="0" w:space="0" w:color="auto"/>
                  </w:divBdr>
                  <w:divsChild>
                    <w:div w:id="1978335333">
                      <w:marLeft w:val="0"/>
                      <w:marRight w:val="0"/>
                      <w:marTop w:val="45"/>
                      <w:marBottom w:val="0"/>
                      <w:divBdr>
                        <w:top w:val="none" w:sz="0" w:space="0" w:color="auto"/>
                        <w:left w:val="none" w:sz="0" w:space="0" w:color="auto"/>
                        <w:bottom w:val="none" w:sz="0" w:space="0" w:color="auto"/>
                        <w:right w:val="none" w:sz="0" w:space="0" w:color="auto"/>
                      </w:divBdr>
                      <w:divsChild>
                        <w:div w:id="1304039224">
                          <w:marLeft w:val="0"/>
                          <w:marRight w:val="0"/>
                          <w:marTop w:val="0"/>
                          <w:marBottom w:val="0"/>
                          <w:divBdr>
                            <w:top w:val="none" w:sz="0" w:space="0" w:color="auto"/>
                            <w:left w:val="none" w:sz="0" w:space="0" w:color="auto"/>
                            <w:bottom w:val="none" w:sz="0" w:space="0" w:color="auto"/>
                            <w:right w:val="none" w:sz="0" w:space="0" w:color="auto"/>
                          </w:divBdr>
                          <w:divsChild>
                            <w:div w:id="751001335">
                              <w:marLeft w:val="2070"/>
                              <w:marRight w:val="3810"/>
                              <w:marTop w:val="0"/>
                              <w:marBottom w:val="0"/>
                              <w:divBdr>
                                <w:top w:val="none" w:sz="0" w:space="0" w:color="auto"/>
                                <w:left w:val="none" w:sz="0" w:space="0" w:color="auto"/>
                                <w:bottom w:val="none" w:sz="0" w:space="0" w:color="auto"/>
                                <w:right w:val="none" w:sz="0" w:space="0" w:color="auto"/>
                              </w:divBdr>
                              <w:divsChild>
                                <w:div w:id="1366102135">
                                  <w:marLeft w:val="0"/>
                                  <w:marRight w:val="0"/>
                                  <w:marTop w:val="0"/>
                                  <w:marBottom w:val="0"/>
                                  <w:divBdr>
                                    <w:top w:val="none" w:sz="0" w:space="0" w:color="auto"/>
                                    <w:left w:val="none" w:sz="0" w:space="0" w:color="auto"/>
                                    <w:bottom w:val="none" w:sz="0" w:space="0" w:color="auto"/>
                                    <w:right w:val="none" w:sz="0" w:space="0" w:color="auto"/>
                                  </w:divBdr>
                                  <w:divsChild>
                                    <w:div w:id="1142577450">
                                      <w:marLeft w:val="0"/>
                                      <w:marRight w:val="0"/>
                                      <w:marTop w:val="0"/>
                                      <w:marBottom w:val="0"/>
                                      <w:divBdr>
                                        <w:top w:val="none" w:sz="0" w:space="0" w:color="auto"/>
                                        <w:left w:val="none" w:sz="0" w:space="0" w:color="auto"/>
                                        <w:bottom w:val="none" w:sz="0" w:space="0" w:color="auto"/>
                                        <w:right w:val="none" w:sz="0" w:space="0" w:color="auto"/>
                                      </w:divBdr>
                                      <w:divsChild>
                                        <w:div w:id="1043284705">
                                          <w:marLeft w:val="0"/>
                                          <w:marRight w:val="0"/>
                                          <w:marTop w:val="0"/>
                                          <w:marBottom w:val="0"/>
                                          <w:divBdr>
                                            <w:top w:val="none" w:sz="0" w:space="0" w:color="auto"/>
                                            <w:left w:val="none" w:sz="0" w:space="0" w:color="auto"/>
                                            <w:bottom w:val="none" w:sz="0" w:space="0" w:color="auto"/>
                                            <w:right w:val="none" w:sz="0" w:space="0" w:color="auto"/>
                                          </w:divBdr>
                                          <w:divsChild>
                                            <w:div w:id="833375002">
                                              <w:marLeft w:val="0"/>
                                              <w:marRight w:val="0"/>
                                              <w:marTop w:val="0"/>
                                              <w:marBottom w:val="0"/>
                                              <w:divBdr>
                                                <w:top w:val="none" w:sz="0" w:space="0" w:color="auto"/>
                                                <w:left w:val="none" w:sz="0" w:space="0" w:color="auto"/>
                                                <w:bottom w:val="none" w:sz="0" w:space="0" w:color="auto"/>
                                                <w:right w:val="none" w:sz="0" w:space="0" w:color="auto"/>
                                              </w:divBdr>
                                              <w:divsChild>
                                                <w:div w:id="148905243">
                                                  <w:marLeft w:val="0"/>
                                                  <w:marRight w:val="0"/>
                                                  <w:marTop w:val="0"/>
                                                  <w:marBottom w:val="0"/>
                                                  <w:divBdr>
                                                    <w:top w:val="none" w:sz="0" w:space="0" w:color="auto"/>
                                                    <w:left w:val="none" w:sz="0" w:space="0" w:color="auto"/>
                                                    <w:bottom w:val="none" w:sz="0" w:space="0" w:color="auto"/>
                                                    <w:right w:val="none" w:sz="0" w:space="0" w:color="auto"/>
                                                  </w:divBdr>
                                                  <w:divsChild>
                                                    <w:div w:id="2146771847">
                                                      <w:marLeft w:val="0"/>
                                                      <w:marRight w:val="0"/>
                                                      <w:marTop w:val="0"/>
                                                      <w:marBottom w:val="345"/>
                                                      <w:divBdr>
                                                        <w:top w:val="none" w:sz="0" w:space="0" w:color="auto"/>
                                                        <w:left w:val="none" w:sz="0" w:space="0" w:color="auto"/>
                                                        <w:bottom w:val="none" w:sz="0" w:space="0" w:color="auto"/>
                                                        <w:right w:val="none" w:sz="0" w:space="0" w:color="auto"/>
                                                      </w:divBdr>
                                                      <w:divsChild>
                                                        <w:div w:id="377553656">
                                                          <w:marLeft w:val="0"/>
                                                          <w:marRight w:val="0"/>
                                                          <w:marTop w:val="0"/>
                                                          <w:marBottom w:val="0"/>
                                                          <w:divBdr>
                                                            <w:top w:val="none" w:sz="0" w:space="0" w:color="auto"/>
                                                            <w:left w:val="none" w:sz="0" w:space="0" w:color="auto"/>
                                                            <w:bottom w:val="none" w:sz="0" w:space="0" w:color="auto"/>
                                                            <w:right w:val="none" w:sz="0" w:space="0" w:color="auto"/>
                                                          </w:divBdr>
                                                          <w:divsChild>
                                                            <w:div w:id="1137993145">
                                                              <w:marLeft w:val="0"/>
                                                              <w:marRight w:val="0"/>
                                                              <w:marTop w:val="0"/>
                                                              <w:marBottom w:val="0"/>
                                                              <w:divBdr>
                                                                <w:top w:val="none" w:sz="0" w:space="0" w:color="auto"/>
                                                                <w:left w:val="none" w:sz="0" w:space="0" w:color="auto"/>
                                                                <w:bottom w:val="none" w:sz="0" w:space="0" w:color="auto"/>
                                                                <w:right w:val="none" w:sz="0" w:space="0" w:color="auto"/>
                                                              </w:divBdr>
                                                              <w:divsChild>
                                                                <w:div w:id="878324704">
                                                                  <w:marLeft w:val="0"/>
                                                                  <w:marRight w:val="0"/>
                                                                  <w:marTop w:val="0"/>
                                                                  <w:marBottom w:val="0"/>
                                                                  <w:divBdr>
                                                                    <w:top w:val="none" w:sz="0" w:space="0" w:color="auto"/>
                                                                    <w:left w:val="none" w:sz="0" w:space="0" w:color="auto"/>
                                                                    <w:bottom w:val="none" w:sz="0" w:space="0" w:color="auto"/>
                                                                    <w:right w:val="none" w:sz="0" w:space="0" w:color="auto"/>
                                                                  </w:divBdr>
                                                                  <w:divsChild>
                                                                    <w:div w:id="1073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558042">
      <w:bodyDiv w:val="1"/>
      <w:marLeft w:val="0"/>
      <w:marRight w:val="0"/>
      <w:marTop w:val="0"/>
      <w:marBottom w:val="0"/>
      <w:divBdr>
        <w:top w:val="none" w:sz="0" w:space="0" w:color="auto"/>
        <w:left w:val="none" w:sz="0" w:space="0" w:color="auto"/>
        <w:bottom w:val="none" w:sz="0" w:space="0" w:color="auto"/>
        <w:right w:val="none" w:sz="0" w:space="0" w:color="auto"/>
      </w:divBdr>
    </w:div>
    <w:div w:id="334920556">
      <w:bodyDiv w:val="1"/>
      <w:marLeft w:val="0"/>
      <w:marRight w:val="0"/>
      <w:marTop w:val="0"/>
      <w:marBottom w:val="0"/>
      <w:divBdr>
        <w:top w:val="none" w:sz="0" w:space="0" w:color="auto"/>
        <w:left w:val="none" w:sz="0" w:space="0" w:color="auto"/>
        <w:bottom w:val="none" w:sz="0" w:space="0" w:color="auto"/>
        <w:right w:val="none" w:sz="0" w:space="0" w:color="auto"/>
      </w:divBdr>
    </w:div>
    <w:div w:id="375400163">
      <w:bodyDiv w:val="1"/>
      <w:marLeft w:val="0"/>
      <w:marRight w:val="0"/>
      <w:marTop w:val="0"/>
      <w:marBottom w:val="0"/>
      <w:divBdr>
        <w:top w:val="none" w:sz="0" w:space="0" w:color="auto"/>
        <w:left w:val="none" w:sz="0" w:space="0" w:color="auto"/>
        <w:bottom w:val="none" w:sz="0" w:space="0" w:color="auto"/>
        <w:right w:val="none" w:sz="0" w:space="0" w:color="auto"/>
      </w:divBdr>
    </w:div>
    <w:div w:id="453521443">
      <w:bodyDiv w:val="1"/>
      <w:marLeft w:val="0"/>
      <w:marRight w:val="0"/>
      <w:marTop w:val="0"/>
      <w:marBottom w:val="0"/>
      <w:divBdr>
        <w:top w:val="none" w:sz="0" w:space="0" w:color="auto"/>
        <w:left w:val="none" w:sz="0" w:space="0" w:color="auto"/>
        <w:bottom w:val="none" w:sz="0" w:space="0" w:color="auto"/>
        <w:right w:val="none" w:sz="0" w:space="0" w:color="auto"/>
      </w:divBdr>
    </w:div>
    <w:div w:id="570820489">
      <w:bodyDiv w:val="1"/>
      <w:marLeft w:val="0"/>
      <w:marRight w:val="0"/>
      <w:marTop w:val="0"/>
      <w:marBottom w:val="0"/>
      <w:divBdr>
        <w:top w:val="none" w:sz="0" w:space="0" w:color="auto"/>
        <w:left w:val="none" w:sz="0" w:space="0" w:color="auto"/>
        <w:bottom w:val="none" w:sz="0" w:space="0" w:color="auto"/>
        <w:right w:val="none" w:sz="0" w:space="0" w:color="auto"/>
      </w:divBdr>
      <w:divsChild>
        <w:div w:id="1552646014">
          <w:marLeft w:val="0"/>
          <w:marRight w:val="0"/>
          <w:marTop w:val="0"/>
          <w:marBottom w:val="0"/>
          <w:divBdr>
            <w:top w:val="none" w:sz="0" w:space="0" w:color="auto"/>
            <w:left w:val="none" w:sz="0" w:space="0" w:color="auto"/>
            <w:bottom w:val="none" w:sz="0" w:space="0" w:color="auto"/>
            <w:right w:val="none" w:sz="0" w:space="0" w:color="auto"/>
          </w:divBdr>
          <w:divsChild>
            <w:div w:id="1813867873">
              <w:marLeft w:val="0"/>
              <w:marRight w:val="0"/>
              <w:marTop w:val="0"/>
              <w:marBottom w:val="0"/>
              <w:divBdr>
                <w:top w:val="none" w:sz="0" w:space="0" w:color="auto"/>
                <w:left w:val="none" w:sz="0" w:space="0" w:color="auto"/>
                <w:bottom w:val="none" w:sz="0" w:space="0" w:color="auto"/>
                <w:right w:val="none" w:sz="0" w:space="0" w:color="auto"/>
              </w:divBdr>
              <w:divsChild>
                <w:div w:id="1626696521">
                  <w:marLeft w:val="0"/>
                  <w:marRight w:val="0"/>
                  <w:marTop w:val="0"/>
                  <w:marBottom w:val="0"/>
                  <w:divBdr>
                    <w:top w:val="none" w:sz="0" w:space="0" w:color="auto"/>
                    <w:left w:val="none" w:sz="0" w:space="0" w:color="auto"/>
                    <w:bottom w:val="none" w:sz="0" w:space="0" w:color="auto"/>
                    <w:right w:val="none" w:sz="0" w:space="0" w:color="auto"/>
                  </w:divBdr>
                  <w:divsChild>
                    <w:div w:id="487404053">
                      <w:marLeft w:val="0"/>
                      <w:marRight w:val="0"/>
                      <w:marTop w:val="45"/>
                      <w:marBottom w:val="0"/>
                      <w:divBdr>
                        <w:top w:val="none" w:sz="0" w:space="0" w:color="auto"/>
                        <w:left w:val="none" w:sz="0" w:space="0" w:color="auto"/>
                        <w:bottom w:val="none" w:sz="0" w:space="0" w:color="auto"/>
                        <w:right w:val="none" w:sz="0" w:space="0" w:color="auto"/>
                      </w:divBdr>
                      <w:divsChild>
                        <w:div w:id="26031499">
                          <w:marLeft w:val="0"/>
                          <w:marRight w:val="0"/>
                          <w:marTop w:val="0"/>
                          <w:marBottom w:val="0"/>
                          <w:divBdr>
                            <w:top w:val="none" w:sz="0" w:space="0" w:color="auto"/>
                            <w:left w:val="none" w:sz="0" w:space="0" w:color="auto"/>
                            <w:bottom w:val="none" w:sz="0" w:space="0" w:color="auto"/>
                            <w:right w:val="none" w:sz="0" w:space="0" w:color="auto"/>
                          </w:divBdr>
                          <w:divsChild>
                            <w:div w:id="529952749">
                              <w:marLeft w:val="2070"/>
                              <w:marRight w:val="3810"/>
                              <w:marTop w:val="0"/>
                              <w:marBottom w:val="0"/>
                              <w:divBdr>
                                <w:top w:val="none" w:sz="0" w:space="0" w:color="auto"/>
                                <w:left w:val="none" w:sz="0" w:space="0" w:color="auto"/>
                                <w:bottom w:val="none" w:sz="0" w:space="0" w:color="auto"/>
                                <w:right w:val="none" w:sz="0" w:space="0" w:color="auto"/>
                              </w:divBdr>
                              <w:divsChild>
                                <w:div w:id="2019844861">
                                  <w:marLeft w:val="0"/>
                                  <w:marRight w:val="0"/>
                                  <w:marTop w:val="0"/>
                                  <w:marBottom w:val="0"/>
                                  <w:divBdr>
                                    <w:top w:val="none" w:sz="0" w:space="0" w:color="auto"/>
                                    <w:left w:val="none" w:sz="0" w:space="0" w:color="auto"/>
                                    <w:bottom w:val="none" w:sz="0" w:space="0" w:color="auto"/>
                                    <w:right w:val="none" w:sz="0" w:space="0" w:color="auto"/>
                                  </w:divBdr>
                                  <w:divsChild>
                                    <w:div w:id="1794321881">
                                      <w:marLeft w:val="0"/>
                                      <w:marRight w:val="0"/>
                                      <w:marTop w:val="0"/>
                                      <w:marBottom w:val="0"/>
                                      <w:divBdr>
                                        <w:top w:val="none" w:sz="0" w:space="0" w:color="auto"/>
                                        <w:left w:val="none" w:sz="0" w:space="0" w:color="auto"/>
                                        <w:bottom w:val="none" w:sz="0" w:space="0" w:color="auto"/>
                                        <w:right w:val="none" w:sz="0" w:space="0" w:color="auto"/>
                                      </w:divBdr>
                                      <w:divsChild>
                                        <w:div w:id="239293035">
                                          <w:marLeft w:val="0"/>
                                          <w:marRight w:val="0"/>
                                          <w:marTop w:val="0"/>
                                          <w:marBottom w:val="0"/>
                                          <w:divBdr>
                                            <w:top w:val="none" w:sz="0" w:space="0" w:color="auto"/>
                                            <w:left w:val="none" w:sz="0" w:space="0" w:color="auto"/>
                                            <w:bottom w:val="none" w:sz="0" w:space="0" w:color="auto"/>
                                            <w:right w:val="none" w:sz="0" w:space="0" w:color="auto"/>
                                          </w:divBdr>
                                          <w:divsChild>
                                            <w:div w:id="492336640">
                                              <w:marLeft w:val="0"/>
                                              <w:marRight w:val="0"/>
                                              <w:marTop w:val="0"/>
                                              <w:marBottom w:val="0"/>
                                              <w:divBdr>
                                                <w:top w:val="none" w:sz="0" w:space="0" w:color="auto"/>
                                                <w:left w:val="none" w:sz="0" w:space="0" w:color="auto"/>
                                                <w:bottom w:val="none" w:sz="0" w:space="0" w:color="auto"/>
                                                <w:right w:val="none" w:sz="0" w:space="0" w:color="auto"/>
                                              </w:divBdr>
                                              <w:divsChild>
                                                <w:div w:id="1843348886">
                                                  <w:marLeft w:val="0"/>
                                                  <w:marRight w:val="0"/>
                                                  <w:marTop w:val="0"/>
                                                  <w:marBottom w:val="0"/>
                                                  <w:divBdr>
                                                    <w:top w:val="none" w:sz="0" w:space="0" w:color="auto"/>
                                                    <w:left w:val="none" w:sz="0" w:space="0" w:color="auto"/>
                                                    <w:bottom w:val="none" w:sz="0" w:space="0" w:color="auto"/>
                                                    <w:right w:val="none" w:sz="0" w:space="0" w:color="auto"/>
                                                  </w:divBdr>
                                                  <w:divsChild>
                                                    <w:div w:id="450174454">
                                                      <w:marLeft w:val="0"/>
                                                      <w:marRight w:val="0"/>
                                                      <w:marTop w:val="0"/>
                                                      <w:marBottom w:val="345"/>
                                                      <w:divBdr>
                                                        <w:top w:val="none" w:sz="0" w:space="0" w:color="auto"/>
                                                        <w:left w:val="none" w:sz="0" w:space="0" w:color="auto"/>
                                                        <w:bottom w:val="none" w:sz="0" w:space="0" w:color="auto"/>
                                                        <w:right w:val="none" w:sz="0" w:space="0" w:color="auto"/>
                                                      </w:divBdr>
                                                      <w:divsChild>
                                                        <w:div w:id="1252083144">
                                                          <w:marLeft w:val="0"/>
                                                          <w:marRight w:val="0"/>
                                                          <w:marTop w:val="0"/>
                                                          <w:marBottom w:val="0"/>
                                                          <w:divBdr>
                                                            <w:top w:val="none" w:sz="0" w:space="0" w:color="auto"/>
                                                            <w:left w:val="none" w:sz="0" w:space="0" w:color="auto"/>
                                                            <w:bottom w:val="none" w:sz="0" w:space="0" w:color="auto"/>
                                                            <w:right w:val="none" w:sz="0" w:space="0" w:color="auto"/>
                                                          </w:divBdr>
                                                          <w:divsChild>
                                                            <w:div w:id="1811483137">
                                                              <w:marLeft w:val="0"/>
                                                              <w:marRight w:val="0"/>
                                                              <w:marTop w:val="0"/>
                                                              <w:marBottom w:val="0"/>
                                                              <w:divBdr>
                                                                <w:top w:val="none" w:sz="0" w:space="0" w:color="auto"/>
                                                                <w:left w:val="none" w:sz="0" w:space="0" w:color="auto"/>
                                                                <w:bottom w:val="none" w:sz="0" w:space="0" w:color="auto"/>
                                                                <w:right w:val="none" w:sz="0" w:space="0" w:color="auto"/>
                                                              </w:divBdr>
                                                              <w:divsChild>
                                                                <w:div w:id="567611029">
                                                                  <w:marLeft w:val="0"/>
                                                                  <w:marRight w:val="0"/>
                                                                  <w:marTop w:val="0"/>
                                                                  <w:marBottom w:val="0"/>
                                                                  <w:divBdr>
                                                                    <w:top w:val="none" w:sz="0" w:space="0" w:color="auto"/>
                                                                    <w:left w:val="none" w:sz="0" w:space="0" w:color="auto"/>
                                                                    <w:bottom w:val="none" w:sz="0" w:space="0" w:color="auto"/>
                                                                    <w:right w:val="none" w:sz="0" w:space="0" w:color="auto"/>
                                                                  </w:divBdr>
                                                                  <w:divsChild>
                                                                    <w:div w:id="106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43197">
      <w:bodyDiv w:val="1"/>
      <w:marLeft w:val="0"/>
      <w:marRight w:val="0"/>
      <w:marTop w:val="0"/>
      <w:marBottom w:val="0"/>
      <w:divBdr>
        <w:top w:val="none" w:sz="0" w:space="0" w:color="auto"/>
        <w:left w:val="none" w:sz="0" w:space="0" w:color="auto"/>
        <w:bottom w:val="none" w:sz="0" w:space="0" w:color="auto"/>
        <w:right w:val="none" w:sz="0" w:space="0" w:color="auto"/>
      </w:divBdr>
    </w:div>
    <w:div w:id="636648328">
      <w:bodyDiv w:val="1"/>
      <w:marLeft w:val="0"/>
      <w:marRight w:val="0"/>
      <w:marTop w:val="0"/>
      <w:marBottom w:val="0"/>
      <w:divBdr>
        <w:top w:val="none" w:sz="0" w:space="0" w:color="auto"/>
        <w:left w:val="none" w:sz="0" w:space="0" w:color="auto"/>
        <w:bottom w:val="none" w:sz="0" w:space="0" w:color="auto"/>
        <w:right w:val="none" w:sz="0" w:space="0" w:color="auto"/>
      </w:divBdr>
    </w:div>
    <w:div w:id="720591021">
      <w:bodyDiv w:val="1"/>
      <w:marLeft w:val="0"/>
      <w:marRight w:val="0"/>
      <w:marTop w:val="0"/>
      <w:marBottom w:val="0"/>
      <w:divBdr>
        <w:top w:val="none" w:sz="0" w:space="0" w:color="auto"/>
        <w:left w:val="none" w:sz="0" w:space="0" w:color="auto"/>
        <w:bottom w:val="none" w:sz="0" w:space="0" w:color="auto"/>
        <w:right w:val="none" w:sz="0" w:space="0" w:color="auto"/>
      </w:divBdr>
    </w:div>
    <w:div w:id="796339524">
      <w:bodyDiv w:val="1"/>
      <w:marLeft w:val="0"/>
      <w:marRight w:val="0"/>
      <w:marTop w:val="0"/>
      <w:marBottom w:val="0"/>
      <w:divBdr>
        <w:top w:val="none" w:sz="0" w:space="0" w:color="auto"/>
        <w:left w:val="none" w:sz="0" w:space="0" w:color="auto"/>
        <w:bottom w:val="none" w:sz="0" w:space="0" w:color="auto"/>
        <w:right w:val="none" w:sz="0" w:space="0" w:color="auto"/>
      </w:divBdr>
      <w:divsChild>
        <w:div w:id="15624484">
          <w:marLeft w:val="0"/>
          <w:marRight w:val="0"/>
          <w:marTop w:val="0"/>
          <w:marBottom w:val="0"/>
          <w:divBdr>
            <w:top w:val="none" w:sz="0" w:space="0" w:color="auto"/>
            <w:left w:val="none" w:sz="0" w:space="0" w:color="auto"/>
            <w:bottom w:val="none" w:sz="0" w:space="0" w:color="auto"/>
            <w:right w:val="none" w:sz="0" w:space="0" w:color="auto"/>
          </w:divBdr>
          <w:divsChild>
            <w:div w:id="1546286605">
              <w:marLeft w:val="0"/>
              <w:marRight w:val="0"/>
              <w:marTop w:val="0"/>
              <w:marBottom w:val="0"/>
              <w:divBdr>
                <w:top w:val="none" w:sz="0" w:space="0" w:color="auto"/>
                <w:left w:val="none" w:sz="0" w:space="0" w:color="auto"/>
                <w:bottom w:val="none" w:sz="0" w:space="0" w:color="auto"/>
                <w:right w:val="none" w:sz="0" w:space="0" w:color="auto"/>
              </w:divBdr>
              <w:divsChild>
                <w:div w:id="354698053">
                  <w:marLeft w:val="0"/>
                  <w:marRight w:val="0"/>
                  <w:marTop w:val="0"/>
                  <w:marBottom w:val="0"/>
                  <w:divBdr>
                    <w:top w:val="none" w:sz="0" w:space="0" w:color="auto"/>
                    <w:left w:val="none" w:sz="0" w:space="0" w:color="auto"/>
                    <w:bottom w:val="none" w:sz="0" w:space="0" w:color="auto"/>
                    <w:right w:val="none" w:sz="0" w:space="0" w:color="auto"/>
                  </w:divBdr>
                  <w:divsChild>
                    <w:div w:id="2036686345">
                      <w:marLeft w:val="0"/>
                      <w:marRight w:val="0"/>
                      <w:marTop w:val="45"/>
                      <w:marBottom w:val="0"/>
                      <w:divBdr>
                        <w:top w:val="none" w:sz="0" w:space="0" w:color="auto"/>
                        <w:left w:val="none" w:sz="0" w:space="0" w:color="auto"/>
                        <w:bottom w:val="none" w:sz="0" w:space="0" w:color="auto"/>
                        <w:right w:val="none" w:sz="0" w:space="0" w:color="auto"/>
                      </w:divBdr>
                      <w:divsChild>
                        <w:div w:id="599072319">
                          <w:marLeft w:val="0"/>
                          <w:marRight w:val="0"/>
                          <w:marTop w:val="0"/>
                          <w:marBottom w:val="0"/>
                          <w:divBdr>
                            <w:top w:val="none" w:sz="0" w:space="0" w:color="auto"/>
                            <w:left w:val="none" w:sz="0" w:space="0" w:color="auto"/>
                            <w:bottom w:val="none" w:sz="0" w:space="0" w:color="auto"/>
                            <w:right w:val="none" w:sz="0" w:space="0" w:color="auto"/>
                          </w:divBdr>
                          <w:divsChild>
                            <w:div w:id="81489371">
                              <w:marLeft w:val="2070"/>
                              <w:marRight w:val="3810"/>
                              <w:marTop w:val="0"/>
                              <w:marBottom w:val="0"/>
                              <w:divBdr>
                                <w:top w:val="none" w:sz="0" w:space="0" w:color="auto"/>
                                <w:left w:val="none" w:sz="0" w:space="0" w:color="auto"/>
                                <w:bottom w:val="none" w:sz="0" w:space="0" w:color="auto"/>
                                <w:right w:val="none" w:sz="0" w:space="0" w:color="auto"/>
                              </w:divBdr>
                              <w:divsChild>
                                <w:div w:id="1320159703">
                                  <w:marLeft w:val="0"/>
                                  <w:marRight w:val="0"/>
                                  <w:marTop w:val="0"/>
                                  <w:marBottom w:val="0"/>
                                  <w:divBdr>
                                    <w:top w:val="none" w:sz="0" w:space="0" w:color="auto"/>
                                    <w:left w:val="none" w:sz="0" w:space="0" w:color="auto"/>
                                    <w:bottom w:val="none" w:sz="0" w:space="0" w:color="auto"/>
                                    <w:right w:val="none" w:sz="0" w:space="0" w:color="auto"/>
                                  </w:divBdr>
                                  <w:divsChild>
                                    <w:div w:id="1450705932">
                                      <w:marLeft w:val="0"/>
                                      <w:marRight w:val="0"/>
                                      <w:marTop w:val="0"/>
                                      <w:marBottom w:val="0"/>
                                      <w:divBdr>
                                        <w:top w:val="none" w:sz="0" w:space="0" w:color="auto"/>
                                        <w:left w:val="none" w:sz="0" w:space="0" w:color="auto"/>
                                        <w:bottom w:val="none" w:sz="0" w:space="0" w:color="auto"/>
                                        <w:right w:val="none" w:sz="0" w:space="0" w:color="auto"/>
                                      </w:divBdr>
                                      <w:divsChild>
                                        <w:div w:id="1073695735">
                                          <w:marLeft w:val="0"/>
                                          <w:marRight w:val="0"/>
                                          <w:marTop w:val="0"/>
                                          <w:marBottom w:val="0"/>
                                          <w:divBdr>
                                            <w:top w:val="none" w:sz="0" w:space="0" w:color="auto"/>
                                            <w:left w:val="none" w:sz="0" w:space="0" w:color="auto"/>
                                            <w:bottom w:val="none" w:sz="0" w:space="0" w:color="auto"/>
                                            <w:right w:val="none" w:sz="0" w:space="0" w:color="auto"/>
                                          </w:divBdr>
                                          <w:divsChild>
                                            <w:div w:id="1640527782">
                                              <w:marLeft w:val="0"/>
                                              <w:marRight w:val="0"/>
                                              <w:marTop w:val="0"/>
                                              <w:marBottom w:val="0"/>
                                              <w:divBdr>
                                                <w:top w:val="none" w:sz="0" w:space="0" w:color="auto"/>
                                                <w:left w:val="none" w:sz="0" w:space="0" w:color="auto"/>
                                                <w:bottom w:val="none" w:sz="0" w:space="0" w:color="auto"/>
                                                <w:right w:val="none" w:sz="0" w:space="0" w:color="auto"/>
                                              </w:divBdr>
                                              <w:divsChild>
                                                <w:div w:id="2106145568">
                                                  <w:marLeft w:val="0"/>
                                                  <w:marRight w:val="0"/>
                                                  <w:marTop w:val="0"/>
                                                  <w:marBottom w:val="0"/>
                                                  <w:divBdr>
                                                    <w:top w:val="none" w:sz="0" w:space="0" w:color="auto"/>
                                                    <w:left w:val="none" w:sz="0" w:space="0" w:color="auto"/>
                                                    <w:bottom w:val="none" w:sz="0" w:space="0" w:color="auto"/>
                                                    <w:right w:val="none" w:sz="0" w:space="0" w:color="auto"/>
                                                  </w:divBdr>
                                                  <w:divsChild>
                                                    <w:div w:id="109014410">
                                                      <w:marLeft w:val="0"/>
                                                      <w:marRight w:val="0"/>
                                                      <w:marTop w:val="0"/>
                                                      <w:marBottom w:val="0"/>
                                                      <w:divBdr>
                                                        <w:top w:val="none" w:sz="0" w:space="0" w:color="auto"/>
                                                        <w:left w:val="none" w:sz="0" w:space="0" w:color="auto"/>
                                                        <w:bottom w:val="none" w:sz="0" w:space="0" w:color="auto"/>
                                                        <w:right w:val="none" w:sz="0" w:space="0" w:color="auto"/>
                                                      </w:divBdr>
                                                      <w:divsChild>
                                                        <w:div w:id="307175943">
                                                          <w:marLeft w:val="0"/>
                                                          <w:marRight w:val="0"/>
                                                          <w:marTop w:val="0"/>
                                                          <w:marBottom w:val="0"/>
                                                          <w:divBdr>
                                                            <w:top w:val="none" w:sz="0" w:space="0" w:color="auto"/>
                                                            <w:left w:val="none" w:sz="0" w:space="0" w:color="auto"/>
                                                            <w:bottom w:val="none" w:sz="0" w:space="0" w:color="auto"/>
                                                            <w:right w:val="none" w:sz="0" w:space="0" w:color="auto"/>
                                                          </w:divBdr>
                                                          <w:divsChild>
                                                            <w:div w:id="1944799387">
                                                              <w:marLeft w:val="0"/>
                                                              <w:marRight w:val="0"/>
                                                              <w:marTop w:val="0"/>
                                                              <w:marBottom w:val="0"/>
                                                              <w:divBdr>
                                                                <w:top w:val="none" w:sz="0" w:space="0" w:color="auto"/>
                                                                <w:left w:val="none" w:sz="0" w:space="0" w:color="auto"/>
                                                                <w:bottom w:val="none" w:sz="0" w:space="0" w:color="auto"/>
                                                                <w:right w:val="none" w:sz="0" w:space="0" w:color="auto"/>
                                                              </w:divBdr>
                                                              <w:divsChild>
                                                                <w:div w:id="1854495300">
                                                                  <w:marLeft w:val="0"/>
                                                                  <w:marRight w:val="0"/>
                                                                  <w:marTop w:val="0"/>
                                                                  <w:marBottom w:val="0"/>
                                                                  <w:divBdr>
                                                                    <w:top w:val="none" w:sz="0" w:space="0" w:color="auto"/>
                                                                    <w:left w:val="none" w:sz="0" w:space="0" w:color="auto"/>
                                                                    <w:bottom w:val="none" w:sz="0" w:space="0" w:color="auto"/>
                                                                    <w:right w:val="none" w:sz="0" w:space="0" w:color="auto"/>
                                                                  </w:divBdr>
                                                                  <w:divsChild>
                                                                    <w:div w:id="338121993">
                                                                      <w:marLeft w:val="0"/>
                                                                      <w:marRight w:val="0"/>
                                                                      <w:marTop w:val="0"/>
                                                                      <w:marBottom w:val="0"/>
                                                                      <w:divBdr>
                                                                        <w:top w:val="none" w:sz="0" w:space="0" w:color="auto"/>
                                                                        <w:left w:val="none" w:sz="0" w:space="0" w:color="auto"/>
                                                                        <w:bottom w:val="none" w:sz="0" w:space="0" w:color="auto"/>
                                                                        <w:right w:val="none" w:sz="0" w:space="0" w:color="auto"/>
                                                                      </w:divBdr>
                                                                      <w:divsChild>
                                                                        <w:div w:id="16798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632452">
      <w:bodyDiv w:val="1"/>
      <w:marLeft w:val="0"/>
      <w:marRight w:val="0"/>
      <w:marTop w:val="0"/>
      <w:marBottom w:val="0"/>
      <w:divBdr>
        <w:top w:val="none" w:sz="0" w:space="0" w:color="auto"/>
        <w:left w:val="none" w:sz="0" w:space="0" w:color="auto"/>
        <w:bottom w:val="none" w:sz="0" w:space="0" w:color="auto"/>
        <w:right w:val="none" w:sz="0" w:space="0" w:color="auto"/>
      </w:divBdr>
    </w:div>
    <w:div w:id="942227667">
      <w:bodyDiv w:val="1"/>
      <w:marLeft w:val="0"/>
      <w:marRight w:val="0"/>
      <w:marTop w:val="0"/>
      <w:marBottom w:val="0"/>
      <w:divBdr>
        <w:top w:val="none" w:sz="0" w:space="0" w:color="auto"/>
        <w:left w:val="none" w:sz="0" w:space="0" w:color="auto"/>
        <w:bottom w:val="none" w:sz="0" w:space="0" w:color="auto"/>
        <w:right w:val="none" w:sz="0" w:space="0" w:color="auto"/>
      </w:divBdr>
    </w:div>
    <w:div w:id="956176455">
      <w:bodyDiv w:val="1"/>
      <w:marLeft w:val="0"/>
      <w:marRight w:val="0"/>
      <w:marTop w:val="0"/>
      <w:marBottom w:val="0"/>
      <w:divBdr>
        <w:top w:val="none" w:sz="0" w:space="0" w:color="auto"/>
        <w:left w:val="none" w:sz="0" w:space="0" w:color="auto"/>
        <w:bottom w:val="none" w:sz="0" w:space="0" w:color="auto"/>
        <w:right w:val="none" w:sz="0" w:space="0" w:color="auto"/>
      </w:divBdr>
    </w:div>
    <w:div w:id="1182934834">
      <w:bodyDiv w:val="1"/>
      <w:marLeft w:val="0"/>
      <w:marRight w:val="0"/>
      <w:marTop w:val="0"/>
      <w:marBottom w:val="0"/>
      <w:divBdr>
        <w:top w:val="none" w:sz="0" w:space="0" w:color="auto"/>
        <w:left w:val="none" w:sz="0" w:space="0" w:color="auto"/>
        <w:bottom w:val="none" w:sz="0" w:space="0" w:color="auto"/>
        <w:right w:val="none" w:sz="0" w:space="0" w:color="auto"/>
      </w:divBdr>
      <w:divsChild>
        <w:div w:id="284627504">
          <w:marLeft w:val="0"/>
          <w:marRight w:val="0"/>
          <w:marTop w:val="0"/>
          <w:marBottom w:val="0"/>
          <w:divBdr>
            <w:top w:val="none" w:sz="0" w:space="0" w:color="auto"/>
            <w:left w:val="none" w:sz="0" w:space="0" w:color="auto"/>
            <w:bottom w:val="none" w:sz="0" w:space="0" w:color="auto"/>
            <w:right w:val="none" w:sz="0" w:space="0" w:color="auto"/>
          </w:divBdr>
          <w:divsChild>
            <w:div w:id="1090203408">
              <w:marLeft w:val="0"/>
              <w:marRight w:val="0"/>
              <w:marTop w:val="0"/>
              <w:marBottom w:val="0"/>
              <w:divBdr>
                <w:top w:val="none" w:sz="0" w:space="0" w:color="auto"/>
                <w:left w:val="none" w:sz="0" w:space="0" w:color="auto"/>
                <w:bottom w:val="none" w:sz="0" w:space="0" w:color="auto"/>
                <w:right w:val="none" w:sz="0" w:space="0" w:color="auto"/>
              </w:divBdr>
              <w:divsChild>
                <w:div w:id="493911911">
                  <w:marLeft w:val="0"/>
                  <w:marRight w:val="0"/>
                  <w:marTop w:val="0"/>
                  <w:marBottom w:val="0"/>
                  <w:divBdr>
                    <w:top w:val="none" w:sz="0" w:space="0" w:color="auto"/>
                    <w:left w:val="none" w:sz="0" w:space="0" w:color="auto"/>
                    <w:bottom w:val="none" w:sz="0" w:space="0" w:color="auto"/>
                    <w:right w:val="none" w:sz="0" w:space="0" w:color="auto"/>
                  </w:divBdr>
                  <w:divsChild>
                    <w:div w:id="929855440">
                      <w:marLeft w:val="0"/>
                      <w:marRight w:val="0"/>
                      <w:marTop w:val="45"/>
                      <w:marBottom w:val="0"/>
                      <w:divBdr>
                        <w:top w:val="none" w:sz="0" w:space="0" w:color="auto"/>
                        <w:left w:val="none" w:sz="0" w:space="0" w:color="auto"/>
                        <w:bottom w:val="none" w:sz="0" w:space="0" w:color="auto"/>
                        <w:right w:val="none" w:sz="0" w:space="0" w:color="auto"/>
                      </w:divBdr>
                      <w:divsChild>
                        <w:div w:id="101847670">
                          <w:marLeft w:val="0"/>
                          <w:marRight w:val="0"/>
                          <w:marTop w:val="0"/>
                          <w:marBottom w:val="0"/>
                          <w:divBdr>
                            <w:top w:val="none" w:sz="0" w:space="0" w:color="auto"/>
                            <w:left w:val="none" w:sz="0" w:space="0" w:color="auto"/>
                            <w:bottom w:val="none" w:sz="0" w:space="0" w:color="auto"/>
                            <w:right w:val="none" w:sz="0" w:space="0" w:color="auto"/>
                          </w:divBdr>
                          <w:divsChild>
                            <w:div w:id="1159806940">
                              <w:marLeft w:val="2070"/>
                              <w:marRight w:val="3810"/>
                              <w:marTop w:val="0"/>
                              <w:marBottom w:val="0"/>
                              <w:divBdr>
                                <w:top w:val="none" w:sz="0" w:space="0" w:color="auto"/>
                                <w:left w:val="none" w:sz="0" w:space="0" w:color="auto"/>
                                <w:bottom w:val="none" w:sz="0" w:space="0" w:color="auto"/>
                                <w:right w:val="none" w:sz="0" w:space="0" w:color="auto"/>
                              </w:divBdr>
                              <w:divsChild>
                                <w:div w:id="1285424530">
                                  <w:marLeft w:val="0"/>
                                  <w:marRight w:val="0"/>
                                  <w:marTop w:val="0"/>
                                  <w:marBottom w:val="0"/>
                                  <w:divBdr>
                                    <w:top w:val="none" w:sz="0" w:space="0" w:color="auto"/>
                                    <w:left w:val="none" w:sz="0" w:space="0" w:color="auto"/>
                                    <w:bottom w:val="none" w:sz="0" w:space="0" w:color="auto"/>
                                    <w:right w:val="none" w:sz="0" w:space="0" w:color="auto"/>
                                  </w:divBdr>
                                  <w:divsChild>
                                    <w:div w:id="524558550">
                                      <w:marLeft w:val="0"/>
                                      <w:marRight w:val="0"/>
                                      <w:marTop w:val="0"/>
                                      <w:marBottom w:val="0"/>
                                      <w:divBdr>
                                        <w:top w:val="none" w:sz="0" w:space="0" w:color="auto"/>
                                        <w:left w:val="none" w:sz="0" w:space="0" w:color="auto"/>
                                        <w:bottom w:val="none" w:sz="0" w:space="0" w:color="auto"/>
                                        <w:right w:val="none" w:sz="0" w:space="0" w:color="auto"/>
                                      </w:divBdr>
                                      <w:divsChild>
                                        <w:div w:id="2027246528">
                                          <w:marLeft w:val="0"/>
                                          <w:marRight w:val="0"/>
                                          <w:marTop w:val="0"/>
                                          <w:marBottom w:val="0"/>
                                          <w:divBdr>
                                            <w:top w:val="none" w:sz="0" w:space="0" w:color="auto"/>
                                            <w:left w:val="none" w:sz="0" w:space="0" w:color="auto"/>
                                            <w:bottom w:val="none" w:sz="0" w:space="0" w:color="auto"/>
                                            <w:right w:val="none" w:sz="0" w:space="0" w:color="auto"/>
                                          </w:divBdr>
                                          <w:divsChild>
                                            <w:div w:id="370500087">
                                              <w:marLeft w:val="0"/>
                                              <w:marRight w:val="0"/>
                                              <w:marTop w:val="0"/>
                                              <w:marBottom w:val="0"/>
                                              <w:divBdr>
                                                <w:top w:val="none" w:sz="0" w:space="0" w:color="auto"/>
                                                <w:left w:val="none" w:sz="0" w:space="0" w:color="auto"/>
                                                <w:bottom w:val="none" w:sz="0" w:space="0" w:color="auto"/>
                                                <w:right w:val="none" w:sz="0" w:space="0" w:color="auto"/>
                                              </w:divBdr>
                                              <w:divsChild>
                                                <w:div w:id="134419348">
                                                  <w:marLeft w:val="0"/>
                                                  <w:marRight w:val="0"/>
                                                  <w:marTop w:val="0"/>
                                                  <w:marBottom w:val="0"/>
                                                  <w:divBdr>
                                                    <w:top w:val="none" w:sz="0" w:space="0" w:color="auto"/>
                                                    <w:left w:val="none" w:sz="0" w:space="0" w:color="auto"/>
                                                    <w:bottom w:val="none" w:sz="0" w:space="0" w:color="auto"/>
                                                    <w:right w:val="none" w:sz="0" w:space="0" w:color="auto"/>
                                                  </w:divBdr>
                                                  <w:divsChild>
                                                    <w:div w:id="76708459">
                                                      <w:marLeft w:val="0"/>
                                                      <w:marRight w:val="0"/>
                                                      <w:marTop w:val="0"/>
                                                      <w:marBottom w:val="345"/>
                                                      <w:divBdr>
                                                        <w:top w:val="none" w:sz="0" w:space="0" w:color="auto"/>
                                                        <w:left w:val="none" w:sz="0" w:space="0" w:color="auto"/>
                                                        <w:bottom w:val="none" w:sz="0" w:space="0" w:color="auto"/>
                                                        <w:right w:val="none" w:sz="0" w:space="0" w:color="auto"/>
                                                      </w:divBdr>
                                                      <w:divsChild>
                                                        <w:div w:id="1132091418">
                                                          <w:marLeft w:val="0"/>
                                                          <w:marRight w:val="0"/>
                                                          <w:marTop w:val="0"/>
                                                          <w:marBottom w:val="0"/>
                                                          <w:divBdr>
                                                            <w:top w:val="none" w:sz="0" w:space="0" w:color="auto"/>
                                                            <w:left w:val="none" w:sz="0" w:space="0" w:color="auto"/>
                                                            <w:bottom w:val="none" w:sz="0" w:space="0" w:color="auto"/>
                                                            <w:right w:val="none" w:sz="0" w:space="0" w:color="auto"/>
                                                          </w:divBdr>
                                                          <w:divsChild>
                                                            <w:div w:id="1359353656">
                                                              <w:marLeft w:val="0"/>
                                                              <w:marRight w:val="0"/>
                                                              <w:marTop w:val="0"/>
                                                              <w:marBottom w:val="0"/>
                                                              <w:divBdr>
                                                                <w:top w:val="none" w:sz="0" w:space="0" w:color="auto"/>
                                                                <w:left w:val="none" w:sz="0" w:space="0" w:color="auto"/>
                                                                <w:bottom w:val="none" w:sz="0" w:space="0" w:color="auto"/>
                                                                <w:right w:val="none" w:sz="0" w:space="0" w:color="auto"/>
                                                              </w:divBdr>
                                                              <w:divsChild>
                                                                <w:div w:id="736169650">
                                                                  <w:marLeft w:val="0"/>
                                                                  <w:marRight w:val="0"/>
                                                                  <w:marTop w:val="0"/>
                                                                  <w:marBottom w:val="0"/>
                                                                  <w:divBdr>
                                                                    <w:top w:val="none" w:sz="0" w:space="0" w:color="auto"/>
                                                                    <w:left w:val="none" w:sz="0" w:space="0" w:color="auto"/>
                                                                    <w:bottom w:val="none" w:sz="0" w:space="0" w:color="auto"/>
                                                                    <w:right w:val="none" w:sz="0" w:space="0" w:color="auto"/>
                                                                  </w:divBdr>
                                                                  <w:divsChild>
                                                                    <w:div w:id="12990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6658543">
      <w:bodyDiv w:val="1"/>
      <w:marLeft w:val="0"/>
      <w:marRight w:val="0"/>
      <w:marTop w:val="0"/>
      <w:marBottom w:val="0"/>
      <w:divBdr>
        <w:top w:val="none" w:sz="0" w:space="0" w:color="auto"/>
        <w:left w:val="none" w:sz="0" w:space="0" w:color="auto"/>
        <w:bottom w:val="none" w:sz="0" w:space="0" w:color="auto"/>
        <w:right w:val="none" w:sz="0" w:space="0" w:color="auto"/>
      </w:divBdr>
    </w:div>
    <w:div w:id="1516455790">
      <w:bodyDiv w:val="1"/>
      <w:marLeft w:val="0"/>
      <w:marRight w:val="0"/>
      <w:marTop w:val="0"/>
      <w:marBottom w:val="0"/>
      <w:divBdr>
        <w:top w:val="none" w:sz="0" w:space="0" w:color="auto"/>
        <w:left w:val="none" w:sz="0" w:space="0" w:color="auto"/>
        <w:bottom w:val="none" w:sz="0" w:space="0" w:color="auto"/>
        <w:right w:val="none" w:sz="0" w:space="0" w:color="auto"/>
      </w:divBdr>
    </w:div>
    <w:div w:id="1612978707">
      <w:bodyDiv w:val="1"/>
      <w:marLeft w:val="0"/>
      <w:marRight w:val="0"/>
      <w:marTop w:val="0"/>
      <w:marBottom w:val="0"/>
      <w:divBdr>
        <w:top w:val="none" w:sz="0" w:space="0" w:color="auto"/>
        <w:left w:val="none" w:sz="0" w:space="0" w:color="auto"/>
        <w:bottom w:val="none" w:sz="0" w:space="0" w:color="auto"/>
        <w:right w:val="none" w:sz="0" w:space="0" w:color="auto"/>
      </w:divBdr>
    </w:div>
    <w:div w:id="1623264862">
      <w:bodyDiv w:val="1"/>
      <w:marLeft w:val="0"/>
      <w:marRight w:val="0"/>
      <w:marTop w:val="0"/>
      <w:marBottom w:val="0"/>
      <w:divBdr>
        <w:top w:val="none" w:sz="0" w:space="0" w:color="auto"/>
        <w:left w:val="none" w:sz="0" w:space="0" w:color="auto"/>
        <w:bottom w:val="none" w:sz="0" w:space="0" w:color="auto"/>
        <w:right w:val="none" w:sz="0" w:space="0" w:color="auto"/>
      </w:divBdr>
    </w:div>
    <w:div w:id="1634017027">
      <w:bodyDiv w:val="1"/>
      <w:marLeft w:val="0"/>
      <w:marRight w:val="0"/>
      <w:marTop w:val="0"/>
      <w:marBottom w:val="0"/>
      <w:divBdr>
        <w:top w:val="none" w:sz="0" w:space="0" w:color="auto"/>
        <w:left w:val="none" w:sz="0" w:space="0" w:color="auto"/>
        <w:bottom w:val="none" w:sz="0" w:space="0" w:color="auto"/>
        <w:right w:val="none" w:sz="0" w:space="0" w:color="auto"/>
      </w:divBdr>
    </w:div>
    <w:div w:id="1660227352">
      <w:bodyDiv w:val="1"/>
      <w:marLeft w:val="0"/>
      <w:marRight w:val="0"/>
      <w:marTop w:val="0"/>
      <w:marBottom w:val="0"/>
      <w:divBdr>
        <w:top w:val="none" w:sz="0" w:space="0" w:color="auto"/>
        <w:left w:val="none" w:sz="0" w:space="0" w:color="auto"/>
        <w:bottom w:val="none" w:sz="0" w:space="0" w:color="auto"/>
        <w:right w:val="none" w:sz="0" w:space="0" w:color="auto"/>
      </w:divBdr>
    </w:div>
    <w:div w:id="1663465735">
      <w:bodyDiv w:val="1"/>
      <w:marLeft w:val="0"/>
      <w:marRight w:val="0"/>
      <w:marTop w:val="0"/>
      <w:marBottom w:val="0"/>
      <w:divBdr>
        <w:top w:val="none" w:sz="0" w:space="0" w:color="auto"/>
        <w:left w:val="none" w:sz="0" w:space="0" w:color="auto"/>
        <w:bottom w:val="none" w:sz="0" w:space="0" w:color="auto"/>
        <w:right w:val="none" w:sz="0" w:space="0" w:color="auto"/>
      </w:divBdr>
    </w:div>
    <w:div w:id="2023702038">
      <w:bodyDiv w:val="1"/>
      <w:marLeft w:val="0"/>
      <w:marRight w:val="0"/>
      <w:marTop w:val="0"/>
      <w:marBottom w:val="0"/>
      <w:divBdr>
        <w:top w:val="none" w:sz="0" w:space="0" w:color="auto"/>
        <w:left w:val="none" w:sz="0" w:space="0" w:color="auto"/>
        <w:bottom w:val="none" w:sz="0" w:space="0" w:color="auto"/>
        <w:right w:val="none" w:sz="0" w:space="0" w:color="auto"/>
      </w:divBdr>
    </w:div>
    <w:div w:id="2035383077">
      <w:bodyDiv w:val="1"/>
      <w:marLeft w:val="0"/>
      <w:marRight w:val="0"/>
      <w:marTop w:val="0"/>
      <w:marBottom w:val="0"/>
      <w:divBdr>
        <w:top w:val="none" w:sz="0" w:space="0" w:color="auto"/>
        <w:left w:val="none" w:sz="0" w:space="0" w:color="auto"/>
        <w:bottom w:val="none" w:sz="0" w:space="0" w:color="auto"/>
        <w:right w:val="none" w:sz="0" w:space="0" w:color="auto"/>
      </w:divBdr>
      <w:divsChild>
        <w:div w:id="1093471663">
          <w:marLeft w:val="0"/>
          <w:marRight w:val="0"/>
          <w:marTop w:val="0"/>
          <w:marBottom w:val="0"/>
          <w:divBdr>
            <w:top w:val="none" w:sz="0" w:space="0" w:color="auto"/>
            <w:left w:val="none" w:sz="0" w:space="0" w:color="auto"/>
            <w:bottom w:val="none" w:sz="0" w:space="0" w:color="auto"/>
            <w:right w:val="none" w:sz="0" w:space="0" w:color="auto"/>
          </w:divBdr>
          <w:divsChild>
            <w:div w:id="1956672662">
              <w:marLeft w:val="0"/>
              <w:marRight w:val="0"/>
              <w:marTop w:val="0"/>
              <w:marBottom w:val="0"/>
              <w:divBdr>
                <w:top w:val="none" w:sz="0" w:space="0" w:color="auto"/>
                <w:left w:val="none" w:sz="0" w:space="0" w:color="auto"/>
                <w:bottom w:val="none" w:sz="0" w:space="0" w:color="auto"/>
                <w:right w:val="none" w:sz="0" w:space="0" w:color="auto"/>
              </w:divBdr>
              <w:divsChild>
                <w:div w:id="466511956">
                  <w:marLeft w:val="0"/>
                  <w:marRight w:val="0"/>
                  <w:marTop w:val="0"/>
                  <w:marBottom w:val="0"/>
                  <w:divBdr>
                    <w:top w:val="none" w:sz="0" w:space="0" w:color="auto"/>
                    <w:left w:val="none" w:sz="0" w:space="0" w:color="auto"/>
                    <w:bottom w:val="none" w:sz="0" w:space="0" w:color="auto"/>
                    <w:right w:val="none" w:sz="0" w:space="0" w:color="auto"/>
                  </w:divBdr>
                  <w:divsChild>
                    <w:div w:id="187261476">
                      <w:marLeft w:val="0"/>
                      <w:marRight w:val="0"/>
                      <w:marTop w:val="45"/>
                      <w:marBottom w:val="0"/>
                      <w:divBdr>
                        <w:top w:val="none" w:sz="0" w:space="0" w:color="auto"/>
                        <w:left w:val="none" w:sz="0" w:space="0" w:color="auto"/>
                        <w:bottom w:val="none" w:sz="0" w:space="0" w:color="auto"/>
                        <w:right w:val="none" w:sz="0" w:space="0" w:color="auto"/>
                      </w:divBdr>
                      <w:divsChild>
                        <w:div w:id="463541760">
                          <w:marLeft w:val="0"/>
                          <w:marRight w:val="0"/>
                          <w:marTop w:val="0"/>
                          <w:marBottom w:val="0"/>
                          <w:divBdr>
                            <w:top w:val="none" w:sz="0" w:space="0" w:color="auto"/>
                            <w:left w:val="none" w:sz="0" w:space="0" w:color="auto"/>
                            <w:bottom w:val="none" w:sz="0" w:space="0" w:color="auto"/>
                            <w:right w:val="none" w:sz="0" w:space="0" w:color="auto"/>
                          </w:divBdr>
                          <w:divsChild>
                            <w:div w:id="2058778710">
                              <w:marLeft w:val="2070"/>
                              <w:marRight w:val="3810"/>
                              <w:marTop w:val="0"/>
                              <w:marBottom w:val="0"/>
                              <w:divBdr>
                                <w:top w:val="none" w:sz="0" w:space="0" w:color="auto"/>
                                <w:left w:val="none" w:sz="0" w:space="0" w:color="auto"/>
                                <w:bottom w:val="none" w:sz="0" w:space="0" w:color="auto"/>
                                <w:right w:val="none" w:sz="0" w:space="0" w:color="auto"/>
                              </w:divBdr>
                              <w:divsChild>
                                <w:div w:id="1996760493">
                                  <w:marLeft w:val="0"/>
                                  <w:marRight w:val="0"/>
                                  <w:marTop w:val="0"/>
                                  <w:marBottom w:val="0"/>
                                  <w:divBdr>
                                    <w:top w:val="none" w:sz="0" w:space="0" w:color="auto"/>
                                    <w:left w:val="none" w:sz="0" w:space="0" w:color="auto"/>
                                    <w:bottom w:val="none" w:sz="0" w:space="0" w:color="auto"/>
                                    <w:right w:val="none" w:sz="0" w:space="0" w:color="auto"/>
                                  </w:divBdr>
                                  <w:divsChild>
                                    <w:div w:id="1888569015">
                                      <w:marLeft w:val="0"/>
                                      <w:marRight w:val="0"/>
                                      <w:marTop w:val="0"/>
                                      <w:marBottom w:val="0"/>
                                      <w:divBdr>
                                        <w:top w:val="none" w:sz="0" w:space="0" w:color="auto"/>
                                        <w:left w:val="none" w:sz="0" w:space="0" w:color="auto"/>
                                        <w:bottom w:val="none" w:sz="0" w:space="0" w:color="auto"/>
                                        <w:right w:val="none" w:sz="0" w:space="0" w:color="auto"/>
                                      </w:divBdr>
                                      <w:divsChild>
                                        <w:div w:id="1324577766">
                                          <w:marLeft w:val="0"/>
                                          <w:marRight w:val="0"/>
                                          <w:marTop w:val="0"/>
                                          <w:marBottom w:val="0"/>
                                          <w:divBdr>
                                            <w:top w:val="none" w:sz="0" w:space="0" w:color="auto"/>
                                            <w:left w:val="none" w:sz="0" w:space="0" w:color="auto"/>
                                            <w:bottom w:val="none" w:sz="0" w:space="0" w:color="auto"/>
                                            <w:right w:val="none" w:sz="0" w:space="0" w:color="auto"/>
                                          </w:divBdr>
                                          <w:divsChild>
                                            <w:div w:id="525019775">
                                              <w:marLeft w:val="0"/>
                                              <w:marRight w:val="0"/>
                                              <w:marTop w:val="0"/>
                                              <w:marBottom w:val="0"/>
                                              <w:divBdr>
                                                <w:top w:val="none" w:sz="0" w:space="0" w:color="auto"/>
                                                <w:left w:val="none" w:sz="0" w:space="0" w:color="auto"/>
                                                <w:bottom w:val="none" w:sz="0" w:space="0" w:color="auto"/>
                                                <w:right w:val="none" w:sz="0" w:space="0" w:color="auto"/>
                                              </w:divBdr>
                                              <w:divsChild>
                                                <w:div w:id="539243428">
                                                  <w:marLeft w:val="0"/>
                                                  <w:marRight w:val="0"/>
                                                  <w:marTop w:val="0"/>
                                                  <w:marBottom w:val="0"/>
                                                  <w:divBdr>
                                                    <w:top w:val="none" w:sz="0" w:space="0" w:color="auto"/>
                                                    <w:left w:val="none" w:sz="0" w:space="0" w:color="auto"/>
                                                    <w:bottom w:val="none" w:sz="0" w:space="0" w:color="auto"/>
                                                    <w:right w:val="none" w:sz="0" w:space="0" w:color="auto"/>
                                                  </w:divBdr>
                                                  <w:divsChild>
                                                    <w:div w:id="1081945462">
                                                      <w:marLeft w:val="0"/>
                                                      <w:marRight w:val="0"/>
                                                      <w:marTop w:val="0"/>
                                                      <w:marBottom w:val="345"/>
                                                      <w:divBdr>
                                                        <w:top w:val="none" w:sz="0" w:space="0" w:color="auto"/>
                                                        <w:left w:val="none" w:sz="0" w:space="0" w:color="auto"/>
                                                        <w:bottom w:val="none" w:sz="0" w:space="0" w:color="auto"/>
                                                        <w:right w:val="none" w:sz="0" w:space="0" w:color="auto"/>
                                                      </w:divBdr>
                                                      <w:divsChild>
                                                        <w:div w:id="358547518">
                                                          <w:marLeft w:val="0"/>
                                                          <w:marRight w:val="0"/>
                                                          <w:marTop w:val="0"/>
                                                          <w:marBottom w:val="0"/>
                                                          <w:divBdr>
                                                            <w:top w:val="none" w:sz="0" w:space="0" w:color="auto"/>
                                                            <w:left w:val="none" w:sz="0" w:space="0" w:color="auto"/>
                                                            <w:bottom w:val="none" w:sz="0" w:space="0" w:color="auto"/>
                                                            <w:right w:val="none" w:sz="0" w:space="0" w:color="auto"/>
                                                          </w:divBdr>
                                                          <w:divsChild>
                                                            <w:div w:id="280108638">
                                                              <w:marLeft w:val="0"/>
                                                              <w:marRight w:val="0"/>
                                                              <w:marTop w:val="0"/>
                                                              <w:marBottom w:val="0"/>
                                                              <w:divBdr>
                                                                <w:top w:val="none" w:sz="0" w:space="0" w:color="auto"/>
                                                                <w:left w:val="none" w:sz="0" w:space="0" w:color="auto"/>
                                                                <w:bottom w:val="none" w:sz="0" w:space="0" w:color="auto"/>
                                                                <w:right w:val="none" w:sz="0" w:space="0" w:color="auto"/>
                                                              </w:divBdr>
                                                              <w:divsChild>
                                                                <w:div w:id="2081831380">
                                                                  <w:marLeft w:val="0"/>
                                                                  <w:marRight w:val="0"/>
                                                                  <w:marTop w:val="0"/>
                                                                  <w:marBottom w:val="0"/>
                                                                  <w:divBdr>
                                                                    <w:top w:val="none" w:sz="0" w:space="0" w:color="auto"/>
                                                                    <w:left w:val="none" w:sz="0" w:space="0" w:color="auto"/>
                                                                    <w:bottom w:val="none" w:sz="0" w:space="0" w:color="auto"/>
                                                                    <w:right w:val="none" w:sz="0" w:space="0" w:color="auto"/>
                                                                  </w:divBdr>
                                                                  <w:divsChild>
                                                                    <w:div w:id="8965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7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dfat.gov.au/about-us/publications/Documents/effective-governance-strategy-for-australias-aid-investments.pdf" TargetMode="External"/><Relationship Id="rId26" Type="http://schemas.openxmlformats.org/officeDocument/2006/relationships/hyperlink" Target="https://www.imf.org/external/np/g20/pdf/110311.pdf" TargetMode="External"/><Relationship Id="rId39" Type="http://schemas.openxmlformats.org/officeDocument/2006/relationships/hyperlink" Target="http://www.tadat.org/files/TADAT_FieldGuide_V5.pdf" TargetMode="External"/><Relationship Id="rId21" Type="http://schemas.openxmlformats.org/officeDocument/2006/relationships/hyperlink" Target="http://effectivecooperation.org/wordpress/2533-2/" TargetMode="External"/><Relationship Id="rId34" Type="http://schemas.openxmlformats.org/officeDocument/2006/relationships/hyperlink" Target="http://www.oecd.org/tax/addressing-base-erosion-and-profit-shifting-9789264192744-en.htm" TargetMode="External"/><Relationship Id="rId42" Type="http://schemas.openxmlformats.org/officeDocument/2006/relationships/footer" Target="footer3.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4.no/publications/corruption-in-tax-administration/" TargetMode="External"/><Relationship Id="rId29" Type="http://schemas.openxmlformats.org/officeDocument/2006/relationships/hyperlink" Target="http://www.unrisd.org/80256B3C005BCCF9/search/CF60C28959BE2207C1257E5E0042AA7F?OpenDocu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imf.org/external/np/pp/eng/2014/050914.pdf" TargetMode="External"/><Relationship Id="rId32" Type="http://schemas.openxmlformats.org/officeDocument/2006/relationships/hyperlink" Target="http://dx.doi.org/10.1787/ctt-2014-en" TargetMode="External"/><Relationship Id="rId37" Type="http://schemas.openxmlformats.org/officeDocument/2006/relationships/hyperlink" Target="http://www.gsdrc.org/go/topic-guides/tax-reform" TargetMode="External"/><Relationship Id="rId40" Type="http://schemas.openxmlformats.org/officeDocument/2006/relationships/hyperlink" Target="http://www.un.org/esa/ffd/ffd3/"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file://chch/chch/Clients/mosborn3/Docs/Offline%20Records%20(CH)/Domestic%20Resource%20Mobilisation%20~%20OVERSEAS%20AID%20DEVELOPMENT%20-%20Policy(2)/Effective%20Development%20Co-operation%20Blog,%2027%20http:/devcooperation.org/2014/11/27/strengthening-revenue-collection-to-help-fi" TargetMode="External"/><Relationship Id="rId23" Type="http://schemas.openxmlformats.org/officeDocument/2006/relationships/hyperlink" Target="http://www.taxcompact.net/documents/ITC_2013-07_Aid-Modalities.pdf" TargetMode="External"/><Relationship Id="rId28" Type="http://schemas.openxmlformats.org/officeDocument/2006/relationships/hyperlink" Target="http://www.gfintegrity.org/report/2014-global-report-illicit-financial-flows-from-developing-countries-2003-2012/" TargetMode="External"/><Relationship Id="rId36" Type="http://schemas.openxmlformats.org/officeDocument/2006/relationships/hyperlink" Target="https://www.google.com/url?q=http://www.oecd.org/site/devaeo10/44272298.pdf&amp;sa=U&amp;ei=s7wYVa30KouuyAS-t4HYAQ&amp;ved=0CAMQFjAA&amp;client=internal-uds-cse&amp;usg=AFQjCNFagy7bu4znobTA3fv0W2a81F3JoQ" TargetMode="External"/><Relationship Id="rId10" Type="http://schemas.openxmlformats.org/officeDocument/2006/relationships/header" Target="header1.xml"/><Relationship Id="rId19" Type="http://schemas.openxmlformats.org/officeDocument/2006/relationships/hyperlink" Target="http://dfat.gov.au/about-us/publications/Documents/australian-aid-development-policy.pdf" TargetMode="External"/><Relationship Id="rId31" Type="http://schemas.openxmlformats.org/officeDocument/2006/relationships/hyperlink" Target="http://www.resourcegovernance.org/sites/default/files/nrgi_FiscalRegime_20150311.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 Id="rId22" Type="http://schemas.openxmlformats.org/officeDocument/2006/relationships/hyperlink" Target="http://www.oecd.org/dac/gender-development/44896295.pdf" TargetMode="External"/><Relationship Id="rId27" Type="http://schemas.openxmlformats.org/officeDocument/2006/relationships/hyperlink" Target="http://www.taxcompact.net/documents/ITC_2013-07_Aid-Modalities.pdf" TargetMode="External"/><Relationship Id="rId30" Type="http://schemas.openxmlformats.org/officeDocument/2006/relationships/hyperlink" Target="http://devcooperation.org/2014/09/08/using&#160;domestic&#160;revenue&#160;to&#160;builddemocracy/" TargetMode="External"/><Relationship Id="rId35" Type="http://schemas.openxmlformats.org/officeDocument/2006/relationships/hyperlink" Target="http://www.oecd.org/dac/DCR%20summary_EN.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r4d.dfid.gov.uk/PDF/Outputs/ProPoor_RPC/60667_Background_Paper.pdf" TargetMode="External"/><Relationship Id="rId25" Type="http://schemas.openxmlformats.org/officeDocument/2006/relationships/hyperlink" Target="https://www.imf.org/external/np/pp/eng/2005/080805m.pdf" TargetMode="External"/><Relationship Id="rId33" Type="http://schemas.openxmlformats.org/officeDocument/2006/relationships/hyperlink" Target="http://www.oecd.org/dac/governance-peace/conflictandfragility/.../FSR-2014.pdf" TargetMode="External"/><Relationship Id="rId38" Type="http://schemas.openxmlformats.org/officeDocument/2006/relationships/hyperlink" Target="https://sustainabledevelopment.un.org/getWSDoc.php?id=4967" TargetMode="External"/><Relationship Id="rId46" Type="http://schemas.openxmlformats.org/officeDocument/2006/relationships/customXml" Target="../customXml/item3.xml"/><Relationship Id="rId20" Type="http://schemas.openxmlformats.org/officeDocument/2006/relationships/hyperlink" Target="http://www.lse.ac.uk/internationalDevelopment/.../crisisStates/.../Taxation.pdf" TargetMode="External"/><Relationship Id="rId41" Type="http://schemas.openxmlformats.org/officeDocument/2006/relationships/hyperlink" Target="https://www.worldbank.org/.../east-asia-pacific-at-work-full-repor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tephanie:Desktop:FAD%202015.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hch\chch\Clients\mosborn3\Docs\Offline%20Records%20(CH)\Domestic%20Resource%20Mobilisation%20~%20OVERSEAS%20AID%20DEVELOPMENT%20-%20Policy(3)\Tax%20as%20per%20cent%20of%20GDP_World%20Development%20Indicator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0033573928258967"/>
          <c:y val="5.3441731335929582E-2"/>
          <c:w val="0.86910870516185479"/>
          <c:h val="0.82597269204165369"/>
        </c:manualLayout>
      </c:layout>
      <c:lineChart>
        <c:grouping val="standard"/>
        <c:varyColors val="0"/>
        <c:ser>
          <c:idx val="0"/>
          <c:order val="0"/>
          <c:tx>
            <c:strRef>
              <c:f>Graphs!$A$3</c:f>
              <c:strCache>
                <c:ptCount val="1"/>
                <c:pt idx="0">
                  <c:v>Low income</c:v>
                </c:pt>
              </c:strCache>
            </c:strRef>
          </c:tx>
          <c:marker>
            <c:symbol val="diamond"/>
            <c:size val="5"/>
          </c:marker>
          <c:cat>
            <c:numRef>
              <c:f>Graphs!$L$2:$Y$2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Graphs!$L$3:$Y$3</c:f>
              <c:numCache>
                <c:formatCode>General</c:formatCode>
                <c:ptCount val="14"/>
                <c:pt idx="0">
                  <c:v>11.027586206896549</c:v>
                </c:pt>
                <c:pt idx="1">
                  <c:v>10.83</c:v>
                </c:pt>
                <c:pt idx="2">
                  <c:v>10.9258064516129</c:v>
                </c:pt>
                <c:pt idx="3">
                  <c:v>11.28181818181818</c:v>
                </c:pt>
                <c:pt idx="4">
                  <c:v>12.1030303030303</c:v>
                </c:pt>
                <c:pt idx="5">
                  <c:v>11.87333333333333</c:v>
                </c:pt>
                <c:pt idx="6">
                  <c:v>12.15925925925926</c:v>
                </c:pt>
                <c:pt idx="7">
                  <c:v>12.353846153846151</c:v>
                </c:pt>
                <c:pt idx="8">
                  <c:v>12.578571428571429</c:v>
                </c:pt>
                <c:pt idx="9">
                  <c:v>12.68928571428571</c:v>
                </c:pt>
                <c:pt idx="10">
                  <c:v>13.553846153846161</c:v>
                </c:pt>
                <c:pt idx="11">
                  <c:v>13.99583333333333</c:v>
                </c:pt>
                <c:pt idx="12">
                  <c:v>14.87619047619047</c:v>
                </c:pt>
                <c:pt idx="13">
                  <c:v>14.80952380952381</c:v>
                </c:pt>
              </c:numCache>
            </c:numRef>
          </c:val>
          <c:smooth val="0"/>
        </c:ser>
        <c:ser>
          <c:idx val="1"/>
          <c:order val="1"/>
          <c:tx>
            <c:strRef>
              <c:f>Graphs!$A$4</c:f>
              <c:strCache>
                <c:ptCount val="1"/>
                <c:pt idx="0">
                  <c:v>Lower middle income</c:v>
                </c:pt>
              </c:strCache>
            </c:strRef>
          </c:tx>
          <c:spPr>
            <a:ln>
              <a:prstDash val="dash"/>
            </a:ln>
          </c:spPr>
          <c:marker>
            <c:symbol val="none"/>
          </c:marker>
          <c:cat>
            <c:numRef>
              <c:f>Graphs!$L$2:$Y$2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Graphs!$L$4:$Y$4</c:f>
              <c:numCache>
                <c:formatCode>General</c:formatCode>
                <c:ptCount val="14"/>
                <c:pt idx="0">
                  <c:v>16.192499999999999</c:v>
                </c:pt>
                <c:pt idx="1">
                  <c:v>15.861904761904761</c:v>
                </c:pt>
                <c:pt idx="2">
                  <c:v>16.148837209302322</c:v>
                </c:pt>
                <c:pt idx="3">
                  <c:v>16.488372093023209</c:v>
                </c:pt>
                <c:pt idx="4">
                  <c:v>16.968181818181819</c:v>
                </c:pt>
                <c:pt idx="5">
                  <c:v>17.384090909090901</c:v>
                </c:pt>
                <c:pt idx="6">
                  <c:v>17.969767441860469</c:v>
                </c:pt>
                <c:pt idx="7">
                  <c:v>18.169767441860468</c:v>
                </c:pt>
                <c:pt idx="8">
                  <c:v>17.81951219512192</c:v>
                </c:pt>
                <c:pt idx="9">
                  <c:v>16.515384615384608</c:v>
                </c:pt>
                <c:pt idx="10">
                  <c:v>16.827027027027029</c:v>
                </c:pt>
                <c:pt idx="11">
                  <c:v>17.016666666666669</c:v>
                </c:pt>
                <c:pt idx="12">
                  <c:v>17.444827586206902</c:v>
                </c:pt>
                <c:pt idx="13">
                  <c:v>17.706896551724139</c:v>
                </c:pt>
              </c:numCache>
            </c:numRef>
          </c:val>
          <c:smooth val="0"/>
        </c:ser>
        <c:ser>
          <c:idx val="2"/>
          <c:order val="2"/>
          <c:tx>
            <c:strRef>
              <c:f>Graphs!$A$5</c:f>
              <c:strCache>
                <c:ptCount val="1"/>
                <c:pt idx="0">
                  <c:v>Upper middle income</c:v>
                </c:pt>
              </c:strCache>
            </c:strRef>
          </c:tx>
          <c:spPr>
            <a:ln>
              <a:prstDash val="solid"/>
            </a:ln>
          </c:spPr>
          <c:marker>
            <c:symbol val="none"/>
          </c:marker>
          <c:cat>
            <c:numRef>
              <c:f>Graphs!$L$2:$Y$2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Graphs!$L$5:$Y$5</c:f>
              <c:numCache>
                <c:formatCode>General</c:formatCode>
                <c:ptCount val="14"/>
                <c:pt idx="0">
                  <c:v>19.276744186046511</c:v>
                </c:pt>
                <c:pt idx="1">
                  <c:v>18.327906976744181</c:v>
                </c:pt>
                <c:pt idx="2">
                  <c:v>18.132558139534879</c:v>
                </c:pt>
                <c:pt idx="3">
                  <c:v>18.872093023255811</c:v>
                </c:pt>
                <c:pt idx="4">
                  <c:v>19.106976744186031</c:v>
                </c:pt>
                <c:pt idx="5">
                  <c:v>20.14222222222222</c:v>
                </c:pt>
                <c:pt idx="6">
                  <c:v>20.29767441860465</c:v>
                </c:pt>
                <c:pt idx="7">
                  <c:v>20.399999999999991</c:v>
                </c:pt>
                <c:pt idx="8">
                  <c:v>20.76976744186047</c:v>
                </c:pt>
                <c:pt idx="9">
                  <c:v>19.409523809523758</c:v>
                </c:pt>
                <c:pt idx="10">
                  <c:v>19.364999999999998</c:v>
                </c:pt>
                <c:pt idx="11">
                  <c:v>20.05</c:v>
                </c:pt>
                <c:pt idx="12">
                  <c:v>19.84827586206897</c:v>
                </c:pt>
                <c:pt idx="13">
                  <c:v>19.744827586206888</c:v>
                </c:pt>
              </c:numCache>
            </c:numRef>
          </c:val>
          <c:smooth val="0"/>
        </c:ser>
        <c:ser>
          <c:idx val="3"/>
          <c:order val="3"/>
          <c:tx>
            <c:strRef>
              <c:f>Graphs!$A$6</c:f>
              <c:strCache>
                <c:ptCount val="1"/>
                <c:pt idx="0">
                  <c:v>High income</c:v>
                </c:pt>
              </c:strCache>
            </c:strRef>
          </c:tx>
          <c:cat>
            <c:numRef>
              <c:f>Graphs!$L$2:$Y$2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Graphs!$L$6:$Y$6</c:f>
              <c:numCache>
                <c:formatCode>General</c:formatCode>
                <c:ptCount val="14"/>
                <c:pt idx="0">
                  <c:v>23.12</c:v>
                </c:pt>
                <c:pt idx="1">
                  <c:v>22.917777777777768</c:v>
                </c:pt>
                <c:pt idx="2">
                  <c:v>22.193617021276602</c:v>
                </c:pt>
                <c:pt idx="3">
                  <c:v>22.25531914893617</c:v>
                </c:pt>
                <c:pt idx="4">
                  <c:v>22.642553191489359</c:v>
                </c:pt>
                <c:pt idx="5">
                  <c:v>23.368085106382981</c:v>
                </c:pt>
                <c:pt idx="6">
                  <c:v>23.336956521739129</c:v>
                </c:pt>
                <c:pt idx="7">
                  <c:v>22.951063829787241</c:v>
                </c:pt>
                <c:pt idx="8">
                  <c:v>22.878260869565221</c:v>
                </c:pt>
                <c:pt idx="9">
                  <c:v>21.743478260869558</c:v>
                </c:pt>
                <c:pt idx="10">
                  <c:v>21.931111111111111</c:v>
                </c:pt>
                <c:pt idx="11">
                  <c:v>23.18780487804878</c:v>
                </c:pt>
                <c:pt idx="12">
                  <c:v>20.474074074074078</c:v>
                </c:pt>
                <c:pt idx="13">
                  <c:v>20.711111111111119</c:v>
                </c:pt>
              </c:numCache>
            </c:numRef>
          </c:val>
          <c:smooth val="0"/>
        </c:ser>
        <c:ser>
          <c:idx val="4"/>
          <c:order val="4"/>
          <c:tx>
            <c:strRef>
              <c:f>Graphs!$A$7</c:f>
              <c:strCache>
                <c:ptCount val="1"/>
                <c:pt idx="0">
                  <c:v>DFAT 16 - Average</c:v>
                </c:pt>
              </c:strCache>
            </c:strRef>
          </c:tx>
          <c:spPr>
            <a:ln>
              <a:solidFill>
                <a:schemeClr val="accent2"/>
              </a:solidFill>
            </a:ln>
          </c:spPr>
          <c:marker>
            <c:symbol val="none"/>
          </c:marker>
          <c:cat>
            <c:numRef>
              <c:f>Graphs!$L$2:$Y$2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Graphs!$L$7:$Y$7</c:f>
              <c:numCache>
                <c:formatCode>General</c:formatCode>
                <c:ptCount val="14"/>
                <c:pt idx="0">
                  <c:v>14.09361671117744</c:v>
                </c:pt>
                <c:pt idx="1">
                  <c:v>15.140946630755</c:v>
                </c:pt>
                <c:pt idx="2">
                  <c:v>15.496410384710339</c:v>
                </c:pt>
                <c:pt idx="3">
                  <c:v>15.044776860219351</c:v>
                </c:pt>
                <c:pt idx="4">
                  <c:v>15.7877907755376</c:v>
                </c:pt>
                <c:pt idx="5">
                  <c:v>16.212413019898079</c:v>
                </c:pt>
                <c:pt idx="6">
                  <c:v>16.60154092105142</c:v>
                </c:pt>
                <c:pt idx="7">
                  <c:v>17.35542344370624</c:v>
                </c:pt>
                <c:pt idx="8">
                  <c:v>16.853213201912091</c:v>
                </c:pt>
                <c:pt idx="9">
                  <c:v>14.849794697693159</c:v>
                </c:pt>
                <c:pt idx="10">
                  <c:v>15.42209689453507</c:v>
                </c:pt>
                <c:pt idx="11">
                  <c:v>15.40661805977671</c:v>
                </c:pt>
                <c:pt idx="12">
                  <c:v>15.175620730170699</c:v>
                </c:pt>
                <c:pt idx="13">
                  <c:v>15.71512166155728</c:v>
                </c:pt>
              </c:numCache>
            </c:numRef>
          </c:val>
          <c:smooth val="0"/>
        </c:ser>
        <c:dLbls>
          <c:showLegendKey val="0"/>
          <c:showVal val="0"/>
          <c:showCatName val="0"/>
          <c:showSerName val="0"/>
          <c:showPercent val="0"/>
          <c:showBubbleSize val="0"/>
        </c:dLbls>
        <c:marker val="1"/>
        <c:smooth val="0"/>
        <c:axId val="195198976"/>
        <c:axId val="195200512"/>
      </c:lineChart>
      <c:catAx>
        <c:axId val="195198976"/>
        <c:scaling>
          <c:orientation val="minMax"/>
        </c:scaling>
        <c:delete val="0"/>
        <c:axPos val="b"/>
        <c:numFmt formatCode="General" sourceLinked="1"/>
        <c:majorTickMark val="out"/>
        <c:minorTickMark val="none"/>
        <c:tickLblPos val="nextTo"/>
        <c:crossAx val="195200512"/>
        <c:crosses val="autoZero"/>
        <c:auto val="1"/>
        <c:lblAlgn val="ctr"/>
        <c:lblOffset val="100"/>
        <c:noMultiLvlLbl val="0"/>
      </c:catAx>
      <c:valAx>
        <c:axId val="195200512"/>
        <c:scaling>
          <c:orientation val="minMax"/>
        </c:scaling>
        <c:delete val="0"/>
        <c:axPos val="l"/>
        <c:title>
          <c:tx>
            <c:rich>
              <a:bodyPr rot="-5400000" vert="horz"/>
              <a:lstStyle/>
              <a:p>
                <a:pPr>
                  <a:defRPr/>
                </a:pPr>
                <a:r>
                  <a:rPr lang="en-AU" b="0"/>
                  <a:t>Per cent</a:t>
                </a:r>
              </a:p>
            </c:rich>
          </c:tx>
          <c:layout/>
          <c:overlay val="0"/>
        </c:title>
        <c:numFmt formatCode="General" sourceLinked="1"/>
        <c:majorTickMark val="out"/>
        <c:minorTickMark val="none"/>
        <c:tickLblPos val="nextTo"/>
        <c:crossAx val="195198976"/>
        <c:crosses val="autoZero"/>
        <c:crossBetween val="between"/>
      </c:valAx>
    </c:plotArea>
    <c:legend>
      <c:legendPos val="l"/>
      <c:layout>
        <c:manualLayout>
          <c:xMode val="edge"/>
          <c:yMode val="edge"/>
          <c:x val="0.39578982721946498"/>
          <c:y val="0.52627476170741805"/>
          <c:w val="0.60077519379844901"/>
          <c:h val="0.278565324864537"/>
        </c:manualLayout>
      </c:layout>
      <c:overlay val="1"/>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11351706036744"/>
          <c:y val="5.1941612561587698E-2"/>
          <c:w val="0.86633092738407702"/>
          <c:h val="0.68733655661463366"/>
        </c:manualLayout>
      </c:layout>
      <c:barChart>
        <c:barDir val="col"/>
        <c:grouping val="clustered"/>
        <c:varyColors val="0"/>
        <c:ser>
          <c:idx val="0"/>
          <c:order val="0"/>
          <c:invertIfNegative val="0"/>
          <c:cat>
            <c:strRef>
              <c:f>Sheet2!$A$2:$A$16</c:f>
              <c:strCache>
                <c:ptCount val="15"/>
                <c:pt idx="0">
                  <c:v>Samoa</c:v>
                </c:pt>
                <c:pt idx="1">
                  <c:v>Fiji</c:v>
                </c:pt>
                <c:pt idx="2">
                  <c:v>Kiribati</c:v>
                </c:pt>
                <c:pt idx="3">
                  <c:v>Vanuatu</c:v>
                </c:pt>
                <c:pt idx="4">
                  <c:v>Nepal</c:v>
                </c:pt>
                <c:pt idx="5">
                  <c:v>Mongolia</c:v>
                </c:pt>
                <c:pt idx="6">
                  <c:v>Lao PDR</c:v>
                </c:pt>
                <c:pt idx="7">
                  <c:v>Philippines</c:v>
                </c:pt>
                <c:pt idx="8">
                  <c:v>Sri Lanka</c:v>
                </c:pt>
                <c:pt idx="9">
                  <c:v>Cambodia</c:v>
                </c:pt>
                <c:pt idx="10">
                  <c:v>India</c:v>
                </c:pt>
                <c:pt idx="11">
                  <c:v>Pakistan</c:v>
                </c:pt>
                <c:pt idx="12">
                  <c:v>Bhutan</c:v>
                </c:pt>
                <c:pt idx="13">
                  <c:v>Bangladesh</c:v>
                </c:pt>
                <c:pt idx="14">
                  <c:v>Afghanistan</c:v>
                </c:pt>
              </c:strCache>
            </c:strRef>
          </c:cat>
          <c:val>
            <c:numRef>
              <c:f>Sheet2!$B$2:$B$16</c:f>
              <c:numCache>
                <c:formatCode>General</c:formatCode>
                <c:ptCount val="15"/>
                <c:pt idx="0">
                  <c:v>24.2</c:v>
                </c:pt>
                <c:pt idx="1">
                  <c:v>23.187023319146022</c:v>
                </c:pt>
                <c:pt idx="2">
                  <c:v>16.054205840236687</c:v>
                </c:pt>
                <c:pt idx="3">
                  <c:v>15.985777376433902</c:v>
                </c:pt>
                <c:pt idx="4">
                  <c:v>15.3353641021763</c:v>
                </c:pt>
                <c:pt idx="5">
                  <c:v>15.312142184234782</c:v>
                </c:pt>
                <c:pt idx="6">
                  <c:v>14.832001936292288</c:v>
                </c:pt>
                <c:pt idx="7">
                  <c:v>12.880076974809032</c:v>
                </c:pt>
                <c:pt idx="8">
                  <c:v>11.993201572758734</c:v>
                </c:pt>
                <c:pt idx="9">
                  <c:v>11.593074990880782</c:v>
                </c:pt>
                <c:pt idx="10">
                  <c:v>11.430725880432314</c:v>
                </c:pt>
                <c:pt idx="11">
                  <c:v>11.13240441126152</c:v>
                </c:pt>
                <c:pt idx="12">
                  <c:v>9.2355270250404278</c:v>
                </c:pt>
                <c:pt idx="13">
                  <c:v>8.6859273916697095</c:v>
                </c:pt>
                <c:pt idx="14">
                  <c:v>7.4716388462987311</c:v>
                </c:pt>
              </c:numCache>
            </c:numRef>
          </c:val>
        </c:ser>
        <c:dLbls>
          <c:showLegendKey val="0"/>
          <c:showVal val="0"/>
          <c:showCatName val="0"/>
          <c:showSerName val="0"/>
          <c:showPercent val="0"/>
          <c:showBubbleSize val="0"/>
        </c:dLbls>
        <c:gapWidth val="150"/>
        <c:axId val="245372416"/>
        <c:axId val="245373952"/>
      </c:barChart>
      <c:catAx>
        <c:axId val="245372416"/>
        <c:scaling>
          <c:orientation val="minMax"/>
        </c:scaling>
        <c:delete val="0"/>
        <c:axPos val="b"/>
        <c:majorTickMark val="out"/>
        <c:minorTickMark val="none"/>
        <c:tickLblPos val="nextTo"/>
        <c:crossAx val="245373952"/>
        <c:crosses val="autoZero"/>
        <c:auto val="1"/>
        <c:lblAlgn val="ctr"/>
        <c:lblOffset val="100"/>
        <c:noMultiLvlLbl val="0"/>
      </c:catAx>
      <c:valAx>
        <c:axId val="245373952"/>
        <c:scaling>
          <c:orientation val="minMax"/>
        </c:scaling>
        <c:delete val="0"/>
        <c:axPos val="l"/>
        <c:majorGridlines/>
        <c:title>
          <c:tx>
            <c:rich>
              <a:bodyPr rot="-5400000" vert="horz"/>
              <a:lstStyle/>
              <a:p>
                <a:pPr>
                  <a:defRPr b="0"/>
                </a:pPr>
                <a:r>
                  <a:rPr lang="en-US" b="0"/>
                  <a:t>Per cent</a:t>
                </a:r>
              </a:p>
            </c:rich>
          </c:tx>
          <c:layout/>
          <c:overlay val="0"/>
        </c:title>
        <c:numFmt formatCode="General" sourceLinked="1"/>
        <c:majorTickMark val="out"/>
        <c:minorTickMark val="none"/>
        <c:tickLblPos val="nextTo"/>
        <c:crossAx val="24537241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E8AC6A-6D95-49A1-A7E8-88008575A859}"/>
</file>

<file path=customXml/itemProps2.xml><?xml version="1.0" encoding="utf-8"?>
<ds:datastoreItem xmlns:ds="http://schemas.openxmlformats.org/officeDocument/2006/customXml" ds:itemID="{1EB416CE-E162-4523-8D91-A52F9DD11B6C}"/>
</file>

<file path=customXml/itemProps3.xml><?xml version="1.0" encoding="utf-8"?>
<ds:datastoreItem xmlns:ds="http://schemas.openxmlformats.org/officeDocument/2006/customXml" ds:itemID="{6FB39A0B-B8FB-4988-A3A0-678226F58767}"/>
</file>

<file path=customXml/itemProps4.xml><?xml version="1.0" encoding="utf-8"?>
<ds:datastoreItem xmlns:ds="http://schemas.openxmlformats.org/officeDocument/2006/customXml" ds:itemID="{8F254C29-0A74-4EC4-8767-D3D67A0D2E90}"/>
</file>

<file path=docProps/app.xml><?xml version="1.0" encoding="utf-8"?>
<Properties xmlns="http://schemas.openxmlformats.org/officeDocument/2006/extended-properties" xmlns:vt="http://schemas.openxmlformats.org/officeDocument/2006/docPropsVTypes">
  <Template>31C6308</Template>
  <TotalTime>709</TotalTime>
  <Pages>15</Pages>
  <Words>5024</Words>
  <Characters>31900</Characters>
  <Application>Microsoft Office Word</Application>
  <DocSecurity>0</DocSecurity>
  <Lines>588</Lines>
  <Paragraphs>150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Rogers, Cate</dc:creator>
  <cp:lastModifiedBy>Australia</cp:lastModifiedBy>
  <cp:revision>31</cp:revision>
  <cp:lastPrinted>2016-04-27T04:33:00Z</cp:lastPrinted>
  <dcterms:created xsi:type="dcterms:W3CDTF">2015-11-26T04:11:00Z</dcterms:created>
  <dcterms:modified xsi:type="dcterms:W3CDTF">2016-04-27T04:38:00Z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c23f53f4-08fd-4a68-a652-076d64c5737f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1035700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