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0E02" w14:textId="48ACDE3E" w:rsidR="00A844E3" w:rsidRDefault="00A844E3" w:rsidP="004B2A7F">
      <w:pPr>
        <w:pStyle w:val="Heading1"/>
      </w:pPr>
      <w:r>
        <w:t>Fiji</w:t>
      </w:r>
      <w:r w:rsidR="00563067">
        <w:t xml:space="preserve"> Private Sector Development Partnership</w:t>
      </w:r>
      <w:r>
        <w:t xml:space="preserve"> (</w:t>
      </w:r>
      <w:r w:rsidR="00563067">
        <w:t>FPSDP</w:t>
      </w:r>
      <w:r>
        <w:t>)</w:t>
      </w:r>
      <w:r w:rsidR="00A12660" w:rsidRPr="00A12660">
        <w:t xml:space="preserve"> </w:t>
      </w:r>
      <w:r w:rsidR="00265327">
        <w:t>Final Evaluation</w:t>
      </w:r>
    </w:p>
    <w:p w14:paraId="59BDAE8C" w14:textId="27DC17A8" w:rsidR="00D679B4" w:rsidRPr="00D679B4" w:rsidRDefault="00D679B4" w:rsidP="00853690">
      <w:pPr>
        <w:jc w:val="both"/>
      </w:pPr>
      <w:r w:rsidRPr="00D679B4">
        <w:t xml:space="preserve">DFAT Management Response </w:t>
      </w:r>
    </w:p>
    <w:p w14:paraId="08F2F10D" w14:textId="7474479D" w:rsidR="006251AF" w:rsidRPr="006251AF" w:rsidRDefault="006251AF" w:rsidP="006251AF">
      <w:pPr>
        <w:spacing w:after="120" w:line="240" w:lineRule="auto"/>
        <w:jc w:val="both"/>
        <w:rPr>
          <w:rFonts w:ascii="Calibri" w:eastAsia="Times New Roman" w:hAnsi="Calibri" w:cs="Calibri"/>
          <w14:ligatures w14:val="none"/>
        </w:rPr>
      </w:pPr>
      <w:bookmarkStart w:id="0" w:name="_Hlk188373211"/>
      <w:r w:rsidRPr="006251AF">
        <w:rPr>
          <w:rFonts w:ascii="Calibri" w:eastAsia="Times New Roman" w:hAnsi="Calibri" w:cs="Calibri"/>
          <w14:ligatures w14:val="none"/>
        </w:rPr>
        <w:t>Th</w:t>
      </w:r>
      <w:r w:rsidR="003E78DB">
        <w:rPr>
          <w:rFonts w:ascii="Calibri" w:eastAsia="Times New Roman" w:hAnsi="Calibri" w:cs="Calibri"/>
          <w14:ligatures w14:val="none"/>
        </w:rPr>
        <w:t>e final evaluation</w:t>
      </w:r>
      <w:r w:rsidRPr="006251AF">
        <w:rPr>
          <w:rFonts w:ascii="Calibri" w:eastAsia="Times New Roman" w:hAnsi="Calibri" w:cs="Calibri"/>
          <w14:ligatures w14:val="none"/>
        </w:rPr>
        <w:t xml:space="preserve"> report outlines the key findings and associated recommendations of </w:t>
      </w:r>
      <w:r w:rsidR="00EA52A4">
        <w:rPr>
          <w:rFonts w:ascii="Calibri" w:eastAsia="Times New Roman" w:hAnsi="Calibri" w:cs="Calibri"/>
          <w14:ligatures w14:val="none"/>
        </w:rPr>
        <w:t xml:space="preserve">Phase II of </w:t>
      </w:r>
      <w:r w:rsidRPr="006251AF">
        <w:rPr>
          <w:rFonts w:ascii="Calibri" w:eastAsia="Times New Roman" w:hAnsi="Calibri" w:cs="Calibri"/>
          <w14:ligatures w14:val="none"/>
        </w:rPr>
        <w:t xml:space="preserve">the </w:t>
      </w:r>
      <w:r w:rsidRPr="006251AF">
        <w:rPr>
          <w:rFonts w:ascii="Calibri" w:eastAsia="Times New Roman" w:hAnsi="Calibri" w:cs="Calibri"/>
          <w:i/>
          <w:iCs/>
          <w14:ligatures w14:val="none"/>
        </w:rPr>
        <w:t>IFC</w:t>
      </w:r>
      <w:r w:rsidRPr="006251AF">
        <w:rPr>
          <w:rFonts w:ascii="Calibri" w:eastAsia="Times New Roman" w:hAnsi="Calibri" w:cs="Calibri"/>
          <w14:ligatures w14:val="none"/>
        </w:rPr>
        <w:t xml:space="preserve"> </w:t>
      </w:r>
      <w:r w:rsidRPr="006251AF">
        <w:rPr>
          <w:rFonts w:ascii="Calibri" w:eastAsia="Times New Roman" w:hAnsi="Calibri" w:cs="Calibri"/>
          <w:i/>
          <w:iCs/>
          <w14:ligatures w14:val="none"/>
        </w:rPr>
        <w:t xml:space="preserve">Fiji Private Sector Development Partnership (FPSDP) </w:t>
      </w:r>
      <w:r w:rsidRPr="006251AF">
        <w:rPr>
          <w:rFonts w:ascii="Calibri" w:eastAsia="Times New Roman" w:hAnsi="Calibri" w:cs="Calibri"/>
          <w14:ligatures w14:val="none"/>
        </w:rPr>
        <w:t xml:space="preserve">program. The FPSDP is a four-year AUD8 million </w:t>
      </w:r>
      <w:proofErr w:type="gramStart"/>
      <w:r w:rsidRPr="006251AF">
        <w:rPr>
          <w:rFonts w:ascii="Calibri" w:eastAsia="Times New Roman" w:hAnsi="Calibri" w:cs="Calibri"/>
          <w14:ligatures w14:val="none"/>
        </w:rPr>
        <w:t>investment</w:t>
      </w:r>
      <w:proofErr w:type="gramEnd"/>
      <w:r w:rsidRPr="006251AF">
        <w:rPr>
          <w:rFonts w:ascii="Calibri" w:eastAsia="Times New Roman" w:hAnsi="Calibri" w:cs="Calibri"/>
          <w14:ligatures w14:val="none"/>
        </w:rPr>
        <w:t xml:space="preserve"> funded by the Government of Australia (</w:t>
      </w:r>
      <w:proofErr w:type="spellStart"/>
      <w:r w:rsidRPr="006251AF">
        <w:rPr>
          <w:rFonts w:ascii="Calibri" w:eastAsia="Times New Roman" w:hAnsi="Calibri" w:cs="Calibri"/>
          <w14:ligatures w14:val="none"/>
        </w:rPr>
        <w:t>GoA</w:t>
      </w:r>
      <w:proofErr w:type="spellEnd"/>
      <w:r w:rsidRPr="006251AF">
        <w:rPr>
          <w:rFonts w:ascii="Calibri" w:eastAsia="Times New Roman" w:hAnsi="Calibri" w:cs="Calibri"/>
          <w14:ligatures w14:val="none"/>
        </w:rPr>
        <w:t xml:space="preserve">) through the Department of Foreign Affairs and Trade (DFAT) and implemented by the International Finance Corporation (IFC). </w:t>
      </w:r>
      <w:r w:rsidR="00D02883" w:rsidRPr="00C723E0">
        <w:rPr>
          <w:rFonts w:ascii="Calibri" w:hAnsi="Calibri" w:cs="Calibri"/>
        </w:rPr>
        <w:t>The evaluation comprised a desk review of available documents, a field mission to Fiji from 7-11 April 2025 and a mix of online and face-to-face interviews. A total of 47 people (22 male and 25 female) participated in various consultations, interviews and engagements to contribute to the final evaluation.</w:t>
      </w:r>
      <w:r w:rsidR="008D2715">
        <w:rPr>
          <w:rFonts w:ascii="Calibri" w:hAnsi="Calibri" w:cs="Calibri"/>
        </w:rPr>
        <w:t xml:space="preserve"> </w:t>
      </w:r>
      <w:r w:rsidRPr="006251AF">
        <w:rPr>
          <w:rFonts w:ascii="Calibri" w:eastAsia="Times New Roman" w:hAnsi="Calibri" w:cs="Calibri"/>
          <w14:ligatures w14:val="none"/>
        </w:rPr>
        <w:t>The final evaluation was completed from March to May 2025.</w:t>
      </w:r>
    </w:p>
    <w:bookmarkEnd w:id="0"/>
    <w:p w14:paraId="47BFA7A9" w14:textId="110F884C" w:rsidR="00127A56" w:rsidRPr="00127A56" w:rsidRDefault="00127A56" w:rsidP="00127A56">
      <w:pPr>
        <w:autoSpaceDE w:val="0"/>
        <w:autoSpaceDN w:val="0"/>
        <w:adjustRightInd w:val="0"/>
        <w:spacing w:after="120" w:line="240" w:lineRule="auto"/>
        <w:jc w:val="both"/>
        <w:rPr>
          <w:rFonts w:ascii="Calibri" w:hAnsi="Calibri" w:cs="Calibri"/>
          <w:kern w:val="2"/>
          <w14:ligatures w14:val="none"/>
        </w:rPr>
      </w:pPr>
      <w:r w:rsidRPr="00127A56">
        <w:rPr>
          <w:rFonts w:ascii="Calibri" w:hAnsi="Calibri" w:cs="Calibri"/>
          <w:color w:val="000000" w:themeColor="text1"/>
          <w14:ligatures w14:val="none"/>
        </w:rPr>
        <w:t xml:space="preserve">The FPSDP commenced implementation in January 2022 following the signing of an agreement between </w:t>
      </w:r>
      <w:r w:rsidRPr="00127A56">
        <w:rPr>
          <w:rFonts w:ascii="Calibri" w:eastAsia="Times New Roman" w:hAnsi="Calibri" w:cs="Calibri"/>
          <w:color w:val="000000" w:themeColor="text1"/>
          <w14:ligatures w14:val="none"/>
        </w:rPr>
        <w:t xml:space="preserve">the </w:t>
      </w:r>
      <w:proofErr w:type="spellStart"/>
      <w:r w:rsidRPr="00127A56">
        <w:rPr>
          <w:rFonts w:ascii="Calibri" w:eastAsia="Times New Roman" w:hAnsi="Calibri" w:cs="Calibri"/>
          <w:color w:val="000000" w:themeColor="text1"/>
          <w14:ligatures w14:val="none"/>
        </w:rPr>
        <w:t>GoA</w:t>
      </w:r>
      <w:proofErr w:type="spellEnd"/>
      <w:r w:rsidRPr="00127A56">
        <w:rPr>
          <w:rFonts w:ascii="Calibri" w:hAnsi="Calibri" w:cs="Calibri"/>
          <w:color w:val="000000" w:themeColor="text1"/>
          <w14:ligatures w14:val="none"/>
        </w:rPr>
        <w:t xml:space="preserve"> and IFC in December 2021. </w:t>
      </w:r>
      <w:r w:rsidRPr="00127A56">
        <w:rPr>
          <w:rFonts w:ascii="Calibri" w:eastAsia="Times New Roman" w:hAnsi="Calibri" w:cs="Calibri"/>
          <w14:ligatures w14:val="none"/>
        </w:rPr>
        <w:t xml:space="preserve">Developed from the shared but distinct policy interests of both parties, the overall goal of the multi-year advisory program was to enhance the private sector's competitiveness and diversification and foster inclusive and sustainable COVID recovery and economic growth. </w:t>
      </w:r>
    </w:p>
    <w:p w14:paraId="1E8FE712" w14:textId="34A02EC2" w:rsidR="00127A56" w:rsidRDefault="00127A56" w:rsidP="00127A56">
      <w:pPr>
        <w:autoSpaceDE w:val="0"/>
        <w:autoSpaceDN w:val="0"/>
        <w:adjustRightInd w:val="0"/>
        <w:spacing w:after="120" w:line="240" w:lineRule="auto"/>
        <w:jc w:val="both"/>
        <w:rPr>
          <w:rFonts w:ascii="Calibri" w:eastAsia="Times New Roman" w:hAnsi="Calibri" w:cs="Calibri"/>
          <w:color w:val="000000" w:themeColor="text1"/>
          <w14:ligatures w14:val="none"/>
        </w:rPr>
      </w:pPr>
      <w:r w:rsidRPr="00127A56">
        <w:rPr>
          <w:rFonts w:ascii="Calibri" w:hAnsi="Calibri" w:cs="Calibri"/>
          <w:color w:val="000000" w:themeColor="text1"/>
          <w14:ligatures w14:val="none"/>
        </w:rPr>
        <w:t xml:space="preserve">Through </w:t>
      </w:r>
      <w:r w:rsidRPr="00127A56">
        <w:rPr>
          <w:rFonts w:ascii="Calibri" w:eastAsia="Times New Roman" w:hAnsi="Calibri" w:cs="Calibri"/>
          <w:color w:val="000000" w:themeColor="text1"/>
          <w14:ligatures w14:val="none"/>
        </w:rPr>
        <w:t xml:space="preserve">the </w:t>
      </w:r>
      <w:r w:rsidRPr="00127A56">
        <w:rPr>
          <w:rFonts w:ascii="Calibri" w:hAnsi="Calibri" w:cs="Calibri"/>
          <w:color w:val="000000" w:themeColor="text1"/>
          <w14:ligatures w14:val="none"/>
        </w:rPr>
        <w:t>Partnership,</w:t>
      </w:r>
      <w:r w:rsidRPr="00127A56">
        <w:rPr>
          <w:rFonts w:ascii="Calibri" w:eastAsia="Times New Roman" w:hAnsi="Calibri" w:cs="Calibri"/>
          <w:color w:val="000000" w:themeColor="text1"/>
          <w14:ligatures w14:val="none"/>
        </w:rPr>
        <w:t xml:space="preserve"> </w:t>
      </w:r>
      <w:r w:rsidRPr="00127A56">
        <w:rPr>
          <w:rFonts w:ascii="Calibri" w:hAnsi="Calibri" w:cs="Calibri"/>
          <w:color w:val="000000" w:themeColor="text1"/>
          <w14:ligatures w14:val="none"/>
        </w:rPr>
        <w:t>IFC has focus</w:t>
      </w:r>
      <w:r w:rsidRPr="00127A56">
        <w:rPr>
          <w:rFonts w:ascii="Calibri" w:eastAsia="Times New Roman" w:hAnsi="Calibri" w:cs="Calibri"/>
          <w:color w:val="000000" w:themeColor="text1"/>
          <w14:ligatures w14:val="none"/>
        </w:rPr>
        <w:t>ed</w:t>
      </w:r>
      <w:r w:rsidRPr="00127A56">
        <w:rPr>
          <w:rFonts w:ascii="Calibri" w:hAnsi="Calibri" w:cs="Calibri"/>
          <w:color w:val="000000" w:themeColor="text1"/>
          <w14:ligatures w14:val="none"/>
        </w:rPr>
        <w:t xml:space="preserve"> on creating opportunities for inclusive, sustainable private investment, initially in support of COVID-19 recovery, and </w:t>
      </w:r>
      <w:r w:rsidRPr="00127A56">
        <w:rPr>
          <w:rFonts w:ascii="Calibri" w:eastAsia="Times New Roman" w:hAnsi="Calibri" w:cs="Calibri"/>
          <w:color w:val="000000" w:themeColor="text1"/>
          <w14:ligatures w14:val="none"/>
        </w:rPr>
        <w:t>more recently</w:t>
      </w:r>
      <w:r w:rsidRPr="00127A56">
        <w:rPr>
          <w:rFonts w:ascii="Calibri" w:hAnsi="Calibri" w:cs="Calibri"/>
          <w:color w:val="000000" w:themeColor="text1"/>
          <w14:ligatures w14:val="none"/>
        </w:rPr>
        <w:t xml:space="preserve"> to foster medium-term economic growth through targeted advisory</w:t>
      </w:r>
      <w:r w:rsidRPr="00127A56">
        <w:rPr>
          <w:rFonts w:ascii="Calibri" w:eastAsia="Times New Roman" w:hAnsi="Calibri" w:cs="Calibri"/>
          <w:color w:val="000000" w:themeColor="text1"/>
          <w14:ligatures w14:val="none"/>
        </w:rPr>
        <w:t xml:space="preserve"> </w:t>
      </w:r>
      <w:r w:rsidRPr="00127A56">
        <w:rPr>
          <w:rFonts w:ascii="Calibri" w:hAnsi="Calibri" w:cs="Calibri"/>
          <w:color w:val="000000" w:themeColor="text1"/>
          <w14:ligatures w14:val="none"/>
        </w:rPr>
        <w:t>interventions. The FPSDP sought to lock in resilient, gender and climate-smart private sector development into Fiji’s long</w:t>
      </w:r>
      <w:r w:rsidRPr="00127A56">
        <w:rPr>
          <w:rFonts w:ascii="Calibri" w:eastAsia="Times New Roman" w:hAnsi="Calibri" w:cs="Calibri"/>
          <w:color w:val="000000" w:themeColor="text1"/>
          <w14:ligatures w14:val="none"/>
        </w:rPr>
        <w:t>-</w:t>
      </w:r>
      <w:r w:rsidRPr="00127A56">
        <w:rPr>
          <w:rFonts w:ascii="Calibri" w:hAnsi="Calibri" w:cs="Calibri"/>
          <w:color w:val="000000" w:themeColor="text1"/>
          <w14:ligatures w14:val="none"/>
        </w:rPr>
        <w:t>term development trajectory through three mutually reinforcing pillars</w:t>
      </w:r>
      <w:r w:rsidR="0074218B">
        <w:rPr>
          <w:rFonts w:ascii="Calibri" w:eastAsia="Times New Roman" w:hAnsi="Calibri" w:cs="Calibri"/>
          <w:color w:val="000000" w:themeColor="text1"/>
          <w14:ligatures w14:val="none"/>
        </w:rPr>
        <w:t>:</w:t>
      </w:r>
    </w:p>
    <w:p w14:paraId="6E8D2FD8" w14:textId="77777777" w:rsidR="008A1AE0" w:rsidRPr="008A1AE0" w:rsidRDefault="008A1AE0" w:rsidP="008A1AE0">
      <w:pPr>
        <w:spacing w:after="120" w:line="240" w:lineRule="auto"/>
        <w:jc w:val="both"/>
        <w:rPr>
          <w:rFonts w:ascii="Calibri" w:eastAsia="Times New Roman" w:hAnsi="Calibri" w:cs="Calibri"/>
          <w:lang w:val="en-ID"/>
          <w14:ligatures w14:val="none"/>
        </w:rPr>
      </w:pPr>
      <w:r w:rsidRPr="008A1AE0">
        <w:rPr>
          <w:rFonts w:ascii="Calibri" w:eastAsia="Times New Roman" w:hAnsi="Calibri" w:cs="Calibri"/>
          <w:i/>
          <w:iCs/>
          <w:lang w:val="en-ID"/>
          <w14:ligatures w14:val="none"/>
        </w:rPr>
        <w:t>Pillar 1—Enabling Environment for the Private Sector</w:t>
      </w:r>
      <w:r w:rsidRPr="008A1AE0">
        <w:rPr>
          <w:rFonts w:ascii="Calibri" w:eastAsia="Times New Roman" w:hAnsi="Calibri" w:cs="Calibri"/>
          <w:lang w:val="en-ID"/>
          <w14:ligatures w14:val="none"/>
        </w:rPr>
        <w:t>: Interventions under this pillar are geared towards improving the business enabling environment—legal and regulatory—through reforms that create a more attractive national business environment for inclusive private investment in the wake of COVID-19 across key sectors.</w:t>
      </w:r>
    </w:p>
    <w:p w14:paraId="4F8D2BF5" w14:textId="15D23F7B" w:rsidR="008A1AE0" w:rsidRPr="008A1AE0" w:rsidRDefault="008A1AE0" w:rsidP="008A1AE0">
      <w:pPr>
        <w:spacing w:after="120" w:line="240" w:lineRule="auto"/>
        <w:jc w:val="both"/>
        <w:rPr>
          <w:rFonts w:ascii="Calibri" w:eastAsia="Times New Roman" w:hAnsi="Calibri" w:cs="Calibri"/>
          <w:lang w:val="en-ID"/>
          <w14:ligatures w14:val="none"/>
        </w:rPr>
      </w:pPr>
      <w:r w:rsidRPr="008A1AE0">
        <w:rPr>
          <w:rFonts w:ascii="Calibri" w:eastAsia="Times New Roman" w:hAnsi="Calibri" w:cs="Calibri"/>
          <w:i/>
          <w:iCs/>
          <w:lang w:val="en-ID"/>
          <w14:ligatures w14:val="none"/>
        </w:rPr>
        <w:t>Pillar 2 - Accelerating inclusive and climate-smart private investment in key growth sectors</w:t>
      </w:r>
      <w:r w:rsidRPr="008A1AE0">
        <w:rPr>
          <w:rFonts w:ascii="Calibri" w:eastAsia="Times New Roman" w:hAnsi="Calibri" w:cs="Calibri"/>
          <w:lang w:val="en-ID"/>
          <w14:ligatures w14:val="none"/>
        </w:rPr>
        <w:t xml:space="preserve">: Creating concrete opportunities for facilitating private sector investment, including direct investment by IFC, in key sectors, including tourism, infrastructure, agriculture, and the financial sector, whilst advancing climate change mitigation and adaptation and to support a gender-equal recovery from COVID-19. </w:t>
      </w:r>
    </w:p>
    <w:p w14:paraId="17A46E59" w14:textId="6A088D8C" w:rsidR="00976A5A" w:rsidRDefault="008A1AE0" w:rsidP="00D712D8">
      <w:pPr>
        <w:spacing w:after="120" w:line="240" w:lineRule="auto"/>
        <w:jc w:val="both"/>
        <w:rPr>
          <w:rFonts w:ascii="Calibri" w:eastAsia="Times New Roman" w:hAnsi="Calibri" w:cs="Calibri"/>
          <w:lang w:val="en-ID"/>
          <w14:ligatures w14:val="none"/>
        </w:rPr>
      </w:pPr>
      <w:r w:rsidRPr="008A1AE0">
        <w:rPr>
          <w:rFonts w:ascii="Calibri" w:eastAsia="Times New Roman" w:hAnsi="Calibri" w:cs="Calibri"/>
          <w:i/>
          <w:iCs/>
          <w:lang w:val="en-ID"/>
          <w14:ligatures w14:val="none"/>
        </w:rPr>
        <w:t>Pillar 3 - Enhancing Standards &amp; Gender Inclusion</w:t>
      </w:r>
      <w:r w:rsidRPr="008A1AE0">
        <w:rPr>
          <w:rFonts w:ascii="Calibri" w:eastAsia="Times New Roman" w:hAnsi="Calibri" w:cs="Calibri"/>
          <w:lang w:val="en-ID"/>
          <w14:ligatures w14:val="none"/>
        </w:rPr>
        <w:t xml:space="preserve">: Adopting best practices in Environmental and Social Governance (ESG) and accelerating women’s economic empowerment by addressing key barriers to women’s participation, including childcare and GBV. </w:t>
      </w:r>
    </w:p>
    <w:p w14:paraId="4300B7F0" w14:textId="77777777" w:rsidR="00D712D8" w:rsidRDefault="00D712D8" w:rsidP="00D712D8">
      <w:pPr>
        <w:spacing w:after="120" w:line="240" w:lineRule="auto"/>
        <w:jc w:val="both"/>
        <w:rPr>
          <w:rFonts w:ascii="Calibri" w:eastAsia="Calibri Light" w:hAnsi="Calibri" w:cs="Calibri"/>
        </w:rPr>
      </w:pPr>
    </w:p>
    <w:p w14:paraId="77C18A97" w14:textId="53B10289" w:rsidR="00282069" w:rsidRPr="00282069" w:rsidRDefault="00A12660" w:rsidP="00282069">
      <w:pPr>
        <w:pStyle w:val="BodyText2"/>
        <w:spacing w:line="240" w:lineRule="auto"/>
        <w:jc w:val="both"/>
        <w:rPr>
          <w:rFonts w:ascii="Calibri" w:hAnsi="Calibri" w:cs="Calibri"/>
        </w:rPr>
      </w:pPr>
      <w:r w:rsidRPr="00CF39A7">
        <w:rPr>
          <w:rFonts w:ascii="Calibri" w:eastAsia="Calibri Light" w:hAnsi="Calibri" w:cs="Calibri"/>
          <w:b/>
          <w:bCs/>
        </w:rPr>
        <w:t>Key findings:</w:t>
      </w:r>
      <w:r>
        <w:rPr>
          <w:rFonts w:ascii="Calibri" w:eastAsia="Calibri Light" w:hAnsi="Calibri" w:cs="Calibri"/>
        </w:rPr>
        <w:t xml:space="preserve"> </w:t>
      </w:r>
      <w:r w:rsidR="000E6862" w:rsidRPr="00282069">
        <w:rPr>
          <w:rFonts w:ascii="Calibri" w:eastAsia="Calibri Light" w:hAnsi="Calibri" w:cs="Calibri"/>
          <w:sz w:val="22"/>
          <w:szCs w:val="22"/>
        </w:rPr>
        <w:t xml:space="preserve">The </w:t>
      </w:r>
      <w:r w:rsidR="0075223C" w:rsidRPr="00282069">
        <w:rPr>
          <w:rFonts w:ascii="Calibri" w:eastAsia="Calibri Light" w:hAnsi="Calibri" w:cs="Calibri"/>
          <w:sz w:val="22"/>
          <w:szCs w:val="22"/>
        </w:rPr>
        <w:t>Final Evaluation</w:t>
      </w:r>
      <w:r w:rsidR="000E6862" w:rsidRPr="00282069">
        <w:rPr>
          <w:rFonts w:ascii="Calibri" w:eastAsia="Calibri Light" w:hAnsi="Calibri" w:cs="Calibri"/>
          <w:sz w:val="22"/>
          <w:szCs w:val="22"/>
        </w:rPr>
        <w:t xml:space="preserve"> (</w:t>
      </w:r>
      <w:r w:rsidR="0075223C" w:rsidRPr="00282069">
        <w:rPr>
          <w:rFonts w:ascii="Calibri" w:eastAsia="Calibri Light" w:hAnsi="Calibri" w:cs="Calibri"/>
          <w:sz w:val="22"/>
          <w:szCs w:val="22"/>
        </w:rPr>
        <w:t xml:space="preserve">June </w:t>
      </w:r>
      <w:r w:rsidR="000E6862" w:rsidRPr="00282069">
        <w:rPr>
          <w:rFonts w:ascii="Calibri" w:eastAsia="Calibri Light" w:hAnsi="Calibri" w:cs="Calibri"/>
          <w:sz w:val="22"/>
          <w:szCs w:val="22"/>
        </w:rPr>
        <w:t>202</w:t>
      </w:r>
      <w:r w:rsidR="0075223C" w:rsidRPr="00282069">
        <w:rPr>
          <w:rFonts w:ascii="Calibri" w:eastAsia="Calibri Light" w:hAnsi="Calibri" w:cs="Calibri"/>
          <w:sz w:val="22"/>
          <w:szCs w:val="22"/>
        </w:rPr>
        <w:t>5</w:t>
      </w:r>
      <w:r w:rsidR="000E6862" w:rsidRPr="00282069">
        <w:rPr>
          <w:rFonts w:ascii="Calibri" w:eastAsia="Calibri Light" w:hAnsi="Calibri" w:cs="Calibri"/>
          <w:sz w:val="22"/>
          <w:szCs w:val="22"/>
        </w:rPr>
        <w:t xml:space="preserve">) found </w:t>
      </w:r>
      <w:r w:rsidR="00282069" w:rsidRPr="00282069">
        <w:rPr>
          <w:rFonts w:ascii="Calibri" w:hAnsi="Calibri" w:cs="Calibri"/>
          <w:sz w:val="22"/>
          <w:szCs w:val="22"/>
        </w:rPr>
        <w:t xml:space="preserve">the program has significantly supported DFAT and the </w:t>
      </w:r>
      <w:proofErr w:type="spellStart"/>
      <w:r w:rsidR="00282069" w:rsidRPr="00282069">
        <w:rPr>
          <w:rFonts w:ascii="Calibri" w:hAnsi="Calibri" w:cs="Calibri"/>
          <w:sz w:val="22"/>
          <w:szCs w:val="22"/>
        </w:rPr>
        <w:t>GoF</w:t>
      </w:r>
      <w:proofErr w:type="spellEnd"/>
      <w:r w:rsidR="00282069" w:rsidRPr="00282069">
        <w:rPr>
          <w:rFonts w:ascii="Calibri" w:hAnsi="Calibri" w:cs="Calibri"/>
          <w:sz w:val="22"/>
          <w:szCs w:val="22"/>
        </w:rPr>
        <w:t xml:space="preserve"> in promoting private sector development and investment promotion in Fiji. The program has demonstrated solid progress in progressing work across its three support pillars.</w:t>
      </w:r>
      <w:r w:rsidR="00C7740E">
        <w:rPr>
          <w:rFonts w:ascii="Calibri" w:hAnsi="Calibri" w:cs="Calibri"/>
          <w:sz w:val="22"/>
          <w:szCs w:val="22"/>
        </w:rPr>
        <w:t xml:space="preserve"> </w:t>
      </w:r>
      <w:r w:rsidR="00534A93" w:rsidRPr="00C723E0">
        <w:rPr>
          <w:rFonts w:ascii="Calibri" w:hAnsi="Calibri" w:cs="Calibri"/>
          <w:sz w:val="22"/>
          <w:szCs w:val="22"/>
          <w:lang w:val="en-AU"/>
        </w:rPr>
        <w:t>The program benefits from targeted support focusing on key areas where IFC and DFAT have expertise and knowledge.</w:t>
      </w:r>
      <w:r w:rsidR="00AD056F" w:rsidRPr="00AD056F">
        <w:rPr>
          <w:rFonts w:ascii="Calibri" w:hAnsi="Calibri" w:cs="Calibri"/>
          <w:sz w:val="22"/>
          <w:szCs w:val="22"/>
          <w:lang w:val="en-AU"/>
        </w:rPr>
        <w:t xml:space="preserve"> </w:t>
      </w:r>
      <w:r w:rsidR="00AD056F" w:rsidRPr="00C723E0">
        <w:rPr>
          <w:rFonts w:ascii="Calibri" w:hAnsi="Calibri" w:cs="Calibri"/>
          <w:sz w:val="22"/>
          <w:szCs w:val="22"/>
          <w:lang w:val="en-AU"/>
        </w:rPr>
        <w:t>Focusing on what has worked and what needs to be done in those areas provides significant opportunities for further leverage and negotiations.</w:t>
      </w:r>
    </w:p>
    <w:p w14:paraId="1C559851" w14:textId="7D0BB85C" w:rsidR="000E6862" w:rsidRPr="00345C8F" w:rsidRDefault="00A450AC" w:rsidP="00CF39A7">
      <w:pPr>
        <w:spacing w:after="120"/>
        <w:jc w:val="both"/>
        <w:rPr>
          <w:rFonts w:cstheme="minorHAnsi"/>
          <w:lang w:val="en-GB"/>
        </w:rPr>
      </w:pPr>
      <w:r w:rsidRPr="00A450AC">
        <w:rPr>
          <w:rFonts w:ascii="Calibri" w:eastAsia="Calibri Light" w:hAnsi="Calibri" w:cs="Calibri"/>
          <w:b/>
          <w:bCs/>
        </w:rPr>
        <w:t>DFAT’s response to the</w:t>
      </w:r>
      <w:r>
        <w:rPr>
          <w:rFonts w:ascii="Calibri" w:eastAsia="Calibri Light" w:hAnsi="Calibri" w:cs="Calibri"/>
          <w:b/>
          <w:bCs/>
        </w:rPr>
        <w:t xml:space="preserve"> </w:t>
      </w:r>
      <w:r w:rsidR="00D166D6">
        <w:rPr>
          <w:rFonts w:ascii="Calibri" w:eastAsia="Calibri Light" w:hAnsi="Calibri" w:cs="Calibri"/>
          <w:b/>
          <w:bCs/>
        </w:rPr>
        <w:t>Final Evaluation</w:t>
      </w:r>
      <w:r w:rsidRPr="00A450AC">
        <w:rPr>
          <w:rFonts w:ascii="Calibri" w:eastAsia="Calibri Light" w:hAnsi="Calibri" w:cs="Calibri"/>
          <w:b/>
          <w:bCs/>
        </w:rPr>
        <w:t>:</w:t>
      </w:r>
      <w:r w:rsidRPr="00A450AC">
        <w:rPr>
          <w:rFonts w:ascii="Calibri" w:eastAsia="Calibri Light" w:hAnsi="Calibri" w:cs="Calibri"/>
        </w:rPr>
        <w:t xml:space="preserve"> </w:t>
      </w:r>
      <w:r w:rsidR="00C6768E">
        <w:rPr>
          <w:rFonts w:ascii="Calibri" w:eastAsia="Calibri Light" w:hAnsi="Calibri" w:cs="Calibri"/>
        </w:rPr>
        <w:t xml:space="preserve">As outlined below, </w:t>
      </w:r>
      <w:r w:rsidR="004479AF">
        <w:rPr>
          <w:rFonts w:ascii="Calibri" w:eastAsia="Calibri Light" w:hAnsi="Calibri" w:cs="Calibri"/>
        </w:rPr>
        <w:t>D</w:t>
      </w:r>
      <w:r w:rsidR="004479AF" w:rsidRPr="004479AF">
        <w:rPr>
          <w:rFonts w:ascii="Calibri" w:eastAsia="Calibri Light" w:hAnsi="Calibri" w:cs="Calibri"/>
        </w:rPr>
        <w:t>FAT accepts the evaluation’s findings and agrees</w:t>
      </w:r>
      <w:r w:rsidR="0004572C">
        <w:rPr>
          <w:rFonts w:ascii="Calibri" w:eastAsia="Calibri Light" w:hAnsi="Calibri" w:cs="Calibri"/>
        </w:rPr>
        <w:t xml:space="preserve"> with </w:t>
      </w:r>
      <w:r w:rsidR="00DC2A53">
        <w:rPr>
          <w:rFonts w:ascii="Calibri" w:eastAsia="Calibri Light" w:hAnsi="Calibri" w:cs="Calibri"/>
        </w:rPr>
        <w:t>four</w:t>
      </w:r>
      <w:r w:rsidR="0004572C">
        <w:rPr>
          <w:rFonts w:ascii="Calibri" w:eastAsia="Calibri Light" w:hAnsi="Calibri" w:cs="Calibri"/>
        </w:rPr>
        <w:t xml:space="preserve"> of the</w:t>
      </w:r>
      <w:r w:rsidR="00DC2A53">
        <w:rPr>
          <w:rFonts w:ascii="Calibri" w:eastAsia="Calibri Light" w:hAnsi="Calibri" w:cs="Calibri"/>
        </w:rPr>
        <w:t xml:space="preserve"> five</w:t>
      </w:r>
      <w:r w:rsidR="004479AF" w:rsidRPr="004479AF">
        <w:rPr>
          <w:rFonts w:ascii="Calibri" w:eastAsia="Calibri Light" w:hAnsi="Calibri" w:cs="Calibri"/>
        </w:rPr>
        <w:t xml:space="preserve"> recommendations</w:t>
      </w:r>
      <w:r w:rsidR="00DC2A53">
        <w:rPr>
          <w:rFonts w:ascii="Calibri" w:eastAsia="Calibri Light" w:hAnsi="Calibri" w:cs="Calibri"/>
        </w:rPr>
        <w:t xml:space="preserve"> </w:t>
      </w:r>
      <w:r w:rsidR="0004572C">
        <w:rPr>
          <w:rFonts w:ascii="Calibri" w:eastAsia="Calibri Light" w:hAnsi="Calibri" w:cs="Calibri"/>
        </w:rPr>
        <w:t xml:space="preserve">and partially agrees </w:t>
      </w:r>
      <w:r w:rsidR="00DC2A53">
        <w:rPr>
          <w:rFonts w:ascii="Calibri" w:eastAsia="Calibri Light" w:hAnsi="Calibri" w:cs="Calibri"/>
        </w:rPr>
        <w:t>with</w:t>
      </w:r>
      <w:r w:rsidR="008C5984">
        <w:rPr>
          <w:rFonts w:ascii="Calibri" w:eastAsia="Calibri Light" w:hAnsi="Calibri" w:cs="Calibri"/>
        </w:rPr>
        <w:t xml:space="preserve"> </w:t>
      </w:r>
      <w:r w:rsidR="009D529B">
        <w:rPr>
          <w:rFonts w:ascii="Calibri" w:eastAsia="Calibri Light" w:hAnsi="Calibri" w:cs="Calibri"/>
        </w:rPr>
        <w:t>one</w:t>
      </w:r>
      <w:r w:rsidR="0004572C">
        <w:rPr>
          <w:rFonts w:ascii="Calibri" w:eastAsia="Calibri Light" w:hAnsi="Calibri" w:cs="Calibri"/>
        </w:rPr>
        <w:t>.</w:t>
      </w:r>
      <w:r w:rsidR="00CF39A7">
        <w:rPr>
          <w:rFonts w:ascii="Calibri" w:eastAsia="Calibri Light" w:hAnsi="Calibri" w:cs="Calibri"/>
        </w:rPr>
        <w:t xml:space="preserve"> </w:t>
      </w:r>
      <w:r w:rsidR="00A12660" w:rsidRPr="00A12660">
        <w:rPr>
          <w:rFonts w:ascii="Calibri" w:eastAsia="Calibri Light" w:hAnsi="Calibri" w:cs="Calibri"/>
        </w:rPr>
        <w:t>Details of the Management Response to each recommendation is included in the table on the next page.</w:t>
      </w:r>
    </w:p>
    <w:p w14:paraId="6963EE23" w14:textId="77777777" w:rsidR="00D679B4" w:rsidRPr="00D679B4" w:rsidRDefault="00D679B4" w:rsidP="00D679B4">
      <w:pPr>
        <w:sectPr w:rsidR="00D679B4" w:rsidRPr="00D679B4" w:rsidSect="00D679B4">
          <w:pgSz w:w="11906" w:h="16838"/>
          <w:pgMar w:top="1440" w:right="1440" w:bottom="1440" w:left="1440" w:header="708" w:footer="708" w:gutter="0"/>
          <w:cols w:space="720"/>
        </w:sectPr>
      </w:pPr>
    </w:p>
    <w:p w14:paraId="27C937EB" w14:textId="257A131D" w:rsidR="001B7E83" w:rsidRPr="004B2A7F" w:rsidRDefault="00EA46EF" w:rsidP="004B2A7F">
      <w:pPr>
        <w:pStyle w:val="Heading2"/>
      </w:pPr>
      <w:r w:rsidRPr="004B2A7F">
        <w:lastRenderedPageBreak/>
        <w:t>Individual management response to the summary of recommendations</w:t>
      </w:r>
    </w:p>
    <w:tbl>
      <w:tblPr>
        <w:tblStyle w:val="TableGrid"/>
        <w:tblW w:w="0" w:type="auto"/>
        <w:tblLook w:val="0420" w:firstRow="1" w:lastRow="0" w:firstColumn="0" w:lastColumn="0" w:noHBand="0" w:noVBand="1"/>
      </w:tblPr>
      <w:tblGrid>
        <w:gridCol w:w="5088"/>
        <w:gridCol w:w="1318"/>
        <w:gridCol w:w="2072"/>
        <w:gridCol w:w="5470"/>
      </w:tblGrid>
      <w:tr w:rsidR="00E151D3" w:rsidRPr="005376C0" w14:paraId="56882657" w14:textId="77777777" w:rsidTr="00CD3607">
        <w:trPr>
          <w:tblHeader/>
        </w:trPr>
        <w:tc>
          <w:tcPr>
            <w:tcW w:w="5088" w:type="dxa"/>
            <w:shd w:val="clear" w:color="auto" w:fill="F1A983" w:themeFill="accent2" w:themeFillTint="99"/>
          </w:tcPr>
          <w:p w14:paraId="6D4907E0" w14:textId="579FC804" w:rsidR="00E151D3" w:rsidRPr="002629D6" w:rsidRDefault="00E151D3" w:rsidP="00CD3607">
            <w:pPr>
              <w:rPr>
                <w:rFonts w:ascii="Calibri" w:hAnsi="Calibri" w:cs="Calibri"/>
                <w:b/>
                <w:bCs/>
              </w:rPr>
            </w:pPr>
            <w:r w:rsidRPr="002629D6">
              <w:rPr>
                <w:rFonts w:ascii="Calibri" w:hAnsi="Calibri" w:cs="Calibri"/>
                <w:b/>
                <w:bCs/>
              </w:rPr>
              <w:t xml:space="preserve">Recommendation </w:t>
            </w:r>
          </w:p>
        </w:tc>
        <w:tc>
          <w:tcPr>
            <w:tcW w:w="1318" w:type="dxa"/>
            <w:shd w:val="clear" w:color="auto" w:fill="F1A983" w:themeFill="accent2" w:themeFillTint="99"/>
          </w:tcPr>
          <w:p w14:paraId="6A0F5B52" w14:textId="7AD93A84" w:rsidR="00E151D3" w:rsidRPr="002629D6" w:rsidRDefault="004364ED" w:rsidP="00CD3607">
            <w:pPr>
              <w:rPr>
                <w:rFonts w:ascii="Calibri" w:hAnsi="Calibri" w:cs="Calibri"/>
                <w:b/>
                <w:bCs/>
              </w:rPr>
            </w:pPr>
            <w:r>
              <w:rPr>
                <w:rFonts w:ascii="Calibri" w:hAnsi="Calibri" w:cs="Calibri"/>
                <w:b/>
                <w:bCs/>
              </w:rPr>
              <w:t xml:space="preserve">Responsible </w:t>
            </w:r>
          </w:p>
        </w:tc>
        <w:tc>
          <w:tcPr>
            <w:tcW w:w="2072" w:type="dxa"/>
            <w:shd w:val="clear" w:color="auto" w:fill="F1A983" w:themeFill="accent2" w:themeFillTint="99"/>
          </w:tcPr>
          <w:p w14:paraId="4D168A0E" w14:textId="4775E6AB" w:rsidR="00E151D3" w:rsidRPr="002629D6" w:rsidRDefault="004364ED" w:rsidP="00CD3607">
            <w:pPr>
              <w:rPr>
                <w:rFonts w:ascii="Calibri" w:hAnsi="Calibri" w:cs="Calibri"/>
                <w:b/>
                <w:bCs/>
              </w:rPr>
            </w:pPr>
            <w:r>
              <w:rPr>
                <w:rFonts w:ascii="Calibri" w:hAnsi="Calibri" w:cs="Calibri"/>
                <w:b/>
                <w:bCs/>
              </w:rPr>
              <w:t xml:space="preserve">Response </w:t>
            </w:r>
          </w:p>
        </w:tc>
        <w:tc>
          <w:tcPr>
            <w:tcW w:w="5470" w:type="dxa"/>
            <w:shd w:val="clear" w:color="auto" w:fill="F1A983" w:themeFill="accent2" w:themeFillTint="99"/>
          </w:tcPr>
          <w:p w14:paraId="25C01F94" w14:textId="20B7D34D" w:rsidR="00E151D3" w:rsidRPr="002629D6" w:rsidRDefault="00B57821" w:rsidP="00CD3607">
            <w:pPr>
              <w:rPr>
                <w:rFonts w:ascii="Calibri" w:hAnsi="Calibri" w:cs="Calibri"/>
                <w:b/>
                <w:bCs/>
              </w:rPr>
            </w:pPr>
            <w:r>
              <w:rPr>
                <w:rFonts w:ascii="Calibri" w:hAnsi="Calibri" w:cs="Calibri"/>
                <w:b/>
                <w:bCs/>
              </w:rPr>
              <w:t xml:space="preserve">Action Plan </w:t>
            </w:r>
          </w:p>
        </w:tc>
      </w:tr>
      <w:tr w:rsidR="00E151D3" w:rsidRPr="005376C0" w14:paraId="0699267E" w14:textId="77777777" w:rsidTr="00600CD3">
        <w:tc>
          <w:tcPr>
            <w:tcW w:w="5088" w:type="dxa"/>
            <w:shd w:val="clear" w:color="auto" w:fill="F2F2F2" w:themeFill="background1" w:themeFillShade="F2"/>
          </w:tcPr>
          <w:p w14:paraId="4C7A75DF" w14:textId="77777777" w:rsidR="000010B7" w:rsidRDefault="000010B7" w:rsidP="00CD3607">
            <w:pPr>
              <w:pStyle w:val="List-number-1"/>
              <w:numPr>
                <w:ilvl w:val="0"/>
                <w:numId w:val="0"/>
              </w:numPr>
              <w:snapToGrid w:val="0"/>
              <w:spacing w:before="0" w:after="120"/>
              <w:rPr>
                <w:rFonts w:ascii="Calibri" w:hAnsi="Calibri" w:cs="Calibri"/>
                <w:b/>
                <w:bCs/>
                <w:sz w:val="22"/>
                <w:szCs w:val="22"/>
                <w:lang w:eastAsia="en-GB"/>
              </w:rPr>
            </w:pPr>
            <w:r w:rsidRPr="000010B7">
              <w:rPr>
                <w:rFonts w:ascii="Calibri" w:hAnsi="Calibri" w:cs="Calibri"/>
                <w:b/>
                <w:bCs/>
                <w:sz w:val="22"/>
                <w:szCs w:val="22"/>
                <w:lang w:eastAsia="en-GB"/>
              </w:rPr>
              <w:t>Recommendation 1</w:t>
            </w:r>
          </w:p>
          <w:p w14:paraId="7A744509" w14:textId="587AE5CD" w:rsidR="004232F3" w:rsidRPr="004232F3" w:rsidRDefault="004232F3" w:rsidP="004232F3">
            <w:pPr>
              <w:spacing w:after="120"/>
              <w:jc w:val="both"/>
              <w:rPr>
                <w:rFonts w:ascii="Calibri" w:eastAsia="Times New Roman" w:hAnsi="Calibri" w:cs="Calibri"/>
                <w14:ligatures w14:val="none"/>
              </w:rPr>
            </w:pPr>
            <w:r w:rsidRPr="004232F3">
              <w:rPr>
                <w:rFonts w:ascii="Calibri" w:eastAsia="Times New Roman" w:hAnsi="Calibri" w:cs="Calibri"/>
                <w14:ligatures w14:val="none"/>
              </w:rPr>
              <w:t xml:space="preserve">There is sufficient evidence of progress towards outcomes and key results from the current FPSDP to justify and support ongoing investment in private sector initiatives in Fiji. Future investments should continue to support, build and leverage existing IFC private sector investments initiated under the current program and remain aligned with the priorities and focus areas for the </w:t>
            </w:r>
            <w:r w:rsidR="00EB5D57">
              <w:rPr>
                <w:rFonts w:ascii="Calibri" w:eastAsia="Times New Roman" w:hAnsi="Calibri" w:cs="Calibri"/>
                <w14:ligatures w14:val="none"/>
              </w:rPr>
              <w:t>Government of Fiji (</w:t>
            </w:r>
            <w:proofErr w:type="spellStart"/>
            <w:r w:rsidRPr="004232F3">
              <w:rPr>
                <w:rFonts w:ascii="Calibri" w:eastAsia="Times New Roman" w:hAnsi="Calibri" w:cs="Calibri"/>
                <w14:ligatures w14:val="none"/>
              </w:rPr>
              <w:t>GoF</w:t>
            </w:r>
            <w:proofErr w:type="spellEnd"/>
            <w:r w:rsidR="00EB5D57">
              <w:rPr>
                <w:rFonts w:ascii="Calibri" w:eastAsia="Times New Roman" w:hAnsi="Calibri" w:cs="Calibri"/>
                <w14:ligatures w14:val="none"/>
              </w:rPr>
              <w:t>)</w:t>
            </w:r>
            <w:r w:rsidRPr="004232F3">
              <w:rPr>
                <w:rFonts w:ascii="Calibri" w:eastAsia="Times New Roman" w:hAnsi="Calibri" w:cs="Calibri"/>
                <w14:ligatures w14:val="none"/>
              </w:rPr>
              <w:t xml:space="preserve"> and </w:t>
            </w:r>
            <w:proofErr w:type="spellStart"/>
            <w:r w:rsidRPr="004232F3">
              <w:rPr>
                <w:rFonts w:ascii="Calibri" w:eastAsia="Times New Roman" w:hAnsi="Calibri" w:cs="Calibri"/>
                <w14:ligatures w14:val="none"/>
              </w:rPr>
              <w:t>GoA</w:t>
            </w:r>
            <w:proofErr w:type="spellEnd"/>
            <w:r w:rsidRPr="004232F3">
              <w:rPr>
                <w:rFonts w:ascii="Calibri" w:eastAsia="Times New Roman" w:hAnsi="Calibri" w:cs="Calibri"/>
                <w14:ligatures w14:val="none"/>
              </w:rPr>
              <w:t>.</w:t>
            </w:r>
          </w:p>
          <w:p w14:paraId="1ABB55DB" w14:textId="11A4CDB5" w:rsidR="00E151D3" w:rsidRPr="000010B7" w:rsidRDefault="00E151D3" w:rsidP="00CD3607">
            <w:pPr>
              <w:pStyle w:val="List-number-1"/>
              <w:numPr>
                <w:ilvl w:val="0"/>
                <w:numId w:val="0"/>
              </w:numPr>
              <w:snapToGrid w:val="0"/>
              <w:spacing w:before="0" w:after="120"/>
              <w:rPr>
                <w:rFonts w:ascii="Calibri" w:hAnsi="Calibri" w:cs="Calibri"/>
                <w:b/>
                <w:bCs/>
                <w:sz w:val="22"/>
                <w:szCs w:val="22"/>
                <w:lang w:eastAsia="en-GB"/>
              </w:rPr>
            </w:pPr>
          </w:p>
          <w:p w14:paraId="4033AC93" w14:textId="77777777" w:rsidR="00E151D3" w:rsidRPr="005376C0" w:rsidRDefault="00E151D3" w:rsidP="00CD3607">
            <w:pPr>
              <w:rPr>
                <w:rFonts w:ascii="Calibri" w:hAnsi="Calibri" w:cs="Calibri"/>
              </w:rPr>
            </w:pPr>
          </w:p>
        </w:tc>
        <w:tc>
          <w:tcPr>
            <w:tcW w:w="1318" w:type="dxa"/>
            <w:shd w:val="clear" w:color="auto" w:fill="F2F2F2" w:themeFill="background1" w:themeFillShade="F2"/>
          </w:tcPr>
          <w:p w14:paraId="36C28A84" w14:textId="4399182F" w:rsidR="00E151D3" w:rsidRDefault="00F31B53" w:rsidP="00CD3607">
            <w:pPr>
              <w:rPr>
                <w:rFonts w:ascii="Calibri" w:hAnsi="Calibri" w:cs="Calibri"/>
              </w:rPr>
            </w:pPr>
            <w:r>
              <w:rPr>
                <w:rFonts w:ascii="Calibri" w:hAnsi="Calibri" w:cs="Calibri"/>
              </w:rPr>
              <w:t>DFAT</w:t>
            </w:r>
          </w:p>
        </w:tc>
        <w:tc>
          <w:tcPr>
            <w:tcW w:w="2072" w:type="dxa"/>
            <w:shd w:val="clear" w:color="auto" w:fill="D9F2D0" w:themeFill="accent6" w:themeFillTint="33"/>
          </w:tcPr>
          <w:p w14:paraId="18C419BC" w14:textId="4AFDEDFF" w:rsidR="005E6662" w:rsidRDefault="00600CD3" w:rsidP="00CD3607">
            <w:pPr>
              <w:rPr>
                <w:rFonts w:ascii="Calibri" w:hAnsi="Calibri" w:cs="Calibri"/>
              </w:rPr>
            </w:pPr>
            <w:r>
              <w:rPr>
                <w:rFonts w:ascii="Calibri" w:hAnsi="Calibri" w:cs="Calibri"/>
              </w:rPr>
              <w:t>Partially a</w:t>
            </w:r>
            <w:r w:rsidR="005E6662">
              <w:rPr>
                <w:rFonts w:ascii="Calibri" w:hAnsi="Calibri" w:cs="Calibri"/>
              </w:rPr>
              <w:t>gree</w:t>
            </w:r>
          </w:p>
          <w:p w14:paraId="6CC588B9" w14:textId="350C5FC3" w:rsidR="00E151D3" w:rsidRDefault="00E151D3" w:rsidP="00CD3607">
            <w:pPr>
              <w:rPr>
                <w:rFonts w:ascii="Calibri" w:hAnsi="Calibri" w:cs="Calibri"/>
              </w:rPr>
            </w:pPr>
          </w:p>
        </w:tc>
        <w:tc>
          <w:tcPr>
            <w:tcW w:w="5470" w:type="dxa"/>
            <w:shd w:val="clear" w:color="auto" w:fill="F2F2F2" w:themeFill="background1" w:themeFillShade="F2"/>
          </w:tcPr>
          <w:p w14:paraId="19705C7F" w14:textId="107B3B14" w:rsidR="00E151D3" w:rsidRPr="005376C0" w:rsidRDefault="00E151D3" w:rsidP="00EC1231">
            <w:pPr>
              <w:jc w:val="both"/>
              <w:rPr>
                <w:rFonts w:ascii="Calibri" w:hAnsi="Calibri" w:cs="Calibri"/>
              </w:rPr>
            </w:pPr>
            <w:r>
              <w:rPr>
                <w:rFonts w:ascii="Calibri" w:hAnsi="Calibri" w:cs="Calibri"/>
              </w:rPr>
              <w:t xml:space="preserve">DFAT </w:t>
            </w:r>
            <w:r w:rsidR="004106A9">
              <w:rPr>
                <w:rFonts w:ascii="Calibri" w:hAnsi="Calibri" w:cs="Calibri"/>
              </w:rPr>
              <w:t xml:space="preserve">partially </w:t>
            </w:r>
            <w:r>
              <w:rPr>
                <w:rFonts w:ascii="Calibri" w:hAnsi="Calibri" w:cs="Calibri"/>
              </w:rPr>
              <w:t>agrees with the recommendation</w:t>
            </w:r>
            <w:r w:rsidRPr="00A12660">
              <w:rPr>
                <w:rFonts w:ascii="Calibri" w:hAnsi="Calibri" w:cs="Calibri"/>
              </w:rPr>
              <w:t xml:space="preserve">, noting </w:t>
            </w:r>
            <w:r w:rsidR="00607BD4">
              <w:rPr>
                <w:rFonts w:ascii="Calibri" w:hAnsi="Calibri" w:cs="Calibri"/>
              </w:rPr>
              <w:t xml:space="preserve">the importance </w:t>
            </w:r>
            <w:r w:rsidR="00C91E73">
              <w:rPr>
                <w:rFonts w:ascii="Calibri" w:hAnsi="Calibri" w:cs="Calibri"/>
              </w:rPr>
              <w:t>o</w:t>
            </w:r>
            <w:r w:rsidR="00AE660F">
              <w:rPr>
                <w:rFonts w:ascii="Calibri" w:hAnsi="Calibri" w:cs="Calibri"/>
              </w:rPr>
              <w:t>f</w:t>
            </w:r>
            <w:r w:rsidR="00C91E73">
              <w:rPr>
                <w:rFonts w:ascii="Calibri" w:hAnsi="Calibri" w:cs="Calibri"/>
              </w:rPr>
              <w:t xml:space="preserve"> ongoing investment in private sector in</w:t>
            </w:r>
            <w:r w:rsidR="00AE533E">
              <w:rPr>
                <w:rFonts w:ascii="Calibri" w:hAnsi="Calibri" w:cs="Calibri"/>
              </w:rPr>
              <w:t>itia</w:t>
            </w:r>
            <w:r w:rsidR="00C91E73">
              <w:rPr>
                <w:rFonts w:ascii="Calibri" w:hAnsi="Calibri" w:cs="Calibri"/>
              </w:rPr>
              <w:t>tives in Fiji.</w:t>
            </w:r>
            <w:r w:rsidR="00AE533E">
              <w:rPr>
                <w:rFonts w:ascii="Calibri" w:hAnsi="Calibri" w:cs="Calibri"/>
              </w:rPr>
              <w:t xml:space="preserve"> However,</w:t>
            </w:r>
            <w:r w:rsidR="00A718A1">
              <w:rPr>
                <w:rFonts w:ascii="Calibri" w:hAnsi="Calibri" w:cs="Calibri"/>
              </w:rPr>
              <w:t xml:space="preserve"> future investments </w:t>
            </w:r>
            <w:r w:rsidR="00660359">
              <w:rPr>
                <w:rFonts w:ascii="Calibri" w:hAnsi="Calibri" w:cs="Calibri"/>
              </w:rPr>
              <w:t>will need to consider</w:t>
            </w:r>
            <w:r w:rsidR="00AF1FF0">
              <w:rPr>
                <w:rFonts w:ascii="Calibri" w:hAnsi="Calibri" w:cs="Calibri"/>
              </w:rPr>
              <w:t xml:space="preserve"> budget </w:t>
            </w:r>
            <w:r w:rsidR="00660359">
              <w:rPr>
                <w:rFonts w:ascii="Calibri" w:hAnsi="Calibri" w:cs="Calibri"/>
              </w:rPr>
              <w:t xml:space="preserve">availability </w:t>
            </w:r>
            <w:r w:rsidR="00AF1FF0">
              <w:rPr>
                <w:rFonts w:ascii="Calibri" w:hAnsi="Calibri" w:cs="Calibri"/>
              </w:rPr>
              <w:t>and other approvals</w:t>
            </w:r>
            <w:r w:rsidR="00EC1231">
              <w:rPr>
                <w:rFonts w:ascii="Calibri" w:hAnsi="Calibri" w:cs="Calibri"/>
              </w:rPr>
              <w:t xml:space="preserve"> including </w:t>
            </w:r>
            <w:r w:rsidRPr="00A12660">
              <w:rPr>
                <w:rFonts w:ascii="Calibri" w:hAnsi="Calibri" w:cs="Calibri"/>
              </w:rPr>
              <w:t>DFAT’s</w:t>
            </w:r>
            <w:r w:rsidR="00310A67">
              <w:rPr>
                <w:rFonts w:ascii="Calibri" w:hAnsi="Calibri" w:cs="Calibri"/>
              </w:rPr>
              <w:t xml:space="preserve"> </w:t>
            </w:r>
            <w:r w:rsidR="00660359">
              <w:rPr>
                <w:rFonts w:ascii="Calibri" w:hAnsi="Calibri" w:cs="Calibri"/>
              </w:rPr>
              <w:t xml:space="preserve">future approach to </w:t>
            </w:r>
            <w:r w:rsidR="00310A67">
              <w:rPr>
                <w:rFonts w:ascii="Calibri" w:hAnsi="Calibri" w:cs="Calibri"/>
              </w:rPr>
              <w:t>private sector investments</w:t>
            </w:r>
            <w:r w:rsidR="00660359">
              <w:rPr>
                <w:rFonts w:ascii="Calibri" w:hAnsi="Calibri" w:cs="Calibri"/>
              </w:rPr>
              <w:t xml:space="preserve"> across the region</w:t>
            </w:r>
            <w:r w:rsidR="00EC1231">
              <w:rPr>
                <w:rFonts w:ascii="Calibri" w:hAnsi="Calibri" w:cs="Calibri"/>
              </w:rPr>
              <w:t>.</w:t>
            </w:r>
            <w:r w:rsidRPr="00A12660">
              <w:rPr>
                <w:rFonts w:ascii="Calibri" w:hAnsi="Calibri" w:cs="Calibri"/>
              </w:rPr>
              <w:t xml:space="preserve">  </w:t>
            </w:r>
            <w:r>
              <w:rPr>
                <w:rFonts w:ascii="Calibri" w:hAnsi="Calibri" w:cs="Calibri"/>
              </w:rPr>
              <w:t xml:space="preserve"> </w:t>
            </w:r>
          </w:p>
        </w:tc>
      </w:tr>
      <w:tr w:rsidR="00E151D3" w:rsidRPr="005376C0" w14:paraId="6F0BF69F" w14:textId="77777777" w:rsidTr="00CD3607">
        <w:tc>
          <w:tcPr>
            <w:tcW w:w="5088" w:type="dxa"/>
            <w:shd w:val="clear" w:color="auto" w:fill="F2F2F2" w:themeFill="background1" w:themeFillShade="F2"/>
          </w:tcPr>
          <w:p w14:paraId="18899D7C" w14:textId="459DEF66" w:rsidR="000010B7" w:rsidRPr="000010B7" w:rsidRDefault="000010B7" w:rsidP="00CD3607">
            <w:pPr>
              <w:pStyle w:val="List-number-1"/>
              <w:numPr>
                <w:ilvl w:val="0"/>
                <w:numId w:val="0"/>
              </w:numPr>
              <w:snapToGrid w:val="0"/>
              <w:spacing w:before="0" w:after="120"/>
              <w:rPr>
                <w:rFonts w:ascii="Calibri" w:hAnsi="Calibri" w:cs="Calibri"/>
                <w:b/>
                <w:bCs/>
                <w:sz w:val="22"/>
                <w:szCs w:val="22"/>
                <w:lang w:eastAsia="en-GB"/>
              </w:rPr>
            </w:pPr>
            <w:r w:rsidRPr="000010B7">
              <w:rPr>
                <w:rFonts w:ascii="Calibri" w:hAnsi="Calibri" w:cs="Calibri"/>
                <w:b/>
                <w:bCs/>
                <w:sz w:val="22"/>
                <w:szCs w:val="22"/>
                <w:lang w:eastAsia="en-GB"/>
              </w:rPr>
              <w:t xml:space="preserve">Recommendation </w:t>
            </w:r>
            <w:r w:rsidR="008911E8">
              <w:rPr>
                <w:rFonts w:ascii="Calibri" w:hAnsi="Calibri" w:cs="Calibri"/>
                <w:b/>
                <w:bCs/>
                <w:sz w:val="22"/>
                <w:szCs w:val="22"/>
                <w:lang w:eastAsia="en-GB"/>
              </w:rPr>
              <w:t>2</w:t>
            </w:r>
          </w:p>
          <w:p w14:paraId="40C67937" w14:textId="77777777" w:rsidR="0036328F" w:rsidRPr="0036328F" w:rsidRDefault="0036328F" w:rsidP="0036328F">
            <w:pPr>
              <w:spacing w:after="120"/>
              <w:jc w:val="both"/>
              <w:rPr>
                <w:rFonts w:ascii="Calibri" w:eastAsia="Times New Roman" w:hAnsi="Calibri" w:cs="Calibri"/>
                <w14:ligatures w14:val="none"/>
              </w:rPr>
            </w:pPr>
            <w:r w:rsidRPr="0036328F">
              <w:rPr>
                <w:rFonts w:ascii="Calibri" w:eastAsia="Times New Roman" w:hAnsi="Calibri" w:cs="Calibri"/>
                <w:color w:val="000000"/>
                <w:lang w:val="en-ID"/>
                <w14:ligatures w14:val="none"/>
              </w:rPr>
              <w:t>Complex private sector engagements, particularly PPPs, should be considered as part of DFAT’s future investments in the private sector. IFC will continue to work on PPP projects in Fiji. In considering its support for future PPP projects under this Partnership, DFAT should assess sectors of strategic interest as well as the relative risk/reward trade-offs of proposed initiatives. In doing so, DFAT should leverage the support of AIFFP to inform investment decisions in new projects and, where appropriate, to provide innovative financing solutions for future PPP investments.</w:t>
            </w:r>
          </w:p>
          <w:p w14:paraId="3C6665A6" w14:textId="77777777" w:rsidR="00E151D3" w:rsidRPr="005376C0" w:rsidRDefault="00E151D3" w:rsidP="00CD3607">
            <w:pPr>
              <w:rPr>
                <w:rFonts w:ascii="Calibri" w:hAnsi="Calibri" w:cs="Calibri"/>
              </w:rPr>
            </w:pPr>
          </w:p>
        </w:tc>
        <w:tc>
          <w:tcPr>
            <w:tcW w:w="1318" w:type="dxa"/>
            <w:shd w:val="clear" w:color="auto" w:fill="F2F2F2" w:themeFill="background1" w:themeFillShade="F2"/>
          </w:tcPr>
          <w:p w14:paraId="208C29C6" w14:textId="7B71FE37" w:rsidR="00E151D3" w:rsidRDefault="00F31B53" w:rsidP="00CD3607">
            <w:pPr>
              <w:rPr>
                <w:rFonts w:ascii="Calibri" w:hAnsi="Calibri" w:cs="Calibri"/>
              </w:rPr>
            </w:pPr>
            <w:r>
              <w:rPr>
                <w:rFonts w:ascii="Calibri" w:hAnsi="Calibri" w:cs="Calibri"/>
              </w:rPr>
              <w:t>DFAT</w:t>
            </w:r>
          </w:p>
        </w:tc>
        <w:tc>
          <w:tcPr>
            <w:tcW w:w="2072" w:type="dxa"/>
            <w:shd w:val="clear" w:color="auto" w:fill="8DD873" w:themeFill="accent6" w:themeFillTint="99"/>
          </w:tcPr>
          <w:p w14:paraId="689B8C55" w14:textId="028E7FCE" w:rsidR="005E6662" w:rsidRDefault="005E6662" w:rsidP="00CD3607">
            <w:pPr>
              <w:rPr>
                <w:rFonts w:ascii="Calibri" w:hAnsi="Calibri" w:cs="Calibri"/>
              </w:rPr>
            </w:pPr>
            <w:r>
              <w:rPr>
                <w:rFonts w:ascii="Calibri" w:hAnsi="Calibri" w:cs="Calibri"/>
              </w:rPr>
              <w:t xml:space="preserve">Agree </w:t>
            </w:r>
          </w:p>
          <w:p w14:paraId="68F1A90E" w14:textId="07E969CA" w:rsidR="00E151D3" w:rsidRDefault="00E151D3" w:rsidP="00CD3607">
            <w:pPr>
              <w:rPr>
                <w:rFonts w:ascii="Calibri" w:hAnsi="Calibri" w:cs="Calibri"/>
              </w:rPr>
            </w:pPr>
          </w:p>
        </w:tc>
        <w:tc>
          <w:tcPr>
            <w:tcW w:w="5470" w:type="dxa"/>
            <w:shd w:val="clear" w:color="auto" w:fill="F2F2F2" w:themeFill="background1" w:themeFillShade="F2"/>
          </w:tcPr>
          <w:p w14:paraId="2A404CA8" w14:textId="274292C7" w:rsidR="00E13C6C" w:rsidRPr="00511DB8" w:rsidRDefault="00E13C6C" w:rsidP="00511DB8">
            <w:pPr>
              <w:jc w:val="both"/>
              <w:rPr>
                <w:rFonts w:ascii="Calibri" w:hAnsi="Calibri" w:cs="Calibri"/>
              </w:rPr>
            </w:pPr>
            <w:r w:rsidRPr="00511DB8">
              <w:rPr>
                <w:rFonts w:ascii="Calibri" w:hAnsi="Calibri" w:cs="Calibri"/>
              </w:rPr>
              <w:t>DFAT agrees with this recommendation. IFC should continue to pursue commercially viable PPP projects in Fiji</w:t>
            </w:r>
            <w:r w:rsidR="00B5509E" w:rsidRPr="00511DB8">
              <w:rPr>
                <w:rFonts w:ascii="Calibri" w:hAnsi="Calibri" w:cs="Calibri"/>
              </w:rPr>
              <w:t xml:space="preserve"> subject to </w:t>
            </w:r>
            <w:proofErr w:type="spellStart"/>
            <w:r w:rsidR="00B5509E" w:rsidRPr="00E3567F">
              <w:rPr>
                <w:rFonts w:ascii="Calibri" w:hAnsi="Calibri" w:cs="Calibri"/>
              </w:rPr>
              <w:t>GoF</w:t>
            </w:r>
            <w:proofErr w:type="spellEnd"/>
            <w:r w:rsidR="00B5509E" w:rsidRPr="00E3567F">
              <w:rPr>
                <w:rFonts w:ascii="Calibri" w:hAnsi="Calibri" w:cs="Calibri"/>
              </w:rPr>
              <w:t xml:space="preserve"> priorities and with appropriate resourcing</w:t>
            </w:r>
            <w:r w:rsidRPr="00E3567F">
              <w:rPr>
                <w:rFonts w:ascii="Calibri" w:hAnsi="Calibri" w:cs="Calibri"/>
              </w:rPr>
              <w:t>. Where relevant</w:t>
            </w:r>
            <w:r w:rsidR="00E25944" w:rsidRPr="00E3567F">
              <w:rPr>
                <w:rFonts w:ascii="Calibri" w:hAnsi="Calibri" w:cs="Calibri"/>
              </w:rPr>
              <w:t xml:space="preserve"> and with due consideration</w:t>
            </w:r>
            <w:r w:rsidRPr="00E3567F">
              <w:rPr>
                <w:rFonts w:ascii="Calibri" w:hAnsi="Calibri" w:cs="Calibri"/>
              </w:rPr>
              <w:t xml:space="preserve">, DFAT </w:t>
            </w:r>
            <w:r w:rsidR="004B7B09" w:rsidRPr="00E3567F">
              <w:rPr>
                <w:rFonts w:ascii="Calibri" w:hAnsi="Calibri" w:cs="Calibri"/>
              </w:rPr>
              <w:t xml:space="preserve">could </w:t>
            </w:r>
            <w:r w:rsidRPr="00E3567F">
              <w:rPr>
                <w:rFonts w:ascii="Calibri" w:hAnsi="Calibri" w:cs="Calibri"/>
              </w:rPr>
              <w:t>leverag</w:t>
            </w:r>
            <w:r w:rsidR="007168AA" w:rsidRPr="00E3567F">
              <w:rPr>
                <w:rFonts w:ascii="Calibri" w:hAnsi="Calibri" w:cs="Calibri"/>
              </w:rPr>
              <w:t>e</w:t>
            </w:r>
            <w:r w:rsidRPr="00E3567F">
              <w:rPr>
                <w:rFonts w:ascii="Calibri" w:hAnsi="Calibri" w:cs="Calibri"/>
              </w:rPr>
              <w:t xml:space="preserve"> the support of the AIFFP</w:t>
            </w:r>
            <w:r w:rsidR="00B5509E" w:rsidRPr="00E3567F">
              <w:rPr>
                <w:rFonts w:ascii="Calibri" w:hAnsi="Calibri" w:cs="Calibri"/>
              </w:rPr>
              <w:t xml:space="preserve"> alongside IFC</w:t>
            </w:r>
            <w:r w:rsidRPr="00E3567F">
              <w:rPr>
                <w:rFonts w:ascii="Calibri" w:hAnsi="Calibri" w:cs="Calibri"/>
              </w:rPr>
              <w:t>, which is actively seeking opportunities to support private sector engagements in Fiji</w:t>
            </w:r>
            <w:r w:rsidRPr="00511DB8">
              <w:rPr>
                <w:rFonts w:ascii="Calibri" w:hAnsi="Calibri" w:cs="Calibri"/>
              </w:rPr>
              <w:t xml:space="preserve">, including through PPP arrangements. </w:t>
            </w:r>
          </w:p>
          <w:p w14:paraId="3F565BC9" w14:textId="74425A13" w:rsidR="00E151D3" w:rsidRPr="00511DB8" w:rsidRDefault="00E151D3" w:rsidP="00DE5BD3">
            <w:pPr>
              <w:jc w:val="both"/>
              <w:rPr>
                <w:rFonts w:ascii="Calibri" w:hAnsi="Calibri" w:cs="Calibri"/>
              </w:rPr>
            </w:pPr>
          </w:p>
        </w:tc>
      </w:tr>
      <w:tr w:rsidR="00E151D3" w:rsidRPr="005376C0" w14:paraId="3B513443" w14:textId="77777777" w:rsidTr="00CD3607">
        <w:tc>
          <w:tcPr>
            <w:tcW w:w="5088" w:type="dxa"/>
            <w:shd w:val="clear" w:color="auto" w:fill="F2F2F2" w:themeFill="background1" w:themeFillShade="F2"/>
          </w:tcPr>
          <w:p w14:paraId="5D12703E" w14:textId="32B939A1" w:rsidR="000010B7" w:rsidRPr="000010B7" w:rsidRDefault="000010B7" w:rsidP="00CD3607">
            <w:pPr>
              <w:pStyle w:val="List-number-1"/>
              <w:numPr>
                <w:ilvl w:val="0"/>
                <w:numId w:val="0"/>
              </w:numPr>
              <w:snapToGrid w:val="0"/>
              <w:spacing w:before="0" w:after="120"/>
              <w:rPr>
                <w:rFonts w:ascii="Calibri" w:hAnsi="Calibri" w:cs="Calibri"/>
                <w:b/>
                <w:bCs/>
                <w:sz w:val="22"/>
                <w:szCs w:val="22"/>
                <w:lang w:eastAsia="en-GB"/>
              </w:rPr>
            </w:pPr>
            <w:r w:rsidRPr="000010B7">
              <w:rPr>
                <w:rFonts w:ascii="Calibri" w:hAnsi="Calibri" w:cs="Calibri"/>
                <w:b/>
                <w:bCs/>
                <w:sz w:val="22"/>
                <w:szCs w:val="22"/>
                <w:lang w:eastAsia="en-GB"/>
              </w:rPr>
              <w:t xml:space="preserve">Recommendation </w:t>
            </w:r>
            <w:r w:rsidR="00C6271B">
              <w:rPr>
                <w:rFonts w:ascii="Calibri" w:hAnsi="Calibri" w:cs="Calibri"/>
                <w:b/>
                <w:bCs/>
                <w:sz w:val="22"/>
                <w:szCs w:val="22"/>
                <w:lang w:eastAsia="en-GB"/>
              </w:rPr>
              <w:t>3</w:t>
            </w:r>
          </w:p>
          <w:p w14:paraId="39013257" w14:textId="63D06F9B" w:rsidR="000010B7" w:rsidRPr="005376C0" w:rsidRDefault="00164B8E" w:rsidP="00164B8E">
            <w:pPr>
              <w:pStyle w:val="List-number-1"/>
              <w:numPr>
                <w:ilvl w:val="0"/>
                <w:numId w:val="4"/>
              </w:numPr>
              <w:snapToGrid w:val="0"/>
              <w:spacing w:before="0" w:after="120"/>
              <w:jc w:val="both"/>
              <w:rPr>
                <w:rFonts w:ascii="Calibri" w:hAnsi="Calibri" w:cs="Calibri"/>
              </w:rPr>
            </w:pPr>
            <w:r w:rsidRPr="00C723E0">
              <w:rPr>
                <w:rFonts w:ascii="Calibri" w:hAnsi="Calibri" w:cs="Calibri"/>
                <w:sz w:val="22"/>
                <w:szCs w:val="22"/>
              </w:rPr>
              <w:t xml:space="preserve">DFAT </w:t>
            </w:r>
            <w:r>
              <w:rPr>
                <w:rFonts w:ascii="Calibri" w:hAnsi="Calibri" w:cs="Calibri"/>
                <w:sz w:val="22"/>
                <w:szCs w:val="22"/>
              </w:rPr>
              <w:t>should</w:t>
            </w:r>
            <w:r w:rsidRPr="00C723E0">
              <w:rPr>
                <w:rFonts w:ascii="Calibri" w:hAnsi="Calibri" w:cs="Calibri"/>
                <w:sz w:val="22"/>
                <w:szCs w:val="22"/>
              </w:rPr>
              <w:t xml:space="preserve"> consider</w:t>
            </w:r>
            <w:r>
              <w:rPr>
                <w:rFonts w:ascii="Calibri" w:hAnsi="Calibri" w:cs="Calibri"/>
                <w:sz w:val="22"/>
                <w:szCs w:val="22"/>
              </w:rPr>
              <w:t xml:space="preserve"> incentive-based mechanisms for</w:t>
            </w:r>
            <w:r w:rsidRPr="00C723E0">
              <w:rPr>
                <w:rFonts w:ascii="Calibri" w:hAnsi="Calibri" w:cs="Calibri"/>
                <w:sz w:val="22"/>
                <w:szCs w:val="22"/>
              </w:rPr>
              <w:t xml:space="preserve"> future private sector support</w:t>
            </w:r>
            <w:r>
              <w:rPr>
                <w:rFonts w:ascii="Calibri" w:hAnsi="Calibri" w:cs="Calibri"/>
                <w:sz w:val="22"/>
                <w:szCs w:val="22"/>
              </w:rPr>
              <w:t xml:space="preserve"> where the </w:t>
            </w:r>
            <w:proofErr w:type="spellStart"/>
            <w:r>
              <w:rPr>
                <w:rFonts w:ascii="Calibri" w:hAnsi="Calibri" w:cs="Calibri"/>
                <w:sz w:val="22"/>
                <w:szCs w:val="22"/>
              </w:rPr>
              <w:t>GoF</w:t>
            </w:r>
            <w:proofErr w:type="spellEnd"/>
            <w:r>
              <w:rPr>
                <w:rFonts w:ascii="Calibri" w:hAnsi="Calibri" w:cs="Calibri"/>
                <w:sz w:val="22"/>
                <w:szCs w:val="22"/>
              </w:rPr>
              <w:t xml:space="preserve"> is the </w:t>
            </w:r>
            <w:r>
              <w:rPr>
                <w:rFonts w:ascii="Calibri" w:hAnsi="Calibri" w:cs="Calibri"/>
                <w:sz w:val="22"/>
                <w:szCs w:val="22"/>
              </w:rPr>
              <w:lastRenderedPageBreak/>
              <w:t>primary Client</w:t>
            </w:r>
            <w:r w:rsidRPr="00C723E0">
              <w:rPr>
                <w:rFonts w:ascii="Calibri" w:hAnsi="Calibri" w:cs="Calibri"/>
                <w:sz w:val="22"/>
                <w:szCs w:val="22"/>
              </w:rPr>
              <w:t xml:space="preserve">. </w:t>
            </w:r>
            <w:r>
              <w:rPr>
                <w:rFonts w:ascii="Calibri" w:hAnsi="Calibri" w:cs="Calibri"/>
                <w:sz w:val="22"/>
                <w:szCs w:val="22"/>
              </w:rPr>
              <w:t xml:space="preserve">DFAT should consider engaging in earlier discussions between the IFC and the </w:t>
            </w:r>
            <w:proofErr w:type="spellStart"/>
            <w:r>
              <w:rPr>
                <w:rFonts w:ascii="Calibri" w:hAnsi="Calibri" w:cs="Calibri"/>
                <w:sz w:val="22"/>
                <w:szCs w:val="22"/>
              </w:rPr>
              <w:t>GoF</w:t>
            </w:r>
            <w:proofErr w:type="spellEnd"/>
            <w:r>
              <w:rPr>
                <w:rFonts w:ascii="Calibri" w:hAnsi="Calibri" w:cs="Calibri"/>
                <w:sz w:val="22"/>
                <w:szCs w:val="22"/>
              </w:rPr>
              <w:t xml:space="preserve"> to consult on ideas, opportunities, and options that utilise and align with DFAT's strategic partnership advantages. </w:t>
            </w:r>
            <w:r w:rsidRPr="0081051A">
              <w:rPr>
                <w:rFonts w:ascii="Calibri" w:hAnsi="Calibri" w:cs="Calibri"/>
                <w:sz w:val="22"/>
                <w:szCs w:val="22"/>
              </w:rPr>
              <w:t xml:space="preserve">One consideration is for </w:t>
            </w:r>
            <w:r w:rsidRPr="0081051A">
              <w:rPr>
                <w:rFonts w:ascii="Calibri" w:eastAsiaTheme="minorHAnsi" w:hAnsi="Calibri" w:cs="Calibri"/>
                <w:color w:val="000000"/>
                <w:sz w:val="22"/>
                <w:szCs w:val="22"/>
              </w:rPr>
              <w:t xml:space="preserve">DFAT to continue utilising budget-support mechanisms </w:t>
            </w:r>
            <w:r>
              <w:rPr>
                <w:rFonts w:ascii="Calibri" w:eastAsiaTheme="minorHAnsi" w:hAnsi="Calibri" w:cs="Calibri"/>
                <w:color w:val="000000"/>
                <w:sz w:val="22"/>
                <w:szCs w:val="22"/>
              </w:rPr>
              <w:t>to</w:t>
            </w:r>
            <w:r w:rsidRPr="0081051A">
              <w:rPr>
                <w:rFonts w:ascii="Calibri" w:eastAsiaTheme="minorHAnsi" w:hAnsi="Calibri" w:cs="Calibri"/>
                <w:color w:val="000000"/>
                <w:sz w:val="22"/>
                <w:szCs w:val="22"/>
              </w:rPr>
              <w:t xml:space="preserve"> incentivis</w:t>
            </w:r>
            <w:r>
              <w:rPr>
                <w:rFonts w:ascii="Calibri" w:eastAsiaTheme="minorHAnsi" w:hAnsi="Calibri" w:cs="Calibri"/>
                <w:color w:val="000000"/>
                <w:sz w:val="22"/>
                <w:szCs w:val="22"/>
              </w:rPr>
              <w:t>e</w:t>
            </w:r>
            <w:r w:rsidRPr="0081051A">
              <w:rPr>
                <w:rFonts w:ascii="Calibri" w:eastAsiaTheme="minorHAnsi" w:hAnsi="Calibri" w:cs="Calibri"/>
                <w:color w:val="000000"/>
                <w:sz w:val="22"/>
                <w:szCs w:val="22"/>
              </w:rPr>
              <w:t xml:space="preserve"> </w:t>
            </w:r>
            <w:r>
              <w:rPr>
                <w:rFonts w:ascii="Calibri" w:eastAsiaTheme="minorHAnsi" w:hAnsi="Calibri" w:cs="Calibri"/>
                <w:color w:val="000000"/>
                <w:sz w:val="22"/>
                <w:szCs w:val="22"/>
              </w:rPr>
              <w:t>essential</w:t>
            </w:r>
            <w:r w:rsidRPr="0081051A">
              <w:rPr>
                <w:rFonts w:ascii="Calibri" w:eastAsiaTheme="minorHAnsi" w:hAnsi="Calibri" w:cs="Calibri"/>
                <w:color w:val="000000"/>
                <w:sz w:val="22"/>
                <w:szCs w:val="22"/>
              </w:rPr>
              <w:t xml:space="preserve"> and necessary reforms.</w:t>
            </w:r>
          </w:p>
        </w:tc>
        <w:tc>
          <w:tcPr>
            <w:tcW w:w="1318" w:type="dxa"/>
            <w:shd w:val="clear" w:color="auto" w:fill="F2F2F2" w:themeFill="background1" w:themeFillShade="F2"/>
          </w:tcPr>
          <w:p w14:paraId="7A21F6F9" w14:textId="2CEF5450" w:rsidR="00E151D3" w:rsidRDefault="00F31B53" w:rsidP="00CD3607">
            <w:pPr>
              <w:rPr>
                <w:rFonts w:ascii="Calibri" w:hAnsi="Calibri" w:cs="Calibri"/>
              </w:rPr>
            </w:pPr>
            <w:r>
              <w:rPr>
                <w:rFonts w:ascii="Calibri" w:hAnsi="Calibri" w:cs="Calibri"/>
              </w:rPr>
              <w:lastRenderedPageBreak/>
              <w:t>DFAT</w:t>
            </w:r>
          </w:p>
        </w:tc>
        <w:tc>
          <w:tcPr>
            <w:tcW w:w="2072" w:type="dxa"/>
            <w:shd w:val="clear" w:color="auto" w:fill="8DD873" w:themeFill="accent6" w:themeFillTint="99"/>
          </w:tcPr>
          <w:p w14:paraId="3167B2A4" w14:textId="695A22EE" w:rsidR="005E6662" w:rsidRDefault="005E6662" w:rsidP="00CD3607">
            <w:pPr>
              <w:rPr>
                <w:rFonts w:ascii="Calibri" w:hAnsi="Calibri" w:cs="Calibri"/>
              </w:rPr>
            </w:pPr>
            <w:r>
              <w:rPr>
                <w:rFonts w:ascii="Calibri" w:hAnsi="Calibri" w:cs="Calibri"/>
              </w:rPr>
              <w:t xml:space="preserve">Agree </w:t>
            </w:r>
          </w:p>
          <w:p w14:paraId="5E068162" w14:textId="68F78122" w:rsidR="00E151D3" w:rsidRDefault="00E151D3" w:rsidP="00CD3607">
            <w:pPr>
              <w:rPr>
                <w:rFonts w:ascii="Calibri" w:hAnsi="Calibri" w:cs="Calibri"/>
              </w:rPr>
            </w:pPr>
          </w:p>
        </w:tc>
        <w:tc>
          <w:tcPr>
            <w:tcW w:w="5470" w:type="dxa"/>
            <w:shd w:val="clear" w:color="auto" w:fill="F2F2F2" w:themeFill="background1" w:themeFillShade="F2"/>
          </w:tcPr>
          <w:p w14:paraId="6BFE9EA5" w14:textId="18E08D81" w:rsidR="00792FBE" w:rsidRPr="00511DB8" w:rsidRDefault="00E151D3" w:rsidP="00792FBE">
            <w:pPr>
              <w:rPr>
                <w:rFonts w:ascii="Calibri" w:hAnsi="Calibri" w:cs="Calibri"/>
                <w:lang w:val="en-US"/>
              </w:rPr>
            </w:pPr>
            <w:r w:rsidRPr="00511DB8">
              <w:rPr>
                <w:rFonts w:ascii="Calibri" w:hAnsi="Calibri" w:cs="Calibri"/>
              </w:rPr>
              <w:t xml:space="preserve">DFAT agrees with the recommendation and </w:t>
            </w:r>
            <w:r w:rsidR="00A27E82" w:rsidRPr="00511DB8">
              <w:rPr>
                <w:rFonts w:ascii="Calibri" w:hAnsi="Calibri" w:cs="Calibri"/>
              </w:rPr>
              <w:t>welcomes earl</w:t>
            </w:r>
            <w:r w:rsidR="00926F74" w:rsidRPr="00511DB8">
              <w:rPr>
                <w:rFonts w:ascii="Calibri" w:hAnsi="Calibri" w:cs="Calibri"/>
              </w:rPr>
              <w:t>y</w:t>
            </w:r>
            <w:r w:rsidR="00A27E82" w:rsidRPr="00511DB8">
              <w:rPr>
                <w:rFonts w:ascii="Calibri" w:hAnsi="Calibri" w:cs="Calibri"/>
              </w:rPr>
              <w:t xml:space="preserve"> </w:t>
            </w:r>
            <w:r w:rsidR="00926F74" w:rsidRPr="00511DB8">
              <w:rPr>
                <w:rFonts w:ascii="Calibri" w:hAnsi="Calibri" w:cs="Calibri"/>
              </w:rPr>
              <w:t xml:space="preserve">engagement </w:t>
            </w:r>
            <w:r w:rsidR="006E3385" w:rsidRPr="00511DB8">
              <w:rPr>
                <w:rFonts w:ascii="Calibri" w:hAnsi="Calibri" w:cs="Calibri"/>
              </w:rPr>
              <w:t xml:space="preserve">where applicable between IFC and </w:t>
            </w:r>
            <w:proofErr w:type="spellStart"/>
            <w:r w:rsidR="006E3385" w:rsidRPr="00511DB8">
              <w:rPr>
                <w:rFonts w:ascii="Calibri" w:hAnsi="Calibri" w:cs="Calibri"/>
              </w:rPr>
              <w:t>GoF</w:t>
            </w:r>
            <w:proofErr w:type="spellEnd"/>
            <w:r w:rsidR="006E3385" w:rsidRPr="00511DB8">
              <w:rPr>
                <w:rFonts w:ascii="Calibri" w:hAnsi="Calibri" w:cs="Calibri"/>
              </w:rPr>
              <w:t xml:space="preserve">. </w:t>
            </w:r>
            <w:r w:rsidR="00792FBE" w:rsidRPr="00511DB8">
              <w:rPr>
                <w:rFonts w:ascii="Calibri" w:hAnsi="Calibri" w:cs="Calibri"/>
                <w:lang w:val="en-US"/>
              </w:rPr>
              <w:t xml:space="preserve">Through its budget support operation, DFAT has a specific private sector pillar in its reform matrix </w:t>
            </w:r>
            <w:r w:rsidR="00B5509E" w:rsidRPr="00511DB8">
              <w:rPr>
                <w:rFonts w:ascii="Calibri" w:hAnsi="Calibri" w:cs="Calibri"/>
                <w:lang w:val="en-US"/>
              </w:rPr>
              <w:t xml:space="preserve">developed in </w:t>
            </w:r>
            <w:r w:rsidR="00B5509E" w:rsidRPr="00511DB8">
              <w:rPr>
                <w:rFonts w:ascii="Calibri" w:hAnsi="Calibri" w:cs="Calibri"/>
                <w:lang w:val="en-US"/>
              </w:rPr>
              <w:lastRenderedPageBreak/>
              <w:t>partnership with</w:t>
            </w:r>
            <w:r w:rsidR="00792FBE" w:rsidRPr="00511DB8">
              <w:rPr>
                <w:rFonts w:ascii="Calibri" w:hAnsi="Calibri" w:cs="Calibri"/>
                <w:lang w:val="en-US"/>
              </w:rPr>
              <w:t xml:space="preserve"> the World Bank and the ADB</w:t>
            </w:r>
            <w:r w:rsidR="004D411A">
              <w:rPr>
                <w:rFonts w:ascii="Calibri" w:hAnsi="Calibri" w:cs="Calibri"/>
                <w:lang w:val="en-US"/>
              </w:rPr>
              <w:t xml:space="preserve">. </w:t>
            </w:r>
            <w:r w:rsidR="00792FBE" w:rsidRPr="00511DB8">
              <w:rPr>
                <w:rFonts w:ascii="Calibri" w:hAnsi="Calibri" w:cs="Calibri"/>
                <w:lang w:val="en-US"/>
              </w:rPr>
              <w:t xml:space="preserve">A range of stakeholders </w:t>
            </w:r>
            <w:r w:rsidR="00B5509E" w:rsidRPr="00511DB8">
              <w:rPr>
                <w:rFonts w:ascii="Calibri" w:hAnsi="Calibri" w:cs="Calibri"/>
                <w:lang w:val="en-US"/>
              </w:rPr>
              <w:t xml:space="preserve">(including IFC) </w:t>
            </w:r>
            <w:r w:rsidR="00792FBE" w:rsidRPr="00511DB8">
              <w:rPr>
                <w:rFonts w:ascii="Calibri" w:hAnsi="Calibri" w:cs="Calibri"/>
                <w:lang w:val="en-US"/>
              </w:rPr>
              <w:t xml:space="preserve">continue to be consulted in the </w:t>
            </w:r>
            <w:r w:rsidR="00B5509E" w:rsidRPr="00511DB8">
              <w:rPr>
                <w:rFonts w:ascii="Calibri" w:hAnsi="Calibri" w:cs="Calibri"/>
                <w:lang w:val="en-US"/>
              </w:rPr>
              <w:t>identification</w:t>
            </w:r>
            <w:r w:rsidR="00792FBE" w:rsidRPr="00511DB8">
              <w:rPr>
                <w:rFonts w:ascii="Calibri" w:hAnsi="Calibri" w:cs="Calibri"/>
                <w:lang w:val="en-US"/>
              </w:rPr>
              <w:t xml:space="preserve"> of the </w:t>
            </w:r>
            <w:proofErr w:type="gramStart"/>
            <w:r w:rsidR="00792FBE" w:rsidRPr="00511DB8">
              <w:rPr>
                <w:rFonts w:ascii="Calibri" w:hAnsi="Calibri" w:cs="Calibri"/>
                <w:lang w:val="en-US"/>
              </w:rPr>
              <w:t>reforms</w:t>
            </w:r>
            <w:proofErr w:type="gramEnd"/>
            <w:r w:rsidR="00792FBE" w:rsidRPr="00511DB8">
              <w:rPr>
                <w:rFonts w:ascii="Calibri" w:hAnsi="Calibri" w:cs="Calibri"/>
                <w:lang w:val="en-US"/>
              </w:rPr>
              <w:t xml:space="preserve"> and </w:t>
            </w:r>
            <w:r w:rsidR="00B5509E" w:rsidRPr="00511DB8">
              <w:rPr>
                <w:rFonts w:ascii="Calibri" w:hAnsi="Calibri" w:cs="Calibri"/>
                <w:lang w:val="en-US"/>
              </w:rPr>
              <w:t>we will explore opportunities to engage as early as possible</w:t>
            </w:r>
            <w:r w:rsidR="00792FBE" w:rsidRPr="00511DB8">
              <w:rPr>
                <w:rFonts w:ascii="Calibri" w:hAnsi="Calibri" w:cs="Calibri"/>
                <w:lang w:val="en-US"/>
              </w:rPr>
              <w:t xml:space="preserve">. </w:t>
            </w:r>
          </w:p>
          <w:p w14:paraId="7DF501C1" w14:textId="2219168E" w:rsidR="00E151D3" w:rsidRPr="00511DB8" w:rsidRDefault="00E151D3" w:rsidP="00CD3607">
            <w:pPr>
              <w:rPr>
                <w:rFonts w:ascii="Calibri" w:hAnsi="Calibri" w:cs="Calibri"/>
              </w:rPr>
            </w:pPr>
          </w:p>
        </w:tc>
      </w:tr>
      <w:tr w:rsidR="00E151D3" w:rsidRPr="005376C0" w14:paraId="7796BCFC" w14:textId="77777777" w:rsidTr="00CD3607">
        <w:tc>
          <w:tcPr>
            <w:tcW w:w="5088" w:type="dxa"/>
            <w:shd w:val="clear" w:color="auto" w:fill="F2F2F2" w:themeFill="background1" w:themeFillShade="F2"/>
          </w:tcPr>
          <w:p w14:paraId="120D867A" w14:textId="0EDEF2EA" w:rsidR="000010B7" w:rsidRPr="000010B7" w:rsidRDefault="000010B7" w:rsidP="00CD3607">
            <w:pPr>
              <w:pStyle w:val="List-number-1"/>
              <w:numPr>
                <w:ilvl w:val="0"/>
                <w:numId w:val="0"/>
              </w:numPr>
              <w:snapToGrid w:val="0"/>
              <w:spacing w:before="0" w:after="120"/>
              <w:rPr>
                <w:rFonts w:ascii="Calibri" w:hAnsi="Calibri" w:cs="Calibri"/>
                <w:b/>
                <w:bCs/>
                <w:sz w:val="22"/>
                <w:szCs w:val="22"/>
                <w:lang w:eastAsia="en-GB"/>
              </w:rPr>
            </w:pPr>
            <w:r w:rsidRPr="000010B7">
              <w:rPr>
                <w:rFonts w:ascii="Calibri" w:hAnsi="Calibri" w:cs="Calibri"/>
                <w:b/>
                <w:bCs/>
                <w:sz w:val="22"/>
                <w:szCs w:val="22"/>
                <w:lang w:eastAsia="en-GB"/>
              </w:rPr>
              <w:lastRenderedPageBreak/>
              <w:t xml:space="preserve">Recommendation </w:t>
            </w:r>
            <w:r w:rsidR="00C6271B">
              <w:rPr>
                <w:rFonts w:ascii="Calibri" w:hAnsi="Calibri" w:cs="Calibri"/>
                <w:b/>
                <w:bCs/>
                <w:sz w:val="22"/>
                <w:szCs w:val="22"/>
                <w:lang w:eastAsia="en-GB"/>
              </w:rPr>
              <w:t>4</w:t>
            </w:r>
          </w:p>
          <w:p w14:paraId="354EBE97" w14:textId="4CB3D910" w:rsidR="00E151D3" w:rsidRPr="005376C0" w:rsidRDefault="00A8297B" w:rsidP="00A8297B">
            <w:pPr>
              <w:pStyle w:val="List-number-1"/>
              <w:numPr>
                <w:ilvl w:val="0"/>
                <w:numId w:val="0"/>
              </w:numPr>
              <w:snapToGrid w:val="0"/>
              <w:spacing w:before="0" w:after="120"/>
              <w:jc w:val="both"/>
              <w:rPr>
                <w:rFonts w:ascii="Calibri" w:hAnsi="Calibri" w:cs="Calibri"/>
              </w:rPr>
            </w:pPr>
            <w:r w:rsidRPr="00C723E0">
              <w:rPr>
                <w:rFonts w:ascii="Calibri" w:hAnsi="Calibri" w:cs="Calibri"/>
                <w:sz w:val="22"/>
                <w:szCs w:val="22"/>
              </w:rPr>
              <w:t xml:space="preserve">The current partnership arrangement has demonstrated an effective </w:t>
            </w:r>
            <w:r>
              <w:rPr>
                <w:rFonts w:ascii="Calibri" w:hAnsi="Calibri" w:cs="Calibri"/>
                <w:sz w:val="22"/>
                <w:szCs w:val="22"/>
              </w:rPr>
              <w:t>support</w:t>
            </w:r>
            <w:r w:rsidRPr="00C723E0">
              <w:rPr>
                <w:rFonts w:ascii="Calibri" w:hAnsi="Calibri" w:cs="Calibri"/>
                <w:sz w:val="22"/>
                <w:szCs w:val="22"/>
              </w:rPr>
              <w:t xml:space="preserve"> </w:t>
            </w:r>
            <w:r>
              <w:rPr>
                <w:rFonts w:ascii="Calibri" w:hAnsi="Calibri" w:cs="Calibri"/>
                <w:sz w:val="22"/>
                <w:szCs w:val="22"/>
              </w:rPr>
              <w:t>mechanism</w:t>
            </w:r>
            <w:r w:rsidRPr="00C723E0">
              <w:rPr>
                <w:rFonts w:ascii="Calibri" w:hAnsi="Calibri" w:cs="Calibri"/>
                <w:sz w:val="22"/>
                <w:szCs w:val="22"/>
              </w:rPr>
              <w:t xml:space="preserve">. </w:t>
            </w:r>
            <w:r>
              <w:rPr>
                <w:rFonts w:ascii="Calibri" w:hAnsi="Calibri" w:cs="Calibri"/>
                <w:sz w:val="22"/>
                <w:szCs w:val="22"/>
              </w:rPr>
              <w:t xml:space="preserve">Existing governance mechanisms remain relevant and fit-for-purpose and should be maintained and supported. </w:t>
            </w:r>
            <w:r w:rsidRPr="00C723E0">
              <w:rPr>
                <w:rFonts w:ascii="Calibri" w:hAnsi="Calibri" w:cs="Calibri"/>
                <w:sz w:val="22"/>
                <w:szCs w:val="22"/>
              </w:rPr>
              <w:t xml:space="preserve">There is scope to expand the partnership model, enabling broader engagement and collaboration and incentivising </w:t>
            </w:r>
            <w:r>
              <w:rPr>
                <w:rFonts w:ascii="Calibri" w:hAnsi="Calibri" w:cs="Calibri"/>
                <w:sz w:val="22"/>
                <w:szCs w:val="22"/>
              </w:rPr>
              <w:t xml:space="preserve">existing and new </w:t>
            </w:r>
            <w:r w:rsidRPr="00C723E0">
              <w:rPr>
                <w:rFonts w:ascii="Calibri" w:hAnsi="Calibri" w:cs="Calibri"/>
                <w:sz w:val="22"/>
                <w:szCs w:val="22"/>
              </w:rPr>
              <w:t>partners to work together in a shared and agreeable approach.</w:t>
            </w:r>
            <w:r>
              <w:rPr>
                <w:rFonts w:ascii="Calibri" w:hAnsi="Calibri" w:cs="Calibri"/>
                <w:sz w:val="22"/>
                <w:szCs w:val="22"/>
              </w:rPr>
              <w:t xml:space="preserve"> This </w:t>
            </w:r>
            <w:r w:rsidRPr="0081051A">
              <w:rPr>
                <w:rFonts w:ascii="Calibri" w:hAnsi="Calibri" w:cs="Calibri"/>
                <w:sz w:val="22"/>
                <w:szCs w:val="22"/>
              </w:rPr>
              <w:t>may add more complexity regarding management and oversight</w:t>
            </w:r>
            <w:r>
              <w:rPr>
                <w:rFonts w:ascii="Calibri" w:hAnsi="Calibri" w:cs="Calibri"/>
                <w:sz w:val="22"/>
                <w:szCs w:val="22"/>
              </w:rPr>
              <w:t>,</w:t>
            </w:r>
            <w:r w:rsidRPr="0081051A">
              <w:rPr>
                <w:rFonts w:ascii="Calibri" w:hAnsi="Calibri" w:cs="Calibri"/>
                <w:sz w:val="22"/>
                <w:szCs w:val="22"/>
              </w:rPr>
              <w:t xml:space="preserve"> but provides potential broader coverage and reach, promoting enhanced effectiveness.</w:t>
            </w:r>
            <w:r>
              <w:rPr>
                <w:rFonts w:ascii="Calibri" w:hAnsi="Calibri" w:cs="Calibri"/>
                <w:sz w:val="22"/>
                <w:szCs w:val="22"/>
              </w:rPr>
              <w:t xml:space="preserve"> </w:t>
            </w:r>
          </w:p>
        </w:tc>
        <w:tc>
          <w:tcPr>
            <w:tcW w:w="1318" w:type="dxa"/>
            <w:shd w:val="clear" w:color="auto" w:fill="F2F2F2" w:themeFill="background1" w:themeFillShade="F2"/>
          </w:tcPr>
          <w:p w14:paraId="34D04F88" w14:textId="748248D7" w:rsidR="00E151D3" w:rsidRDefault="00F31B53" w:rsidP="00CD3607">
            <w:pPr>
              <w:rPr>
                <w:rFonts w:ascii="Calibri" w:hAnsi="Calibri" w:cs="Calibri"/>
              </w:rPr>
            </w:pPr>
            <w:r>
              <w:rPr>
                <w:rFonts w:ascii="Calibri" w:hAnsi="Calibri" w:cs="Calibri"/>
              </w:rPr>
              <w:t>DFAT</w:t>
            </w:r>
          </w:p>
        </w:tc>
        <w:tc>
          <w:tcPr>
            <w:tcW w:w="2072" w:type="dxa"/>
            <w:shd w:val="clear" w:color="auto" w:fill="8DD873" w:themeFill="accent6" w:themeFillTint="99"/>
          </w:tcPr>
          <w:p w14:paraId="286B4714" w14:textId="55A9C288" w:rsidR="005E6662" w:rsidRDefault="005E6662" w:rsidP="00CD3607">
            <w:pPr>
              <w:rPr>
                <w:rFonts w:ascii="Calibri" w:hAnsi="Calibri" w:cs="Calibri"/>
              </w:rPr>
            </w:pPr>
            <w:r>
              <w:rPr>
                <w:rFonts w:ascii="Calibri" w:hAnsi="Calibri" w:cs="Calibri"/>
              </w:rPr>
              <w:t xml:space="preserve">Agree </w:t>
            </w:r>
          </w:p>
          <w:p w14:paraId="35643E51" w14:textId="0B64CB1A" w:rsidR="00E151D3" w:rsidRDefault="00E151D3" w:rsidP="00CD3607">
            <w:pPr>
              <w:rPr>
                <w:rFonts w:ascii="Calibri" w:hAnsi="Calibri" w:cs="Calibri"/>
              </w:rPr>
            </w:pPr>
          </w:p>
        </w:tc>
        <w:tc>
          <w:tcPr>
            <w:tcW w:w="5470" w:type="dxa"/>
            <w:shd w:val="clear" w:color="auto" w:fill="F2F2F2" w:themeFill="background1" w:themeFillShade="F2"/>
          </w:tcPr>
          <w:p w14:paraId="28F26EF0" w14:textId="1B9DFF0E" w:rsidR="00E151D3" w:rsidRPr="005376C0" w:rsidRDefault="00E151D3" w:rsidP="00561586">
            <w:pPr>
              <w:jc w:val="both"/>
              <w:rPr>
                <w:rFonts w:ascii="Calibri" w:hAnsi="Calibri" w:cs="Calibri"/>
              </w:rPr>
            </w:pPr>
            <w:r>
              <w:rPr>
                <w:rFonts w:ascii="Calibri" w:hAnsi="Calibri" w:cs="Calibri"/>
              </w:rPr>
              <w:t xml:space="preserve">DFAT agrees with this recommendation noting the benefits it could </w:t>
            </w:r>
            <w:r w:rsidR="008C5984">
              <w:rPr>
                <w:rFonts w:ascii="Calibri" w:hAnsi="Calibri" w:cs="Calibri"/>
              </w:rPr>
              <w:t>deliver</w:t>
            </w:r>
            <w:r>
              <w:rPr>
                <w:rFonts w:ascii="Calibri" w:hAnsi="Calibri" w:cs="Calibri"/>
              </w:rPr>
              <w:t xml:space="preserve">, particularly </w:t>
            </w:r>
            <w:r w:rsidR="008C5984">
              <w:rPr>
                <w:rFonts w:ascii="Calibri" w:hAnsi="Calibri" w:cs="Calibri"/>
              </w:rPr>
              <w:t xml:space="preserve">around </w:t>
            </w:r>
            <w:r>
              <w:rPr>
                <w:rFonts w:ascii="Calibri" w:hAnsi="Calibri" w:cs="Calibri"/>
              </w:rPr>
              <w:t>efficiency</w:t>
            </w:r>
            <w:r w:rsidR="00FB221C">
              <w:rPr>
                <w:rFonts w:ascii="Calibri" w:hAnsi="Calibri" w:cs="Calibri"/>
              </w:rPr>
              <w:t xml:space="preserve"> and</w:t>
            </w:r>
            <w:r w:rsidR="00AD434C">
              <w:rPr>
                <w:rFonts w:ascii="Calibri" w:hAnsi="Calibri" w:cs="Calibri"/>
              </w:rPr>
              <w:t xml:space="preserve"> </w:t>
            </w:r>
            <w:r>
              <w:rPr>
                <w:rFonts w:ascii="Calibri" w:hAnsi="Calibri" w:cs="Calibri"/>
              </w:rPr>
              <w:t>effectiveness</w:t>
            </w:r>
            <w:r w:rsidR="00FB221C">
              <w:rPr>
                <w:rFonts w:ascii="Calibri" w:hAnsi="Calibri" w:cs="Calibri"/>
              </w:rPr>
              <w:t>.</w:t>
            </w:r>
            <w:r>
              <w:rPr>
                <w:rFonts w:ascii="Calibri" w:hAnsi="Calibri" w:cs="Calibri"/>
              </w:rPr>
              <w:t xml:space="preserve"> DFAT </w:t>
            </w:r>
            <w:r w:rsidR="00297C79">
              <w:rPr>
                <w:rFonts w:ascii="Calibri" w:hAnsi="Calibri" w:cs="Calibri"/>
              </w:rPr>
              <w:t xml:space="preserve">is positioned well to </w:t>
            </w:r>
            <w:r w:rsidR="00C129DA">
              <w:rPr>
                <w:rFonts w:ascii="Calibri" w:hAnsi="Calibri" w:cs="Calibri"/>
              </w:rPr>
              <w:t xml:space="preserve">enhance effectiveness through its strong relationships and </w:t>
            </w:r>
            <w:r w:rsidR="006509E2">
              <w:rPr>
                <w:rFonts w:ascii="Calibri" w:hAnsi="Calibri" w:cs="Calibri"/>
              </w:rPr>
              <w:t xml:space="preserve">convening power. </w:t>
            </w:r>
            <w:r>
              <w:rPr>
                <w:rFonts w:ascii="Calibri" w:hAnsi="Calibri" w:cs="Calibri"/>
              </w:rPr>
              <w:t xml:space="preserve"> </w:t>
            </w:r>
            <w:r w:rsidR="000438E6">
              <w:rPr>
                <w:rFonts w:ascii="Calibri" w:hAnsi="Calibri" w:cs="Calibri"/>
              </w:rPr>
              <w:t xml:space="preserve">DFAT </w:t>
            </w:r>
            <w:r w:rsidR="00EC66D1">
              <w:rPr>
                <w:rFonts w:ascii="Calibri" w:hAnsi="Calibri" w:cs="Calibri"/>
              </w:rPr>
              <w:t xml:space="preserve">recognises </w:t>
            </w:r>
            <w:r w:rsidR="00390420">
              <w:rPr>
                <w:rFonts w:ascii="Calibri" w:hAnsi="Calibri" w:cs="Calibri"/>
              </w:rPr>
              <w:t>t</w:t>
            </w:r>
            <w:r w:rsidR="00EB1579">
              <w:rPr>
                <w:rFonts w:ascii="Calibri" w:hAnsi="Calibri" w:cs="Calibri"/>
              </w:rPr>
              <w:t xml:space="preserve">he potential for added complexity so will </w:t>
            </w:r>
            <w:r w:rsidR="00827D6F">
              <w:rPr>
                <w:rFonts w:ascii="Calibri" w:hAnsi="Calibri" w:cs="Calibri"/>
              </w:rPr>
              <w:t xml:space="preserve">maintain </w:t>
            </w:r>
            <w:r w:rsidR="000D6847">
              <w:rPr>
                <w:rFonts w:ascii="Calibri" w:hAnsi="Calibri" w:cs="Calibri"/>
              </w:rPr>
              <w:t>a measured and consider</w:t>
            </w:r>
            <w:r w:rsidR="004B390F">
              <w:rPr>
                <w:rFonts w:ascii="Calibri" w:hAnsi="Calibri" w:cs="Calibri"/>
              </w:rPr>
              <w:t>ed approach</w:t>
            </w:r>
            <w:r w:rsidR="00B5509E">
              <w:rPr>
                <w:rFonts w:ascii="Calibri" w:hAnsi="Calibri" w:cs="Calibri"/>
              </w:rPr>
              <w:t xml:space="preserve"> </w:t>
            </w:r>
            <w:r w:rsidR="00B5509E" w:rsidRPr="00E3567F">
              <w:rPr>
                <w:rFonts w:ascii="Calibri" w:hAnsi="Calibri" w:cs="Calibri"/>
              </w:rPr>
              <w:t>including to ensure there is no additional coordination burden on GOF stakeholders</w:t>
            </w:r>
            <w:r w:rsidR="004B390F" w:rsidRPr="00E3567F">
              <w:rPr>
                <w:rFonts w:ascii="Calibri" w:hAnsi="Calibri" w:cs="Calibri"/>
              </w:rPr>
              <w:t>.</w:t>
            </w:r>
            <w:r w:rsidR="00CE34A0" w:rsidRPr="00E3567F">
              <w:rPr>
                <w:rFonts w:ascii="Calibri" w:hAnsi="Calibri" w:cs="Calibri"/>
              </w:rPr>
              <w:t xml:space="preserve"> As reflected in the evaluation, DFAT</w:t>
            </w:r>
            <w:r w:rsidR="00BF45A6" w:rsidRPr="00E3567F">
              <w:rPr>
                <w:rFonts w:ascii="Calibri" w:hAnsi="Calibri" w:cs="Calibri"/>
              </w:rPr>
              <w:t xml:space="preserve"> </w:t>
            </w:r>
            <w:r w:rsidR="001337C5" w:rsidRPr="00E3567F">
              <w:rPr>
                <w:rFonts w:ascii="Calibri" w:hAnsi="Calibri" w:cs="Calibri"/>
              </w:rPr>
              <w:t>values early engagement with IFC to discuss and address emerging priorities</w:t>
            </w:r>
            <w:r w:rsidR="00610516" w:rsidRPr="00E3567F">
              <w:rPr>
                <w:rFonts w:ascii="Calibri" w:hAnsi="Calibri" w:cs="Calibri"/>
              </w:rPr>
              <w:t xml:space="preserve"> and </w:t>
            </w:r>
            <w:r w:rsidR="00536FAE" w:rsidRPr="00E3567F">
              <w:rPr>
                <w:rFonts w:ascii="Calibri" w:hAnsi="Calibri" w:cs="Calibri"/>
              </w:rPr>
              <w:t xml:space="preserve">any </w:t>
            </w:r>
            <w:r w:rsidR="00610516" w:rsidRPr="00E3567F">
              <w:rPr>
                <w:rFonts w:ascii="Calibri" w:hAnsi="Calibri" w:cs="Calibri"/>
              </w:rPr>
              <w:t>issues</w:t>
            </w:r>
            <w:r w:rsidR="001337C5" w:rsidRPr="00E3567F">
              <w:rPr>
                <w:rFonts w:ascii="Calibri" w:hAnsi="Calibri" w:cs="Calibri"/>
              </w:rPr>
              <w:t xml:space="preserve">, including via briefings and other </w:t>
            </w:r>
            <w:r w:rsidR="00070527" w:rsidRPr="00E3567F">
              <w:rPr>
                <w:rFonts w:ascii="Calibri" w:hAnsi="Calibri" w:cs="Calibri"/>
              </w:rPr>
              <w:t xml:space="preserve">informal mechanisms, to promote increased engagement and </w:t>
            </w:r>
            <w:r w:rsidR="00610516" w:rsidRPr="00E3567F">
              <w:rPr>
                <w:rFonts w:ascii="Calibri" w:hAnsi="Calibri" w:cs="Calibri"/>
              </w:rPr>
              <w:t>coherence</w:t>
            </w:r>
            <w:r w:rsidR="0017125B" w:rsidRPr="00E3567F">
              <w:rPr>
                <w:rFonts w:ascii="Calibri" w:hAnsi="Calibri" w:cs="Calibri"/>
              </w:rPr>
              <w:t xml:space="preserve"> of approach</w:t>
            </w:r>
            <w:r w:rsidR="00610516" w:rsidRPr="00E3567F">
              <w:rPr>
                <w:rFonts w:ascii="Calibri" w:hAnsi="Calibri" w:cs="Calibri"/>
              </w:rPr>
              <w:t>.</w:t>
            </w:r>
          </w:p>
        </w:tc>
      </w:tr>
      <w:tr w:rsidR="00E151D3" w:rsidRPr="005376C0" w14:paraId="1C6F9BA5" w14:textId="77777777" w:rsidTr="00BD6DC3">
        <w:tc>
          <w:tcPr>
            <w:tcW w:w="5088" w:type="dxa"/>
            <w:shd w:val="clear" w:color="auto" w:fill="F2F2F2" w:themeFill="background1" w:themeFillShade="F2"/>
          </w:tcPr>
          <w:p w14:paraId="529882B9" w14:textId="66EE5537" w:rsidR="000010B7" w:rsidRPr="000010B7" w:rsidRDefault="000010B7" w:rsidP="00CD3607">
            <w:pPr>
              <w:pStyle w:val="List-number-1"/>
              <w:numPr>
                <w:ilvl w:val="0"/>
                <w:numId w:val="0"/>
              </w:numPr>
              <w:snapToGrid w:val="0"/>
              <w:spacing w:before="0" w:after="120"/>
              <w:rPr>
                <w:rFonts w:ascii="Calibri" w:hAnsi="Calibri" w:cs="Calibri"/>
                <w:b/>
                <w:bCs/>
                <w:sz w:val="22"/>
                <w:szCs w:val="22"/>
                <w:lang w:eastAsia="en-GB"/>
              </w:rPr>
            </w:pPr>
            <w:r w:rsidRPr="000010B7">
              <w:rPr>
                <w:rFonts w:ascii="Calibri" w:hAnsi="Calibri" w:cs="Calibri"/>
                <w:b/>
                <w:bCs/>
                <w:sz w:val="22"/>
                <w:szCs w:val="22"/>
                <w:lang w:eastAsia="en-GB"/>
              </w:rPr>
              <w:t xml:space="preserve">Recommendation </w:t>
            </w:r>
            <w:r w:rsidR="00C6271B">
              <w:rPr>
                <w:rFonts w:ascii="Calibri" w:hAnsi="Calibri" w:cs="Calibri"/>
                <w:b/>
                <w:bCs/>
                <w:sz w:val="22"/>
                <w:szCs w:val="22"/>
                <w:lang w:eastAsia="en-GB"/>
              </w:rPr>
              <w:t>5</w:t>
            </w:r>
          </w:p>
          <w:p w14:paraId="6CDCFA8B" w14:textId="3E150D16" w:rsidR="00E151D3" w:rsidRPr="005376C0" w:rsidRDefault="007F085F" w:rsidP="007F085F">
            <w:pPr>
              <w:jc w:val="both"/>
              <w:rPr>
                <w:rFonts w:ascii="Calibri" w:hAnsi="Calibri" w:cs="Calibri"/>
              </w:rPr>
            </w:pPr>
            <w:r w:rsidRPr="00C723E0">
              <w:rPr>
                <w:rFonts w:ascii="Calibri" w:hAnsi="Calibri" w:cs="Calibri"/>
              </w:rPr>
              <w:t>Future partnership arrangements should contain a structured and specific approach to MEL. While the current program has significantly restructured its approach to MEL, there is scope to continue to build on and leverage this, particularly with the future use of an MEL resource</w:t>
            </w:r>
            <w:r>
              <w:rPr>
                <w:rFonts w:ascii="Calibri" w:hAnsi="Calibri" w:cs="Calibri"/>
              </w:rPr>
              <w:t xml:space="preserve"> to prepare more outcome-focused knowledge products such as case studies and performance stories. </w:t>
            </w:r>
          </w:p>
        </w:tc>
        <w:tc>
          <w:tcPr>
            <w:tcW w:w="1318" w:type="dxa"/>
            <w:shd w:val="clear" w:color="auto" w:fill="F2F2F2" w:themeFill="background1" w:themeFillShade="F2"/>
          </w:tcPr>
          <w:p w14:paraId="3EEDD10B" w14:textId="453160C2" w:rsidR="00E151D3" w:rsidRDefault="00F31B53" w:rsidP="00CD3607">
            <w:pPr>
              <w:rPr>
                <w:rFonts w:ascii="Calibri" w:hAnsi="Calibri" w:cs="Calibri"/>
              </w:rPr>
            </w:pPr>
            <w:r>
              <w:rPr>
                <w:rFonts w:ascii="Calibri" w:hAnsi="Calibri" w:cs="Calibri"/>
              </w:rPr>
              <w:t>DFAT</w:t>
            </w:r>
          </w:p>
        </w:tc>
        <w:tc>
          <w:tcPr>
            <w:tcW w:w="2072" w:type="dxa"/>
            <w:shd w:val="clear" w:color="auto" w:fill="8DD873" w:themeFill="accent6" w:themeFillTint="99"/>
          </w:tcPr>
          <w:p w14:paraId="23F21551" w14:textId="687E11DE" w:rsidR="002C4C1D" w:rsidRDefault="00BD6DC3" w:rsidP="002C4C1D">
            <w:pPr>
              <w:rPr>
                <w:rFonts w:ascii="Calibri" w:hAnsi="Calibri" w:cs="Calibri"/>
              </w:rPr>
            </w:pPr>
            <w:r>
              <w:rPr>
                <w:rFonts w:ascii="Calibri" w:hAnsi="Calibri" w:cs="Calibri"/>
              </w:rPr>
              <w:t>A</w:t>
            </w:r>
            <w:r w:rsidR="002C4C1D">
              <w:rPr>
                <w:rFonts w:ascii="Calibri" w:hAnsi="Calibri" w:cs="Calibri"/>
              </w:rPr>
              <w:t>gree</w:t>
            </w:r>
          </w:p>
          <w:p w14:paraId="27FB8EC0" w14:textId="39103C80" w:rsidR="00E151D3" w:rsidRDefault="00E151D3" w:rsidP="00CD3607">
            <w:pPr>
              <w:rPr>
                <w:rFonts w:ascii="Calibri" w:hAnsi="Calibri" w:cs="Calibri"/>
              </w:rPr>
            </w:pPr>
          </w:p>
        </w:tc>
        <w:tc>
          <w:tcPr>
            <w:tcW w:w="5470" w:type="dxa"/>
            <w:shd w:val="clear" w:color="auto" w:fill="F2F2F2" w:themeFill="background1" w:themeFillShade="F2"/>
          </w:tcPr>
          <w:p w14:paraId="6BECD35A" w14:textId="486C1815" w:rsidR="00E151D3" w:rsidRDefault="00E151D3" w:rsidP="006509E2">
            <w:pPr>
              <w:jc w:val="both"/>
              <w:rPr>
                <w:rFonts w:ascii="Calibri" w:eastAsia="Times New Roman" w:hAnsi="Calibri" w:cs="Calibri"/>
                <w:lang w:eastAsia="en-GB"/>
              </w:rPr>
            </w:pPr>
            <w:r>
              <w:rPr>
                <w:rFonts w:ascii="Calibri" w:eastAsia="Times New Roman" w:hAnsi="Calibri" w:cs="Calibri"/>
                <w:lang w:eastAsia="en-GB"/>
              </w:rPr>
              <w:t xml:space="preserve">DFAT agrees with this recommendation and notes </w:t>
            </w:r>
            <w:r w:rsidRPr="00C96419">
              <w:rPr>
                <w:rFonts w:ascii="Calibri" w:eastAsia="Times New Roman" w:hAnsi="Calibri" w:cs="Calibri"/>
                <w:lang w:eastAsia="en-GB"/>
              </w:rPr>
              <w:t>that the</w:t>
            </w:r>
            <w:r>
              <w:rPr>
                <w:rFonts w:ascii="Calibri" w:eastAsia="Times New Roman" w:hAnsi="Calibri" w:cs="Calibri"/>
                <w:lang w:eastAsia="en-GB"/>
              </w:rPr>
              <w:t xml:space="preserve">re </w:t>
            </w:r>
            <w:r w:rsidR="006D72CC">
              <w:rPr>
                <w:rFonts w:ascii="Calibri" w:eastAsia="Times New Roman" w:hAnsi="Calibri" w:cs="Calibri"/>
                <w:lang w:eastAsia="en-GB"/>
              </w:rPr>
              <w:t>is an</w:t>
            </w:r>
            <w:r>
              <w:rPr>
                <w:rFonts w:ascii="Calibri" w:eastAsia="Times New Roman" w:hAnsi="Calibri" w:cs="Calibri"/>
                <w:lang w:eastAsia="en-GB"/>
              </w:rPr>
              <w:t xml:space="preserve"> opportunit</w:t>
            </w:r>
            <w:r w:rsidR="006D72CC">
              <w:rPr>
                <w:rFonts w:ascii="Calibri" w:eastAsia="Times New Roman" w:hAnsi="Calibri" w:cs="Calibri"/>
                <w:lang w:eastAsia="en-GB"/>
              </w:rPr>
              <w:t>y</w:t>
            </w:r>
            <w:r>
              <w:rPr>
                <w:rFonts w:ascii="Calibri" w:eastAsia="Times New Roman" w:hAnsi="Calibri" w:cs="Calibri"/>
                <w:lang w:eastAsia="en-GB"/>
              </w:rPr>
              <w:t xml:space="preserve"> to strengthen </w:t>
            </w:r>
            <w:r w:rsidR="001B6CD4">
              <w:rPr>
                <w:rFonts w:ascii="Calibri" w:eastAsia="Times New Roman" w:hAnsi="Calibri" w:cs="Calibri"/>
                <w:lang w:eastAsia="en-GB"/>
              </w:rPr>
              <w:t xml:space="preserve">the </w:t>
            </w:r>
            <w:r w:rsidR="00BD55E3">
              <w:rPr>
                <w:rFonts w:ascii="Calibri" w:eastAsia="Times New Roman" w:hAnsi="Calibri" w:cs="Calibri"/>
                <w:lang w:eastAsia="en-GB"/>
              </w:rPr>
              <w:t>MEL</w:t>
            </w:r>
            <w:r w:rsidR="001B6CD4">
              <w:rPr>
                <w:rFonts w:ascii="Calibri" w:eastAsia="Times New Roman" w:hAnsi="Calibri" w:cs="Calibri"/>
                <w:lang w:eastAsia="en-GB"/>
              </w:rPr>
              <w:t xml:space="preserve"> approach</w:t>
            </w:r>
            <w:r w:rsidR="00EF0AA6">
              <w:rPr>
                <w:rFonts w:ascii="Calibri" w:eastAsia="Times New Roman" w:hAnsi="Calibri" w:cs="Calibri"/>
                <w:lang w:eastAsia="en-GB"/>
              </w:rPr>
              <w:t xml:space="preserve"> to </w:t>
            </w:r>
            <w:r w:rsidR="00B5509E">
              <w:rPr>
                <w:rFonts w:ascii="Calibri" w:eastAsia="Times New Roman" w:hAnsi="Calibri" w:cs="Calibri"/>
                <w:lang w:eastAsia="en-GB"/>
              </w:rPr>
              <w:t>measure impact</w:t>
            </w:r>
            <w:r>
              <w:rPr>
                <w:rFonts w:ascii="Calibri" w:eastAsia="Times New Roman" w:hAnsi="Calibri" w:cs="Calibri"/>
                <w:lang w:eastAsia="en-GB"/>
              </w:rPr>
              <w:t xml:space="preserve">. </w:t>
            </w:r>
          </w:p>
          <w:p w14:paraId="2215B75C" w14:textId="77777777" w:rsidR="00511DB8" w:rsidRDefault="00511DB8" w:rsidP="006509E2">
            <w:pPr>
              <w:jc w:val="both"/>
              <w:rPr>
                <w:rFonts w:ascii="Calibri" w:eastAsia="Times New Roman" w:hAnsi="Calibri" w:cs="Calibri"/>
                <w:lang w:eastAsia="en-GB"/>
              </w:rPr>
            </w:pPr>
          </w:p>
          <w:p w14:paraId="74848F05" w14:textId="6564857A" w:rsidR="00E151D3" w:rsidRPr="001413F6" w:rsidRDefault="00E151D3" w:rsidP="006509E2">
            <w:pPr>
              <w:jc w:val="both"/>
              <w:rPr>
                <w:rFonts w:ascii="Calibri" w:hAnsi="Calibri" w:cs="Calibri"/>
              </w:rPr>
            </w:pPr>
            <w:r w:rsidRPr="001413F6">
              <w:rPr>
                <w:rFonts w:ascii="Calibri" w:eastAsia="Times New Roman" w:hAnsi="Calibri" w:cs="Calibri"/>
                <w:lang w:eastAsia="en-GB"/>
              </w:rPr>
              <w:t>DFAT will explore opportunities</w:t>
            </w:r>
            <w:r w:rsidR="00EF0AA6">
              <w:rPr>
                <w:rFonts w:ascii="Calibri" w:eastAsia="Times New Roman" w:hAnsi="Calibri" w:cs="Calibri"/>
                <w:lang w:eastAsia="en-GB"/>
              </w:rPr>
              <w:t xml:space="preserve"> with IFC</w:t>
            </w:r>
            <w:r w:rsidR="005F192E">
              <w:rPr>
                <w:rFonts w:ascii="Calibri" w:eastAsia="Times New Roman" w:hAnsi="Calibri" w:cs="Calibri"/>
                <w:lang w:eastAsia="en-GB"/>
              </w:rPr>
              <w:t xml:space="preserve"> as well as drawing from</w:t>
            </w:r>
            <w:r w:rsidRPr="001413F6">
              <w:rPr>
                <w:rFonts w:ascii="Calibri" w:eastAsia="Times New Roman" w:hAnsi="Calibri" w:cs="Calibri"/>
                <w:lang w:eastAsia="en-GB"/>
              </w:rPr>
              <w:t xml:space="preserve"> </w:t>
            </w:r>
            <w:r w:rsidR="00C733F0">
              <w:rPr>
                <w:rFonts w:ascii="Calibri" w:eastAsia="Times New Roman" w:hAnsi="Calibri" w:cs="Calibri"/>
                <w:lang w:eastAsia="en-GB"/>
              </w:rPr>
              <w:t xml:space="preserve">MEL support </w:t>
            </w:r>
            <w:r w:rsidR="005332C7">
              <w:rPr>
                <w:rFonts w:ascii="Calibri" w:eastAsia="Times New Roman" w:hAnsi="Calibri" w:cs="Calibri"/>
                <w:lang w:eastAsia="en-GB"/>
              </w:rPr>
              <w:t xml:space="preserve">potentially available at </w:t>
            </w:r>
            <w:r w:rsidR="005F192E">
              <w:rPr>
                <w:rFonts w:ascii="Calibri" w:eastAsia="Times New Roman" w:hAnsi="Calibri" w:cs="Calibri"/>
                <w:lang w:eastAsia="en-GB"/>
              </w:rPr>
              <w:t xml:space="preserve">Suva </w:t>
            </w:r>
            <w:r w:rsidR="005332C7">
              <w:rPr>
                <w:rFonts w:ascii="Calibri" w:eastAsia="Times New Roman" w:hAnsi="Calibri" w:cs="Calibri"/>
                <w:lang w:eastAsia="en-GB"/>
              </w:rPr>
              <w:t>Post going forward.</w:t>
            </w:r>
            <w:r w:rsidRPr="001413F6">
              <w:rPr>
                <w:rFonts w:ascii="Calibri" w:eastAsia="Times New Roman" w:hAnsi="Calibri" w:cs="Calibri"/>
                <w:lang w:eastAsia="en-GB"/>
              </w:rPr>
              <w:t xml:space="preserve"> </w:t>
            </w:r>
          </w:p>
        </w:tc>
      </w:tr>
    </w:tbl>
    <w:p w14:paraId="313DA859" w14:textId="09ADD285" w:rsidR="001B7E83" w:rsidRDefault="001B7E83">
      <w:pPr>
        <w:rPr>
          <w:rFonts w:ascii="Calibri" w:hAnsi="Calibri" w:cs="Calibri"/>
        </w:rPr>
      </w:pPr>
    </w:p>
    <w:sectPr w:rsidR="001B7E83" w:rsidSect="009E166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FA8EE" w14:textId="77777777" w:rsidR="007375BA" w:rsidRDefault="007375BA" w:rsidP="00F430E3">
      <w:pPr>
        <w:spacing w:after="0" w:line="240" w:lineRule="auto"/>
      </w:pPr>
      <w:r>
        <w:separator/>
      </w:r>
    </w:p>
  </w:endnote>
  <w:endnote w:type="continuationSeparator" w:id="0">
    <w:p w14:paraId="5892BF97" w14:textId="77777777" w:rsidR="007375BA" w:rsidRDefault="007375BA" w:rsidP="00F43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C5807" w14:textId="77777777" w:rsidR="007375BA" w:rsidRDefault="007375BA" w:rsidP="00F430E3">
      <w:pPr>
        <w:spacing w:after="0" w:line="240" w:lineRule="auto"/>
      </w:pPr>
      <w:r>
        <w:separator/>
      </w:r>
    </w:p>
  </w:footnote>
  <w:footnote w:type="continuationSeparator" w:id="0">
    <w:p w14:paraId="4055A3A7" w14:textId="77777777" w:rsidR="007375BA" w:rsidRDefault="007375BA" w:rsidP="00F43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C68DEEE"/>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06D75A9"/>
    <w:multiLevelType w:val="hybridMultilevel"/>
    <w:tmpl w:val="F5B02AC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4735365"/>
    <w:multiLevelType w:val="hybridMultilevel"/>
    <w:tmpl w:val="268C0B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AC7468"/>
    <w:multiLevelType w:val="hybridMultilevel"/>
    <w:tmpl w:val="E3CEF852"/>
    <w:lvl w:ilvl="0" w:tplc="BDD64D2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8777E5"/>
    <w:multiLevelType w:val="multilevel"/>
    <w:tmpl w:val="3D78B5EC"/>
    <w:lvl w:ilvl="0">
      <w:start w:val="1"/>
      <w:numFmt w:val="bullet"/>
      <w:lvlText w:val=""/>
      <w:lvlJc w:val="left"/>
      <w:pPr>
        <w:ind w:left="1080" w:hanging="360"/>
      </w:pPr>
      <w:rPr>
        <w:rFonts w:ascii="Symbol" w:hAnsi="Symbol" w:hint="default"/>
      </w:rPr>
    </w:lvl>
    <w:lvl w:ilvl="1">
      <w:start w:val="1"/>
      <w:numFmt w:val="lowerLetter"/>
      <w:lvlText w:val="%2."/>
      <w:lvlJc w:val="left"/>
      <w:pPr>
        <w:tabs>
          <w:tab w:val="num" w:pos="1728"/>
        </w:tabs>
        <w:ind w:left="1728" w:hanging="360"/>
      </w:pPr>
      <w:rPr>
        <w:rFonts w:hint="default"/>
      </w:rPr>
    </w:lvl>
    <w:lvl w:ilvl="2">
      <w:start w:val="1"/>
      <w:numFmt w:val="lowerRoman"/>
      <w:lvlText w:val="%3)"/>
      <w:lvlJc w:val="left"/>
      <w:pPr>
        <w:tabs>
          <w:tab w:val="num" w:pos="2088"/>
        </w:tabs>
        <w:ind w:left="2088" w:hanging="360"/>
      </w:pPr>
      <w:rPr>
        <w:rFonts w:hint="default"/>
      </w:rPr>
    </w:lvl>
    <w:lvl w:ilvl="3">
      <w:start w:val="1"/>
      <w:numFmt w:val="decimal"/>
      <w:lvlText w:val="(%4)"/>
      <w:lvlJc w:val="left"/>
      <w:pPr>
        <w:tabs>
          <w:tab w:val="num" w:pos="2448"/>
        </w:tabs>
        <w:ind w:left="2448" w:hanging="360"/>
      </w:pPr>
      <w:rPr>
        <w:rFonts w:hint="default"/>
      </w:rPr>
    </w:lvl>
    <w:lvl w:ilvl="4">
      <w:start w:val="1"/>
      <w:numFmt w:val="lowerLetter"/>
      <w:lvlText w:val="(%5)"/>
      <w:lvlJc w:val="left"/>
      <w:pPr>
        <w:tabs>
          <w:tab w:val="num" w:pos="2808"/>
        </w:tabs>
        <w:ind w:left="2808" w:hanging="360"/>
      </w:pPr>
      <w:rPr>
        <w:rFonts w:hint="default"/>
      </w:rPr>
    </w:lvl>
    <w:lvl w:ilvl="5">
      <w:start w:val="1"/>
      <w:numFmt w:val="lowerRoman"/>
      <w:lvlText w:val="(%6)"/>
      <w:lvlJc w:val="left"/>
      <w:pPr>
        <w:tabs>
          <w:tab w:val="num" w:pos="3168"/>
        </w:tabs>
        <w:ind w:left="3168" w:hanging="360"/>
      </w:pPr>
      <w:rPr>
        <w:rFonts w:hint="default"/>
      </w:rPr>
    </w:lvl>
    <w:lvl w:ilvl="6">
      <w:start w:val="1"/>
      <w:numFmt w:val="decimal"/>
      <w:lvlText w:val="%7."/>
      <w:lvlJc w:val="left"/>
      <w:pPr>
        <w:tabs>
          <w:tab w:val="num" w:pos="3528"/>
        </w:tabs>
        <w:ind w:left="3528" w:hanging="360"/>
      </w:pPr>
      <w:rPr>
        <w:rFonts w:hint="default"/>
      </w:rPr>
    </w:lvl>
    <w:lvl w:ilvl="7">
      <w:start w:val="1"/>
      <w:numFmt w:val="lowerLetter"/>
      <w:lvlText w:val="%8."/>
      <w:lvlJc w:val="left"/>
      <w:pPr>
        <w:tabs>
          <w:tab w:val="num" w:pos="3888"/>
        </w:tabs>
        <w:ind w:left="3888" w:hanging="360"/>
      </w:pPr>
      <w:rPr>
        <w:rFonts w:hint="default"/>
      </w:rPr>
    </w:lvl>
    <w:lvl w:ilvl="8">
      <w:start w:val="1"/>
      <w:numFmt w:val="lowerRoman"/>
      <w:lvlText w:val="%9."/>
      <w:lvlJc w:val="left"/>
      <w:pPr>
        <w:tabs>
          <w:tab w:val="num" w:pos="4248"/>
        </w:tabs>
        <w:ind w:left="4248" w:hanging="360"/>
      </w:pPr>
      <w:rPr>
        <w:rFonts w:hint="default"/>
      </w:rPr>
    </w:lvl>
  </w:abstractNum>
  <w:abstractNum w:abstractNumId="5" w15:restartNumberingAfterBreak="0">
    <w:nsid w:val="2FBD11B4"/>
    <w:multiLevelType w:val="multilevel"/>
    <w:tmpl w:val="6D8C152C"/>
    <w:lvl w:ilvl="0">
      <w:start w:val="1"/>
      <w:numFmt w:val="decimal"/>
      <w:pStyle w:val="List-number-1"/>
      <w:lvlText w:val="%1."/>
      <w:lvlJc w:val="left"/>
      <w:pPr>
        <w:tabs>
          <w:tab w:val="num" w:pos="0"/>
        </w:tabs>
        <w:ind w:left="0" w:hanging="360"/>
      </w:pPr>
      <w:rPr>
        <w:rFonts w:hint="default"/>
        <w:sz w:val="24"/>
        <w:szCs w:val="36"/>
      </w:rPr>
    </w:lvl>
    <w:lvl w:ilvl="1">
      <w:start w:val="1"/>
      <w:numFmt w:val="lowerLetter"/>
      <w:pStyle w:val="List-number-2"/>
      <w:lvlText w:val="%2."/>
      <w:lvlJc w:val="left"/>
      <w:pPr>
        <w:tabs>
          <w:tab w:val="num" w:pos="648"/>
        </w:tabs>
        <w:ind w:left="648" w:hanging="360"/>
      </w:pPr>
      <w:rPr>
        <w:rFonts w:hint="default"/>
        <w:sz w:val="24"/>
        <w:szCs w:val="36"/>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Text w:val="%9."/>
      <w:lvlJc w:val="left"/>
      <w:pPr>
        <w:tabs>
          <w:tab w:val="num" w:pos="3168"/>
        </w:tabs>
        <w:ind w:left="3168" w:hanging="360"/>
      </w:pPr>
      <w:rPr>
        <w:rFonts w:hint="default"/>
      </w:rPr>
    </w:lvl>
  </w:abstractNum>
  <w:abstractNum w:abstractNumId="6" w15:restartNumberingAfterBreak="0">
    <w:nsid w:val="4C341A90"/>
    <w:multiLevelType w:val="hybridMultilevel"/>
    <w:tmpl w:val="CC68505E"/>
    <w:lvl w:ilvl="0" w:tplc="A7EA292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51E04435"/>
    <w:multiLevelType w:val="hybridMultilevel"/>
    <w:tmpl w:val="2334FAEE"/>
    <w:lvl w:ilvl="0" w:tplc="210419C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3F59DA"/>
    <w:multiLevelType w:val="multilevel"/>
    <w:tmpl w:val="9604BAA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728"/>
        </w:tabs>
        <w:ind w:left="1728" w:hanging="360"/>
      </w:pPr>
      <w:rPr>
        <w:rFonts w:hint="default"/>
      </w:rPr>
    </w:lvl>
    <w:lvl w:ilvl="2">
      <w:start w:val="1"/>
      <w:numFmt w:val="lowerRoman"/>
      <w:lvlText w:val="%3)"/>
      <w:lvlJc w:val="left"/>
      <w:pPr>
        <w:tabs>
          <w:tab w:val="num" w:pos="2088"/>
        </w:tabs>
        <w:ind w:left="2088" w:hanging="360"/>
      </w:pPr>
      <w:rPr>
        <w:rFonts w:hint="default"/>
      </w:rPr>
    </w:lvl>
    <w:lvl w:ilvl="3">
      <w:start w:val="1"/>
      <w:numFmt w:val="decimal"/>
      <w:lvlText w:val="(%4)"/>
      <w:lvlJc w:val="left"/>
      <w:pPr>
        <w:tabs>
          <w:tab w:val="num" w:pos="2448"/>
        </w:tabs>
        <w:ind w:left="2448" w:hanging="360"/>
      </w:pPr>
      <w:rPr>
        <w:rFonts w:hint="default"/>
      </w:rPr>
    </w:lvl>
    <w:lvl w:ilvl="4">
      <w:start w:val="1"/>
      <w:numFmt w:val="lowerLetter"/>
      <w:lvlText w:val="(%5)"/>
      <w:lvlJc w:val="left"/>
      <w:pPr>
        <w:tabs>
          <w:tab w:val="num" w:pos="2808"/>
        </w:tabs>
        <w:ind w:left="2808" w:hanging="360"/>
      </w:pPr>
      <w:rPr>
        <w:rFonts w:hint="default"/>
      </w:rPr>
    </w:lvl>
    <w:lvl w:ilvl="5">
      <w:start w:val="1"/>
      <w:numFmt w:val="lowerRoman"/>
      <w:lvlText w:val="(%6)"/>
      <w:lvlJc w:val="left"/>
      <w:pPr>
        <w:tabs>
          <w:tab w:val="num" w:pos="3168"/>
        </w:tabs>
        <w:ind w:left="3168" w:hanging="360"/>
      </w:pPr>
      <w:rPr>
        <w:rFonts w:hint="default"/>
      </w:rPr>
    </w:lvl>
    <w:lvl w:ilvl="6">
      <w:start w:val="1"/>
      <w:numFmt w:val="decimal"/>
      <w:lvlText w:val="%7."/>
      <w:lvlJc w:val="left"/>
      <w:pPr>
        <w:tabs>
          <w:tab w:val="num" w:pos="3528"/>
        </w:tabs>
        <w:ind w:left="3528" w:hanging="360"/>
      </w:pPr>
      <w:rPr>
        <w:rFonts w:hint="default"/>
      </w:rPr>
    </w:lvl>
    <w:lvl w:ilvl="7">
      <w:start w:val="1"/>
      <w:numFmt w:val="lowerLetter"/>
      <w:lvlText w:val="%8."/>
      <w:lvlJc w:val="left"/>
      <w:pPr>
        <w:tabs>
          <w:tab w:val="num" w:pos="3888"/>
        </w:tabs>
        <w:ind w:left="3888" w:hanging="360"/>
      </w:pPr>
      <w:rPr>
        <w:rFonts w:hint="default"/>
      </w:rPr>
    </w:lvl>
    <w:lvl w:ilvl="8">
      <w:start w:val="1"/>
      <w:numFmt w:val="lowerRoman"/>
      <w:lvlText w:val="%9."/>
      <w:lvlJc w:val="left"/>
      <w:pPr>
        <w:tabs>
          <w:tab w:val="num" w:pos="4248"/>
        </w:tabs>
        <w:ind w:left="4248" w:hanging="360"/>
      </w:pPr>
      <w:rPr>
        <w:rFonts w:hint="default"/>
      </w:rPr>
    </w:lvl>
  </w:abstractNum>
  <w:abstractNum w:abstractNumId="9" w15:restartNumberingAfterBreak="0">
    <w:nsid w:val="60CF3D94"/>
    <w:multiLevelType w:val="hybridMultilevel"/>
    <w:tmpl w:val="100E3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E8A7CDF"/>
    <w:multiLevelType w:val="multilevel"/>
    <w:tmpl w:val="36D043DC"/>
    <w:lvl w:ilvl="0">
      <w:start w:val="1"/>
      <w:numFmt w:val="bullet"/>
      <w:lvlText w:val=""/>
      <w:lvlJc w:val="left"/>
      <w:pPr>
        <w:tabs>
          <w:tab w:val="num" w:pos="1494"/>
        </w:tabs>
        <w:ind w:left="1494" w:hanging="360"/>
      </w:pPr>
      <w:rPr>
        <w:rFonts w:ascii="Symbol" w:hAnsi="Symbol" w:hint="default"/>
      </w:rPr>
    </w:lvl>
    <w:lvl w:ilvl="1">
      <w:start w:val="1"/>
      <w:numFmt w:val="lowerLetter"/>
      <w:lvlText w:val="%2."/>
      <w:lvlJc w:val="left"/>
      <w:pPr>
        <w:tabs>
          <w:tab w:val="num" w:pos="2142"/>
        </w:tabs>
        <w:ind w:left="2142" w:hanging="360"/>
      </w:pPr>
      <w:rPr>
        <w:rFonts w:hint="default"/>
      </w:rPr>
    </w:lvl>
    <w:lvl w:ilvl="2">
      <w:start w:val="1"/>
      <w:numFmt w:val="lowerRoman"/>
      <w:lvlText w:val="%3)"/>
      <w:lvlJc w:val="left"/>
      <w:pPr>
        <w:tabs>
          <w:tab w:val="num" w:pos="2502"/>
        </w:tabs>
        <w:ind w:left="2502" w:hanging="360"/>
      </w:pPr>
      <w:rPr>
        <w:rFonts w:hint="default"/>
      </w:rPr>
    </w:lvl>
    <w:lvl w:ilvl="3">
      <w:start w:val="1"/>
      <w:numFmt w:val="decimal"/>
      <w:lvlText w:val="(%4)"/>
      <w:lvlJc w:val="left"/>
      <w:pPr>
        <w:tabs>
          <w:tab w:val="num" w:pos="2862"/>
        </w:tabs>
        <w:ind w:left="2862" w:hanging="360"/>
      </w:pPr>
      <w:rPr>
        <w:rFonts w:hint="default"/>
      </w:rPr>
    </w:lvl>
    <w:lvl w:ilvl="4">
      <w:start w:val="1"/>
      <w:numFmt w:val="lowerLetter"/>
      <w:lvlText w:val="(%5)"/>
      <w:lvlJc w:val="left"/>
      <w:pPr>
        <w:tabs>
          <w:tab w:val="num" w:pos="3222"/>
        </w:tabs>
        <w:ind w:left="3222" w:hanging="360"/>
      </w:pPr>
      <w:rPr>
        <w:rFonts w:hint="default"/>
      </w:rPr>
    </w:lvl>
    <w:lvl w:ilvl="5">
      <w:start w:val="1"/>
      <w:numFmt w:val="lowerRoman"/>
      <w:lvlText w:val="(%6)"/>
      <w:lvlJc w:val="left"/>
      <w:pPr>
        <w:tabs>
          <w:tab w:val="num" w:pos="3582"/>
        </w:tabs>
        <w:ind w:left="3582" w:hanging="360"/>
      </w:pPr>
      <w:rPr>
        <w:rFonts w:hint="default"/>
      </w:rPr>
    </w:lvl>
    <w:lvl w:ilvl="6">
      <w:start w:val="1"/>
      <w:numFmt w:val="bullet"/>
      <w:lvlText w:val=""/>
      <w:lvlJc w:val="left"/>
      <w:pPr>
        <w:ind w:left="3942" w:hanging="360"/>
      </w:pPr>
      <w:rPr>
        <w:rFonts w:ascii="Symbol" w:hAnsi="Symbol" w:hint="default"/>
      </w:rPr>
    </w:lvl>
    <w:lvl w:ilvl="7">
      <w:start w:val="1"/>
      <w:numFmt w:val="lowerLetter"/>
      <w:lvlText w:val="%8."/>
      <w:lvlJc w:val="left"/>
      <w:pPr>
        <w:tabs>
          <w:tab w:val="num" w:pos="4302"/>
        </w:tabs>
        <w:ind w:left="4302" w:hanging="360"/>
      </w:pPr>
      <w:rPr>
        <w:rFonts w:hint="default"/>
      </w:rPr>
    </w:lvl>
    <w:lvl w:ilvl="8">
      <w:start w:val="1"/>
      <w:numFmt w:val="lowerRoman"/>
      <w:lvlText w:val="%9."/>
      <w:lvlJc w:val="left"/>
      <w:pPr>
        <w:tabs>
          <w:tab w:val="num" w:pos="4662"/>
        </w:tabs>
        <w:ind w:left="4662" w:hanging="360"/>
      </w:pPr>
      <w:rPr>
        <w:rFonts w:hint="default"/>
      </w:rPr>
    </w:lvl>
  </w:abstractNum>
  <w:abstractNum w:abstractNumId="11" w15:restartNumberingAfterBreak="0">
    <w:nsid w:val="762B2B33"/>
    <w:multiLevelType w:val="hybridMultilevel"/>
    <w:tmpl w:val="ECC6F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78313691"/>
    <w:multiLevelType w:val="multilevel"/>
    <w:tmpl w:val="B7C45F14"/>
    <w:lvl w:ilvl="0">
      <w:start w:val="1"/>
      <w:numFmt w:val="bullet"/>
      <w:lvlText w:val=""/>
      <w:lvlJc w:val="left"/>
      <w:pPr>
        <w:ind w:left="1080" w:hanging="360"/>
      </w:pPr>
      <w:rPr>
        <w:rFonts w:ascii="Symbol" w:hAnsi="Symbol" w:hint="default"/>
      </w:rPr>
    </w:lvl>
    <w:lvl w:ilvl="1">
      <w:start w:val="1"/>
      <w:numFmt w:val="lowerLetter"/>
      <w:lvlText w:val="%2."/>
      <w:lvlJc w:val="left"/>
      <w:pPr>
        <w:tabs>
          <w:tab w:val="num" w:pos="2088"/>
        </w:tabs>
        <w:ind w:left="2088" w:hanging="360"/>
      </w:pPr>
      <w:rPr>
        <w:rFonts w:hint="default"/>
      </w:rPr>
    </w:lvl>
    <w:lvl w:ilvl="2">
      <w:start w:val="1"/>
      <w:numFmt w:val="lowerRoman"/>
      <w:lvlText w:val="%3)"/>
      <w:lvlJc w:val="left"/>
      <w:pPr>
        <w:tabs>
          <w:tab w:val="num" w:pos="2448"/>
        </w:tabs>
        <w:ind w:left="2448" w:hanging="360"/>
      </w:pPr>
      <w:rPr>
        <w:rFonts w:hint="default"/>
      </w:rPr>
    </w:lvl>
    <w:lvl w:ilvl="3">
      <w:start w:val="1"/>
      <w:numFmt w:val="decimal"/>
      <w:lvlText w:val="(%4)"/>
      <w:lvlJc w:val="left"/>
      <w:pPr>
        <w:tabs>
          <w:tab w:val="num" w:pos="2808"/>
        </w:tabs>
        <w:ind w:left="2808" w:hanging="360"/>
      </w:pPr>
      <w:rPr>
        <w:rFonts w:hint="default"/>
      </w:rPr>
    </w:lvl>
    <w:lvl w:ilvl="4">
      <w:start w:val="1"/>
      <w:numFmt w:val="lowerLetter"/>
      <w:lvlText w:val="(%5)"/>
      <w:lvlJc w:val="left"/>
      <w:pPr>
        <w:tabs>
          <w:tab w:val="num" w:pos="3168"/>
        </w:tabs>
        <w:ind w:left="3168" w:hanging="360"/>
      </w:pPr>
      <w:rPr>
        <w:rFonts w:hint="default"/>
      </w:rPr>
    </w:lvl>
    <w:lvl w:ilvl="5">
      <w:start w:val="1"/>
      <w:numFmt w:val="lowerRoman"/>
      <w:lvlText w:val="(%6)"/>
      <w:lvlJc w:val="left"/>
      <w:pPr>
        <w:tabs>
          <w:tab w:val="num" w:pos="3528"/>
        </w:tabs>
        <w:ind w:left="3528" w:hanging="360"/>
      </w:pPr>
      <w:rPr>
        <w:rFonts w:hint="default"/>
      </w:rPr>
    </w:lvl>
    <w:lvl w:ilvl="6">
      <w:start w:val="1"/>
      <w:numFmt w:val="decimal"/>
      <w:lvlText w:val="%7."/>
      <w:lvlJc w:val="left"/>
      <w:pPr>
        <w:tabs>
          <w:tab w:val="num" w:pos="3888"/>
        </w:tabs>
        <w:ind w:left="3888" w:hanging="360"/>
      </w:pPr>
      <w:rPr>
        <w:rFonts w:hint="default"/>
      </w:rPr>
    </w:lvl>
    <w:lvl w:ilvl="7">
      <w:start w:val="1"/>
      <w:numFmt w:val="lowerLetter"/>
      <w:lvlText w:val="%8."/>
      <w:lvlJc w:val="left"/>
      <w:pPr>
        <w:tabs>
          <w:tab w:val="num" w:pos="4248"/>
        </w:tabs>
        <w:ind w:left="4248" w:hanging="360"/>
      </w:pPr>
      <w:rPr>
        <w:rFonts w:hint="default"/>
      </w:rPr>
    </w:lvl>
    <w:lvl w:ilvl="8">
      <w:start w:val="1"/>
      <w:numFmt w:val="lowerRoman"/>
      <w:lvlText w:val="%9."/>
      <w:lvlJc w:val="left"/>
      <w:pPr>
        <w:tabs>
          <w:tab w:val="num" w:pos="4608"/>
        </w:tabs>
        <w:ind w:left="4608" w:hanging="360"/>
      </w:pPr>
      <w:rPr>
        <w:rFonts w:hint="default"/>
      </w:rPr>
    </w:lvl>
  </w:abstractNum>
  <w:num w:numId="1" w16cid:durableId="846821998">
    <w:abstractNumId w:val="2"/>
  </w:num>
  <w:num w:numId="2" w16cid:durableId="1364789991">
    <w:abstractNumId w:val="0"/>
  </w:num>
  <w:num w:numId="3" w16cid:durableId="1941448165">
    <w:abstractNumId w:val="5"/>
  </w:num>
  <w:num w:numId="4" w16cid:durableId="13220746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3817144">
    <w:abstractNumId w:val="5"/>
  </w:num>
  <w:num w:numId="6" w16cid:durableId="1145121191">
    <w:abstractNumId w:val="5"/>
  </w:num>
  <w:num w:numId="7" w16cid:durableId="410470593">
    <w:abstractNumId w:val="12"/>
  </w:num>
  <w:num w:numId="8" w16cid:durableId="2015717115">
    <w:abstractNumId w:val="10"/>
  </w:num>
  <w:num w:numId="9" w16cid:durableId="1348754131">
    <w:abstractNumId w:val="8"/>
  </w:num>
  <w:num w:numId="10" w16cid:durableId="1608930063">
    <w:abstractNumId w:val="4"/>
  </w:num>
  <w:num w:numId="11" w16cid:durableId="411397749">
    <w:abstractNumId w:val="3"/>
  </w:num>
  <w:num w:numId="12" w16cid:durableId="693966129">
    <w:abstractNumId w:val="6"/>
  </w:num>
  <w:num w:numId="13" w16cid:durableId="1532916089">
    <w:abstractNumId w:val="9"/>
  </w:num>
  <w:num w:numId="14" w16cid:durableId="1352028828">
    <w:abstractNumId w:val="11"/>
  </w:num>
  <w:num w:numId="15" w16cid:durableId="135297892">
    <w:abstractNumId w:val="7"/>
  </w:num>
  <w:num w:numId="16" w16cid:durableId="3347236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6309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41"/>
    <w:rsid w:val="000010B7"/>
    <w:rsid w:val="00004E2A"/>
    <w:rsid w:val="000116A0"/>
    <w:rsid w:val="0001515F"/>
    <w:rsid w:val="00016FF5"/>
    <w:rsid w:val="00024DA7"/>
    <w:rsid w:val="000438E6"/>
    <w:rsid w:val="0004572C"/>
    <w:rsid w:val="00052F29"/>
    <w:rsid w:val="000621A7"/>
    <w:rsid w:val="00063BEA"/>
    <w:rsid w:val="000646F4"/>
    <w:rsid w:val="00064B02"/>
    <w:rsid w:val="00066DFB"/>
    <w:rsid w:val="00070527"/>
    <w:rsid w:val="00074AC8"/>
    <w:rsid w:val="0008123A"/>
    <w:rsid w:val="0008414B"/>
    <w:rsid w:val="000900ED"/>
    <w:rsid w:val="000B78A2"/>
    <w:rsid w:val="000C27FF"/>
    <w:rsid w:val="000D5BD2"/>
    <w:rsid w:val="000D6847"/>
    <w:rsid w:val="000E0189"/>
    <w:rsid w:val="000E5E9F"/>
    <w:rsid w:val="000E6862"/>
    <w:rsid w:val="0010165F"/>
    <w:rsid w:val="001050B4"/>
    <w:rsid w:val="00112CC8"/>
    <w:rsid w:val="00120097"/>
    <w:rsid w:val="001224E9"/>
    <w:rsid w:val="00124C30"/>
    <w:rsid w:val="00127A56"/>
    <w:rsid w:val="00131402"/>
    <w:rsid w:val="001337C5"/>
    <w:rsid w:val="00133DFF"/>
    <w:rsid w:val="001348C4"/>
    <w:rsid w:val="001413F6"/>
    <w:rsid w:val="001501FB"/>
    <w:rsid w:val="00151120"/>
    <w:rsid w:val="00156847"/>
    <w:rsid w:val="0016361E"/>
    <w:rsid w:val="00163DBC"/>
    <w:rsid w:val="00164B8E"/>
    <w:rsid w:val="00170DAC"/>
    <w:rsid w:val="0017125B"/>
    <w:rsid w:val="001724B9"/>
    <w:rsid w:val="0017675F"/>
    <w:rsid w:val="001832D5"/>
    <w:rsid w:val="00191690"/>
    <w:rsid w:val="0019294E"/>
    <w:rsid w:val="001B6CD4"/>
    <w:rsid w:val="001B7E83"/>
    <w:rsid w:val="001C4C93"/>
    <w:rsid w:val="001E1EBC"/>
    <w:rsid w:val="001E28F4"/>
    <w:rsid w:val="001E2C49"/>
    <w:rsid w:val="001F5DD1"/>
    <w:rsid w:val="001F6F99"/>
    <w:rsid w:val="00204216"/>
    <w:rsid w:val="0020432A"/>
    <w:rsid w:val="00233676"/>
    <w:rsid w:val="002342EC"/>
    <w:rsid w:val="0024541C"/>
    <w:rsid w:val="002532DD"/>
    <w:rsid w:val="002556B5"/>
    <w:rsid w:val="00260A55"/>
    <w:rsid w:val="002629D6"/>
    <w:rsid w:val="00265327"/>
    <w:rsid w:val="00282069"/>
    <w:rsid w:val="00286F20"/>
    <w:rsid w:val="00292C62"/>
    <w:rsid w:val="00297C79"/>
    <w:rsid w:val="002B44AF"/>
    <w:rsid w:val="002C1C69"/>
    <w:rsid w:val="002C3A94"/>
    <w:rsid w:val="002C4C1D"/>
    <w:rsid w:val="002E4D75"/>
    <w:rsid w:val="002E7D43"/>
    <w:rsid w:val="002F16E3"/>
    <w:rsid w:val="00300122"/>
    <w:rsid w:val="0030027C"/>
    <w:rsid w:val="0030463B"/>
    <w:rsid w:val="00310A67"/>
    <w:rsid w:val="0031209D"/>
    <w:rsid w:val="0031272E"/>
    <w:rsid w:val="00315F2A"/>
    <w:rsid w:val="0033168B"/>
    <w:rsid w:val="00340A6A"/>
    <w:rsid w:val="0036328F"/>
    <w:rsid w:val="00367529"/>
    <w:rsid w:val="003872B6"/>
    <w:rsid w:val="00390420"/>
    <w:rsid w:val="003B67FD"/>
    <w:rsid w:val="003C0346"/>
    <w:rsid w:val="003C33C1"/>
    <w:rsid w:val="003E78DB"/>
    <w:rsid w:val="003F37BF"/>
    <w:rsid w:val="004063BA"/>
    <w:rsid w:val="004106A9"/>
    <w:rsid w:val="004232F3"/>
    <w:rsid w:val="00425184"/>
    <w:rsid w:val="00431732"/>
    <w:rsid w:val="004328CB"/>
    <w:rsid w:val="00435BD5"/>
    <w:rsid w:val="004364ED"/>
    <w:rsid w:val="00446096"/>
    <w:rsid w:val="004479AF"/>
    <w:rsid w:val="00452CB8"/>
    <w:rsid w:val="0047538B"/>
    <w:rsid w:val="0048630D"/>
    <w:rsid w:val="004868B9"/>
    <w:rsid w:val="00494009"/>
    <w:rsid w:val="004A7F17"/>
    <w:rsid w:val="004B2A7F"/>
    <w:rsid w:val="004B390F"/>
    <w:rsid w:val="004B7B09"/>
    <w:rsid w:val="004C0922"/>
    <w:rsid w:val="004D2029"/>
    <w:rsid w:val="004D2E55"/>
    <w:rsid w:val="004D411A"/>
    <w:rsid w:val="004E512C"/>
    <w:rsid w:val="00511199"/>
    <w:rsid w:val="00511DB8"/>
    <w:rsid w:val="005332C7"/>
    <w:rsid w:val="00534A93"/>
    <w:rsid w:val="00536FAE"/>
    <w:rsid w:val="005376C0"/>
    <w:rsid w:val="005423B5"/>
    <w:rsid w:val="00553A80"/>
    <w:rsid w:val="00561586"/>
    <w:rsid w:val="00563067"/>
    <w:rsid w:val="0057103C"/>
    <w:rsid w:val="00572CD3"/>
    <w:rsid w:val="005737CF"/>
    <w:rsid w:val="0057583A"/>
    <w:rsid w:val="005807B6"/>
    <w:rsid w:val="0058162D"/>
    <w:rsid w:val="0058417A"/>
    <w:rsid w:val="0058449C"/>
    <w:rsid w:val="00584A14"/>
    <w:rsid w:val="00590CA5"/>
    <w:rsid w:val="0059420E"/>
    <w:rsid w:val="005A2AA7"/>
    <w:rsid w:val="005C4142"/>
    <w:rsid w:val="005C5EFA"/>
    <w:rsid w:val="005C6AA4"/>
    <w:rsid w:val="005D41AA"/>
    <w:rsid w:val="005E0837"/>
    <w:rsid w:val="005E1266"/>
    <w:rsid w:val="005E134E"/>
    <w:rsid w:val="005E6662"/>
    <w:rsid w:val="005E6FED"/>
    <w:rsid w:val="005F192E"/>
    <w:rsid w:val="005F4BF2"/>
    <w:rsid w:val="00600CD3"/>
    <w:rsid w:val="00607BD4"/>
    <w:rsid w:val="00607E6B"/>
    <w:rsid w:val="00610516"/>
    <w:rsid w:val="006174B9"/>
    <w:rsid w:val="006251AF"/>
    <w:rsid w:val="006252A2"/>
    <w:rsid w:val="00635BD5"/>
    <w:rsid w:val="00641EA2"/>
    <w:rsid w:val="006509E2"/>
    <w:rsid w:val="006525ED"/>
    <w:rsid w:val="00653730"/>
    <w:rsid w:val="00660359"/>
    <w:rsid w:val="006637E8"/>
    <w:rsid w:val="006661A6"/>
    <w:rsid w:val="006775CA"/>
    <w:rsid w:val="006818D7"/>
    <w:rsid w:val="00683995"/>
    <w:rsid w:val="006A4D51"/>
    <w:rsid w:val="006A7869"/>
    <w:rsid w:val="006C38DF"/>
    <w:rsid w:val="006C3AEE"/>
    <w:rsid w:val="006C4C50"/>
    <w:rsid w:val="006D5C69"/>
    <w:rsid w:val="006D72CC"/>
    <w:rsid w:val="006E091B"/>
    <w:rsid w:val="006E3385"/>
    <w:rsid w:val="006F5C41"/>
    <w:rsid w:val="007042F5"/>
    <w:rsid w:val="00713433"/>
    <w:rsid w:val="007168AA"/>
    <w:rsid w:val="00732778"/>
    <w:rsid w:val="00734D13"/>
    <w:rsid w:val="007375BA"/>
    <w:rsid w:val="00737CC8"/>
    <w:rsid w:val="0074218B"/>
    <w:rsid w:val="00746EB0"/>
    <w:rsid w:val="0075223C"/>
    <w:rsid w:val="00770685"/>
    <w:rsid w:val="00773198"/>
    <w:rsid w:val="00775C46"/>
    <w:rsid w:val="00776361"/>
    <w:rsid w:val="00792044"/>
    <w:rsid w:val="0079249F"/>
    <w:rsid w:val="0079296D"/>
    <w:rsid w:val="00792FBE"/>
    <w:rsid w:val="00794D31"/>
    <w:rsid w:val="00796E8F"/>
    <w:rsid w:val="007A0521"/>
    <w:rsid w:val="007C7EC5"/>
    <w:rsid w:val="007E12B3"/>
    <w:rsid w:val="007E71E9"/>
    <w:rsid w:val="007F085F"/>
    <w:rsid w:val="00804E0D"/>
    <w:rsid w:val="00805E3A"/>
    <w:rsid w:val="00807E94"/>
    <w:rsid w:val="00816E9B"/>
    <w:rsid w:val="00827D6F"/>
    <w:rsid w:val="008333F7"/>
    <w:rsid w:val="00833DF5"/>
    <w:rsid w:val="0084395F"/>
    <w:rsid w:val="00844DBD"/>
    <w:rsid w:val="008463FA"/>
    <w:rsid w:val="008477AE"/>
    <w:rsid w:val="00853690"/>
    <w:rsid w:val="008868A9"/>
    <w:rsid w:val="00887A44"/>
    <w:rsid w:val="008911E8"/>
    <w:rsid w:val="008946AD"/>
    <w:rsid w:val="008A1AE0"/>
    <w:rsid w:val="008A309E"/>
    <w:rsid w:val="008B1D56"/>
    <w:rsid w:val="008C5984"/>
    <w:rsid w:val="008D2715"/>
    <w:rsid w:val="008D37A1"/>
    <w:rsid w:val="008E7E07"/>
    <w:rsid w:val="008F28CD"/>
    <w:rsid w:val="008F3B49"/>
    <w:rsid w:val="008F3FB4"/>
    <w:rsid w:val="008F5B2D"/>
    <w:rsid w:val="0090637B"/>
    <w:rsid w:val="0092513D"/>
    <w:rsid w:val="00926F74"/>
    <w:rsid w:val="009339D4"/>
    <w:rsid w:val="009354ED"/>
    <w:rsid w:val="009717CC"/>
    <w:rsid w:val="0097409F"/>
    <w:rsid w:val="00976A5A"/>
    <w:rsid w:val="009B0A99"/>
    <w:rsid w:val="009B0C3B"/>
    <w:rsid w:val="009B4A75"/>
    <w:rsid w:val="009B5545"/>
    <w:rsid w:val="009C50F2"/>
    <w:rsid w:val="009C5EC1"/>
    <w:rsid w:val="009D33AA"/>
    <w:rsid w:val="009D34C6"/>
    <w:rsid w:val="009D529B"/>
    <w:rsid w:val="009E1667"/>
    <w:rsid w:val="009F0C21"/>
    <w:rsid w:val="009F182D"/>
    <w:rsid w:val="009F1E89"/>
    <w:rsid w:val="00A04E7E"/>
    <w:rsid w:val="00A12660"/>
    <w:rsid w:val="00A12E7E"/>
    <w:rsid w:val="00A17C62"/>
    <w:rsid w:val="00A22DEA"/>
    <w:rsid w:val="00A27E82"/>
    <w:rsid w:val="00A30D10"/>
    <w:rsid w:val="00A35F78"/>
    <w:rsid w:val="00A370D2"/>
    <w:rsid w:val="00A450AC"/>
    <w:rsid w:val="00A50F04"/>
    <w:rsid w:val="00A5480D"/>
    <w:rsid w:val="00A64633"/>
    <w:rsid w:val="00A718A1"/>
    <w:rsid w:val="00A74567"/>
    <w:rsid w:val="00A76B97"/>
    <w:rsid w:val="00A77EE1"/>
    <w:rsid w:val="00A8297B"/>
    <w:rsid w:val="00A844E3"/>
    <w:rsid w:val="00A967BF"/>
    <w:rsid w:val="00AB6E2B"/>
    <w:rsid w:val="00AD056F"/>
    <w:rsid w:val="00AD3AF6"/>
    <w:rsid w:val="00AD434C"/>
    <w:rsid w:val="00AD5BE9"/>
    <w:rsid w:val="00AD7517"/>
    <w:rsid w:val="00AE533E"/>
    <w:rsid w:val="00AE660F"/>
    <w:rsid w:val="00AF0ABA"/>
    <w:rsid w:val="00AF1FF0"/>
    <w:rsid w:val="00AF49BE"/>
    <w:rsid w:val="00B006D4"/>
    <w:rsid w:val="00B10EA5"/>
    <w:rsid w:val="00B17EBA"/>
    <w:rsid w:val="00B23222"/>
    <w:rsid w:val="00B30014"/>
    <w:rsid w:val="00B34F43"/>
    <w:rsid w:val="00B54815"/>
    <w:rsid w:val="00B54D76"/>
    <w:rsid w:val="00B5509E"/>
    <w:rsid w:val="00B5515A"/>
    <w:rsid w:val="00B57821"/>
    <w:rsid w:val="00B72A55"/>
    <w:rsid w:val="00B9673C"/>
    <w:rsid w:val="00B97D93"/>
    <w:rsid w:val="00BB4FA3"/>
    <w:rsid w:val="00BB6353"/>
    <w:rsid w:val="00BB6B8B"/>
    <w:rsid w:val="00BC687C"/>
    <w:rsid w:val="00BC725C"/>
    <w:rsid w:val="00BD55E3"/>
    <w:rsid w:val="00BD6DC3"/>
    <w:rsid w:val="00BE200D"/>
    <w:rsid w:val="00BE6679"/>
    <w:rsid w:val="00BF45A6"/>
    <w:rsid w:val="00C129DA"/>
    <w:rsid w:val="00C25F3B"/>
    <w:rsid w:val="00C265F1"/>
    <w:rsid w:val="00C266A8"/>
    <w:rsid w:val="00C3167D"/>
    <w:rsid w:val="00C366D4"/>
    <w:rsid w:val="00C41AA1"/>
    <w:rsid w:val="00C42D4C"/>
    <w:rsid w:val="00C50FC9"/>
    <w:rsid w:val="00C51A9C"/>
    <w:rsid w:val="00C540E2"/>
    <w:rsid w:val="00C54246"/>
    <w:rsid w:val="00C56099"/>
    <w:rsid w:val="00C6059E"/>
    <w:rsid w:val="00C6271B"/>
    <w:rsid w:val="00C66ECB"/>
    <w:rsid w:val="00C6768E"/>
    <w:rsid w:val="00C733F0"/>
    <w:rsid w:val="00C7740E"/>
    <w:rsid w:val="00C77946"/>
    <w:rsid w:val="00C81D23"/>
    <w:rsid w:val="00C829D2"/>
    <w:rsid w:val="00C848BF"/>
    <w:rsid w:val="00C8495D"/>
    <w:rsid w:val="00C91E73"/>
    <w:rsid w:val="00C956DC"/>
    <w:rsid w:val="00C9606B"/>
    <w:rsid w:val="00C96419"/>
    <w:rsid w:val="00CB0326"/>
    <w:rsid w:val="00CB37A6"/>
    <w:rsid w:val="00CC6AE5"/>
    <w:rsid w:val="00CD3607"/>
    <w:rsid w:val="00CD37E9"/>
    <w:rsid w:val="00CD5C20"/>
    <w:rsid w:val="00CD652C"/>
    <w:rsid w:val="00CE1E28"/>
    <w:rsid w:val="00CE34A0"/>
    <w:rsid w:val="00CF39A7"/>
    <w:rsid w:val="00CF73B7"/>
    <w:rsid w:val="00CF78A3"/>
    <w:rsid w:val="00D02883"/>
    <w:rsid w:val="00D0297F"/>
    <w:rsid w:val="00D13EE4"/>
    <w:rsid w:val="00D166D6"/>
    <w:rsid w:val="00D6232B"/>
    <w:rsid w:val="00D6269C"/>
    <w:rsid w:val="00D679B4"/>
    <w:rsid w:val="00D712D8"/>
    <w:rsid w:val="00D93378"/>
    <w:rsid w:val="00D94C4E"/>
    <w:rsid w:val="00D95717"/>
    <w:rsid w:val="00D95EC9"/>
    <w:rsid w:val="00DB2A3E"/>
    <w:rsid w:val="00DB405D"/>
    <w:rsid w:val="00DB65CE"/>
    <w:rsid w:val="00DC2A53"/>
    <w:rsid w:val="00DD0170"/>
    <w:rsid w:val="00DE1F4B"/>
    <w:rsid w:val="00DE5BD3"/>
    <w:rsid w:val="00DE74B2"/>
    <w:rsid w:val="00DF12BF"/>
    <w:rsid w:val="00DF1FDE"/>
    <w:rsid w:val="00E0387A"/>
    <w:rsid w:val="00E07502"/>
    <w:rsid w:val="00E13200"/>
    <w:rsid w:val="00E13C6C"/>
    <w:rsid w:val="00E14407"/>
    <w:rsid w:val="00E151D3"/>
    <w:rsid w:val="00E156DE"/>
    <w:rsid w:val="00E1590B"/>
    <w:rsid w:val="00E16C13"/>
    <w:rsid w:val="00E25944"/>
    <w:rsid w:val="00E30FD5"/>
    <w:rsid w:val="00E346C9"/>
    <w:rsid w:val="00E3567F"/>
    <w:rsid w:val="00E41644"/>
    <w:rsid w:val="00E4712C"/>
    <w:rsid w:val="00E50667"/>
    <w:rsid w:val="00E60F6F"/>
    <w:rsid w:val="00E70E60"/>
    <w:rsid w:val="00E74218"/>
    <w:rsid w:val="00E854FE"/>
    <w:rsid w:val="00EA46EF"/>
    <w:rsid w:val="00EA52A4"/>
    <w:rsid w:val="00EB1579"/>
    <w:rsid w:val="00EB5D57"/>
    <w:rsid w:val="00EC1231"/>
    <w:rsid w:val="00EC66D1"/>
    <w:rsid w:val="00EF0AA6"/>
    <w:rsid w:val="00EF1539"/>
    <w:rsid w:val="00F27A48"/>
    <w:rsid w:val="00F313BB"/>
    <w:rsid w:val="00F31B53"/>
    <w:rsid w:val="00F430E3"/>
    <w:rsid w:val="00F431C1"/>
    <w:rsid w:val="00F65A57"/>
    <w:rsid w:val="00F664F6"/>
    <w:rsid w:val="00F72545"/>
    <w:rsid w:val="00F77D3C"/>
    <w:rsid w:val="00F80585"/>
    <w:rsid w:val="00FA4110"/>
    <w:rsid w:val="00FA7F44"/>
    <w:rsid w:val="00FB221C"/>
    <w:rsid w:val="00FB3A27"/>
    <w:rsid w:val="00FB7CDB"/>
    <w:rsid w:val="00FC16FE"/>
    <w:rsid w:val="00FC2FD4"/>
    <w:rsid w:val="00FC5FB9"/>
    <w:rsid w:val="00FD14ED"/>
    <w:rsid w:val="00FD1D98"/>
    <w:rsid w:val="00FD5F42"/>
    <w:rsid w:val="00FD6CF2"/>
    <w:rsid w:val="00FD7644"/>
    <w:rsid w:val="00FE115B"/>
    <w:rsid w:val="00FE1A97"/>
    <w:rsid w:val="00FE5FFE"/>
    <w:rsid w:val="00FF6B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C1829"/>
  <w15:chartTrackingRefBased/>
  <w15:docId w15:val="{0AA020CF-DB81-4632-9290-40EE387D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E3"/>
    <w:rPr>
      <w:kern w:val="0"/>
    </w:rPr>
  </w:style>
  <w:style w:type="paragraph" w:styleId="Heading1">
    <w:name w:val="heading 1"/>
    <w:basedOn w:val="Normal"/>
    <w:next w:val="Normal"/>
    <w:link w:val="Heading1Char"/>
    <w:uiPriority w:val="9"/>
    <w:qFormat/>
    <w:rsid w:val="006F5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2A7F"/>
    <w:pPr>
      <w:jc w:val="center"/>
      <w:outlineLvl w:val="1"/>
    </w:pPr>
    <w:rPr>
      <w:b/>
      <w:bCs/>
    </w:rPr>
  </w:style>
  <w:style w:type="paragraph" w:styleId="Heading3">
    <w:name w:val="heading 3"/>
    <w:basedOn w:val="Normal"/>
    <w:next w:val="Normal"/>
    <w:link w:val="Heading3Char"/>
    <w:uiPriority w:val="9"/>
    <w:semiHidden/>
    <w:unhideWhenUsed/>
    <w:qFormat/>
    <w:rsid w:val="006F5C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C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C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C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2A7F"/>
    <w:rPr>
      <w:b/>
      <w:bCs/>
      <w:kern w:val="0"/>
    </w:rPr>
  </w:style>
  <w:style w:type="character" w:customStyle="1" w:styleId="Heading3Char">
    <w:name w:val="Heading 3 Char"/>
    <w:basedOn w:val="DefaultParagraphFont"/>
    <w:link w:val="Heading3"/>
    <w:uiPriority w:val="9"/>
    <w:semiHidden/>
    <w:rsid w:val="006F5C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C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C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C41"/>
    <w:rPr>
      <w:rFonts w:eastAsiaTheme="majorEastAsia" w:cstheme="majorBidi"/>
      <w:color w:val="272727" w:themeColor="text1" w:themeTint="D8"/>
    </w:rPr>
  </w:style>
  <w:style w:type="paragraph" w:styleId="Title">
    <w:name w:val="Title"/>
    <w:basedOn w:val="Normal"/>
    <w:next w:val="Normal"/>
    <w:link w:val="TitleChar"/>
    <w:uiPriority w:val="10"/>
    <w:qFormat/>
    <w:rsid w:val="006F5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C41"/>
    <w:pPr>
      <w:spacing w:before="160"/>
      <w:jc w:val="center"/>
    </w:pPr>
    <w:rPr>
      <w:i/>
      <w:iCs/>
      <w:color w:val="404040" w:themeColor="text1" w:themeTint="BF"/>
    </w:rPr>
  </w:style>
  <w:style w:type="character" w:customStyle="1" w:styleId="QuoteChar">
    <w:name w:val="Quote Char"/>
    <w:basedOn w:val="DefaultParagraphFont"/>
    <w:link w:val="Quote"/>
    <w:uiPriority w:val="29"/>
    <w:rsid w:val="006F5C41"/>
    <w:rPr>
      <w:i/>
      <w:iCs/>
      <w:color w:val="404040" w:themeColor="text1" w:themeTint="BF"/>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numbered,列出段落,列出段落1"/>
    <w:basedOn w:val="Normal"/>
    <w:link w:val="ListParagraphChar"/>
    <w:uiPriority w:val="34"/>
    <w:qFormat/>
    <w:rsid w:val="006F5C41"/>
    <w:pPr>
      <w:ind w:left="720"/>
      <w:contextualSpacing/>
    </w:pPr>
  </w:style>
  <w:style w:type="character" w:styleId="IntenseEmphasis">
    <w:name w:val="Intense Emphasis"/>
    <w:basedOn w:val="DefaultParagraphFont"/>
    <w:uiPriority w:val="21"/>
    <w:qFormat/>
    <w:rsid w:val="006F5C41"/>
    <w:rPr>
      <w:i/>
      <w:iCs/>
      <w:color w:val="0F4761" w:themeColor="accent1" w:themeShade="BF"/>
    </w:rPr>
  </w:style>
  <w:style w:type="paragraph" w:styleId="IntenseQuote">
    <w:name w:val="Intense Quote"/>
    <w:basedOn w:val="Normal"/>
    <w:next w:val="Normal"/>
    <w:link w:val="IntenseQuoteChar"/>
    <w:uiPriority w:val="30"/>
    <w:qFormat/>
    <w:rsid w:val="006F5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C41"/>
    <w:rPr>
      <w:i/>
      <w:iCs/>
      <w:color w:val="0F4761" w:themeColor="accent1" w:themeShade="BF"/>
    </w:rPr>
  </w:style>
  <w:style w:type="character" w:styleId="IntenseReference">
    <w:name w:val="Intense Reference"/>
    <w:basedOn w:val="DefaultParagraphFont"/>
    <w:uiPriority w:val="32"/>
    <w:qFormat/>
    <w:rsid w:val="006F5C41"/>
    <w:rPr>
      <w:b/>
      <w:bCs/>
      <w:smallCaps/>
      <w:color w:val="0F4761" w:themeColor="accent1" w:themeShade="BF"/>
      <w:spacing w:val="5"/>
    </w:rPr>
  </w:style>
  <w:style w:type="paragraph" w:styleId="NoSpacing">
    <w:name w:val="No Spacing"/>
    <w:uiPriority w:val="1"/>
    <w:qFormat/>
    <w:rsid w:val="00F430E3"/>
    <w:pPr>
      <w:spacing w:after="0" w:line="240" w:lineRule="auto"/>
    </w:pPr>
    <w:rPr>
      <w:kern w:val="0"/>
    </w:rPr>
  </w:style>
  <w:style w:type="paragraph" w:customStyle="1" w:styleId="Default">
    <w:name w:val="Default"/>
    <w:rsid w:val="00F430E3"/>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F430E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BodyText"/>
    <w:uiPriority w:val="2"/>
    <w:qFormat/>
    <w:rsid w:val="00F430E3"/>
    <w:pPr>
      <w:numPr>
        <w:numId w:val="2"/>
      </w:numPr>
      <w:spacing w:before="60" w:after="60" w:line="264" w:lineRule="auto"/>
      <w:ind w:firstLine="0"/>
    </w:pPr>
    <w:rPr>
      <w:rFonts w:eastAsia="Batang" w:cs="Arial"/>
      <w:sz w:val="19"/>
      <w:szCs w:val="20"/>
      <w:lang w:eastAsia="ko-KR"/>
    </w:rPr>
  </w:style>
  <w:style w:type="paragraph" w:styleId="BodyText">
    <w:name w:val="Body Text"/>
    <w:basedOn w:val="Normal"/>
    <w:link w:val="BodyTextChar"/>
    <w:uiPriority w:val="99"/>
    <w:unhideWhenUsed/>
    <w:rsid w:val="00F430E3"/>
    <w:pPr>
      <w:spacing w:after="120"/>
    </w:pPr>
  </w:style>
  <w:style w:type="character" w:customStyle="1" w:styleId="BodyTextChar">
    <w:name w:val="Body Text Char"/>
    <w:basedOn w:val="DefaultParagraphFont"/>
    <w:link w:val="BodyText"/>
    <w:uiPriority w:val="99"/>
    <w:rsid w:val="00F430E3"/>
    <w:rPr>
      <w:kern w:val="0"/>
    </w:rPr>
  </w:style>
  <w:style w:type="paragraph" w:customStyle="1" w:styleId="List-number-2">
    <w:name w:val="List-number-2"/>
    <w:basedOn w:val="Normal"/>
    <w:qFormat/>
    <w:rsid w:val="00CD37E9"/>
    <w:pPr>
      <w:numPr>
        <w:ilvl w:val="1"/>
        <w:numId w:val="3"/>
      </w:numPr>
      <w:tabs>
        <w:tab w:val="num" w:pos="360"/>
      </w:tabs>
      <w:spacing w:before="120" w:after="0" w:line="240" w:lineRule="auto"/>
      <w:ind w:left="0" w:firstLine="0"/>
    </w:pPr>
    <w:rPr>
      <w:rFonts w:ascii="Arial" w:eastAsia="Times New Roman" w:hAnsi="Arial" w:cs="Times New Roman"/>
      <w:sz w:val="20"/>
      <w:szCs w:val="24"/>
    </w:rPr>
  </w:style>
  <w:style w:type="paragraph" w:customStyle="1" w:styleId="List-number-1">
    <w:name w:val="List-number-1"/>
    <w:basedOn w:val="Normal"/>
    <w:qFormat/>
    <w:rsid w:val="00CD37E9"/>
    <w:pPr>
      <w:numPr>
        <w:numId w:val="3"/>
      </w:numPr>
      <w:spacing w:before="120" w:after="0" w:line="240" w:lineRule="auto"/>
      <w:ind w:firstLine="0"/>
    </w:pPr>
    <w:rPr>
      <w:rFonts w:ascii="Arial" w:eastAsia="Times New Roman" w:hAnsi="Arial" w:cs="Times New Roman"/>
      <w:sz w:val="20"/>
      <w:szCs w:val="24"/>
    </w:rPr>
  </w:style>
  <w:style w:type="paragraph" w:styleId="Header">
    <w:name w:val="header"/>
    <w:basedOn w:val="Normal"/>
    <w:link w:val="HeaderChar"/>
    <w:uiPriority w:val="99"/>
    <w:unhideWhenUsed/>
    <w:rsid w:val="001B7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E83"/>
    <w:rPr>
      <w:kern w:val="0"/>
    </w:rPr>
  </w:style>
  <w:style w:type="paragraph" w:styleId="Footer">
    <w:name w:val="footer"/>
    <w:basedOn w:val="Normal"/>
    <w:link w:val="FooterChar"/>
    <w:uiPriority w:val="99"/>
    <w:unhideWhenUsed/>
    <w:rsid w:val="001B7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E83"/>
    <w:rPr>
      <w:kern w:val="0"/>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locked/>
    <w:rsid w:val="000E6862"/>
    <w:rPr>
      <w:kern w:val="0"/>
    </w:rPr>
  </w:style>
  <w:style w:type="paragraph" w:styleId="Revision">
    <w:name w:val="Revision"/>
    <w:hidden/>
    <w:uiPriority w:val="99"/>
    <w:semiHidden/>
    <w:rsid w:val="0016361E"/>
    <w:pPr>
      <w:spacing w:after="0" w:line="240" w:lineRule="auto"/>
    </w:pPr>
    <w:rPr>
      <w:kern w:val="0"/>
    </w:rPr>
  </w:style>
  <w:style w:type="paragraph" w:styleId="BodyText2">
    <w:name w:val="Body Text 2"/>
    <w:basedOn w:val="Normal"/>
    <w:link w:val="BodyText2Char"/>
    <w:uiPriority w:val="99"/>
    <w:semiHidden/>
    <w:unhideWhenUsed/>
    <w:rsid w:val="00282069"/>
    <w:pPr>
      <w:spacing w:after="120" w:line="480" w:lineRule="auto"/>
    </w:pPr>
    <w:rPr>
      <w:rFonts w:ascii="Times New Roman" w:eastAsia="Times New Roman" w:hAnsi="Times New Roman" w:cs="Times New Roman"/>
      <w:sz w:val="24"/>
      <w:szCs w:val="24"/>
      <w:lang w:val="en-ID"/>
      <w14:ligatures w14:val="none"/>
    </w:rPr>
  </w:style>
  <w:style w:type="character" w:customStyle="1" w:styleId="BodyText2Char">
    <w:name w:val="Body Text 2 Char"/>
    <w:basedOn w:val="DefaultParagraphFont"/>
    <w:link w:val="BodyText2"/>
    <w:uiPriority w:val="99"/>
    <w:semiHidden/>
    <w:rsid w:val="00282069"/>
    <w:rPr>
      <w:rFonts w:ascii="Times New Roman" w:eastAsia="Times New Roman" w:hAnsi="Times New Roman" w:cs="Times New Roman"/>
      <w:kern w:val="0"/>
      <w:sz w:val="24"/>
      <w:szCs w:val="24"/>
      <w:lang w:val="en-ID"/>
      <w14:ligatures w14:val="none"/>
    </w:rPr>
  </w:style>
  <w:style w:type="character" w:styleId="CommentReference">
    <w:name w:val="annotation reference"/>
    <w:basedOn w:val="DefaultParagraphFont"/>
    <w:uiPriority w:val="99"/>
    <w:semiHidden/>
    <w:unhideWhenUsed/>
    <w:rsid w:val="00807E94"/>
    <w:rPr>
      <w:sz w:val="16"/>
      <w:szCs w:val="16"/>
    </w:rPr>
  </w:style>
  <w:style w:type="paragraph" w:styleId="CommentText">
    <w:name w:val="annotation text"/>
    <w:basedOn w:val="Normal"/>
    <w:link w:val="CommentTextChar"/>
    <w:uiPriority w:val="99"/>
    <w:unhideWhenUsed/>
    <w:rsid w:val="00807E94"/>
    <w:pPr>
      <w:spacing w:line="240" w:lineRule="auto"/>
    </w:pPr>
    <w:rPr>
      <w:sz w:val="20"/>
      <w:szCs w:val="20"/>
    </w:rPr>
  </w:style>
  <w:style w:type="character" w:customStyle="1" w:styleId="CommentTextChar">
    <w:name w:val="Comment Text Char"/>
    <w:basedOn w:val="DefaultParagraphFont"/>
    <w:link w:val="CommentText"/>
    <w:uiPriority w:val="99"/>
    <w:rsid w:val="00807E94"/>
    <w:rPr>
      <w:kern w:val="0"/>
      <w:sz w:val="20"/>
      <w:szCs w:val="20"/>
    </w:rPr>
  </w:style>
  <w:style w:type="paragraph" w:styleId="CommentSubject">
    <w:name w:val="annotation subject"/>
    <w:basedOn w:val="CommentText"/>
    <w:next w:val="CommentText"/>
    <w:link w:val="CommentSubjectChar"/>
    <w:uiPriority w:val="99"/>
    <w:semiHidden/>
    <w:unhideWhenUsed/>
    <w:rsid w:val="00807E94"/>
    <w:rPr>
      <w:b/>
      <w:bCs/>
    </w:rPr>
  </w:style>
  <w:style w:type="character" w:customStyle="1" w:styleId="CommentSubjectChar">
    <w:name w:val="Comment Subject Char"/>
    <w:basedOn w:val="CommentTextChar"/>
    <w:link w:val="CommentSubject"/>
    <w:uiPriority w:val="99"/>
    <w:semiHidden/>
    <w:rsid w:val="00807E94"/>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443515">
      <w:bodyDiv w:val="1"/>
      <w:marLeft w:val="0"/>
      <w:marRight w:val="0"/>
      <w:marTop w:val="0"/>
      <w:marBottom w:val="0"/>
      <w:divBdr>
        <w:top w:val="none" w:sz="0" w:space="0" w:color="auto"/>
        <w:left w:val="none" w:sz="0" w:space="0" w:color="auto"/>
        <w:bottom w:val="none" w:sz="0" w:space="0" w:color="auto"/>
        <w:right w:val="none" w:sz="0" w:space="0" w:color="auto"/>
      </w:divBdr>
    </w:div>
    <w:div w:id="460079269">
      <w:bodyDiv w:val="1"/>
      <w:marLeft w:val="0"/>
      <w:marRight w:val="0"/>
      <w:marTop w:val="0"/>
      <w:marBottom w:val="0"/>
      <w:divBdr>
        <w:top w:val="none" w:sz="0" w:space="0" w:color="auto"/>
        <w:left w:val="none" w:sz="0" w:space="0" w:color="auto"/>
        <w:bottom w:val="none" w:sz="0" w:space="0" w:color="auto"/>
        <w:right w:val="none" w:sz="0" w:space="0" w:color="auto"/>
      </w:divBdr>
    </w:div>
    <w:div w:id="565915790">
      <w:bodyDiv w:val="1"/>
      <w:marLeft w:val="0"/>
      <w:marRight w:val="0"/>
      <w:marTop w:val="0"/>
      <w:marBottom w:val="0"/>
      <w:divBdr>
        <w:top w:val="none" w:sz="0" w:space="0" w:color="auto"/>
        <w:left w:val="none" w:sz="0" w:space="0" w:color="auto"/>
        <w:bottom w:val="none" w:sz="0" w:space="0" w:color="auto"/>
        <w:right w:val="none" w:sz="0" w:space="0" w:color="auto"/>
      </w:divBdr>
    </w:div>
    <w:div w:id="615142652">
      <w:bodyDiv w:val="1"/>
      <w:marLeft w:val="0"/>
      <w:marRight w:val="0"/>
      <w:marTop w:val="0"/>
      <w:marBottom w:val="0"/>
      <w:divBdr>
        <w:top w:val="none" w:sz="0" w:space="0" w:color="auto"/>
        <w:left w:val="none" w:sz="0" w:space="0" w:color="auto"/>
        <w:bottom w:val="none" w:sz="0" w:space="0" w:color="auto"/>
        <w:right w:val="none" w:sz="0" w:space="0" w:color="auto"/>
      </w:divBdr>
    </w:div>
    <w:div w:id="827792188">
      <w:bodyDiv w:val="1"/>
      <w:marLeft w:val="0"/>
      <w:marRight w:val="0"/>
      <w:marTop w:val="0"/>
      <w:marBottom w:val="0"/>
      <w:divBdr>
        <w:top w:val="none" w:sz="0" w:space="0" w:color="auto"/>
        <w:left w:val="none" w:sz="0" w:space="0" w:color="auto"/>
        <w:bottom w:val="none" w:sz="0" w:space="0" w:color="auto"/>
        <w:right w:val="none" w:sz="0" w:space="0" w:color="auto"/>
      </w:divBdr>
    </w:div>
    <w:div w:id="930311274">
      <w:bodyDiv w:val="1"/>
      <w:marLeft w:val="0"/>
      <w:marRight w:val="0"/>
      <w:marTop w:val="0"/>
      <w:marBottom w:val="0"/>
      <w:divBdr>
        <w:top w:val="none" w:sz="0" w:space="0" w:color="auto"/>
        <w:left w:val="none" w:sz="0" w:space="0" w:color="auto"/>
        <w:bottom w:val="none" w:sz="0" w:space="0" w:color="auto"/>
        <w:right w:val="none" w:sz="0" w:space="0" w:color="auto"/>
      </w:divBdr>
    </w:div>
    <w:div w:id="1029993980">
      <w:bodyDiv w:val="1"/>
      <w:marLeft w:val="0"/>
      <w:marRight w:val="0"/>
      <w:marTop w:val="0"/>
      <w:marBottom w:val="0"/>
      <w:divBdr>
        <w:top w:val="none" w:sz="0" w:space="0" w:color="auto"/>
        <w:left w:val="none" w:sz="0" w:space="0" w:color="auto"/>
        <w:bottom w:val="none" w:sz="0" w:space="0" w:color="auto"/>
        <w:right w:val="none" w:sz="0" w:space="0" w:color="auto"/>
      </w:divBdr>
    </w:div>
    <w:div w:id="210248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2B3D5-7EE9-4B81-A468-0160A07DC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1164</Words>
  <Characters>6968</Characters>
  <Application>Microsoft Office Word</Application>
  <DocSecurity>0</DocSecurity>
  <Lines>162</Lines>
  <Paragraphs>41</Paragraphs>
  <ScaleCrop>false</ScaleCrop>
  <HeadingPairs>
    <vt:vector size="2" baseType="variant">
      <vt:variant>
        <vt:lpstr>Title</vt:lpstr>
      </vt:variant>
      <vt:variant>
        <vt:i4>1</vt:i4>
      </vt:variant>
    </vt:vector>
  </HeadingPairs>
  <TitlesOfParts>
    <vt:vector size="1" baseType="lpstr">
      <vt:lpstr>Management Review - Fiji-Australia Institutional Partnerships Program (IPP) Strategic Review</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Review - Fiji-Australia Institutional Partnerships Program (IPP) Strategic Review</dc:title>
  <dc:subject/>
  <dc:creator>Emily Wilson</dc:creator>
  <cp:keywords>[SEC=OFFICIAL]</cp:keywords>
  <dc:description/>
  <cp:lastModifiedBy>Emily Wilson</cp:lastModifiedBy>
  <cp:revision>21</cp:revision>
  <dcterms:created xsi:type="dcterms:W3CDTF">2025-11-15T05:09:00Z</dcterms:created>
  <dcterms:modified xsi:type="dcterms:W3CDTF">2025-11-18T02:41:00Z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v=2022.1;a=SHA256;h=BC201C7C5D36549DA2B340B474B73E627383443D05003C760921DD4489961376</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2025-02-10T04:34:58Z</vt:lpwstr>
  </property>
  <property fmtid="{D5CDD505-2E9C-101B-9397-08002B2CF9AE}" pid="10" name="PM_Markers">
    <vt:lpwstr/>
  </property>
  <property fmtid="{D5CDD505-2E9C-101B-9397-08002B2CF9AE}" pid="11" name="PM_InsertionValue">
    <vt:lpwstr>OFFICIAL</vt:lpwstr>
  </property>
  <property fmtid="{D5CDD505-2E9C-101B-9397-08002B2CF9AE}" pid="12" name="PM_Originator_Hash_SHA1">
    <vt:lpwstr>6114F70D0489320B798291B2AF0188275F87CCAF</vt:lpwstr>
  </property>
  <property fmtid="{D5CDD505-2E9C-101B-9397-08002B2CF9AE}" pid="13" name="PM_DisplayValueSecClassificationWithQualifier">
    <vt:lpwstr>OFFICIAL</vt:lpwstr>
  </property>
  <property fmtid="{D5CDD505-2E9C-101B-9397-08002B2CF9AE}" pid="14" name="PM_ProtectiveMarkingValue_Footer">
    <vt:lpwstr>OFFICIAL</vt:lpwstr>
  </property>
  <property fmtid="{D5CDD505-2E9C-101B-9397-08002B2CF9AE}" pid="15" name="PM_Originating_FileId">
    <vt:lpwstr>4B0D846713D14A99BB34AB340DD855B9</vt:lpwstr>
  </property>
  <property fmtid="{D5CDD505-2E9C-101B-9397-08002B2CF9AE}" pid="16" name="PM_ProtectiveMarkingImage_Header">
    <vt:lpwstr>C:\Program Files\Common Files\janusNET Shared\janusSEAL\Images\DocumentSlashBlue.png</vt:lpwstr>
  </property>
  <property fmtid="{D5CDD505-2E9C-101B-9397-08002B2CF9AE}" pid="17" name="PM_ProtectiveMarkingImage_Footer">
    <vt:lpwstr>C:\Program Files\Common Files\janusNET Shared\janusSEAL\Images\DocumentSlashBlue.png</vt:lpwstr>
  </property>
  <property fmtid="{D5CDD505-2E9C-101B-9397-08002B2CF9AE}" pid="18" name="PM_Display">
    <vt:lpwstr>OFFICIAL</vt:lpwstr>
  </property>
  <property fmtid="{D5CDD505-2E9C-101B-9397-08002B2CF9AE}" pid="19" name="PM_OriginatorUserAccountName_SHA256">
    <vt:lpwstr>5B3971224FDCD74811E777ADE866F864DFB9977AF0420E46096DAD8739F3DB67</vt:lpwstr>
  </property>
  <property fmtid="{D5CDD505-2E9C-101B-9397-08002B2CF9AE}" pid="20" name="PM_OriginatorDomainName_SHA256">
    <vt:lpwstr>6F3591835F3B2A8A025B00B5BA6418010DA3A17C9C26EA9C049FFD28039489A2</vt:lpwstr>
  </property>
  <property fmtid="{D5CDD505-2E9C-101B-9397-08002B2CF9AE}" pid="21" name="PMUuid">
    <vt:lpwstr>v=2022.2;d=gov.au;g=46DD6D7C-8107-577B-BC6E-F348953B2E44</vt:lpwstr>
  </property>
  <property fmtid="{D5CDD505-2E9C-101B-9397-08002B2CF9AE}" pid="22" name="PM_Hash_Version">
    <vt:lpwstr>2022.1</vt:lpwstr>
  </property>
  <property fmtid="{D5CDD505-2E9C-101B-9397-08002B2CF9AE}" pid="23" name="PM_Hash_Salt_Prev">
    <vt:lpwstr>D08787E00ECEE60910B077CA1DDD19F9</vt:lpwstr>
  </property>
  <property fmtid="{D5CDD505-2E9C-101B-9397-08002B2CF9AE}" pid="24" name="PM_Hash_Salt">
    <vt:lpwstr>FF69D9154C717DD7C80057CEE4413096</vt:lpwstr>
  </property>
  <property fmtid="{D5CDD505-2E9C-101B-9397-08002B2CF9AE}" pid="25" name="PM_Hash_SHA1">
    <vt:lpwstr>19C7462C5C9E7337F2E1BF089C7795607B4D7BF8</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PM_Caveats_Count">
    <vt:lpwstr>0</vt:lpwstr>
  </property>
  <property fmtid="{D5CDD505-2E9C-101B-9397-08002B2CF9AE}" pid="29" name="PM_Expires">
    <vt:lpwstr/>
  </property>
  <property fmtid="{D5CDD505-2E9C-101B-9397-08002B2CF9AE}" pid="30" name="PM_DownTo">
    <vt:lpwstr/>
  </property>
</Properties>
</file>